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93483" w14:textId="18C80BA2" w:rsidR="00445D79" w:rsidRPr="001C5D81" w:rsidRDefault="004A7CE3" w:rsidP="00A82C4A">
      <w:pPr>
        <w:pStyle w:val="Encabezado"/>
        <w:jc w:val="center"/>
        <w:rPr>
          <w:rFonts w:ascii="Bookman Old Style" w:hAnsi="Bookman Old Style" w:cs="Arial"/>
          <w:vanish/>
          <w:szCs w:val="24"/>
          <w:specVanish/>
        </w:rPr>
      </w:pPr>
      <w:r>
        <w:rPr>
          <w:rFonts w:ascii="Bookman Old Style" w:hAnsi="Bookman Old Style" w:cs="Arial"/>
          <w:szCs w:val="24"/>
        </w:rPr>
        <w:object w:dxaOrig="1440" w:dyaOrig="1440" w14:anchorId="334B1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3.65pt;margin-top:-51.85pt;width:46.5pt;height:48.75pt;z-index:251657728" fillcolor="#0c9">
            <v:imagedata r:id="rId8" o:title="" cropright="7490f"/>
          </v:shape>
          <o:OLEObject Type="Embed" ProgID="PBrush" ShapeID="_x0000_s1026" DrawAspect="Content" ObjectID="_1632837810" r:id="rId9"/>
        </w:object>
      </w:r>
    </w:p>
    <w:p w14:paraId="17F7A357" w14:textId="506F8B3A" w:rsidR="00217B06" w:rsidRPr="001954E9" w:rsidRDefault="00217B06" w:rsidP="00A82C4A">
      <w:pPr>
        <w:pStyle w:val="Ttulo4"/>
        <w:tabs>
          <w:tab w:val="left" w:pos="0"/>
          <w:tab w:val="right" w:pos="9356"/>
        </w:tabs>
        <w:spacing w:before="360" w:after="360"/>
        <w:ind w:left="9356" w:hanging="9356"/>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1241F3DC" w14:textId="77777777" w:rsidR="00217B06" w:rsidRPr="001954E9" w:rsidRDefault="00217B06" w:rsidP="00217B06">
      <w:pPr>
        <w:pStyle w:val="Ttulo3"/>
        <w:tabs>
          <w:tab w:val="left" w:pos="0"/>
          <w:tab w:val="right" w:pos="9356"/>
        </w:tabs>
        <w:spacing w:before="360" w:after="60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0734FBB1" w14:textId="39C52C74" w:rsidR="00217B06" w:rsidRPr="001954E9" w:rsidRDefault="00217B06" w:rsidP="00217B06">
      <w:pPr>
        <w:pStyle w:val="Ttulo5"/>
        <w:numPr>
          <w:ilvl w:val="0"/>
          <w:numId w:val="0"/>
        </w:numPr>
        <w:tabs>
          <w:tab w:val="left" w:pos="0"/>
          <w:tab w:val="right" w:pos="9356"/>
        </w:tabs>
        <w:spacing w:before="240" w:after="360"/>
        <w:jc w:val="center"/>
      </w:pPr>
      <w:r w:rsidRPr="001954E9">
        <w:t>RESOLUCIÓN No.                   DE 201</w:t>
      </w:r>
      <w:r w:rsidR="00795DC7">
        <w:t>9</w:t>
      </w:r>
    </w:p>
    <w:p w14:paraId="16A874B1" w14:textId="77777777" w:rsidR="00217B06" w:rsidRPr="001954E9" w:rsidRDefault="00217B06" w:rsidP="00217B06">
      <w:pPr>
        <w:pStyle w:val="Ttulo3"/>
        <w:tabs>
          <w:tab w:val="left" w:pos="0"/>
          <w:tab w:val="right" w:pos="9356"/>
        </w:tabs>
        <w:spacing w:before="360" w:after="720"/>
        <w:rPr>
          <w:rFonts w:ascii="Bookman Old Style" w:hAnsi="Bookman Old Style"/>
          <w:b w:val="0"/>
          <w:szCs w:val="24"/>
        </w:rPr>
      </w:pPr>
      <w:r w:rsidRPr="001954E9">
        <w:rPr>
          <w:rFonts w:ascii="Bookman Old Style" w:hAnsi="Bookman Old Style"/>
          <w:b w:val="0"/>
          <w:szCs w:val="24"/>
        </w:rPr>
        <w:t>(                                  )</w:t>
      </w:r>
    </w:p>
    <w:p w14:paraId="1854AC52" w14:textId="1FB87112" w:rsidR="005F5476" w:rsidRPr="005F5476" w:rsidRDefault="007D0F27" w:rsidP="00B3284F">
      <w:pPr>
        <w:widowControl w:val="0"/>
        <w:adjustRightInd w:val="0"/>
        <w:ind w:right="20"/>
        <w:rPr>
          <w:rFonts w:cs="Arial"/>
          <w:lang w:val="es-ES_tradnl"/>
        </w:rPr>
      </w:pPr>
      <w:r w:rsidRPr="00C752BD">
        <w:rPr>
          <w:rFonts w:cs="Arial"/>
        </w:rPr>
        <w:t>Por la cual se resuelve</w:t>
      </w:r>
      <w:r w:rsidR="00C44516" w:rsidRPr="00C752BD">
        <w:rPr>
          <w:rFonts w:cs="Arial"/>
        </w:rPr>
        <w:t xml:space="preserve"> </w:t>
      </w:r>
      <w:r w:rsidR="003F60A4" w:rsidRPr="00C752BD">
        <w:rPr>
          <w:rFonts w:cs="Arial"/>
        </w:rPr>
        <w:t>e</w:t>
      </w:r>
      <w:bookmarkStart w:id="0" w:name="_GoBack"/>
      <w:bookmarkEnd w:id="0"/>
      <w:r w:rsidR="003F60A4" w:rsidRPr="00C752BD">
        <w:rPr>
          <w:rFonts w:cs="Arial"/>
        </w:rPr>
        <w:t xml:space="preserve">l </w:t>
      </w:r>
      <w:r w:rsidR="00C44516" w:rsidRPr="00C752BD">
        <w:rPr>
          <w:rFonts w:cs="Arial"/>
        </w:rPr>
        <w:t>recurso de reposición interpuesto por la</w:t>
      </w:r>
      <w:r w:rsidR="00720CF6">
        <w:rPr>
          <w:rFonts w:cs="Arial"/>
        </w:rPr>
        <w:t>s</w:t>
      </w:r>
      <w:r w:rsidR="00C44516" w:rsidRPr="00C752BD">
        <w:rPr>
          <w:rFonts w:cs="Arial"/>
        </w:rPr>
        <w:t xml:space="preserve"> </w:t>
      </w:r>
      <w:r w:rsidR="00F30217" w:rsidRPr="00C752BD">
        <w:rPr>
          <w:rFonts w:cs="Arial"/>
        </w:rPr>
        <w:t>empresa</w:t>
      </w:r>
      <w:r w:rsidR="00720CF6">
        <w:rPr>
          <w:rFonts w:cs="Arial"/>
        </w:rPr>
        <w:t>s</w:t>
      </w:r>
      <w:r w:rsidR="00F30217" w:rsidRPr="00C752BD">
        <w:rPr>
          <w:rFonts w:cs="Arial"/>
        </w:rPr>
        <w:t xml:space="preserve"> </w:t>
      </w:r>
      <w:r w:rsidR="006B74F9">
        <w:rPr>
          <w:rFonts w:cs="Arial"/>
        </w:rPr>
        <w:t>ALCANOS DE COLOMBIA</w:t>
      </w:r>
      <w:r w:rsidR="00ED5CEB" w:rsidRPr="00C752BD">
        <w:rPr>
          <w:rFonts w:cs="Arial"/>
        </w:rPr>
        <w:t xml:space="preserve"> S.A. E.S.P.</w:t>
      </w:r>
      <w:r w:rsidR="00720CF6">
        <w:rPr>
          <w:rFonts w:cs="Arial"/>
        </w:rPr>
        <w:t xml:space="preserve"> y C.S.P. SOSTENIBLES S.A. E.S.P. </w:t>
      </w:r>
      <w:r w:rsidR="004D6882" w:rsidRPr="00C752BD">
        <w:rPr>
          <w:rFonts w:cs="Arial"/>
        </w:rPr>
        <w:t xml:space="preserve"> contra </w:t>
      </w:r>
      <w:r w:rsidR="005F5476" w:rsidRPr="00C752BD">
        <w:rPr>
          <w:rFonts w:cs="Arial"/>
        </w:rPr>
        <w:t xml:space="preserve">la Resolución CREG </w:t>
      </w:r>
      <w:r w:rsidR="006B74F9">
        <w:rPr>
          <w:rFonts w:cs="Arial"/>
        </w:rPr>
        <w:t>0</w:t>
      </w:r>
      <w:r w:rsidR="00720CF6">
        <w:rPr>
          <w:rFonts w:cs="Arial"/>
        </w:rPr>
        <w:t>05</w:t>
      </w:r>
      <w:r w:rsidR="00317D45">
        <w:rPr>
          <w:rFonts w:cs="Arial"/>
        </w:rPr>
        <w:t xml:space="preserve"> de 201</w:t>
      </w:r>
      <w:r w:rsidR="00720CF6">
        <w:rPr>
          <w:rFonts w:cs="Arial"/>
        </w:rPr>
        <w:t>9.</w:t>
      </w:r>
      <w:r w:rsidR="005F5476" w:rsidRPr="00C752BD">
        <w:rPr>
          <w:rFonts w:cs="Arial"/>
        </w:rPr>
        <w:t xml:space="preserve"> </w:t>
      </w:r>
    </w:p>
    <w:p w14:paraId="41A27AF5" w14:textId="77777777" w:rsidR="00102E06" w:rsidRPr="00102E06" w:rsidRDefault="00102E06" w:rsidP="00102E06">
      <w:pPr>
        <w:pStyle w:val="Ttulo7"/>
        <w:keepNext w:val="0"/>
        <w:keepLines w:val="0"/>
        <w:spacing w:before="720" w:after="480"/>
        <w:jc w:val="center"/>
        <w:rPr>
          <w:rFonts w:ascii="Bookman Old Style" w:eastAsia="Times New Roman" w:hAnsi="Bookman Old Style" w:cs="Times New Roman"/>
          <w:b/>
          <w:i w:val="0"/>
          <w:iCs w:val="0"/>
          <w:color w:val="auto"/>
        </w:rPr>
      </w:pPr>
      <w:r w:rsidRPr="00102E06">
        <w:rPr>
          <w:rFonts w:ascii="Bookman Old Style" w:eastAsia="Times New Roman" w:hAnsi="Bookman Old Style" w:cs="Times New Roman"/>
          <w:b/>
          <w:i w:val="0"/>
          <w:iCs w:val="0"/>
          <w:color w:val="auto"/>
        </w:rPr>
        <w:t>LA COMISIÓN DE REGULACIÓN DE ENERGÍA Y GAS</w:t>
      </w:r>
    </w:p>
    <w:p w14:paraId="1153D86E" w14:textId="77777777" w:rsidR="00102E06" w:rsidRPr="001954E9" w:rsidRDefault="00102E06" w:rsidP="00026613">
      <w:pPr>
        <w:jc w:val="center"/>
        <w:rPr>
          <w:rFonts w:cs="Arial"/>
        </w:rPr>
      </w:pPr>
      <w:r w:rsidRPr="001954E9">
        <w:rPr>
          <w:rFonts w:cs="Arial"/>
        </w:rPr>
        <w:t>En ejercicio de sus atribuciones constitucionales y legales, en especial las conferidas por la Ley 142 de 1994, y en desarrollo de los decretos 2253 de 1994 y 1260 de 2013, y</w:t>
      </w:r>
    </w:p>
    <w:p w14:paraId="58A2BC1E" w14:textId="77777777" w:rsidR="00102E06" w:rsidRPr="001954E9" w:rsidRDefault="00102E06" w:rsidP="00102E06">
      <w:pPr>
        <w:spacing w:before="600" w:after="600"/>
        <w:jc w:val="center"/>
        <w:rPr>
          <w:rFonts w:cs="Arial"/>
          <w:b/>
        </w:rPr>
      </w:pPr>
      <w:r w:rsidRPr="001954E9">
        <w:rPr>
          <w:rFonts w:cs="Arial"/>
          <w:b/>
          <w:spacing w:val="80"/>
        </w:rPr>
        <w:t>CONSIDERANDO QUE</w:t>
      </w:r>
      <w:r w:rsidRPr="001954E9">
        <w:rPr>
          <w:rFonts w:cs="Arial"/>
          <w:b/>
        </w:rPr>
        <w:t>:</w:t>
      </w:r>
    </w:p>
    <w:p w14:paraId="6636526B" w14:textId="77777777" w:rsidR="00BA56AD" w:rsidRPr="00112CA1" w:rsidRDefault="00BA56AD" w:rsidP="00BA56AD">
      <w:pPr>
        <w:pStyle w:val="Ttulo5"/>
        <w:tabs>
          <w:tab w:val="clear" w:pos="1080"/>
          <w:tab w:val="num" w:pos="851"/>
        </w:tabs>
        <w:ind w:left="567" w:hanging="567"/>
        <w:jc w:val="left"/>
      </w:pPr>
      <w:r w:rsidRPr="00112CA1">
        <w:t>ANTECEDENTES</w:t>
      </w:r>
    </w:p>
    <w:p w14:paraId="4D04C031" w14:textId="77777777" w:rsidR="00BA56AD" w:rsidRPr="006C0398" w:rsidRDefault="00BA56AD" w:rsidP="00BA56AD">
      <w:pPr>
        <w:rPr>
          <w:rFonts w:cs="Arial"/>
        </w:rPr>
      </w:pPr>
      <w:r>
        <w:rPr>
          <w:rFonts w:cs="Arial"/>
        </w:rPr>
        <w:t>M</w:t>
      </w:r>
      <w:r w:rsidRPr="006C0398">
        <w:rPr>
          <w:rFonts w:cs="Arial"/>
        </w:rPr>
        <w:t xml:space="preserve">ediante </w:t>
      </w:r>
      <w:r>
        <w:rPr>
          <w:rFonts w:cs="Arial"/>
        </w:rPr>
        <w:t xml:space="preserve">la </w:t>
      </w:r>
      <w:r w:rsidRPr="006C0398">
        <w:rPr>
          <w:rFonts w:cs="Arial"/>
        </w:rPr>
        <w:t>Resolución CREG 0</w:t>
      </w:r>
      <w:r>
        <w:rPr>
          <w:rFonts w:cs="Arial"/>
        </w:rPr>
        <w:t>05</w:t>
      </w:r>
      <w:r w:rsidRPr="006C0398">
        <w:rPr>
          <w:rFonts w:cs="Arial"/>
        </w:rPr>
        <w:t xml:space="preserve"> de 201</w:t>
      </w:r>
      <w:r>
        <w:rPr>
          <w:rFonts w:cs="Arial"/>
        </w:rPr>
        <w:t>9</w:t>
      </w:r>
      <w:r w:rsidRPr="006C0398">
        <w:rPr>
          <w:rFonts w:cs="Arial"/>
        </w:rPr>
        <w:t xml:space="preserve"> se aprob</w:t>
      </w:r>
      <w:r>
        <w:rPr>
          <w:rFonts w:cs="Arial"/>
        </w:rPr>
        <w:t>ó</w:t>
      </w:r>
      <w:r w:rsidRPr="006C0398">
        <w:rPr>
          <w:rFonts w:cs="Arial"/>
        </w:rPr>
        <w:t xml:space="preserve"> el </w:t>
      </w:r>
      <w:r w:rsidRPr="001954E9">
        <w:rPr>
          <w:rFonts w:cs="Arial"/>
          <w:lang w:val="es-ES_tradnl"/>
        </w:rPr>
        <w:t xml:space="preserve">cargo de distribución </w:t>
      </w:r>
      <w:r w:rsidRPr="00341E8F">
        <w:rPr>
          <w:rFonts w:cs="Arial"/>
          <w:lang w:val="es-ES_tradnl"/>
        </w:rPr>
        <w:t xml:space="preserve">por uso del sistema de distribución de gas combustible por redes de tubería para el mercado relevante </w:t>
      </w:r>
      <w:r>
        <w:rPr>
          <w:rFonts w:cs="Arial"/>
          <w:lang w:val="es-ES_tradnl"/>
        </w:rPr>
        <w:t xml:space="preserve">conformado </w:t>
      </w:r>
      <w:r w:rsidRPr="00241B5F">
        <w:rPr>
          <w:rFonts w:cs="Arial"/>
          <w:lang w:val="es-ES_tradnl"/>
        </w:rPr>
        <w:t xml:space="preserve">por </w:t>
      </w:r>
      <w:r>
        <w:rPr>
          <w:rFonts w:cs="Arial"/>
          <w:lang w:val="es-ES_tradnl"/>
        </w:rPr>
        <w:t xml:space="preserve">los </w:t>
      </w:r>
      <w:r w:rsidRPr="00241B5F">
        <w:rPr>
          <w:rFonts w:cs="Arial"/>
          <w:lang w:val="es-ES_tradnl"/>
        </w:rPr>
        <w:t>municipio</w:t>
      </w:r>
      <w:r>
        <w:rPr>
          <w:rFonts w:cs="Arial"/>
          <w:lang w:val="es-ES_tradnl"/>
        </w:rPr>
        <w:t>s</w:t>
      </w:r>
      <w:r w:rsidRPr="00241B5F">
        <w:rPr>
          <w:rFonts w:cs="Arial"/>
          <w:lang w:val="es-ES_tradnl"/>
        </w:rPr>
        <w:t xml:space="preserve"> de </w:t>
      </w:r>
      <w:r>
        <w:rPr>
          <w:rFonts w:cs="Arial"/>
          <w:lang w:val="es-ES_tradnl"/>
        </w:rPr>
        <w:t xml:space="preserve">Belén de los Andaquies, Montañita, Morelia, Solita, Valparaíso y Albania en el </w:t>
      </w:r>
      <w:r w:rsidRPr="00241B5F">
        <w:rPr>
          <w:rFonts w:cs="Arial"/>
          <w:lang w:val="es-ES_tradnl"/>
        </w:rPr>
        <w:t>departamento de</w:t>
      </w:r>
      <w:r>
        <w:rPr>
          <w:rFonts w:cs="Arial"/>
          <w:lang w:val="es-ES_tradnl"/>
        </w:rPr>
        <w:t>l Caquetá</w:t>
      </w:r>
      <w:r w:rsidRPr="00241B5F">
        <w:rPr>
          <w:rFonts w:cs="Arial"/>
          <w:lang w:val="es-ES_tradnl"/>
        </w:rPr>
        <w:t>, según solicitud tarifaria presentada por la</w:t>
      </w:r>
      <w:r>
        <w:rPr>
          <w:rFonts w:cs="Arial"/>
          <w:lang w:val="es-ES_tradnl"/>
        </w:rPr>
        <w:t>s</w:t>
      </w:r>
      <w:r w:rsidRPr="00241B5F">
        <w:rPr>
          <w:rFonts w:cs="Arial"/>
          <w:lang w:val="es-ES_tradnl"/>
        </w:rPr>
        <w:t xml:space="preserve"> empresa</w:t>
      </w:r>
      <w:r>
        <w:rPr>
          <w:rFonts w:cs="Arial"/>
          <w:lang w:val="es-ES_tradnl"/>
        </w:rPr>
        <w:t>s</w:t>
      </w:r>
      <w:r w:rsidRPr="00241B5F">
        <w:rPr>
          <w:rFonts w:cs="Arial"/>
          <w:lang w:val="es-ES_tradnl"/>
        </w:rPr>
        <w:t xml:space="preserve"> </w:t>
      </w:r>
      <w:r>
        <w:rPr>
          <w:rFonts w:cs="Arial"/>
          <w:lang w:val="es-ES_tradnl"/>
        </w:rPr>
        <w:t xml:space="preserve">ALCANOS DE COLOMBIA </w:t>
      </w:r>
      <w:r w:rsidRPr="00241B5F">
        <w:rPr>
          <w:rFonts w:cs="Arial"/>
          <w:lang w:val="es-ES_tradnl"/>
        </w:rPr>
        <w:t>S.A</w:t>
      </w:r>
      <w:r>
        <w:rPr>
          <w:rFonts w:cs="Arial"/>
          <w:lang w:val="es-ES_tradnl"/>
        </w:rPr>
        <w:t>.</w:t>
      </w:r>
      <w:r w:rsidRPr="00241B5F">
        <w:rPr>
          <w:rFonts w:cs="Arial"/>
          <w:lang w:val="es-ES_tradnl"/>
        </w:rPr>
        <w:t xml:space="preserve"> E.S.P</w:t>
      </w:r>
      <w:r>
        <w:rPr>
          <w:rFonts w:cs="Arial"/>
          <w:lang w:val="es-ES_tradnl"/>
        </w:rPr>
        <w:t>. y C.S.P. SOSTENIBLES S.A. E.S.P.</w:t>
      </w:r>
    </w:p>
    <w:p w14:paraId="4A4DF22A" w14:textId="77777777" w:rsidR="00BA56AD" w:rsidRDefault="00BA56AD" w:rsidP="00BA56AD">
      <w:pPr>
        <w:rPr>
          <w:rFonts w:cs="Arial"/>
          <w:bCs/>
          <w:szCs w:val="20"/>
          <w:lang w:val="es-CO"/>
        </w:rPr>
      </w:pPr>
    </w:p>
    <w:p w14:paraId="2B501159" w14:textId="77777777" w:rsidR="00BA56AD" w:rsidRDefault="00BA56AD" w:rsidP="00BA56AD">
      <w:r w:rsidRPr="00A7034C">
        <w:t>La Resolución CREG 0</w:t>
      </w:r>
      <w:r>
        <w:t>05</w:t>
      </w:r>
      <w:r w:rsidRPr="00A7034C">
        <w:t xml:space="preserve"> de 201</w:t>
      </w:r>
      <w:r>
        <w:t>9</w:t>
      </w:r>
      <w:r w:rsidRPr="00A7034C">
        <w:t xml:space="preserve"> fue notificada por correo electrónico a la empresa </w:t>
      </w:r>
      <w:r>
        <w:t xml:space="preserve">ALCANOS DE COLOMBIA </w:t>
      </w:r>
      <w:r w:rsidRPr="00A7034C">
        <w:t>S.A. E.S.P. el día 1</w:t>
      </w:r>
      <w:r>
        <w:t>3</w:t>
      </w:r>
      <w:r w:rsidRPr="00A7034C">
        <w:t xml:space="preserve"> de marzo de 201</w:t>
      </w:r>
      <w:r>
        <w:t>9</w:t>
      </w:r>
      <w:r w:rsidRPr="00A7034C">
        <w:t>, tal como consta en el radicado CREG I-201</w:t>
      </w:r>
      <w:r>
        <w:t>9</w:t>
      </w:r>
      <w:r w:rsidRPr="00A7034C">
        <w:t>-00</w:t>
      </w:r>
      <w:r>
        <w:t>2113</w:t>
      </w:r>
      <w:r w:rsidRPr="00A7034C">
        <w:t xml:space="preserve">. </w:t>
      </w:r>
    </w:p>
    <w:p w14:paraId="39B63FE0" w14:textId="77777777" w:rsidR="00BA56AD" w:rsidRDefault="00BA56AD" w:rsidP="00BA56AD"/>
    <w:p w14:paraId="1FBD453A" w14:textId="77777777" w:rsidR="00BA56AD" w:rsidRDefault="00BA56AD" w:rsidP="00BA56AD">
      <w:r w:rsidRPr="00A7034C">
        <w:t xml:space="preserve">De igual forma, </w:t>
      </w:r>
      <w:r>
        <w:t xml:space="preserve">el 13 de marzo de 2019, </w:t>
      </w:r>
      <w:r w:rsidRPr="00A7034C">
        <w:t xml:space="preserve">se </w:t>
      </w:r>
      <w:r>
        <w:t xml:space="preserve">notificó personalmente el apoderado de la empresa </w:t>
      </w:r>
      <w:r>
        <w:rPr>
          <w:rFonts w:cs="Arial"/>
          <w:lang w:val="es-ES_tradnl"/>
        </w:rPr>
        <w:t>C.S.P. SOSTENIBLES S.A. E.S.P.</w:t>
      </w:r>
      <w:r>
        <w:t xml:space="preserve"> del contenido de la Resolución CREG 005 de 2019, </w:t>
      </w:r>
      <w:r w:rsidRPr="00A7034C">
        <w:t>tal como consta en el radicado CREG I-201</w:t>
      </w:r>
      <w:r>
        <w:t>9</w:t>
      </w:r>
      <w:r w:rsidRPr="00A7034C">
        <w:t>-00</w:t>
      </w:r>
      <w:r>
        <w:t>2115</w:t>
      </w:r>
      <w:r w:rsidRPr="00A7034C">
        <w:t xml:space="preserve">. </w:t>
      </w:r>
    </w:p>
    <w:p w14:paraId="3B15752C" w14:textId="77777777" w:rsidR="00BA56AD" w:rsidRPr="00720CF6" w:rsidRDefault="00BA56AD" w:rsidP="00BA56AD">
      <w:pPr>
        <w:adjustRightInd w:val="0"/>
        <w:spacing w:before="240" w:after="240"/>
        <w:ind w:right="23"/>
      </w:pPr>
      <w:r w:rsidRPr="009242C6">
        <w:t>Surtido el trámite de notificación de la referida decisión y estando dentro del término legal,</w:t>
      </w:r>
      <w:r>
        <w:t xml:space="preserve"> el representante legal </w:t>
      </w:r>
      <w:r w:rsidRPr="009242C6">
        <w:t xml:space="preserve">de </w:t>
      </w:r>
      <w:r>
        <w:rPr>
          <w:rFonts w:cs="Arial"/>
          <w:lang w:val="es-ES_tradnl"/>
        </w:rPr>
        <w:t>C.S.P. SOSTENIBLES S.A. E.S.P.</w:t>
      </w:r>
      <w:r w:rsidRPr="009242C6">
        <w:t xml:space="preserve"> interpuso recurso de reposición contra la mencionada </w:t>
      </w:r>
      <w:r>
        <w:t>r</w:t>
      </w:r>
      <w:r w:rsidRPr="009242C6">
        <w:t>esolución el día 1</w:t>
      </w:r>
      <w:r>
        <w:t>9</w:t>
      </w:r>
      <w:r w:rsidRPr="009242C6">
        <w:t xml:space="preserve"> de </w:t>
      </w:r>
      <w:r>
        <w:t>marzo</w:t>
      </w:r>
      <w:r w:rsidRPr="009242C6">
        <w:t xml:space="preserve"> de 201</w:t>
      </w:r>
      <w:r>
        <w:t>9</w:t>
      </w:r>
      <w:r w:rsidRPr="00720CF6">
        <w:t xml:space="preserve"> mediante radicado </w:t>
      </w:r>
      <w:r>
        <w:t xml:space="preserve">CREG </w:t>
      </w:r>
      <w:r w:rsidRPr="009242C6">
        <w:t>E-201</w:t>
      </w:r>
      <w:r>
        <w:t>9</w:t>
      </w:r>
      <w:r w:rsidRPr="009242C6">
        <w:t>-003</w:t>
      </w:r>
      <w:r>
        <w:t>374</w:t>
      </w:r>
      <w:r w:rsidRPr="009242C6">
        <w:t>, exponiendo las argumentaciones que consideró pertinentes.</w:t>
      </w:r>
    </w:p>
    <w:p w14:paraId="413CEE2E" w14:textId="77777777" w:rsidR="00BA56AD" w:rsidRPr="00720CF6" w:rsidRDefault="00BA56AD" w:rsidP="00BA56AD">
      <w:pPr>
        <w:adjustRightInd w:val="0"/>
        <w:spacing w:before="240" w:after="240"/>
        <w:ind w:right="23"/>
      </w:pPr>
      <w:r>
        <w:lastRenderedPageBreak/>
        <w:t xml:space="preserve">Igualmente, </w:t>
      </w:r>
      <w:r w:rsidRPr="009242C6">
        <w:t xml:space="preserve">la apoderada general de ALCANOS DE COLOMBIA S.A. E.S.P. interpuso recurso de reposición contra la mencionada resolución el día </w:t>
      </w:r>
      <w:r>
        <w:t>20</w:t>
      </w:r>
      <w:r w:rsidRPr="009242C6">
        <w:t xml:space="preserve"> de</w:t>
      </w:r>
      <w:r>
        <w:t xml:space="preserve"> marzo</w:t>
      </w:r>
      <w:r w:rsidRPr="009242C6">
        <w:t xml:space="preserve"> de 201</w:t>
      </w:r>
      <w:r>
        <w:t>9</w:t>
      </w:r>
      <w:r w:rsidRPr="00720CF6">
        <w:t xml:space="preserve"> mediante </w:t>
      </w:r>
      <w:r>
        <w:t xml:space="preserve">radicados CREG </w:t>
      </w:r>
      <w:r w:rsidRPr="009242C6">
        <w:t>E-201</w:t>
      </w:r>
      <w:r>
        <w:t>9-</w:t>
      </w:r>
      <w:r w:rsidRPr="009242C6">
        <w:t>003</w:t>
      </w:r>
      <w:r>
        <w:t>457, E-2019-003458, E-2019-003460 y E-2019-003468</w:t>
      </w:r>
      <w:r w:rsidRPr="009242C6">
        <w:t>, exponiendo las argumentaciones que consideró pertinentes.</w:t>
      </w:r>
    </w:p>
    <w:p w14:paraId="598A2257" w14:textId="77777777" w:rsidR="00BA56AD" w:rsidRPr="00913B32" w:rsidRDefault="00BA56AD" w:rsidP="00BA56AD">
      <w:pPr>
        <w:pStyle w:val="Ttulo5"/>
        <w:tabs>
          <w:tab w:val="clear" w:pos="1080"/>
          <w:tab w:val="num" w:pos="567"/>
        </w:tabs>
        <w:ind w:left="567" w:hanging="567"/>
        <w:rPr>
          <w:sz w:val="22"/>
          <w:szCs w:val="22"/>
          <w:lang w:eastAsia="es-ES_tradnl"/>
        </w:rPr>
      </w:pPr>
      <w:r w:rsidRPr="00913B32">
        <w:rPr>
          <w:sz w:val="22"/>
          <w:szCs w:val="22"/>
          <w:lang w:eastAsia="es-ES_tradnl"/>
        </w:rPr>
        <w:t>CONSIDERACIONES DEL RECURRENTE</w:t>
      </w:r>
    </w:p>
    <w:p w14:paraId="23545653" w14:textId="77777777" w:rsidR="00BA56AD" w:rsidRDefault="00BA56AD" w:rsidP="00BA56AD">
      <w:pPr>
        <w:suppressAutoHyphens/>
        <w:ind w:right="222"/>
      </w:pPr>
      <w:r>
        <w:t xml:space="preserve">A continuación, se transcriben los motivos que sustentan los recursos interpuestos por las empresas ALCANOS DE COLOMBIA S.A. E.S.P. y </w:t>
      </w:r>
      <w:r>
        <w:rPr>
          <w:rFonts w:cs="Arial"/>
          <w:lang w:val="es-ES_tradnl"/>
        </w:rPr>
        <w:t>C.S.P. SOSTENIBLES S.A. E.S.P.</w:t>
      </w:r>
      <w:r>
        <w:t xml:space="preserve"> </w:t>
      </w:r>
    </w:p>
    <w:p w14:paraId="75806526" w14:textId="77777777" w:rsidR="00BA56AD" w:rsidRDefault="00BA56AD" w:rsidP="00BA56AD">
      <w:pPr>
        <w:suppressAutoHyphens/>
        <w:ind w:right="222"/>
      </w:pPr>
    </w:p>
    <w:p w14:paraId="59B54915" w14:textId="77777777" w:rsidR="00BA56AD" w:rsidRPr="00514F99" w:rsidRDefault="00BA56AD" w:rsidP="00BA56AD">
      <w:pPr>
        <w:suppressAutoHyphens/>
        <w:ind w:right="222"/>
        <w:rPr>
          <w:b/>
        </w:rPr>
      </w:pPr>
      <w:r w:rsidRPr="00514F99">
        <w:rPr>
          <w:b/>
        </w:rPr>
        <w:t>2.</w:t>
      </w:r>
      <w:r>
        <w:rPr>
          <w:b/>
        </w:rPr>
        <w:t>1.</w:t>
      </w:r>
      <w:r w:rsidRPr="00514F99">
        <w:rPr>
          <w:b/>
        </w:rPr>
        <w:t xml:space="preserve"> </w:t>
      </w:r>
      <w:r>
        <w:rPr>
          <w:rFonts w:cs="Arial"/>
          <w:b/>
          <w:lang w:val="es-ES_tradnl"/>
        </w:rPr>
        <w:t>ALCANOS DE COLOMBIA</w:t>
      </w:r>
      <w:r w:rsidRPr="00514F99">
        <w:rPr>
          <w:rFonts w:cs="Arial"/>
          <w:b/>
          <w:lang w:val="es-ES_tradnl"/>
        </w:rPr>
        <w:t xml:space="preserve"> S.A. E.S.P.</w:t>
      </w:r>
    </w:p>
    <w:p w14:paraId="1AC18239"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0CAD8526"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77D9BE5F" w14:textId="77777777" w:rsidR="00BA56AD" w:rsidRPr="00981B56" w:rsidRDefault="00BA56AD" w:rsidP="00BA56AD">
      <w:pPr>
        <w:pStyle w:val="Style6"/>
        <w:shd w:val="clear" w:color="auto" w:fill="auto"/>
        <w:tabs>
          <w:tab w:val="left" w:pos="486"/>
        </w:tabs>
        <w:spacing w:before="0" w:after="0" w:line="240" w:lineRule="auto"/>
        <w:ind w:left="284" w:right="425" w:firstLine="0"/>
        <w:jc w:val="center"/>
        <w:rPr>
          <w:rStyle w:val="CharStyle7"/>
          <w:rFonts w:ascii="Bookman Old Style" w:hAnsi="Bookman Old Style"/>
          <w:i/>
          <w:sz w:val="22"/>
          <w:szCs w:val="20"/>
          <w:lang w:eastAsia="es-ES_tradnl"/>
        </w:rPr>
      </w:pPr>
      <w:r>
        <w:rPr>
          <w:rStyle w:val="CharStyle7"/>
          <w:rFonts w:ascii="Bookman Old Style" w:hAnsi="Bookman Old Style"/>
          <w:i/>
          <w:sz w:val="22"/>
          <w:szCs w:val="20"/>
          <w:lang w:eastAsia="es-ES_tradnl"/>
        </w:rPr>
        <w:t>“</w:t>
      </w:r>
      <w:r w:rsidRPr="007E6E47">
        <w:rPr>
          <w:rStyle w:val="CharStyle7"/>
          <w:rFonts w:ascii="Bookman Old Style" w:hAnsi="Bookman Old Style"/>
          <w:b/>
          <w:i/>
          <w:sz w:val="22"/>
          <w:szCs w:val="20"/>
          <w:lang w:eastAsia="es-ES_tradnl"/>
        </w:rPr>
        <w:t>3. HECHOS OBJETO DE RECURSO</w:t>
      </w:r>
    </w:p>
    <w:p w14:paraId="77692BDC" w14:textId="77777777" w:rsidR="00BA56AD" w:rsidRPr="00981B56"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i/>
          <w:sz w:val="22"/>
          <w:szCs w:val="20"/>
          <w:lang w:eastAsia="es-ES_tradnl"/>
        </w:rPr>
      </w:pPr>
    </w:p>
    <w:p w14:paraId="18C47FC0" w14:textId="77777777" w:rsidR="00BA56AD" w:rsidRPr="00981B56" w:rsidRDefault="00BA56AD" w:rsidP="00BA56AD">
      <w:pPr>
        <w:pStyle w:val="Style6"/>
        <w:shd w:val="clear" w:color="auto" w:fill="auto"/>
        <w:tabs>
          <w:tab w:val="left" w:pos="486"/>
        </w:tabs>
        <w:spacing w:before="0" w:after="0" w:line="240" w:lineRule="auto"/>
        <w:ind w:left="284" w:right="425" w:firstLine="0"/>
        <w:rPr>
          <w:rStyle w:val="CharStyle36"/>
          <w:rFonts w:ascii="Bookman Old Style" w:hAnsi="Bookman Old Style"/>
          <w:i/>
          <w:color w:val="000000"/>
          <w:sz w:val="22"/>
          <w:szCs w:val="20"/>
          <w:lang w:eastAsia="es-ES_tradnl"/>
        </w:rPr>
      </w:pPr>
      <w:r w:rsidRPr="00981B56">
        <w:rPr>
          <w:rStyle w:val="CharStyle36"/>
          <w:rFonts w:ascii="Bookman Old Style" w:hAnsi="Bookman Old Style"/>
          <w:i/>
          <w:color w:val="000000"/>
          <w:sz w:val="22"/>
          <w:szCs w:val="20"/>
          <w:lang w:eastAsia="es-ES_tradnl"/>
        </w:rPr>
        <w:t>3.1</w:t>
      </w:r>
      <w:r>
        <w:rPr>
          <w:rStyle w:val="CharStyle36"/>
          <w:rFonts w:ascii="Bookman Old Style" w:hAnsi="Bookman Old Style"/>
          <w:i/>
          <w:color w:val="000000"/>
          <w:sz w:val="22"/>
          <w:szCs w:val="20"/>
          <w:lang w:eastAsia="es-ES_tradnl"/>
        </w:rPr>
        <w:t>.</w:t>
      </w:r>
      <w:r w:rsidRPr="00981B56">
        <w:rPr>
          <w:rStyle w:val="CharStyle36"/>
          <w:rFonts w:ascii="Bookman Old Style" w:hAnsi="Bookman Old Style"/>
          <w:i/>
          <w:color w:val="000000"/>
          <w:sz w:val="22"/>
          <w:szCs w:val="20"/>
          <w:lang w:eastAsia="es-ES_tradnl"/>
        </w:rPr>
        <w:t xml:space="preserve"> Alcanos de Colombia S.A. E.S.P., solicitó y le fueron aprobados los cargos de distribución para el mercado relevante conformado por los Municipios de Belén de los Andaquies, Montañita, </w:t>
      </w:r>
      <w:r w:rsidRPr="00055B68">
        <w:rPr>
          <w:rStyle w:val="CharStyle36"/>
          <w:rFonts w:ascii="Bookman Old Style" w:hAnsi="Bookman Old Style"/>
          <w:i/>
          <w:color w:val="000000"/>
          <w:sz w:val="22"/>
          <w:szCs w:val="20"/>
          <w:lang w:eastAsia="en-US"/>
        </w:rPr>
        <w:t xml:space="preserve">Morelia, </w:t>
      </w:r>
      <w:r w:rsidRPr="00981B56">
        <w:rPr>
          <w:rStyle w:val="CharStyle36"/>
          <w:rFonts w:ascii="Bookman Old Style" w:hAnsi="Bookman Old Style"/>
          <w:i/>
          <w:color w:val="000000"/>
          <w:sz w:val="22"/>
          <w:szCs w:val="20"/>
          <w:lang w:eastAsia="es-ES_tradnl"/>
        </w:rPr>
        <w:t xml:space="preserve">Sólita, </w:t>
      </w:r>
      <w:r w:rsidRPr="00055B68">
        <w:rPr>
          <w:rStyle w:val="CharStyle36"/>
          <w:rFonts w:ascii="Bookman Old Style" w:hAnsi="Bookman Old Style"/>
          <w:i/>
          <w:color w:val="000000"/>
          <w:sz w:val="22"/>
          <w:szCs w:val="20"/>
          <w:lang w:eastAsia="en-US"/>
        </w:rPr>
        <w:t xml:space="preserve">Valparaiso </w:t>
      </w:r>
      <w:r w:rsidRPr="00981B56">
        <w:rPr>
          <w:rStyle w:val="CharStyle36"/>
          <w:rFonts w:ascii="Bookman Old Style" w:hAnsi="Bookman Old Style"/>
          <w:i/>
          <w:color w:val="000000"/>
          <w:sz w:val="22"/>
          <w:szCs w:val="20"/>
          <w:lang w:eastAsia="es-ES_tradnl"/>
        </w:rPr>
        <w:t>y Albania en el Departamento de Caquetá.</w:t>
      </w:r>
    </w:p>
    <w:p w14:paraId="4565A0B9" w14:textId="77777777" w:rsidR="00BA56AD" w:rsidRPr="00981B56" w:rsidRDefault="00BA56AD" w:rsidP="00BA56AD">
      <w:pPr>
        <w:pStyle w:val="Style6"/>
        <w:shd w:val="clear" w:color="auto" w:fill="auto"/>
        <w:tabs>
          <w:tab w:val="left" w:pos="486"/>
        </w:tabs>
        <w:spacing w:before="0" w:after="0" w:line="240" w:lineRule="auto"/>
        <w:ind w:left="284" w:right="425" w:firstLine="0"/>
        <w:rPr>
          <w:rStyle w:val="CharStyle36"/>
          <w:rFonts w:ascii="Bookman Old Style" w:hAnsi="Bookman Old Style"/>
          <w:i/>
          <w:color w:val="000000"/>
          <w:sz w:val="22"/>
          <w:szCs w:val="20"/>
          <w:lang w:eastAsia="es-ES_tradnl"/>
        </w:rPr>
      </w:pPr>
    </w:p>
    <w:p w14:paraId="66D3A6FB" w14:textId="77777777" w:rsidR="00BA56AD" w:rsidRPr="00981B56" w:rsidRDefault="00BA56AD" w:rsidP="00BA56AD">
      <w:pPr>
        <w:pStyle w:val="Style6"/>
        <w:shd w:val="clear" w:color="auto" w:fill="auto"/>
        <w:tabs>
          <w:tab w:val="left" w:pos="486"/>
        </w:tabs>
        <w:spacing w:before="0" w:after="0" w:line="240" w:lineRule="auto"/>
        <w:ind w:left="284" w:right="425" w:firstLine="0"/>
        <w:rPr>
          <w:rStyle w:val="CharStyle36"/>
          <w:rFonts w:ascii="Bookman Old Style" w:hAnsi="Bookman Old Style"/>
          <w:i/>
          <w:color w:val="000000"/>
          <w:sz w:val="22"/>
          <w:szCs w:val="20"/>
          <w:lang w:eastAsia="es-ES_tradnl"/>
        </w:rPr>
      </w:pPr>
      <w:r w:rsidRPr="00981B56">
        <w:rPr>
          <w:rStyle w:val="CharStyle36"/>
          <w:rFonts w:ascii="Bookman Old Style" w:hAnsi="Bookman Old Style"/>
          <w:i/>
          <w:color w:val="000000"/>
          <w:sz w:val="22"/>
          <w:szCs w:val="20"/>
          <w:lang w:eastAsia="es-ES_tradnl"/>
        </w:rPr>
        <w:t>3.2</w:t>
      </w:r>
      <w:r>
        <w:rPr>
          <w:rStyle w:val="CharStyle36"/>
          <w:rFonts w:ascii="Bookman Old Style" w:hAnsi="Bookman Old Style"/>
          <w:i/>
          <w:color w:val="000000"/>
          <w:sz w:val="22"/>
          <w:szCs w:val="20"/>
          <w:lang w:eastAsia="es-ES_tradnl"/>
        </w:rPr>
        <w:t>.</w:t>
      </w:r>
      <w:r w:rsidRPr="00981B56">
        <w:rPr>
          <w:rStyle w:val="CharStyle36"/>
          <w:rFonts w:ascii="Bookman Old Style" w:hAnsi="Bookman Old Style"/>
          <w:i/>
          <w:color w:val="000000"/>
          <w:sz w:val="22"/>
          <w:szCs w:val="20"/>
          <w:lang w:eastAsia="es-ES_tradnl"/>
        </w:rPr>
        <w:t xml:space="preserve"> En el numeral 3.1 de</w:t>
      </w:r>
      <w:r>
        <w:rPr>
          <w:rStyle w:val="CharStyle36"/>
          <w:rFonts w:ascii="Bookman Old Style" w:hAnsi="Bookman Old Style"/>
          <w:i/>
          <w:color w:val="000000"/>
          <w:sz w:val="22"/>
          <w:szCs w:val="20"/>
          <w:lang w:eastAsia="es-ES_tradnl"/>
        </w:rPr>
        <w:t>l</w:t>
      </w:r>
      <w:r w:rsidRPr="00981B56">
        <w:rPr>
          <w:rStyle w:val="CharStyle36"/>
          <w:rFonts w:ascii="Bookman Old Style" w:hAnsi="Bookman Old Style"/>
          <w:i/>
          <w:color w:val="000000"/>
          <w:sz w:val="22"/>
          <w:szCs w:val="20"/>
          <w:lang w:eastAsia="es-ES_tradnl"/>
        </w:rPr>
        <w:t xml:space="preserve"> artículo 3 denominado Inversión Base, se indica que el valor que se tuvo en cuenta para el (INPI) fue de $5.137.204.191 a pesos de </w:t>
      </w:r>
      <w:r w:rsidRPr="00981B56">
        <w:rPr>
          <w:rStyle w:val="CharStyle77"/>
          <w:rFonts w:ascii="Bookman Old Style" w:hAnsi="Bookman Old Style"/>
          <w:i/>
          <w:color w:val="000000"/>
          <w:sz w:val="22"/>
          <w:szCs w:val="20"/>
          <w:lang w:eastAsia="es-ES_tradnl"/>
        </w:rPr>
        <w:t>2017</w:t>
      </w:r>
      <w:r w:rsidRPr="00981B56">
        <w:rPr>
          <w:rStyle w:val="CharStyle37"/>
          <w:rFonts w:ascii="Bookman Old Style" w:hAnsi="Bookman Old Style"/>
          <w:i/>
          <w:color w:val="000000"/>
          <w:sz w:val="22"/>
          <w:szCs w:val="20"/>
          <w:lang w:eastAsia="es-ES_tradnl"/>
        </w:rPr>
        <w:t xml:space="preserve"> </w:t>
      </w:r>
      <w:r w:rsidRPr="00981B56">
        <w:rPr>
          <w:rStyle w:val="CharStyle36"/>
          <w:rFonts w:ascii="Bookman Old Style" w:hAnsi="Bookman Old Style"/>
          <w:i/>
          <w:color w:val="000000"/>
          <w:sz w:val="22"/>
          <w:szCs w:val="20"/>
          <w:lang w:eastAsia="es-ES_tradnl"/>
        </w:rPr>
        <w:t xml:space="preserve">($ del 31 de diciembre de </w:t>
      </w:r>
      <w:r w:rsidRPr="00981B56">
        <w:rPr>
          <w:rStyle w:val="CharStyle77"/>
          <w:rFonts w:ascii="Bookman Old Style" w:hAnsi="Bookman Old Style"/>
          <w:i/>
          <w:color w:val="000000"/>
          <w:sz w:val="22"/>
          <w:szCs w:val="20"/>
          <w:lang w:eastAsia="es-ES_tradnl"/>
        </w:rPr>
        <w:t>2017</w:t>
      </w:r>
      <w:r w:rsidRPr="00981B56">
        <w:rPr>
          <w:rStyle w:val="CharStyle77"/>
          <w:rFonts w:ascii="Bookman Old Style" w:hAnsi="Bookman Old Style"/>
          <w:b w:val="0"/>
          <w:i/>
          <w:color w:val="000000"/>
          <w:sz w:val="22"/>
          <w:szCs w:val="20"/>
          <w:u w:val="none"/>
          <w:lang w:eastAsia="es-ES_tradnl"/>
        </w:rPr>
        <w:t>)</w:t>
      </w:r>
      <w:r w:rsidRPr="00981B56">
        <w:rPr>
          <w:rStyle w:val="CharStyle37"/>
          <w:rFonts w:ascii="Bookman Old Style" w:hAnsi="Bookman Old Style"/>
          <w:i/>
          <w:color w:val="000000"/>
          <w:sz w:val="22"/>
          <w:szCs w:val="20"/>
          <w:u w:val="none"/>
          <w:lang w:eastAsia="es-ES_tradnl"/>
        </w:rPr>
        <w:t xml:space="preserve"> </w:t>
      </w:r>
      <w:r w:rsidRPr="00981B56">
        <w:rPr>
          <w:rStyle w:val="CharStyle36"/>
          <w:rFonts w:ascii="Bookman Old Style" w:hAnsi="Bookman Old Style"/>
          <w:i/>
          <w:color w:val="000000"/>
          <w:sz w:val="22"/>
          <w:szCs w:val="20"/>
          <w:lang w:eastAsia="es-ES_tradnl"/>
        </w:rPr>
        <w:t xml:space="preserve">no obstante, al actualizar el valor de las unidades constructivas, conforme a las descritas en el Anexo 8 de la resolución CREG 2002 y que se encuentran a pesos del año 2012, con el IPP, podemos evidenciar que esta cifra realmente corresponde es a precios de </w:t>
      </w:r>
      <w:r>
        <w:rPr>
          <w:rStyle w:val="CharStyle36"/>
          <w:rFonts w:ascii="Bookman Old Style" w:hAnsi="Bookman Old Style"/>
          <w:i/>
          <w:color w:val="000000"/>
          <w:sz w:val="22"/>
          <w:szCs w:val="20"/>
          <w:lang w:eastAsia="es-ES_tradnl"/>
        </w:rPr>
        <w:t>D</w:t>
      </w:r>
      <w:r w:rsidRPr="00981B56">
        <w:rPr>
          <w:rStyle w:val="CharStyle36"/>
          <w:rFonts w:ascii="Bookman Old Style" w:hAnsi="Bookman Old Style"/>
          <w:i/>
          <w:color w:val="000000"/>
          <w:sz w:val="22"/>
          <w:szCs w:val="20"/>
          <w:lang w:eastAsia="es-ES_tradnl"/>
        </w:rPr>
        <w:t>iciembre de 2014 y no de 2017. A pesos de diciembre de 2017, el valor de estas unidades constructivas asciende es a la suma de $5.826.231.465</w:t>
      </w:r>
    </w:p>
    <w:p w14:paraId="60B9D9DA" w14:textId="77777777" w:rsidR="00BA56AD" w:rsidRDefault="00BA56AD" w:rsidP="00BA56AD">
      <w:pPr>
        <w:pStyle w:val="Style6"/>
        <w:shd w:val="clear" w:color="auto" w:fill="auto"/>
        <w:tabs>
          <w:tab w:val="left" w:pos="486"/>
        </w:tabs>
        <w:spacing w:before="0" w:after="0" w:line="240" w:lineRule="auto"/>
        <w:ind w:left="284" w:right="425" w:firstLine="0"/>
        <w:rPr>
          <w:rStyle w:val="CharStyle36"/>
          <w:color w:val="000000"/>
          <w:lang w:eastAsia="es-ES_tradnl"/>
        </w:rPr>
      </w:pPr>
    </w:p>
    <w:p w14:paraId="54E764E6" w14:textId="77777777" w:rsidR="00BA56AD" w:rsidRPr="00981B56" w:rsidRDefault="00BA56AD" w:rsidP="00BA56AD">
      <w:pPr>
        <w:pStyle w:val="Style6"/>
        <w:shd w:val="clear" w:color="auto" w:fill="auto"/>
        <w:tabs>
          <w:tab w:val="left" w:pos="486"/>
        </w:tabs>
        <w:spacing w:before="0" w:after="0" w:line="240" w:lineRule="auto"/>
        <w:ind w:left="284" w:right="425" w:firstLine="0"/>
        <w:rPr>
          <w:rFonts w:ascii="Bookman Old Style" w:hAnsi="Bookman Old Style"/>
          <w:sz w:val="22"/>
          <w:szCs w:val="22"/>
        </w:rPr>
      </w:pPr>
      <w:r w:rsidRPr="00981B56">
        <w:rPr>
          <w:rStyle w:val="CharStyle55"/>
          <w:rFonts w:ascii="Bookman Old Style" w:hAnsi="Bookman Old Style"/>
          <w:color w:val="000000"/>
          <w:sz w:val="22"/>
          <w:szCs w:val="22"/>
          <w:lang w:eastAsia="es-ES_tradnl"/>
        </w:rPr>
        <w:t>Esta misma situación se presenta frente a</w:t>
      </w:r>
      <w:r>
        <w:rPr>
          <w:rStyle w:val="CharStyle55"/>
          <w:rFonts w:ascii="Bookman Old Style" w:hAnsi="Bookman Old Style"/>
          <w:color w:val="000000"/>
          <w:sz w:val="22"/>
          <w:szCs w:val="22"/>
          <w:lang w:eastAsia="es-ES_tradnl"/>
        </w:rPr>
        <w:t>l</w:t>
      </w:r>
      <w:r w:rsidRPr="00981B56">
        <w:rPr>
          <w:rStyle w:val="CharStyle55"/>
          <w:rFonts w:ascii="Bookman Old Style" w:hAnsi="Bookman Old Style"/>
          <w:color w:val="000000"/>
          <w:sz w:val="22"/>
          <w:szCs w:val="22"/>
          <w:lang w:eastAsia="es-ES_tradnl"/>
        </w:rPr>
        <w:t xml:space="preserve"> cálculo del (</w:t>
      </w:r>
      <w:r>
        <w:rPr>
          <w:rStyle w:val="CharStyle55"/>
          <w:rFonts w:ascii="Bookman Old Style" w:hAnsi="Bookman Old Style"/>
          <w:color w:val="000000"/>
          <w:sz w:val="22"/>
          <w:szCs w:val="22"/>
          <w:lang w:eastAsia="es-ES_tradnl"/>
        </w:rPr>
        <w:t>i</w:t>
      </w:r>
      <w:r w:rsidRPr="00981B56">
        <w:rPr>
          <w:rStyle w:val="CharStyle55"/>
          <w:rFonts w:ascii="Bookman Old Style" w:hAnsi="Bookman Old Style"/>
          <w:color w:val="000000"/>
          <w:sz w:val="22"/>
          <w:szCs w:val="22"/>
          <w:lang w:eastAsia="es-ES_tradnl"/>
        </w:rPr>
        <w:t xml:space="preserve">i) Valor de Otros Activos, (iii) </w:t>
      </w:r>
      <w:r w:rsidRPr="00055B68">
        <w:rPr>
          <w:rStyle w:val="CharStyle55"/>
          <w:rFonts w:ascii="Bookman Old Style" w:hAnsi="Bookman Old Style"/>
          <w:color w:val="000000"/>
          <w:sz w:val="22"/>
          <w:szCs w:val="22"/>
          <w:lang w:eastAsia="en-US"/>
        </w:rPr>
        <w:t xml:space="preserve">BRAN </w:t>
      </w:r>
      <w:r w:rsidRPr="00981B56">
        <w:rPr>
          <w:rStyle w:val="CharStyle55"/>
          <w:rFonts w:ascii="Bookman Old Style" w:hAnsi="Bookman Old Style"/>
          <w:color w:val="000000"/>
          <w:sz w:val="22"/>
          <w:szCs w:val="22"/>
          <w:lang w:eastAsia="es-ES_tradnl"/>
        </w:rPr>
        <w:t>para cálculo de AO&amp;M para AOM</w:t>
      </w:r>
      <w:r w:rsidRPr="00981B56">
        <w:rPr>
          <w:rStyle w:val="CharStyle55"/>
          <w:rFonts w:ascii="Bookman Old Style" w:hAnsi="Bookman Old Style"/>
          <w:color w:val="000000"/>
          <w:sz w:val="22"/>
          <w:szCs w:val="22"/>
          <w:vertAlign w:val="subscript"/>
          <w:lang w:eastAsia="es-ES_tradnl"/>
        </w:rPr>
        <w:t>max</w:t>
      </w:r>
      <w:r>
        <w:rPr>
          <w:rStyle w:val="CharStyle55"/>
          <w:rFonts w:ascii="Bookman Old Style" w:hAnsi="Bookman Old Style"/>
          <w:color w:val="000000"/>
          <w:sz w:val="22"/>
          <w:szCs w:val="22"/>
          <w:vertAlign w:val="subscript"/>
          <w:lang w:eastAsia="es-ES_tradnl"/>
        </w:rPr>
        <w:t xml:space="preserve"> reconocer</w:t>
      </w:r>
      <w:r>
        <w:rPr>
          <w:rStyle w:val="CharStyle55"/>
          <w:rFonts w:ascii="Bookman Old Style" w:hAnsi="Bookman Old Style"/>
          <w:color w:val="000000"/>
          <w:sz w:val="22"/>
          <w:szCs w:val="22"/>
          <w:lang w:eastAsia="es-ES_tradnl"/>
        </w:rPr>
        <w:t xml:space="preserve">, </w:t>
      </w:r>
      <w:r w:rsidRPr="00981B56">
        <w:rPr>
          <w:rStyle w:val="CharStyle55"/>
          <w:rFonts w:ascii="Bookman Old Style" w:hAnsi="Bookman Old Style"/>
          <w:color w:val="000000"/>
          <w:sz w:val="22"/>
          <w:szCs w:val="22"/>
          <w:lang w:eastAsia="es-ES_tradnl"/>
        </w:rPr>
        <w:t xml:space="preserve">(iv) </w:t>
      </w:r>
      <w:r w:rsidRPr="00055B68">
        <w:rPr>
          <w:rStyle w:val="CharStyle55"/>
          <w:rFonts w:ascii="Bookman Old Style" w:hAnsi="Bookman Old Style"/>
          <w:color w:val="000000"/>
          <w:sz w:val="22"/>
          <w:szCs w:val="22"/>
          <w:lang w:eastAsia="en-US"/>
        </w:rPr>
        <w:t xml:space="preserve">BRAN </w:t>
      </w:r>
      <w:r w:rsidRPr="00981B56">
        <w:rPr>
          <w:rStyle w:val="CharStyle55"/>
          <w:rFonts w:ascii="Bookman Old Style" w:hAnsi="Bookman Old Style"/>
          <w:color w:val="000000"/>
          <w:sz w:val="22"/>
          <w:szCs w:val="22"/>
          <w:lang w:eastAsia="es-ES_tradnl"/>
        </w:rPr>
        <w:t xml:space="preserve">para cálculo de AO&amp;M para </w:t>
      </w:r>
      <w:r>
        <w:rPr>
          <w:rStyle w:val="CharStyle55"/>
          <w:rFonts w:ascii="Bookman Old Style" w:hAnsi="Bookman Old Style"/>
          <w:color w:val="000000"/>
          <w:sz w:val="22"/>
          <w:szCs w:val="22"/>
          <w:lang w:eastAsia="es-ES_tradnl"/>
        </w:rPr>
        <w:t>AOMr/BRAN</w:t>
      </w:r>
    </w:p>
    <w:p w14:paraId="4C16AA30"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1C8BDD17" w14:textId="77777777" w:rsidR="00BA56AD" w:rsidRPr="00981B56" w:rsidRDefault="00BA56AD" w:rsidP="00BA56AD">
      <w:pPr>
        <w:pStyle w:val="Style6"/>
        <w:shd w:val="clear" w:color="auto" w:fill="auto"/>
        <w:tabs>
          <w:tab w:val="left" w:pos="486"/>
        </w:tabs>
        <w:spacing w:before="0" w:after="0" w:line="240" w:lineRule="auto"/>
        <w:ind w:left="284" w:right="425" w:firstLine="0"/>
        <w:rPr>
          <w:rStyle w:val="CharStyle55"/>
          <w:rFonts w:ascii="Bookman Old Style" w:hAnsi="Bookman Old Style"/>
          <w:color w:val="000000"/>
          <w:sz w:val="22"/>
          <w:szCs w:val="22"/>
          <w:lang w:eastAsia="es-ES_tradnl"/>
        </w:rPr>
      </w:pPr>
      <w:r w:rsidRPr="00981B56">
        <w:rPr>
          <w:rStyle w:val="CharStyle55"/>
          <w:rFonts w:ascii="Bookman Old Style" w:hAnsi="Bookman Old Style"/>
          <w:color w:val="000000"/>
          <w:sz w:val="22"/>
          <w:szCs w:val="22"/>
          <w:lang w:eastAsia="es-ES_tradnl"/>
        </w:rPr>
        <w:t>Al revisar la inversión en unidades constructivas ítem por ítem, de cada municipio se tiene lo siguiente.</w:t>
      </w:r>
    </w:p>
    <w:p w14:paraId="3CAD732D" w14:textId="77777777" w:rsidR="00BA56AD" w:rsidRDefault="00BA56AD" w:rsidP="00BA56AD">
      <w:pPr>
        <w:pStyle w:val="Style6"/>
        <w:shd w:val="clear" w:color="auto" w:fill="auto"/>
        <w:tabs>
          <w:tab w:val="left" w:pos="486"/>
        </w:tabs>
        <w:spacing w:before="0" w:after="0" w:line="240" w:lineRule="auto"/>
        <w:ind w:left="284" w:right="425" w:firstLine="0"/>
        <w:rPr>
          <w:rStyle w:val="CharStyle55"/>
          <w:rFonts w:ascii="Bookman Old Style" w:hAnsi="Bookman Old Style"/>
          <w:color w:val="000000"/>
          <w:sz w:val="22"/>
          <w:szCs w:val="22"/>
          <w:lang w:eastAsia="es-ES_tradnl"/>
        </w:rPr>
      </w:pPr>
    </w:p>
    <w:p w14:paraId="65286B8C" w14:textId="77777777" w:rsidR="00BA56AD" w:rsidRPr="00417C92" w:rsidRDefault="00BA56AD" w:rsidP="00BA56AD">
      <w:pPr>
        <w:pStyle w:val="Style6"/>
        <w:shd w:val="clear" w:color="auto" w:fill="auto"/>
        <w:tabs>
          <w:tab w:val="left" w:pos="486"/>
        </w:tabs>
        <w:spacing w:before="0" w:after="0" w:line="240" w:lineRule="auto"/>
        <w:ind w:left="284" w:right="425" w:firstLine="0"/>
        <w:rPr>
          <w:rStyle w:val="CharStyle36"/>
          <w:rFonts w:ascii="Bookman Old Style" w:hAnsi="Bookman Old Style"/>
          <w:i/>
          <w:color w:val="000000"/>
          <w:sz w:val="22"/>
          <w:szCs w:val="22"/>
          <w:lang w:eastAsia="es-ES_tradnl"/>
        </w:rPr>
      </w:pPr>
      <w:r w:rsidRPr="00417C92">
        <w:rPr>
          <w:rStyle w:val="CharStyle37"/>
          <w:rFonts w:ascii="Bookman Old Style" w:hAnsi="Bookman Old Style"/>
          <w:i/>
          <w:color w:val="000000"/>
          <w:sz w:val="22"/>
          <w:szCs w:val="22"/>
          <w:lang w:eastAsia="es-ES_tradnl"/>
        </w:rPr>
        <w:t xml:space="preserve">Municipio de Albania. </w:t>
      </w:r>
      <w:r w:rsidRPr="00417C92">
        <w:rPr>
          <w:rStyle w:val="CharStyle36"/>
          <w:rFonts w:ascii="Bookman Old Style" w:hAnsi="Bookman Old Style"/>
          <w:i/>
          <w:color w:val="000000"/>
          <w:sz w:val="22"/>
          <w:szCs w:val="22"/>
          <w:lang w:eastAsia="es-ES_tradnl"/>
        </w:rPr>
        <w:t xml:space="preserve">En la Resolución se indica que la Inversión aprobada por la CREG es de ($756.988.207 a pesos de </w:t>
      </w:r>
      <w:r w:rsidRPr="00055B68">
        <w:rPr>
          <w:rStyle w:val="CharStyle36"/>
          <w:rFonts w:ascii="Bookman Old Style" w:hAnsi="Bookman Old Style"/>
          <w:i/>
          <w:color w:val="000000"/>
          <w:sz w:val="22"/>
          <w:szCs w:val="22"/>
          <w:lang w:eastAsia="en-US"/>
        </w:rPr>
        <w:t xml:space="preserve">Dic </w:t>
      </w:r>
      <w:r w:rsidRPr="00417C92">
        <w:rPr>
          <w:rStyle w:val="CharStyle36"/>
          <w:rFonts w:ascii="Bookman Old Style" w:hAnsi="Bookman Old Style"/>
          <w:i/>
          <w:color w:val="000000"/>
          <w:sz w:val="22"/>
          <w:szCs w:val="22"/>
          <w:lang w:eastAsia="es-ES_tradnl"/>
        </w:rPr>
        <w:t>de 2017), pero en realidad esta cifra corresponde es pesos de $Dic 2014; llevada a pesos de 2017, esta cifra equivale a $858.520.577 a $Dic 2017.</w:t>
      </w:r>
    </w:p>
    <w:p w14:paraId="5AB2D0C5"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18FFF986" w14:textId="77777777" w:rsidR="00BA56AD" w:rsidRDefault="00BA56AD" w:rsidP="00BA56AD">
      <w:pPr>
        <w:pStyle w:val="Style6"/>
        <w:shd w:val="clear" w:color="auto" w:fill="auto"/>
        <w:tabs>
          <w:tab w:val="left" w:pos="486"/>
        </w:tabs>
        <w:spacing w:before="0" w:after="0" w:line="240" w:lineRule="auto"/>
        <w:ind w:right="425" w:firstLine="0"/>
        <w:jc w:val="center"/>
        <w:rPr>
          <w:rStyle w:val="CharStyle7"/>
          <w:rFonts w:ascii="Bookman Old Style" w:hAnsi="Bookman Old Style"/>
          <w:sz w:val="20"/>
          <w:szCs w:val="20"/>
          <w:lang w:eastAsia="es-ES_tradnl"/>
        </w:rPr>
      </w:pPr>
      <w:r w:rsidRPr="004615AA">
        <w:rPr>
          <w:rStyle w:val="CharStyle7"/>
          <w:i/>
          <w:iCs/>
          <w:noProof/>
          <w:shd w:val="clear" w:color="auto" w:fill="auto"/>
        </w:rPr>
        <w:drawing>
          <wp:inline distT="0" distB="0" distL="0" distR="0" wp14:anchorId="498ACD42" wp14:editId="6CF12C79">
            <wp:extent cx="5588813" cy="147640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2829" cy="1488034"/>
                    </a:xfrm>
                    <a:prstGeom prst="rect">
                      <a:avLst/>
                    </a:prstGeom>
                    <a:noFill/>
                    <a:ln>
                      <a:noFill/>
                    </a:ln>
                  </pic:spPr>
                </pic:pic>
              </a:graphicData>
            </a:graphic>
          </wp:inline>
        </w:drawing>
      </w:r>
    </w:p>
    <w:p w14:paraId="2F1448FF"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384124C5" w14:textId="77777777" w:rsidR="00BA56AD" w:rsidRDefault="00BA56AD" w:rsidP="00BA56AD">
      <w:pPr>
        <w:pStyle w:val="Style6"/>
        <w:shd w:val="clear" w:color="auto" w:fill="auto"/>
        <w:tabs>
          <w:tab w:val="left" w:pos="486"/>
        </w:tabs>
        <w:spacing w:before="0" w:after="0" w:line="240" w:lineRule="auto"/>
        <w:ind w:left="284" w:right="425" w:firstLine="0"/>
        <w:rPr>
          <w:rStyle w:val="CharStyle37"/>
          <w:rFonts w:ascii="Bookman Old Style" w:hAnsi="Bookman Old Style"/>
          <w:i/>
          <w:color w:val="000000"/>
          <w:sz w:val="22"/>
          <w:lang w:eastAsia="es-ES_tradnl"/>
        </w:rPr>
      </w:pPr>
    </w:p>
    <w:p w14:paraId="326D6D3C" w14:textId="77777777" w:rsidR="00055B68" w:rsidRDefault="00055B68" w:rsidP="00BA56AD">
      <w:pPr>
        <w:pStyle w:val="Style6"/>
        <w:shd w:val="clear" w:color="auto" w:fill="auto"/>
        <w:tabs>
          <w:tab w:val="left" w:pos="486"/>
        </w:tabs>
        <w:spacing w:before="0" w:after="0" w:line="240" w:lineRule="auto"/>
        <w:ind w:left="284" w:right="425" w:firstLine="0"/>
        <w:rPr>
          <w:rStyle w:val="CharStyle37"/>
          <w:rFonts w:ascii="Bookman Old Style" w:hAnsi="Bookman Old Style"/>
          <w:i/>
          <w:color w:val="000000"/>
          <w:sz w:val="22"/>
          <w:lang w:eastAsia="es-ES_tradnl"/>
        </w:rPr>
      </w:pPr>
    </w:p>
    <w:p w14:paraId="362C7401" w14:textId="7E3AD795" w:rsidR="00BA56AD" w:rsidRPr="00417C92"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i/>
          <w:sz w:val="18"/>
          <w:szCs w:val="20"/>
          <w:lang w:eastAsia="es-ES_tradnl"/>
        </w:rPr>
      </w:pPr>
      <w:r w:rsidRPr="00417C92">
        <w:rPr>
          <w:rStyle w:val="CharStyle37"/>
          <w:rFonts w:ascii="Bookman Old Style" w:hAnsi="Bookman Old Style"/>
          <w:i/>
          <w:color w:val="000000"/>
          <w:sz w:val="22"/>
          <w:lang w:eastAsia="es-ES_tradnl"/>
        </w:rPr>
        <w:t xml:space="preserve">Municipio Belén de los Andaquies. </w:t>
      </w:r>
      <w:r w:rsidRPr="00417C92">
        <w:rPr>
          <w:rStyle w:val="CharStyle36"/>
          <w:rFonts w:ascii="Bookman Old Style" w:hAnsi="Bookman Old Style"/>
          <w:i/>
          <w:color w:val="000000"/>
          <w:sz w:val="22"/>
          <w:lang w:eastAsia="es-ES_tradnl"/>
        </w:rPr>
        <w:t xml:space="preserve">En la Resolución se indica que la Inversión aprobada por la CREG es de $1.298.871.979 a pesos de diciembre de 2017, cuando en realidad esta cifra corresponde a pesos de </w:t>
      </w:r>
      <w:r w:rsidRPr="00055B68">
        <w:rPr>
          <w:rStyle w:val="CharStyle36"/>
          <w:rFonts w:ascii="Bookman Old Style" w:hAnsi="Bookman Old Style"/>
          <w:i/>
          <w:color w:val="000000"/>
          <w:sz w:val="22"/>
          <w:lang w:eastAsia="en-US"/>
        </w:rPr>
        <w:t xml:space="preserve">Dic </w:t>
      </w:r>
      <w:r w:rsidRPr="00417C92">
        <w:rPr>
          <w:rStyle w:val="CharStyle36"/>
          <w:rFonts w:ascii="Bookman Old Style" w:hAnsi="Bookman Old Style"/>
          <w:i/>
          <w:color w:val="000000"/>
          <w:sz w:val="22"/>
          <w:lang w:eastAsia="es-ES_tradnl"/>
        </w:rPr>
        <w:t>de 2014; el valor actualizado a pesos de 2017 corresponde a $1.473.085.367.</w:t>
      </w:r>
    </w:p>
    <w:p w14:paraId="626B2D6B"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44BA40A8" w14:textId="77777777" w:rsidR="00BA56AD" w:rsidRDefault="00BA56AD" w:rsidP="00BA56AD">
      <w:pPr>
        <w:pStyle w:val="Style6"/>
        <w:shd w:val="clear" w:color="auto" w:fill="auto"/>
        <w:tabs>
          <w:tab w:val="left" w:pos="486"/>
        </w:tabs>
        <w:spacing w:before="0" w:after="0" w:line="240" w:lineRule="auto"/>
        <w:ind w:right="425" w:firstLine="0"/>
        <w:jc w:val="center"/>
        <w:rPr>
          <w:rStyle w:val="CharStyle7"/>
          <w:rFonts w:ascii="Bookman Old Style" w:hAnsi="Bookman Old Style"/>
          <w:sz w:val="20"/>
          <w:szCs w:val="20"/>
          <w:lang w:eastAsia="es-ES_tradnl"/>
        </w:rPr>
      </w:pPr>
      <w:r w:rsidRPr="004615AA">
        <w:rPr>
          <w:rStyle w:val="CharStyle7"/>
          <w:i/>
          <w:iCs/>
          <w:noProof/>
          <w:shd w:val="clear" w:color="auto" w:fill="auto"/>
        </w:rPr>
        <w:drawing>
          <wp:inline distT="0" distB="0" distL="0" distR="0" wp14:anchorId="7B441371" wp14:editId="7DAACF0E">
            <wp:extent cx="5771692" cy="1599144"/>
            <wp:effectExtent l="0" t="0" r="635"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5366" cy="1602933"/>
                    </a:xfrm>
                    <a:prstGeom prst="rect">
                      <a:avLst/>
                    </a:prstGeom>
                    <a:noFill/>
                    <a:ln>
                      <a:noFill/>
                    </a:ln>
                  </pic:spPr>
                </pic:pic>
              </a:graphicData>
            </a:graphic>
          </wp:inline>
        </w:drawing>
      </w:r>
    </w:p>
    <w:p w14:paraId="384F3E41"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5314198E"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4525438A" w14:textId="77777777" w:rsidR="00BA56AD" w:rsidRDefault="00BA56AD" w:rsidP="00BA56AD">
      <w:pPr>
        <w:pStyle w:val="Style6"/>
        <w:shd w:val="clear" w:color="auto" w:fill="auto"/>
        <w:tabs>
          <w:tab w:val="left" w:pos="486"/>
        </w:tabs>
        <w:spacing w:before="0" w:after="0" w:line="240" w:lineRule="auto"/>
        <w:ind w:left="284" w:right="425" w:firstLine="0"/>
        <w:rPr>
          <w:rStyle w:val="CharStyle36"/>
          <w:rFonts w:ascii="Bookman Old Style" w:hAnsi="Bookman Old Style"/>
          <w:i/>
          <w:color w:val="000000"/>
          <w:sz w:val="22"/>
          <w:lang w:eastAsia="es-ES_tradnl"/>
        </w:rPr>
      </w:pPr>
      <w:r w:rsidRPr="00417C92">
        <w:rPr>
          <w:rStyle w:val="CharStyle37"/>
          <w:rFonts w:ascii="Bookman Old Style" w:hAnsi="Bookman Old Style"/>
          <w:i/>
          <w:color w:val="000000"/>
          <w:sz w:val="22"/>
          <w:lang w:eastAsia="es-ES_tradnl"/>
        </w:rPr>
        <w:t xml:space="preserve">Municipio La Montañita. </w:t>
      </w:r>
      <w:r w:rsidRPr="00417C92">
        <w:rPr>
          <w:rStyle w:val="CharStyle36"/>
          <w:rFonts w:ascii="Bookman Old Style" w:hAnsi="Bookman Old Style"/>
          <w:i/>
          <w:color w:val="000000"/>
          <w:sz w:val="22"/>
          <w:lang w:eastAsia="es-ES_tradnl"/>
        </w:rPr>
        <w:t>Inversión aprobada por la CREG, en realidad corresponde a un valor de $714.096.718 a $Dic 2014, a pesos de diciembre de 2017 es de $809.876.260</w:t>
      </w:r>
      <w:r>
        <w:rPr>
          <w:rStyle w:val="CharStyle36"/>
          <w:rFonts w:ascii="Bookman Old Style" w:hAnsi="Bookman Old Style"/>
          <w:i/>
          <w:color w:val="000000"/>
          <w:sz w:val="22"/>
          <w:lang w:eastAsia="es-ES_tradnl"/>
        </w:rPr>
        <w:t>.</w:t>
      </w:r>
    </w:p>
    <w:p w14:paraId="419CCEA3" w14:textId="77777777" w:rsidR="00BA56AD" w:rsidRDefault="00BA56AD" w:rsidP="00BA56AD">
      <w:pPr>
        <w:pStyle w:val="Style6"/>
        <w:shd w:val="clear" w:color="auto" w:fill="auto"/>
        <w:tabs>
          <w:tab w:val="left" w:pos="486"/>
        </w:tabs>
        <w:spacing w:before="0" w:after="0" w:line="240" w:lineRule="auto"/>
        <w:ind w:left="284" w:right="425" w:firstLine="0"/>
        <w:rPr>
          <w:rStyle w:val="CharStyle36"/>
          <w:rFonts w:ascii="Bookman Old Style" w:hAnsi="Bookman Old Style"/>
          <w:i/>
          <w:color w:val="000000"/>
          <w:sz w:val="22"/>
          <w:lang w:eastAsia="es-ES_tradnl"/>
        </w:rPr>
      </w:pPr>
    </w:p>
    <w:p w14:paraId="37B02453" w14:textId="77777777" w:rsidR="00BA56AD" w:rsidRPr="00417C92" w:rsidRDefault="00BA56AD" w:rsidP="00BA56AD">
      <w:pPr>
        <w:pStyle w:val="Style6"/>
        <w:shd w:val="clear" w:color="auto" w:fill="auto"/>
        <w:tabs>
          <w:tab w:val="left" w:pos="486"/>
        </w:tabs>
        <w:spacing w:before="0" w:after="0" w:line="240" w:lineRule="auto"/>
        <w:ind w:right="425" w:firstLine="0"/>
        <w:rPr>
          <w:rStyle w:val="CharStyle36"/>
          <w:rFonts w:ascii="Bookman Old Style" w:hAnsi="Bookman Old Style"/>
          <w:i/>
          <w:color w:val="000000"/>
          <w:sz w:val="22"/>
          <w:lang w:eastAsia="es-ES_tradnl"/>
        </w:rPr>
      </w:pPr>
      <w:r w:rsidRPr="004615AA">
        <w:rPr>
          <w:rStyle w:val="CharStyle36"/>
          <w:i/>
          <w:iCs/>
          <w:noProof/>
          <w:shd w:val="clear" w:color="auto" w:fill="auto"/>
        </w:rPr>
        <w:drawing>
          <wp:inline distT="0" distB="0" distL="0" distR="0" wp14:anchorId="1CD659C7" wp14:editId="663EED59">
            <wp:extent cx="5771515" cy="1598525"/>
            <wp:effectExtent l="0" t="0" r="635"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3117" cy="1601738"/>
                    </a:xfrm>
                    <a:prstGeom prst="rect">
                      <a:avLst/>
                    </a:prstGeom>
                    <a:noFill/>
                    <a:ln>
                      <a:noFill/>
                    </a:ln>
                  </pic:spPr>
                </pic:pic>
              </a:graphicData>
            </a:graphic>
          </wp:inline>
        </w:drawing>
      </w:r>
    </w:p>
    <w:p w14:paraId="7B6E4736"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50AED242"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5DC520B1" w14:textId="77777777" w:rsidR="00BA56AD" w:rsidRPr="00417C92"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i/>
          <w:sz w:val="18"/>
          <w:szCs w:val="20"/>
          <w:lang w:eastAsia="es-ES_tradnl"/>
        </w:rPr>
      </w:pPr>
      <w:r w:rsidRPr="00417C92">
        <w:rPr>
          <w:rStyle w:val="CharStyle37"/>
          <w:rFonts w:ascii="Bookman Old Style" w:hAnsi="Bookman Old Style"/>
          <w:i/>
          <w:color w:val="000000"/>
          <w:sz w:val="22"/>
          <w:lang w:eastAsia="es-ES_tradnl"/>
        </w:rPr>
        <w:t xml:space="preserve">Municipio de </w:t>
      </w:r>
      <w:r w:rsidRPr="00055B68">
        <w:rPr>
          <w:rStyle w:val="CharStyle37"/>
          <w:rFonts w:ascii="Bookman Old Style" w:hAnsi="Bookman Old Style"/>
          <w:i/>
          <w:color w:val="000000"/>
          <w:sz w:val="22"/>
          <w:lang w:eastAsia="en-US"/>
        </w:rPr>
        <w:t xml:space="preserve">Morelia. </w:t>
      </w:r>
      <w:r w:rsidRPr="00417C92">
        <w:rPr>
          <w:rStyle w:val="CharStyle36"/>
          <w:rFonts w:ascii="Bookman Old Style" w:hAnsi="Bookman Old Style"/>
          <w:i/>
          <w:color w:val="000000"/>
          <w:sz w:val="22"/>
          <w:lang w:eastAsia="es-ES_tradnl"/>
        </w:rPr>
        <w:t xml:space="preserve">En la Resolución se indica que la inversión aprobada por la CREG es de $730.557.263 a pesos de </w:t>
      </w:r>
      <w:r w:rsidRPr="00055B68">
        <w:rPr>
          <w:rStyle w:val="CharStyle36"/>
          <w:rFonts w:ascii="Bookman Old Style" w:hAnsi="Bookman Old Style"/>
          <w:i/>
          <w:color w:val="000000"/>
          <w:sz w:val="22"/>
          <w:lang w:eastAsia="en-US"/>
        </w:rPr>
        <w:t xml:space="preserve">Dic </w:t>
      </w:r>
      <w:r w:rsidRPr="00417C92">
        <w:rPr>
          <w:rStyle w:val="CharStyle36"/>
          <w:rFonts w:ascii="Bookman Old Style" w:hAnsi="Bookman Old Style"/>
          <w:i/>
          <w:color w:val="000000"/>
          <w:sz w:val="22"/>
          <w:lang w:eastAsia="es-ES_tradnl"/>
        </w:rPr>
        <w:t>de 2017, cuando en realidad esta cifra corresponde a pesos de diciembre de 2014; este valor actualizado a pesos de 2017 equivale a $828.544.285</w:t>
      </w:r>
      <w:r>
        <w:rPr>
          <w:rStyle w:val="CharStyle36"/>
          <w:rFonts w:ascii="Bookman Old Style" w:hAnsi="Bookman Old Style"/>
          <w:i/>
          <w:color w:val="000000"/>
          <w:sz w:val="22"/>
          <w:lang w:eastAsia="es-ES_tradnl"/>
        </w:rPr>
        <w:t>.</w:t>
      </w:r>
    </w:p>
    <w:p w14:paraId="6E8403A9"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598D50AC" w14:textId="77777777" w:rsidR="00BA56AD" w:rsidRDefault="00BA56AD" w:rsidP="00BA56AD">
      <w:pPr>
        <w:pStyle w:val="Style6"/>
        <w:shd w:val="clear" w:color="auto" w:fill="auto"/>
        <w:tabs>
          <w:tab w:val="left" w:pos="486"/>
        </w:tabs>
        <w:spacing w:before="0" w:after="0" w:line="240" w:lineRule="auto"/>
        <w:ind w:right="425" w:firstLine="0"/>
        <w:rPr>
          <w:rStyle w:val="CharStyle7"/>
          <w:rFonts w:ascii="Bookman Old Style" w:hAnsi="Bookman Old Style"/>
          <w:sz w:val="20"/>
          <w:szCs w:val="20"/>
          <w:lang w:eastAsia="es-ES_tradnl"/>
        </w:rPr>
      </w:pPr>
      <w:r w:rsidRPr="004615AA">
        <w:rPr>
          <w:rStyle w:val="CharStyle7"/>
          <w:i/>
          <w:iCs/>
          <w:noProof/>
          <w:shd w:val="clear" w:color="auto" w:fill="auto"/>
        </w:rPr>
        <w:drawing>
          <wp:inline distT="0" distB="0" distL="0" distR="0" wp14:anchorId="1724692B" wp14:editId="6AE3576F">
            <wp:extent cx="5771515" cy="1598525"/>
            <wp:effectExtent l="0" t="0" r="635"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3612" cy="1601875"/>
                    </a:xfrm>
                    <a:prstGeom prst="rect">
                      <a:avLst/>
                    </a:prstGeom>
                    <a:noFill/>
                    <a:ln>
                      <a:noFill/>
                    </a:ln>
                  </pic:spPr>
                </pic:pic>
              </a:graphicData>
            </a:graphic>
          </wp:inline>
        </w:drawing>
      </w:r>
    </w:p>
    <w:p w14:paraId="1D5CAE14"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078EF5B5" w14:textId="77777777" w:rsidR="00BA56AD" w:rsidRPr="00417C92" w:rsidRDefault="00BA56AD" w:rsidP="00BA56AD">
      <w:pPr>
        <w:pStyle w:val="Style35"/>
        <w:shd w:val="clear" w:color="auto" w:fill="auto"/>
        <w:spacing w:before="104" w:after="120" w:line="302" w:lineRule="exact"/>
        <w:ind w:left="284" w:right="40"/>
        <w:rPr>
          <w:rStyle w:val="CharStyle36"/>
          <w:rFonts w:ascii="Bookman Old Style" w:hAnsi="Bookman Old Style"/>
          <w:i/>
          <w:color w:val="000000"/>
          <w:sz w:val="22"/>
          <w:lang w:eastAsia="es-ES_tradnl"/>
        </w:rPr>
      </w:pPr>
      <w:r w:rsidRPr="00417C92">
        <w:rPr>
          <w:rStyle w:val="CharStyle37"/>
          <w:rFonts w:ascii="Bookman Old Style" w:hAnsi="Bookman Old Style"/>
          <w:i/>
          <w:color w:val="000000"/>
          <w:sz w:val="22"/>
          <w:lang w:eastAsia="es-ES_tradnl"/>
        </w:rPr>
        <w:t xml:space="preserve">Municipio de </w:t>
      </w:r>
      <w:r w:rsidRPr="00055B68">
        <w:rPr>
          <w:rStyle w:val="CharStyle37"/>
          <w:rFonts w:ascii="Bookman Old Style" w:hAnsi="Bookman Old Style"/>
          <w:i/>
          <w:color w:val="000000"/>
          <w:sz w:val="22"/>
          <w:lang w:eastAsia="en-US"/>
        </w:rPr>
        <w:t xml:space="preserve">Valparaiso. </w:t>
      </w:r>
      <w:r w:rsidRPr="00417C92">
        <w:rPr>
          <w:rStyle w:val="CharStyle36"/>
          <w:rFonts w:ascii="Bookman Old Style" w:hAnsi="Bookman Old Style"/>
          <w:i/>
          <w:color w:val="000000"/>
          <w:sz w:val="22"/>
          <w:lang w:eastAsia="es-ES_tradnl"/>
        </w:rPr>
        <w:t xml:space="preserve">Conforme lo dispuesto en la Resolución que se recurre, la Inversión aprobada por la CREG es de $762.601.435 a pesos de </w:t>
      </w:r>
      <w:r w:rsidRPr="00055B68">
        <w:rPr>
          <w:rStyle w:val="CharStyle36"/>
          <w:rFonts w:ascii="Bookman Old Style" w:hAnsi="Bookman Old Style"/>
          <w:i/>
          <w:color w:val="000000"/>
          <w:sz w:val="22"/>
          <w:lang w:eastAsia="en-US"/>
        </w:rPr>
        <w:t xml:space="preserve">Dic </w:t>
      </w:r>
      <w:r w:rsidRPr="00417C92">
        <w:rPr>
          <w:rStyle w:val="CharStyle36"/>
          <w:rFonts w:ascii="Bookman Old Style" w:hAnsi="Bookman Old Style"/>
          <w:i/>
          <w:color w:val="000000"/>
          <w:sz w:val="22"/>
          <w:lang w:eastAsia="es-ES_tradnl"/>
        </w:rPr>
        <w:t xml:space="preserve">de 2017, cuando en realidad esta cifra corresponde a pesos de </w:t>
      </w:r>
      <w:r w:rsidRPr="00055B68">
        <w:rPr>
          <w:rStyle w:val="CharStyle36"/>
          <w:rFonts w:ascii="Bookman Old Style" w:hAnsi="Bookman Old Style"/>
          <w:i/>
          <w:color w:val="000000"/>
          <w:sz w:val="22"/>
          <w:lang w:eastAsia="en-US"/>
        </w:rPr>
        <w:t xml:space="preserve">Dic </w:t>
      </w:r>
      <w:r w:rsidRPr="00417C92">
        <w:rPr>
          <w:rStyle w:val="CharStyle36"/>
          <w:rFonts w:ascii="Bookman Old Style" w:hAnsi="Bookman Old Style"/>
          <w:i/>
          <w:color w:val="000000"/>
          <w:sz w:val="22"/>
          <w:lang w:eastAsia="es-ES_tradnl"/>
        </w:rPr>
        <w:t>de 2014; la cifra actualizada a pesos de diciembre de 2017 equivale a $864.886.416.</w:t>
      </w:r>
    </w:p>
    <w:p w14:paraId="1274DC53" w14:textId="77777777" w:rsidR="00BA56AD" w:rsidRDefault="00BA56AD" w:rsidP="00BA56AD">
      <w:pPr>
        <w:pStyle w:val="Style35"/>
        <w:shd w:val="clear" w:color="auto" w:fill="auto"/>
        <w:spacing w:before="104" w:after="120" w:line="302" w:lineRule="exact"/>
        <w:ind w:left="284" w:right="40"/>
        <w:rPr>
          <w:rStyle w:val="CharStyle37"/>
          <w:rFonts w:ascii="Bookman Old Style" w:hAnsi="Bookman Old Style"/>
          <w:i/>
          <w:color w:val="000000"/>
          <w:sz w:val="22"/>
          <w:lang w:eastAsia="es-ES_tradnl"/>
        </w:rPr>
      </w:pPr>
      <w:r>
        <w:rPr>
          <w:rStyle w:val="CharStyle37"/>
          <w:rFonts w:ascii="Bookman Old Style" w:hAnsi="Bookman Old Style"/>
          <w:i/>
          <w:noProof/>
          <w:color w:val="000000"/>
          <w:sz w:val="22"/>
        </w:rPr>
        <w:lastRenderedPageBreak/>
        <w:drawing>
          <wp:anchor distT="0" distB="0" distL="114300" distR="114300" simplePos="0" relativeHeight="251659776" behindDoc="0" locked="0" layoutInCell="1" allowOverlap="1" wp14:anchorId="2E9E1BBC" wp14:editId="029AD00B">
            <wp:simplePos x="0" y="0"/>
            <wp:positionH relativeFrom="column">
              <wp:posOffset>177800</wp:posOffset>
            </wp:positionH>
            <wp:positionV relativeFrom="paragraph">
              <wp:posOffset>2540</wp:posOffset>
            </wp:positionV>
            <wp:extent cx="5566410" cy="180467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641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351F24" w14:textId="77777777" w:rsidR="00BA56AD" w:rsidRDefault="00BA56AD" w:rsidP="00BA56AD">
      <w:pPr>
        <w:pStyle w:val="Style35"/>
        <w:shd w:val="clear" w:color="auto" w:fill="auto"/>
        <w:spacing w:before="104" w:after="120" w:line="302" w:lineRule="exact"/>
        <w:ind w:left="284" w:right="40"/>
        <w:rPr>
          <w:rStyle w:val="CharStyle36"/>
          <w:color w:val="000000"/>
          <w:lang w:eastAsia="es-ES_tradnl"/>
        </w:rPr>
      </w:pPr>
      <w:r w:rsidRPr="00417C92">
        <w:rPr>
          <w:rStyle w:val="CharStyle37"/>
          <w:rFonts w:ascii="Bookman Old Style" w:hAnsi="Bookman Old Style"/>
          <w:i/>
          <w:color w:val="000000"/>
          <w:sz w:val="22"/>
          <w:lang w:eastAsia="es-ES_tradnl"/>
        </w:rPr>
        <w:t xml:space="preserve">Municipio de Sólita. </w:t>
      </w:r>
      <w:r w:rsidRPr="00417C92">
        <w:rPr>
          <w:rStyle w:val="CharStyle36"/>
          <w:rFonts w:ascii="Bookman Old Style" w:hAnsi="Bookman Old Style"/>
          <w:i/>
          <w:color w:val="000000"/>
          <w:sz w:val="22"/>
          <w:lang w:eastAsia="es-ES_tradnl"/>
        </w:rPr>
        <w:t xml:space="preserve">Inversión aprobada por la CREG de $874.088.589 en realidad corresponder a pesos de </w:t>
      </w:r>
      <w:r w:rsidRPr="00055B68">
        <w:rPr>
          <w:rStyle w:val="CharStyle36"/>
          <w:rFonts w:ascii="Bookman Old Style" w:hAnsi="Bookman Old Style"/>
          <w:i/>
          <w:color w:val="000000"/>
          <w:sz w:val="22"/>
          <w:lang w:eastAsia="en-US"/>
        </w:rPr>
        <w:t xml:space="preserve">Dic </w:t>
      </w:r>
      <w:r w:rsidRPr="00417C92">
        <w:rPr>
          <w:rStyle w:val="CharStyle36"/>
          <w:rFonts w:ascii="Bookman Old Style" w:hAnsi="Bookman Old Style"/>
          <w:i/>
          <w:color w:val="000000"/>
          <w:sz w:val="22"/>
          <w:lang w:eastAsia="es-ES_tradnl"/>
        </w:rPr>
        <w:t xml:space="preserve">de 2014; a pesos de </w:t>
      </w:r>
      <w:r w:rsidRPr="00055B68">
        <w:rPr>
          <w:rStyle w:val="CharStyle36"/>
          <w:rFonts w:ascii="Bookman Old Style" w:hAnsi="Bookman Old Style"/>
          <w:i/>
          <w:color w:val="000000"/>
          <w:sz w:val="22"/>
          <w:lang w:eastAsia="en-US"/>
        </w:rPr>
        <w:t xml:space="preserve">dic </w:t>
      </w:r>
      <w:r w:rsidRPr="00417C92">
        <w:rPr>
          <w:rStyle w:val="CharStyle36"/>
          <w:rFonts w:ascii="Bookman Old Style" w:hAnsi="Bookman Old Style"/>
          <w:i/>
          <w:color w:val="000000"/>
          <w:sz w:val="22"/>
          <w:lang w:eastAsia="es-ES_tradnl"/>
        </w:rPr>
        <w:t>de 2017 es de $991.327.417</w:t>
      </w:r>
      <w:r>
        <w:rPr>
          <w:rStyle w:val="CharStyle36"/>
          <w:color w:val="000000"/>
          <w:lang w:eastAsia="es-ES_tradnl"/>
        </w:rPr>
        <w:t>.</w:t>
      </w:r>
    </w:p>
    <w:p w14:paraId="18F86A64"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0D164EA8" w14:textId="77777777" w:rsidR="00BA56AD" w:rsidRDefault="00BA56AD" w:rsidP="00BA56AD">
      <w:pPr>
        <w:pStyle w:val="Style6"/>
        <w:shd w:val="clear" w:color="auto" w:fill="auto"/>
        <w:tabs>
          <w:tab w:val="left" w:pos="486"/>
        </w:tabs>
        <w:spacing w:before="0" w:after="0" w:line="240" w:lineRule="auto"/>
        <w:ind w:right="425" w:firstLine="0"/>
        <w:jc w:val="center"/>
        <w:rPr>
          <w:rStyle w:val="CharStyle7"/>
          <w:rFonts w:ascii="Bookman Old Style" w:hAnsi="Bookman Old Style"/>
          <w:sz w:val="20"/>
          <w:szCs w:val="20"/>
          <w:lang w:eastAsia="es-ES_tradnl"/>
        </w:rPr>
      </w:pPr>
      <w:r w:rsidRPr="004615AA">
        <w:rPr>
          <w:rStyle w:val="CharStyle7"/>
          <w:i/>
          <w:iCs/>
          <w:noProof/>
          <w:shd w:val="clear" w:color="auto" w:fill="auto"/>
        </w:rPr>
        <w:drawing>
          <wp:inline distT="0" distB="0" distL="0" distR="0" wp14:anchorId="082BFA2F" wp14:editId="1A299BCB">
            <wp:extent cx="5779008" cy="1578194"/>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3364" cy="1582115"/>
                    </a:xfrm>
                    <a:prstGeom prst="rect">
                      <a:avLst/>
                    </a:prstGeom>
                    <a:noFill/>
                    <a:ln>
                      <a:noFill/>
                    </a:ln>
                  </pic:spPr>
                </pic:pic>
              </a:graphicData>
            </a:graphic>
          </wp:inline>
        </w:drawing>
      </w:r>
    </w:p>
    <w:p w14:paraId="2BD42BB8"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059DFD86" w14:textId="77777777" w:rsidR="00BA56AD" w:rsidRDefault="00BA56AD" w:rsidP="00BA56AD">
      <w:pPr>
        <w:pStyle w:val="Style6"/>
        <w:shd w:val="clear" w:color="auto" w:fill="auto"/>
        <w:tabs>
          <w:tab w:val="left" w:pos="486"/>
        </w:tabs>
        <w:spacing w:before="0" w:after="0" w:line="240" w:lineRule="auto"/>
        <w:ind w:left="284" w:right="425" w:firstLine="0"/>
        <w:jc w:val="center"/>
        <w:rPr>
          <w:rStyle w:val="CharStyle7"/>
          <w:rFonts w:ascii="Bookman Old Style" w:hAnsi="Bookman Old Style"/>
          <w:sz w:val="20"/>
          <w:szCs w:val="20"/>
          <w:lang w:eastAsia="es-ES_tradnl"/>
        </w:rPr>
      </w:pPr>
    </w:p>
    <w:tbl>
      <w:tblPr>
        <w:tblW w:w="5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2080"/>
        <w:gridCol w:w="1440"/>
      </w:tblGrid>
      <w:tr w:rsidR="00BA56AD" w:rsidRPr="0068769E" w14:paraId="1DB040D5" w14:textId="77777777" w:rsidTr="00FB5615">
        <w:trPr>
          <w:trHeight w:val="450"/>
          <w:jc w:val="center"/>
        </w:trPr>
        <w:tc>
          <w:tcPr>
            <w:tcW w:w="2440" w:type="dxa"/>
            <w:shd w:val="clear" w:color="000000" w:fill="002060"/>
            <w:vAlign w:val="center"/>
            <w:hideMark/>
          </w:tcPr>
          <w:p w14:paraId="1913C2B1" w14:textId="77777777" w:rsidR="00BA56AD" w:rsidRPr="00CB1763" w:rsidRDefault="00BA56AD" w:rsidP="00FB5615">
            <w:pPr>
              <w:jc w:val="center"/>
              <w:rPr>
                <w:rFonts w:ascii="Arial" w:hAnsi="Arial" w:cs="Arial"/>
                <w:b/>
                <w:bCs/>
                <w:i/>
                <w:color w:val="FFFFFF"/>
                <w:sz w:val="16"/>
                <w:szCs w:val="16"/>
                <w:lang w:val="es-CO" w:eastAsia="es-CO"/>
              </w:rPr>
            </w:pPr>
            <w:r w:rsidRPr="00CB1763">
              <w:rPr>
                <w:rFonts w:ascii="Arial" w:hAnsi="Arial" w:cs="Arial"/>
                <w:b/>
                <w:bCs/>
                <w:i/>
                <w:color w:val="FFFFFF"/>
                <w:sz w:val="16"/>
                <w:szCs w:val="16"/>
                <w:lang w:val="es-CO" w:eastAsia="es-CO"/>
              </w:rPr>
              <w:t>MUNICIPIOS DEL CAQUETA</w:t>
            </w:r>
          </w:p>
        </w:tc>
        <w:tc>
          <w:tcPr>
            <w:tcW w:w="2080" w:type="dxa"/>
            <w:shd w:val="clear" w:color="000000" w:fill="002060"/>
            <w:vAlign w:val="center"/>
            <w:hideMark/>
          </w:tcPr>
          <w:p w14:paraId="2620BEF1" w14:textId="77777777" w:rsidR="00BA56AD" w:rsidRPr="00CB1763" w:rsidRDefault="00BA56AD" w:rsidP="00FB5615">
            <w:pPr>
              <w:jc w:val="center"/>
              <w:rPr>
                <w:rFonts w:ascii="Arial" w:hAnsi="Arial" w:cs="Arial"/>
                <w:b/>
                <w:bCs/>
                <w:i/>
                <w:color w:val="FFFFFF"/>
                <w:sz w:val="16"/>
                <w:szCs w:val="16"/>
                <w:lang w:val="es-CO" w:eastAsia="es-CO"/>
              </w:rPr>
            </w:pPr>
            <w:r w:rsidRPr="00CB1763">
              <w:rPr>
                <w:rFonts w:ascii="Arial" w:hAnsi="Arial" w:cs="Arial"/>
                <w:b/>
                <w:bCs/>
                <w:i/>
                <w:color w:val="FFFFFF"/>
                <w:sz w:val="16"/>
                <w:szCs w:val="16"/>
                <w:lang w:val="es-CO" w:eastAsia="es-CO"/>
              </w:rPr>
              <w:t>INVERSION PESOS 2014</w:t>
            </w:r>
          </w:p>
        </w:tc>
        <w:tc>
          <w:tcPr>
            <w:tcW w:w="1440" w:type="dxa"/>
            <w:shd w:val="clear" w:color="000000" w:fill="002060"/>
            <w:vAlign w:val="center"/>
            <w:hideMark/>
          </w:tcPr>
          <w:p w14:paraId="5149F7B2" w14:textId="77777777" w:rsidR="00BA56AD" w:rsidRPr="00CB1763" w:rsidRDefault="00BA56AD" w:rsidP="00FB5615">
            <w:pPr>
              <w:jc w:val="center"/>
              <w:rPr>
                <w:rFonts w:ascii="Arial" w:hAnsi="Arial" w:cs="Arial"/>
                <w:b/>
                <w:bCs/>
                <w:i/>
                <w:color w:val="FFFFFF"/>
                <w:sz w:val="16"/>
                <w:szCs w:val="16"/>
                <w:lang w:val="es-CO" w:eastAsia="es-CO"/>
              </w:rPr>
            </w:pPr>
            <w:r w:rsidRPr="00CB1763">
              <w:rPr>
                <w:rFonts w:ascii="Arial" w:hAnsi="Arial" w:cs="Arial"/>
                <w:b/>
                <w:bCs/>
                <w:i/>
                <w:color w:val="FFFFFF"/>
                <w:sz w:val="16"/>
                <w:szCs w:val="16"/>
                <w:lang w:val="es-CO" w:eastAsia="es-CO"/>
              </w:rPr>
              <w:t>INVERSION PESOS 2017</w:t>
            </w:r>
          </w:p>
        </w:tc>
      </w:tr>
      <w:tr w:rsidR="00BA56AD" w:rsidRPr="0068769E" w14:paraId="148D1DB2" w14:textId="77777777" w:rsidTr="00FB5615">
        <w:trPr>
          <w:trHeight w:val="300"/>
          <w:jc w:val="center"/>
        </w:trPr>
        <w:tc>
          <w:tcPr>
            <w:tcW w:w="2440" w:type="dxa"/>
            <w:shd w:val="clear" w:color="auto" w:fill="auto"/>
            <w:noWrap/>
            <w:vAlign w:val="bottom"/>
            <w:hideMark/>
          </w:tcPr>
          <w:p w14:paraId="0DB3E4B4"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Albania</w:t>
            </w:r>
          </w:p>
        </w:tc>
        <w:tc>
          <w:tcPr>
            <w:tcW w:w="2080" w:type="dxa"/>
            <w:shd w:val="clear" w:color="auto" w:fill="auto"/>
            <w:noWrap/>
            <w:vAlign w:val="center"/>
            <w:hideMark/>
          </w:tcPr>
          <w:p w14:paraId="49597F25"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756,988,207</w:t>
            </w:r>
          </w:p>
        </w:tc>
        <w:tc>
          <w:tcPr>
            <w:tcW w:w="1440" w:type="dxa"/>
            <w:shd w:val="clear" w:color="auto" w:fill="auto"/>
            <w:noWrap/>
            <w:vAlign w:val="center"/>
            <w:hideMark/>
          </w:tcPr>
          <w:p w14:paraId="096F794C"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858,520,577</w:t>
            </w:r>
          </w:p>
        </w:tc>
      </w:tr>
      <w:tr w:rsidR="00BA56AD" w:rsidRPr="0068769E" w14:paraId="5ABDBA5F" w14:textId="77777777" w:rsidTr="00FB5615">
        <w:trPr>
          <w:trHeight w:val="300"/>
          <w:jc w:val="center"/>
        </w:trPr>
        <w:tc>
          <w:tcPr>
            <w:tcW w:w="2440" w:type="dxa"/>
            <w:shd w:val="clear" w:color="auto" w:fill="auto"/>
            <w:noWrap/>
            <w:vAlign w:val="bottom"/>
            <w:hideMark/>
          </w:tcPr>
          <w:p w14:paraId="04B8FB47"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Belén de los Andaquies</w:t>
            </w:r>
          </w:p>
        </w:tc>
        <w:tc>
          <w:tcPr>
            <w:tcW w:w="2080" w:type="dxa"/>
            <w:shd w:val="clear" w:color="auto" w:fill="auto"/>
            <w:noWrap/>
            <w:vAlign w:val="center"/>
            <w:hideMark/>
          </w:tcPr>
          <w:p w14:paraId="478C7C74"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1,298,871,979</w:t>
            </w:r>
          </w:p>
        </w:tc>
        <w:tc>
          <w:tcPr>
            <w:tcW w:w="1440" w:type="dxa"/>
            <w:shd w:val="clear" w:color="auto" w:fill="auto"/>
            <w:noWrap/>
            <w:vAlign w:val="center"/>
            <w:hideMark/>
          </w:tcPr>
          <w:p w14:paraId="738F47AD"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1,473,085,367</w:t>
            </w:r>
          </w:p>
        </w:tc>
      </w:tr>
      <w:tr w:rsidR="00BA56AD" w:rsidRPr="0068769E" w14:paraId="1E778128" w14:textId="77777777" w:rsidTr="00FB5615">
        <w:trPr>
          <w:trHeight w:val="300"/>
          <w:jc w:val="center"/>
        </w:trPr>
        <w:tc>
          <w:tcPr>
            <w:tcW w:w="2440" w:type="dxa"/>
            <w:shd w:val="clear" w:color="auto" w:fill="auto"/>
            <w:noWrap/>
            <w:vAlign w:val="bottom"/>
            <w:hideMark/>
          </w:tcPr>
          <w:p w14:paraId="3BA3B889"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La Montañita</w:t>
            </w:r>
          </w:p>
        </w:tc>
        <w:tc>
          <w:tcPr>
            <w:tcW w:w="2080" w:type="dxa"/>
            <w:shd w:val="clear" w:color="auto" w:fill="auto"/>
            <w:noWrap/>
            <w:vAlign w:val="center"/>
            <w:hideMark/>
          </w:tcPr>
          <w:p w14:paraId="12EB3A70"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714,096,718</w:t>
            </w:r>
          </w:p>
        </w:tc>
        <w:tc>
          <w:tcPr>
            <w:tcW w:w="1440" w:type="dxa"/>
            <w:shd w:val="clear" w:color="auto" w:fill="auto"/>
            <w:noWrap/>
            <w:vAlign w:val="center"/>
            <w:hideMark/>
          </w:tcPr>
          <w:p w14:paraId="652D85EB"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809,876,260</w:t>
            </w:r>
          </w:p>
        </w:tc>
      </w:tr>
      <w:tr w:rsidR="00BA56AD" w:rsidRPr="0068769E" w14:paraId="2B8AAA2E" w14:textId="77777777" w:rsidTr="00FB5615">
        <w:trPr>
          <w:trHeight w:val="300"/>
          <w:jc w:val="center"/>
        </w:trPr>
        <w:tc>
          <w:tcPr>
            <w:tcW w:w="2440" w:type="dxa"/>
            <w:shd w:val="clear" w:color="auto" w:fill="auto"/>
            <w:noWrap/>
            <w:vAlign w:val="bottom"/>
            <w:hideMark/>
          </w:tcPr>
          <w:p w14:paraId="69A2ADE0"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Morelia</w:t>
            </w:r>
          </w:p>
        </w:tc>
        <w:tc>
          <w:tcPr>
            <w:tcW w:w="2080" w:type="dxa"/>
            <w:shd w:val="clear" w:color="auto" w:fill="auto"/>
            <w:noWrap/>
            <w:vAlign w:val="center"/>
            <w:hideMark/>
          </w:tcPr>
          <w:p w14:paraId="20F55C1E"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730,557,263</w:t>
            </w:r>
          </w:p>
        </w:tc>
        <w:tc>
          <w:tcPr>
            <w:tcW w:w="1440" w:type="dxa"/>
            <w:shd w:val="clear" w:color="auto" w:fill="auto"/>
            <w:noWrap/>
            <w:vAlign w:val="center"/>
            <w:hideMark/>
          </w:tcPr>
          <w:p w14:paraId="7FDBBA65"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828,544,285</w:t>
            </w:r>
          </w:p>
        </w:tc>
      </w:tr>
      <w:tr w:rsidR="00BA56AD" w:rsidRPr="0068769E" w14:paraId="4EA1E9E4" w14:textId="77777777" w:rsidTr="00FB5615">
        <w:trPr>
          <w:trHeight w:val="300"/>
          <w:jc w:val="center"/>
        </w:trPr>
        <w:tc>
          <w:tcPr>
            <w:tcW w:w="2440" w:type="dxa"/>
            <w:shd w:val="clear" w:color="auto" w:fill="auto"/>
            <w:noWrap/>
            <w:vAlign w:val="bottom"/>
            <w:hideMark/>
          </w:tcPr>
          <w:p w14:paraId="01AF795C"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Valparaiso</w:t>
            </w:r>
          </w:p>
        </w:tc>
        <w:tc>
          <w:tcPr>
            <w:tcW w:w="2080" w:type="dxa"/>
            <w:shd w:val="clear" w:color="auto" w:fill="auto"/>
            <w:noWrap/>
            <w:vAlign w:val="center"/>
            <w:hideMark/>
          </w:tcPr>
          <w:p w14:paraId="43CF7F4F"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762,601,435</w:t>
            </w:r>
          </w:p>
        </w:tc>
        <w:tc>
          <w:tcPr>
            <w:tcW w:w="1440" w:type="dxa"/>
            <w:shd w:val="clear" w:color="auto" w:fill="auto"/>
            <w:noWrap/>
            <w:vAlign w:val="center"/>
            <w:hideMark/>
          </w:tcPr>
          <w:p w14:paraId="0A53DF15"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864,886,416</w:t>
            </w:r>
          </w:p>
        </w:tc>
      </w:tr>
      <w:tr w:rsidR="00BA56AD" w:rsidRPr="0068769E" w14:paraId="4E82A9A3" w14:textId="77777777" w:rsidTr="00FB5615">
        <w:trPr>
          <w:trHeight w:val="300"/>
          <w:jc w:val="center"/>
        </w:trPr>
        <w:tc>
          <w:tcPr>
            <w:tcW w:w="2440" w:type="dxa"/>
            <w:shd w:val="clear" w:color="auto" w:fill="auto"/>
            <w:noWrap/>
            <w:vAlign w:val="bottom"/>
            <w:hideMark/>
          </w:tcPr>
          <w:p w14:paraId="3496B1AF"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Solita</w:t>
            </w:r>
          </w:p>
        </w:tc>
        <w:tc>
          <w:tcPr>
            <w:tcW w:w="2080" w:type="dxa"/>
            <w:shd w:val="clear" w:color="auto" w:fill="auto"/>
            <w:noWrap/>
            <w:vAlign w:val="center"/>
            <w:hideMark/>
          </w:tcPr>
          <w:p w14:paraId="142B68F5"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874,088,589</w:t>
            </w:r>
          </w:p>
        </w:tc>
        <w:tc>
          <w:tcPr>
            <w:tcW w:w="1440" w:type="dxa"/>
            <w:shd w:val="clear" w:color="auto" w:fill="auto"/>
            <w:noWrap/>
            <w:vAlign w:val="center"/>
            <w:hideMark/>
          </w:tcPr>
          <w:p w14:paraId="6066456F"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991,327,417</w:t>
            </w:r>
          </w:p>
        </w:tc>
      </w:tr>
      <w:tr w:rsidR="00BA56AD" w:rsidRPr="0068769E" w14:paraId="40B52435" w14:textId="77777777" w:rsidTr="00FB5615">
        <w:trPr>
          <w:trHeight w:val="300"/>
          <w:jc w:val="center"/>
        </w:trPr>
        <w:tc>
          <w:tcPr>
            <w:tcW w:w="2440" w:type="dxa"/>
            <w:shd w:val="clear" w:color="000000" w:fill="A6A6A6"/>
            <w:noWrap/>
            <w:vAlign w:val="bottom"/>
            <w:hideMark/>
          </w:tcPr>
          <w:p w14:paraId="05B2A4CA" w14:textId="77777777" w:rsidR="00BA56AD" w:rsidRPr="00CB1763" w:rsidRDefault="00BA56AD" w:rsidP="00FB5615">
            <w:pPr>
              <w:jc w:val="center"/>
              <w:rPr>
                <w:rFonts w:ascii="Calibri" w:hAnsi="Calibri"/>
                <w:b/>
                <w:bCs/>
                <w:i/>
                <w:color w:val="000000"/>
                <w:sz w:val="16"/>
                <w:szCs w:val="16"/>
                <w:lang w:val="es-CO" w:eastAsia="es-CO"/>
              </w:rPr>
            </w:pPr>
            <w:r w:rsidRPr="00CB1763">
              <w:rPr>
                <w:rFonts w:ascii="Calibri" w:hAnsi="Calibri"/>
                <w:b/>
                <w:bCs/>
                <w:i/>
                <w:color w:val="000000"/>
                <w:sz w:val="16"/>
                <w:szCs w:val="16"/>
                <w:lang w:val="es-CO" w:eastAsia="es-CO"/>
              </w:rPr>
              <w:t>TOTAL</w:t>
            </w:r>
          </w:p>
        </w:tc>
        <w:tc>
          <w:tcPr>
            <w:tcW w:w="2080" w:type="dxa"/>
            <w:shd w:val="clear" w:color="000000" w:fill="A6A6A6"/>
            <w:noWrap/>
            <w:vAlign w:val="center"/>
            <w:hideMark/>
          </w:tcPr>
          <w:p w14:paraId="3168934E" w14:textId="77777777" w:rsidR="00BA56AD" w:rsidRPr="00CB1763" w:rsidRDefault="00BA56AD" w:rsidP="00FB5615">
            <w:pPr>
              <w:jc w:val="center"/>
              <w:rPr>
                <w:rFonts w:ascii="Calibri" w:hAnsi="Calibri"/>
                <w:b/>
                <w:bCs/>
                <w:i/>
                <w:color w:val="000000"/>
                <w:sz w:val="16"/>
                <w:szCs w:val="16"/>
                <w:lang w:val="es-CO" w:eastAsia="es-CO"/>
              </w:rPr>
            </w:pPr>
            <w:r w:rsidRPr="00CB1763">
              <w:rPr>
                <w:rFonts w:ascii="Calibri" w:hAnsi="Calibri"/>
                <w:b/>
                <w:bCs/>
                <w:i/>
                <w:color w:val="000000"/>
                <w:sz w:val="16"/>
                <w:szCs w:val="16"/>
                <w:lang w:val="es-CO" w:eastAsia="es-CO"/>
              </w:rPr>
              <w:t>5,137,204,191</w:t>
            </w:r>
          </w:p>
        </w:tc>
        <w:tc>
          <w:tcPr>
            <w:tcW w:w="1440" w:type="dxa"/>
            <w:shd w:val="clear" w:color="000000" w:fill="A6A6A6"/>
            <w:noWrap/>
            <w:vAlign w:val="center"/>
            <w:hideMark/>
          </w:tcPr>
          <w:p w14:paraId="13E7DA7A" w14:textId="77777777" w:rsidR="00BA56AD" w:rsidRPr="00CB1763" w:rsidRDefault="00BA56AD" w:rsidP="00FB5615">
            <w:pPr>
              <w:jc w:val="center"/>
              <w:rPr>
                <w:rFonts w:ascii="Calibri" w:hAnsi="Calibri"/>
                <w:b/>
                <w:bCs/>
                <w:i/>
                <w:color w:val="000000"/>
                <w:sz w:val="16"/>
                <w:szCs w:val="16"/>
                <w:lang w:val="es-CO" w:eastAsia="es-CO"/>
              </w:rPr>
            </w:pPr>
            <w:r w:rsidRPr="00CB1763">
              <w:rPr>
                <w:rFonts w:ascii="Calibri" w:hAnsi="Calibri"/>
                <w:b/>
                <w:bCs/>
                <w:i/>
                <w:color w:val="000000"/>
                <w:sz w:val="16"/>
                <w:szCs w:val="16"/>
                <w:lang w:val="es-CO" w:eastAsia="es-CO"/>
              </w:rPr>
              <w:t>5,826,240,322</w:t>
            </w:r>
          </w:p>
        </w:tc>
      </w:tr>
    </w:tbl>
    <w:p w14:paraId="003ACD57" w14:textId="77777777" w:rsidR="00BA56AD" w:rsidRDefault="00BA56AD" w:rsidP="00BA56AD">
      <w:pPr>
        <w:pStyle w:val="Style35"/>
        <w:shd w:val="clear" w:color="auto" w:fill="auto"/>
        <w:spacing w:before="0" w:after="120" w:line="302" w:lineRule="exact"/>
        <w:ind w:left="284" w:right="40"/>
        <w:rPr>
          <w:rStyle w:val="CharStyle36"/>
          <w:rFonts w:ascii="Bookman Old Style" w:hAnsi="Bookman Old Style"/>
          <w:i/>
          <w:color w:val="000000"/>
          <w:sz w:val="22"/>
          <w:lang w:eastAsia="es-ES_tradnl"/>
        </w:rPr>
      </w:pPr>
    </w:p>
    <w:tbl>
      <w:tblPr>
        <w:tblW w:w="5960" w:type="dxa"/>
        <w:jc w:val="center"/>
        <w:tblCellMar>
          <w:left w:w="70" w:type="dxa"/>
          <w:right w:w="70" w:type="dxa"/>
        </w:tblCellMar>
        <w:tblLook w:val="04A0" w:firstRow="1" w:lastRow="0" w:firstColumn="1" w:lastColumn="0" w:noHBand="0" w:noVBand="1"/>
      </w:tblPr>
      <w:tblGrid>
        <w:gridCol w:w="2440"/>
        <w:gridCol w:w="2080"/>
        <w:gridCol w:w="1440"/>
      </w:tblGrid>
      <w:tr w:rsidR="00BA56AD" w:rsidRPr="0068769E" w14:paraId="0E679E03" w14:textId="77777777" w:rsidTr="00FB5615">
        <w:trPr>
          <w:trHeight w:val="600"/>
          <w:jc w:val="center"/>
        </w:trPr>
        <w:tc>
          <w:tcPr>
            <w:tcW w:w="244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AE42C0A" w14:textId="77777777" w:rsidR="00BA56AD" w:rsidRPr="00CB1763" w:rsidRDefault="00BA56AD" w:rsidP="00FB5615">
            <w:pPr>
              <w:jc w:val="center"/>
              <w:rPr>
                <w:rFonts w:ascii="Arial" w:hAnsi="Arial" w:cs="Arial"/>
                <w:b/>
                <w:bCs/>
                <w:i/>
                <w:color w:val="FFFFFF"/>
                <w:sz w:val="16"/>
                <w:szCs w:val="16"/>
                <w:lang w:val="es-CO" w:eastAsia="es-CO"/>
              </w:rPr>
            </w:pPr>
            <w:r w:rsidRPr="00CB1763">
              <w:rPr>
                <w:rFonts w:ascii="Arial" w:hAnsi="Arial" w:cs="Arial"/>
                <w:b/>
                <w:bCs/>
                <w:i/>
                <w:color w:val="FFFFFF"/>
                <w:sz w:val="16"/>
                <w:szCs w:val="16"/>
                <w:lang w:val="es-CO" w:eastAsia="es-CO"/>
              </w:rPr>
              <w:t>ACTIVOS</w:t>
            </w:r>
          </w:p>
        </w:tc>
        <w:tc>
          <w:tcPr>
            <w:tcW w:w="2080" w:type="dxa"/>
            <w:tcBorders>
              <w:top w:val="single" w:sz="4" w:space="0" w:color="auto"/>
              <w:left w:val="nil"/>
              <w:bottom w:val="single" w:sz="4" w:space="0" w:color="auto"/>
              <w:right w:val="single" w:sz="4" w:space="0" w:color="auto"/>
            </w:tcBorders>
            <w:shd w:val="clear" w:color="000000" w:fill="002060"/>
            <w:vAlign w:val="center"/>
            <w:hideMark/>
          </w:tcPr>
          <w:p w14:paraId="4E7A66A2" w14:textId="77777777" w:rsidR="00BA56AD" w:rsidRPr="00CB1763" w:rsidRDefault="00BA56AD" w:rsidP="00FB5615">
            <w:pPr>
              <w:jc w:val="center"/>
              <w:rPr>
                <w:rFonts w:ascii="Arial" w:hAnsi="Arial" w:cs="Arial"/>
                <w:b/>
                <w:bCs/>
                <w:i/>
                <w:color w:val="FFFFFF"/>
                <w:sz w:val="16"/>
                <w:szCs w:val="16"/>
                <w:lang w:val="es-CO" w:eastAsia="es-CO"/>
              </w:rPr>
            </w:pPr>
            <w:r w:rsidRPr="00CB1763">
              <w:rPr>
                <w:rFonts w:ascii="Arial" w:hAnsi="Arial" w:cs="Arial"/>
                <w:b/>
                <w:bCs/>
                <w:i/>
                <w:color w:val="FFFFFF"/>
                <w:sz w:val="16"/>
                <w:szCs w:val="16"/>
                <w:lang w:val="es-CO" w:eastAsia="es-CO"/>
              </w:rPr>
              <w:t>INVERSION PESOS 2014 RESOLUCION</w:t>
            </w:r>
          </w:p>
        </w:tc>
        <w:tc>
          <w:tcPr>
            <w:tcW w:w="1440" w:type="dxa"/>
            <w:tcBorders>
              <w:top w:val="single" w:sz="4" w:space="0" w:color="auto"/>
              <w:left w:val="nil"/>
              <w:bottom w:val="single" w:sz="4" w:space="0" w:color="auto"/>
              <w:right w:val="single" w:sz="4" w:space="0" w:color="auto"/>
            </w:tcBorders>
            <w:shd w:val="clear" w:color="000000" w:fill="002060"/>
            <w:vAlign w:val="center"/>
            <w:hideMark/>
          </w:tcPr>
          <w:p w14:paraId="48C02566" w14:textId="77777777" w:rsidR="00BA56AD" w:rsidRPr="00CB1763" w:rsidRDefault="00BA56AD" w:rsidP="00FB5615">
            <w:pPr>
              <w:jc w:val="center"/>
              <w:rPr>
                <w:rFonts w:ascii="Arial" w:hAnsi="Arial" w:cs="Arial"/>
                <w:b/>
                <w:bCs/>
                <w:i/>
                <w:color w:val="FFFFFF"/>
                <w:sz w:val="16"/>
                <w:szCs w:val="16"/>
                <w:lang w:val="es-CO" w:eastAsia="es-CO"/>
              </w:rPr>
            </w:pPr>
            <w:r w:rsidRPr="00CB1763">
              <w:rPr>
                <w:rFonts w:ascii="Arial" w:hAnsi="Arial" w:cs="Arial"/>
                <w:b/>
                <w:bCs/>
                <w:i/>
                <w:color w:val="FFFFFF"/>
                <w:sz w:val="16"/>
                <w:szCs w:val="16"/>
                <w:lang w:val="es-CO" w:eastAsia="es-CO"/>
              </w:rPr>
              <w:t>INVERSION PESOS 2017</w:t>
            </w:r>
          </w:p>
        </w:tc>
      </w:tr>
      <w:tr w:rsidR="00BA56AD" w:rsidRPr="0068769E" w14:paraId="7556C277" w14:textId="77777777" w:rsidTr="00FB5615">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38259868" w14:textId="77777777" w:rsidR="00BA56AD" w:rsidRPr="00CB1763" w:rsidRDefault="00BA56AD" w:rsidP="00FB5615">
            <w:pPr>
              <w:jc w:val="left"/>
              <w:rPr>
                <w:rFonts w:ascii="Calibri" w:hAnsi="Calibri"/>
                <w:b/>
                <w:bCs/>
                <w:i/>
                <w:color w:val="000000"/>
                <w:sz w:val="16"/>
                <w:szCs w:val="16"/>
                <w:lang w:val="es-CO" w:eastAsia="es-CO"/>
              </w:rPr>
            </w:pPr>
            <w:r w:rsidRPr="00CB1763">
              <w:rPr>
                <w:rFonts w:ascii="Calibri" w:hAnsi="Calibri"/>
                <w:b/>
                <w:bCs/>
                <w:i/>
                <w:color w:val="000000"/>
                <w:sz w:val="16"/>
                <w:szCs w:val="16"/>
                <w:lang w:val="es-CO" w:eastAsia="es-CO"/>
              </w:rPr>
              <w:t>Activos Inherentes a la Operación</w:t>
            </w:r>
          </w:p>
        </w:tc>
        <w:tc>
          <w:tcPr>
            <w:tcW w:w="2080" w:type="dxa"/>
            <w:tcBorders>
              <w:top w:val="nil"/>
              <w:left w:val="nil"/>
              <w:bottom w:val="single" w:sz="4" w:space="0" w:color="auto"/>
              <w:right w:val="single" w:sz="4" w:space="0" w:color="auto"/>
            </w:tcBorders>
            <w:shd w:val="clear" w:color="auto" w:fill="auto"/>
            <w:noWrap/>
            <w:vAlign w:val="center"/>
            <w:hideMark/>
          </w:tcPr>
          <w:p w14:paraId="155493EB"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 xml:space="preserve">4,758,360,963 </w:t>
            </w:r>
          </w:p>
        </w:tc>
        <w:tc>
          <w:tcPr>
            <w:tcW w:w="1440" w:type="dxa"/>
            <w:tcBorders>
              <w:top w:val="nil"/>
              <w:left w:val="nil"/>
              <w:bottom w:val="single" w:sz="4" w:space="0" w:color="auto"/>
              <w:right w:val="single" w:sz="4" w:space="0" w:color="auto"/>
            </w:tcBorders>
            <w:shd w:val="clear" w:color="auto" w:fill="auto"/>
            <w:noWrap/>
            <w:vAlign w:val="center"/>
            <w:hideMark/>
          </w:tcPr>
          <w:p w14:paraId="68BB5272"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 xml:space="preserve">5,396,585,360 </w:t>
            </w:r>
          </w:p>
        </w:tc>
      </w:tr>
      <w:tr w:rsidR="00BA56AD" w:rsidRPr="0068769E" w14:paraId="4ED8980A" w14:textId="77777777" w:rsidTr="00FB5615">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1C6F5461" w14:textId="77777777" w:rsidR="00BA56AD" w:rsidRPr="00CB1763" w:rsidRDefault="00BA56AD" w:rsidP="00FB5615">
            <w:pPr>
              <w:jc w:val="left"/>
              <w:rPr>
                <w:rFonts w:ascii="Calibri" w:hAnsi="Calibri"/>
                <w:b/>
                <w:bCs/>
                <w:i/>
                <w:color w:val="000000"/>
                <w:sz w:val="16"/>
                <w:szCs w:val="16"/>
                <w:lang w:val="es-CO" w:eastAsia="es-CO"/>
              </w:rPr>
            </w:pPr>
            <w:r w:rsidRPr="00CB1763">
              <w:rPr>
                <w:rFonts w:ascii="Calibri" w:hAnsi="Calibri"/>
                <w:b/>
                <w:bCs/>
                <w:i/>
                <w:color w:val="000000"/>
                <w:sz w:val="16"/>
                <w:szCs w:val="16"/>
                <w:lang w:val="es-CO" w:eastAsia="es-CO"/>
              </w:rPr>
              <w:t>Activos Especiales</w:t>
            </w:r>
          </w:p>
        </w:tc>
        <w:tc>
          <w:tcPr>
            <w:tcW w:w="2080" w:type="dxa"/>
            <w:tcBorders>
              <w:top w:val="nil"/>
              <w:left w:val="nil"/>
              <w:bottom w:val="single" w:sz="4" w:space="0" w:color="auto"/>
              <w:right w:val="single" w:sz="4" w:space="0" w:color="auto"/>
            </w:tcBorders>
            <w:shd w:val="clear" w:color="auto" w:fill="auto"/>
            <w:noWrap/>
            <w:vAlign w:val="center"/>
            <w:hideMark/>
          </w:tcPr>
          <w:p w14:paraId="7604DE88"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 xml:space="preserve">378,843,228 </w:t>
            </w:r>
          </w:p>
        </w:tc>
        <w:tc>
          <w:tcPr>
            <w:tcW w:w="1440" w:type="dxa"/>
            <w:tcBorders>
              <w:top w:val="nil"/>
              <w:left w:val="nil"/>
              <w:bottom w:val="single" w:sz="4" w:space="0" w:color="auto"/>
              <w:right w:val="single" w:sz="4" w:space="0" w:color="auto"/>
            </w:tcBorders>
            <w:shd w:val="clear" w:color="auto" w:fill="auto"/>
            <w:noWrap/>
            <w:vAlign w:val="center"/>
            <w:hideMark/>
          </w:tcPr>
          <w:p w14:paraId="33DA0AAF" w14:textId="77777777" w:rsidR="00BA56AD" w:rsidRPr="00CB1763" w:rsidRDefault="00BA56AD" w:rsidP="00FB5615">
            <w:pPr>
              <w:jc w:val="center"/>
              <w:rPr>
                <w:rFonts w:ascii="Calibri" w:hAnsi="Calibri"/>
                <w:i/>
                <w:color w:val="000000"/>
                <w:sz w:val="16"/>
                <w:szCs w:val="16"/>
                <w:lang w:val="es-CO" w:eastAsia="es-CO"/>
              </w:rPr>
            </w:pPr>
            <w:r w:rsidRPr="00CB1763">
              <w:rPr>
                <w:rFonts w:ascii="Calibri" w:hAnsi="Calibri"/>
                <w:i/>
                <w:color w:val="000000"/>
                <w:sz w:val="16"/>
                <w:szCs w:val="16"/>
                <w:lang w:val="es-CO" w:eastAsia="es-CO"/>
              </w:rPr>
              <w:t xml:space="preserve">429,654,962 </w:t>
            </w:r>
          </w:p>
        </w:tc>
      </w:tr>
      <w:tr w:rsidR="00BA56AD" w:rsidRPr="0068769E" w14:paraId="5C344797" w14:textId="77777777" w:rsidTr="00FB5615">
        <w:trPr>
          <w:trHeight w:val="300"/>
          <w:jc w:val="center"/>
        </w:trPr>
        <w:tc>
          <w:tcPr>
            <w:tcW w:w="2440" w:type="dxa"/>
            <w:tcBorders>
              <w:top w:val="nil"/>
              <w:left w:val="single" w:sz="4" w:space="0" w:color="auto"/>
              <w:bottom w:val="single" w:sz="4" w:space="0" w:color="auto"/>
              <w:right w:val="single" w:sz="4" w:space="0" w:color="auto"/>
            </w:tcBorders>
            <w:shd w:val="clear" w:color="000000" w:fill="002060"/>
            <w:vAlign w:val="center"/>
            <w:hideMark/>
          </w:tcPr>
          <w:p w14:paraId="664DA7E0" w14:textId="77777777" w:rsidR="00BA56AD" w:rsidRPr="00CB1763" w:rsidRDefault="00BA56AD" w:rsidP="00FB5615">
            <w:pPr>
              <w:jc w:val="center"/>
              <w:rPr>
                <w:rFonts w:ascii="Arial" w:hAnsi="Arial" w:cs="Arial"/>
                <w:b/>
                <w:bCs/>
                <w:i/>
                <w:color w:val="FFFFFF"/>
                <w:sz w:val="16"/>
                <w:szCs w:val="16"/>
                <w:lang w:val="es-CO" w:eastAsia="es-CO"/>
              </w:rPr>
            </w:pPr>
            <w:r w:rsidRPr="00CB1763">
              <w:rPr>
                <w:rFonts w:ascii="Arial" w:hAnsi="Arial" w:cs="Arial"/>
                <w:b/>
                <w:bCs/>
                <w:i/>
                <w:color w:val="FFFFFF"/>
                <w:sz w:val="16"/>
                <w:szCs w:val="16"/>
                <w:lang w:val="es-CO" w:eastAsia="es-CO"/>
              </w:rPr>
              <w:t>INVERSIONES</w:t>
            </w:r>
          </w:p>
        </w:tc>
        <w:tc>
          <w:tcPr>
            <w:tcW w:w="2080" w:type="dxa"/>
            <w:tcBorders>
              <w:top w:val="nil"/>
              <w:left w:val="nil"/>
              <w:bottom w:val="single" w:sz="4" w:space="0" w:color="auto"/>
              <w:right w:val="single" w:sz="4" w:space="0" w:color="auto"/>
            </w:tcBorders>
            <w:shd w:val="clear" w:color="000000" w:fill="002060"/>
            <w:noWrap/>
            <w:vAlign w:val="center"/>
            <w:hideMark/>
          </w:tcPr>
          <w:p w14:paraId="4C2E19F6" w14:textId="77777777" w:rsidR="00BA56AD" w:rsidRPr="00CB1763" w:rsidRDefault="00BA56AD" w:rsidP="00FB5615">
            <w:pPr>
              <w:jc w:val="center"/>
              <w:rPr>
                <w:rFonts w:ascii="Calibri" w:hAnsi="Calibri"/>
                <w:b/>
                <w:bCs/>
                <w:i/>
                <w:color w:val="FFFFFF"/>
                <w:sz w:val="16"/>
                <w:szCs w:val="16"/>
                <w:lang w:val="es-CO" w:eastAsia="es-CO"/>
              </w:rPr>
            </w:pPr>
            <w:r w:rsidRPr="00CB1763">
              <w:rPr>
                <w:rFonts w:ascii="Calibri" w:hAnsi="Calibri"/>
                <w:b/>
                <w:bCs/>
                <w:i/>
                <w:color w:val="FFFFFF"/>
                <w:sz w:val="16"/>
                <w:szCs w:val="16"/>
                <w:lang w:val="es-CO" w:eastAsia="es-CO"/>
              </w:rPr>
              <w:t xml:space="preserve">5,137,204,191 </w:t>
            </w:r>
          </w:p>
        </w:tc>
        <w:tc>
          <w:tcPr>
            <w:tcW w:w="1440" w:type="dxa"/>
            <w:tcBorders>
              <w:top w:val="nil"/>
              <w:left w:val="nil"/>
              <w:bottom w:val="single" w:sz="4" w:space="0" w:color="auto"/>
              <w:right w:val="single" w:sz="4" w:space="0" w:color="auto"/>
            </w:tcBorders>
            <w:shd w:val="clear" w:color="000000" w:fill="002060"/>
            <w:noWrap/>
            <w:vAlign w:val="center"/>
            <w:hideMark/>
          </w:tcPr>
          <w:p w14:paraId="1FA6C730" w14:textId="77777777" w:rsidR="00BA56AD" w:rsidRPr="00CB1763" w:rsidRDefault="00BA56AD" w:rsidP="00FB5615">
            <w:pPr>
              <w:jc w:val="center"/>
              <w:rPr>
                <w:rFonts w:ascii="Calibri" w:hAnsi="Calibri"/>
                <w:b/>
                <w:bCs/>
                <w:i/>
                <w:color w:val="FFFFFF"/>
                <w:sz w:val="16"/>
                <w:szCs w:val="16"/>
                <w:lang w:val="es-CO" w:eastAsia="es-CO"/>
              </w:rPr>
            </w:pPr>
            <w:r w:rsidRPr="00CB1763">
              <w:rPr>
                <w:rFonts w:ascii="Calibri" w:hAnsi="Calibri"/>
                <w:b/>
                <w:bCs/>
                <w:i/>
                <w:color w:val="FFFFFF"/>
                <w:sz w:val="16"/>
                <w:szCs w:val="16"/>
                <w:lang w:val="es-CO" w:eastAsia="es-CO"/>
              </w:rPr>
              <w:t xml:space="preserve">5,826,240,322 </w:t>
            </w:r>
          </w:p>
        </w:tc>
      </w:tr>
    </w:tbl>
    <w:p w14:paraId="5CAB4CD0" w14:textId="77777777" w:rsidR="00BA56AD" w:rsidRDefault="00BA56AD" w:rsidP="00BA56AD">
      <w:pPr>
        <w:pStyle w:val="Style35"/>
        <w:shd w:val="clear" w:color="auto" w:fill="auto"/>
        <w:spacing w:before="104" w:after="120" w:line="302" w:lineRule="exact"/>
        <w:ind w:left="284" w:right="40"/>
        <w:rPr>
          <w:rStyle w:val="CharStyle36"/>
          <w:rFonts w:ascii="Bookman Old Style" w:hAnsi="Bookman Old Style"/>
          <w:i/>
          <w:color w:val="000000"/>
          <w:sz w:val="22"/>
          <w:lang w:eastAsia="es-ES_tradnl"/>
        </w:rPr>
      </w:pPr>
    </w:p>
    <w:p w14:paraId="32AEA30D" w14:textId="77777777" w:rsidR="00BA56AD" w:rsidRPr="00417C92" w:rsidRDefault="00BA56AD" w:rsidP="00BA56AD">
      <w:pPr>
        <w:pStyle w:val="Style35"/>
        <w:shd w:val="clear" w:color="auto" w:fill="auto"/>
        <w:spacing w:before="104" w:after="120" w:line="302" w:lineRule="exact"/>
        <w:ind w:left="284" w:right="40"/>
        <w:rPr>
          <w:rStyle w:val="CharStyle36"/>
          <w:color w:val="000000"/>
          <w:sz w:val="22"/>
        </w:rPr>
      </w:pPr>
      <w:r w:rsidRPr="00417C92">
        <w:rPr>
          <w:rStyle w:val="CharStyle36"/>
          <w:rFonts w:ascii="Bookman Old Style" w:hAnsi="Bookman Old Style"/>
          <w:i/>
          <w:color w:val="000000"/>
          <w:sz w:val="22"/>
          <w:lang w:eastAsia="es-ES_tradnl"/>
        </w:rPr>
        <w:t>Para efectos de la actualización de las unidades constructivas, adjuntamos a la presente, los cálculos en Excel</w:t>
      </w:r>
      <w:r>
        <w:rPr>
          <w:rStyle w:val="CharStyle36"/>
          <w:rFonts w:ascii="Bookman Old Style" w:hAnsi="Bookman Old Style"/>
          <w:i/>
          <w:color w:val="000000"/>
          <w:sz w:val="22"/>
          <w:lang w:eastAsia="es-ES_tradnl"/>
        </w:rPr>
        <w:t>.</w:t>
      </w:r>
    </w:p>
    <w:p w14:paraId="70B1FB3E" w14:textId="77777777" w:rsidR="00BA56AD" w:rsidRPr="00417C92" w:rsidRDefault="00BA56AD" w:rsidP="00BA56AD">
      <w:pPr>
        <w:pStyle w:val="Style35"/>
        <w:shd w:val="clear" w:color="auto" w:fill="auto"/>
        <w:spacing w:before="104" w:after="120" w:line="302" w:lineRule="exact"/>
        <w:ind w:left="284" w:right="40"/>
        <w:rPr>
          <w:rStyle w:val="CharStyle36"/>
          <w:color w:val="000000"/>
          <w:sz w:val="22"/>
        </w:rPr>
      </w:pPr>
      <w:r w:rsidRPr="00417C92">
        <w:rPr>
          <w:rStyle w:val="CharStyle36"/>
          <w:rFonts w:ascii="Bookman Old Style" w:hAnsi="Bookman Old Style"/>
          <w:i/>
          <w:color w:val="000000"/>
          <w:sz w:val="22"/>
          <w:lang w:eastAsia="es-ES_tradnl"/>
        </w:rPr>
        <w:t>3.3</w:t>
      </w:r>
      <w:r>
        <w:rPr>
          <w:rStyle w:val="CharStyle36"/>
          <w:rFonts w:ascii="Bookman Old Style" w:hAnsi="Bookman Old Style"/>
          <w:i/>
          <w:color w:val="000000"/>
          <w:sz w:val="22"/>
          <w:lang w:eastAsia="es-ES_tradnl"/>
        </w:rPr>
        <w:t>.</w:t>
      </w:r>
      <w:r w:rsidRPr="00417C92">
        <w:rPr>
          <w:rStyle w:val="CharStyle36"/>
          <w:rFonts w:ascii="Bookman Old Style" w:hAnsi="Bookman Old Style"/>
          <w:i/>
          <w:color w:val="000000"/>
          <w:sz w:val="22"/>
          <w:lang w:eastAsia="es-ES_tradnl"/>
        </w:rPr>
        <w:t xml:space="preserve"> En cuanto a la proyección de gastos AO&amp;M, dado que este valor resulta de la aplicación previa del porcentaje de Factor de Ajuste, el cual a su vez resulta de multiplicar el % AOM Eficiente (6,60%) por el BRA, que como se indicó en el punto anterior, está calculado a pesos de 2014 ($5.137.204.191), el resultado de este </w:t>
      </w:r>
      <w:r w:rsidRPr="00417C92">
        <w:rPr>
          <w:rStyle w:val="CharStyle36"/>
          <w:rFonts w:ascii="Bookman Old Style" w:hAnsi="Bookman Old Style"/>
          <w:i/>
          <w:color w:val="000000"/>
          <w:sz w:val="22"/>
          <w:lang w:eastAsia="es-ES_tradnl"/>
        </w:rPr>
        <w:lastRenderedPageBreak/>
        <w:t>porcentaje también se encuentra a pesos de 2014, razón por la cual solicitamos que una vez ajustado el BRA, los GASTOS AO&amp;M también se ajusten a pesos del 2017</w:t>
      </w:r>
      <w:r>
        <w:rPr>
          <w:rStyle w:val="CharStyle36"/>
          <w:rFonts w:ascii="Bookman Old Style" w:hAnsi="Bookman Old Style"/>
          <w:i/>
          <w:color w:val="000000"/>
          <w:sz w:val="22"/>
          <w:lang w:eastAsia="es-ES_tradnl"/>
        </w:rPr>
        <w:t>.</w:t>
      </w:r>
    </w:p>
    <w:p w14:paraId="77006B56" w14:textId="77777777" w:rsidR="00BA56AD" w:rsidRPr="00417C92" w:rsidRDefault="00BA56AD" w:rsidP="00BA56AD">
      <w:pPr>
        <w:pStyle w:val="Style35"/>
        <w:shd w:val="clear" w:color="auto" w:fill="auto"/>
        <w:spacing w:before="104" w:after="120" w:line="302" w:lineRule="exact"/>
        <w:ind w:left="284" w:right="40"/>
        <w:rPr>
          <w:rStyle w:val="CharStyle36"/>
          <w:rFonts w:ascii="Bookman Old Style" w:hAnsi="Bookman Old Style"/>
          <w:i/>
          <w:color w:val="000000"/>
          <w:sz w:val="22"/>
          <w:lang w:eastAsia="es-ES_tradnl"/>
        </w:rPr>
      </w:pPr>
      <w:r w:rsidRPr="00417C92">
        <w:rPr>
          <w:rStyle w:val="CharStyle36"/>
          <w:rFonts w:ascii="Bookman Old Style" w:hAnsi="Bookman Old Style"/>
          <w:i/>
          <w:color w:val="000000"/>
          <w:sz w:val="22"/>
          <w:lang w:eastAsia="es-ES_tradnl"/>
        </w:rPr>
        <w:t>Lo anterior también debe ser</w:t>
      </w:r>
      <w:r>
        <w:rPr>
          <w:rStyle w:val="CharStyle36"/>
          <w:rFonts w:ascii="Bookman Old Style" w:hAnsi="Bookman Old Style"/>
          <w:i/>
          <w:color w:val="000000"/>
          <w:sz w:val="22"/>
          <w:lang w:eastAsia="es-ES_tradnl"/>
        </w:rPr>
        <w:t xml:space="preserve"> </w:t>
      </w:r>
      <w:r w:rsidRPr="00417C92">
        <w:rPr>
          <w:rStyle w:val="CharStyle36"/>
          <w:rFonts w:ascii="Bookman Old Style" w:hAnsi="Bookman Old Style"/>
          <w:i/>
          <w:color w:val="000000"/>
          <w:sz w:val="22"/>
          <w:lang w:eastAsia="es-ES_tradnl"/>
        </w:rPr>
        <w:t>tenido en cuenta para el cálculo de Otros Gastos (Servidumbres y Terrenos).</w:t>
      </w:r>
    </w:p>
    <w:p w14:paraId="6622BF25" w14:textId="77777777" w:rsidR="00BA56AD" w:rsidRPr="00417C92" w:rsidRDefault="00BA56AD" w:rsidP="00BA56AD">
      <w:pPr>
        <w:pStyle w:val="Style35"/>
        <w:shd w:val="clear" w:color="auto" w:fill="auto"/>
        <w:spacing w:before="104" w:after="120" w:line="302" w:lineRule="exact"/>
        <w:ind w:left="284" w:right="40"/>
        <w:rPr>
          <w:rStyle w:val="CharStyle36"/>
          <w:rFonts w:ascii="Bookman Old Style" w:hAnsi="Bookman Old Style"/>
          <w:i/>
          <w:color w:val="000000"/>
          <w:sz w:val="22"/>
          <w:lang w:eastAsia="es-ES_tradnl"/>
        </w:rPr>
      </w:pPr>
      <w:r w:rsidRPr="00417C92">
        <w:rPr>
          <w:rStyle w:val="CharStyle36"/>
          <w:rFonts w:ascii="Bookman Old Style" w:hAnsi="Bookman Old Style"/>
          <w:i/>
          <w:color w:val="000000"/>
          <w:sz w:val="22"/>
          <w:lang w:eastAsia="es-ES_tradnl"/>
        </w:rPr>
        <w:t>3.4 Ahora bien, frente a</w:t>
      </w:r>
      <w:r>
        <w:rPr>
          <w:rStyle w:val="CharStyle36"/>
          <w:rFonts w:ascii="Bookman Old Style" w:hAnsi="Bookman Old Style"/>
          <w:i/>
          <w:color w:val="000000"/>
          <w:sz w:val="22"/>
          <w:lang w:eastAsia="es-ES_tradnl"/>
        </w:rPr>
        <w:t>l</w:t>
      </w:r>
      <w:r w:rsidRPr="00417C92">
        <w:rPr>
          <w:rStyle w:val="CharStyle36"/>
          <w:rFonts w:ascii="Bookman Old Style" w:hAnsi="Bookman Old Style"/>
          <w:i/>
          <w:color w:val="000000"/>
          <w:sz w:val="22"/>
          <w:lang w:eastAsia="es-ES_tradnl"/>
        </w:rPr>
        <w:t xml:space="preserve"> análisis de gastos AO&amp;M, el % de AOM</w:t>
      </w:r>
      <w:r w:rsidRPr="00417C92">
        <w:rPr>
          <w:rStyle w:val="CharStyle36"/>
          <w:rFonts w:ascii="Bookman Old Style" w:hAnsi="Bookman Old Style"/>
          <w:i/>
          <w:color w:val="000000"/>
          <w:sz w:val="22"/>
          <w:vertAlign w:val="subscript"/>
          <w:lang w:eastAsia="es-ES_tradnl"/>
        </w:rPr>
        <w:t>max reconocer</w:t>
      </w:r>
      <w:r w:rsidRPr="00417C92">
        <w:rPr>
          <w:rStyle w:val="CharStyle36"/>
          <w:rFonts w:ascii="Bookman Old Style" w:hAnsi="Bookman Old Style"/>
          <w:i/>
          <w:color w:val="000000"/>
          <w:sz w:val="22"/>
          <w:lang w:eastAsia="es-ES_tradnl"/>
        </w:rPr>
        <w:t xml:space="preserve"> es de (6.60%). Por ende, la proyección de AO&amp;M para cada uno de los años reportada por A</w:t>
      </w:r>
      <w:r>
        <w:rPr>
          <w:rStyle w:val="CharStyle36"/>
          <w:rFonts w:ascii="Bookman Old Style" w:hAnsi="Bookman Old Style"/>
          <w:i/>
          <w:color w:val="000000"/>
          <w:sz w:val="22"/>
          <w:lang w:eastAsia="es-ES_tradnl"/>
        </w:rPr>
        <w:t>l</w:t>
      </w:r>
      <w:r w:rsidRPr="00417C92">
        <w:rPr>
          <w:rStyle w:val="CharStyle36"/>
          <w:rFonts w:ascii="Bookman Old Style" w:hAnsi="Bookman Old Style"/>
          <w:i/>
          <w:color w:val="000000"/>
          <w:sz w:val="22"/>
          <w:lang w:eastAsia="es-ES_tradnl"/>
        </w:rPr>
        <w:t>canos de Colombia y ajustada conforme al menor de los crecimientos entre AO&amp;M y el de la demanda, debe ajustarse por el siguiente factor:</w:t>
      </w:r>
    </w:p>
    <w:p w14:paraId="5E0BE6DA" w14:textId="77777777" w:rsidR="00BA56AD" w:rsidRDefault="00BA56AD" w:rsidP="00BA56AD">
      <w:pPr>
        <w:pStyle w:val="Style6"/>
        <w:shd w:val="clear" w:color="auto" w:fill="auto"/>
        <w:tabs>
          <w:tab w:val="left" w:pos="486"/>
        </w:tabs>
        <w:spacing w:before="0" w:after="0" w:line="240" w:lineRule="auto"/>
        <w:ind w:left="284" w:right="425" w:firstLine="0"/>
        <w:rPr>
          <w:rStyle w:val="CharStyle36"/>
          <w:color w:val="000000"/>
          <w:lang w:eastAsia="es-ES_tradnl"/>
        </w:rPr>
      </w:pPr>
    </w:p>
    <w:p w14:paraId="09A40F11" w14:textId="77777777" w:rsidR="00BA56AD" w:rsidRDefault="00BA56AD" w:rsidP="00BA56AD">
      <w:pPr>
        <w:pStyle w:val="Style6"/>
        <w:shd w:val="clear" w:color="auto" w:fill="auto"/>
        <w:tabs>
          <w:tab w:val="left" w:pos="486"/>
        </w:tabs>
        <w:spacing w:before="0" w:after="0" w:line="240" w:lineRule="auto"/>
        <w:ind w:left="284" w:right="425" w:firstLine="0"/>
        <w:jc w:val="center"/>
        <w:rPr>
          <w:rStyle w:val="CharStyle7"/>
          <w:rFonts w:ascii="Bookman Old Style" w:hAnsi="Bookman Old Style"/>
          <w:sz w:val="20"/>
          <w:szCs w:val="20"/>
          <w:lang w:eastAsia="es-ES_tradnl"/>
        </w:rPr>
      </w:pPr>
      <w:r w:rsidRPr="00B41A74">
        <w:rPr>
          <w:rStyle w:val="CharStyle36"/>
          <w:noProof/>
          <w:color w:val="000000"/>
        </w:rPr>
        <w:drawing>
          <wp:inline distT="0" distB="0" distL="0" distR="0" wp14:anchorId="494A867D" wp14:editId="4B164C81">
            <wp:extent cx="2926657" cy="1192378"/>
            <wp:effectExtent l="0" t="0" r="762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1911" cy="1202667"/>
                    </a:xfrm>
                    <a:prstGeom prst="rect">
                      <a:avLst/>
                    </a:prstGeom>
                    <a:noFill/>
                    <a:ln>
                      <a:noFill/>
                    </a:ln>
                  </pic:spPr>
                </pic:pic>
              </a:graphicData>
            </a:graphic>
          </wp:inline>
        </w:drawing>
      </w:r>
    </w:p>
    <w:p w14:paraId="75E2B8CB"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15D837BD" w14:textId="77777777" w:rsidR="00BA56AD" w:rsidRPr="00417C92" w:rsidRDefault="00BA56AD" w:rsidP="00BA56AD">
      <w:pPr>
        <w:pStyle w:val="Style35"/>
        <w:shd w:val="clear" w:color="auto" w:fill="auto"/>
        <w:spacing w:before="104" w:after="120" w:line="302" w:lineRule="exact"/>
        <w:ind w:left="284" w:right="40"/>
        <w:rPr>
          <w:rStyle w:val="CharStyle36"/>
          <w:rFonts w:ascii="Bookman Old Style" w:hAnsi="Bookman Old Style"/>
          <w:i/>
          <w:color w:val="000000"/>
          <w:sz w:val="22"/>
          <w:lang w:eastAsia="es-ES_tradnl"/>
        </w:rPr>
      </w:pPr>
      <w:r w:rsidRPr="00417C92">
        <w:rPr>
          <w:rStyle w:val="CharStyle36"/>
          <w:rFonts w:ascii="Bookman Old Style" w:hAnsi="Bookman Old Style"/>
          <w:i/>
          <w:color w:val="000000"/>
          <w:sz w:val="22"/>
          <w:lang w:eastAsia="es-ES_tradnl"/>
        </w:rPr>
        <w:t>Como se observa del anterior ejercicio, el cálculo arroja un % ajuste a la proyección de demanda de 63,33%. Sin embargo, el porcentaje calculado por la CREG es de 65,66% tal y como se indica en la pag 106 del documento soporte de la Resolución CREG 005 de 2019. No obstante, lo anterior, la CREG aplicó el 48,36%, lo que genera un menor reconocimiento del AO&amp;M</w:t>
      </w:r>
      <w:r>
        <w:rPr>
          <w:rStyle w:val="CharStyle36"/>
          <w:rFonts w:ascii="Bookman Old Style" w:hAnsi="Bookman Old Style"/>
          <w:i/>
          <w:color w:val="000000"/>
          <w:sz w:val="22"/>
          <w:lang w:eastAsia="es-ES_tradnl"/>
        </w:rPr>
        <w:t>.</w:t>
      </w:r>
    </w:p>
    <w:p w14:paraId="22DF0808"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6143E17D" w14:textId="77777777" w:rsidR="00BA56AD" w:rsidRDefault="00BA56AD" w:rsidP="00BA56AD">
      <w:pPr>
        <w:pStyle w:val="Style6"/>
        <w:shd w:val="clear" w:color="auto" w:fill="auto"/>
        <w:tabs>
          <w:tab w:val="left" w:pos="486"/>
        </w:tabs>
        <w:spacing w:before="0" w:after="0" w:line="240" w:lineRule="auto"/>
        <w:ind w:left="284" w:right="425" w:firstLine="0"/>
        <w:jc w:val="center"/>
        <w:rPr>
          <w:rStyle w:val="CharStyle7"/>
          <w:rFonts w:ascii="Bookman Old Style" w:hAnsi="Bookman Old Style"/>
          <w:sz w:val="20"/>
          <w:szCs w:val="20"/>
          <w:lang w:eastAsia="es-ES_tradnl"/>
        </w:rPr>
      </w:pPr>
      <w:r w:rsidRPr="00A123E9">
        <w:rPr>
          <w:rStyle w:val="CharStyle7"/>
          <w:i/>
          <w:iCs/>
          <w:noProof/>
          <w:shd w:val="clear" w:color="auto" w:fill="auto"/>
        </w:rPr>
        <w:drawing>
          <wp:inline distT="0" distB="0" distL="0" distR="0" wp14:anchorId="3181BFFD" wp14:editId="59AF1F8E">
            <wp:extent cx="4710989" cy="3204609"/>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22283" cy="3212292"/>
                    </a:xfrm>
                    <a:prstGeom prst="rect">
                      <a:avLst/>
                    </a:prstGeom>
                    <a:noFill/>
                    <a:ln>
                      <a:noFill/>
                    </a:ln>
                  </pic:spPr>
                </pic:pic>
              </a:graphicData>
            </a:graphic>
          </wp:inline>
        </w:drawing>
      </w:r>
    </w:p>
    <w:p w14:paraId="042E564D"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00B16BF1" w14:textId="77777777" w:rsidR="00BA56AD" w:rsidRPr="00791906" w:rsidRDefault="00BA56AD" w:rsidP="00BA56AD">
      <w:pPr>
        <w:pStyle w:val="Style35"/>
        <w:shd w:val="clear" w:color="auto" w:fill="auto"/>
        <w:spacing w:before="104" w:after="120" w:line="302" w:lineRule="exact"/>
        <w:ind w:left="284" w:right="40"/>
        <w:rPr>
          <w:rStyle w:val="CharStyle36"/>
          <w:rFonts w:ascii="Bookman Old Style" w:hAnsi="Bookman Old Style"/>
          <w:i/>
          <w:color w:val="000000"/>
          <w:sz w:val="22"/>
          <w:lang w:eastAsia="es-ES_tradnl"/>
        </w:rPr>
      </w:pPr>
      <w:r w:rsidRPr="00791906">
        <w:rPr>
          <w:rStyle w:val="CharStyle36"/>
          <w:rFonts w:ascii="Bookman Old Style" w:hAnsi="Bookman Old Style"/>
          <w:i/>
          <w:color w:val="000000"/>
          <w:sz w:val="22"/>
          <w:lang w:eastAsia="es-ES_tradnl"/>
        </w:rPr>
        <w:t>Por lo anterior, las componentes a ser aprobadas, a $ Di</w:t>
      </w:r>
      <w:r>
        <w:rPr>
          <w:rStyle w:val="CharStyle36"/>
          <w:rFonts w:ascii="Bookman Old Style" w:hAnsi="Bookman Old Style"/>
          <w:i/>
          <w:color w:val="000000"/>
          <w:sz w:val="22"/>
          <w:lang w:eastAsia="es-ES_tradnl"/>
        </w:rPr>
        <w:t>c</w:t>
      </w:r>
      <w:r w:rsidRPr="00791906">
        <w:rPr>
          <w:rStyle w:val="CharStyle36"/>
          <w:rFonts w:ascii="Bookman Old Style" w:hAnsi="Bookman Old Style"/>
          <w:i/>
          <w:color w:val="000000"/>
          <w:sz w:val="22"/>
          <w:lang w:eastAsia="es-ES_tradnl"/>
        </w:rPr>
        <w:t xml:space="preserve"> 2017, para el año 2019 en adelante deben ser las siguientes</w:t>
      </w:r>
      <w:r>
        <w:rPr>
          <w:rStyle w:val="CharStyle36"/>
          <w:rFonts w:ascii="Bookman Old Style" w:hAnsi="Bookman Old Style"/>
          <w:i/>
          <w:color w:val="000000"/>
          <w:sz w:val="22"/>
          <w:lang w:eastAsia="es-ES_tradnl"/>
        </w:rPr>
        <w:t>:</w:t>
      </w:r>
    </w:p>
    <w:p w14:paraId="3186B739" w14:textId="77777777" w:rsidR="00BA56AD" w:rsidRDefault="00BA56AD" w:rsidP="00BA56AD">
      <w:pPr>
        <w:pStyle w:val="Style6"/>
        <w:shd w:val="clear" w:color="auto" w:fill="auto"/>
        <w:tabs>
          <w:tab w:val="left" w:pos="486"/>
        </w:tabs>
        <w:spacing w:before="0" w:after="0" w:line="240" w:lineRule="auto"/>
        <w:ind w:left="284" w:right="425" w:firstLine="0"/>
        <w:jc w:val="center"/>
        <w:rPr>
          <w:rStyle w:val="CharStyle7"/>
          <w:rFonts w:ascii="Bookman Old Style" w:hAnsi="Bookman Old Style"/>
          <w:sz w:val="20"/>
          <w:szCs w:val="20"/>
          <w:lang w:eastAsia="es-ES_tradnl"/>
        </w:rPr>
      </w:pPr>
      <w:r>
        <w:rPr>
          <w:rStyle w:val="CharStyle7"/>
          <w:rFonts w:ascii="Bookman Old Style" w:hAnsi="Bookman Old Style"/>
          <w:noProof/>
          <w:sz w:val="20"/>
          <w:szCs w:val="20"/>
        </w:rPr>
        <w:lastRenderedPageBreak/>
        <w:drawing>
          <wp:inline distT="0" distB="0" distL="0" distR="0" wp14:anchorId="2E5A71D7" wp14:editId="5ECE041E">
            <wp:extent cx="3057754" cy="2160344"/>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8765" cy="2168123"/>
                    </a:xfrm>
                    <a:prstGeom prst="rect">
                      <a:avLst/>
                    </a:prstGeom>
                    <a:noFill/>
                    <a:ln>
                      <a:noFill/>
                    </a:ln>
                  </pic:spPr>
                </pic:pic>
              </a:graphicData>
            </a:graphic>
          </wp:inline>
        </w:drawing>
      </w:r>
    </w:p>
    <w:p w14:paraId="182FC1CE"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7B2AAE5F" w14:textId="77777777" w:rsidR="00BA56AD" w:rsidRDefault="00BA56AD" w:rsidP="00BA56AD">
      <w:pPr>
        <w:pStyle w:val="Style35"/>
        <w:shd w:val="clear" w:color="auto" w:fill="auto"/>
        <w:spacing w:before="104" w:after="120" w:line="302" w:lineRule="exact"/>
        <w:ind w:left="284" w:right="40"/>
        <w:rPr>
          <w:rStyle w:val="CharStyle36"/>
          <w:rFonts w:ascii="Bookman Old Style" w:hAnsi="Bookman Old Style"/>
          <w:i/>
          <w:color w:val="000000"/>
          <w:sz w:val="22"/>
          <w:lang w:eastAsia="es-ES_tradnl"/>
        </w:rPr>
      </w:pPr>
      <w:r w:rsidRPr="00791906">
        <w:rPr>
          <w:rStyle w:val="CharStyle36"/>
          <w:rFonts w:ascii="Bookman Old Style" w:hAnsi="Bookman Old Style"/>
          <w:i/>
          <w:color w:val="000000"/>
          <w:sz w:val="22"/>
          <w:lang w:eastAsia="es-ES_tradnl"/>
        </w:rPr>
        <w:t>Consideramos que los anteriores, corresponden a errores de cálculo, los cuales debe ser ajustados conforme lo dispuesto en el presente recurso, de lo contrario contravendrían las disposiciones legales que a continuación se enuncian:</w:t>
      </w:r>
    </w:p>
    <w:p w14:paraId="2F70735A" w14:textId="77777777" w:rsidR="00BA56AD" w:rsidRPr="00791906" w:rsidRDefault="00BA56AD" w:rsidP="00BA56AD">
      <w:pPr>
        <w:pStyle w:val="Style35"/>
        <w:numPr>
          <w:ilvl w:val="0"/>
          <w:numId w:val="60"/>
        </w:numPr>
        <w:shd w:val="clear" w:color="auto" w:fill="auto"/>
        <w:spacing w:before="0" w:after="0" w:line="281" w:lineRule="exact"/>
        <w:ind w:left="709" w:right="20"/>
        <w:jc w:val="left"/>
        <w:rPr>
          <w:rStyle w:val="CharStyle36"/>
          <w:rFonts w:ascii="Bookman Old Style" w:hAnsi="Bookman Old Style"/>
          <w:i/>
          <w:color w:val="000000"/>
          <w:sz w:val="22"/>
          <w:lang w:eastAsia="es-ES_tradnl"/>
        </w:rPr>
      </w:pPr>
      <w:r w:rsidRPr="00791906">
        <w:rPr>
          <w:rStyle w:val="CharStyle36"/>
          <w:rFonts w:ascii="Bookman Old Style" w:hAnsi="Bookman Old Style"/>
          <w:i/>
          <w:color w:val="000000"/>
          <w:sz w:val="22"/>
          <w:lang w:eastAsia="es-ES_tradnl"/>
        </w:rPr>
        <w:t xml:space="preserve">Violación al principio de legalidad. </w:t>
      </w:r>
      <w:r w:rsidRPr="00055B68">
        <w:rPr>
          <w:rStyle w:val="CharStyle36"/>
          <w:rFonts w:ascii="Bookman Old Style" w:hAnsi="Bookman Old Style"/>
          <w:i/>
          <w:color w:val="000000"/>
          <w:sz w:val="22"/>
          <w:lang w:eastAsia="en-US"/>
        </w:rPr>
        <w:t xml:space="preserve">Art. </w:t>
      </w:r>
      <w:r w:rsidRPr="00791906">
        <w:rPr>
          <w:rStyle w:val="CharStyle36"/>
          <w:rFonts w:ascii="Bookman Old Style" w:hAnsi="Bookman Old Style"/>
          <w:i/>
          <w:color w:val="000000"/>
          <w:sz w:val="22"/>
          <w:lang w:eastAsia="es-ES_tradnl"/>
        </w:rPr>
        <w:t>34.1</w:t>
      </w:r>
      <w:r w:rsidRPr="00791906">
        <w:rPr>
          <w:rStyle w:val="CharStyle36"/>
          <w:rFonts w:ascii="Bookman Old Style" w:hAnsi="Bookman Old Style"/>
          <w:i/>
          <w:color w:val="000000"/>
          <w:sz w:val="22"/>
          <w:vertAlign w:val="superscript"/>
          <w:lang w:eastAsia="es-ES_tradnl"/>
        </w:rPr>
        <w:t>1</w:t>
      </w:r>
      <w:r w:rsidRPr="00791906">
        <w:rPr>
          <w:rStyle w:val="CharStyle36"/>
          <w:rFonts w:ascii="Bookman Old Style" w:hAnsi="Bookman Old Style"/>
          <w:i/>
          <w:color w:val="000000"/>
          <w:sz w:val="22"/>
          <w:lang w:eastAsia="es-ES_tradnl"/>
        </w:rPr>
        <w:t>, 86, 87.1, 87.4, 88, 74.1 literal d) de la ley 142 de 1994.</w:t>
      </w:r>
    </w:p>
    <w:p w14:paraId="08061718" w14:textId="77777777" w:rsidR="00BA56AD" w:rsidRPr="00791906" w:rsidRDefault="00BA56AD" w:rsidP="00BA56AD">
      <w:pPr>
        <w:pStyle w:val="Style35"/>
        <w:shd w:val="clear" w:color="auto" w:fill="auto"/>
        <w:spacing w:before="0" w:after="0" w:line="281" w:lineRule="exact"/>
        <w:ind w:left="709" w:right="20"/>
        <w:jc w:val="left"/>
        <w:rPr>
          <w:rFonts w:ascii="Bookman Old Style" w:hAnsi="Bookman Old Style"/>
          <w:sz w:val="22"/>
        </w:rPr>
      </w:pPr>
    </w:p>
    <w:p w14:paraId="6CB0AD90" w14:textId="77777777" w:rsidR="00BA56AD" w:rsidRPr="00791906" w:rsidRDefault="00BA56AD" w:rsidP="00BA56AD">
      <w:pPr>
        <w:pStyle w:val="Style6"/>
        <w:numPr>
          <w:ilvl w:val="0"/>
          <w:numId w:val="60"/>
        </w:numPr>
        <w:shd w:val="clear" w:color="auto" w:fill="auto"/>
        <w:tabs>
          <w:tab w:val="left" w:pos="486"/>
        </w:tabs>
        <w:spacing w:before="0" w:after="0" w:line="240" w:lineRule="auto"/>
        <w:ind w:left="709" w:right="425"/>
        <w:rPr>
          <w:rStyle w:val="CharStyle7"/>
          <w:rFonts w:ascii="Bookman Old Style" w:hAnsi="Bookman Old Style"/>
          <w:i/>
          <w:sz w:val="18"/>
          <w:szCs w:val="20"/>
          <w:lang w:eastAsia="es-ES_tradnl"/>
        </w:rPr>
      </w:pPr>
      <w:r w:rsidRPr="00791906">
        <w:rPr>
          <w:rStyle w:val="CharStyle36"/>
          <w:rFonts w:ascii="Bookman Old Style" w:hAnsi="Bookman Old Style"/>
          <w:i/>
          <w:color w:val="000000"/>
          <w:sz w:val="22"/>
          <w:lang w:eastAsia="es-ES_tradnl"/>
        </w:rPr>
        <w:t>Violación al derecho que tienen las empresas al reconocimiento de sus inversiones”</w:t>
      </w:r>
    </w:p>
    <w:p w14:paraId="50FF4FD8"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6DA6E5E9" w14:textId="77777777" w:rsidR="00BA56AD" w:rsidRPr="00514F99" w:rsidRDefault="00BA56AD" w:rsidP="00BA56AD">
      <w:pPr>
        <w:suppressAutoHyphens/>
        <w:ind w:right="222"/>
        <w:rPr>
          <w:b/>
        </w:rPr>
      </w:pPr>
      <w:r w:rsidRPr="00514F99">
        <w:rPr>
          <w:b/>
        </w:rPr>
        <w:t>2.</w:t>
      </w:r>
      <w:r>
        <w:rPr>
          <w:b/>
        </w:rPr>
        <w:t>2.</w:t>
      </w:r>
      <w:r w:rsidRPr="00514F99">
        <w:rPr>
          <w:b/>
        </w:rPr>
        <w:t xml:space="preserve"> </w:t>
      </w:r>
      <w:r w:rsidRPr="00514F99">
        <w:rPr>
          <w:rFonts w:cs="Arial"/>
          <w:b/>
          <w:lang w:val="es-ES_tradnl"/>
        </w:rPr>
        <w:t>C.S.P. SOSTENIBLES S.A. E.S.P.</w:t>
      </w:r>
    </w:p>
    <w:p w14:paraId="36CF10AF" w14:textId="77777777" w:rsidR="00BA56AD" w:rsidRDefault="00BA56AD" w:rsidP="00BA56AD">
      <w:pPr>
        <w:suppressAutoHyphens/>
        <w:ind w:right="222"/>
      </w:pPr>
    </w:p>
    <w:p w14:paraId="40BFD8EC" w14:textId="77777777" w:rsidR="00BA56AD" w:rsidRPr="00981B56" w:rsidRDefault="00BA56AD" w:rsidP="00BA56AD">
      <w:pPr>
        <w:pStyle w:val="Default"/>
        <w:ind w:left="426"/>
        <w:jc w:val="both"/>
        <w:rPr>
          <w:rFonts w:ascii="Bookman Old Style" w:hAnsi="Bookman Old Style"/>
          <w:i/>
          <w:sz w:val="22"/>
          <w:szCs w:val="22"/>
        </w:rPr>
      </w:pPr>
      <w:r>
        <w:t xml:space="preserve"> </w:t>
      </w:r>
      <w:r w:rsidRPr="00981B56">
        <w:rPr>
          <w:sz w:val="22"/>
          <w:szCs w:val="22"/>
        </w:rPr>
        <w:t>“</w:t>
      </w:r>
      <w:r w:rsidRPr="00981B56">
        <w:rPr>
          <w:rFonts w:ascii="Bookman Old Style" w:hAnsi="Bookman Old Style"/>
          <w:b/>
          <w:bCs/>
          <w:i/>
          <w:sz w:val="22"/>
          <w:szCs w:val="22"/>
        </w:rPr>
        <w:t xml:space="preserve">Antecedentes </w:t>
      </w:r>
    </w:p>
    <w:p w14:paraId="1AF1BD4A" w14:textId="77777777" w:rsidR="00BA56AD" w:rsidRPr="00981B56" w:rsidRDefault="00BA56AD" w:rsidP="00BA56AD">
      <w:pPr>
        <w:pStyle w:val="Default"/>
        <w:ind w:left="426"/>
        <w:jc w:val="both"/>
        <w:rPr>
          <w:rFonts w:ascii="Bookman Old Style" w:hAnsi="Bookman Old Style"/>
          <w:i/>
          <w:sz w:val="22"/>
          <w:szCs w:val="22"/>
        </w:rPr>
      </w:pPr>
    </w:p>
    <w:p w14:paraId="46F77468" w14:textId="77777777" w:rsidR="00BA56AD" w:rsidRPr="00981B56" w:rsidRDefault="00BA56AD" w:rsidP="00BA56AD">
      <w:pPr>
        <w:pStyle w:val="Default"/>
        <w:ind w:left="426"/>
        <w:jc w:val="both"/>
        <w:rPr>
          <w:rFonts w:ascii="Bookman Old Style" w:hAnsi="Bookman Old Style"/>
          <w:i/>
          <w:sz w:val="22"/>
          <w:szCs w:val="22"/>
        </w:rPr>
      </w:pPr>
      <w:r w:rsidRPr="00981B56">
        <w:rPr>
          <w:rFonts w:ascii="Bookman Old Style" w:hAnsi="Bookman Old Style"/>
          <w:i/>
          <w:sz w:val="22"/>
          <w:szCs w:val="22"/>
        </w:rPr>
        <w:t xml:space="preserve">La CREG mediante la Resolución 005 de 2019 aprobó cargos para distribución de gas combustible por redes de tuberías, pero no especifica si el tipo de gas a distribuir es gas natural o gas licuado del petróleo-GLP. </w:t>
      </w:r>
    </w:p>
    <w:p w14:paraId="1E39A049" w14:textId="77777777" w:rsidR="00BA56AD" w:rsidRPr="00981B56" w:rsidRDefault="00BA56AD" w:rsidP="00BA56AD">
      <w:pPr>
        <w:pStyle w:val="Default"/>
        <w:ind w:left="426"/>
        <w:jc w:val="both"/>
        <w:rPr>
          <w:rFonts w:ascii="Bookman Old Style" w:hAnsi="Bookman Old Style"/>
          <w:i/>
          <w:sz w:val="22"/>
          <w:szCs w:val="22"/>
        </w:rPr>
      </w:pPr>
    </w:p>
    <w:p w14:paraId="23C6D694" w14:textId="77777777" w:rsidR="00BA56AD" w:rsidRPr="00981B56" w:rsidRDefault="00BA56AD" w:rsidP="00BA56AD">
      <w:pPr>
        <w:pStyle w:val="Default"/>
        <w:ind w:left="426"/>
        <w:jc w:val="both"/>
        <w:rPr>
          <w:rFonts w:ascii="Bookman Old Style" w:hAnsi="Bookman Old Style"/>
          <w:i/>
          <w:sz w:val="22"/>
          <w:szCs w:val="22"/>
        </w:rPr>
      </w:pPr>
      <w:r w:rsidRPr="00981B56">
        <w:rPr>
          <w:rFonts w:ascii="Bookman Old Style" w:hAnsi="Bookman Old Style"/>
          <w:i/>
          <w:sz w:val="22"/>
          <w:szCs w:val="22"/>
        </w:rPr>
        <w:t xml:space="preserve">De conformidad con el numeral 6.6 de la Resolución CREG 202 de 2013 se estableció: </w:t>
      </w:r>
    </w:p>
    <w:p w14:paraId="1E22BF3D" w14:textId="77777777" w:rsidR="00BA56AD" w:rsidRPr="00981B56" w:rsidRDefault="00BA56AD" w:rsidP="00BA56AD">
      <w:pPr>
        <w:pStyle w:val="Default"/>
        <w:ind w:left="426"/>
        <w:jc w:val="both"/>
        <w:rPr>
          <w:rFonts w:ascii="Bookman Old Style" w:hAnsi="Bookman Old Style"/>
          <w:i/>
          <w:sz w:val="22"/>
          <w:szCs w:val="22"/>
        </w:rPr>
      </w:pPr>
    </w:p>
    <w:p w14:paraId="360F47F9" w14:textId="77777777" w:rsidR="00BA56AD" w:rsidRPr="00981B56" w:rsidRDefault="00BA56AD" w:rsidP="00BA56AD">
      <w:pPr>
        <w:pStyle w:val="Default"/>
        <w:ind w:left="851"/>
        <w:jc w:val="both"/>
        <w:rPr>
          <w:rFonts w:ascii="Bookman Old Style" w:hAnsi="Bookman Old Style"/>
          <w:i/>
          <w:iCs/>
          <w:sz w:val="22"/>
          <w:szCs w:val="22"/>
        </w:rPr>
      </w:pPr>
      <w:r w:rsidRPr="00981B56">
        <w:rPr>
          <w:rFonts w:ascii="Bookman Old Style" w:hAnsi="Bookman Old Style"/>
          <w:i/>
          <w:iCs/>
          <w:sz w:val="22"/>
          <w:szCs w:val="22"/>
        </w:rPr>
        <w:t xml:space="preserve">“6.6 SOLICITUDES DE CARGOS TRAMITADOS PARALELAMENTE. </w:t>
      </w:r>
    </w:p>
    <w:p w14:paraId="0348F9DF" w14:textId="77777777" w:rsidR="00BA56AD" w:rsidRPr="00981B56" w:rsidRDefault="00BA56AD" w:rsidP="00BA56AD">
      <w:pPr>
        <w:pStyle w:val="Default"/>
        <w:tabs>
          <w:tab w:val="left" w:pos="4145"/>
        </w:tabs>
        <w:ind w:left="851"/>
        <w:jc w:val="both"/>
        <w:rPr>
          <w:rFonts w:ascii="Bookman Old Style" w:hAnsi="Bookman Old Style"/>
          <w:i/>
          <w:sz w:val="22"/>
          <w:szCs w:val="22"/>
        </w:rPr>
      </w:pPr>
      <w:r>
        <w:rPr>
          <w:rFonts w:ascii="Bookman Old Style" w:hAnsi="Bookman Old Style"/>
          <w:i/>
          <w:sz w:val="22"/>
          <w:szCs w:val="22"/>
        </w:rPr>
        <w:tab/>
      </w:r>
    </w:p>
    <w:p w14:paraId="21A68E65" w14:textId="77777777" w:rsidR="00BA56AD" w:rsidRPr="00981B56" w:rsidRDefault="00BA56AD" w:rsidP="00BA56AD">
      <w:pPr>
        <w:pStyle w:val="Default"/>
        <w:ind w:left="851"/>
        <w:jc w:val="both"/>
        <w:rPr>
          <w:rFonts w:ascii="Bookman Old Style" w:hAnsi="Bookman Old Style"/>
          <w:i/>
          <w:iCs/>
          <w:sz w:val="22"/>
          <w:szCs w:val="22"/>
        </w:rPr>
      </w:pPr>
      <w:r w:rsidRPr="00981B56">
        <w:rPr>
          <w:rFonts w:ascii="Bookman Old Style" w:hAnsi="Bookman Old Style"/>
          <w:i/>
          <w:iCs/>
          <w:sz w:val="22"/>
          <w:szCs w:val="22"/>
        </w:rPr>
        <w:t xml:space="preserve">Cuando más de un Distribuidor presente solicitud de aprobación de Cargos de Distribución para un Mercado Relevante de Distribución para el Siguiente Período Tarifario que esté conformado por los mismos municipios o cuando se trate de Mercados Relevantes diferentes, pero en los que coincida(n) algún o algunos municipios, la Comisión procederá de la siguiente forma: </w:t>
      </w:r>
    </w:p>
    <w:p w14:paraId="0DB17CE2" w14:textId="77777777" w:rsidR="00BA56AD" w:rsidRPr="00981B56" w:rsidRDefault="00BA56AD" w:rsidP="00BA56AD">
      <w:pPr>
        <w:pStyle w:val="Default"/>
        <w:ind w:left="851"/>
        <w:jc w:val="both"/>
        <w:rPr>
          <w:rFonts w:ascii="Bookman Old Style" w:hAnsi="Bookman Old Style"/>
          <w:i/>
          <w:sz w:val="22"/>
          <w:szCs w:val="22"/>
        </w:rPr>
      </w:pPr>
    </w:p>
    <w:p w14:paraId="6D109974" w14:textId="77777777" w:rsidR="00BA56AD" w:rsidRPr="00981B56" w:rsidRDefault="00BA56AD" w:rsidP="00BA56AD">
      <w:pPr>
        <w:pStyle w:val="Default"/>
        <w:numPr>
          <w:ilvl w:val="0"/>
          <w:numId w:val="57"/>
        </w:numPr>
        <w:jc w:val="both"/>
        <w:rPr>
          <w:rFonts w:ascii="Bookman Old Style" w:hAnsi="Bookman Old Style"/>
          <w:i/>
          <w:iCs/>
          <w:sz w:val="22"/>
          <w:szCs w:val="22"/>
        </w:rPr>
      </w:pPr>
      <w:r w:rsidRPr="00981B56">
        <w:rPr>
          <w:rFonts w:ascii="Bookman Old Style" w:hAnsi="Bookman Old Style"/>
          <w:i/>
          <w:iCs/>
          <w:sz w:val="22"/>
          <w:szCs w:val="22"/>
        </w:rPr>
        <w:t xml:space="preserve">Mercados Relevantes de Distribución para el Siguiente Período Tarifario que sean iguales: </w:t>
      </w:r>
    </w:p>
    <w:p w14:paraId="30DBEF8D" w14:textId="77777777" w:rsidR="00BA56AD" w:rsidRPr="00981B56" w:rsidRDefault="00BA56AD" w:rsidP="00BA56AD">
      <w:pPr>
        <w:pStyle w:val="Default"/>
        <w:ind w:left="851"/>
        <w:jc w:val="both"/>
        <w:rPr>
          <w:rFonts w:ascii="Bookman Old Style" w:hAnsi="Bookman Old Style"/>
          <w:i/>
          <w:iCs/>
          <w:sz w:val="22"/>
          <w:szCs w:val="22"/>
        </w:rPr>
      </w:pPr>
    </w:p>
    <w:p w14:paraId="0081CA2B" w14:textId="77777777" w:rsidR="00BA56AD" w:rsidRPr="00981B56" w:rsidRDefault="00BA56AD" w:rsidP="00BA56AD">
      <w:pPr>
        <w:pStyle w:val="Default"/>
        <w:numPr>
          <w:ilvl w:val="0"/>
          <w:numId w:val="58"/>
        </w:numPr>
        <w:jc w:val="both"/>
        <w:rPr>
          <w:rFonts w:ascii="Bookman Old Style" w:hAnsi="Bookman Old Style"/>
          <w:i/>
          <w:iCs/>
          <w:sz w:val="22"/>
          <w:szCs w:val="22"/>
        </w:rPr>
      </w:pPr>
      <w:r w:rsidRPr="00981B56">
        <w:rPr>
          <w:rFonts w:ascii="Bookman Old Style" w:hAnsi="Bookman Old Style"/>
          <w:i/>
          <w:iCs/>
          <w:sz w:val="22"/>
          <w:szCs w:val="22"/>
        </w:rPr>
        <w:t>La CREG revisará la información de cada solicitud tarifaria y verificará el cumplimiento de los requisitos según lo establecido en esta Resolución.</w:t>
      </w:r>
    </w:p>
    <w:p w14:paraId="0E359436" w14:textId="77777777" w:rsidR="00BA56AD" w:rsidRPr="00981B56" w:rsidRDefault="00BA56AD" w:rsidP="00BA56AD">
      <w:pPr>
        <w:pStyle w:val="Default"/>
        <w:ind w:left="1211"/>
        <w:jc w:val="both"/>
        <w:rPr>
          <w:rFonts w:ascii="Bookman Old Style" w:hAnsi="Bookman Old Style"/>
          <w:i/>
          <w:sz w:val="22"/>
          <w:szCs w:val="22"/>
        </w:rPr>
      </w:pPr>
      <w:r w:rsidRPr="00981B56">
        <w:rPr>
          <w:rFonts w:ascii="Bookman Old Style" w:hAnsi="Bookman Old Style"/>
          <w:i/>
          <w:iCs/>
          <w:sz w:val="22"/>
          <w:szCs w:val="22"/>
        </w:rPr>
        <w:t xml:space="preserve"> </w:t>
      </w:r>
    </w:p>
    <w:p w14:paraId="3883A520" w14:textId="77777777" w:rsidR="00BA56AD" w:rsidRPr="00981B56" w:rsidRDefault="00BA56AD" w:rsidP="00BA56AD">
      <w:pPr>
        <w:pStyle w:val="Default"/>
        <w:numPr>
          <w:ilvl w:val="0"/>
          <w:numId w:val="58"/>
        </w:numPr>
        <w:jc w:val="both"/>
        <w:rPr>
          <w:rFonts w:ascii="Bookman Old Style" w:hAnsi="Bookman Old Style"/>
          <w:i/>
          <w:iCs/>
          <w:sz w:val="22"/>
          <w:szCs w:val="22"/>
        </w:rPr>
      </w:pPr>
      <w:r w:rsidRPr="00981B56">
        <w:rPr>
          <w:rFonts w:ascii="Bookman Old Style" w:hAnsi="Bookman Old Style"/>
          <w:i/>
          <w:iCs/>
          <w:sz w:val="22"/>
          <w:szCs w:val="22"/>
        </w:rPr>
        <w:t xml:space="preserve">Posteriormente, la CREG enviará a cada Distribuidor un resumen de la otra solicitud con el propósito de recibir, dentro de los quince (15) días hábiles siguientes al envío de la comunicación, los comentarios sobre la misma. </w:t>
      </w:r>
    </w:p>
    <w:p w14:paraId="2D6282DF" w14:textId="77777777" w:rsidR="00BA56AD" w:rsidRPr="00981B56" w:rsidRDefault="00BA56AD" w:rsidP="00BA56AD">
      <w:pPr>
        <w:pStyle w:val="Default"/>
        <w:ind w:left="1211"/>
        <w:jc w:val="both"/>
        <w:rPr>
          <w:rFonts w:ascii="Bookman Old Style" w:hAnsi="Bookman Old Style"/>
          <w:i/>
          <w:sz w:val="22"/>
          <w:szCs w:val="22"/>
        </w:rPr>
      </w:pPr>
    </w:p>
    <w:p w14:paraId="374376AF" w14:textId="77777777" w:rsidR="00BA56AD" w:rsidRPr="00981B56" w:rsidRDefault="00BA56AD" w:rsidP="00BA56AD">
      <w:pPr>
        <w:pStyle w:val="Default"/>
        <w:numPr>
          <w:ilvl w:val="0"/>
          <w:numId w:val="58"/>
        </w:numPr>
        <w:jc w:val="both"/>
        <w:rPr>
          <w:rFonts w:ascii="Bookman Old Style" w:hAnsi="Bookman Old Style"/>
          <w:i/>
          <w:iCs/>
          <w:sz w:val="22"/>
          <w:szCs w:val="22"/>
        </w:rPr>
      </w:pPr>
      <w:r w:rsidRPr="00981B56">
        <w:rPr>
          <w:rFonts w:ascii="Bookman Old Style" w:hAnsi="Bookman Old Style"/>
          <w:i/>
          <w:iCs/>
          <w:sz w:val="22"/>
          <w:szCs w:val="22"/>
        </w:rPr>
        <w:t xml:space="preserve">Vencido lo anterior y en caso de Municipios Nuevos para el Mercado Relevante de Distribución para el Siguiente Período Tarifario, la CREG evaluará las dos </w:t>
      </w:r>
      <w:r w:rsidRPr="00981B56">
        <w:rPr>
          <w:rFonts w:ascii="Bookman Old Style" w:hAnsi="Bookman Old Style"/>
          <w:i/>
          <w:iCs/>
          <w:sz w:val="22"/>
          <w:szCs w:val="22"/>
        </w:rPr>
        <w:lastRenderedPageBreak/>
        <w:t xml:space="preserve">solicitudes tarifarias y se aprobarán los Cargos de Distribución con base en la información de aquella solicitud que cumpla con los mejores indicadores en relación con los costos totales de prestación de servicio al usuario y cobertura. </w:t>
      </w:r>
    </w:p>
    <w:p w14:paraId="322CF0F7" w14:textId="77777777" w:rsidR="00BA56AD" w:rsidRPr="00981B56" w:rsidRDefault="00BA56AD" w:rsidP="00BA56AD">
      <w:pPr>
        <w:pStyle w:val="Default"/>
        <w:ind w:left="1211"/>
        <w:jc w:val="both"/>
        <w:rPr>
          <w:rFonts w:ascii="Bookman Old Style" w:hAnsi="Bookman Old Style"/>
          <w:i/>
          <w:sz w:val="22"/>
          <w:szCs w:val="22"/>
        </w:rPr>
      </w:pPr>
    </w:p>
    <w:p w14:paraId="012501F6" w14:textId="77777777" w:rsidR="00BA56AD" w:rsidRPr="00981B56" w:rsidRDefault="00BA56AD" w:rsidP="00BA56AD">
      <w:pPr>
        <w:pStyle w:val="Default"/>
        <w:numPr>
          <w:ilvl w:val="0"/>
          <w:numId w:val="58"/>
        </w:numPr>
        <w:jc w:val="both"/>
        <w:rPr>
          <w:rFonts w:ascii="Bookman Old Style" w:hAnsi="Bookman Old Style"/>
          <w:i/>
          <w:iCs/>
          <w:sz w:val="22"/>
          <w:szCs w:val="22"/>
        </w:rPr>
      </w:pPr>
      <w:r w:rsidRPr="00981B56">
        <w:rPr>
          <w:rFonts w:ascii="Bookman Old Style" w:hAnsi="Bookman Old Style"/>
          <w:i/>
          <w:iCs/>
          <w:sz w:val="22"/>
          <w:szCs w:val="22"/>
        </w:rPr>
        <w:t xml:space="preserve">En caso de municipios con prestación del servicio la CREG evaluará las dos solicitudes tarifarias y se aprobarán los Cargos de Distribución considerando sólo las Unidades Constructivas mínimas requeridas para la prestación del servicio. </w:t>
      </w:r>
    </w:p>
    <w:p w14:paraId="03C8DFC3" w14:textId="77777777" w:rsidR="00BA56AD" w:rsidRPr="00981B56" w:rsidRDefault="00BA56AD" w:rsidP="00BA56AD">
      <w:pPr>
        <w:pStyle w:val="Default"/>
        <w:ind w:left="1211"/>
        <w:jc w:val="both"/>
        <w:rPr>
          <w:rFonts w:ascii="Bookman Old Style" w:hAnsi="Bookman Old Style"/>
          <w:i/>
          <w:sz w:val="22"/>
          <w:szCs w:val="22"/>
        </w:rPr>
      </w:pPr>
    </w:p>
    <w:p w14:paraId="4C3CE174" w14:textId="77777777" w:rsidR="00BA56AD" w:rsidRPr="00981B56" w:rsidRDefault="00BA56AD" w:rsidP="00BA56AD">
      <w:pPr>
        <w:pStyle w:val="Default"/>
        <w:numPr>
          <w:ilvl w:val="0"/>
          <w:numId w:val="57"/>
        </w:numPr>
        <w:jc w:val="both"/>
        <w:rPr>
          <w:rFonts w:ascii="Bookman Old Style" w:hAnsi="Bookman Old Style"/>
          <w:i/>
          <w:iCs/>
          <w:sz w:val="22"/>
          <w:szCs w:val="22"/>
        </w:rPr>
      </w:pPr>
      <w:r w:rsidRPr="00981B56">
        <w:rPr>
          <w:rFonts w:ascii="Bookman Old Style" w:hAnsi="Bookman Old Style"/>
          <w:i/>
          <w:iCs/>
          <w:sz w:val="22"/>
          <w:szCs w:val="22"/>
        </w:rPr>
        <w:t xml:space="preserve">Municipios incorporados en más de un Mercado Relevante de Distribución para el Siguiente Período Tarifario. </w:t>
      </w:r>
    </w:p>
    <w:p w14:paraId="56A20B85" w14:textId="77777777" w:rsidR="00BA56AD" w:rsidRPr="00981B56" w:rsidRDefault="00BA56AD" w:rsidP="00BA56AD">
      <w:pPr>
        <w:pStyle w:val="Default"/>
        <w:ind w:left="1211"/>
        <w:jc w:val="both"/>
        <w:rPr>
          <w:rFonts w:ascii="Bookman Old Style" w:hAnsi="Bookman Old Style"/>
          <w:i/>
          <w:sz w:val="22"/>
          <w:szCs w:val="22"/>
        </w:rPr>
      </w:pPr>
    </w:p>
    <w:p w14:paraId="21A0C8E2" w14:textId="77777777" w:rsidR="00BA56AD" w:rsidRPr="00981B56" w:rsidRDefault="00BA56AD" w:rsidP="00BA56AD">
      <w:pPr>
        <w:pStyle w:val="Default"/>
        <w:numPr>
          <w:ilvl w:val="0"/>
          <w:numId w:val="59"/>
        </w:numPr>
        <w:jc w:val="both"/>
        <w:rPr>
          <w:rFonts w:ascii="Bookman Old Style" w:hAnsi="Bookman Old Style"/>
          <w:i/>
          <w:iCs/>
          <w:sz w:val="22"/>
          <w:szCs w:val="22"/>
        </w:rPr>
      </w:pPr>
      <w:r w:rsidRPr="00981B56">
        <w:rPr>
          <w:rFonts w:ascii="Bookman Old Style" w:hAnsi="Bookman Old Style"/>
          <w:i/>
          <w:iCs/>
          <w:sz w:val="22"/>
          <w:szCs w:val="22"/>
        </w:rPr>
        <w:t xml:space="preserve">La CREG revisará la información de cada solicitud tarifaria y verificará el cumplimiento de los requisitos según lo establecido en esta Resolución. </w:t>
      </w:r>
    </w:p>
    <w:p w14:paraId="3047383B" w14:textId="77777777" w:rsidR="00BA56AD" w:rsidRPr="00981B56" w:rsidRDefault="00BA56AD" w:rsidP="00BA56AD">
      <w:pPr>
        <w:pStyle w:val="Default"/>
        <w:ind w:left="1211"/>
        <w:jc w:val="both"/>
        <w:rPr>
          <w:rFonts w:ascii="Bookman Old Style" w:hAnsi="Bookman Old Style"/>
          <w:i/>
          <w:sz w:val="22"/>
          <w:szCs w:val="22"/>
        </w:rPr>
      </w:pPr>
    </w:p>
    <w:p w14:paraId="3744F6C4" w14:textId="77777777" w:rsidR="00BA56AD" w:rsidRPr="00981B56" w:rsidRDefault="00BA56AD" w:rsidP="00BA56AD">
      <w:pPr>
        <w:pStyle w:val="Default"/>
        <w:numPr>
          <w:ilvl w:val="0"/>
          <w:numId w:val="59"/>
        </w:numPr>
        <w:jc w:val="both"/>
        <w:rPr>
          <w:rFonts w:ascii="Bookman Old Style" w:hAnsi="Bookman Old Style"/>
          <w:i/>
          <w:iCs/>
          <w:sz w:val="22"/>
          <w:szCs w:val="22"/>
        </w:rPr>
      </w:pPr>
      <w:r w:rsidRPr="00981B56">
        <w:rPr>
          <w:rFonts w:ascii="Bookman Old Style" w:hAnsi="Bookman Old Style"/>
          <w:i/>
          <w:iCs/>
          <w:sz w:val="22"/>
          <w:szCs w:val="22"/>
        </w:rPr>
        <w:t xml:space="preserve">Posteriormente, la CREG enviará a cada Distribuidor un resumen de la otra solicitud con el propósito de recibir, dentro de los quince (15) días hábiles siguientes al envío de la comunicación, los comentarios sobre la misma o acuerdos sobre la conformación del Mercado Relevante de Distribución. </w:t>
      </w:r>
    </w:p>
    <w:p w14:paraId="6BBB940B" w14:textId="77777777" w:rsidR="00BA56AD" w:rsidRPr="00981B56" w:rsidRDefault="00BA56AD" w:rsidP="00BA56AD">
      <w:pPr>
        <w:pStyle w:val="Default"/>
        <w:ind w:left="1211"/>
        <w:jc w:val="both"/>
        <w:rPr>
          <w:rFonts w:ascii="Bookman Old Style" w:hAnsi="Bookman Old Style"/>
          <w:i/>
          <w:sz w:val="22"/>
          <w:szCs w:val="22"/>
        </w:rPr>
      </w:pPr>
    </w:p>
    <w:p w14:paraId="162B57D8" w14:textId="77777777" w:rsidR="00BA56AD" w:rsidRPr="00981B56" w:rsidRDefault="00BA56AD" w:rsidP="00BA56AD">
      <w:pPr>
        <w:pStyle w:val="Default"/>
        <w:numPr>
          <w:ilvl w:val="0"/>
          <w:numId w:val="59"/>
        </w:numPr>
        <w:jc w:val="both"/>
        <w:rPr>
          <w:rFonts w:ascii="Bookman Old Style" w:hAnsi="Bookman Old Style"/>
          <w:i/>
          <w:iCs/>
          <w:sz w:val="22"/>
          <w:szCs w:val="22"/>
        </w:rPr>
      </w:pPr>
      <w:r w:rsidRPr="00981B56">
        <w:rPr>
          <w:rFonts w:ascii="Bookman Old Style" w:hAnsi="Bookman Old Style"/>
          <w:i/>
          <w:iCs/>
          <w:sz w:val="22"/>
          <w:szCs w:val="22"/>
        </w:rPr>
        <w:t xml:space="preserve">Vencido lo anterior, la Comisión evaluará la conveniencia de extraer los municipios comunes de las dos solicitudes tarifarias para que conformen un Mercado Relevante de Distribución independiente. </w:t>
      </w:r>
    </w:p>
    <w:p w14:paraId="17D5B809" w14:textId="77777777" w:rsidR="00BA56AD" w:rsidRPr="00981B56" w:rsidRDefault="00BA56AD" w:rsidP="00BA56AD">
      <w:pPr>
        <w:pStyle w:val="Default"/>
        <w:ind w:left="1211"/>
        <w:jc w:val="both"/>
        <w:rPr>
          <w:rFonts w:ascii="Bookman Old Style" w:hAnsi="Bookman Old Style"/>
          <w:i/>
          <w:sz w:val="22"/>
          <w:szCs w:val="22"/>
        </w:rPr>
      </w:pPr>
    </w:p>
    <w:p w14:paraId="7D01FE71" w14:textId="77777777" w:rsidR="00BA56AD" w:rsidRPr="00981B56" w:rsidRDefault="00BA56AD" w:rsidP="00BA56AD">
      <w:pPr>
        <w:pStyle w:val="Default"/>
        <w:numPr>
          <w:ilvl w:val="0"/>
          <w:numId w:val="59"/>
        </w:numPr>
        <w:jc w:val="both"/>
        <w:rPr>
          <w:rFonts w:ascii="Bookman Old Style" w:hAnsi="Bookman Old Style"/>
          <w:i/>
          <w:iCs/>
          <w:sz w:val="22"/>
          <w:szCs w:val="22"/>
        </w:rPr>
      </w:pPr>
      <w:r w:rsidRPr="00981B56">
        <w:rPr>
          <w:rFonts w:ascii="Bookman Old Style" w:hAnsi="Bookman Old Style"/>
          <w:i/>
          <w:iCs/>
          <w:sz w:val="22"/>
          <w:szCs w:val="22"/>
        </w:rPr>
        <w:t xml:space="preserve">En caso contrario, la CREG evaluará la solicitud que cumpla de mejor manera los indicadores en relación con los costos totales de prestación del servicio al usuario y la cobertura en caso de Municipios Nuevos, para el Mercado Relevante de Distribución y con base en esta aprobará los cargos”. </w:t>
      </w:r>
    </w:p>
    <w:p w14:paraId="508B38B3" w14:textId="77777777" w:rsidR="00BA56AD" w:rsidRPr="00981B56" w:rsidRDefault="00BA56AD" w:rsidP="00BA56AD">
      <w:pPr>
        <w:pStyle w:val="Default"/>
        <w:ind w:left="426"/>
        <w:jc w:val="both"/>
        <w:rPr>
          <w:rFonts w:ascii="Bookman Old Style" w:hAnsi="Bookman Old Style"/>
          <w:i/>
          <w:iCs/>
          <w:sz w:val="22"/>
          <w:szCs w:val="22"/>
        </w:rPr>
      </w:pPr>
    </w:p>
    <w:p w14:paraId="080B0A6A" w14:textId="77777777" w:rsidR="00BA56AD" w:rsidRPr="00981B56" w:rsidRDefault="00BA56AD" w:rsidP="00BA56AD">
      <w:pPr>
        <w:pStyle w:val="Default"/>
        <w:ind w:left="426"/>
        <w:jc w:val="both"/>
        <w:rPr>
          <w:rFonts w:ascii="Bookman Old Style" w:hAnsi="Bookman Old Style"/>
          <w:i/>
          <w:sz w:val="22"/>
          <w:szCs w:val="22"/>
        </w:rPr>
      </w:pPr>
      <w:r w:rsidRPr="00981B56">
        <w:rPr>
          <w:rFonts w:ascii="Bookman Old Style" w:hAnsi="Bookman Old Style"/>
          <w:i/>
          <w:sz w:val="22"/>
          <w:szCs w:val="22"/>
        </w:rPr>
        <w:t xml:space="preserve">Entendemos que la Empresa Alcanos de Colombia S.A. ESP. solicitó cargos para distribución de gas natural por redes. </w:t>
      </w:r>
    </w:p>
    <w:p w14:paraId="2A9B40C0" w14:textId="77777777" w:rsidR="00BA56AD" w:rsidRPr="00981B56" w:rsidRDefault="00BA56AD" w:rsidP="00BA56AD">
      <w:pPr>
        <w:pStyle w:val="Default"/>
        <w:ind w:left="426"/>
        <w:jc w:val="both"/>
        <w:rPr>
          <w:rFonts w:ascii="Bookman Old Style" w:hAnsi="Bookman Old Style"/>
          <w:i/>
          <w:sz w:val="22"/>
          <w:szCs w:val="22"/>
        </w:rPr>
      </w:pPr>
    </w:p>
    <w:p w14:paraId="210FE117" w14:textId="77777777" w:rsidR="00BA56AD" w:rsidRPr="00981B56" w:rsidRDefault="00BA56AD" w:rsidP="00BA56AD">
      <w:pPr>
        <w:pStyle w:val="Default"/>
        <w:ind w:left="426"/>
        <w:jc w:val="both"/>
        <w:rPr>
          <w:rFonts w:ascii="Bookman Old Style" w:hAnsi="Bookman Old Style"/>
          <w:i/>
          <w:sz w:val="22"/>
          <w:szCs w:val="22"/>
        </w:rPr>
      </w:pPr>
      <w:r w:rsidRPr="00981B56">
        <w:rPr>
          <w:rFonts w:ascii="Bookman Old Style" w:hAnsi="Bookman Old Style"/>
          <w:i/>
          <w:sz w:val="22"/>
          <w:szCs w:val="22"/>
        </w:rPr>
        <w:t xml:space="preserve">Nuestra empresa C.S.P. SOSTENIBLES S.A. E.S.P. solicitó cargos para distribución de gas licuado del petróleo. </w:t>
      </w:r>
    </w:p>
    <w:p w14:paraId="793AF2F0" w14:textId="77777777" w:rsidR="00BA56AD" w:rsidRPr="00981B56" w:rsidRDefault="00BA56AD" w:rsidP="00BA56AD">
      <w:pPr>
        <w:pStyle w:val="Default"/>
        <w:ind w:left="426"/>
        <w:jc w:val="both"/>
        <w:rPr>
          <w:rFonts w:ascii="Bookman Old Style" w:hAnsi="Bookman Old Style"/>
          <w:i/>
          <w:sz w:val="22"/>
          <w:szCs w:val="22"/>
        </w:rPr>
      </w:pPr>
    </w:p>
    <w:p w14:paraId="6586DB3E" w14:textId="77777777" w:rsidR="00BA56AD" w:rsidRPr="00981B56" w:rsidRDefault="00BA56AD" w:rsidP="00BA56AD">
      <w:pPr>
        <w:pStyle w:val="Style6"/>
        <w:shd w:val="clear" w:color="auto" w:fill="auto"/>
        <w:tabs>
          <w:tab w:val="left" w:pos="486"/>
        </w:tabs>
        <w:spacing w:before="0" w:after="0" w:line="240" w:lineRule="auto"/>
        <w:ind w:left="426" w:firstLine="0"/>
        <w:rPr>
          <w:rStyle w:val="CharStyle7"/>
          <w:rFonts w:ascii="Bookman Old Style" w:hAnsi="Bookman Old Style"/>
          <w:i/>
          <w:sz w:val="22"/>
          <w:szCs w:val="22"/>
          <w:lang w:eastAsia="es-ES_tradnl"/>
        </w:rPr>
      </w:pPr>
      <w:r w:rsidRPr="00981B56">
        <w:rPr>
          <w:rFonts w:ascii="Bookman Old Style" w:hAnsi="Bookman Old Style"/>
          <w:sz w:val="22"/>
          <w:szCs w:val="22"/>
        </w:rPr>
        <w:t>Está claro que la CREG debe aprobar los cargos de distribución evaluando la solicitud que cumpla de mejor manera los indicadores en relación con los costos totales de prestación del servicio al usuario y la cobertura en caso de municipios nuevos, pero definiendo tanto los cargos para distribuir gas natural como los cargos equivalentes para distribuir gas licuado del petróleo, de lo contrario estaría favoreciendo un tipo de energético e impidiendo la prestación con los otros combustibles sobre los cuales se hizo la solicitud de cargos. ”</w:t>
      </w:r>
    </w:p>
    <w:p w14:paraId="0195D5AF" w14:textId="77777777" w:rsidR="00BA56AD" w:rsidRDefault="00BA56AD" w:rsidP="00BA56AD">
      <w:pPr>
        <w:pStyle w:val="Style6"/>
        <w:shd w:val="clear" w:color="auto" w:fill="auto"/>
        <w:tabs>
          <w:tab w:val="left" w:pos="486"/>
        </w:tabs>
        <w:spacing w:before="0" w:after="0" w:line="240" w:lineRule="auto"/>
        <w:ind w:left="284" w:right="425" w:firstLine="0"/>
        <w:rPr>
          <w:rStyle w:val="CharStyle7"/>
          <w:rFonts w:ascii="Bookman Old Style" w:hAnsi="Bookman Old Style"/>
          <w:sz w:val="20"/>
          <w:szCs w:val="20"/>
          <w:lang w:eastAsia="es-ES_tradnl"/>
        </w:rPr>
      </w:pPr>
    </w:p>
    <w:p w14:paraId="6C334D39" w14:textId="77777777" w:rsidR="00BA56AD" w:rsidRPr="00913B32" w:rsidRDefault="00BA56AD" w:rsidP="00BA56AD">
      <w:pPr>
        <w:pStyle w:val="Ttulo5"/>
        <w:tabs>
          <w:tab w:val="clear" w:pos="1080"/>
          <w:tab w:val="num" w:pos="567"/>
        </w:tabs>
        <w:ind w:left="567" w:hanging="567"/>
        <w:rPr>
          <w:rFonts w:eastAsia="Calibri"/>
          <w:sz w:val="22"/>
          <w:szCs w:val="22"/>
          <w:lang w:eastAsia="es-CO"/>
        </w:rPr>
      </w:pPr>
      <w:r w:rsidRPr="00795DC7">
        <w:rPr>
          <w:rFonts w:eastAsia="Calibri"/>
          <w:szCs w:val="22"/>
          <w:lang w:eastAsia="es-CO"/>
        </w:rPr>
        <w:t>PETICIÓN DE</w:t>
      </w:r>
      <w:r>
        <w:rPr>
          <w:rFonts w:eastAsia="Calibri"/>
          <w:szCs w:val="22"/>
          <w:lang w:eastAsia="es-CO"/>
        </w:rPr>
        <w:t>L RECURRENTE</w:t>
      </w:r>
      <w:r w:rsidRPr="00795DC7">
        <w:rPr>
          <w:rFonts w:eastAsia="Calibri"/>
          <w:szCs w:val="22"/>
          <w:lang w:eastAsia="es-CO"/>
        </w:rPr>
        <w:t xml:space="preserve"> </w:t>
      </w:r>
    </w:p>
    <w:p w14:paraId="07267BD2" w14:textId="77777777" w:rsidR="00BA56AD" w:rsidRDefault="00BA56AD" w:rsidP="00BA56AD">
      <w:pPr>
        <w:suppressAutoHyphens/>
        <w:ind w:right="222"/>
      </w:pPr>
      <w:r>
        <w:t xml:space="preserve">Conforme a los motivos que sustentan los recursos interpuestos por las empresas </w:t>
      </w:r>
      <w:r>
        <w:rPr>
          <w:rFonts w:cs="Arial"/>
          <w:lang w:val="es-ES_tradnl"/>
        </w:rPr>
        <w:t>C.S.P. SOSTENIBLES S.A. E.S.P.</w:t>
      </w:r>
      <w:r>
        <w:t xml:space="preserve"> y ALCANOS DE COLOMBIA S.A. E.S.P., la petición de cada una de las empresas son las siguientes:</w:t>
      </w:r>
    </w:p>
    <w:p w14:paraId="6A68ECE5" w14:textId="77777777" w:rsidR="00BA56AD" w:rsidRDefault="00BA56AD" w:rsidP="00BA56AD">
      <w:pPr>
        <w:suppressAutoHyphens/>
        <w:ind w:right="222"/>
        <w:rPr>
          <w:b/>
        </w:rPr>
      </w:pPr>
    </w:p>
    <w:p w14:paraId="56550394" w14:textId="77777777" w:rsidR="00BA56AD" w:rsidRPr="00514F99" w:rsidRDefault="00BA56AD" w:rsidP="00BA56AD">
      <w:pPr>
        <w:suppressAutoHyphens/>
        <w:ind w:right="222"/>
        <w:rPr>
          <w:b/>
        </w:rPr>
      </w:pPr>
      <w:r>
        <w:rPr>
          <w:b/>
        </w:rPr>
        <w:t>3</w:t>
      </w:r>
      <w:r w:rsidRPr="00514F99">
        <w:rPr>
          <w:b/>
        </w:rPr>
        <w:t>.</w:t>
      </w:r>
      <w:r>
        <w:rPr>
          <w:b/>
        </w:rPr>
        <w:t>1.</w:t>
      </w:r>
      <w:r w:rsidRPr="00514F99">
        <w:rPr>
          <w:b/>
        </w:rPr>
        <w:t xml:space="preserve"> </w:t>
      </w:r>
      <w:r>
        <w:rPr>
          <w:rFonts w:cs="Arial"/>
          <w:b/>
          <w:lang w:val="es-ES_tradnl"/>
        </w:rPr>
        <w:t>ALCANOS DE COLOMBIA</w:t>
      </w:r>
      <w:r w:rsidRPr="00514F99">
        <w:rPr>
          <w:rFonts w:cs="Arial"/>
          <w:b/>
          <w:lang w:val="es-ES_tradnl"/>
        </w:rPr>
        <w:t xml:space="preserve"> S.A. E.S.P.</w:t>
      </w:r>
    </w:p>
    <w:p w14:paraId="16771E4F" w14:textId="77777777" w:rsidR="00BA56AD" w:rsidRPr="00F25520" w:rsidRDefault="00BA56AD" w:rsidP="00BA56AD">
      <w:pPr>
        <w:tabs>
          <w:tab w:val="left" w:pos="426"/>
        </w:tabs>
        <w:rPr>
          <w:i/>
          <w:iCs/>
          <w:spacing w:val="-3"/>
          <w:szCs w:val="20"/>
          <w:lang w:val="es-ES_tradnl"/>
        </w:rPr>
      </w:pPr>
    </w:p>
    <w:p w14:paraId="72D2727F" w14:textId="77777777" w:rsidR="00BA56AD" w:rsidRPr="00CA2636" w:rsidRDefault="00BA56AD" w:rsidP="00BA56AD">
      <w:pPr>
        <w:tabs>
          <w:tab w:val="left" w:pos="426"/>
        </w:tabs>
        <w:rPr>
          <w:i/>
          <w:spacing w:val="-3"/>
          <w:szCs w:val="20"/>
          <w:lang w:val="es-ES_tradnl"/>
        </w:rPr>
      </w:pPr>
      <w:r w:rsidRPr="00CA2636">
        <w:rPr>
          <w:i/>
          <w:iCs/>
          <w:spacing w:val="-3"/>
          <w:szCs w:val="20"/>
          <w:lang w:val="es-ES_tradnl"/>
        </w:rPr>
        <w:t xml:space="preserve">Por las razones de hecho y de derecho aquí expuestas, respetuosamente solicitamos se reponga la resolución del asunto, ajustando los cargos de distribución de que </w:t>
      </w:r>
      <w:r w:rsidRPr="00CA2636">
        <w:rPr>
          <w:i/>
          <w:iCs/>
          <w:spacing w:val="-3"/>
          <w:szCs w:val="20"/>
          <w:lang w:val="es-ES_tradnl"/>
        </w:rPr>
        <w:lastRenderedPageBreak/>
        <w:t>tratan los artículos 3,4,5 y 6 de la Resolución 005 de 2019, conforme a lo dispuesto en el presente recurso y previo el recalculo de los siguientes componentes:</w:t>
      </w:r>
    </w:p>
    <w:p w14:paraId="0E7F5C04" w14:textId="77777777" w:rsidR="00BA56AD" w:rsidRPr="00CA2636" w:rsidRDefault="00BA56AD" w:rsidP="00BA56AD">
      <w:pPr>
        <w:tabs>
          <w:tab w:val="left" w:pos="426"/>
        </w:tabs>
        <w:rPr>
          <w:i/>
          <w:iCs/>
          <w:spacing w:val="-3"/>
          <w:szCs w:val="20"/>
          <w:lang w:val="es-ES_tradnl"/>
        </w:rPr>
      </w:pPr>
    </w:p>
    <w:p w14:paraId="46F9ABE4" w14:textId="77777777" w:rsidR="00BA56AD" w:rsidRPr="00CA2636" w:rsidRDefault="00BA56AD" w:rsidP="00BA56AD">
      <w:pPr>
        <w:pStyle w:val="Prrafodelista"/>
        <w:numPr>
          <w:ilvl w:val="0"/>
          <w:numId w:val="61"/>
        </w:numPr>
        <w:tabs>
          <w:tab w:val="left" w:pos="426"/>
        </w:tabs>
        <w:ind w:left="284"/>
        <w:rPr>
          <w:i/>
          <w:lang w:val="es-ES_tradnl"/>
        </w:rPr>
      </w:pPr>
      <w:r w:rsidRPr="00CA2636">
        <w:rPr>
          <w:i/>
          <w:iCs/>
          <w:lang w:val="es-ES_tradnl"/>
        </w:rPr>
        <w:t>Modificar el componente de INVERSIÓN que fue aprobado y que se encuentra a pesos de 2014, y en su lugar se ajuste por el IPP a precios de 2017, conforme a lo expuesto por mí representada en el numeral 3.1 de los hechos del presente recurso que equivalen a $5.826.231.465 a pesos de diciembre de 2017.</w:t>
      </w:r>
    </w:p>
    <w:p w14:paraId="73442AA2" w14:textId="77777777" w:rsidR="00BA56AD" w:rsidRPr="00CA2636" w:rsidRDefault="00BA56AD" w:rsidP="00BA56AD">
      <w:pPr>
        <w:tabs>
          <w:tab w:val="left" w:pos="426"/>
        </w:tabs>
        <w:ind w:left="284"/>
        <w:rPr>
          <w:i/>
          <w:iCs/>
          <w:spacing w:val="-3"/>
          <w:szCs w:val="20"/>
          <w:lang w:val="es-ES_tradnl"/>
        </w:rPr>
      </w:pPr>
    </w:p>
    <w:p w14:paraId="19247CC5" w14:textId="77777777" w:rsidR="00BA56AD" w:rsidRPr="00CA2636" w:rsidRDefault="00BA56AD" w:rsidP="00BA56AD">
      <w:pPr>
        <w:pStyle w:val="Prrafodelista"/>
        <w:numPr>
          <w:ilvl w:val="0"/>
          <w:numId w:val="61"/>
        </w:numPr>
        <w:tabs>
          <w:tab w:val="left" w:pos="426"/>
        </w:tabs>
        <w:ind w:left="284"/>
        <w:rPr>
          <w:i/>
          <w:iCs/>
          <w:lang w:val="es-ES_tradnl"/>
        </w:rPr>
      </w:pPr>
      <w:r w:rsidRPr="00CA2636">
        <w:rPr>
          <w:i/>
          <w:iCs/>
          <w:lang w:val="es-ES_tradnl"/>
        </w:rPr>
        <w:t>Modificar los cargos de AOM aprobados y en su lugar se ajusten al IPC de 2017 conforme a lo expuesto por mi representada en el numeral 3.3 de los hechos del presente recurso.</w:t>
      </w:r>
    </w:p>
    <w:p w14:paraId="27D3450B" w14:textId="77777777" w:rsidR="00BA56AD" w:rsidRPr="00CA2636" w:rsidRDefault="00BA56AD" w:rsidP="00BA56AD">
      <w:pPr>
        <w:tabs>
          <w:tab w:val="left" w:pos="426"/>
        </w:tabs>
        <w:ind w:left="284"/>
        <w:rPr>
          <w:i/>
          <w:iCs/>
          <w:spacing w:val="-3"/>
          <w:szCs w:val="20"/>
          <w:lang w:val="es-ES_tradnl"/>
        </w:rPr>
      </w:pPr>
    </w:p>
    <w:p w14:paraId="6F0C88AA" w14:textId="77777777" w:rsidR="00BA56AD" w:rsidRDefault="00BA56AD" w:rsidP="00BA56AD">
      <w:pPr>
        <w:pStyle w:val="Prrafodelista"/>
        <w:numPr>
          <w:ilvl w:val="0"/>
          <w:numId w:val="61"/>
        </w:numPr>
        <w:tabs>
          <w:tab w:val="left" w:pos="426"/>
        </w:tabs>
        <w:ind w:left="284"/>
        <w:rPr>
          <w:iCs/>
          <w:lang w:val="es-ES_tradnl"/>
        </w:rPr>
      </w:pPr>
      <w:r w:rsidRPr="00CA2636">
        <w:rPr>
          <w:i/>
          <w:iCs/>
          <w:lang w:val="es-ES_tradnl"/>
        </w:rPr>
        <w:t>Modificar el Porcentaje de Factor de Ajuste de los cargos de AOM (%FA</w:t>
      </w:r>
      <w:r w:rsidRPr="00CA2636">
        <w:rPr>
          <w:i/>
          <w:iCs/>
          <w:vertAlign w:val="subscript"/>
          <w:lang w:val="es-ES_tradnl"/>
        </w:rPr>
        <w:t>proyecciónAOM</w:t>
      </w:r>
      <w:r w:rsidRPr="00CA2636">
        <w:rPr>
          <w:i/>
          <w:iCs/>
          <w:lang w:val="es-ES_tradnl"/>
        </w:rPr>
        <w:t>), el cual corresponde al 63,33% conforme a lo dispuesto en el numeral 3.4 del presente recurso</w:t>
      </w:r>
      <w:r>
        <w:rPr>
          <w:iCs/>
          <w:lang w:val="es-ES_tradnl"/>
        </w:rPr>
        <w:t>.</w:t>
      </w:r>
    </w:p>
    <w:p w14:paraId="4EE3E183" w14:textId="77777777" w:rsidR="00BA56AD" w:rsidRDefault="00BA56AD" w:rsidP="00BA56AD">
      <w:pPr>
        <w:rPr>
          <w:iCs/>
          <w:lang w:val="es-ES_tradnl"/>
        </w:rPr>
      </w:pPr>
    </w:p>
    <w:p w14:paraId="174F2CE5" w14:textId="77777777" w:rsidR="00BA56AD" w:rsidRPr="00514F99" w:rsidRDefault="00BA56AD" w:rsidP="00BA56AD">
      <w:pPr>
        <w:suppressAutoHyphens/>
        <w:ind w:right="222"/>
        <w:rPr>
          <w:b/>
        </w:rPr>
      </w:pPr>
      <w:r>
        <w:rPr>
          <w:b/>
        </w:rPr>
        <w:t>3</w:t>
      </w:r>
      <w:r w:rsidRPr="00514F99">
        <w:rPr>
          <w:b/>
        </w:rPr>
        <w:t>.</w:t>
      </w:r>
      <w:r>
        <w:rPr>
          <w:b/>
        </w:rPr>
        <w:t>2.</w:t>
      </w:r>
      <w:r w:rsidRPr="00514F99">
        <w:rPr>
          <w:b/>
        </w:rPr>
        <w:t xml:space="preserve"> </w:t>
      </w:r>
      <w:r w:rsidRPr="00514F99">
        <w:rPr>
          <w:rFonts w:cs="Arial"/>
          <w:b/>
          <w:lang w:val="es-ES_tradnl"/>
        </w:rPr>
        <w:t>C.S.P. SOSTENIBLES S.A. E.S.P.</w:t>
      </w:r>
    </w:p>
    <w:p w14:paraId="5379F98C" w14:textId="77777777" w:rsidR="00BA56AD" w:rsidRDefault="00BA56AD" w:rsidP="00BA56AD">
      <w:pPr>
        <w:pStyle w:val="Default"/>
        <w:rPr>
          <w:sz w:val="23"/>
          <w:szCs w:val="23"/>
        </w:rPr>
      </w:pPr>
    </w:p>
    <w:p w14:paraId="09675E15" w14:textId="77777777" w:rsidR="00BA56AD" w:rsidRPr="00CA2636" w:rsidRDefault="00BA56AD" w:rsidP="00BA56AD">
      <w:pPr>
        <w:tabs>
          <w:tab w:val="left" w:pos="426"/>
        </w:tabs>
        <w:rPr>
          <w:i/>
          <w:spacing w:val="-3"/>
          <w:szCs w:val="20"/>
          <w:lang w:val="es-ES_tradnl"/>
        </w:rPr>
      </w:pPr>
      <w:r w:rsidRPr="00CA2636">
        <w:rPr>
          <w:i/>
          <w:spacing w:val="-3"/>
          <w:szCs w:val="20"/>
          <w:lang w:val="es-ES_tradnl"/>
        </w:rPr>
        <w:t xml:space="preserve">Solicitamos a la CREG aprobar cargos de distribución para gas natural y cargos de distribución de gas licuado del petróleo. </w:t>
      </w:r>
    </w:p>
    <w:p w14:paraId="5D910685" w14:textId="77777777" w:rsidR="00BA56AD" w:rsidRPr="00DD503B" w:rsidRDefault="00BA56AD" w:rsidP="00BA56AD">
      <w:pPr>
        <w:pStyle w:val="Prrafodelista"/>
        <w:numPr>
          <w:ilvl w:val="0"/>
          <w:numId w:val="0"/>
        </w:numPr>
        <w:ind w:left="360"/>
        <w:rPr>
          <w:iCs/>
          <w:lang w:val="es-ES_tradnl"/>
        </w:rPr>
      </w:pPr>
    </w:p>
    <w:p w14:paraId="1FB413AE" w14:textId="77777777" w:rsidR="00BA56AD" w:rsidRPr="00AD662C" w:rsidRDefault="00BA56AD" w:rsidP="00BA56AD">
      <w:pPr>
        <w:pStyle w:val="Ttulo5"/>
        <w:tabs>
          <w:tab w:val="clear" w:pos="1080"/>
        </w:tabs>
        <w:ind w:left="567" w:hanging="567"/>
        <w:rPr>
          <w:szCs w:val="22"/>
        </w:rPr>
      </w:pPr>
      <w:r w:rsidRPr="00AD662C">
        <w:rPr>
          <w:rFonts w:eastAsia="Calibri"/>
          <w:szCs w:val="22"/>
          <w:lang w:eastAsia="es-CO"/>
        </w:rPr>
        <w:t>ANÁLISIS DE LA CREG</w:t>
      </w:r>
    </w:p>
    <w:p w14:paraId="5A63BB3F" w14:textId="77777777" w:rsidR="00BA56AD" w:rsidRDefault="00BA56AD" w:rsidP="00BA56AD">
      <w:pPr>
        <w:suppressAutoHyphens/>
        <w:ind w:right="222"/>
      </w:pPr>
      <w:r>
        <w:rPr>
          <w:lang w:val="es-CO"/>
        </w:rPr>
        <w:t xml:space="preserve">Para analizar los argumentos en que se sustentan los recursos, la Comisión los desarrollará por cada una de </w:t>
      </w:r>
      <w:r>
        <w:t xml:space="preserve">las empresas recurrentes así: </w:t>
      </w:r>
    </w:p>
    <w:p w14:paraId="3F135334" w14:textId="77777777" w:rsidR="00BA56AD" w:rsidRDefault="00BA56AD" w:rsidP="00BA56AD">
      <w:pPr>
        <w:tabs>
          <w:tab w:val="left" w:pos="426"/>
        </w:tabs>
        <w:rPr>
          <w:spacing w:val="-3"/>
          <w:szCs w:val="20"/>
          <w:lang w:val="es-ES_tradnl"/>
        </w:rPr>
      </w:pPr>
    </w:p>
    <w:p w14:paraId="636BBA45" w14:textId="77777777" w:rsidR="00BA56AD" w:rsidRPr="00514F99" w:rsidRDefault="00BA56AD" w:rsidP="00BA56AD">
      <w:pPr>
        <w:suppressAutoHyphens/>
        <w:ind w:right="222"/>
        <w:rPr>
          <w:b/>
        </w:rPr>
      </w:pPr>
      <w:r>
        <w:rPr>
          <w:b/>
        </w:rPr>
        <w:t>4</w:t>
      </w:r>
      <w:r w:rsidRPr="00514F99">
        <w:rPr>
          <w:b/>
        </w:rPr>
        <w:t>.</w:t>
      </w:r>
      <w:r>
        <w:rPr>
          <w:b/>
        </w:rPr>
        <w:t>1.</w:t>
      </w:r>
      <w:r w:rsidRPr="00514F99">
        <w:rPr>
          <w:b/>
        </w:rPr>
        <w:t xml:space="preserve"> </w:t>
      </w:r>
      <w:r>
        <w:rPr>
          <w:rFonts w:cs="Arial"/>
          <w:b/>
          <w:lang w:val="es-ES_tradnl"/>
        </w:rPr>
        <w:t>ALCANOS DE COLOMBIA</w:t>
      </w:r>
      <w:r w:rsidRPr="00514F99">
        <w:rPr>
          <w:rFonts w:cs="Arial"/>
          <w:b/>
          <w:lang w:val="es-ES_tradnl"/>
        </w:rPr>
        <w:t xml:space="preserve"> S.A. E.S.P.</w:t>
      </w:r>
    </w:p>
    <w:p w14:paraId="36D5D4BD" w14:textId="77777777" w:rsidR="00BA56AD" w:rsidRDefault="00BA56AD" w:rsidP="00BA56AD">
      <w:pPr>
        <w:tabs>
          <w:tab w:val="left" w:pos="426"/>
        </w:tabs>
        <w:rPr>
          <w:spacing w:val="-3"/>
          <w:szCs w:val="20"/>
          <w:lang w:val="es-ES_tradnl"/>
        </w:rPr>
      </w:pPr>
    </w:p>
    <w:p w14:paraId="444F312C" w14:textId="77777777" w:rsidR="00BA56AD" w:rsidRDefault="00BA56AD" w:rsidP="00BA56AD">
      <w:pPr>
        <w:rPr>
          <w:lang w:val="es-CO"/>
        </w:rPr>
      </w:pPr>
      <w:r>
        <w:rPr>
          <w:lang w:val="es-CO"/>
        </w:rPr>
        <w:t>Ahora bien, para analizar los argumentos en que se sustenta el recurso, la Comisión los agrupará en los temas presentados por la empresa:</w:t>
      </w:r>
    </w:p>
    <w:p w14:paraId="2D1E4F02" w14:textId="77777777" w:rsidR="00BA56AD" w:rsidRPr="00081D12" w:rsidRDefault="00BA56AD" w:rsidP="00BA56AD">
      <w:pPr>
        <w:rPr>
          <w:b/>
          <w:lang w:val="es-CO"/>
        </w:rPr>
      </w:pPr>
    </w:p>
    <w:p w14:paraId="7EC9DA63" w14:textId="3CF84774" w:rsidR="00BA56AD" w:rsidRPr="00BA56AD" w:rsidRDefault="00BA56AD" w:rsidP="00BA56AD">
      <w:pPr>
        <w:rPr>
          <w:b/>
        </w:rPr>
      </w:pPr>
      <w:r>
        <w:rPr>
          <w:b/>
        </w:rPr>
        <w:t>4.1.1.</w:t>
      </w:r>
      <w:r w:rsidRPr="00BA56AD">
        <w:rPr>
          <w:b/>
        </w:rPr>
        <w:t xml:space="preserve"> Inversión Base</w:t>
      </w:r>
    </w:p>
    <w:p w14:paraId="20CBFFED" w14:textId="77777777" w:rsidR="00BA56AD" w:rsidRDefault="00BA56AD" w:rsidP="00BA56AD">
      <w:pPr>
        <w:rPr>
          <w:rFonts w:ascii="Arial" w:hAnsi="Arial" w:cs="Arial"/>
          <w:sz w:val="22"/>
          <w:szCs w:val="22"/>
        </w:rPr>
      </w:pPr>
    </w:p>
    <w:p w14:paraId="4D25F998" w14:textId="77777777" w:rsidR="00BA56AD" w:rsidRPr="0044239B" w:rsidRDefault="00BA56AD" w:rsidP="00BA56AD">
      <w:pPr>
        <w:tabs>
          <w:tab w:val="left" w:pos="426"/>
        </w:tabs>
        <w:rPr>
          <w:lang w:val="es-ES_tradnl"/>
        </w:rPr>
      </w:pPr>
      <w:r>
        <w:rPr>
          <w:iCs/>
          <w:lang w:val="es-ES_tradnl"/>
        </w:rPr>
        <w:t>El recurrente manifiesta en el recurso la m</w:t>
      </w:r>
      <w:r w:rsidRPr="0044239B">
        <w:rPr>
          <w:iCs/>
          <w:lang w:val="es-ES_tradnl"/>
        </w:rPr>
        <w:t>odifica</w:t>
      </w:r>
      <w:r>
        <w:rPr>
          <w:iCs/>
          <w:lang w:val="es-ES_tradnl"/>
        </w:rPr>
        <w:t>ción</w:t>
      </w:r>
      <w:r w:rsidRPr="0044239B">
        <w:rPr>
          <w:iCs/>
          <w:lang w:val="es-ES_tradnl"/>
        </w:rPr>
        <w:t xml:space="preserve"> </w:t>
      </w:r>
      <w:r>
        <w:rPr>
          <w:iCs/>
          <w:lang w:val="es-ES_tradnl"/>
        </w:rPr>
        <w:t xml:space="preserve">de la </w:t>
      </w:r>
      <w:r w:rsidRPr="0044239B">
        <w:rPr>
          <w:iCs/>
          <w:lang w:val="es-ES_tradnl"/>
        </w:rPr>
        <w:t>componente de inversión que fue aprobado y</w:t>
      </w:r>
      <w:r>
        <w:rPr>
          <w:iCs/>
          <w:lang w:val="es-ES_tradnl"/>
        </w:rPr>
        <w:t>a</w:t>
      </w:r>
      <w:r w:rsidRPr="0044239B">
        <w:rPr>
          <w:iCs/>
          <w:lang w:val="es-ES_tradnl"/>
        </w:rPr>
        <w:t xml:space="preserve"> </w:t>
      </w:r>
      <w:r>
        <w:rPr>
          <w:iCs/>
          <w:lang w:val="es-ES_tradnl"/>
        </w:rPr>
        <w:t xml:space="preserve">que </w:t>
      </w:r>
      <w:r w:rsidRPr="0044239B">
        <w:rPr>
          <w:iCs/>
          <w:lang w:val="es-ES_tradnl"/>
        </w:rPr>
        <w:t xml:space="preserve">se encuentra </w:t>
      </w:r>
      <w:r>
        <w:rPr>
          <w:iCs/>
          <w:lang w:val="es-ES_tradnl"/>
        </w:rPr>
        <w:t xml:space="preserve">valorada </w:t>
      </w:r>
      <w:r w:rsidRPr="0044239B">
        <w:rPr>
          <w:iCs/>
          <w:lang w:val="es-ES_tradnl"/>
        </w:rPr>
        <w:t>a pesos de 2014, y en su lugar se ajuste por el IPP a precios de 2017</w:t>
      </w:r>
      <w:r>
        <w:rPr>
          <w:iCs/>
          <w:lang w:val="es-ES_tradnl"/>
        </w:rPr>
        <w:t>.</w:t>
      </w:r>
    </w:p>
    <w:p w14:paraId="44E51589" w14:textId="77777777" w:rsidR="00BA56AD" w:rsidRDefault="00BA56AD" w:rsidP="00BA56AD">
      <w:pPr>
        <w:rPr>
          <w:rFonts w:ascii="Arial" w:hAnsi="Arial" w:cs="Arial"/>
          <w:sz w:val="22"/>
          <w:szCs w:val="22"/>
        </w:rPr>
      </w:pPr>
    </w:p>
    <w:p w14:paraId="2377F007" w14:textId="5FA30743" w:rsidR="00BA56AD" w:rsidRDefault="00BA56AD" w:rsidP="00BA56AD">
      <w:pPr>
        <w:tabs>
          <w:tab w:val="left" w:pos="426"/>
        </w:tabs>
        <w:rPr>
          <w:iCs/>
          <w:lang w:val="es-ES_tradnl"/>
        </w:rPr>
      </w:pPr>
      <w:r w:rsidRPr="0044239B">
        <w:rPr>
          <w:iCs/>
          <w:lang w:val="es-ES_tradnl"/>
        </w:rPr>
        <w:t xml:space="preserve">La Comisión revisó </w:t>
      </w:r>
      <w:r>
        <w:rPr>
          <w:iCs/>
          <w:lang w:val="es-ES_tradnl"/>
        </w:rPr>
        <w:t>la valoración d</w:t>
      </w:r>
      <w:r w:rsidRPr="0044239B">
        <w:rPr>
          <w:iCs/>
          <w:lang w:val="es-ES_tradnl"/>
        </w:rPr>
        <w:t>el programa de inversiones a partir de las cantidades reportadas por la empresa</w:t>
      </w:r>
      <w:r>
        <w:rPr>
          <w:iCs/>
          <w:lang w:val="es-ES_tradnl"/>
        </w:rPr>
        <w:t xml:space="preserve"> ALCANOS DE COLOMBIA S.A. E.S.P. en la aprobación del cargo de distribución establecido en la Resolución CREG 005 de 2019, en la cual se observó que efectivamente los costos de las unidades constructivas están valoradas a pesos del 31 diciembre de 2014, siendo el correcto el 31 de diciembre de 2017 que corresponde a la fecha base de la solicitud tarifaria.   </w:t>
      </w:r>
    </w:p>
    <w:p w14:paraId="4B400C6B" w14:textId="77777777" w:rsidR="00BA56AD" w:rsidRDefault="00BA56AD" w:rsidP="00BA56AD">
      <w:pPr>
        <w:tabs>
          <w:tab w:val="left" w:pos="426"/>
        </w:tabs>
        <w:rPr>
          <w:iCs/>
          <w:lang w:val="es-ES_tradnl"/>
        </w:rPr>
      </w:pPr>
    </w:p>
    <w:p w14:paraId="73293079" w14:textId="77777777" w:rsidR="00BA56AD" w:rsidRPr="0044239B" w:rsidRDefault="00BA56AD" w:rsidP="00BA56AD">
      <w:pPr>
        <w:tabs>
          <w:tab w:val="left" w:pos="426"/>
        </w:tabs>
        <w:rPr>
          <w:iCs/>
          <w:lang w:val="es-ES_tradnl"/>
        </w:rPr>
      </w:pPr>
      <w:r>
        <w:rPr>
          <w:iCs/>
          <w:lang w:val="es-ES_tradnl"/>
        </w:rPr>
        <w:t xml:space="preserve">De esta manera, </w:t>
      </w:r>
      <w:r w:rsidRPr="0044239B">
        <w:rPr>
          <w:iCs/>
          <w:lang w:val="es-ES_tradnl"/>
        </w:rPr>
        <w:t>aplicando los costos unitarios establecidos en el Anexo 8 de la Resolución 202 de 2013</w:t>
      </w:r>
      <w:r>
        <w:rPr>
          <w:iCs/>
          <w:lang w:val="es-ES_tradnl"/>
        </w:rPr>
        <w:t xml:space="preserve"> valorados a la fecha base, es decir el 31 de diciembre de 2017, el costo de las nuevas inversiones a reconocer es el siguiente:</w:t>
      </w:r>
    </w:p>
    <w:p w14:paraId="0E35765D" w14:textId="77777777" w:rsidR="00BA56AD" w:rsidRDefault="00BA56AD" w:rsidP="00BA56AD">
      <w:pPr>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987"/>
        <w:gridCol w:w="1698"/>
        <w:gridCol w:w="863"/>
        <w:gridCol w:w="1143"/>
        <w:gridCol w:w="1552"/>
        <w:gridCol w:w="1177"/>
        <w:gridCol w:w="831"/>
        <w:gridCol w:w="1095"/>
      </w:tblGrid>
      <w:tr w:rsidR="00BA56AD" w:rsidRPr="00790D9C" w14:paraId="7D08B651" w14:textId="77777777" w:rsidTr="00FB5615">
        <w:trPr>
          <w:trHeight w:val="270"/>
          <w:tblHead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0A908C" w14:textId="77777777" w:rsidR="00BA56AD" w:rsidRPr="00790D9C" w:rsidRDefault="00BA56AD" w:rsidP="00FB5615">
            <w:pPr>
              <w:jc w:val="center"/>
              <w:rPr>
                <w:b/>
                <w:bCs/>
                <w:color w:val="000000"/>
                <w:sz w:val="12"/>
                <w:szCs w:val="16"/>
                <w:lang w:val="es-CO" w:eastAsia="es-CO"/>
              </w:rPr>
            </w:pPr>
            <w:r w:rsidRPr="00790D9C">
              <w:rPr>
                <w:b/>
                <w:bCs/>
                <w:color w:val="000000"/>
                <w:sz w:val="12"/>
                <w:szCs w:val="16"/>
                <w:lang w:val="es-CO" w:eastAsia="es-CO"/>
              </w:rPr>
              <w:lastRenderedPageBreak/>
              <w:t>Municipio</w:t>
            </w:r>
          </w:p>
        </w:tc>
        <w:tc>
          <w:tcPr>
            <w:tcW w:w="16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581EA2" w14:textId="77777777" w:rsidR="00BA56AD" w:rsidRPr="00790D9C" w:rsidRDefault="00BA56AD" w:rsidP="00FB5615">
            <w:pPr>
              <w:jc w:val="center"/>
              <w:rPr>
                <w:b/>
                <w:bCs/>
                <w:color w:val="000000"/>
                <w:sz w:val="12"/>
                <w:szCs w:val="16"/>
                <w:lang w:val="es-CO" w:eastAsia="es-CO"/>
              </w:rPr>
            </w:pPr>
            <w:r w:rsidRPr="00790D9C">
              <w:rPr>
                <w:b/>
                <w:bCs/>
                <w:color w:val="000000"/>
                <w:sz w:val="12"/>
                <w:szCs w:val="16"/>
                <w:lang w:val="es-CO" w:eastAsia="es-CO"/>
              </w:rPr>
              <w:t>Unidad Constructiva</w:t>
            </w:r>
          </w:p>
        </w:tc>
        <w:tc>
          <w:tcPr>
            <w:tcW w:w="86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9BE32D" w14:textId="77777777" w:rsidR="00BA56AD" w:rsidRPr="00790D9C" w:rsidRDefault="00BA56AD" w:rsidP="00FB5615">
            <w:pPr>
              <w:jc w:val="center"/>
              <w:rPr>
                <w:b/>
                <w:bCs/>
                <w:color w:val="000000"/>
                <w:sz w:val="12"/>
                <w:szCs w:val="16"/>
                <w:lang w:val="es-CO" w:eastAsia="es-CO"/>
              </w:rPr>
            </w:pPr>
            <w:r w:rsidRPr="00790D9C">
              <w:rPr>
                <w:b/>
                <w:bCs/>
                <w:color w:val="000000"/>
                <w:sz w:val="12"/>
                <w:szCs w:val="16"/>
                <w:lang w:val="es-CO" w:eastAsia="es-CO"/>
              </w:rPr>
              <w:t>UC</w:t>
            </w:r>
          </w:p>
        </w:tc>
        <w:tc>
          <w:tcPr>
            <w:tcW w:w="11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670346" w14:textId="77777777" w:rsidR="00BA56AD" w:rsidRPr="00790D9C" w:rsidRDefault="00BA56AD" w:rsidP="00FB5615">
            <w:pPr>
              <w:jc w:val="center"/>
              <w:rPr>
                <w:b/>
                <w:bCs/>
                <w:color w:val="000000"/>
                <w:sz w:val="12"/>
                <w:szCs w:val="16"/>
                <w:lang w:val="es-CO" w:eastAsia="es-CO"/>
              </w:rPr>
            </w:pPr>
            <w:r w:rsidRPr="00790D9C">
              <w:rPr>
                <w:b/>
                <w:bCs/>
                <w:color w:val="000000"/>
                <w:sz w:val="12"/>
                <w:szCs w:val="16"/>
                <w:lang w:val="es-CO" w:eastAsia="es-CO"/>
              </w:rPr>
              <w:t>Costo</w:t>
            </w:r>
          </w:p>
        </w:tc>
        <w:tc>
          <w:tcPr>
            <w:tcW w:w="15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F56AAC" w14:textId="77777777" w:rsidR="00BA56AD" w:rsidRPr="00790D9C" w:rsidRDefault="00BA56AD" w:rsidP="00FB5615">
            <w:pPr>
              <w:jc w:val="center"/>
              <w:rPr>
                <w:b/>
                <w:bCs/>
                <w:color w:val="000000"/>
                <w:sz w:val="12"/>
                <w:szCs w:val="16"/>
                <w:lang w:val="es-CO" w:eastAsia="es-CO"/>
              </w:rPr>
            </w:pPr>
            <w:r w:rsidRPr="00790D9C">
              <w:rPr>
                <w:b/>
                <w:bCs/>
                <w:color w:val="000000"/>
                <w:sz w:val="12"/>
                <w:szCs w:val="16"/>
                <w:lang w:val="es-CO" w:eastAsia="es-CO"/>
              </w:rPr>
              <w:t>Tipo de Inversión</w:t>
            </w:r>
          </w:p>
        </w:tc>
        <w:tc>
          <w:tcPr>
            <w:tcW w:w="11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0A24F2" w14:textId="77777777" w:rsidR="00BA56AD" w:rsidRPr="00790D9C" w:rsidRDefault="00BA56AD" w:rsidP="00FB5615">
            <w:pPr>
              <w:jc w:val="center"/>
              <w:rPr>
                <w:b/>
                <w:bCs/>
                <w:color w:val="000000"/>
                <w:sz w:val="12"/>
                <w:szCs w:val="16"/>
                <w:lang w:val="es-CO" w:eastAsia="es-CO"/>
              </w:rPr>
            </w:pPr>
            <w:r w:rsidRPr="00790D9C">
              <w:rPr>
                <w:b/>
                <w:bCs/>
                <w:color w:val="000000"/>
                <w:sz w:val="12"/>
                <w:szCs w:val="16"/>
                <w:lang w:val="es-CO" w:eastAsia="es-CO"/>
              </w:rPr>
              <w:t>Red</w:t>
            </w:r>
          </w:p>
        </w:tc>
        <w:tc>
          <w:tcPr>
            <w:tcW w:w="8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38374C" w14:textId="77777777" w:rsidR="00BA56AD" w:rsidRPr="00790D9C" w:rsidRDefault="00BA56AD" w:rsidP="00FB5615">
            <w:pPr>
              <w:jc w:val="center"/>
              <w:rPr>
                <w:b/>
                <w:bCs/>
                <w:color w:val="000000"/>
                <w:sz w:val="12"/>
                <w:szCs w:val="16"/>
                <w:lang w:val="es-CO" w:eastAsia="es-CO"/>
              </w:rPr>
            </w:pPr>
            <w:r w:rsidRPr="00790D9C">
              <w:rPr>
                <w:b/>
                <w:bCs/>
                <w:color w:val="000000"/>
                <w:sz w:val="12"/>
                <w:szCs w:val="16"/>
                <w:lang w:val="es-CO" w:eastAsia="es-CO"/>
              </w:rPr>
              <w:t>Cantidad</w:t>
            </w:r>
          </w:p>
        </w:tc>
        <w:tc>
          <w:tcPr>
            <w:tcW w:w="109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AE4138" w14:textId="77777777" w:rsidR="00BA56AD" w:rsidRPr="00790D9C" w:rsidRDefault="00BA56AD" w:rsidP="00FB5615">
            <w:pPr>
              <w:jc w:val="center"/>
              <w:rPr>
                <w:b/>
                <w:bCs/>
                <w:color w:val="000000"/>
                <w:sz w:val="12"/>
                <w:szCs w:val="16"/>
                <w:lang w:val="es-CO" w:eastAsia="es-CO"/>
              </w:rPr>
            </w:pPr>
            <w:r w:rsidRPr="00790D9C">
              <w:rPr>
                <w:b/>
                <w:bCs/>
                <w:color w:val="000000"/>
                <w:sz w:val="12"/>
                <w:szCs w:val="16"/>
                <w:lang w:val="es-CO" w:eastAsia="es-CO"/>
              </w:rPr>
              <w:t>Costo Total</w:t>
            </w:r>
          </w:p>
        </w:tc>
      </w:tr>
      <w:tr w:rsidR="00BA56AD" w:rsidRPr="00790D9C" w14:paraId="6E8CA291"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2472B6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0F57D5B9"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37AED78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TPE1/2AS</w:t>
            </w:r>
          </w:p>
        </w:tc>
        <w:tc>
          <w:tcPr>
            <w:tcW w:w="1143" w:type="dxa"/>
            <w:tcBorders>
              <w:top w:val="nil"/>
              <w:left w:val="nil"/>
              <w:bottom w:val="single" w:sz="4" w:space="0" w:color="auto"/>
              <w:right w:val="single" w:sz="4" w:space="0" w:color="auto"/>
            </w:tcBorders>
            <w:shd w:val="clear" w:color="auto" w:fill="auto"/>
            <w:noWrap/>
            <w:vAlign w:val="bottom"/>
            <w:hideMark/>
          </w:tcPr>
          <w:p w14:paraId="498E134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75</w:t>
            </w:r>
            <w:r>
              <w:rPr>
                <w:color w:val="000000"/>
                <w:sz w:val="12"/>
                <w:szCs w:val="16"/>
                <w:lang w:val="es-CO" w:eastAsia="es-CO"/>
              </w:rPr>
              <w:t>.</w:t>
            </w:r>
            <w:r w:rsidRPr="00790D9C">
              <w:rPr>
                <w:color w:val="000000"/>
                <w:sz w:val="12"/>
                <w:szCs w:val="16"/>
                <w:lang w:val="es-CO" w:eastAsia="es-CO"/>
              </w:rPr>
              <w:t>816</w:t>
            </w:r>
            <w:r>
              <w:rPr>
                <w:color w:val="000000"/>
                <w:sz w:val="12"/>
                <w:szCs w:val="16"/>
                <w:lang w:val="es-CO" w:eastAsia="es-CO"/>
              </w:rPr>
              <w:t>.</w:t>
            </w:r>
            <w:r w:rsidRPr="00790D9C">
              <w:rPr>
                <w:color w:val="000000"/>
                <w:sz w:val="12"/>
                <w:szCs w:val="16"/>
                <w:lang w:val="es-CO" w:eastAsia="es-CO"/>
              </w:rPr>
              <w:t>559</w:t>
            </w:r>
          </w:p>
        </w:tc>
        <w:tc>
          <w:tcPr>
            <w:tcW w:w="1552" w:type="dxa"/>
            <w:tcBorders>
              <w:top w:val="nil"/>
              <w:left w:val="nil"/>
              <w:bottom w:val="single" w:sz="4" w:space="0" w:color="auto"/>
              <w:right w:val="single" w:sz="4" w:space="0" w:color="auto"/>
            </w:tcBorders>
            <w:shd w:val="clear" w:color="auto" w:fill="auto"/>
            <w:noWrap/>
            <w:vAlign w:val="bottom"/>
            <w:hideMark/>
          </w:tcPr>
          <w:p w14:paraId="6A876DF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68920294"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4479D8E8"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07</w:t>
            </w:r>
          </w:p>
        </w:tc>
        <w:tc>
          <w:tcPr>
            <w:tcW w:w="1095" w:type="dxa"/>
            <w:tcBorders>
              <w:top w:val="nil"/>
              <w:left w:val="nil"/>
              <w:bottom w:val="single" w:sz="4" w:space="0" w:color="auto"/>
              <w:right w:val="single" w:sz="4" w:space="0" w:color="auto"/>
            </w:tcBorders>
            <w:shd w:val="clear" w:color="auto" w:fill="auto"/>
            <w:noWrap/>
            <w:vAlign w:val="bottom"/>
            <w:hideMark/>
          </w:tcPr>
          <w:p w14:paraId="118320C3"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4</w:t>
            </w:r>
            <w:r>
              <w:rPr>
                <w:color w:val="000000"/>
                <w:sz w:val="12"/>
                <w:szCs w:val="16"/>
                <w:lang w:val="es-CO" w:eastAsia="es-CO"/>
              </w:rPr>
              <w:t>.</w:t>
            </w:r>
            <w:r w:rsidRPr="00790D9C">
              <w:rPr>
                <w:color w:val="000000"/>
                <w:sz w:val="12"/>
                <w:szCs w:val="16"/>
                <w:lang w:val="es-CO" w:eastAsia="es-CO"/>
              </w:rPr>
              <w:t>928</w:t>
            </w:r>
            <w:r>
              <w:rPr>
                <w:color w:val="000000"/>
                <w:sz w:val="12"/>
                <w:szCs w:val="16"/>
                <w:lang w:val="es-CO" w:eastAsia="es-CO"/>
              </w:rPr>
              <w:t>.</w:t>
            </w:r>
            <w:r w:rsidRPr="00790D9C">
              <w:rPr>
                <w:color w:val="000000"/>
                <w:sz w:val="12"/>
                <w:szCs w:val="16"/>
                <w:lang w:val="es-CO" w:eastAsia="es-CO"/>
              </w:rPr>
              <w:t>076</w:t>
            </w:r>
          </w:p>
        </w:tc>
      </w:tr>
      <w:tr w:rsidR="00BA56AD" w:rsidRPr="00790D9C" w14:paraId="4E5F9616"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4458AB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AE65F1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12DA2D4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TPE3/4AS</w:t>
            </w:r>
          </w:p>
        </w:tc>
        <w:tc>
          <w:tcPr>
            <w:tcW w:w="1143" w:type="dxa"/>
            <w:tcBorders>
              <w:top w:val="nil"/>
              <w:left w:val="nil"/>
              <w:bottom w:val="single" w:sz="4" w:space="0" w:color="auto"/>
              <w:right w:val="single" w:sz="4" w:space="0" w:color="auto"/>
            </w:tcBorders>
            <w:shd w:val="clear" w:color="auto" w:fill="auto"/>
            <w:noWrap/>
            <w:vAlign w:val="bottom"/>
            <w:hideMark/>
          </w:tcPr>
          <w:p w14:paraId="5707BA4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76</w:t>
            </w:r>
            <w:r>
              <w:rPr>
                <w:color w:val="000000"/>
                <w:sz w:val="12"/>
                <w:szCs w:val="16"/>
                <w:lang w:val="es-CO" w:eastAsia="es-CO"/>
              </w:rPr>
              <w:t>.</w:t>
            </w:r>
            <w:r w:rsidRPr="00790D9C">
              <w:rPr>
                <w:color w:val="000000"/>
                <w:sz w:val="12"/>
                <w:szCs w:val="16"/>
                <w:lang w:val="es-CO" w:eastAsia="es-CO"/>
              </w:rPr>
              <w:t>715,959</w:t>
            </w:r>
          </w:p>
        </w:tc>
        <w:tc>
          <w:tcPr>
            <w:tcW w:w="1552" w:type="dxa"/>
            <w:tcBorders>
              <w:top w:val="nil"/>
              <w:left w:val="nil"/>
              <w:bottom w:val="single" w:sz="4" w:space="0" w:color="auto"/>
              <w:right w:val="single" w:sz="4" w:space="0" w:color="auto"/>
            </w:tcBorders>
            <w:shd w:val="clear" w:color="auto" w:fill="auto"/>
            <w:noWrap/>
            <w:vAlign w:val="bottom"/>
            <w:hideMark/>
          </w:tcPr>
          <w:p w14:paraId="5E83476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6D575165"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49DA901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34</w:t>
            </w:r>
          </w:p>
        </w:tc>
        <w:tc>
          <w:tcPr>
            <w:tcW w:w="1095" w:type="dxa"/>
            <w:tcBorders>
              <w:top w:val="nil"/>
              <w:left w:val="nil"/>
              <w:bottom w:val="single" w:sz="4" w:space="0" w:color="auto"/>
              <w:right w:val="single" w:sz="4" w:space="0" w:color="auto"/>
            </w:tcBorders>
            <w:shd w:val="clear" w:color="auto" w:fill="auto"/>
            <w:noWrap/>
            <w:vAlign w:val="bottom"/>
            <w:hideMark/>
          </w:tcPr>
          <w:p w14:paraId="60D7B5A0"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26</w:t>
            </w:r>
            <w:r>
              <w:rPr>
                <w:color w:val="000000"/>
                <w:sz w:val="12"/>
                <w:szCs w:val="16"/>
                <w:lang w:val="es-CO" w:eastAsia="es-CO"/>
              </w:rPr>
              <w:t>.</w:t>
            </w:r>
            <w:r w:rsidRPr="00790D9C">
              <w:rPr>
                <w:color w:val="000000"/>
                <w:sz w:val="12"/>
                <w:szCs w:val="16"/>
                <w:lang w:val="es-CO" w:eastAsia="es-CO"/>
              </w:rPr>
              <w:t>106</w:t>
            </w:r>
            <w:r>
              <w:rPr>
                <w:color w:val="000000"/>
                <w:sz w:val="12"/>
                <w:szCs w:val="16"/>
                <w:lang w:val="es-CO" w:eastAsia="es-CO"/>
              </w:rPr>
              <w:t>.</w:t>
            </w:r>
            <w:r w:rsidRPr="00790D9C">
              <w:rPr>
                <w:color w:val="000000"/>
                <w:sz w:val="12"/>
                <w:szCs w:val="16"/>
                <w:lang w:val="es-CO" w:eastAsia="es-CO"/>
              </w:rPr>
              <w:t>441</w:t>
            </w:r>
          </w:p>
        </w:tc>
      </w:tr>
      <w:tr w:rsidR="00BA56AD" w:rsidRPr="00790D9C" w14:paraId="6BFAB469" w14:textId="77777777" w:rsidTr="00FB5615">
        <w:trPr>
          <w:trHeight w:val="37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40DB77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D44122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1779CF7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TPE2AS</w:t>
            </w:r>
          </w:p>
        </w:tc>
        <w:tc>
          <w:tcPr>
            <w:tcW w:w="1143" w:type="dxa"/>
            <w:tcBorders>
              <w:top w:val="nil"/>
              <w:left w:val="nil"/>
              <w:bottom w:val="single" w:sz="4" w:space="0" w:color="auto"/>
              <w:right w:val="single" w:sz="4" w:space="0" w:color="auto"/>
            </w:tcBorders>
            <w:shd w:val="clear" w:color="auto" w:fill="auto"/>
            <w:noWrap/>
            <w:vAlign w:val="bottom"/>
            <w:hideMark/>
          </w:tcPr>
          <w:p w14:paraId="3718EBE3"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87</w:t>
            </w:r>
            <w:r>
              <w:rPr>
                <w:color w:val="000000"/>
                <w:sz w:val="12"/>
                <w:szCs w:val="16"/>
                <w:lang w:val="es-CO" w:eastAsia="es-CO"/>
              </w:rPr>
              <w:t>.</w:t>
            </w:r>
            <w:r w:rsidRPr="00790D9C">
              <w:rPr>
                <w:color w:val="000000"/>
                <w:sz w:val="12"/>
                <w:szCs w:val="16"/>
                <w:lang w:val="es-CO" w:eastAsia="es-CO"/>
              </w:rPr>
              <w:t>082</w:t>
            </w:r>
            <w:r>
              <w:rPr>
                <w:color w:val="000000"/>
                <w:sz w:val="12"/>
                <w:szCs w:val="16"/>
                <w:lang w:val="es-CO" w:eastAsia="es-CO"/>
              </w:rPr>
              <w:t>.</w:t>
            </w:r>
            <w:r w:rsidRPr="00790D9C">
              <w:rPr>
                <w:color w:val="000000"/>
                <w:sz w:val="12"/>
                <w:szCs w:val="16"/>
                <w:lang w:val="es-CO" w:eastAsia="es-CO"/>
              </w:rPr>
              <w:t>705</w:t>
            </w:r>
          </w:p>
        </w:tc>
        <w:tc>
          <w:tcPr>
            <w:tcW w:w="1552" w:type="dxa"/>
            <w:tcBorders>
              <w:top w:val="nil"/>
              <w:left w:val="nil"/>
              <w:bottom w:val="single" w:sz="4" w:space="0" w:color="auto"/>
              <w:right w:val="single" w:sz="4" w:space="0" w:color="auto"/>
            </w:tcBorders>
            <w:shd w:val="clear" w:color="auto" w:fill="auto"/>
            <w:noWrap/>
            <w:vAlign w:val="bottom"/>
            <w:hideMark/>
          </w:tcPr>
          <w:p w14:paraId="521E2D4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6ABB86AE"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372AC084"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15</w:t>
            </w:r>
          </w:p>
        </w:tc>
        <w:tc>
          <w:tcPr>
            <w:tcW w:w="1095" w:type="dxa"/>
            <w:tcBorders>
              <w:top w:val="nil"/>
              <w:left w:val="nil"/>
              <w:bottom w:val="single" w:sz="4" w:space="0" w:color="auto"/>
              <w:right w:val="single" w:sz="4" w:space="0" w:color="auto"/>
            </w:tcBorders>
            <w:shd w:val="clear" w:color="auto" w:fill="auto"/>
            <w:noWrap/>
            <w:vAlign w:val="bottom"/>
            <w:hideMark/>
          </w:tcPr>
          <w:p w14:paraId="7E2852BA"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13</w:t>
            </w:r>
            <w:r>
              <w:rPr>
                <w:color w:val="000000"/>
                <w:sz w:val="12"/>
                <w:szCs w:val="16"/>
                <w:lang w:val="es-CO" w:eastAsia="es-CO"/>
              </w:rPr>
              <w:t>.</w:t>
            </w:r>
            <w:r w:rsidRPr="00790D9C">
              <w:rPr>
                <w:color w:val="000000"/>
                <w:sz w:val="12"/>
                <w:szCs w:val="16"/>
                <w:lang w:val="es-CO" w:eastAsia="es-CO"/>
              </w:rPr>
              <w:t>236</w:t>
            </w:r>
            <w:r>
              <w:rPr>
                <w:color w:val="000000"/>
                <w:sz w:val="12"/>
                <w:szCs w:val="16"/>
                <w:lang w:val="es-CO" w:eastAsia="es-CO"/>
              </w:rPr>
              <w:t>.</w:t>
            </w:r>
            <w:r w:rsidRPr="00790D9C">
              <w:rPr>
                <w:color w:val="000000"/>
                <w:sz w:val="12"/>
                <w:szCs w:val="16"/>
                <w:lang w:val="es-CO" w:eastAsia="es-CO"/>
              </w:rPr>
              <w:t>571</w:t>
            </w:r>
          </w:p>
        </w:tc>
      </w:tr>
      <w:tr w:rsidR="00BA56AD" w:rsidRPr="00790D9C" w14:paraId="404928BB"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BE8105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60C6A3C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3F85030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TPE1/2CO</w:t>
            </w:r>
          </w:p>
        </w:tc>
        <w:tc>
          <w:tcPr>
            <w:tcW w:w="1143" w:type="dxa"/>
            <w:tcBorders>
              <w:top w:val="nil"/>
              <w:left w:val="nil"/>
              <w:bottom w:val="single" w:sz="4" w:space="0" w:color="auto"/>
              <w:right w:val="single" w:sz="4" w:space="0" w:color="auto"/>
            </w:tcBorders>
            <w:shd w:val="clear" w:color="auto" w:fill="auto"/>
            <w:noWrap/>
            <w:vAlign w:val="bottom"/>
            <w:hideMark/>
          </w:tcPr>
          <w:p w14:paraId="6CD1C3D6"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74</w:t>
            </w:r>
            <w:r>
              <w:rPr>
                <w:color w:val="000000"/>
                <w:sz w:val="12"/>
                <w:szCs w:val="16"/>
                <w:lang w:val="es-CO" w:eastAsia="es-CO"/>
              </w:rPr>
              <w:t>.</w:t>
            </w:r>
            <w:r w:rsidRPr="00790D9C">
              <w:rPr>
                <w:color w:val="000000"/>
                <w:sz w:val="12"/>
                <w:szCs w:val="16"/>
                <w:lang w:val="es-CO" w:eastAsia="es-CO"/>
              </w:rPr>
              <w:t>429</w:t>
            </w:r>
            <w:r>
              <w:rPr>
                <w:color w:val="000000"/>
                <w:sz w:val="12"/>
                <w:szCs w:val="16"/>
                <w:lang w:val="es-CO" w:eastAsia="es-CO"/>
              </w:rPr>
              <w:t>.</w:t>
            </w:r>
            <w:r w:rsidRPr="00790D9C">
              <w:rPr>
                <w:color w:val="000000"/>
                <w:sz w:val="12"/>
                <w:szCs w:val="16"/>
                <w:lang w:val="es-CO" w:eastAsia="es-CO"/>
              </w:rPr>
              <w:t>578</w:t>
            </w:r>
          </w:p>
        </w:tc>
        <w:tc>
          <w:tcPr>
            <w:tcW w:w="1552" w:type="dxa"/>
            <w:tcBorders>
              <w:top w:val="nil"/>
              <w:left w:val="nil"/>
              <w:bottom w:val="single" w:sz="4" w:space="0" w:color="auto"/>
              <w:right w:val="single" w:sz="4" w:space="0" w:color="auto"/>
            </w:tcBorders>
            <w:shd w:val="clear" w:color="auto" w:fill="auto"/>
            <w:noWrap/>
            <w:vAlign w:val="bottom"/>
            <w:hideMark/>
          </w:tcPr>
          <w:p w14:paraId="4652CD9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1A62CF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0F16E28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02</w:t>
            </w:r>
          </w:p>
        </w:tc>
        <w:tc>
          <w:tcPr>
            <w:tcW w:w="1095" w:type="dxa"/>
            <w:tcBorders>
              <w:top w:val="nil"/>
              <w:left w:val="nil"/>
              <w:bottom w:val="single" w:sz="4" w:space="0" w:color="auto"/>
              <w:right w:val="single" w:sz="4" w:space="0" w:color="auto"/>
            </w:tcBorders>
            <w:shd w:val="clear" w:color="auto" w:fill="auto"/>
            <w:noWrap/>
            <w:vAlign w:val="bottom"/>
            <w:hideMark/>
          </w:tcPr>
          <w:p w14:paraId="7BFD523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190</w:t>
            </w:r>
            <w:r>
              <w:rPr>
                <w:color w:val="000000"/>
                <w:sz w:val="12"/>
                <w:szCs w:val="16"/>
                <w:lang w:val="es-CO" w:eastAsia="es-CO"/>
              </w:rPr>
              <w:t>.</w:t>
            </w:r>
            <w:r w:rsidRPr="00790D9C">
              <w:rPr>
                <w:color w:val="000000"/>
                <w:sz w:val="12"/>
                <w:szCs w:val="16"/>
                <w:lang w:val="es-CO" w:eastAsia="es-CO"/>
              </w:rPr>
              <w:t>873</w:t>
            </w:r>
          </w:p>
        </w:tc>
      </w:tr>
      <w:tr w:rsidR="00BA56AD" w:rsidRPr="00790D9C" w14:paraId="431EC5CF"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1AC72D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FBF557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4A3E6D2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TPE3/4CO</w:t>
            </w:r>
          </w:p>
        </w:tc>
        <w:tc>
          <w:tcPr>
            <w:tcW w:w="1143" w:type="dxa"/>
            <w:tcBorders>
              <w:top w:val="nil"/>
              <w:left w:val="nil"/>
              <w:bottom w:val="single" w:sz="4" w:space="0" w:color="auto"/>
              <w:right w:val="single" w:sz="4" w:space="0" w:color="auto"/>
            </w:tcBorders>
            <w:shd w:val="clear" w:color="auto" w:fill="auto"/>
            <w:noWrap/>
            <w:vAlign w:val="bottom"/>
            <w:hideMark/>
          </w:tcPr>
          <w:p w14:paraId="57EE507A"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75</w:t>
            </w:r>
            <w:r>
              <w:rPr>
                <w:color w:val="000000"/>
                <w:sz w:val="12"/>
                <w:szCs w:val="16"/>
                <w:lang w:val="es-CO" w:eastAsia="es-CO"/>
              </w:rPr>
              <w:t>.</w:t>
            </w:r>
            <w:r w:rsidRPr="00790D9C">
              <w:rPr>
                <w:color w:val="000000"/>
                <w:sz w:val="12"/>
                <w:szCs w:val="16"/>
                <w:lang w:val="es-CO" w:eastAsia="es-CO"/>
              </w:rPr>
              <w:t>269</w:t>
            </w:r>
            <w:r>
              <w:rPr>
                <w:color w:val="000000"/>
                <w:sz w:val="12"/>
                <w:szCs w:val="16"/>
                <w:lang w:val="es-CO" w:eastAsia="es-CO"/>
              </w:rPr>
              <w:t>.</w:t>
            </w:r>
            <w:r w:rsidRPr="00790D9C">
              <w:rPr>
                <w:color w:val="000000"/>
                <w:sz w:val="12"/>
                <w:szCs w:val="16"/>
                <w:lang w:val="es-CO" w:eastAsia="es-CO"/>
              </w:rPr>
              <w:t>785</w:t>
            </w:r>
          </w:p>
        </w:tc>
        <w:tc>
          <w:tcPr>
            <w:tcW w:w="1552" w:type="dxa"/>
            <w:tcBorders>
              <w:top w:val="nil"/>
              <w:left w:val="nil"/>
              <w:bottom w:val="single" w:sz="4" w:space="0" w:color="auto"/>
              <w:right w:val="single" w:sz="4" w:space="0" w:color="auto"/>
            </w:tcBorders>
            <w:shd w:val="clear" w:color="auto" w:fill="auto"/>
            <w:noWrap/>
            <w:vAlign w:val="bottom"/>
            <w:hideMark/>
          </w:tcPr>
          <w:p w14:paraId="6C9233F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3FE01D7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13D72198"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03</w:t>
            </w:r>
          </w:p>
        </w:tc>
        <w:tc>
          <w:tcPr>
            <w:tcW w:w="1095" w:type="dxa"/>
            <w:tcBorders>
              <w:top w:val="nil"/>
              <w:left w:val="nil"/>
              <w:bottom w:val="single" w:sz="4" w:space="0" w:color="auto"/>
              <w:right w:val="single" w:sz="4" w:space="0" w:color="auto"/>
            </w:tcBorders>
            <w:shd w:val="clear" w:color="auto" w:fill="auto"/>
            <w:noWrap/>
            <w:vAlign w:val="bottom"/>
            <w:hideMark/>
          </w:tcPr>
          <w:p w14:paraId="3F308302"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559</w:t>
            </w:r>
            <w:r>
              <w:rPr>
                <w:color w:val="000000"/>
                <w:sz w:val="12"/>
                <w:szCs w:val="16"/>
                <w:lang w:val="es-CO" w:eastAsia="es-CO"/>
              </w:rPr>
              <w:t>.</w:t>
            </w:r>
            <w:r w:rsidRPr="00790D9C">
              <w:rPr>
                <w:color w:val="000000"/>
                <w:sz w:val="12"/>
                <w:szCs w:val="16"/>
                <w:lang w:val="es-CO" w:eastAsia="es-CO"/>
              </w:rPr>
              <w:t>173</w:t>
            </w:r>
          </w:p>
        </w:tc>
      </w:tr>
      <w:tr w:rsidR="00BA56AD" w:rsidRPr="00790D9C" w14:paraId="381BD8C6"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E97672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615BF0B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1F2DADB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TPE1/2ACO</w:t>
            </w:r>
          </w:p>
        </w:tc>
        <w:tc>
          <w:tcPr>
            <w:tcW w:w="1143" w:type="dxa"/>
            <w:tcBorders>
              <w:top w:val="nil"/>
              <w:left w:val="nil"/>
              <w:bottom w:val="single" w:sz="4" w:space="0" w:color="auto"/>
              <w:right w:val="single" w:sz="4" w:space="0" w:color="auto"/>
            </w:tcBorders>
            <w:shd w:val="clear" w:color="auto" w:fill="auto"/>
            <w:noWrap/>
            <w:vAlign w:val="bottom"/>
            <w:hideMark/>
          </w:tcPr>
          <w:p w14:paraId="366EF3A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52</w:t>
            </w:r>
            <w:r>
              <w:rPr>
                <w:color w:val="000000"/>
                <w:sz w:val="12"/>
                <w:szCs w:val="16"/>
                <w:lang w:val="es-CO" w:eastAsia="es-CO"/>
              </w:rPr>
              <w:t>.</w:t>
            </w:r>
            <w:r w:rsidRPr="00790D9C">
              <w:rPr>
                <w:color w:val="000000"/>
                <w:sz w:val="12"/>
                <w:szCs w:val="16"/>
                <w:lang w:val="es-CO" w:eastAsia="es-CO"/>
              </w:rPr>
              <w:t>202</w:t>
            </w:r>
            <w:r>
              <w:rPr>
                <w:color w:val="000000"/>
                <w:sz w:val="12"/>
                <w:szCs w:val="16"/>
                <w:lang w:val="es-CO" w:eastAsia="es-CO"/>
              </w:rPr>
              <w:t>.</w:t>
            </w:r>
            <w:r w:rsidRPr="00790D9C">
              <w:rPr>
                <w:color w:val="000000"/>
                <w:sz w:val="12"/>
                <w:szCs w:val="16"/>
                <w:lang w:val="es-CO" w:eastAsia="es-CO"/>
              </w:rPr>
              <w:t>790</w:t>
            </w:r>
          </w:p>
        </w:tc>
        <w:tc>
          <w:tcPr>
            <w:tcW w:w="1552" w:type="dxa"/>
            <w:tcBorders>
              <w:top w:val="nil"/>
              <w:left w:val="nil"/>
              <w:bottom w:val="single" w:sz="4" w:space="0" w:color="auto"/>
              <w:right w:val="single" w:sz="4" w:space="0" w:color="auto"/>
            </w:tcBorders>
            <w:shd w:val="clear" w:color="auto" w:fill="auto"/>
            <w:noWrap/>
            <w:vAlign w:val="bottom"/>
            <w:hideMark/>
          </w:tcPr>
          <w:p w14:paraId="5986AFF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1F18EC66"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1A31C6D8"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05</w:t>
            </w:r>
          </w:p>
        </w:tc>
        <w:tc>
          <w:tcPr>
            <w:tcW w:w="1095" w:type="dxa"/>
            <w:tcBorders>
              <w:top w:val="nil"/>
              <w:left w:val="nil"/>
              <w:bottom w:val="single" w:sz="4" w:space="0" w:color="auto"/>
              <w:right w:val="single" w:sz="4" w:space="0" w:color="auto"/>
            </w:tcBorders>
            <w:shd w:val="clear" w:color="auto" w:fill="auto"/>
            <w:noWrap/>
            <w:vAlign w:val="bottom"/>
            <w:hideMark/>
          </w:tcPr>
          <w:p w14:paraId="02A61262"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106</w:t>
            </w:r>
            <w:r>
              <w:rPr>
                <w:color w:val="000000"/>
                <w:sz w:val="12"/>
                <w:szCs w:val="16"/>
                <w:lang w:val="es-CO" w:eastAsia="es-CO"/>
              </w:rPr>
              <w:t>.</w:t>
            </w:r>
            <w:r w:rsidRPr="00790D9C">
              <w:rPr>
                <w:color w:val="000000"/>
                <w:sz w:val="12"/>
                <w:szCs w:val="16"/>
                <w:lang w:val="es-CO" w:eastAsia="es-CO"/>
              </w:rPr>
              <w:t>911</w:t>
            </w:r>
            <w:r>
              <w:rPr>
                <w:color w:val="000000"/>
                <w:sz w:val="12"/>
                <w:szCs w:val="16"/>
                <w:lang w:val="es-CO" w:eastAsia="es-CO"/>
              </w:rPr>
              <w:t>.</w:t>
            </w:r>
            <w:r w:rsidRPr="00790D9C">
              <w:rPr>
                <w:color w:val="000000"/>
                <w:sz w:val="12"/>
                <w:szCs w:val="16"/>
                <w:lang w:val="es-CO" w:eastAsia="es-CO"/>
              </w:rPr>
              <w:t>314</w:t>
            </w:r>
          </w:p>
        </w:tc>
      </w:tr>
      <w:tr w:rsidR="00BA56AD" w:rsidRPr="00790D9C" w14:paraId="30188268"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F57ECF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0B2B743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1D160E5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TPE3/4ACO</w:t>
            </w:r>
          </w:p>
        </w:tc>
        <w:tc>
          <w:tcPr>
            <w:tcW w:w="1143" w:type="dxa"/>
            <w:tcBorders>
              <w:top w:val="nil"/>
              <w:left w:val="nil"/>
              <w:bottom w:val="single" w:sz="4" w:space="0" w:color="auto"/>
              <w:right w:val="single" w:sz="4" w:space="0" w:color="auto"/>
            </w:tcBorders>
            <w:shd w:val="clear" w:color="auto" w:fill="auto"/>
            <w:noWrap/>
            <w:vAlign w:val="bottom"/>
            <w:hideMark/>
          </w:tcPr>
          <w:p w14:paraId="7230E77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53</w:t>
            </w:r>
            <w:r>
              <w:rPr>
                <w:color w:val="000000"/>
                <w:sz w:val="12"/>
                <w:szCs w:val="16"/>
                <w:lang w:val="es-CO" w:eastAsia="es-CO"/>
              </w:rPr>
              <w:t>.</w:t>
            </w:r>
            <w:r w:rsidRPr="00790D9C">
              <w:rPr>
                <w:color w:val="000000"/>
                <w:sz w:val="12"/>
                <w:szCs w:val="16"/>
                <w:lang w:val="es-CO" w:eastAsia="es-CO"/>
              </w:rPr>
              <w:t>098</w:t>
            </w:r>
            <w:r>
              <w:rPr>
                <w:color w:val="000000"/>
                <w:sz w:val="12"/>
                <w:szCs w:val="16"/>
                <w:lang w:val="es-CO" w:eastAsia="es-CO"/>
              </w:rPr>
              <w:t>.</w:t>
            </w:r>
            <w:r w:rsidRPr="00790D9C">
              <w:rPr>
                <w:color w:val="000000"/>
                <w:sz w:val="12"/>
                <w:szCs w:val="16"/>
                <w:lang w:val="es-CO" w:eastAsia="es-CO"/>
              </w:rPr>
              <w:t>574</w:t>
            </w:r>
          </w:p>
        </w:tc>
        <w:tc>
          <w:tcPr>
            <w:tcW w:w="1552" w:type="dxa"/>
            <w:tcBorders>
              <w:top w:val="nil"/>
              <w:left w:val="nil"/>
              <w:bottom w:val="single" w:sz="4" w:space="0" w:color="auto"/>
              <w:right w:val="single" w:sz="4" w:space="0" w:color="auto"/>
            </w:tcBorders>
            <w:shd w:val="clear" w:color="auto" w:fill="auto"/>
            <w:noWrap/>
            <w:vAlign w:val="bottom"/>
            <w:hideMark/>
          </w:tcPr>
          <w:p w14:paraId="592C7B1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1A7C4BC6"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2D73B9E8"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08</w:t>
            </w:r>
          </w:p>
        </w:tc>
        <w:tc>
          <w:tcPr>
            <w:tcW w:w="1095" w:type="dxa"/>
            <w:tcBorders>
              <w:top w:val="nil"/>
              <w:left w:val="nil"/>
              <w:bottom w:val="single" w:sz="4" w:space="0" w:color="auto"/>
              <w:right w:val="single" w:sz="4" w:space="0" w:color="auto"/>
            </w:tcBorders>
            <w:shd w:val="clear" w:color="auto" w:fill="auto"/>
            <w:noWrap/>
            <w:vAlign w:val="bottom"/>
            <w:hideMark/>
          </w:tcPr>
          <w:p w14:paraId="4BAFBDF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110</w:t>
            </w:r>
            <w:r>
              <w:rPr>
                <w:color w:val="000000"/>
                <w:sz w:val="12"/>
                <w:szCs w:val="16"/>
                <w:lang w:val="es-CO" w:eastAsia="es-CO"/>
              </w:rPr>
              <w:t>.</w:t>
            </w:r>
            <w:r w:rsidRPr="00790D9C">
              <w:rPr>
                <w:color w:val="000000"/>
                <w:sz w:val="12"/>
                <w:szCs w:val="16"/>
                <w:lang w:val="es-CO" w:eastAsia="es-CO"/>
              </w:rPr>
              <w:t>583</w:t>
            </w:r>
            <w:r>
              <w:rPr>
                <w:color w:val="000000"/>
                <w:sz w:val="12"/>
                <w:szCs w:val="16"/>
                <w:lang w:val="es-CO" w:eastAsia="es-CO"/>
              </w:rPr>
              <w:t>.</w:t>
            </w:r>
            <w:r w:rsidRPr="00790D9C">
              <w:rPr>
                <w:color w:val="000000"/>
                <w:sz w:val="12"/>
                <w:szCs w:val="16"/>
                <w:lang w:val="es-CO" w:eastAsia="es-CO"/>
              </w:rPr>
              <w:t>090</w:t>
            </w:r>
          </w:p>
        </w:tc>
      </w:tr>
      <w:tr w:rsidR="00BA56AD" w:rsidRPr="00790D9C" w14:paraId="14E18A2E"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74F8E0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02093A0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3703E5F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TPE2ACO</w:t>
            </w:r>
          </w:p>
        </w:tc>
        <w:tc>
          <w:tcPr>
            <w:tcW w:w="1143" w:type="dxa"/>
            <w:tcBorders>
              <w:top w:val="nil"/>
              <w:left w:val="nil"/>
              <w:bottom w:val="single" w:sz="4" w:space="0" w:color="auto"/>
              <w:right w:val="single" w:sz="4" w:space="0" w:color="auto"/>
            </w:tcBorders>
            <w:shd w:val="clear" w:color="auto" w:fill="auto"/>
            <w:noWrap/>
            <w:vAlign w:val="bottom"/>
            <w:hideMark/>
          </w:tcPr>
          <w:p w14:paraId="2B997917"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67</w:t>
            </w:r>
            <w:r>
              <w:rPr>
                <w:color w:val="000000"/>
                <w:sz w:val="12"/>
                <w:szCs w:val="16"/>
                <w:lang w:val="es-CO" w:eastAsia="es-CO"/>
              </w:rPr>
              <w:t>.</w:t>
            </w:r>
            <w:r w:rsidRPr="00790D9C">
              <w:rPr>
                <w:color w:val="000000"/>
                <w:sz w:val="12"/>
                <w:szCs w:val="16"/>
                <w:lang w:val="es-CO" w:eastAsia="es-CO"/>
              </w:rPr>
              <w:t>285</w:t>
            </w:r>
            <w:r>
              <w:rPr>
                <w:color w:val="000000"/>
                <w:sz w:val="12"/>
                <w:szCs w:val="16"/>
                <w:lang w:val="es-CO" w:eastAsia="es-CO"/>
              </w:rPr>
              <w:t>.</w:t>
            </w:r>
            <w:r w:rsidRPr="00790D9C">
              <w:rPr>
                <w:color w:val="000000"/>
                <w:sz w:val="12"/>
                <w:szCs w:val="16"/>
                <w:lang w:val="es-CO" w:eastAsia="es-CO"/>
              </w:rPr>
              <w:t>854</w:t>
            </w:r>
          </w:p>
        </w:tc>
        <w:tc>
          <w:tcPr>
            <w:tcW w:w="1552" w:type="dxa"/>
            <w:tcBorders>
              <w:top w:val="nil"/>
              <w:left w:val="nil"/>
              <w:bottom w:val="single" w:sz="4" w:space="0" w:color="auto"/>
              <w:right w:val="single" w:sz="4" w:space="0" w:color="auto"/>
            </w:tcBorders>
            <w:shd w:val="clear" w:color="auto" w:fill="auto"/>
            <w:noWrap/>
            <w:vAlign w:val="bottom"/>
            <w:hideMark/>
          </w:tcPr>
          <w:p w14:paraId="39C741B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2C310BEF"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70A38C5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91</w:t>
            </w:r>
          </w:p>
        </w:tc>
        <w:tc>
          <w:tcPr>
            <w:tcW w:w="1095" w:type="dxa"/>
            <w:tcBorders>
              <w:top w:val="nil"/>
              <w:left w:val="nil"/>
              <w:bottom w:val="single" w:sz="4" w:space="0" w:color="auto"/>
              <w:right w:val="single" w:sz="4" w:space="0" w:color="auto"/>
            </w:tcBorders>
            <w:shd w:val="clear" w:color="auto" w:fill="auto"/>
            <w:noWrap/>
            <w:vAlign w:val="bottom"/>
            <w:hideMark/>
          </w:tcPr>
          <w:p w14:paraId="4D4CC2F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61</w:t>
            </w:r>
            <w:r>
              <w:rPr>
                <w:color w:val="000000"/>
                <w:sz w:val="12"/>
                <w:szCs w:val="16"/>
                <w:lang w:val="es-CO" w:eastAsia="es-CO"/>
              </w:rPr>
              <w:t>.</w:t>
            </w:r>
            <w:r w:rsidRPr="00790D9C">
              <w:rPr>
                <w:color w:val="000000"/>
                <w:sz w:val="12"/>
                <w:szCs w:val="16"/>
                <w:lang w:val="es-CO" w:eastAsia="es-CO"/>
              </w:rPr>
              <w:t>499</w:t>
            </w:r>
            <w:r>
              <w:rPr>
                <w:color w:val="000000"/>
                <w:sz w:val="12"/>
                <w:szCs w:val="16"/>
                <w:lang w:val="es-CO" w:eastAsia="es-CO"/>
              </w:rPr>
              <w:t>.</w:t>
            </w:r>
            <w:r w:rsidRPr="00790D9C">
              <w:rPr>
                <w:color w:val="000000"/>
                <w:sz w:val="12"/>
                <w:szCs w:val="16"/>
                <w:lang w:val="es-CO" w:eastAsia="es-CO"/>
              </w:rPr>
              <w:t>271</w:t>
            </w:r>
          </w:p>
        </w:tc>
      </w:tr>
      <w:tr w:rsidR="00BA56AD" w:rsidRPr="00790D9C" w14:paraId="33C63058"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B7EBC8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3812B11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4020FF2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TPE1/2TA</w:t>
            </w:r>
          </w:p>
        </w:tc>
        <w:tc>
          <w:tcPr>
            <w:tcW w:w="1143" w:type="dxa"/>
            <w:tcBorders>
              <w:top w:val="nil"/>
              <w:left w:val="nil"/>
              <w:bottom w:val="single" w:sz="4" w:space="0" w:color="auto"/>
              <w:right w:val="single" w:sz="4" w:space="0" w:color="auto"/>
            </w:tcBorders>
            <w:shd w:val="clear" w:color="auto" w:fill="auto"/>
            <w:noWrap/>
            <w:vAlign w:val="bottom"/>
            <w:hideMark/>
          </w:tcPr>
          <w:p w14:paraId="4CEA14D3"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55</w:t>
            </w:r>
            <w:r>
              <w:rPr>
                <w:color w:val="000000"/>
                <w:sz w:val="12"/>
                <w:szCs w:val="16"/>
                <w:lang w:val="es-CO" w:eastAsia="es-CO"/>
              </w:rPr>
              <w:t>.</w:t>
            </w:r>
            <w:r w:rsidRPr="00790D9C">
              <w:rPr>
                <w:color w:val="000000"/>
                <w:sz w:val="12"/>
                <w:szCs w:val="16"/>
                <w:lang w:val="es-CO" w:eastAsia="es-CO"/>
              </w:rPr>
              <w:t>278</w:t>
            </w:r>
            <w:r>
              <w:rPr>
                <w:color w:val="000000"/>
                <w:sz w:val="12"/>
                <w:szCs w:val="16"/>
                <w:lang w:val="es-CO" w:eastAsia="es-CO"/>
              </w:rPr>
              <w:t>.</w:t>
            </w:r>
            <w:r w:rsidRPr="00790D9C">
              <w:rPr>
                <w:color w:val="000000"/>
                <w:sz w:val="12"/>
                <w:szCs w:val="16"/>
                <w:lang w:val="es-CO" w:eastAsia="es-CO"/>
              </w:rPr>
              <w:t>936</w:t>
            </w:r>
          </w:p>
        </w:tc>
        <w:tc>
          <w:tcPr>
            <w:tcW w:w="1552" w:type="dxa"/>
            <w:tcBorders>
              <w:top w:val="nil"/>
              <w:left w:val="nil"/>
              <w:bottom w:val="single" w:sz="4" w:space="0" w:color="auto"/>
              <w:right w:val="single" w:sz="4" w:space="0" w:color="auto"/>
            </w:tcBorders>
            <w:shd w:val="clear" w:color="auto" w:fill="auto"/>
            <w:noWrap/>
            <w:vAlign w:val="bottom"/>
            <w:hideMark/>
          </w:tcPr>
          <w:p w14:paraId="4B2DB45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336BAD8B"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44ED7BB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24</w:t>
            </w:r>
          </w:p>
        </w:tc>
        <w:tc>
          <w:tcPr>
            <w:tcW w:w="1095" w:type="dxa"/>
            <w:tcBorders>
              <w:top w:val="nil"/>
              <w:left w:val="nil"/>
              <w:bottom w:val="single" w:sz="4" w:space="0" w:color="auto"/>
              <w:right w:val="single" w:sz="4" w:space="0" w:color="auto"/>
            </w:tcBorders>
            <w:shd w:val="clear" w:color="auto" w:fill="auto"/>
            <w:noWrap/>
            <w:vAlign w:val="bottom"/>
            <w:hideMark/>
          </w:tcPr>
          <w:p w14:paraId="65B033F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13</w:t>
            </w:r>
            <w:r>
              <w:rPr>
                <w:color w:val="000000"/>
                <w:sz w:val="12"/>
                <w:szCs w:val="16"/>
                <w:lang w:val="es-CO" w:eastAsia="es-CO"/>
              </w:rPr>
              <w:t>.</w:t>
            </w:r>
            <w:r w:rsidRPr="00790D9C">
              <w:rPr>
                <w:color w:val="000000"/>
                <w:sz w:val="12"/>
                <w:szCs w:val="16"/>
                <w:lang w:val="es-CO" w:eastAsia="es-CO"/>
              </w:rPr>
              <w:t>460</w:t>
            </w:r>
            <w:r>
              <w:rPr>
                <w:color w:val="000000"/>
                <w:sz w:val="12"/>
                <w:szCs w:val="16"/>
                <w:lang w:val="es-CO" w:eastAsia="es-CO"/>
              </w:rPr>
              <w:t>.</w:t>
            </w:r>
            <w:r w:rsidRPr="00790D9C">
              <w:rPr>
                <w:color w:val="000000"/>
                <w:sz w:val="12"/>
                <w:szCs w:val="16"/>
                <w:lang w:val="es-CO" w:eastAsia="es-CO"/>
              </w:rPr>
              <w:t>421</w:t>
            </w:r>
          </w:p>
        </w:tc>
      </w:tr>
      <w:tr w:rsidR="00BA56AD" w:rsidRPr="00790D9C" w14:paraId="620A689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53980D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A10FFB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192EE52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TPE3/4TA</w:t>
            </w:r>
          </w:p>
        </w:tc>
        <w:tc>
          <w:tcPr>
            <w:tcW w:w="1143" w:type="dxa"/>
            <w:tcBorders>
              <w:top w:val="nil"/>
              <w:left w:val="nil"/>
              <w:bottom w:val="single" w:sz="4" w:space="0" w:color="auto"/>
              <w:right w:val="single" w:sz="4" w:space="0" w:color="auto"/>
            </w:tcBorders>
            <w:shd w:val="clear" w:color="auto" w:fill="auto"/>
            <w:noWrap/>
            <w:vAlign w:val="bottom"/>
            <w:hideMark/>
          </w:tcPr>
          <w:p w14:paraId="3718C7B4"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56</w:t>
            </w:r>
            <w:r>
              <w:rPr>
                <w:color w:val="000000"/>
                <w:sz w:val="12"/>
                <w:szCs w:val="16"/>
                <w:lang w:val="es-CO" w:eastAsia="es-CO"/>
              </w:rPr>
              <w:t>.</w:t>
            </w:r>
            <w:r w:rsidRPr="00790D9C">
              <w:rPr>
                <w:color w:val="000000"/>
                <w:sz w:val="12"/>
                <w:szCs w:val="16"/>
                <w:lang w:val="es-CO" w:eastAsia="es-CO"/>
              </w:rPr>
              <w:t>167</w:t>
            </w:r>
            <w:r>
              <w:rPr>
                <w:color w:val="000000"/>
                <w:sz w:val="12"/>
                <w:szCs w:val="16"/>
                <w:lang w:val="es-CO" w:eastAsia="es-CO"/>
              </w:rPr>
              <w:t>.</w:t>
            </w:r>
            <w:r w:rsidRPr="00790D9C">
              <w:rPr>
                <w:color w:val="000000"/>
                <w:sz w:val="12"/>
                <w:szCs w:val="16"/>
                <w:lang w:val="es-CO" w:eastAsia="es-CO"/>
              </w:rPr>
              <w:t>552</w:t>
            </w:r>
          </w:p>
        </w:tc>
        <w:tc>
          <w:tcPr>
            <w:tcW w:w="1552" w:type="dxa"/>
            <w:tcBorders>
              <w:top w:val="nil"/>
              <w:left w:val="nil"/>
              <w:bottom w:val="single" w:sz="4" w:space="0" w:color="auto"/>
              <w:right w:val="single" w:sz="4" w:space="0" w:color="auto"/>
            </w:tcBorders>
            <w:shd w:val="clear" w:color="auto" w:fill="auto"/>
            <w:noWrap/>
            <w:vAlign w:val="bottom"/>
            <w:hideMark/>
          </w:tcPr>
          <w:p w14:paraId="4CB21E6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68444ED8"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1F91ABF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41</w:t>
            </w:r>
          </w:p>
        </w:tc>
        <w:tc>
          <w:tcPr>
            <w:tcW w:w="1095" w:type="dxa"/>
            <w:tcBorders>
              <w:top w:val="nil"/>
              <w:left w:val="nil"/>
              <w:bottom w:val="single" w:sz="4" w:space="0" w:color="auto"/>
              <w:right w:val="single" w:sz="4" w:space="0" w:color="auto"/>
            </w:tcBorders>
            <w:shd w:val="clear" w:color="auto" w:fill="auto"/>
            <w:noWrap/>
            <w:vAlign w:val="bottom"/>
            <w:hideMark/>
          </w:tcPr>
          <w:p w14:paraId="327F8B2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23</w:t>
            </w:r>
            <w:r>
              <w:rPr>
                <w:color w:val="000000"/>
                <w:sz w:val="12"/>
                <w:szCs w:val="16"/>
                <w:lang w:val="es-CO" w:eastAsia="es-CO"/>
              </w:rPr>
              <w:t>.</w:t>
            </w:r>
            <w:r w:rsidRPr="00790D9C">
              <w:rPr>
                <w:color w:val="000000"/>
                <w:sz w:val="12"/>
                <w:szCs w:val="16"/>
                <w:lang w:val="es-CO" w:eastAsia="es-CO"/>
              </w:rPr>
              <w:t>090</w:t>
            </w:r>
            <w:r>
              <w:rPr>
                <w:color w:val="000000"/>
                <w:sz w:val="12"/>
                <w:szCs w:val="16"/>
                <w:lang w:val="es-CO" w:eastAsia="es-CO"/>
              </w:rPr>
              <w:t>.</w:t>
            </w:r>
            <w:r w:rsidRPr="00790D9C">
              <w:rPr>
                <w:color w:val="000000"/>
                <w:sz w:val="12"/>
                <w:szCs w:val="16"/>
                <w:lang w:val="es-CO" w:eastAsia="es-CO"/>
              </w:rPr>
              <w:t>481</w:t>
            </w:r>
          </w:p>
        </w:tc>
      </w:tr>
      <w:tr w:rsidR="00BA56AD" w:rsidRPr="00790D9C" w14:paraId="57DA1B7B"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45BCB7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0986C5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4280371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TPE2TA</w:t>
            </w:r>
          </w:p>
        </w:tc>
        <w:tc>
          <w:tcPr>
            <w:tcW w:w="1143" w:type="dxa"/>
            <w:tcBorders>
              <w:top w:val="nil"/>
              <w:left w:val="nil"/>
              <w:bottom w:val="single" w:sz="4" w:space="0" w:color="auto"/>
              <w:right w:val="single" w:sz="4" w:space="0" w:color="auto"/>
            </w:tcBorders>
            <w:shd w:val="clear" w:color="auto" w:fill="auto"/>
            <w:noWrap/>
            <w:vAlign w:val="bottom"/>
            <w:hideMark/>
          </w:tcPr>
          <w:p w14:paraId="4BCE5B20"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70</w:t>
            </w:r>
            <w:r>
              <w:rPr>
                <w:color w:val="000000"/>
                <w:sz w:val="12"/>
                <w:szCs w:val="16"/>
                <w:lang w:val="es-CO" w:eastAsia="es-CO"/>
              </w:rPr>
              <w:t>.</w:t>
            </w:r>
            <w:r w:rsidRPr="00790D9C">
              <w:rPr>
                <w:color w:val="000000"/>
                <w:sz w:val="12"/>
                <w:szCs w:val="16"/>
                <w:lang w:val="es-CO" w:eastAsia="es-CO"/>
              </w:rPr>
              <w:t>281</w:t>
            </w:r>
            <w:r>
              <w:rPr>
                <w:color w:val="000000"/>
                <w:sz w:val="12"/>
                <w:szCs w:val="16"/>
                <w:lang w:val="es-CO" w:eastAsia="es-CO"/>
              </w:rPr>
              <w:t>.</w:t>
            </w:r>
            <w:r w:rsidRPr="00790D9C">
              <w:rPr>
                <w:color w:val="000000"/>
                <w:sz w:val="12"/>
                <w:szCs w:val="16"/>
                <w:lang w:val="es-CO" w:eastAsia="es-CO"/>
              </w:rPr>
              <w:t>222</w:t>
            </w:r>
          </w:p>
        </w:tc>
        <w:tc>
          <w:tcPr>
            <w:tcW w:w="1552" w:type="dxa"/>
            <w:tcBorders>
              <w:top w:val="nil"/>
              <w:left w:val="nil"/>
              <w:bottom w:val="single" w:sz="4" w:space="0" w:color="auto"/>
              <w:right w:val="single" w:sz="4" w:space="0" w:color="auto"/>
            </w:tcBorders>
            <w:shd w:val="clear" w:color="auto" w:fill="auto"/>
            <w:noWrap/>
            <w:vAlign w:val="bottom"/>
            <w:hideMark/>
          </w:tcPr>
          <w:p w14:paraId="468AB86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2D2640C"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6C550583"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24</w:t>
            </w:r>
          </w:p>
        </w:tc>
        <w:tc>
          <w:tcPr>
            <w:tcW w:w="1095" w:type="dxa"/>
            <w:tcBorders>
              <w:top w:val="nil"/>
              <w:left w:val="nil"/>
              <w:bottom w:val="single" w:sz="4" w:space="0" w:color="auto"/>
              <w:right w:val="single" w:sz="4" w:space="0" w:color="auto"/>
            </w:tcBorders>
            <w:shd w:val="clear" w:color="auto" w:fill="auto"/>
            <w:noWrap/>
            <w:vAlign w:val="bottom"/>
            <w:hideMark/>
          </w:tcPr>
          <w:p w14:paraId="14C154A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16</w:t>
            </w:r>
            <w:r>
              <w:rPr>
                <w:color w:val="000000"/>
                <w:sz w:val="12"/>
                <w:szCs w:val="16"/>
                <w:lang w:val="es-CO" w:eastAsia="es-CO"/>
              </w:rPr>
              <w:t>.</w:t>
            </w:r>
            <w:r w:rsidRPr="00790D9C">
              <w:rPr>
                <w:color w:val="000000"/>
                <w:sz w:val="12"/>
                <w:szCs w:val="16"/>
                <w:lang w:val="es-CO" w:eastAsia="es-CO"/>
              </w:rPr>
              <w:t>551</w:t>
            </w:r>
            <w:r>
              <w:rPr>
                <w:color w:val="000000"/>
                <w:sz w:val="12"/>
                <w:szCs w:val="16"/>
                <w:lang w:val="es-CO" w:eastAsia="es-CO"/>
              </w:rPr>
              <w:t>.</w:t>
            </w:r>
            <w:r w:rsidRPr="00790D9C">
              <w:rPr>
                <w:color w:val="000000"/>
                <w:sz w:val="12"/>
                <w:szCs w:val="16"/>
                <w:lang w:val="es-CO" w:eastAsia="es-CO"/>
              </w:rPr>
              <w:t>228</w:t>
            </w:r>
          </w:p>
        </w:tc>
      </w:tr>
      <w:tr w:rsidR="00BA56AD" w:rsidRPr="00790D9C" w14:paraId="5AB4191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55D251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416489F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490CD14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TPE1/2ZV</w:t>
            </w:r>
          </w:p>
        </w:tc>
        <w:tc>
          <w:tcPr>
            <w:tcW w:w="1143" w:type="dxa"/>
            <w:tcBorders>
              <w:top w:val="nil"/>
              <w:left w:val="nil"/>
              <w:bottom w:val="single" w:sz="4" w:space="0" w:color="auto"/>
              <w:right w:val="single" w:sz="4" w:space="0" w:color="auto"/>
            </w:tcBorders>
            <w:shd w:val="clear" w:color="auto" w:fill="auto"/>
            <w:noWrap/>
            <w:vAlign w:val="bottom"/>
            <w:hideMark/>
          </w:tcPr>
          <w:p w14:paraId="0BC615EC"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18</w:t>
            </w:r>
            <w:r>
              <w:rPr>
                <w:color w:val="000000"/>
                <w:sz w:val="12"/>
                <w:szCs w:val="16"/>
                <w:lang w:val="es-CO" w:eastAsia="es-CO"/>
              </w:rPr>
              <w:t>.</w:t>
            </w:r>
            <w:r w:rsidRPr="00790D9C">
              <w:rPr>
                <w:color w:val="000000"/>
                <w:sz w:val="12"/>
                <w:szCs w:val="16"/>
                <w:lang w:val="es-CO" w:eastAsia="es-CO"/>
              </w:rPr>
              <w:t>486</w:t>
            </w:r>
            <w:r>
              <w:rPr>
                <w:color w:val="000000"/>
                <w:sz w:val="12"/>
                <w:szCs w:val="16"/>
                <w:lang w:val="es-CO" w:eastAsia="es-CO"/>
              </w:rPr>
              <w:t>.</w:t>
            </w:r>
            <w:r w:rsidRPr="00790D9C">
              <w:rPr>
                <w:color w:val="000000"/>
                <w:sz w:val="12"/>
                <w:szCs w:val="16"/>
                <w:lang w:val="es-CO" w:eastAsia="es-CO"/>
              </w:rPr>
              <w:t>372</w:t>
            </w:r>
          </w:p>
        </w:tc>
        <w:tc>
          <w:tcPr>
            <w:tcW w:w="1552" w:type="dxa"/>
            <w:tcBorders>
              <w:top w:val="nil"/>
              <w:left w:val="nil"/>
              <w:bottom w:val="single" w:sz="4" w:space="0" w:color="auto"/>
              <w:right w:val="single" w:sz="4" w:space="0" w:color="auto"/>
            </w:tcBorders>
            <w:shd w:val="clear" w:color="auto" w:fill="auto"/>
            <w:noWrap/>
            <w:vAlign w:val="bottom"/>
            <w:hideMark/>
          </w:tcPr>
          <w:p w14:paraId="4943B2E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4532722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3B51104A"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66</w:t>
            </w:r>
          </w:p>
        </w:tc>
        <w:tc>
          <w:tcPr>
            <w:tcW w:w="1095" w:type="dxa"/>
            <w:tcBorders>
              <w:top w:val="nil"/>
              <w:left w:val="nil"/>
              <w:bottom w:val="single" w:sz="4" w:space="0" w:color="auto"/>
              <w:right w:val="single" w:sz="4" w:space="0" w:color="auto"/>
            </w:tcBorders>
            <w:shd w:val="clear" w:color="auto" w:fill="auto"/>
            <w:noWrap/>
            <w:vAlign w:val="bottom"/>
            <w:hideMark/>
          </w:tcPr>
          <w:p w14:paraId="2FEAB87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30</w:t>
            </w:r>
            <w:r>
              <w:rPr>
                <w:color w:val="000000"/>
                <w:sz w:val="12"/>
                <w:szCs w:val="16"/>
                <w:lang w:val="es-CO" w:eastAsia="es-CO"/>
              </w:rPr>
              <w:t>.</w:t>
            </w:r>
            <w:r w:rsidRPr="00790D9C">
              <w:rPr>
                <w:color w:val="000000"/>
                <w:sz w:val="12"/>
                <w:szCs w:val="16"/>
                <w:lang w:val="es-CO" w:eastAsia="es-CO"/>
              </w:rPr>
              <w:t>776</w:t>
            </w:r>
            <w:r>
              <w:rPr>
                <w:color w:val="000000"/>
                <w:sz w:val="12"/>
                <w:szCs w:val="16"/>
                <w:lang w:val="es-CO" w:eastAsia="es-CO"/>
              </w:rPr>
              <w:t>.</w:t>
            </w:r>
            <w:r w:rsidRPr="00790D9C">
              <w:rPr>
                <w:color w:val="000000"/>
                <w:sz w:val="12"/>
                <w:szCs w:val="16"/>
                <w:lang w:val="es-CO" w:eastAsia="es-CO"/>
              </w:rPr>
              <w:t>113</w:t>
            </w:r>
          </w:p>
        </w:tc>
      </w:tr>
      <w:tr w:rsidR="00BA56AD" w:rsidRPr="00790D9C" w14:paraId="30F5C2FC"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A33F32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460410E9"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25098A2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TPE3/4ZV</w:t>
            </w:r>
          </w:p>
        </w:tc>
        <w:tc>
          <w:tcPr>
            <w:tcW w:w="1143" w:type="dxa"/>
            <w:tcBorders>
              <w:top w:val="nil"/>
              <w:left w:val="nil"/>
              <w:bottom w:val="single" w:sz="4" w:space="0" w:color="auto"/>
              <w:right w:val="single" w:sz="4" w:space="0" w:color="auto"/>
            </w:tcBorders>
            <w:shd w:val="clear" w:color="auto" w:fill="auto"/>
            <w:noWrap/>
            <w:vAlign w:val="bottom"/>
            <w:hideMark/>
          </w:tcPr>
          <w:p w14:paraId="7A057C90"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19</w:t>
            </w:r>
            <w:r>
              <w:rPr>
                <w:color w:val="000000"/>
                <w:sz w:val="12"/>
                <w:szCs w:val="16"/>
                <w:lang w:val="es-CO" w:eastAsia="es-CO"/>
              </w:rPr>
              <w:t>.</w:t>
            </w:r>
            <w:r w:rsidRPr="00790D9C">
              <w:rPr>
                <w:color w:val="000000"/>
                <w:sz w:val="12"/>
                <w:szCs w:val="16"/>
                <w:lang w:val="es-CO" w:eastAsia="es-CO"/>
              </w:rPr>
              <w:t>417</w:t>
            </w:r>
            <w:r>
              <w:rPr>
                <w:color w:val="000000"/>
                <w:sz w:val="12"/>
                <w:szCs w:val="16"/>
                <w:lang w:val="es-CO" w:eastAsia="es-CO"/>
              </w:rPr>
              <w:t>.</w:t>
            </w:r>
            <w:r w:rsidRPr="00790D9C">
              <w:rPr>
                <w:color w:val="000000"/>
                <w:sz w:val="12"/>
                <w:szCs w:val="16"/>
                <w:lang w:val="es-CO" w:eastAsia="es-CO"/>
              </w:rPr>
              <w:t>002</w:t>
            </w:r>
          </w:p>
        </w:tc>
        <w:tc>
          <w:tcPr>
            <w:tcW w:w="1552" w:type="dxa"/>
            <w:tcBorders>
              <w:top w:val="nil"/>
              <w:left w:val="nil"/>
              <w:bottom w:val="single" w:sz="4" w:space="0" w:color="auto"/>
              <w:right w:val="single" w:sz="4" w:space="0" w:color="auto"/>
            </w:tcBorders>
            <w:shd w:val="clear" w:color="auto" w:fill="auto"/>
            <w:noWrap/>
            <w:vAlign w:val="bottom"/>
            <w:hideMark/>
          </w:tcPr>
          <w:p w14:paraId="3F88995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66EC61D"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12B332E2"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28</w:t>
            </w:r>
          </w:p>
        </w:tc>
        <w:tc>
          <w:tcPr>
            <w:tcW w:w="1095" w:type="dxa"/>
            <w:tcBorders>
              <w:top w:val="nil"/>
              <w:left w:val="nil"/>
              <w:bottom w:val="single" w:sz="4" w:space="0" w:color="auto"/>
              <w:right w:val="single" w:sz="4" w:space="0" w:color="auto"/>
            </w:tcBorders>
            <w:shd w:val="clear" w:color="auto" w:fill="auto"/>
            <w:noWrap/>
            <w:vAlign w:val="bottom"/>
            <w:hideMark/>
          </w:tcPr>
          <w:p w14:paraId="7FB3D4C0"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44</w:t>
            </w:r>
            <w:r>
              <w:rPr>
                <w:color w:val="000000"/>
                <w:sz w:val="12"/>
                <w:szCs w:val="16"/>
                <w:lang w:val="es-CO" w:eastAsia="es-CO"/>
              </w:rPr>
              <w:t>.</w:t>
            </w:r>
            <w:r w:rsidRPr="00790D9C">
              <w:rPr>
                <w:color w:val="000000"/>
                <w:sz w:val="12"/>
                <w:szCs w:val="16"/>
                <w:lang w:val="es-CO" w:eastAsia="es-CO"/>
              </w:rPr>
              <w:t>332</w:t>
            </w:r>
            <w:r>
              <w:rPr>
                <w:color w:val="000000"/>
                <w:sz w:val="12"/>
                <w:szCs w:val="16"/>
                <w:lang w:val="es-CO" w:eastAsia="es-CO"/>
              </w:rPr>
              <w:t>.</w:t>
            </w:r>
            <w:r w:rsidRPr="00790D9C">
              <w:rPr>
                <w:color w:val="000000"/>
                <w:sz w:val="12"/>
                <w:szCs w:val="16"/>
                <w:lang w:val="es-CO" w:eastAsia="es-CO"/>
              </w:rPr>
              <w:t>898</w:t>
            </w:r>
          </w:p>
        </w:tc>
      </w:tr>
      <w:tr w:rsidR="00BA56AD" w:rsidRPr="00790D9C" w14:paraId="28675433"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F46137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E66895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5EB07E4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TPE2ZV</w:t>
            </w:r>
          </w:p>
        </w:tc>
        <w:tc>
          <w:tcPr>
            <w:tcW w:w="1143" w:type="dxa"/>
            <w:tcBorders>
              <w:top w:val="nil"/>
              <w:left w:val="nil"/>
              <w:bottom w:val="single" w:sz="4" w:space="0" w:color="auto"/>
              <w:right w:val="single" w:sz="4" w:space="0" w:color="auto"/>
            </w:tcBorders>
            <w:shd w:val="clear" w:color="auto" w:fill="auto"/>
            <w:noWrap/>
            <w:vAlign w:val="bottom"/>
            <w:hideMark/>
          </w:tcPr>
          <w:p w14:paraId="33E9BDF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33</w:t>
            </w:r>
            <w:r>
              <w:rPr>
                <w:color w:val="000000"/>
                <w:sz w:val="12"/>
                <w:szCs w:val="16"/>
                <w:lang w:val="es-CO" w:eastAsia="es-CO"/>
              </w:rPr>
              <w:t>.</w:t>
            </w:r>
            <w:r w:rsidRPr="00790D9C">
              <w:rPr>
                <w:color w:val="000000"/>
                <w:sz w:val="12"/>
                <w:szCs w:val="16"/>
                <w:lang w:val="es-CO" w:eastAsia="es-CO"/>
              </w:rPr>
              <w:t>719</w:t>
            </w:r>
            <w:r>
              <w:rPr>
                <w:color w:val="000000"/>
                <w:sz w:val="12"/>
                <w:szCs w:val="16"/>
                <w:lang w:val="es-CO" w:eastAsia="es-CO"/>
              </w:rPr>
              <w:t>.</w:t>
            </w:r>
            <w:r w:rsidRPr="00790D9C">
              <w:rPr>
                <w:color w:val="000000"/>
                <w:sz w:val="12"/>
                <w:szCs w:val="16"/>
                <w:lang w:val="es-CO" w:eastAsia="es-CO"/>
              </w:rPr>
              <w:t>985</w:t>
            </w:r>
          </w:p>
        </w:tc>
        <w:tc>
          <w:tcPr>
            <w:tcW w:w="1552" w:type="dxa"/>
            <w:tcBorders>
              <w:top w:val="nil"/>
              <w:left w:val="nil"/>
              <w:bottom w:val="single" w:sz="4" w:space="0" w:color="auto"/>
              <w:right w:val="single" w:sz="4" w:space="0" w:color="auto"/>
            </w:tcBorders>
            <w:shd w:val="clear" w:color="auto" w:fill="auto"/>
            <w:noWrap/>
            <w:vAlign w:val="bottom"/>
            <w:hideMark/>
          </w:tcPr>
          <w:p w14:paraId="292A7C5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DF0B885"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76E3B8E1"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73</w:t>
            </w:r>
          </w:p>
        </w:tc>
        <w:tc>
          <w:tcPr>
            <w:tcW w:w="1095" w:type="dxa"/>
            <w:tcBorders>
              <w:top w:val="nil"/>
              <w:left w:val="nil"/>
              <w:bottom w:val="single" w:sz="4" w:space="0" w:color="auto"/>
              <w:right w:val="single" w:sz="4" w:space="0" w:color="auto"/>
            </w:tcBorders>
            <w:shd w:val="clear" w:color="auto" w:fill="auto"/>
            <w:noWrap/>
            <w:vAlign w:val="bottom"/>
            <w:hideMark/>
          </w:tcPr>
          <w:p w14:paraId="19388587"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24</w:t>
            </w:r>
            <w:r>
              <w:rPr>
                <w:color w:val="000000"/>
                <w:sz w:val="12"/>
                <w:szCs w:val="16"/>
                <w:lang w:val="es-CO" w:eastAsia="es-CO"/>
              </w:rPr>
              <w:t>.</w:t>
            </w:r>
            <w:r w:rsidRPr="00790D9C">
              <w:rPr>
                <w:color w:val="000000"/>
                <w:sz w:val="12"/>
                <w:szCs w:val="16"/>
                <w:lang w:val="es-CO" w:eastAsia="es-CO"/>
              </w:rPr>
              <w:t>460</w:t>
            </w:r>
            <w:r>
              <w:rPr>
                <w:color w:val="000000"/>
                <w:sz w:val="12"/>
                <w:szCs w:val="16"/>
                <w:lang w:val="es-CO" w:eastAsia="es-CO"/>
              </w:rPr>
              <w:t>.</w:t>
            </w:r>
            <w:r w:rsidRPr="00790D9C">
              <w:rPr>
                <w:color w:val="000000"/>
                <w:sz w:val="12"/>
                <w:szCs w:val="16"/>
                <w:lang w:val="es-CO" w:eastAsia="es-CO"/>
              </w:rPr>
              <w:t>477</w:t>
            </w:r>
          </w:p>
        </w:tc>
      </w:tr>
      <w:tr w:rsidR="00BA56AD" w:rsidRPr="00790D9C" w14:paraId="649BEB7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F15FF4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29EFC72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Estación GNC 200 m3/hora</w:t>
            </w:r>
          </w:p>
        </w:tc>
        <w:tc>
          <w:tcPr>
            <w:tcW w:w="862" w:type="dxa"/>
            <w:tcBorders>
              <w:top w:val="nil"/>
              <w:left w:val="nil"/>
              <w:bottom w:val="single" w:sz="4" w:space="0" w:color="auto"/>
              <w:right w:val="single" w:sz="4" w:space="0" w:color="auto"/>
            </w:tcBorders>
            <w:shd w:val="clear" w:color="auto" w:fill="auto"/>
            <w:noWrap/>
            <w:vAlign w:val="bottom"/>
            <w:hideMark/>
          </w:tcPr>
          <w:p w14:paraId="6EB6D929"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RM200</w:t>
            </w:r>
          </w:p>
        </w:tc>
        <w:tc>
          <w:tcPr>
            <w:tcW w:w="1143" w:type="dxa"/>
            <w:tcBorders>
              <w:top w:val="nil"/>
              <w:left w:val="nil"/>
              <w:bottom w:val="single" w:sz="4" w:space="0" w:color="auto"/>
              <w:right w:val="single" w:sz="4" w:space="0" w:color="auto"/>
            </w:tcBorders>
            <w:shd w:val="clear" w:color="auto" w:fill="auto"/>
            <w:noWrap/>
            <w:vAlign w:val="bottom"/>
            <w:hideMark/>
          </w:tcPr>
          <w:p w14:paraId="77B5DF1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372</w:t>
            </w:r>
            <w:r>
              <w:rPr>
                <w:color w:val="000000"/>
                <w:sz w:val="12"/>
                <w:szCs w:val="16"/>
                <w:lang w:val="es-CO" w:eastAsia="es-CO"/>
              </w:rPr>
              <w:t>.</w:t>
            </w:r>
            <w:r w:rsidRPr="00790D9C">
              <w:rPr>
                <w:color w:val="000000"/>
                <w:sz w:val="12"/>
                <w:szCs w:val="16"/>
                <w:lang w:val="es-CO" w:eastAsia="es-CO"/>
              </w:rPr>
              <w:t>885</w:t>
            </w:r>
            <w:r>
              <w:rPr>
                <w:color w:val="000000"/>
                <w:sz w:val="12"/>
                <w:szCs w:val="16"/>
                <w:lang w:val="es-CO" w:eastAsia="es-CO"/>
              </w:rPr>
              <w:t>.</w:t>
            </w:r>
            <w:r w:rsidRPr="00790D9C">
              <w:rPr>
                <w:color w:val="000000"/>
                <w:sz w:val="12"/>
                <w:szCs w:val="16"/>
                <w:lang w:val="es-CO" w:eastAsia="es-CO"/>
              </w:rPr>
              <w:t>901</w:t>
            </w:r>
          </w:p>
        </w:tc>
        <w:tc>
          <w:tcPr>
            <w:tcW w:w="1552" w:type="dxa"/>
            <w:tcBorders>
              <w:top w:val="nil"/>
              <w:left w:val="nil"/>
              <w:bottom w:val="single" w:sz="4" w:space="0" w:color="auto"/>
              <w:right w:val="single" w:sz="4" w:space="0" w:color="auto"/>
            </w:tcBorders>
            <w:shd w:val="clear" w:color="auto" w:fill="auto"/>
            <w:noWrap/>
            <w:vAlign w:val="bottom"/>
            <w:hideMark/>
          </w:tcPr>
          <w:p w14:paraId="173D916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Especiales</w:t>
            </w:r>
          </w:p>
        </w:tc>
        <w:tc>
          <w:tcPr>
            <w:tcW w:w="1177" w:type="dxa"/>
            <w:tcBorders>
              <w:top w:val="nil"/>
              <w:left w:val="nil"/>
              <w:bottom w:val="single" w:sz="4" w:space="0" w:color="auto"/>
              <w:right w:val="single" w:sz="4" w:space="0" w:color="auto"/>
            </w:tcBorders>
            <w:shd w:val="clear" w:color="auto" w:fill="auto"/>
            <w:noWrap/>
            <w:vAlign w:val="bottom"/>
            <w:hideMark/>
          </w:tcPr>
          <w:p w14:paraId="2FFF56D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71B226DA"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5A89695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372</w:t>
            </w:r>
            <w:r>
              <w:rPr>
                <w:color w:val="000000"/>
                <w:sz w:val="12"/>
                <w:szCs w:val="16"/>
                <w:lang w:val="es-CO" w:eastAsia="es-CO"/>
              </w:rPr>
              <w:t>.</w:t>
            </w:r>
            <w:r w:rsidRPr="00790D9C">
              <w:rPr>
                <w:color w:val="000000"/>
                <w:sz w:val="12"/>
                <w:szCs w:val="16"/>
                <w:lang w:val="es-CO" w:eastAsia="es-CO"/>
              </w:rPr>
              <w:t>885</w:t>
            </w:r>
            <w:r>
              <w:rPr>
                <w:color w:val="000000"/>
                <w:sz w:val="12"/>
                <w:szCs w:val="16"/>
                <w:lang w:val="es-CO" w:eastAsia="es-CO"/>
              </w:rPr>
              <w:t>.</w:t>
            </w:r>
            <w:r w:rsidRPr="00790D9C">
              <w:rPr>
                <w:color w:val="000000"/>
                <w:sz w:val="12"/>
                <w:szCs w:val="16"/>
                <w:lang w:val="es-CO" w:eastAsia="es-CO"/>
              </w:rPr>
              <w:t>901</w:t>
            </w:r>
          </w:p>
        </w:tc>
      </w:tr>
      <w:tr w:rsidR="00BA56AD" w:rsidRPr="00790D9C" w14:paraId="490A9698"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CA5873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Albania-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0541A91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Paso Especial 6 Metros</w:t>
            </w:r>
          </w:p>
        </w:tc>
        <w:tc>
          <w:tcPr>
            <w:tcW w:w="862" w:type="dxa"/>
            <w:tcBorders>
              <w:top w:val="nil"/>
              <w:left w:val="nil"/>
              <w:bottom w:val="single" w:sz="4" w:space="0" w:color="auto"/>
              <w:right w:val="single" w:sz="4" w:space="0" w:color="auto"/>
            </w:tcBorders>
            <w:shd w:val="clear" w:color="auto" w:fill="auto"/>
            <w:noWrap/>
            <w:vAlign w:val="bottom"/>
            <w:hideMark/>
          </w:tcPr>
          <w:p w14:paraId="4300BC3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TMP-1</w:t>
            </w:r>
          </w:p>
        </w:tc>
        <w:tc>
          <w:tcPr>
            <w:tcW w:w="1143" w:type="dxa"/>
            <w:tcBorders>
              <w:top w:val="nil"/>
              <w:left w:val="nil"/>
              <w:bottom w:val="single" w:sz="4" w:space="0" w:color="auto"/>
              <w:right w:val="single" w:sz="4" w:space="0" w:color="auto"/>
            </w:tcBorders>
            <w:shd w:val="clear" w:color="auto" w:fill="auto"/>
            <w:noWrap/>
            <w:vAlign w:val="bottom"/>
            <w:hideMark/>
          </w:tcPr>
          <w:p w14:paraId="0E4129D4"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974</w:t>
            </w:r>
            <w:r>
              <w:rPr>
                <w:color w:val="000000"/>
                <w:sz w:val="12"/>
                <w:szCs w:val="16"/>
                <w:lang w:val="es-CO" w:eastAsia="es-CO"/>
              </w:rPr>
              <w:t>.</w:t>
            </w:r>
            <w:r w:rsidRPr="00790D9C">
              <w:rPr>
                <w:color w:val="000000"/>
                <w:sz w:val="12"/>
                <w:szCs w:val="16"/>
                <w:lang w:val="es-CO" w:eastAsia="es-CO"/>
              </w:rPr>
              <w:t>125</w:t>
            </w:r>
          </w:p>
        </w:tc>
        <w:tc>
          <w:tcPr>
            <w:tcW w:w="1552" w:type="dxa"/>
            <w:tcBorders>
              <w:top w:val="nil"/>
              <w:left w:val="nil"/>
              <w:bottom w:val="single" w:sz="4" w:space="0" w:color="auto"/>
              <w:right w:val="single" w:sz="4" w:space="0" w:color="auto"/>
            </w:tcBorders>
            <w:shd w:val="clear" w:color="auto" w:fill="auto"/>
            <w:noWrap/>
            <w:vAlign w:val="bottom"/>
            <w:hideMark/>
          </w:tcPr>
          <w:p w14:paraId="74EE650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Especiales</w:t>
            </w:r>
          </w:p>
        </w:tc>
        <w:tc>
          <w:tcPr>
            <w:tcW w:w="1177" w:type="dxa"/>
            <w:tcBorders>
              <w:top w:val="nil"/>
              <w:left w:val="nil"/>
              <w:bottom w:val="single" w:sz="4" w:space="0" w:color="auto"/>
              <w:right w:val="single" w:sz="4" w:space="0" w:color="auto"/>
            </w:tcBorders>
            <w:shd w:val="clear" w:color="auto" w:fill="auto"/>
            <w:noWrap/>
            <w:vAlign w:val="bottom"/>
            <w:hideMark/>
          </w:tcPr>
          <w:p w14:paraId="78A7CF61"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58CBC1D6"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1BD8037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5</w:t>
            </w:r>
            <w:r>
              <w:rPr>
                <w:color w:val="000000"/>
                <w:sz w:val="12"/>
                <w:szCs w:val="16"/>
                <w:lang w:val="es-CO" w:eastAsia="es-CO"/>
              </w:rPr>
              <w:t>.</w:t>
            </w:r>
            <w:r w:rsidRPr="00790D9C">
              <w:rPr>
                <w:color w:val="000000"/>
                <w:sz w:val="12"/>
                <w:szCs w:val="16"/>
                <w:lang w:val="es-CO" w:eastAsia="es-CO"/>
              </w:rPr>
              <w:t>948</w:t>
            </w:r>
            <w:r>
              <w:rPr>
                <w:color w:val="000000"/>
                <w:sz w:val="12"/>
                <w:szCs w:val="16"/>
                <w:lang w:val="es-CO" w:eastAsia="es-CO"/>
              </w:rPr>
              <w:t>.</w:t>
            </w:r>
            <w:r w:rsidRPr="00790D9C">
              <w:rPr>
                <w:color w:val="000000"/>
                <w:sz w:val="12"/>
                <w:szCs w:val="16"/>
                <w:lang w:val="es-CO" w:eastAsia="es-CO"/>
              </w:rPr>
              <w:t>250</w:t>
            </w:r>
          </w:p>
        </w:tc>
      </w:tr>
      <w:tr w:rsidR="00BA56AD" w:rsidRPr="00790D9C" w14:paraId="0A389A89"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6402A4C"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6A380B9"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598E0E4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TPE1/2AS</w:t>
            </w:r>
          </w:p>
        </w:tc>
        <w:tc>
          <w:tcPr>
            <w:tcW w:w="1143" w:type="dxa"/>
            <w:tcBorders>
              <w:top w:val="nil"/>
              <w:left w:val="nil"/>
              <w:bottom w:val="single" w:sz="4" w:space="0" w:color="auto"/>
              <w:right w:val="single" w:sz="4" w:space="0" w:color="auto"/>
            </w:tcBorders>
            <w:shd w:val="clear" w:color="auto" w:fill="auto"/>
            <w:noWrap/>
            <w:vAlign w:val="bottom"/>
            <w:hideMark/>
          </w:tcPr>
          <w:p w14:paraId="39C58D4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75</w:t>
            </w:r>
            <w:r>
              <w:rPr>
                <w:color w:val="000000"/>
                <w:sz w:val="12"/>
                <w:szCs w:val="16"/>
                <w:lang w:val="es-CO" w:eastAsia="es-CO"/>
              </w:rPr>
              <w:t>.</w:t>
            </w:r>
            <w:r w:rsidRPr="00790D9C">
              <w:rPr>
                <w:color w:val="000000"/>
                <w:sz w:val="12"/>
                <w:szCs w:val="16"/>
                <w:lang w:val="es-CO" w:eastAsia="es-CO"/>
              </w:rPr>
              <w:t>816</w:t>
            </w:r>
            <w:r>
              <w:rPr>
                <w:color w:val="000000"/>
                <w:sz w:val="12"/>
                <w:szCs w:val="16"/>
                <w:lang w:val="es-CO" w:eastAsia="es-CO"/>
              </w:rPr>
              <w:t>.</w:t>
            </w:r>
            <w:r w:rsidRPr="00790D9C">
              <w:rPr>
                <w:color w:val="000000"/>
                <w:sz w:val="12"/>
                <w:szCs w:val="16"/>
                <w:lang w:val="es-CO" w:eastAsia="es-CO"/>
              </w:rPr>
              <w:t>559</w:t>
            </w:r>
          </w:p>
        </w:tc>
        <w:tc>
          <w:tcPr>
            <w:tcW w:w="1552" w:type="dxa"/>
            <w:tcBorders>
              <w:top w:val="nil"/>
              <w:left w:val="nil"/>
              <w:bottom w:val="single" w:sz="4" w:space="0" w:color="auto"/>
              <w:right w:val="single" w:sz="4" w:space="0" w:color="auto"/>
            </w:tcBorders>
            <w:shd w:val="clear" w:color="auto" w:fill="auto"/>
            <w:noWrap/>
            <w:vAlign w:val="bottom"/>
            <w:hideMark/>
          </w:tcPr>
          <w:p w14:paraId="6ACAE44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04A4EDDD"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4645D7E1"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37</w:t>
            </w:r>
          </w:p>
        </w:tc>
        <w:tc>
          <w:tcPr>
            <w:tcW w:w="1095" w:type="dxa"/>
            <w:tcBorders>
              <w:top w:val="nil"/>
              <w:left w:val="nil"/>
              <w:bottom w:val="single" w:sz="4" w:space="0" w:color="auto"/>
              <w:right w:val="single" w:sz="4" w:space="0" w:color="auto"/>
            </w:tcBorders>
            <w:shd w:val="clear" w:color="auto" w:fill="auto"/>
            <w:noWrap/>
            <w:vAlign w:val="bottom"/>
            <w:hideMark/>
          </w:tcPr>
          <w:p w14:paraId="0077AD1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28</w:t>
            </w:r>
            <w:r>
              <w:rPr>
                <w:color w:val="000000"/>
                <w:sz w:val="12"/>
                <w:szCs w:val="16"/>
                <w:lang w:val="es-CO" w:eastAsia="es-CO"/>
              </w:rPr>
              <w:t>.</w:t>
            </w:r>
            <w:r w:rsidRPr="00790D9C">
              <w:rPr>
                <w:color w:val="000000"/>
                <w:sz w:val="12"/>
                <w:szCs w:val="16"/>
                <w:lang w:val="es-CO" w:eastAsia="es-CO"/>
              </w:rPr>
              <w:t>264</w:t>
            </w:r>
            <w:r>
              <w:rPr>
                <w:color w:val="000000"/>
                <w:sz w:val="12"/>
                <w:szCs w:val="16"/>
                <w:lang w:val="es-CO" w:eastAsia="es-CO"/>
              </w:rPr>
              <w:t>.</w:t>
            </w:r>
            <w:r w:rsidRPr="00790D9C">
              <w:rPr>
                <w:color w:val="000000"/>
                <w:sz w:val="12"/>
                <w:szCs w:val="16"/>
                <w:lang w:val="es-CO" w:eastAsia="es-CO"/>
              </w:rPr>
              <w:t>413</w:t>
            </w:r>
          </w:p>
        </w:tc>
      </w:tr>
      <w:tr w:rsidR="00BA56AD" w:rsidRPr="00790D9C" w14:paraId="7C418E5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88D3650"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C69776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1516DF4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TPE3/4AS</w:t>
            </w:r>
          </w:p>
        </w:tc>
        <w:tc>
          <w:tcPr>
            <w:tcW w:w="1143" w:type="dxa"/>
            <w:tcBorders>
              <w:top w:val="nil"/>
              <w:left w:val="nil"/>
              <w:bottom w:val="single" w:sz="4" w:space="0" w:color="auto"/>
              <w:right w:val="single" w:sz="4" w:space="0" w:color="auto"/>
            </w:tcBorders>
            <w:shd w:val="clear" w:color="auto" w:fill="auto"/>
            <w:noWrap/>
            <w:vAlign w:val="bottom"/>
            <w:hideMark/>
          </w:tcPr>
          <w:p w14:paraId="29812C8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76</w:t>
            </w:r>
            <w:r>
              <w:rPr>
                <w:color w:val="000000"/>
                <w:sz w:val="12"/>
                <w:szCs w:val="16"/>
                <w:lang w:val="es-CO" w:eastAsia="es-CO"/>
              </w:rPr>
              <w:t>.</w:t>
            </w:r>
            <w:r w:rsidRPr="00790D9C">
              <w:rPr>
                <w:color w:val="000000"/>
                <w:sz w:val="12"/>
                <w:szCs w:val="16"/>
                <w:lang w:val="es-CO" w:eastAsia="es-CO"/>
              </w:rPr>
              <w:t>715</w:t>
            </w:r>
            <w:r>
              <w:rPr>
                <w:color w:val="000000"/>
                <w:sz w:val="12"/>
                <w:szCs w:val="16"/>
                <w:lang w:val="es-CO" w:eastAsia="es-CO"/>
              </w:rPr>
              <w:t>.</w:t>
            </w:r>
            <w:r w:rsidRPr="00790D9C">
              <w:rPr>
                <w:color w:val="000000"/>
                <w:sz w:val="12"/>
                <w:szCs w:val="16"/>
                <w:lang w:val="es-CO" w:eastAsia="es-CO"/>
              </w:rPr>
              <w:t>959</w:t>
            </w:r>
          </w:p>
        </w:tc>
        <w:tc>
          <w:tcPr>
            <w:tcW w:w="1552" w:type="dxa"/>
            <w:tcBorders>
              <w:top w:val="nil"/>
              <w:left w:val="nil"/>
              <w:bottom w:val="single" w:sz="4" w:space="0" w:color="auto"/>
              <w:right w:val="single" w:sz="4" w:space="0" w:color="auto"/>
            </w:tcBorders>
            <w:shd w:val="clear" w:color="auto" w:fill="auto"/>
            <w:noWrap/>
            <w:vAlign w:val="bottom"/>
            <w:hideMark/>
          </w:tcPr>
          <w:p w14:paraId="5B95AFD9"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18880741"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358AFFE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23</w:t>
            </w:r>
          </w:p>
        </w:tc>
        <w:tc>
          <w:tcPr>
            <w:tcW w:w="1095" w:type="dxa"/>
            <w:tcBorders>
              <w:top w:val="nil"/>
              <w:left w:val="nil"/>
              <w:bottom w:val="single" w:sz="4" w:space="0" w:color="auto"/>
              <w:right w:val="single" w:sz="4" w:space="0" w:color="auto"/>
            </w:tcBorders>
            <w:shd w:val="clear" w:color="auto" w:fill="auto"/>
            <w:noWrap/>
            <w:vAlign w:val="bottom"/>
            <w:hideMark/>
          </w:tcPr>
          <w:p w14:paraId="3088696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94</w:t>
            </w:r>
            <w:r>
              <w:rPr>
                <w:color w:val="000000"/>
                <w:sz w:val="12"/>
                <w:szCs w:val="16"/>
                <w:lang w:val="es-CO" w:eastAsia="es-CO"/>
              </w:rPr>
              <w:t>.</w:t>
            </w:r>
            <w:r w:rsidRPr="00790D9C">
              <w:rPr>
                <w:color w:val="000000"/>
                <w:sz w:val="12"/>
                <w:szCs w:val="16"/>
                <w:lang w:val="es-CO" w:eastAsia="es-CO"/>
              </w:rPr>
              <w:t>690</w:t>
            </w:r>
            <w:r>
              <w:rPr>
                <w:color w:val="000000"/>
                <w:sz w:val="12"/>
                <w:szCs w:val="16"/>
                <w:lang w:val="es-CO" w:eastAsia="es-CO"/>
              </w:rPr>
              <w:t>.</w:t>
            </w:r>
            <w:r w:rsidRPr="00790D9C">
              <w:rPr>
                <w:color w:val="000000"/>
                <w:sz w:val="12"/>
                <w:szCs w:val="16"/>
                <w:lang w:val="es-CO" w:eastAsia="es-CO"/>
              </w:rPr>
              <w:t>508</w:t>
            </w:r>
          </w:p>
        </w:tc>
      </w:tr>
      <w:tr w:rsidR="00BA56AD" w:rsidRPr="00790D9C" w14:paraId="15CBE7F0"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9FF1A63"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4AA4465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1B2C6E79"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TPE2AS</w:t>
            </w:r>
          </w:p>
        </w:tc>
        <w:tc>
          <w:tcPr>
            <w:tcW w:w="1143" w:type="dxa"/>
            <w:tcBorders>
              <w:top w:val="nil"/>
              <w:left w:val="nil"/>
              <w:bottom w:val="single" w:sz="4" w:space="0" w:color="auto"/>
              <w:right w:val="single" w:sz="4" w:space="0" w:color="auto"/>
            </w:tcBorders>
            <w:shd w:val="clear" w:color="auto" w:fill="auto"/>
            <w:noWrap/>
            <w:vAlign w:val="bottom"/>
            <w:hideMark/>
          </w:tcPr>
          <w:p w14:paraId="1296E822"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87</w:t>
            </w:r>
            <w:r>
              <w:rPr>
                <w:color w:val="000000"/>
                <w:sz w:val="12"/>
                <w:szCs w:val="16"/>
                <w:lang w:val="es-CO" w:eastAsia="es-CO"/>
              </w:rPr>
              <w:t>.</w:t>
            </w:r>
            <w:r w:rsidRPr="00790D9C">
              <w:rPr>
                <w:color w:val="000000"/>
                <w:sz w:val="12"/>
                <w:szCs w:val="16"/>
                <w:lang w:val="es-CO" w:eastAsia="es-CO"/>
              </w:rPr>
              <w:t>082</w:t>
            </w:r>
            <w:r>
              <w:rPr>
                <w:color w:val="000000"/>
                <w:sz w:val="12"/>
                <w:szCs w:val="16"/>
                <w:lang w:val="es-CO" w:eastAsia="es-CO"/>
              </w:rPr>
              <w:t>.</w:t>
            </w:r>
            <w:r w:rsidRPr="00790D9C">
              <w:rPr>
                <w:color w:val="000000"/>
                <w:sz w:val="12"/>
                <w:szCs w:val="16"/>
                <w:lang w:val="es-CO" w:eastAsia="es-CO"/>
              </w:rPr>
              <w:t>705</w:t>
            </w:r>
          </w:p>
        </w:tc>
        <w:tc>
          <w:tcPr>
            <w:tcW w:w="1552" w:type="dxa"/>
            <w:tcBorders>
              <w:top w:val="nil"/>
              <w:left w:val="nil"/>
              <w:bottom w:val="single" w:sz="4" w:space="0" w:color="auto"/>
              <w:right w:val="single" w:sz="4" w:space="0" w:color="auto"/>
            </w:tcBorders>
            <w:shd w:val="clear" w:color="auto" w:fill="auto"/>
            <w:noWrap/>
            <w:vAlign w:val="bottom"/>
            <w:hideMark/>
          </w:tcPr>
          <w:p w14:paraId="4254217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3094A62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51B6EA6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20</w:t>
            </w:r>
          </w:p>
        </w:tc>
        <w:tc>
          <w:tcPr>
            <w:tcW w:w="1095" w:type="dxa"/>
            <w:tcBorders>
              <w:top w:val="nil"/>
              <w:left w:val="nil"/>
              <w:bottom w:val="single" w:sz="4" w:space="0" w:color="auto"/>
              <w:right w:val="single" w:sz="4" w:space="0" w:color="auto"/>
            </w:tcBorders>
            <w:shd w:val="clear" w:color="auto" w:fill="auto"/>
            <w:noWrap/>
            <w:vAlign w:val="bottom"/>
            <w:hideMark/>
          </w:tcPr>
          <w:p w14:paraId="714C43A4"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17</w:t>
            </w:r>
            <w:r>
              <w:rPr>
                <w:color w:val="000000"/>
                <w:sz w:val="12"/>
                <w:szCs w:val="16"/>
                <w:lang w:val="es-CO" w:eastAsia="es-CO"/>
              </w:rPr>
              <w:t>.</w:t>
            </w:r>
            <w:r w:rsidRPr="00790D9C">
              <w:rPr>
                <w:color w:val="000000"/>
                <w:sz w:val="12"/>
                <w:szCs w:val="16"/>
                <w:lang w:val="es-CO" w:eastAsia="es-CO"/>
              </w:rPr>
              <w:t>216</w:t>
            </w:r>
            <w:r>
              <w:rPr>
                <w:color w:val="000000"/>
                <w:sz w:val="12"/>
                <w:szCs w:val="16"/>
                <w:lang w:val="es-CO" w:eastAsia="es-CO"/>
              </w:rPr>
              <w:t>.</w:t>
            </w:r>
            <w:r w:rsidRPr="00790D9C">
              <w:rPr>
                <w:color w:val="000000"/>
                <w:sz w:val="12"/>
                <w:szCs w:val="16"/>
                <w:lang w:val="es-CO" w:eastAsia="es-CO"/>
              </w:rPr>
              <w:t>251</w:t>
            </w:r>
          </w:p>
        </w:tc>
      </w:tr>
      <w:tr w:rsidR="00BA56AD" w:rsidRPr="00790D9C" w14:paraId="51FDFE28"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A8D9151"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340CB3E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665F93B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TPE1/2CO</w:t>
            </w:r>
          </w:p>
        </w:tc>
        <w:tc>
          <w:tcPr>
            <w:tcW w:w="1143" w:type="dxa"/>
            <w:tcBorders>
              <w:top w:val="nil"/>
              <w:left w:val="nil"/>
              <w:bottom w:val="single" w:sz="4" w:space="0" w:color="auto"/>
              <w:right w:val="single" w:sz="4" w:space="0" w:color="auto"/>
            </w:tcBorders>
            <w:shd w:val="clear" w:color="auto" w:fill="auto"/>
            <w:noWrap/>
            <w:vAlign w:val="bottom"/>
            <w:hideMark/>
          </w:tcPr>
          <w:p w14:paraId="7BB1CC28"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74</w:t>
            </w:r>
            <w:r>
              <w:rPr>
                <w:color w:val="000000"/>
                <w:sz w:val="12"/>
                <w:szCs w:val="16"/>
                <w:lang w:val="es-CO" w:eastAsia="es-CO"/>
              </w:rPr>
              <w:t>.</w:t>
            </w:r>
            <w:r w:rsidRPr="00790D9C">
              <w:rPr>
                <w:color w:val="000000"/>
                <w:sz w:val="12"/>
                <w:szCs w:val="16"/>
                <w:lang w:val="es-CO" w:eastAsia="es-CO"/>
              </w:rPr>
              <w:t>429</w:t>
            </w:r>
            <w:r>
              <w:rPr>
                <w:color w:val="000000"/>
                <w:sz w:val="12"/>
                <w:szCs w:val="16"/>
                <w:lang w:val="es-CO" w:eastAsia="es-CO"/>
              </w:rPr>
              <w:t>.</w:t>
            </w:r>
            <w:r w:rsidRPr="00790D9C">
              <w:rPr>
                <w:color w:val="000000"/>
                <w:sz w:val="12"/>
                <w:szCs w:val="16"/>
                <w:lang w:val="es-CO" w:eastAsia="es-CO"/>
              </w:rPr>
              <w:t>578</w:t>
            </w:r>
          </w:p>
        </w:tc>
        <w:tc>
          <w:tcPr>
            <w:tcW w:w="1552" w:type="dxa"/>
            <w:tcBorders>
              <w:top w:val="nil"/>
              <w:left w:val="nil"/>
              <w:bottom w:val="single" w:sz="4" w:space="0" w:color="auto"/>
              <w:right w:val="single" w:sz="4" w:space="0" w:color="auto"/>
            </w:tcBorders>
            <w:shd w:val="clear" w:color="auto" w:fill="auto"/>
            <w:noWrap/>
            <w:vAlign w:val="bottom"/>
            <w:hideMark/>
          </w:tcPr>
          <w:p w14:paraId="6EF2191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8B932E3"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53E21CD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08</w:t>
            </w:r>
          </w:p>
        </w:tc>
        <w:tc>
          <w:tcPr>
            <w:tcW w:w="1095" w:type="dxa"/>
            <w:tcBorders>
              <w:top w:val="nil"/>
              <w:left w:val="nil"/>
              <w:bottom w:val="single" w:sz="4" w:space="0" w:color="auto"/>
              <w:right w:val="single" w:sz="4" w:space="0" w:color="auto"/>
            </w:tcBorders>
            <w:shd w:val="clear" w:color="auto" w:fill="auto"/>
            <w:noWrap/>
            <w:vAlign w:val="bottom"/>
            <w:hideMark/>
          </w:tcPr>
          <w:p w14:paraId="24790693"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6</w:t>
            </w:r>
            <w:r>
              <w:rPr>
                <w:color w:val="000000"/>
                <w:sz w:val="12"/>
                <w:szCs w:val="16"/>
                <w:lang w:val="es-CO" w:eastAsia="es-CO"/>
              </w:rPr>
              <w:t>.</w:t>
            </w:r>
            <w:r w:rsidRPr="00790D9C">
              <w:rPr>
                <w:color w:val="000000"/>
                <w:sz w:val="12"/>
                <w:szCs w:val="16"/>
                <w:lang w:val="es-CO" w:eastAsia="es-CO"/>
              </w:rPr>
              <w:t>259</w:t>
            </w:r>
            <w:r>
              <w:rPr>
                <w:color w:val="000000"/>
                <w:sz w:val="12"/>
                <w:szCs w:val="16"/>
                <w:lang w:val="es-CO" w:eastAsia="es-CO"/>
              </w:rPr>
              <w:t>.</w:t>
            </w:r>
            <w:r w:rsidRPr="00790D9C">
              <w:rPr>
                <w:color w:val="000000"/>
                <w:sz w:val="12"/>
                <w:szCs w:val="16"/>
                <w:lang w:val="es-CO" w:eastAsia="es-CO"/>
              </w:rPr>
              <w:t>527</w:t>
            </w:r>
          </w:p>
        </w:tc>
      </w:tr>
      <w:tr w:rsidR="00BA56AD" w:rsidRPr="00790D9C" w14:paraId="67CE24B4"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80C2CAF"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261AFB7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742E899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TPE3/4CO</w:t>
            </w:r>
          </w:p>
        </w:tc>
        <w:tc>
          <w:tcPr>
            <w:tcW w:w="1143" w:type="dxa"/>
            <w:tcBorders>
              <w:top w:val="nil"/>
              <w:left w:val="nil"/>
              <w:bottom w:val="single" w:sz="4" w:space="0" w:color="auto"/>
              <w:right w:val="single" w:sz="4" w:space="0" w:color="auto"/>
            </w:tcBorders>
            <w:shd w:val="clear" w:color="auto" w:fill="auto"/>
            <w:noWrap/>
            <w:vAlign w:val="bottom"/>
            <w:hideMark/>
          </w:tcPr>
          <w:p w14:paraId="3860E22F"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75</w:t>
            </w:r>
            <w:r>
              <w:rPr>
                <w:color w:val="000000"/>
                <w:sz w:val="12"/>
                <w:szCs w:val="16"/>
                <w:lang w:val="es-CO" w:eastAsia="es-CO"/>
              </w:rPr>
              <w:t>.</w:t>
            </w:r>
            <w:r w:rsidRPr="00790D9C">
              <w:rPr>
                <w:color w:val="000000"/>
                <w:sz w:val="12"/>
                <w:szCs w:val="16"/>
                <w:lang w:val="es-CO" w:eastAsia="es-CO"/>
              </w:rPr>
              <w:t>269</w:t>
            </w:r>
            <w:r>
              <w:rPr>
                <w:color w:val="000000"/>
                <w:sz w:val="12"/>
                <w:szCs w:val="16"/>
                <w:lang w:val="es-CO" w:eastAsia="es-CO"/>
              </w:rPr>
              <w:t>.</w:t>
            </w:r>
            <w:r w:rsidRPr="00790D9C">
              <w:rPr>
                <w:color w:val="000000"/>
                <w:sz w:val="12"/>
                <w:szCs w:val="16"/>
                <w:lang w:val="es-CO" w:eastAsia="es-CO"/>
              </w:rPr>
              <w:t>785</w:t>
            </w:r>
          </w:p>
        </w:tc>
        <w:tc>
          <w:tcPr>
            <w:tcW w:w="1552" w:type="dxa"/>
            <w:tcBorders>
              <w:top w:val="nil"/>
              <w:left w:val="nil"/>
              <w:bottom w:val="single" w:sz="4" w:space="0" w:color="auto"/>
              <w:right w:val="single" w:sz="4" w:space="0" w:color="auto"/>
            </w:tcBorders>
            <w:shd w:val="clear" w:color="auto" w:fill="auto"/>
            <w:noWrap/>
            <w:vAlign w:val="bottom"/>
            <w:hideMark/>
          </w:tcPr>
          <w:p w14:paraId="77D202C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4EC2A1F4"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1BCBF711"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11</w:t>
            </w:r>
          </w:p>
        </w:tc>
        <w:tc>
          <w:tcPr>
            <w:tcW w:w="1095" w:type="dxa"/>
            <w:tcBorders>
              <w:top w:val="nil"/>
              <w:left w:val="nil"/>
              <w:bottom w:val="single" w:sz="4" w:space="0" w:color="auto"/>
              <w:right w:val="single" w:sz="4" w:space="0" w:color="auto"/>
            </w:tcBorders>
            <w:shd w:val="clear" w:color="auto" w:fill="auto"/>
            <w:noWrap/>
            <w:vAlign w:val="bottom"/>
            <w:hideMark/>
          </w:tcPr>
          <w:p w14:paraId="7AD21074"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8</w:t>
            </w:r>
            <w:r>
              <w:rPr>
                <w:color w:val="000000"/>
                <w:sz w:val="12"/>
                <w:szCs w:val="16"/>
                <w:lang w:val="es-CO" w:eastAsia="es-CO"/>
              </w:rPr>
              <w:t>.</w:t>
            </w:r>
            <w:r w:rsidRPr="00790D9C">
              <w:rPr>
                <w:color w:val="000000"/>
                <w:sz w:val="12"/>
                <w:szCs w:val="16"/>
                <w:lang w:val="es-CO" w:eastAsia="es-CO"/>
              </w:rPr>
              <w:t>618</w:t>
            </w:r>
            <w:r>
              <w:rPr>
                <w:color w:val="000000"/>
                <w:sz w:val="12"/>
                <w:szCs w:val="16"/>
                <w:lang w:val="es-CO" w:eastAsia="es-CO"/>
              </w:rPr>
              <w:t>.</w:t>
            </w:r>
            <w:r w:rsidRPr="00790D9C">
              <w:rPr>
                <w:color w:val="000000"/>
                <w:sz w:val="12"/>
                <w:szCs w:val="16"/>
                <w:lang w:val="es-CO" w:eastAsia="es-CO"/>
              </w:rPr>
              <w:t>390</w:t>
            </w:r>
          </w:p>
        </w:tc>
      </w:tr>
      <w:tr w:rsidR="00BA56AD" w:rsidRPr="00790D9C" w14:paraId="356B6C1F"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A630340"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7380A3B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29165C4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TPE1/2ACO</w:t>
            </w:r>
          </w:p>
        </w:tc>
        <w:tc>
          <w:tcPr>
            <w:tcW w:w="1143" w:type="dxa"/>
            <w:tcBorders>
              <w:top w:val="nil"/>
              <w:left w:val="nil"/>
              <w:bottom w:val="single" w:sz="4" w:space="0" w:color="auto"/>
              <w:right w:val="single" w:sz="4" w:space="0" w:color="auto"/>
            </w:tcBorders>
            <w:shd w:val="clear" w:color="auto" w:fill="auto"/>
            <w:noWrap/>
            <w:vAlign w:val="bottom"/>
            <w:hideMark/>
          </w:tcPr>
          <w:p w14:paraId="59E003A9"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52</w:t>
            </w:r>
            <w:r>
              <w:rPr>
                <w:color w:val="000000"/>
                <w:sz w:val="12"/>
                <w:szCs w:val="16"/>
                <w:lang w:val="es-CO" w:eastAsia="es-CO"/>
              </w:rPr>
              <w:t>.</w:t>
            </w:r>
            <w:r w:rsidRPr="00790D9C">
              <w:rPr>
                <w:color w:val="000000"/>
                <w:sz w:val="12"/>
                <w:szCs w:val="16"/>
                <w:lang w:val="es-CO" w:eastAsia="es-CO"/>
              </w:rPr>
              <w:t>202</w:t>
            </w:r>
            <w:r>
              <w:rPr>
                <w:color w:val="000000"/>
                <w:sz w:val="12"/>
                <w:szCs w:val="16"/>
                <w:lang w:val="es-CO" w:eastAsia="es-CO"/>
              </w:rPr>
              <w:t>.</w:t>
            </w:r>
            <w:r w:rsidRPr="00790D9C">
              <w:rPr>
                <w:color w:val="000000"/>
                <w:sz w:val="12"/>
                <w:szCs w:val="16"/>
                <w:lang w:val="es-CO" w:eastAsia="es-CO"/>
              </w:rPr>
              <w:t>790</w:t>
            </w:r>
          </w:p>
        </w:tc>
        <w:tc>
          <w:tcPr>
            <w:tcW w:w="1552" w:type="dxa"/>
            <w:tcBorders>
              <w:top w:val="nil"/>
              <w:left w:val="nil"/>
              <w:bottom w:val="single" w:sz="4" w:space="0" w:color="auto"/>
              <w:right w:val="single" w:sz="4" w:space="0" w:color="auto"/>
            </w:tcBorders>
            <w:shd w:val="clear" w:color="auto" w:fill="auto"/>
            <w:noWrap/>
            <w:vAlign w:val="bottom"/>
            <w:hideMark/>
          </w:tcPr>
          <w:p w14:paraId="01F956B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5818386"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649F96FA"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16</w:t>
            </w:r>
          </w:p>
        </w:tc>
        <w:tc>
          <w:tcPr>
            <w:tcW w:w="1095" w:type="dxa"/>
            <w:tcBorders>
              <w:top w:val="nil"/>
              <w:left w:val="nil"/>
              <w:bottom w:val="single" w:sz="4" w:space="0" w:color="auto"/>
              <w:right w:val="single" w:sz="4" w:space="0" w:color="auto"/>
            </w:tcBorders>
            <w:shd w:val="clear" w:color="auto" w:fill="auto"/>
            <w:noWrap/>
            <w:vAlign w:val="bottom"/>
            <w:hideMark/>
          </w:tcPr>
          <w:p w14:paraId="596FE9D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112</w:t>
            </w:r>
            <w:r>
              <w:rPr>
                <w:color w:val="000000"/>
                <w:sz w:val="12"/>
                <w:szCs w:val="16"/>
                <w:lang w:val="es-CO" w:eastAsia="es-CO"/>
              </w:rPr>
              <w:t>.</w:t>
            </w:r>
            <w:r w:rsidRPr="00790D9C">
              <w:rPr>
                <w:color w:val="000000"/>
                <w:sz w:val="12"/>
                <w:szCs w:val="16"/>
                <w:lang w:val="es-CO" w:eastAsia="es-CO"/>
              </w:rPr>
              <w:t>669</w:t>
            </w:r>
            <w:r>
              <w:rPr>
                <w:color w:val="000000"/>
                <w:sz w:val="12"/>
                <w:szCs w:val="16"/>
                <w:lang w:val="es-CO" w:eastAsia="es-CO"/>
              </w:rPr>
              <w:t>.</w:t>
            </w:r>
            <w:r w:rsidRPr="00790D9C">
              <w:rPr>
                <w:color w:val="000000"/>
                <w:sz w:val="12"/>
                <w:szCs w:val="16"/>
                <w:lang w:val="es-CO" w:eastAsia="es-CO"/>
              </w:rPr>
              <w:t>281</w:t>
            </w:r>
          </w:p>
        </w:tc>
      </w:tr>
      <w:tr w:rsidR="00BA56AD" w:rsidRPr="00790D9C" w14:paraId="40E56E89"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51FBADF"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D51068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087368B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TPE3/4ACO</w:t>
            </w:r>
          </w:p>
        </w:tc>
        <w:tc>
          <w:tcPr>
            <w:tcW w:w="1143" w:type="dxa"/>
            <w:tcBorders>
              <w:top w:val="nil"/>
              <w:left w:val="nil"/>
              <w:bottom w:val="single" w:sz="4" w:space="0" w:color="auto"/>
              <w:right w:val="single" w:sz="4" w:space="0" w:color="auto"/>
            </w:tcBorders>
            <w:shd w:val="clear" w:color="auto" w:fill="auto"/>
            <w:noWrap/>
            <w:vAlign w:val="bottom"/>
            <w:hideMark/>
          </w:tcPr>
          <w:p w14:paraId="4E84225F"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53</w:t>
            </w:r>
            <w:r>
              <w:rPr>
                <w:color w:val="000000"/>
                <w:sz w:val="12"/>
                <w:szCs w:val="16"/>
                <w:lang w:val="es-CO" w:eastAsia="es-CO"/>
              </w:rPr>
              <w:t>.</w:t>
            </w:r>
            <w:r w:rsidRPr="00790D9C">
              <w:rPr>
                <w:color w:val="000000"/>
                <w:sz w:val="12"/>
                <w:szCs w:val="16"/>
                <w:lang w:val="es-CO" w:eastAsia="es-CO"/>
              </w:rPr>
              <w:t>098</w:t>
            </w:r>
            <w:r>
              <w:rPr>
                <w:color w:val="000000"/>
                <w:sz w:val="12"/>
                <w:szCs w:val="16"/>
                <w:lang w:val="es-CO" w:eastAsia="es-CO"/>
              </w:rPr>
              <w:t>.</w:t>
            </w:r>
            <w:r w:rsidRPr="00790D9C">
              <w:rPr>
                <w:color w:val="000000"/>
                <w:sz w:val="12"/>
                <w:szCs w:val="16"/>
                <w:lang w:val="es-CO" w:eastAsia="es-CO"/>
              </w:rPr>
              <w:t>574</w:t>
            </w:r>
          </w:p>
        </w:tc>
        <w:tc>
          <w:tcPr>
            <w:tcW w:w="1552" w:type="dxa"/>
            <w:tcBorders>
              <w:top w:val="nil"/>
              <w:left w:val="nil"/>
              <w:bottom w:val="single" w:sz="4" w:space="0" w:color="auto"/>
              <w:right w:val="single" w:sz="4" w:space="0" w:color="auto"/>
            </w:tcBorders>
            <w:shd w:val="clear" w:color="auto" w:fill="auto"/>
            <w:noWrap/>
            <w:vAlign w:val="bottom"/>
            <w:hideMark/>
          </w:tcPr>
          <w:p w14:paraId="3E2768B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08E8CB9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65D604B0"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w:t>
            </w:r>
            <w:r>
              <w:rPr>
                <w:color w:val="000000"/>
                <w:sz w:val="12"/>
                <w:szCs w:val="16"/>
                <w:lang w:val="es-CO" w:eastAsia="es-CO"/>
              </w:rPr>
              <w:t>,</w:t>
            </w:r>
            <w:r w:rsidRPr="00790D9C">
              <w:rPr>
                <w:color w:val="000000"/>
                <w:sz w:val="12"/>
                <w:szCs w:val="16"/>
                <w:lang w:val="es-CO" w:eastAsia="es-CO"/>
              </w:rPr>
              <w:t>45</w:t>
            </w:r>
          </w:p>
        </w:tc>
        <w:tc>
          <w:tcPr>
            <w:tcW w:w="1095" w:type="dxa"/>
            <w:tcBorders>
              <w:top w:val="nil"/>
              <w:left w:val="nil"/>
              <w:bottom w:val="single" w:sz="4" w:space="0" w:color="auto"/>
              <w:right w:val="single" w:sz="4" w:space="0" w:color="auto"/>
            </w:tcBorders>
            <w:shd w:val="clear" w:color="auto" w:fill="auto"/>
            <w:noWrap/>
            <w:vAlign w:val="bottom"/>
            <w:hideMark/>
          </w:tcPr>
          <w:p w14:paraId="5E7EC8A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183</w:t>
            </w:r>
            <w:r>
              <w:rPr>
                <w:color w:val="000000"/>
                <w:sz w:val="12"/>
                <w:szCs w:val="16"/>
                <w:lang w:val="es-CO" w:eastAsia="es-CO"/>
              </w:rPr>
              <w:t>.</w:t>
            </w:r>
            <w:r w:rsidRPr="00790D9C">
              <w:rPr>
                <w:color w:val="000000"/>
                <w:sz w:val="12"/>
                <w:szCs w:val="16"/>
                <w:lang w:val="es-CO" w:eastAsia="es-CO"/>
              </w:rPr>
              <w:t>423</w:t>
            </w:r>
            <w:r>
              <w:rPr>
                <w:color w:val="000000"/>
                <w:sz w:val="12"/>
                <w:szCs w:val="16"/>
                <w:lang w:val="es-CO" w:eastAsia="es-CO"/>
              </w:rPr>
              <w:t>.</w:t>
            </w:r>
            <w:r w:rsidRPr="00790D9C">
              <w:rPr>
                <w:color w:val="000000"/>
                <w:sz w:val="12"/>
                <w:szCs w:val="16"/>
                <w:lang w:val="es-CO" w:eastAsia="es-CO"/>
              </w:rPr>
              <w:t>714</w:t>
            </w:r>
          </w:p>
        </w:tc>
      </w:tr>
      <w:tr w:rsidR="00BA56AD" w:rsidRPr="00790D9C" w14:paraId="45B647BD"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CCE67DE"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573914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4D9944A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TPE2ACO</w:t>
            </w:r>
          </w:p>
        </w:tc>
        <w:tc>
          <w:tcPr>
            <w:tcW w:w="1143" w:type="dxa"/>
            <w:tcBorders>
              <w:top w:val="nil"/>
              <w:left w:val="nil"/>
              <w:bottom w:val="single" w:sz="4" w:space="0" w:color="auto"/>
              <w:right w:val="single" w:sz="4" w:space="0" w:color="auto"/>
            </w:tcBorders>
            <w:shd w:val="clear" w:color="auto" w:fill="auto"/>
            <w:noWrap/>
            <w:vAlign w:val="bottom"/>
            <w:hideMark/>
          </w:tcPr>
          <w:p w14:paraId="0BEACDA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67</w:t>
            </w:r>
            <w:r>
              <w:rPr>
                <w:color w:val="000000"/>
                <w:sz w:val="12"/>
                <w:szCs w:val="16"/>
                <w:lang w:val="es-CO" w:eastAsia="es-CO"/>
              </w:rPr>
              <w:t>.</w:t>
            </w:r>
            <w:r w:rsidRPr="00790D9C">
              <w:rPr>
                <w:color w:val="000000"/>
                <w:sz w:val="12"/>
                <w:szCs w:val="16"/>
                <w:lang w:val="es-CO" w:eastAsia="es-CO"/>
              </w:rPr>
              <w:t>285</w:t>
            </w:r>
            <w:r>
              <w:rPr>
                <w:color w:val="000000"/>
                <w:sz w:val="12"/>
                <w:szCs w:val="16"/>
                <w:lang w:val="es-CO" w:eastAsia="es-CO"/>
              </w:rPr>
              <w:t>.</w:t>
            </w:r>
            <w:r w:rsidRPr="00790D9C">
              <w:rPr>
                <w:color w:val="000000"/>
                <w:sz w:val="12"/>
                <w:szCs w:val="16"/>
                <w:lang w:val="es-CO" w:eastAsia="es-CO"/>
              </w:rPr>
              <w:t>854</w:t>
            </w:r>
          </w:p>
        </w:tc>
        <w:tc>
          <w:tcPr>
            <w:tcW w:w="1552" w:type="dxa"/>
            <w:tcBorders>
              <w:top w:val="nil"/>
              <w:left w:val="nil"/>
              <w:bottom w:val="single" w:sz="4" w:space="0" w:color="auto"/>
              <w:right w:val="single" w:sz="4" w:space="0" w:color="auto"/>
            </w:tcBorders>
            <w:shd w:val="clear" w:color="auto" w:fill="auto"/>
            <w:noWrap/>
            <w:vAlign w:val="bottom"/>
            <w:hideMark/>
          </w:tcPr>
          <w:p w14:paraId="49E0282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3770572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6BCB37F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81</w:t>
            </w:r>
          </w:p>
        </w:tc>
        <w:tc>
          <w:tcPr>
            <w:tcW w:w="1095" w:type="dxa"/>
            <w:tcBorders>
              <w:top w:val="nil"/>
              <w:left w:val="nil"/>
              <w:bottom w:val="single" w:sz="4" w:space="0" w:color="auto"/>
              <w:right w:val="single" w:sz="4" w:space="0" w:color="auto"/>
            </w:tcBorders>
            <w:shd w:val="clear" w:color="auto" w:fill="auto"/>
            <w:noWrap/>
            <w:vAlign w:val="bottom"/>
            <w:hideMark/>
          </w:tcPr>
          <w:p w14:paraId="6E301583"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54</w:t>
            </w:r>
            <w:r>
              <w:rPr>
                <w:color w:val="000000"/>
                <w:sz w:val="12"/>
                <w:szCs w:val="16"/>
                <w:lang w:val="es-CO" w:eastAsia="es-CO"/>
              </w:rPr>
              <w:t>.</w:t>
            </w:r>
            <w:r w:rsidRPr="00790D9C">
              <w:rPr>
                <w:color w:val="000000"/>
                <w:sz w:val="12"/>
                <w:szCs w:val="16"/>
                <w:lang w:val="es-CO" w:eastAsia="es-CO"/>
              </w:rPr>
              <w:t>279</w:t>
            </w:r>
            <w:r>
              <w:rPr>
                <w:color w:val="000000"/>
                <w:sz w:val="12"/>
                <w:szCs w:val="16"/>
                <w:lang w:val="es-CO" w:eastAsia="es-CO"/>
              </w:rPr>
              <w:t>.</w:t>
            </w:r>
            <w:r w:rsidRPr="00790D9C">
              <w:rPr>
                <w:color w:val="000000"/>
                <w:sz w:val="12"/>
                <w:szCs w:val="16"/>
                <w:lang w:val="es-CO" w:eastAsia="es-CO"/>
              </w:rPr>
              <w:t>499</w:t>
            </w:r>
          </w:p>
        </w:tc>
      </w:tr>
      <w:tr w:rsidR="00BA56AD" w:rsidRPr="00790D9C" w14:paraId="7E07C5B5"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CEAEEF4"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BDE09E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702F38D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TPE1/2TA</w:t>
            </w:r>
          </w:p>
        </w:tc>
        <w:tc>
          <w:tcPr>
            <w:tcW w:w="1143" w:type="dxa"/>
            <w:tcBorders>
              <w:top w:val="nil"/>
              <w:left w:val="nil"/>
              <w:bottom w:val="single" w:sz="4" w:space="0" w:color="auto"/>
              <w:right w:val="single" w:sz="4" w:space="0" w:color="auto"/>
            </w:tcBorders>
            <w:shd w:val="clear" w:color="auto" w:fill="auto"/>
            <w:noWrap/>
            <w:vAlign w:val="bottom"/>
            <w:hideMark/>
          </w:tcPr>
          <w:p w14:paraId="5EA459FC"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55</w:t>
            </w:r>
            <w:r>
              <w:rPr>
                <w:color w:val="000000"/>
                <w:sz w:val="12"/>
                <w:szCs w:val="16"/>
                <w:lang w:val="es-CO" w:eastAsia="es-CO"/>
              </w:rPr>
              <w:t>.</w:t>
            </w:r>
            <w:r w:rsidRPr="00790D9C">
              <w:rPr>
                <w:color w:val="000000"/>
                <w:sz w:val="12"/>
                <w:szCs w:val="16"/>
                <w:lang w:val="es-CO" w:eastAsia="es-CO"/>
              </w:rPr>
              <w:t>278</w:t>
            </w:r>
            <w:r>
              <w:rPr>
                <w:color w:val="000000"/>
                <w:sz w:val="12"/>
                <w:szCs w:val="16"/>
                <w:lang w:val="es-CO" w:eastAsia="es-CO"/>
              </w:rPr>
              <w:t>.</w:t>
            </w:r>
            <w:r w:rsidRPr="00790D9C">
              <w:rPr>
                <w:color w:val="000000"/>
                <w:sz w:val="12"/>
                <w:szCs w:val="16"/>
                <w:lang w:val="es-CO" w:eastAsia="es-CO"/>
              </w:rPr>
              <w:t>936</w:t>
            </w:r>
          </w:p>
        </w:tc>
        <w:tc>
          <w:tcPr>
            <w:tcW w:w="1552" w:type="dxa"/>
            <w:tcBorders>
              <w:top w:val="nil"/>
              <w:left w:val="nil"/>
              <w:bottom w:val="single" w:sz="4" w:space="0" w:color="auto"/>
              <w:right w:val="single" w:sz="4" w:space="0" w:color="auto"/>
            </w:tcBorders>
            <w:shd w:val="clear" w:color="auto" w:fill="auto"/>
            <w:noWrap/>
            <w:vAlign w:val="bottom"/>
            <w:hideMark/>
          </w:tcPr>
          <w:p w14:paraId="621CF64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0C210AEA"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6AAC75E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53</w:t>
            </w:r>
          </w:p>
        </w:tc>
        <w:tc>
          <w:tcPr>
            <w:tcW w:w="1095" w:type="dxa"/>
            <w:tcBorders>
              <w:top w:val="nil"/>
              <w:left w:val="nil"/>
              <w:bottom w:val="single" w:sz="4" w:space="0" w:color="auto"/>
              <w:right w:val="single" w:sz="4" w:space="0" w:color="auto"/>
            </w:tcBorders>
            <w:shd w:val="clear" w:color="auto" w:fill="auto"/>
            <w:noWrap/>
            <w:vAlign w:val="bottom"/>
            <w:hideMark/>
          </w:tcPr>
          <w:p w14:paraId="75349A13"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29</w:t>
            </w:r>
            <w:r>
              <w:rPr>
                <w:color w:val="000000"/>
                <w:sz w:val="12"/>
                <w:szCs w:val="16"/>
                <w:lang w:val="es-CO" w:eastAsia="es-CO"/>
              </w:rPr>
              <w:t>.</w:t>
            </w:r>
            <w:r w:rsidRPr="00790D9C">
              <w:rPr>
                <w:color w:val="000000"/>
                <w:sz w:val="12"/>
                <w:szCs w:val="16"/>
                <w:lang w:val="es-CO" w:eastAsia="es-CO"/>
              </w:rPr>
              <w:t>436</w:t>
            </w:r>
            <w:r>
              <w:rPr>
                <w:color w:val="000000"/>
                <w:sz w:val="12"/>
                <w:szCs w:val="16"/>
                <w:lang w:val="es-CO" w:eastAsia="es-CO"/>
              </w:rPr>
              <w:t>.</w:t>
            </w:r>
            <w:r w:rsidRPr="00790D9C">
              <w:rPr>
                <w:color w:val="000000"/>
                <w:sz w:val="12"/>
                <w:szCs w:val="16"/>
                <w:lang w:val="es-CO" w:eastAsia="es-CO"/>
              </w:rPr>
              <w:t>033</w:t>
            </w:r>
          </w:p>
        </w:tc>
      </w:tr>
      <w:tr w:rsidR="00BA56AD" w:rsidRPr="00790D9C" w14:paraId="3788995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B38A5DF"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7400BE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0F15064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TPE3/4TA</w:t>
            </w:r>
          </w:p>
        </w:tc>
        <w:tc>
          <w:tcPr>
            <w:tcW w:w="1143" w:type="dxa"/>
            <w:tcBorders>
              <w:top w:val="nil"/>
              <w:left w:val="nil"/>
              <w:bottom w:val="single" w:sz="4" w:space="0" w:color="auto"/>
              <w:right w:val="single" w:sz="4" w:space="0" w:color="auto"/>
            </w:tcBorders>
            <w:shd w:val="clear" w:color="auto" w:fill="auto"/>
            <w:noWrap/>
            <w:vAlign w:val="bottom"/>
            <w:hideMark/>
          </w:tcPr>
          <w:p w14:paraId="349F2444"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56</w:t>
            </w:r>
            <w:r>
              <w:rPr>
                <w:color w:val="000000"/>
                <w:sz w:val="12"/>
                <w:szCs w:val="16"/>
                <w:lang w:val="es-CO" w:eastAsia="es-CO"/>
              </w:rPr>
              <w:t>.</w:t>
            </w:r>
            <w:r w:rsidRPr="00790D9C">
              <w:rPr>
                <w:color w:val="000000"/>
                <w:sz w:val="12"/>
                <w:szCs w:val="16"/>
                <w:lang w:val="es-CO" w:eastAsia="es-CO"/>
              </w:rPr>
              <w:t>167</w:t>
            </w:r>
            <w:r>
              <w:rPr>
                <w:color w:val="000000"/>
                <w:sz w:val="12"/>
                <w:szCs w:val="16"/>
                <w:lang w:val="es-CO" w:eastAsia="es-CO"/>
              </w:rPr>
              <w:t>.</w:t>
            </w:r>
            <w:r w:rsidRPr="00790D9C">
              <w:rPr>
                <w:color w:val="000000"/>
                <w:sz w:val="12"/>
                <w:szCs w:val="16"/>
                <w:lang w:val="es-CO" w:eastAsia="es-CO"/>
              </w:rPr>
              <w:t>552</w:t>
            </w:r>
          </w:p>
        </w:tc>
        <w:tc>
          <w:tcPr>
            <w:tcW w:w="1552" w:type="dxa"/>
            <w:tcBorders>
              <w:top w:val="nil"/>
              <w:left w:val="nil"/>
              <w:bottom w:val="single" w:sz="4" w:space="0" w:color="auto"/>
              <w:right w:val="single" w:sz="4" w:space="0" w:color="auto"/>
            </w:tcBorders>
            <w:shd w:val="clear" w:color="auto" w:fill="auto"/>
            <w:noWrap/>
            <w:vAlign w:val="bottom"/>
            <w:hideMark/>
          </w:tcPr>
          <w:p w14:paraId="583F274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09D3DD0A"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1FD38C38"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94</w:t>
            </w:r>
          </w:p>
        </w:tc>
        <w:tc>
          <w:tcPr>
            <w:tcW w:w="1095" w:type="dxa"/>
            <w:tcBorders>
              <w:top w:val="nil"/>
              <w:left w:val="nil"/>
              <w:bottom w:val="single" w:sz="4" w:space="0" w:color="auto"/>
              <w:right w:val="single" w:sz="4" w:space="0" w:color="auto"/>
            </w:tcBorders>
            <w:shd w:val="clear" w:color="auto" w:fill="auto"/>
            <w:noWrap/>
            <w:vAlign w:val="bottom"/>
            <w:hideMark/>
          </w:tcPr>
          <w:p w14:paraId="11B7140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52</w:t>
            </w:r>
            <w:r>
              <w:rPr>
                <w:color w:val="000000"/>
                <w:sz w:val="12"/>
                <w:szCs w:val="16"/>
                <w:lang w:val="es-CO" w:eastAsia="es-CO"/>
              </w:rPr>
              <w:t>.</w:t>
            </w:r>
            <w:r w:rsidRPr="00790D9C">
              <w:rPr>
                <w:color w:val="000000"/>
                <w:sz w:val="12"/>
                <w:szCs w:val="16"/>
                <w:lang w:val="es-CO" w:eastAsia="es-CO"/>
              </w:rPr>
              <w:t>977</w:t>
            </w:r>
            <w:r>
              <w:rPr>
                <w:color w:val="000000"/>
                <w:sz w:val="12"/>
                <w:szCs w:val="16"/>
                <w:lang w:val="es-CO" w:eastAsia="es-CO"/>
              </w:rPr>
              <w:t>.</w:t>
            </w:r>
            <w:r w:rsidRPr="00790D9C">
              <w:rPr>
                <w:color w:val="000000"/>
                <w:sz w:val="12"/>
                <w:szCs w:val="16"/>
                <w:lang w:val="es-CO" w:eastAsia="es-CO"/>
              </w:rPr>
              <w:t>235</w:t>
            </w:r>
          </w:p>
        </w:tc>
      </w:tr>
      <w:tr w:rsidR="00BA56AD" w:rsidRPr="00790D9C" w14:paraId="4D736584"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E6FE3BF"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7580C5E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68349BC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TPE2TA</w:t>
            </w:r>
          </w:p>
        </w:tc>
        <w:tc>
          <w:tcPr>
            <w:tcW w:w="1143" w:type="dxa"/>
            <w:tcBorders>
              <w:top w:val="nil"/>
              <w:left w:val="nil"/>
              <w:bottom w:val="single" w:sz="4" w:space="0" w:color="auto"/>
              <w:right w:val="single" w:sz="4" w:space="0" w:color="auto"/>
            </w:tcBorders>
            <w:shd w:val="clear" w:color="auto" w:fill="auto"/>
            <w:noWrap/>
            <w:vAlign w:val="bottom"/>
            <w:hideMark/>
          </w:tcPr>
          <w:p w14:paraId="454A4843"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70</w:t>
            </w:r>
            <w:r>
              <w:rPr>
                <w:color w:val="000000"/>
                <w:sz w:val="12"/>
                <w:szCs w:val="16"/>
                <w:lang w:val="es-CO" w:eastAsia="es-CO"/>
              </w:rPr>
              <w:t>.</w:t>
            </w:r>
            <w:r w:rsidRPr="00790D9C">
              <w:rPr>
                <w:color w:val="000000"/>
                <w:sz w:val="12"/>
                <w:szCs w:val="16"/>
                <w:lang w:val="es-CO" w:eastAsia="es-CO"/>
              </w:rPr>
              <w:t>281</w:t>
            </w:r>
            <w:r>
              <w:rPr>
                <w:color w:val="000000"/>
                <w:sz w:val="12"/>
                <w:szCs w:val="16"/>
                <w:lang w:val="es-CO" w:eastAsia="es-CO"/>
              </w:rPr>
              <w:t>.</w:t>
            </w:r>
            <w:r w:rsidRPr="00790D9C">
              <w:rPr>
                <w:color w:val="000000"/>
                <w:sz w:val="12"/>
                <w:szCs w:val="16"/>
                <w:lang w:val="es-CO" w:eastAsia="es-CO"/>
              </w:rPr>
              <w:t>222</w:t>
            </w:r>
          </w:p>
        </w:tc>
        <w:tc>
          <w:tcPr>
            <w:tcW w:w="1552" w:type="dxa"/>
            <w:tcBorders>
              <w:top w:val="nil"/>
              <w:left w:val="nil"/>
              <w:bottom w:val="single" w:sz="4" w:space="0" w:color="auto"/>
              <w:right w:val="single" w:sz="4" w:space="0" w:color="auto"/>
            </w:tcBorders>
            <w:shd w:val="clear" w:color="auto" w:fill="auto"/>
            <w:noWrap/>
            <w:vAlign w:val="bottom"/>
            <w:hideMark/>
          </w:tcPr>
          <w:p w14:paraId="4DC31A0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0CADA75"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112B98C4"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20</w:t>
            </w:r>
          </w:p>
        </w:tc>
        <w:tc>
          <w:tcPr>
            <w:tcW w:w="1095" w:type="dxa"/>
            <w:tcBorders>
              <w:top w:val="nil"/>
              <w:left w:val="nil"/>
              <w:bottom w:val="single" w:sz="4" w:space="0" w:color="auto"/>
              <w:right w:val="single" w:sz="4" w:space="0" w:color="auto"/>
            </w:tcBorders>
            <w:shd w:val="clear" w:color="auto" w:fill="auto"/>
            <w:noWrap/>
            <w:vAlign w:val="bottom"/>
            <w:hideMark/>
          </w:tcPr>
          <w:p w14:paraId="50905E02"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14</w:t>
            </w:r>
            <w:r>
              <w:rPr>
                <w:color w:val="000000"/>
                <w:sz w:val="12"/>
                <w:szCs w:val="16"/>
                <w:lang w:val="es-CO" w:eastAsia="es-CO"/>
              </w:rPr>
              <w:t>.</w:t>
            </w:r>
            <w:r w:rsidRPr="00790D9C">
              <w:rPr>
                <w:color w:val="000000"/>
                <w:sz w:val="12"/>
                <w:szCs w:val="16"/>
                <w:lang w:val="es-CO" w:eastAsia="es-CO"/>
              </w:rPr>
              <w:t>372</w:t>
            </w:r>
            <w:r>
              <w:rPr>
                <w:color w:val="000000"/>
                <w:sz w:val="12"/>
                <w:szCs w:val="16"/>
                <w:lang w:val="es-CO" w:eastAsia="es-CO"/>
              </w:rPr>
              <w:t>.</w:t>
            </w:r>
            <w:r w:rsidRPr="00790D9C">
              <w:rPr>
                <w:color w:val="000000"/>
                <w:sz w:val="12"/>
                <w:szCs w:val="16"/>
                <w:lang w:val="es-CO" w:eastAsia="es-CO"/>
              </w:rPr>
              <w:t>510</w:t>
            </w:r>
          </w:p>
        </w:tc>
      </w:tr>
      <w:tr w:rsidR="00BA56AD" w:rsidRPr="00790D9C" w14:paraId="19C4C9C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F0A5D48"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2BA9755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1F0655F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TPE1/2ZV</w:t>
            </w:r>
          </w:p>
        </w:tc>
        <w:tc>
          <w:tcPr>
            <w:tcW w:w="1143" w:type="dxa"/>
            <w:tcBorders>
              <w:top w:val="nil"/>
              <w:left w:val="nil"/>
              <w:bottom w:val="single" w:sz="4" w:space="0" w:color="auto"/>
              <w:right w:val="single" w:sz="4" w:space="0" w:color="auto"/>
            </w:tcBorders>
            <w:shd w:val="clear" w:color="auto" w:fill="auto"/>
            <w:noWrap/>
            <w:vAlign w:val="bottom"/>
            <w:hideMark/>
          </w:tcPr>
          <w:p w14:paraId="511C4DF4"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18</w:t>
            </w:r>
            <w:r>
              <w:rPr>
                <w:color w:val="000000"/>
                <w:sz w:val="12"/>
                <w:szCs w:val="16"/>
                <w:lang w:val="es-CO" w:eastAsia="es-CO"/>
              </w:rPr>
              <w:t>.</w:t>
            </w:r>
            <w:r w:rsidRPr="00790D9C">
              <w:rPr>
                <w:color w:val="000000"/>
                <w:sz w:val="12"/>
                <w:szCs w:val="16"/>
                <w:lang w:val="es-CO" w:eastAsia="es-CO"/>
              </w:rPr>
              <w:t>486</w:t>
            </w:r>
            <w:r>
              <w:rPr>
                <w:color w:val="000000"/>
                <w:sz w:val="12"/>
                <w:szCs w:val="16"/>
                <w:lang w:val="es-CO" w:eastAsia="es-CO"/>
              </w:rPr>
              <w:t>.</w:t>
            </w:r>
            <w:r w:rsidRPr="00790D9C">
              <w:rPr>
                <w:color w:val="000000"/>
                <w:sz w:val="12"/>
                <w:szCs w:val="16"/>
                <w:lang w:val="es-CO" w:eastAsia="es-CO"/>
              </w:rPr>
              <w:t>372</w:t>
            </w:r>
          </w:p>
        </w:tc>
        <w:tc>
          <w:tcPr>
            <w:tcW w:w="1552" w:type="dxa"/>
            <w:tcBorders>
              <w:top w:val="nil"/>
              <w:left w:val="nil"/>
              <w:bottom w:val="single" w:sz="4" w:space="0" w:color="auto"/>
              <w:right w:val="single" w:sz="4" w:space="0" w:color="auto"/>
            </w:tcBorders>
            <w:shd w:val="clear" w:color="auto" w:fill="auto"/>
            <w:noWrap/>
            <w:vAlign w:val="bottom"/>
            <w:hideMark/>
          </w:tcPr>
          <w:p w14:paraId="45E75B1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79E45D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6DEA23B1"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7</w:t>
            </w:r>
            <w:r>
              <w:rPr>
                <w:color w:val="000000"/>
                <w:sz w:val="12"/>
                <w:szCs w:val="16"/>
                <w:lang w:val="es-CO" w:eastAsia="es-CO"/>
              </w:rPr>
              <w:t>,</w:t>
            </w:r>
            <w:r w:rsidRPr="00790D9C">
              <w:rPr>
                <w:color w:val="000000"/>
                <w:sz w:val="12"/>
                <w:szCs w:val="16"/>
                <w:lang w:val="es-CO" w:eastAsia="es-CO"/>
              </w:rPr>
              <w:t>16</w:t>
            </w:r>
          </w:p>
        </w:tc>
        <w:tc>
          <w:tcPr>
            <w:tcW w:w="1095" w:type="dxa"/>
            <w:tcBorders>
              <w:top w:val="nil"/>
              <w:left w:val="nil"/>
              <w:bottom w:val="single" w:sz="4" w:space="0" w:color="auto"/>
              <w:right w:val="single" w:sz="4" w:space="0" w:color="auto"/>
            </w:tcBorders>
            <w:shd w:val="clear" w:color="auto" w:fill="auto"/>
            <w:noWrap/>
            <w:vAlign w:val="bottom"/>
            <w:hideMark/>
          </w:tcPr>
          <w:p w14:paraId="4A682E4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132</w:t>
            </w:r>
            <w:r>
              <w:rPr>
                <w:color w:val="000000"/>
                <w:sz w:val="12"/>
                <w:szCs w:val="16"/>
                <w:lang w:val="es-CO" w:eastAsia="es-CO"/>
              </w:rPr>
              <w:t>.</w:t>
            </w:r>
            <w:r w:rsidRPr="00790D9C">
              <w:rPr>
                <w:color w:val="000000"/>
                <w:sz w:val="12"/>
                <w:szCs w:val="16"/>
                <w:lang w:val="es-CO" w:eastAsia="es-CO"/>
              </w:rPr>
              <w:t>271</w:t>
            </w:r>
            <w:r>
              <w:rPr>
                <w:color w:val="000000"/>
                <w:sz w:val="12"/>
                <w:szCs w:val="16"/>
                <w:lang w:val="es-CO" w:eastAsia="es-CO"/>
              </w:rPr>
              <w:t>.</w:t>
            </w:r>
            <w:r w:rsidRPr="00790D9C">
              <w:rPr>
                <w:color w:val="000000"/>
                <w:sz w:val="12"/>
                <w:szCs w:val="16"/>
                <w:lang w:val="es-CO" w:eastAsia="es-CO"/>
              </w:rPr>
              <w:t>843</w:t>
            </w:r>
          </w:p>
        </w:tc>
      </w:tr>
      <w:tr w:rsidR="00BA56AD" w:rsidRPr="00790D9C" w14:paraId="003F03E9"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D7E1C5B"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A129DF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1742A41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TPE3/4ZV</w:t>
            </w:r>
          </w:p>
        </w:tc>
        <w:tc>
          <w:tcPr>
            <w:tcW w:w="1143" w:type="dxa"/>
            <w:tcBorders>
              <w:top w:val="nil"/>
              <w:left w:val="nil"/>
              <w:bottom w:val="single" w:sz="4" w:space="0" w:color="auto"/>
              <w:right w:val="single" w:sz="4" w:space="0" w:color="auto"/>
            </w:tcBorders>
            <w:shd w:val="clear" w:color="auto" w:fill="auto"/>
            <w:noWrap/>
            <w:vAlign w:val="bottom"/>
            <w:hideMark/>
          </w:tcPr>
          <w:p w14:paraId="729E936C"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19</w:t>
            </w:r>
            <w:r>
              <w:rPr>
                <w:color w:val="000000"/>
                <w:sz w:val="12"/>
                <w:szCs w:val="16"/>
                <w:lang w:val="es-CO" w:eastAsia="es-CO"/>
              </w:rPr>
              <w:t>.</w:t>
            </w:r>
            <w:r w:rsidRPr="00790D9C">
              <w:rPr>
                <w:color w:val="000000"/>
                <w:sz w:val="12"/>
                <w:szCs w:val="16"/>
                <w:lang w:val="es-CO" w:eastAsia="es-CO"/>
              </w:rPr>
              <w:t>417</w:t>
            </w:r>
            <w:r>
              <w:rPr>
                <w:color w:val="000000"/>
                <w:sz w:val="12"/>
                <w:szCs w:val="16"/>
                <w:lang w:val="es-CO" w:eastAsia="es-CO"/>
              </w:rPr>
              <w:t>.</w:t>
            </w:r>
            <w:r w:rsidRPr="00790D9C">
              <w:rPr>
                <w:color w:val="000000"/>
                <w:sz w:val="12"/>
                <w:szCs w:val="16"/>
                <w:lang w:val="es-CO" w:eastAsia="es-CO"/>
              </w:rPr>
              <w:t>002</w:t>
            </w:r>
          </w:p>
        </w:tc>
        <w:tc>
          <w:tcPr>
            <w:tcW w:w="1552" w:type="dxa"/>
            <w:tcBorders>
              <w:top w:val="nil"/>
              <w:left w:val="nil"/>
              <w:bottom w:val="single" w:sz="4" w:space="0" w:color="auto"/>
              <w:right w:val="single" w:sz="4" w:space="0" w:color="auto"/>
            </w:tcBorders>
            <w:shd w:val="clear" w:color="auto" w:fill="auto"/>
            <w:noWrap/>
            <w:vAlign w:val="bottom"/>
            <w:hideMark/>
          </w:tcPr>
          <w:p w14:paraId="488A7A7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0389E8C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5CB2D15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12</w:t>
            </w:r>
            <w:r>
              <w:rPr>
                <w:color w:val="000000"/>
                <w:sz w:val="12"/>
                <w:szCs w:val="16"/>
                <w:lang w:val="es-CO" w:eastAsia="es-CO"/>
              </w:rPr>
              <w:t>,</w:t>
            </w:r>
            <w:r w:rsidRPr="00790D9C">
              <w:rPr>
                <w:color w:val="000000"/>
                <w:sz w:val="12"/>
                <w:szCs w:val="16"/>
                <w:lang w:val="es-CO" w:eastAsia="es-CO"/>
              </w:rPr>
              <w:t>08</w:t>
            </w:r>
          </w:p>
        </w:tc>
        <w:tc>
          <w:tcPr>
            <w:tcW w:w="1095" w:type="dxa"/>
            <w:tcBorders>
              <w:top w:val="nil"/>
              <w:left w:val="nil"/>
              <w:bottom w:val="single" w:sz="4" w:space="0" w:color="auto"/>
              <w:right w:val="single" w:sz="4" w:space="0" w:color="auto"/>
            </w:tcBorders>
            <w:shd w:val="clear" w:color="auto" w:fill="auto"/>
            <w:noWrap/>
            <w:vAlign w:val="bottom"/>
            <w:hideMark/>
          </w:tcPr>
          <w:p w14:paraId="5315A3F0"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234</w:t>
            </w:r>
            <w:r>
              <w:rPr>
                <w:color w:val="000000"/>
                <w:sz w:val="12"/>
                <w:szCs w:val="16"/>
                <w:lang w:val="es-CO" w:eastAsia="es-CO"/>
              </w:rPr>
              <w:t>.</w:t>
            </w:r>
            <w:r w:rsidRPr="00790D9C">
              <w:rPr>
                <w:color w:val="000000"/>
                <w:sz w:val="12"/>
                <w:szCs w:val="16"/>
                <w:lang w:val="es-CO" w:eastAsia="es-CO"/>
              </w:rPr>
              <w:t>528</w:t>
            </w:r>
            <w:r>
              <w:rPr>
                <w:color w:val="000000"/>
                <w:sz w:val="12"/>
                <w:szCs w:val="16"/>
                <w:lang w:val="es-CO" w:eastAsia="es-CO"/>
              </w:rPr>
              <w:t>.</w:t>
            </w:r>
            <w:r w:rsidRPr="00790D9C">
              <w:rPr>
                <w:color w:val="000000"/>
                <w:sz w:val="12"/>
                <w:szCs w:val="16"/>
                <w:lang w:val="es-CO" w:eastAsia="es-CO"/>
              </w:rPr>
              <w:t>254</w:t>
            </w:r>
          </w:p>
        </w:tc>
      </w:tr>
      <w:tr w:rsidR="00BA56AD" w:rsidRPr="00790D9C" w14:paraId="3F6AE979"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C85AD55"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7F57456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520DAEF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TPE2ZV</w:t>
            </w:r>
          </w:p>
        </w:tc>
        <w:tc>
          <w:tcPr>
            <w:tcW w:w="1143" w:type="dxa"/>
            <w:tcBorders>
              <w:top w:val="nil"/>
              <w:left w:val="nil"/>
              <w:bottom w:val="single" w:sz="4" w:space="0" w:color="auto"/>
              <w:right w:val="single" w:sz="4" w:space="0" w:color="auto"/>
            </w:tcBorders>
            <w:shd w:val="clear" w:color="auto" w:fill="auto"/>
            <w:noWrap/>
            <w:vAlign w:val="bottom"/>
            <w:hideMark/>
          </w:tcPr>
          <w:p w14:paraId="71FDF359"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33</w:t>
            </w:r>
            <w:r>
              <w:rPr>
                <w:color w:val="000000"/>
                <w:sz w:val="12"/>
                <w:szCs w:val="16"/>
                <w:lang w:val="es-CO" w:eastAsia="es-CO"/>
              </w:rPr>
              <w:t>.</w:t>
            </w:r>
            <w:r w:rsidRPr="00790D9C">
              <w:rPr>
                <w:color w:val="000000"/>
                <w:sz w:val="12"/>
                <w:szCs w:val="16"/>
                <w:lang w:val="es-CO" w:eastAsia="es-CO"/>
              </w:rPr>
              <w:t>719</w:t>
            </w:r>
            <w:r>
              <w:rPr>
                <w:color w:val="000000"/>
                <w:sz w:val="12"/>
                <w:szCs w:val="16"/>
                <w:lang w:val="es-CO" w:eastAsia="es-CO"/>
              </w:rPr>
              <w:t>.</w:t>
            </w:r>
            <w:r w:rsidRPr="00790D9C">
              <w:rPr>
                <w:color w:val="000000"/>
                <w:sz w:val="12"/>
                <w:szCs w:val="16"/>
                <w:lang w:val="es-CO" w:eastAsia="es-CO"/>
              </w:rPr>
              <w:t>985</w:t>
            </w:r>
          </w:p>
        </w:tc>
        <w:tc>
          <w:tcPr>
            <w:tcW w:w="1552" w:type="dxa"/>
            <w:tcBorders>
              <w:top w:val="nil"/>
              <w:left w:val="nil"/>
              <w:bottom w:val="single" w:sz="4" w:space="0" w:color="auto"/>
              <w:right w:val="single" w:sz="4" w:space="0" w:color="auto"/>
            </w:tcBorders>
            <w:shd w:val="clear" w:color="auto" w:fill="auto"/>
            <w:noWrap/>
            <w:vAlign w:val="bottom"/>
            <w:hideMark/>
          </w:tcPr>
          <w:p w14:paraId="366D915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246CD786"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7E94F642"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60</w:t>
            </w:r>
          </w:p>
        </w:tc>
        <w:tc>
          <w:tcPr>
            <w:tcW w:w="1095" w:type="dxa"/>
            <w:tcBorders>
              <w:top w:val="nil"/>
              <w:left w:val="nil"/>
              <w:bottom w:val="single" w:sz="4" w:space="0" w:color="auto"/>
              <w:right w:val="single" w:sz="4" w:space="0" w:color="auto"/>
            </w:tcBorders>
            <w:shd w:val="clear" w:color="auto" w:fill="auto"/>
            <w:noWrap/>
            <w:vAlign w:val="bottom"/>
            <w:hideMark/>
          </w:tcPr>
          <w:p w14:paraId="33B8463A"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87</w:t>
            </w:r>
            <w:r>
              <w:rPr>
                <w:color w:val="000000"/>
                <w:sz w:val="12"/>
                <w:szCs w:val="16"/>
                <w:lang w:val="es-CO" w:eastAsia="es-CO"/>
              </w:rPr>
              <w:t>.</w:t>
            </w:r>
            <w:r w:rsidRPr="00790D9C">
              <w:rPr>
                <w:color w:val="000000"/>
                <w:sz w:val="12"/>
                <w:szCs w:val="16"/>
                <w:lang w:val="es-CO" w:eastAsia="es-CO"/>
              </w:rPr>
              <w:t>759</w:t>
            </w:r>
            <w:r>
              <w:rPr>
                <w:color w:val="000000"/>
                <w:sz w:val="12"/>
                <w:szCs w:val="16"/>
                <w:lang w:val="es-CO" w:eastAsia="es-CO"/>
              </w:rPr>
              <w:t>.</w:t>
            </w:r>
            <w:r w:rsidRPr="00790D9C">
              <w:rPr>
                <w:color w:val="000000"/>
                <w:sz w:val="12"/>
                <w:szCs w:val="16"/>
                <w:lang w:val="es-CO" w:eastAsia="es-CO"/>
              </w:rPr>
              <w:t>633</w:t>
            </w:r>
          </w:p>
        </w:tc>
      </w:tr>
      <w:tr w:rsidR="00BA56AD" w:rsidRPr="00790D9C" w14:paraId="1008AC97"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38BAEF6"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20C3CB5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Estación GNC 500 m3/hora</w:t>
            </w:r>
          </w:p>
        </w:tc>
        <w:tc>
          <w:tcPr>
            <w:tcW w:w="862" w:type="dxa"/>
            <w:tcBorders>
              <w:top w:val="nil"/>
              <w:left w:val="nil"/>
              <w:bottom w:val="single" w:sz="4" w:space="0" w:color="auto"/>
              <w:right w:val="single" w:sz="4" w:space="0" w:color="auto"/>
            </w:tcBorders>
            <w:shd w:val="clear" w:color="auto" w:fill="auto"/>
            <w:noWrap/>
            <w:vAlign w:val="bottom"/>
            <w:hideMark/>
          </w:tcPr>
          <w:p w14:paraId="125C966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RM500</w:t>
            </w:r>
          </w:p>
        </w:tc>
        <w:tc>
          <w:tcPr>
            <w:tcW w:w="1143" w:type="dxa"/>
            <w:tcBorders>
              <w:top w:val="nil"/>
              <w:left w:val="nil"/>
              <w:bottom w:val="single" w:sz="4" w:space="0" w:color="auto"/>
              <w:right w:val="single" w:sz="4" w:space="0" w:color="auto"/>
            </w:tcBorders>
            <w:shd w:val="clear" w:color="auto" w:fill="auto"/>
            <w:noWrap/>
            <w:vAlign w:val="bottom"/>
            <w:hideMark/>
          </w:tcPr>
          <w:p w14:paraId="0501F5E9"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402</w:t>
            </w:r>
            <w:r>
              <w:rPr>
                <w:color w:val="000000"/>
                <w:sz w:val="12"/>
                <w:szCs w:val="16"/>
                <w:lang w:val="es-CO" w:eastAsia="es-CO"/>
              </w:rPr>
              <w:t>.</w:t>
            </w:r>
            <w:r w:rsidRPr="00790D9C">
              <w:rPr>
                <w:color w:val="000000"/>
                <w:sz w:val="12"/>
                <w:szCs w:val="16"/>
                <w:lang w:val="es-CO" w:eastAsia="es-CO"/>
              </w:rPr>
              <w:t>161</w:t>
            </w:r>
            <w:r>
              <w:rPr>
                <w:color w:val="000000"/>
                <w:sz w:val="12"/>
                <w:szCs w:val="16"/>
                <w:lang w:val="es-CO" w:eastAsia="es-CO"/>
              </w:rPr>
              <w:t>.</w:t>
            </w:r>
            <w:r w:rsidRPr="00790D9C">
              <w:rPr>
                <w:color w:val="000000"/>
                <w:sz w:val="12"/>
                <w:szCs w:val="16"/>
                <w:lang w:val="es-CO" w:eastAsia="es-CO"/>
              </w:rPr>
              <w:t>331</w:t>
            </w:r>
          </w:p>
        </w:tc>
        <w:tc>
          <w:tcPr>
            <w:tcW w:w="1552" w:type="dxa"/>
            <w:tcBorders>
              <w:top w:val="nil"/>
              <w:left w:val="nil"/>
              <w:bottom w:val="single" w:sz="4" w:space="0" w:color="auto"/>
              <w:right w:val="single" w:sz="4" w:space="0" w:color="auto"/>
            </w:tcBorders>
            <w:shd w:val="clear" w:color="auto" w:fill="auto"/>
            <w:noWrap/>
            <w:vAlign w:val="bottom"/>
            <w:hideMark/>
          </w:tcPr>
          <w:p w14:paraId="3743A9F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39DD072F"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6F69595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3795FC9C"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402</w:t>
            </w:r>
            <w:r>
              <w:rPr>
                <w:color w:val="000000"/>
                <w:sz w:val="12"/>
                <w:szCs w:val="16"/>
                <w:lang w:val="es-CO" w:eastAsia="es-CO"/>
              </w:rPr>
              <w:t>.</w:t>
            </w:r>
            <w:r w:rsidRPr="00790D9C">
              <w:rPr>
                <w:color w:val="000000"/>
                <w:sz w:val="12"/>
                <w:szCs w:val="16"/>
                <w:lang w:val="es-CO" w:eastAsia="es-CO"/>
              </w:rPr>
              <w:t>161</w:t>
            </w:r>
            <w:r>
              <w:rPr>
                <w:color w:val="000000"/>
                <w:sz w:val="12"/>
                <w:szCs w:val="16"/>
                <w:lang w:val="es-CO" w:eastAsia="es-CO"/>
              </w:rPr>
              <w:t>.</w:t>
            </w:r>
            <w:r w:rsidRPr="00790D9C">
              <w:rPr>
                <w:color w:val="000000"/>
                <w:sz w:val="12"/>
                <w:szCs w:val="16"/>
                <w:lang w:val="es-CO" w:eastAsia="es-CO"/>
              </w:rPr>
              <w:t>331</w:t>
            </w:r>
          </w:p>
        </w:tc>
      </w:tr>
      <w:tr w:rsidR="00BA56AD" w:rsidRPr="00790D9C" w14:paraId="445A180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7D1CE02"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06D9029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Paso Especial 6 Metros</w:t>
            </w:r>
          </w:p>
        </w:tc>
        <w:tc>
          <w:tcPr>
            <w:tcW w:w="862" w:type="dxa"/>
            <w:tcBorders>
              <w:top w:val="nil"/>
              <w:left w:val="nil"/>
              <w:bottom w:val="single" w:sz="4" w:space="0" w:color="auto"/>
              <w:right w:val="single" w:sz="4" w:space="0" w:color="auto"/>
            </w:tcBorders>
            <w:shd w:val="clear" w:color="auto" w:fill="auto"/>
            <w:noWrap/>
            <w:vAlign w:val="bottom"/>
            <w:hideMark/>
          </w:tcPr>
          <w:p w14:paraId="4E440E0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TMP-1</w:t>
            </w:r>
          </w:p>
        </w:tc>
        <w:tc>
          <w:tcPr>
            <w:tcW w:w="1143" w:type="dxa"/>
            <w:tcBorders>
              <w:top w:val="nil"/>
              <w:left w:val="nil"/>
              <w:bottom w:val="single" w:sz="4" w:space="0" w:color="auto"/>
              <w:right w:val="single" w:sz="4" w:space="0" w:color="auto"/>
            </w:tcBorders>
            <w:shd w:val="clear" w:color="auto" w:fill="auto"/>
            <w:noWrap/>
            <w:vAlign w:val="bottom"/>
            <w:hideMark/>
          </w:tcPr>
          <w:p w14:paraId="23D9FEFA"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974</w:t>
            </w:r>
            <w:r>
              <w:rPr>
                <w:color w:val="000000"/>
                <w:sz w:val="12"/>
                <w:szCs w:val="16"/>
                <w:lang w:val="es-CO" w:eastAsia="es-CO"/>
              </w:rPr>
              <w:t>.</w:t>
            </w:r>
            <w:r w:rsidRPr="00790D9C">
              <w:rPr>
                <w:color w:val="000000"/>
                <w:sz w:val="12"/>
                <w:szCs w:val="16"/>
                <w:lang w:val="es-CO" w:eastAsia="es-CO"/>
              </w:rPr>
              <w:t>125</w:t>
            </w:r>
          </w:p>
        </w:tc>
        <w:tc>
          <w:tcPr>
            <w:tcW w:w="1552" w:type="dxa"/>
            <w:tcBorders>
              <w:top w:val="nil"/>
              <w:left w:val="nil"/>
              <w:bottom w:val="single" w:sz="4" w:space="0" w:color="auto"/>
              <w:right w:val="single" w:sz="4" w:space="0" w:color="auto"/>
            </w:tcBorders>
            <w:shd w:val="clear" w:color="auto" w:fill="auto"/>
            <w:noWrap/>
            <w:vAlign w:val="bottom"/>
            <w:hideMark/>
          </w:tcPr>
          <w:p w14:paraId="7D1782A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Especiales</w:t>
            </w:r>
          </w:p>
        </w:tc>
        <w:tc>
          <w:tcPr>
            <w:tcW w:w="1177" w:type="dxa"/>
            <w:tcBorders>
              <w:top w:val="nil"/>
              <w:left w:val="nil"/>
              <w:bottom w:val="single" w:sz="4" w:space="0" w:color="auto"/>
              <w:right w:val="single" w:sz="4" w:space="0" w:color="auto"/>
            </w:tcBorders>
            <w:shd w:val="clear" w:color="auto" w:fill="auto"/>
            <w:noWrap/>
            <w:vAlign w:val="bottom"/>
            <w:hideMark/>
          </w:tcPr>
          <w:p w14:paraId="09FC259A"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293B2BD6"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5E0D6EA2"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974</w:t>
            </w:r>
            <w:r>
              <w:rPr>
                <w:color w:val="000000"/>
                <w:sz w:val="12"/>
                <w:szCs w:val="16"/>
                <w:lang w:val="es-CO" w:eastAsia="es-CO"/>
              </w:rPr>
              <w:t>.</w:t>
            </w:r>
            <w:r w:rsidRPr="00790D9C">
              <w:rPr>
                <w:color w:val="000000"/>
                <w:sz w:val="12"/>
                <w:szCs w:val="16"/>
                <w:lang w:val="es-CO" w:eastAsia="es-CO"/>
              </w:rPr>
              <w:t>125</w:t>
            </w:r>
          </w:p>
        </w:tc>
      </w:tr>
      <w:tr w:rsidR="00BA56AD" w:rsidRPr="00790D9C" w14:paraId="7863E1A8"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F5913A5" w14:textId="77777777" w:rsidR="00BA56AD" w:rsidRPr="00790D9C" w:rsidRDefault="00BA56AD" w:rsidP="00FB5615">
            <w:pPr>
              <w:jc w:val="left"/>
              <w:rPr>
                <w:color w:val="000000"/>
                <w:sz w:val="12"/>
                <w:szCs w:val="16"/>
                <w:lang w:val="es-CO" w:eastAsia="es-CO"/>
              </w:rPr>
            </w:pPr>
            <w:r>
              <w:rPr>
                <w:color w:val="000000"/>
                <w:sz w:val="12"/>
                <w:szCs w:val="16"/>
                <w:lang w:val="es-CO" w:eastAsia="es-CO"/>
              </w:rPr>
              <w:t>Belén de los Andaquies</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27537CE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Paso Especial 14 Metros</w:t>
            </w:r>
          </w:p>
        </w:tc>
        <w:tc>
          <w:tcPr>
            <w:tcW w:w="862" w:type="dxa"/>
            <w:tcBorders>
              <w:top w:val="nil"/>
              <w:left w:val="nil"/>
              <w:bottom w:val="single" w:sz="4" w:space="0" w:color="auto"/>
              <w:right w:val="single" w:sz="4" w:space="0" w:color="auto"/>
            </w:tcBorders>
            <w:shd w:val="clear" w:color="auto" w:fill="auto"/>
            <w:noWrap/>
            <w:vAlign w:val="bottom"/>
            <w:hideMark/>
          </w:tcPr>
          <w:p w14:paraId="48EA98B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TMP-3</w:t>
            </w:r>
          </w:p>
        </w:tc>
        <w:tc>
          <w:tcPr>
            <w:tcW w:w="1143" w:type="dxa"/>
            <w:tcBorders>
              <w:top w:val="nil"/>
              <w:left w:val="nil"/>
              <w:bottom w:val="single" w:sz="4" w:space="0" w:color="auto"/>
              <w:right w:val="single" w:sz="4" w:space="0" w:color="auto"/>
            </w:tcBorders>
            <w:shd w:val="clear" w:color="auto" w:fill="auto"/>
            <w:noWrap/>
            <w:vAlign w:val="bottom"/>
            <w:hideMark/>
          </w:tcPr>
          <w:p w14:paraId="6AF130D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11</w:t>
            </w:r>
            <w:r>
              <w:rPr>
                <w:color w:val="000000"/>
                <w:sz w:val="12"/>
                <w:szCs w:val="16"/>
                <w:lang w:val="es-CO" w:eastAsia="es-CO"/>
              </w:rPr>
              <w:t>.</w:t>
            </w:r>
            <w:r w:rsidRPr="00790D9C">
              <w:rPr>
                <w:color w:val="000000"/>
                <w:sz w:val="12"/>
                <w:szCs w:val="16"/>
                <w:lang w:val="es-CO" w:eastAsia="es-CO"/>
              </w:rPr>
              <w:t>182</w:t>
            </w:r>
            <w:r>
              <w:rPr>
                <w:color w:val="000000"/>
                <w:sz w:val="12"/>
                <w:szCs w:val="16"/>
                <w:lang w:val="es-CO" w:eastAsia="es-CO"/>
              </w:rPr>
              <w:t>.</w:t>
            </w:r>
            <w:r w:rsidRPr="00790D9C">
              <w:rPr>
                <w:color w:val="000000"/>
                <w:sz w:val="12"/>
                <w:szCs w:val="16"/>
                <w:lang w:val="es-CO" w:eastAsia="es-CO"/>
              </w:rPr>
              <w:t>819</w:t>
            </w:r>
          </w:p>
        </w:tc>
        <w:tc>
          <w:tcPr>
            <w:tcW w:w="1552" w:type="dxa"/>
            <w:tcBorders>
              <w:top w:val="nil"/>
              <w:left w:val="nil"/>
              <w:bottom w:val="single" w:sz="4" w:space="0" w:color="auto"/>
              <w:right w:val="single" w:sz="4" w:space="0" w:color="auto"/>
            </w:tcBorders>
            <w:shd w:val="clear" w:color="auto" w:fill="auto"/>
            <w:noWrap/>
            <w:vAlign w:val="bottom"/>
            <w:hideMark/>
          </w:tcPr>
          <w:p w14:paraId="41EBA72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Especiales</w:t>
            </w:r>
          </w:p>
        </w:tc>
        <w:tc>
          <w:tcPr>
            <w:tcW w:w="1177" w:type="dxa"/>
            <w:tcBorders>
              <w:top w:val="nil"/>
              <w:left w:val="nil"/>
              <w:bottom w:val="single" w:sz="4" w:space="0" w:color="auto"/>
              <w:right w:val="single" w:sz="4" w:space="0" w:color="auto"/>
            </w:tcBorders>
            <w:shd w:val="clear" w:color="auto" w:fill="auto"/>
            <w:noWrap/>
            <w:vAlign w:val="bottom"/>
            <w:hideMark/>
          </w:tcPr>
          <w:p w14:paraId="08799251"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3AEED18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76E98A1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11</w:t>
            </w:r>
            <w:r>
              <w:rPr>
                <w:color w:val="000000"/>
                <w:sz w:val="12"/>
                <w:szCs w:val="16"/>
                <w:lang w:val="es-CO" w:eastAsia="es-CO"/>
              </w:rPr>
              <w:t>.</w:t>
            </w:r>
            <w:r w:rsidRPr="00790D9C">
              <w:rPr>
                <w:color w:val="000000"/>
                <w:sz w:val="12"/>
                <w:szCs w:val="16"/>
                <w:lang w:val="es-CO" w:eastAsia="es-CO"/>
              </w:rPr>
              <w:t>182</w:t>
            </w:r>
            <w:r>
              <w:rPr>
                <w:color w:val="000000"/>
                <w:sz w:val="12"/>
                <w:szCs w:val="16"/>
                <w:lang w:val="es-CO" w:eastAsia="es-CO"/>
              </w:rPr>
              <w:t>.</w:t>
            </w:r>
            <w:r w:rsidRPr="00790D9C">
              <w:rPr>
                <w:color w:val="000000"/>
                <w:sz w:val="12"/>
                <w:szCs w:val="16"/>
                <w:lang w:val="es-CO" w:eastAsia="es-CO"/>
              </w:rPr>
              <w:t>819</w:t>
            </w:r>
          </w:p>
        </w:tc>
      </w:tr>
      <w:tr w:rsidR="00BA56AD" w:rsidRPr="00790D9C" w14:paraId="28E4589F"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AD4DE8C"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436A65B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63CD1AE9"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TPE1/2AS</w:t>
            </w:r>
          </w:p>
        </w:tc>
        <w:tc>
          <w:tcPr>
            <w:tcW w:w="1143" w:type="dxa"/>
            <w:tcBorders>
              <w:top w:val="nil"/>
              <w:left w:val="nil"/>
              <w:bottom w:val="single" w:sz="4" w:space="0" w:color="auto"/>
              <w:right w:val="single" w:sz="4" w:space="0" w:color="auto"/>
            </w:tcBorders>
            <w:shd w:val="clear" w:color="auto" w:fill="auto"/>
            <w:noWrap/>
            <w:vAlign w:val="bottom"/>
            <w:hideMark/>
          </w:tcPr>
          <w:p w14:paraId="4E8E3908"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75</w:t>
            </w:r>
            <w:r>
              <w:rPr>
                <w:color w:val="000000"/>
                <w:sz w:val="12"/>
                <w:szCs w:val="16"/>
                <w:lang w:val="es-CO" w:eastAsia="es-CO"/>
              </w:rPr>
              <w:t>.</w:t>
            </w:r>
            <w:r w:rsidRPr="00790D9C">
              <w:rPr>
                <w:color w:val="000000"/>
                <w:sz w:val="12"/>
                <w:szCs w:val="16"/>
                <w:lang w:val="es-CO" w:eastAsia="es-CO"/>
              </w:rPr>
              <w:t>816</w:t>
            </w:r>
            <w:r>
              <w:rPr>
                <w:color w:val="000000"/>
                <w:sz w:val="12"/>
                <w:szCs w:val="16"/>
                <w:lang w:val="es-CO" w:eastAsia="es-CO"/>
              </w:rPr>
              <w:t>.</w:t>
            </w:r>
            <w:r w:rsidRPr="00790D9C">
              <w:rPr>
                <w:color w:val="000000"/>
                <w:sz w:val="12"/>
                <w:szCs w:val="16"/>
                <w:lang w:val="es-CO" w:eastAsia="es-CO"/>
              </w:rPr>
              <w:t>559</w:t>
            </w:r>
          </w:p>
        </w:tc>
        <w:tc>
          <w:tcPr>
            <w:tcW w:w="1552" w:type="dxa"/>
            <w:tcBorders>
              <w:top w:val="nil"/>
              <w:left w:val="nil"/>
              <w:bottom w:val="single" w:sz="4" w:space="0" w:color="auto"/>
              <w:right w:val="single" w:sz="4" w:space="0" w:color="auto"/>
            </w:tcBorders>
            <w:shd w:val="clear" w:color="auto" w:fill="auto"/>
            <w:noWrap/>
            <w:vAlign w:val="bottom"/>
            <w:hideMark/>
          </w:tcPr>
          <w:p w14:paraId="412EC05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3994F084"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21DBD2E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08</w:t>
            </w:r>
          </w:p>
        </w:tc>
        <w:tc>
          <w:tcPr>
            <w:tcW w:w="1095" w:type="dxa"/>
            <w:tcBorders>
              <w:top w:val="nil"/>
              <w:left w:val="nil"/>
              <w:bottom w:val="single" w:sz="4" w:space="0" w:color="auto"/>
              <w:right w:val="single" w:sz="4" w:space="0" w:color="auto"/>
            </w:tcBorders>
            <w:shd w:val="clear" w:color="auto" w:fill="auto"/>
            <w:noWrap/>
            <w:vAlign w:val="bottom"/>
            <w:hideMark/>
          </w:tcPr>
          <w:p w14:paraId="0937487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6</w:t>
            </w:r>
            <w:r>
              <w:rPr>
                <w:color w:val="000000"/>
                <w:sz w:val="12"/>
                <w:szCs w:val="16"/>
                <w:lang w:val="es-CO" w:eastAsia="es-CO"/>
              </w:rPr>
              <w:t>.</w:t>
            </w:r>
            <w:r w:rsidRPr="00790D9C">
              <w:rPr>
                <w:color w:val="000000"/>
                <w:sz w:val="12"/>
                <w:szCs w:val="16"/>
                <w:lang w:val="es-CO" w:eastAsia="es-CO"/>
              </w:rPr>
              <w:t>330</w:t>
            </w:r>
            <w:r>
              <w:rPr>
                <w:color w:val="000000"/>
                <w:sz w:val="12"/>
                <w:szCs w:val="16"/>
                <w:lang w:val="es-CO" w:eastAsia="es-CO"/>
              </w:rPr>
              <w:t>.</w:t>
            </w:r>
            <w:r w:rsidRPr="00790D9C">
              <w:rPr>
                <w:color w:val="000000"/>
                <w:sz w:val="12"/>
                <w:szCs w:val="16"/>
                <w:lang w:val="es-CO" w:eastAsia="es-CO"/>
              </w:rPr>
              <w:t>683</w:t>
            </w:r>
          </w:p>
        </w:tc>
      </w:tr>
      <w:tr w:rsidR="00BA56AD" w:rsidRPr="00790D9C" w14:paraId="29D70A74"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B289F9B" w14:textId="77777777" w:rsidR="00BA56AD" w:rsidRPr="00790D9C" w:rsidRDefault="00BA56AD" w:rsidP="00FB5615">
            <w:pPr>
              <w:jc w:val="left"/>
              <w:rPr>
                <w:color w:val="000000"/>
                <w:sz w:val="12"/>
                <w:szCs w:val="16"/>
                <w:lang w:val="es-CO" w:eastAsia="es-CO"/>
              </w:rPr>
            </w:pPr>
            <w:r>
              <w:rPr>
                <w:color w:val="000000"/>
                <w:sz w:val="12"/>
                <w:szCs w:val="16"/>
                <w:lang w:val="es-CO" w:eastAsia="es-CO"/>
              </w:rPr>
              <w:lastRenderedPageBreak/>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407FE0F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04E62D8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TPE3/4AS</w:t>
            </w:r>
          </w:p>
        </w:tc>
        <w:tc>
          <w:tcPr>
            <w:tcW w:w="1143" w:type="dxa"/>
            <w:tcBorders>
              <w:top w:val="nil"/>
              <w:left w:val="nil"/>
              <w:bottom w:val="single" w:sz="4" w:space="0" w:color="auto"/>
              <w:right w:val="single" w:sz="4" w:space="0" w:color="auto"/>
            </w:tcBorders>
            <w:shd w:val="clear" w:color="auto" w:fill="auto"/>
            <w:noWrap/>
            <w:vAlign w:val="bottom"/>
            <w:hideMark/>
          </w:tcPr>
          <w:p w14:paraId="0D6DB764"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76</w:t>
            </w:r>
            <w:r>
              <w:rPr>
                <w:color w:val="000000"/>
                <w:sz w:val="12"/>
                <w:szCs w:val="16"/>
                <w:lang w:val="es-CO" w:eastAsia="es-CO"/>
              </w:rPr>
              <w:t>.</w:t>
            </w:r>
            <w:r w:rsidRPr="00790D9C">
              <w:rPr>
                <w:color w:val="000000"/>
                <w:sz w:val="12"/>
                <w:szCs w:val="16"/>
                <w:lang w:val="es-CO" w:eastAsia="es-CO"/>
              </w:rPr>
              <w:t>715</w:t>
            </w:r>
            <w:r>
              <w:rPr>
                <w:color w:val="000000"/>
                <w:sz w:val="12"/>
                <w:szCs w:val="16"/>
                <w:lang w:val="es-CO" w:eastAsia="es-CO"/>
              </w:rPr>
              <w:t>.</w:t>
            </w:r>
            <w:r w:rsidRPr="00790D9C">
              <w:rPr>
                <w:color w:val="000000"/>
                <w:sz w:val="12"/>
                <w:szCs w:val="16"/>
                <w:lang w:val="es-CO" w:eastAsia="es-CO"/>
              </w:rPr>
              <w:t>959</w:t>
            </w:r>
          </w:p>
        </w:tc>
        <w:tc>
          <w:tcPr>
            <w:tcW w:w="1552" w:type="dxa"/>
            <w:tcBorders>
              <w:top w:val="nil"/>
              <w:left w:val="nil"/>
              <w:bottom w:val="single" w:sz="4" w:space="0" w:color="auto"/>
              <w:right w:val="single" w:sz="4" w:space="0" w:color="auto"/>
            </w:tcBorders>
            <w:shd w:val="clear" w:color="auto" w:fill="auto"/>
            <w:noWrap/>
            <w:vAlign w:val="bottom"/>
            <w:hideMark/>
          </w:tcPr>
          <w:p w14:paraId="452129E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2451741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63DE47E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46</w:t>
            </w:r>
          </w:p>
        </w:tc>
        <w:tc>
          <w:tcPr>
            <w:tcW w:w="1095" w:type="dxa"/>
            <w:tcBorders>
              <w:top w:val="nil"/>
              <w:left w:val="nil"/>
              <w:bottom w:val="single" w:sz="4" w:space="0" w:color="auto"/>
              <w:right w:val="single" w:sz="4" w:space="0" w:color="auto"/>
            </w:tcBorders>
            <w:shd w:val="clear" w:color="auto" w:fill="auto"/>
            <w:noWrap/>
            <w:vAlign w:val="bottom"/>
            <w:hideMark/>
          </w:tcPr>
          <w:p w14:paraId="617A3F30"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35</w:t>
            </w:r>
            <w:r>
              <w:rPr>
                <w:color w:val="000000"/>
                <w:sz w:val="12"/>
                <w:szCs w:val="16"/>
                <w:lang w:val="es-CO" w:eastAsia="es-CO"/>
              </w:rPr>
              <w:t>.</w:t>
            </w:r>
            <w:r w:rsidRPr="00790D9C">
              <w:rPr>
                <w:color w:val="000000"/>
                <w:sz w:val="12"/>
                <w:szCs w:val="16"/>
                <w:lang w:val="es-CO" w:eastAsia="es-CO"/>
              </w:rPr>
              <w:t>174</w:t>
            </w:r>
            <w:r>
              <w:rPr>
                <w:color w:val="000000"/>
                <w:sz w:val="12"/>
                <w:szCs w:val="16"/>
                <w:lang w:val="es-CO" w:eastAsia="es-CO"/>
              </w:rPr>
              <w:t>.</w:t>
            </w:r>
            <w:r w:rsidRPr="00790D9C">
              <w:rPr>
                <w:color w:val="000000"/>
                <w:sz w:val="12"/>
                <w:szCs w:val="16"/>
                <w:lang w:val="es-CO" w:eastAsia="es-CO"/>
              </w:rPr>
              <w:t>267</w:t>
            </w:r>
          </w:p>
        </w:tc>
      </w:tr>
      <w:tr w:rsidR="00BA56AD" w:rsidRPr="00790D9C" w14:paraId="25AC281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9B8BAD7"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7EE4948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2222273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TPE2AS</w:t>
            </w:r>
          </w:p>
        </w:tc>
        <w:tc>
          <w:tcPr>
            <w:tcW w:w="1143" w:type="dxa"/>
            <w:tcBorders>
              <w:top w:val="nil"/>
              <w:left w:val="nil"/>
              <w:bottom w:val="single" w:sz="4" w:space="0" w:color="auto"/>
              <w:right w:val="single" w:sz="4" w:space="0" w:color="auto"/>
            </w:tcBorders>
            <w:shd w:val="clear" w:color="auto" w:fill="auto"/>
            <w:noWrap/>
            <w:vAlign w:val="bottom"/>
            <w:hideMark/>
          </w:tcPr>
          <w:p w14:paraId="1347BA68"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87</w:t>
            </w:r>
            <w:r>
              <w:rPr>
                <w:color w:val="000000"/>
                <w:sz w:val="12"/>
                <w:szCs w:val="16"/>
                <w:lang w:val="es-CO" w:eastAsia="es-CO"/>
              </w:rPr>
              <w:t>.</w:t>
            </w:r>
            <w:r w:rsidRPr="00790D9C">
              <w:rPr>
                <w:color w:val="000000"/>
                <w:sz w:val="12"/>
                <w:szCs w:val="16"/>
                <w:lang w:val="es-CO" w:eastAsia="es-CO"/>
              </w:rPr>
              <w:t>082</w:t>
            </w:r>
            <w:r>
              <w:rPr>
                <w:color w:val="000000"/>
                <w:sz w:val="12"/>
                <w:szCs w:val="16"/>
                <w:lang w:val="es-CO" w:eastAsia="es-CO"/>
              </w:rPr>
              <w:t>.</w:t>
            </w:r>
            <w:r w:rsidRPr="00790D9C">
              <w:rPr>
                <w:color w:val="000000"/>
                <w:sz w:val="12"/>
                <w:szCs w:val="16"/>
                <w:lang w:val="es-CO" w:eastAsia="es-CO"/>
              </w:rPr>
              <w:t>705</w:t>
            </w:r>
          </w:p>
        </w:tc>
        <w:tc>
          <w:tcPr>
            <w:tcW w:w="1552" w:type="dxa"/>
            <w:tcBorders>
              <w:top w:val="nil"/>
              <w:left w:val="nil"/>
              <w:bottom w:val="single" w:sz="4" w:space="0" w:color="auto"/>
              <w:right w:val="single" w:sz="4" w:space="0" w:color="auto"/>
            </w:tcBorders>
            <w:shd w:val="clear" w:color="auto" w:fill="auto"/>
            <w:noWrap/>
            <w:vAlign w:val="bottom"/>
            <w:hideMark/>
          </w:tcPr>
          <w:p w14:paraId="41C6F58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08C7374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5D9F9D51"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30</w:t>
            </w:r>
          </w:p>
        </w:tc>
        <w:tc>
          <w:tcPr>
            <w:tcW w:w="1095" w:type="dxa"/>
            <w:tcBorders>
              <w:top w:val="nil"/>
              <w:left w:val="nil"/>
              <w:bottom w:val="single" w:sz="4" w:space="0" w:color="auto"/>
              <w:right w:val="single" w:sz="4" w:space="0" w:color="auto"/>
            </w:tcBorders>
            <w:shd w:val="clear" w:color="auto" w:fill="auto"/>
            <w:noWrap/>
            <w:vAlign w:val="bottom"/>
            <w:hideMark/>
          </w:tcPr>
          <w:p w14:paraId="4F630B0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26</w:t>
            </w:r>
            <w:r>
              <w:rPr>
                <w:color w:val="000000"/>
                <w:sz w:val="12"/>
                <w:szCs w:val="16"/>
                <w:lang w:val="es-CO" w:eastAsia="es-CO"/>
              </w:rPr>
              <w:t>.</w:t>
            </w:r>
            <w:r w:rsidRPr="00790D9C">
              <w:rPr>
                <w:color w:val="000000"/>
                <w:sz w:val="12"/>
                <w:szCs w:val="16"/>
                <w:lang w:val="es-CO" w:eastAsia="es-CO"/>
              </w:rPr>
              <w:t>255</w:t>
            </w:r>
            <w:r>
              <w:rPr>
                <w:color w:val="000000"/>
                <w:sz w:val="12"/>
                <w:szCs w:val="16"/>
                <w:lang w:val="es-CO" w:eastAsia="es-CO"/>
              </w:rPr>
              <w:t>.</w:t>
            </w:r>
            <w:r w:rsidRPr="00790D9C">
              <w:rPr>
                <w:color w:val="000000"/>
                <w:sz w:val="12"/>
                <w:szCs w:val="16"/>
                <w:lang w:val="es-CO" w:eastAsia="es-CO"/>
              </w:rPr>
              <w:t>436</w:t>
            </w:r>
          </w:p>
        </w:tc>
      </w:tr>
      <w:tr w:rsidR="00BA56AD" w:rsidRPr="00790D9C" w14:paraId="54CFEC1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88B2544"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6D2187E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3A679FD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TPE1/2CO</w:t>
            </w:r>
          </w:p>
        </w:tc>
        <w:tc>
          <w:tcPr>
            <w:tcW w:w="1143" w:type="dxa"/>
            <w:tcBorders>
              <w:top w:val="nil"/>
              <w:left w:val="nil"/>
              <w:bottom w:val="single" w:sz="4" w:space="0" w:color="auto"/>
              <w:right w:val="single" w:sz="4" w:space="0" w:color="auto"/>
            </w:tcBorders>
            <w:shd w:val="clear" w:color="auto" w:fill="auto"/>
            <w:noWrap/>
            <w:vAlign w:val="bottom"/>
            <w:hideMark/>
          </w:tcPr>
          <w:p w14:paraId="346B6C0C"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74</w:t>
            </w:r>
            <w:r>
              <w:rPr>
                <w:color w:val="000000"/>
                <w:sz w:val="12"/>
                <w:szCs w:val="16"/>
                <w:lang w:val="es-CO" w:eastAsia="es-CO"/>
              </w:rPr>
              <w:t>.</w:t>
            </w:r>
            <w:r w:rsidRPr="00790D9C">
              <w:rPr>
                <w:color w:val="000000"/>
                <w:sz w:val="12"/>
                <w:szCs w:val="16"/>
                <w:lang w:val="es-CO" w:eastAsia="es-CO"/>
              </w:rPr>
              <w:t>429</w:t>
            </w:r>
            <w:r>
              <w:rPr>
                <w:color w:val="000000"/>
                <w:sz w:val="12"/>
                <w:szCs w:val="16"/>
                <w:lang w:val="es-CO" w:eastAsia="es-CO"/>
              </w:rPr>
              <w:t>.</w:t>
            </w:r>
            <w:r w:rsidRPr="00790D9C">
              <w:rPr>
                <w:color w:val="000000"/>
                <w:sz w:val="12"/>
                <w:szCs w:val="16"/>
                <w:lang w:val="es-CO" w:eastAsia="es-CO"/>
              </w:rPr>
              <w:t>578</w:t>
            </w:r>
          </w:p>
        </w:tc>
        <w:tc>
          <w:tcPr>
            <w:tcW w:w="1552" w:type="dxa"/>
            <w:tcBorders>
              <w:top w:val="nil"/>
              <w:left w:val="nil"/>
              <w:bottom w:val="single" w:sz="4" w:space="0" w:color="auto"/>
              <w:right w:val="single" w:sz="4" w:space="0" w:color="auto"/>
            </w:tcBorders>
            <w:shd w:val="clear" w:color="auto" w:fill="auto"/>
            <w:noWrap/>
            <w:vAlign w:val="bottom"/>
            <w:hideMark/>
          </w:tcPr>
          <w:p w14:paraId="181CCEA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243051F5"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6CC4D874"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05</w:t>
            </w:r>
          </w:p>
        </w:tc>
        <w:tc>
          <w:tcPr>
            <w:tcW w:w="1095" w:type="dxa"/>
            <w:tcBorders>
              <w:top w:val="nil"/>
              <w:left w:val="nil"/>
              <w:bottom w:val="single" w:sz="4" w:space="0" w:color="auto"/>
              <w:right w:val="single" w:sz="4" w:space="0" w:color="auto"/>
            </w:tcBorders>
            <w:shd w:val="clear" w:color="auto" w:fill="auto"/>
            <w:noWrap/>
            <w:vAlign w:val="bottom"/>
            <w:hideMark/>
          </w:tcPr>
          <w:p w14:paraId="56B0B9AC"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w:t>
            </w:r>
            <w:r>
              <w:rPr>
                <w:color w:val="000000"/>
                <w:sz w:val="12"/>
                <w:szCs w:val="16"/>
                <w:lang w:val="es-CO" w:eastAsia="es-CO"/>
              </w:rPr>
              <w:t>.</w:t>
            </w:r>
            <w:r w:rsidRPr="00790D9C">
              <w:rPr>
                <w:color w:val="000000"/>
                <w:sz w:val="12"/>
                <w:szCs w:val="16"/>
                <w:lang w:val="es-CO" w:eastAsia="es-CO"/>
              </w:rPr>
              <w:t>498</w:t>
            </w:r>
            <w:r>
              <w:rPr>
                <w:color w:val="000000"/>
                <w:sz w:val="12"/>
                <w:szCs w:val="16"/>
                <w:lang w:val="es-CO" w:eastAsia="es-CO"/>
              </w:rPr>
              <w:t>.</w:t>
            </w:r>
            <w:r w:rsidRPr="00790D9C">
              <w:rPr>
                <w:color w:val="000000"/>
                <w:sz w:val="12"/>
                <w:szCs w:val="16"/>
                <w:lang w:val="es-CO" w:eastAsia="es-CO"/>
              </w:rPr>
              <w:t>190</w:t>
            </w:r>
          </w:p>
        </w:tc>
      </w:tr>
      <w:tr w:rsidR="00BA56AD" w:rsidRPr="00790D9C" w14:paraId="41097E1E"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7A17B82"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90C10C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7EED7BD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TPE3/4CO</w:t>
            </w:r>
          </w:p>
        </w:tc>
        <w:tc>
          <w:tcPr>
            <w:tcW w:w="1143" w:type="dxa"/>
            <w:tcBorders>
              <w:top w:val="nil"/>
              <w:left w:val="nil"/>
              <w:bottom w:val="single" w:sz="4" w:space="0" w:color="auto"/>
              <w:right w:val="single" w:sz="4" w:space="0" w:color="auto"/>
            </w:tcBorders>
            <w:shd w:val="clear" w:color="auto" w:fill="auto"/>
            <w:noWrap/>
            <w:vAlign w:val="bottom"/>
            <w:hideMark/>
          </w:tcPr>
          <w:p w14:paraId="77B59CA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75</w:t>
            </w:r>
            <w:r>
              <w:rPr>
                <w:color w:val="000000"/>
                <w:sz w:val="12"/>
                <w:szCs w:val="16"/>
                <w:lang w:val="es-CO" w:eastAsia="es-CO"/>
              </w:rPr>
              <w:t>.</w:t>
            </w:r>
            <w:r w:rsidRPr="00790D9C">
              <w:rPr>
                <w:color w:val="000000"/>
                <w:sz w:val="12"/>
                <w:szCs w:val="16"/>
                <w:lang w:val="es-CO" w:eastAsia="es-CO"/>
              </w:rPr>
              <w:t>269</w:t>
            </w:r>
            <w:r>
              <w:rPr>
                <w:color w:val="000000"/>
                <w:sz w:val="12"/>
                <w:szCs w:val="16"/>
                <w:lang w:val="es-CO" w:eastAsia="es-CO"/>
              </w:rPr>
              <w:t>.</w:t>
            </w:r>
            <w:r w:rsidRPr="00790D9C">
              <w:rPr>
                <w:color w:val="000000"/>
                <w:sz w:val="12"/>
                <w:szCs w:val="16"/>
                <w:lang w:val="es-CO" w:eastAsia="es-CO"/>
              </w:rPr>
              <w:t>785</w:t>
            </w:r>
          </w:p>
        </w:tc>
        <w:tc>
          <w:tcPr>
            <w:tcW w:w="1552" w:type="dxa"/>
            <w:tcBorders>
              <w:top w:val="nil"/>
              <w:left w:val="nil"/>
              <w:bottom w:val="single" w:sz="4" w:space="0" w:color="auto"/>
              <w:right w:val="single" w:sz="4" w:space="0" w:color="auto"/>
            </w:tcBorders>
            <w:shd w:val="clear" w:color="auto" w:fill="auto"/>
            <w:noWrap/>
            <w:vAlign w:val="bottom"/>
            <w:hideMark/>
          </w:tcPr>
          <w:p w14:paraId="0D46DA7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2385C4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7737EC9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18</w:t>
            </w:r>
          </w:p>
        </w:tc>
        <w:tc>
          <w:tcPr>
            <w:tcW w:w="1095" w:type="dxa"/>
            <w:tcBorders>
              <w:top w:val="nil"/>
              <w:left w:val="nil"/>
              <w:bottom w:val="single" w:sz="4" w:space="0" w:color="auto"/>
              <w:right w:val="single" w:sz="4" w:space="0" w:color="auto"/>
            </w:tcBorders>
            <w:shd w:val="clear" w:color="auto" w:fill="auto"/>
            <w:noWrap/>
            <w:vAlign w:val="bottom"/>
            <w:hideMark/>
          </w:tcPr>
          <w:p w14:paraId="377C9268"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13</w:t>
            </w:r>
            <w:r>
              <w:rPr>
                <w:color w:val="000000"/>
                <w:sz w:val="12"/>
                <w:szCs w:val="16"/>
                <w:lang w:val="es-CO" w:eastAsia="es-CO"/>
              </w:rPr>
              <w:t>.</w:t>
            </w:r>
            <w:r w:rsidRPr="00790D9C">
              <w:rPr>
                <w:color w:val="000000"/>
                <w:sz w:val="12"/>
                <w:szCs w:val="16"/>
                <w:lang w:val="es-CO" w:eastAsia="es-CO"/>
              </w:rPr>
              <w:t>435</w:t>
            </w:r>
            <w:r>
              <w:rPr>
                <w:color w:val="000000"/>
                <w:sz w:val="12"/>
                <w:szCs w:val="16"/>
                <w:lang w:val="es-CO" w:eastAsia="es-CO"/>
              </w:rPr>
              <w:t>.</w:t>
            </w:r>
            <w:r w:rsidRPr="00790D9C">
              <w:rPr>
                <w:color w:val="000000"/>
                <w:sz w:val="12"/>
                <w:szCs w:val="16"/>
                <w:lang w:val="es-CO" w:eastAsia="es-CO"/>
              </w:rPr>
              <w:t>657</w:t>
            </w:r>
          </w:p>
        </w:tc>
      </w:tr>
      <w:tr w:rsidR="00BA56AD" w:rsidRPr="00790D9C" w14:paraId="06DBBE32"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43812AD"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6313F2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7A509FD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TPE2CO</w:t>
            </w:r>
          </w:p>
        </w:tc>
        <w:tc>
          <w:tcPr>
            <w:tcW w:w="1143" w:type="dxa"/>
            <w:tcBorders>
              <w:top w:val="nil"/>
              <w:left w:val="nil"/>
              <w:bottom w:val="single" w:sz="4" w:space="0" w:color="auto"/>
              <w:right w:val="single" w:sz="4" w:space="0" w:color="auto"/>
            </w:tcBorders>
            <w:shd w:val="clear" w:color="auto" w:fill="auto"/>
            <w:noWrap/>
            <w:vAlign w:val="bottom"/>
            <w:hideMark/>
          </w:tcPr>
          <w:p w14:paraId="02120CA6"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88</w:t>
            </w:r>
            <w:r>
              <w:rPr>
                <w:color w:val="000000"/>
                <w:sz w:val="12"/>
                <w:szCs w:val="16"/>
                <w:lang w:val="es-CO" w:eastAsia="es-CO"/>
              </w:rPr>
              <w:t>.</w:t>
            </w:r>
            <w:r w:rsidRPr="00790D9C">
              <w:rPr>
                <w:color w:val="000000"/>
                <w:sz w:val="12"/>
                <w:szCs w:val="16"/>
                <w:lang w:val="es-CO" w:eastAsia="es-CO"/>
              </w:rPr>
              <w:t>939</w:t>
            </w:r>
            <w:r>
              <w:rPr>
                <w:color w:val="000000"/>
                <w:sz w:val="12"/>
                <w:szCs w:val="16"/>
                <w:lang w:val="es-CO" w:eastAsia="es-CO"/>
              </w:rPr>
              <w:t>.</w:t>
            </w:r>
            <w:r w:rsidRPr="00790D9C">
              <w:rPr>
                <w:color w:val="000000"/>
                <w:sz w:val="12"/>
                <w:szCs w:val="16"/>
                <w:lang w:val="es-CO" w:eastAsia="es-CO"/>
              </w:rPr>
              <w:t>504</w:t>
            </w:r>
          </w:p>
        </w:tc>
        <w:tc>
          <w:tcPr>
            <w:tcW w:w="1552" w:type="dxa"/>
            <w:tcBorders>
              <w:top w:val="nil"/>
              <w:left w:val="nil"/>
              <w:bottom w:val="single" w:sz="4" w:space="0" w:color="auto"/>
              <w:right w:val="single" w:sz="4" w:space="0" w:color="auto"/>
            </w:tcBorders>
            <w:shd w:val="clear" w:color="auto" w:fill="auto"/>
            <w:noWrap/>
            <w:vAlign w:val="bottom"/>
            <w:hideMark/>
          </w:tcPr>
          <w:p w14:paraId="097BFFA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50C01E9"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68B240B8"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05</w:t>
            </w:r>
          </w:p>
        </w:tc>
        <w:tc>
          <w:tcPr>
            <w:tcW w:w="1095" w:type="dxa"/>
            <w:tcBorders>
              <w:top w:val="nil"/>
              <w:left w:val="nil"/>
              <w:bottom w:val="single" w:sz="4" w:space="0" w:color="auto"/>
              <w:right w:val="single" w:sz="4" w:space="0" w:color="auto"/>
            </w:tcBorders>
            <w:shd w:val="clear" w:color="auto" w:fill="auto"/>
            <w:noWrap/>
            <w:vAlign w:val="bottom"/>
            <w:hideMark/>
          </w:tcPr>
          <w:p w14:paraId="1969B1E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4</w:t>
            </w:r>
            <w:r>
              <w:rPr>
                <w:color w:val="000000"/>
                <w:sz w:val="12"/>
                <w:szCs w:val="16"/>
                <w:lang w:val="es-CO" w:eastAsia="es-CO"/>
              </w:rPr>
              <w:t>.</w:t>
            </w:r>
            <w:r w:rsidRPr="00790D9C">
              <w:rPr>
                <w:color w:val="000000"/>
                <w:sz w:val="12"/>
                <w:szCs w:val="16"/>
                <w:lang w:val="es-CO" w:eastAsia="es-CO"/>
              </w:rPr>
              <w:t>313</w:t>
            </w:r>
            <w:r>
              <w:rPr>
                <w:color w:val="000000"/>
                <w:sz w:val="12"/>
                <w:szCs w:val="16"/>
                <w:lang w:val="es-CO" w:eastAsia="es-CO"/>
              </w:rPr>
              <w:t>.</w:t>
            </w:r>
            <w:r w:rsidRPr="00790D9C">
              <w:rPr>
                <w:color w:val="000000"/>
                <w:sz w:val="12"/>
                <w:szCs w:val="16"/>
                <w:lang w:val="es-CO" w:eastAsia="es-CO"/>
              </w:rPr>
              <w:t>566</w:t>
            </w:r>
          </w:p>
        </w:tc>
      </w:tr>
      <w:tr w:rsidR="00BA56AD" w:rsidRPr="00790D9C" w14:paraId="70DA71FD"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71C49A0"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341413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096F966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TPE1/2ACO</w:t>
            </w:r>
          </w:p>
        </w:tc>
        <w:tc>
          <w:tcPr>
            <w:tcW w:w="1143" w:type="dxa"/>
            <w:tcBorders>
              <w:top w:val="nil"/>
              <w:left w:val="nil"/>
              <w:bottom w:val="single" w:sz="4" w:space="0" w:color="auto"/>
              <w:right w:val="single" w:sz="4" w:space="0" w:color="auto"/>
            </w:tcBorders>
            <w:shd w:val="clear" w:color="auto" w:fill="auto"/>
            <w:noWrap/>
            <w:vAlign w:val="bottom"/>
            <w:hideMark/>
          </w:tcPr>
          <w:p w14:paraId="18E9A278"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52</w:t>
            </w:r>
            <w:r>
              <w:rPr>
                <w:color w:val="000000"/>
                <w:sz w:val="12"/>
                <w:szCs w:val="16"/>
                <w:lang w:val="es-CO" w:eastAsia="es-CO"/>
              </w:rPr>
              <w:t>.</w:t>
            </w:r>
            <w:r w:rsidRPr="00790D9C">
              <w:rPr>
                <w:color w:val="000000"/>
                <w:sz w:val="12"/>
                <w:szCs w:val="16"/>
                <w:lang w:val="es-CO" w:eastAsia="es-CO"/>
              </w:rPr>
              <w:t>202</w:t>
            </w:r>
            <w:r>
              <w:rPr>
                <w:color w:val="000000"/>
                <w:sz w:val="12"/>
                <w:szCs w:val="16"/>
                <w:lang w:val="es-CO" w:eastAsia="es-CO"/>
              </w:rPr>
              <w:t>.</w:t>
            </w:r>
            <w:r w:rsidRPr="00790D9C">
              <w:rPr>
                <w:color w:val="000000"/>
                <w:sz w:val="12"/>
                <w:szCs w:val="16"/>
                <w:lang w:val="es-CO" w:eastAsia="es-CO"/>
              </w:rPr>
              <w:t>790</w:t>
            </w:r>
          </w:p>
        </w:tc>
        <w:tc>
          <w:tcPr>
            <w:tcW w:w="1552" w:type="dxa"/>
            <w:tcBorders>
              <w:top w:val="nil"/>
              <w:left w:val="nil"/>
              <w:bottom w:val="single" w:sz="4" w:space="0" w:color="auto"/>
              <w:right w:val="single" w:sz="4" w:space="0" w:color="auto"/>
            </w:tcBorders>
            <w:shd w:val="clear" w:color="auto" w:fill="auto"/>
            <w:noWrap/>
            <w:vAlign w:val="bottom"/>
            <w:hideMark/>
          </w:tcPr>
          <w:p w14:paraId="560AA02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0AEA16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7671DC54"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51</w:t>
            </w:r>
          </w:p>
        </w:tc>
        <w:tc>
          <w:tcPr>
            <w:tcW w:w="1095" w:type="dxa"/>
            <w:tcBorders>
              <w:top w:val="nil"/>
              <w:left w:val="nil"/>
              <w:bottom w:val="single" w:sz="4" w:space="0" w:color="auto"/>
              <w:right w:val="single" w:sz="4" w:space="0" w:color="auto"/>
            </w:tcBorders>
            <w:shd w:val="clear" w:color="auto" w:fill="auto"/>
            <w:noWrap/>
            <w:vAlign w:val="bottom"/>
            <w:hideMark/>
          </w:tcPr>
          <w:p w14:paraId="091E777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78</w:t>
            </w:r>
            <w:r>
              <w:rPr>
                <w:color w:val="000000"/>
                <w:sz w:val="12"/>
                <w:szCs w:val="16"/>
                <w:lang w:val="es-CO" w:eastAsia="es-CO"/>
              </w:rPr>
              <w:t>.</w:t>
            </w:r>
            <w:r w:rsidRPr="00790D9C">
              <w:rPr>
                <w:color w:val="000000"/>
                <w:sz w:val="12"/>
                <w:szCs w:val="16"/>
                <w:lang w:val="es-CO" w:eastAsia="es-CO"/>
              </w:rPr>
              <w:t>617</w:t>
            </w:r>
            <w:r>
              <w:rPr>
                <w:color w:val="000000"/>
                <w:sz w:val="12"/>
                <w:szCs w:val="16"/>
                <w:lang w:val="es-CO" w:eastAsia="es-CO"/>
              </w:rPr>
              <w:t>.</w:t>
            </w:r>
            <w:r w:rsidRPr="00790D9C">
              <w:rPr>
                <w:color w:val="000000"/>
                <w:sz w:val="12"/>
                <w:szCs w:val="16"/>
                <w:lang w:val="es-CO" w:eastAsia="es-CO"/>
              </w:rPr>
              <w:t>401</w:t>
            </w:r>
          </w:p>
        </w:tc>
      </w:tr>
      <w:tr w:rsidR="00BA56AD" w:rsidRPr="00790D9C" w14:paraId="67E20D3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753DB9E"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371CF4A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6CE32DC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TPE3/4ACO</w:t>
            </w:r>
          </w:p>
        </w:tc>
        <w:tc>
          <w:tcPr>
            <w:tcW w:w="1143" w:type="dxa"/>
            <w:tcBorders>
              <w:top w:val="nil"/>
              <w:left w:val="nil"/>
              <w:bottom w:val="single" w:sz="4" w:space="0" w:color="auto"/>
              <w:right w:val="single" w:sz="4" w:space="0" w:color="auto"/>
            </w:tcBorders>
            <w:shd w:val="clear" w:color="auto" w:fill="auto"/>
            <w:noWrap/>
            <w:vAlign w:val="bottom"/>
            <w:hideMark/>
          </w:tcPr>
          <w:p w14:paraId="625FBCC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53</w:t>
            </w:r>
            <w:r>
              <w:rPr>
                <w:color w:val="000000"/>
                <w:sz w:val="12"/>
                <w:szCs w:val="16"/>
                <w:lang w:val="es-CO" w:eastAsia="es-CO"/>
              </w:rPr>
              <w:t>.</w:t>
            </w:r>
            <w:r w:rsidRPr="00790D9C">
              <w:rPr>
                <w:color w:val="000000"/>
                <w:sz w:val="12"/>
                <w:szCs w:val="16"/>
                <w:lang w:val="es-CO" w:eastAsia="es-CO"/>
              </w:rPr>
              <w:t>098</w:t>
            </w:r>
            <w:r>
              <w:rPr>
                <w:color w:val="000000"/>
                <w:sz w:val="12"/>
                <w:szCs w:val="16"/>
                <w:lang w:val="es-CO" w:eastAsia="es-CO"/>
              </w:rPr>
              <w:t>.</w:t>
            </w:r>
            <w:r w:rsidRPr="00790D9C">
              <w:rPr>
                <w:color w:val="000000"/>
                <w:sz w:val="12"/>
                <w:szCs w:val="16"/>
                <w:lang w:val="es-CO" w:eastAsia="es-CO"/>
              </w:rPr>
              <w:t>574</w:t>
            </w:r>
          </w:p>
        </w:tc>
        <w:tc>
          <w:tcPr>
            <w:tcW w:w="1552" w:type="dxa"/>
            <w:tcBorders>
              <w:top w:val="nil"/>
              <w:left w:val="nil"/>
              <w:bottom w:val="single" w:sz="4" w:space="0" w:color="auto"/>
              <w:right w:val="single" w:sz="4" w:space="0" w:color="auto"/>
            </w:tcBorders>
            <w:shd w:val="clear" w:color="auto" w:fill="auto"/>
            <w:noWrap/>
            <w:vAlign w:val="bottom"/>
            <w:hideMark/>
          </w:tcPr>
          <w:p w14:paraId="0DD8F80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7AFFC0F"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1565AB4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38</w:t>
            </w:r>
          </w:p>
        </w:tc>
        <w:tc>
          <w:tcPr>
            <w:tcW w:w="1095" w:type="dxa"/>
            <w:tcBorders>
              <w:top w:val="nil"/>
              <w:left w:val="nil"/>
              <w:bottom w:val="single" w:sz="4" w:space="0" w:color="auto"/>
              <w:right w:val="single" w:sz="4" w:space="0" w:color="auto"/>
            </w:tcBorders>
            <w:shd w:val="clear" w:color="auto" w:fill="auto"/>
            <w:noWrap/>
            <w:vAlign w:val="bottom"/>
            <w:hideMark/>
          </w:tcPr>
          <w:p w14:paraId="7868CF3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73</w:t>
            </w:r>
            <w:r>
              <w:rPr>
                <w:color w:val="000000"/>
                <w:sz w:val="12"/>
                <w:szCs w:val="16"/>
                <w:lang w:val="es-CO" w:eastAsia="es-CO"/>
              </w:rPr>
              <w:t>.</w:t>
            </w:r>
            <w:r w:rsidRPr="00790D9C">
              <w:rPr>
                <w:color w:val="000000"/>
                <w:sz w:val="12"/>
                <w:szCs w:val="16"/>
                <w:lang w:val="es-CO" w:eastAsia="es-CO"/>
              </w:rPr>
              <w:t>329</w:t>
            </w:r>
            <w:r>
              <w:rPr>
                <w:color w:val="000000"/>
                <w:sz w:val="12"/>
                <w:szCs w:val="16"/>
                <w:lang w:val="es-CO" w:eastAsia="es-CO"/>
              </w:rPr>
              <w:t>.</w:t>
            </w:r>
            <w:r w:rsidRPr="00790D9C">
              <w:rPr>
                <w:color w:val="000000"/>
                <w:sz w:val="12"/>
                <w:szCs w:val="16"/>
                <w:lang w:val="es-CO" w:eastAsia="es-CO"/>
              </w:rPr>
              <w:t>131</w:t>
            </w:r>
          </w:p>
        </w:tc>
      </w:tr>
      <w:tr w:rsidR="00BA56AD" w:rsidRPr="00790D9C" w14:paraId="31F75C3D"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6225657"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4E57338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025FA4E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TPE2ACO</w:t>
            </w:r>
          </w:p>
        </w:tc>
        <w:tc>
          <w:tcPr>
            <w:tcW w:w="1143" w:type="dxa"/>
            <w:tcBorders>
              <w:top w:val="nil"/>
              <w:left w:val="nil"/>
              <w:bottom w:val="single" w:sz="4" w:space="0" w:color="auto"/>
              <w:right w:val="single" w:sz="4" w:space="0" w:color="auto"/>
            </w:tcBorders>
            <w:shd w:val="clear" w:color="auto" w:fill="auto"/>
            <w:noWrap/>
            <w:vAlign w:val="bottom"/>
            <w:hideMark/>
          </w:tcPr>
          <w:p w14:paraId="2A46A908"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67</w:t>
            </w:r>
            <w:r>
              <w:rPr>
                <w:color w:val="000000"/>
                <w:sz w:val="12"/>
                <w:szCs w:val="16"/>
                <w:lang w:val="es-CO" w:eastAsia="es-CO"/>
              </w:rPr>
              <w:t>.</w:t>
            </w:r>
            <w:r w:rsidRPr="00790D9C">
              <w:rPr>
                <w:color w:val="000000"/>
                <w:sz w:val="12"/>
                <w:szCs w:val="16"/>
                <w:lang w:val="es-CO" w:eastAsia="es-CO"/>
              </w:rPr>
              <w:t>285</w:t>
            </w:r>
            <w:r>
              <w:rPr>
                <w:color w:val="000000"/>
                <w:sz w:val="12"/>
                <w:szCs w:val="16"/>
                <w:lang w:val="es-CO" w:eastAsia="es-CO"/>
              </w:rPr>
              <w:t>.</w:t>
            </w:r>
            <w:r w:rsidRPr="00790D9C">
              <w:rPr>
                <w:color w:val="000000"/>
                <w:sz w:val="12"/>
                <w:szCs w:val="16"/>
                <w:lang w:val="es-CO" w:eastAsia="es-CO"/>
              </w:rPr>
              <w:t>854</w:t>
            </w:r>
          </w:p>
        </w:tc>
        <w:tc>
          <w:tcPr>
            <w:tcW w:w="1552" w:type="dxa"/>
            <w:tcBorders>
              <w:top w:val="nil"/>
              <w:left w:val="nil"/>
              <w:bottom w:val="single" w:sz="4" w:space="0" w:color="auto"/>
              <w:right w:val="single" w:sz="4" w:space="0" w:color="auto"/>
            </w:tcBorders>
            <w:shd w:val="clear" w:color="auto" w:fill="auto"/>
            <w:noWrap/>
            <w:vAlign w:val="bottom"/>
            <w:hideMark/>
          </w:tcPr>
          <w:p w14:paraId="73CF73B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89651B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39C9185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50</w:t>
            </w:r>
          </w:p>
        </w:tc>
        <w:tc>
          <w:tcPr>
            <w:tcW w:w="1095" w:type="dxa"/>
            <w:tcBorders>
              <w:top w:val="nil"/>
              <w:left w:val="nil"/>
              <w:bottom w:val="single" w:sz="4" w:space="0" w:color="auto"/>
              <w:right w:val="single" w:sz="4" w:space="0" w:color="auto"/>
            </w:tcBorders>
            <w:shd w:val="clear" w:color="auto" w:fill="auto"/>
            <w:noWrap/>
            <w:vAlign w:val="bottom"/>
            <w:hideMark/>
          </w:tcPr>
          <w:p w14:paraId="72B8ADF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33</w:t>
            </w:r>
            <w:r>
              <w:rPr>
                <w:color w:val="000000"/>
                <w:sz w:val="12"/>
                <w:szCs w:val="16"/>
                <w:lang w:val="es-CO" w:eastAsia="es-CO"/>
              </w:rPr>
              <w:t>.</w:t>
            </w:r>
            <w:r w:rsidRPr="00790D9C">
              <w:rPr>
                <w:color w:val="000000"/>
                <w:sz w:val="12"/>
                <w:szCs w:val="16"/>
                <w:lang w:val="es-CO" w:eastAsia="es-CO"/>
              </w:rPr>
              <w:t>575</w:t>
            </w:r>
            <w:r>
              <w:rPr>
                <w:color w:val="000000"/>
                <w:sz w:val="12"/>
                <w:szCs w:val="16"/>
                <w:lang w:val="es-CO" w:eastAsia="es-CO"/>
              </w:rPr>
              <w:t>.</w:t>
            </w:r>
            <w:r w:rsidRPr="00790D9C">
              <w:rPr>
                <w:color w:val="000000"/>
                <w:sz w:val="12"/>
                <w:szCs w:val="16"/>
                <w:lang w:val="es-CO" w:eastAsia="es-CO"/>
              </w:rPr>
              <w:t>641</w:t>
            </w:r>
          </w:p>
        </w:tc>
      </w:tr>
      <w:tr w:rsidR="00BA56AD" w:rsidRPr="00790D9C" w14:paraId="31FC7501"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99A52EB"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306BFB8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399C60B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TPE1/2TA</w:t>
            </w:r>
          </w:p>
        </w:tc>
        <w:tc>
          <w:tcPr>
            <w:tcW w:w="1143" w:type="dxa"/>
            <w:tcBorders>
              <w:top w:val="nil"/>
              <w:left w:val="nil"/>
              <w:bottom w:val="single" w:sz="4" w:space="0" w:color="auto"/>
              <w:right w:val="single" w:sz="4" w:space="0" w:color="auto"/>
            </w:tcBorders>
            <w:shd w:val="clear" w:color="auto" w:fill="auto"/>
            <w:noWrap/>
            <w:vAlign w:val="bottom"/>
            <w:hideMark/>
          </w:tcPr>
          <w:p w14:paraId="3F368EE4"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55</w:t>
            </w:r>
            <w:r>
              <w:rPr>
                <w:color w:val="000000"/>
                <w:sz w:val="12"/>
                <w:szCs w:val="16"/>
                <w:lang w:val="es-CO" w:eastAsia="es-CO"/>
              </w:rPr>
              <w:t>.</w:t>
            </w:r>
            <w:r w:rsidRPr="00790D9C">
              <w:rPr>
                <w:color w:val="000000"/>
                <w:sz w:val="12"/>
                <w:szCs w:val="16"/>
                <w:lang w:val="es-CO" w:eastAsia="es-CO"/>
              </w:rPr>
              <w:t>278</w:t>
            </w:r>
            <w:r>
              <w:rPr>
                <w:color w:val="000000"/>
                <w:sz w:val="12"/>
                <w:szCs w:val="16"/>
                <w:lang w:val="es-CO" w:eastAsia="es-CO"/>
              </w:rPr>
              <w:t>.</w:t>
            </w:r>
            <w:r w:rsidRPr="00790D9C">
              <w:rPr>
                <w:color w:val="000000"/>
                <w:sz w:val="12"/>
                <w:szCs w:val="16"/>
                <w:lang w:val="es-CO" w:eastAsia="es-CO"/>
              </w:rPr>
              <w:t>936</w:t>
            </w:r>
          </w:p>
        </w:tc>
        <w:tc>
          <w:tcPr>
            <w:tcW w:w="1552" w:type="dxa"/>
            <w:tcBorders>
              <w:top w:val="nil"/>
              <w:left w:val="nil"/>
              <w:bottom w:val="single" w:sz="4" w:space="0" w:color="auto"/>
              <w:right w:val="single" w:sz="4" w:space="0" w:color="auto"/>
            </w:tcBorders>
            <w:shd w:val="clear" w:color="auto" w:fill="auto"/>
            <w:noWrap/>
            <w:vAlign w:val="bottom"/>
            <w:hideMark/>
          </w:tcPr>
          <w:p w14:paraId="2B148ED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4EB8383A"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0C51E16A"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24</w:t>
            </w:r>
          </w:p>
        </w:tc>
        <w:tc>
          <w:tcPr>
            <w:tcW w:w="1095" w:type="dxa"/>
            <w:tcBorders>
              <w:top w:val="nil"/>
              <w:left w:val="nil"/>
              <w:bottom w:val="single" w:sz="4" w:space="0" w:color="auto"/>
              <w:right w:val="single" w:sz="4" w:space="0" w:color="auto"/>
            </w:tcBorders>
            <w:shd w:val="clear" w:color="auto" w:fill="auto"/>
            <w:noWrap/>
            <w:vAlign w:val="bottom"/>
            <w:hideMark/>
          </w:tcPr>
          <w:p w14:paraId="3C4158E7"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13</w:t>
            </w:r>
            <w:r>
              <w:rPr>
                <w:color w:val="000000"/>
                <w:sz w:val="12"/>
                <w:szCs w:val="16"/>
                <w:lang w:val="es-CO" w:eastAsia="es-CO"/>
              </w:rPr>
              <w:t>.</w:t>
            </w:r>
            <w:r w:rsidRPr="00790D9C">
              <w:rPr>
                <w:color w:val="000000"/>
                <w:sz w:val="12"/>
                <w:szCs w:val="16"/>
                <w:lang w:val="es-CO" w:eastAsia="es-CO"/>
              </w:rPr>
              <w:t>410</w:t>
            </w:r>
            <w:r>
              <w:rPr>
                <w:color w:val="000000"/>
                <w:sz w:val="12"/>
                <w:szCs w:val="16"/>
                <w:lang w:val="es-CO" w:eastAsia="es-CO"/>
              </w:rPr>
              <w:t>.</w:t>
            </w:r>
            <w:r w:rsidRPr="00790D9C">
              <w:rPr>
                <w:color w:val="000000"/>
                <w:sz w:val="12"/>
                <w:szCs w:val="16"/>
                <w:lang w:val="es-CO" w:eastAsia="es-CO"/>
              </w:rPr>
              <w:t>670</w:t>
            </w:r>
          </w:p>
        </w:tc>
      </w:tr>
      <w:tr w:rsidR="00BA56AD" w:rsidRPr="00790D9C" w14:paraId="17B1BF6D"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D216E19"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46897A8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232EE89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TPE3/4TA</w:t>
            </w:r>
          </w:p>
        </w:tc>
        <w:tc>
          <w:tcPr>
            <w:tcW w:w="1143" w:type="dxa"/>
            <w:tcBorders>
              <w:top w:val="nil"/>
              <w:left w:val="nil"/>
              <w:bottom w:val="single" w:sz="4" w:space="0" w:color="auto"/>
              <w:right w:val="single" w:sz="4" w:space="0" w:color="auto"/>
            </w:tcBorders>
            <w:shd w:val="clear" w:color="auto" w:fill="auto"/>
            <w:noWrap/>
            <w:vAlign w:val="bottom"/>
            <w:hideMark/>
          </w:tcPr>
          <w:p w14:paraId="599D7DE9"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56</w:t>
            </w:r>
            <w:r>
              <w:rPr>
                <w:color w:val="000000"/>
                <w:sz w:val="12"/>
                <w:szCs w:val="16"/>
                <w:lang w:val="es-CO" w:eastAsia="es-CO"/>
              </w:rPr>
              <w:t>.</w:t>
            </w:r>
            <w:r w:rsidRPr="00790D9C">
              <w:rPr>
                <w:color w:val="000000"/>
                <w:sz w:val="12"/>
                <w:szCs w:val="16"/>
                <w:lang w:val="es-CO" w:eastAsia="es-CO"/>
              </w:rPr>
              <w:t>167</w:t>
            </w:r>
            <w:r>
              <w:rPr>
                <w:color w:val="000000"/>
                <w:sz w:val="12"/>
                <w:szCs w:val="16"/>
                <w:lang w:val="es-CO" w:eastAsia="es-CO"/>
              </w:rPr>
              <w:t>.</w:t>
            </w:r>
            <w:r w:rsidRPr="00790D9C">
              <w:rPr>
                <w:color w:val="000000"/>
                <w:sz w:val="12"/>
                <w:szCs w:val="16"/>
                <w:lang w:val="es-CO" w:eastAsia="es-CO"/>
              </w:rPr>
              <w:t>552</w:t>
            </w:r>
          </w:p>
        </w:tc>
        <w:tc>
          <w:tcPr>
            <w:tcW w:w="1552" w:type="dxa"/>
            <w:tcBorders>
              <w:top w:val="nil"/>
              <w:left w:val="nil"/>
              <w:bottom w:val="single" w:sz="4" w:space="0" w:color="auto"/>
              <w:right w:val="single" w:sz="4" w:space="0" w:color="auto"/>
            </w:tcBorders>
            <w:shd w:val="clear" w:color="auto" w:fill="auto"/>
            <w:noWrap/>
            <w:vAlign w:val="bottom"/>
            <w:hideMark/>
          </w:tcPr>
          <w:p w14:paraId="09F42F1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7BE1D0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536B7EF0"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30</w:t>
            </w:r>
          </w:p>
        </w:tc>
        <w:tc>
          <w:tcPr>
            <w:tcW w:w="1095" w:type="dxa"/>
            <w:tcBorders>
              <w:top w:val="nil"/>
              <w:left w:val="nil"/>
              <w:bottom w:val="single" w:sz="4" w:space="0" w:color="auto"/>
              <w:right w:val="single" w:sz="4" w:space="0" w:color="auto"/>
            </w:tcBorders>
            <w:shd w:val="clear" w:color="auto" w:fill="auto"/>
            <w:noWrap/>
            <w:vAlign w:val="bottom"/>
            <w:hideMark/>
          </w:tcPr>
          <w:p w14:paraId="5DF1936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16</w:t>
            </w:r>
            <w:r>
              <w:rPr>
                <w:color w:val="000000"/>
                <w:sz w:val="12"/>
                <w:szCs w:val="16"/>
                <w:lang w:val="es-CO" w:eastAsia="es-CO"/>
              </w:rPr>
              <w:t>.</w:t>
            </w:r>
            <w:r w:rsidRPr="00790D9C">
              <w:rPr>
                <w:color w:val="000000"/>
                <w:sz w:val="12"/>
                <w:szCs w:val="16"/>
                <w:lang w:val="es-CO" w:eastAsia="es-CO"/>
              </w:rPr>
              <w:t>766</w:t>
            </w:r>
            <w:r>
              <w:rPr>
                <w:color w:val="000000"/>
                <w:sz w:val="12"/>
                <w:szCs w:val="16"/>
                <w:lang w:val="es-CO" w:eastAsia="es-CO"/>
              </w:rPr>
              <w:t>.</w:t>
            </w:r>
            <w:r w:rsidRPr="00790D9C">
              <w:rPr>
                <w:color w:val="000000"/>
                <w:sz w:val="12"/>
                <w:szCs w:val="16"/>
                <w:lang w:val="es-CO" w:eastAsia="es-CO"/>
              </w:rPr>
              <w:t>014</w:t>
            </w:r>
          </w:p>
        </w:tc>
      </w:tr>
      <w:tr w:rsidR="00BA56AD" w:rsidRPr="00790D9C" w14:paraId="0A9D316B"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909719F"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A589D0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548C0AB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TPE2TA</w:t>
            </w:r>
          </w:p>
        </w:tc>
        <w:tc>
          <w:tcPr>
            <w:tcW w:w="1143" w:type="dxa"/>
            <w:tcBorders>
              <w:top w:val="nil"/>
              <w:left w:val="nil"/>
              <w:bottom w:val="single" w:sz="4" w:space="0" w:color="auto"/>
              <w:right w:val="single" w:sz="4" w:space="0" w:color="auto"/>
            </w:tcBorders>
            <w:shd w:val="clear" w:color="auto" w:fill="auto"/>
            <w:noWrap/>
            <w:vAlign w:val="bottom"/>
            <w:hideMark/>
          </w:tcPr>
          <w:p w14:paraId="1B835EFA"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70</w:t>
            </w:r>
            <w:r>
              <w:rPr>
                <w:color w:val="000000"/>
                <w:sz w:val="12"/>
                <w:szCs w:val="16"/>
                <w:lang w:val="es-CO" w:eastAsia="es-CO"/>
              </w:rPr>
              <w:t>.</w:t>
            </w:r>
            <w:r w:rsidRPr="00790D9C">
              <w:rPr>
                <w:color w:val="000000"/>
                <w:sz w:val="12"/>
                <w:szCs w:val="16"/>
                <w:lang w:val="es-CO" w:eastAsia="es-CO"/>
              </w:rPr>
              <w:t>281</w:t>
            </w:r>
            <w:r>
              <w:rPr>
                <w:color w:val="000000"/>
                <w:sz w:val="12"/>
                <w:szCs w:val="16"/>
                <w:lang w:val="es-CO" w:eastAsia="es-CO"/>
              </w:rPr>
              <w:t>.</w:t>
            </w:r>
            <w:r w:rsidRPr="00790D9C">
              <w:rPr>
                <w:color w:val="000000"/>
                <w:sz w:val="12"/>
                <w:szCs w:val="16"/>
                <w:lang w:val="es-CO" w:eastAsia="es-CO"/>
              </w:rPr>
              <w:t>222</w:t>
            </w:r>
          </w:p>
        </w:tc>
        <w:tc>
          <w:tcPr>
            <w:tcW w:w="1552" w:type="dxa"/>
            <w:tcBorders>
              <w:top w:val="nil"/>
              <w:left w:val="nil"/>
              <w:bottom w:val="single" w:sz="4" w:space="0" w:color="auto"/>
              <w:right w:val="single" w:sz="4" w:space="0" w:color="auto"/>
            </w:tcBorders>
            <w:shd w:val="clear" w:color="auto" w:fill="auto"/>
            <w:noWrap/>
            <w:vAlign w:val="bottom"/>
            <w:hideMark/>
          </w:tcPr>
          <w:p w14:paraId="19DF708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2BEC4DAC"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236C9188"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10</w:t>
            </w:r>
          </w:p>
        </w:tc>
        <w:tc>
          <w:tcPr>
            <w:tcW w:w="1095" w:type="dxa"/>
            <w:tcBorders>
              <w:top w:val="nil"/>
              <w:left w:val="nil"/>
              <w:bottom w:val="single" w:sz="4" w:space="0" w:color="auto"/>
              <w:right w:val="single" w:sz="4" w:space="0" w:color="auto"/>
            </w:tcBorders>
            <w:shd w:val="clear" w:color="auto" w:fill="auto"/>
            <w:noWrap/>
            <w:vAlign w:val="bottom"/>
            <w:hideMark/>
          </w:tcPr>
          <w:p w14:paraId="1717E447"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6</w:t>
            </w:r>
            <w:r>
              <w:rPr>
                <w:color w:val="000000"/>
                <w:sz w:val="12"/>
                <w:szCs w:val="16"/>
                <w:lang w:val="es-CO" w:eastAsia="es-CO"/>
              </w:rPr>
              <w:t>.</w:t>
            </w:r>
            <w:r w:rsidRPr="00790D9C">
              <w:rPr>
                <w:color w:val="000000"/>
                <w:sz w:val="12"/>
                <w:szCs w:val="16"/>
                <w:lang w:val="es-CO" w:eastAsia="es-CO"/>
              </w:rPr>
              <w:t>817</w:t>
            </w:r>
            <w:r>
              <w:rPr>
                <w:color w:val="000000"/>
                <w:sz w:val="12"/>
                <w:szCs w:val="16"/>
                <w:lang w:val="es-CO" w:eastAsia="es-CO"/>
              </w:rPr>
              <w:t>.</w:t>
            </w:r>
            <w:r w:rsidRPr="00790D9C">
              <w:rPr>
                <w:color w:val="000000"/>
                <w:sz w:val="12"/>
                <w:szCs w:val="16"/>
                <w:lang w:val="es-CO" w:eastAsia="es-CO"/>
              </w:rPr>
              <w:t>279</w:t>
            </w:r>
          </w:p>
        </w:tc>
      </w:tr>
      <w:tr w:rsidR="00BA56AD" w:rsidRPr="00790D9C" w14:paraId="57ABEC6D"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B7D7D22"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2836621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495DAC9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TPE1/2ZV</w:t>
            </w:r>
          </w:p>
        </w:tc>
        <w:tc>
          <w:tcPr>
            <w:tcW w:w="1143" w:type="dxa"/>
            <w:tcBorders>
              <w:top w:val="nil"/>
              <w:left w:val="nil"/>
              <w:bottom w:val="single" w:sz="4" w:space="0" w:color="auto"/>
              <w:right w:val="single" w:sz="4" w:space="0" w:color="auto"/>
            </w:tcBorders>
            <w:shd w:val="clear" w:color="auto" w:fill="auto"/>
            <w:noWrap/>
            <w:vAlign w:val="bottom"/>
            <w:hideMark/>
          </w:tcPr>
          <w:p w14:paraId="29B2614A"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18</w:t>
            </w:r>
            <w:r>
              <w:rPr>
                <w:color w:val="000000"/>
                <w:sz w:val="12"/>
                <w:szCs w:val="16"/>
                <w:lang w:val="es-CO" w:eastAsia="es-CO"/>
              </w:rPr>
              <w:t>.</w:t>
            </w:r>
            <w:r w:rsidRPr="00790D9C">
              <w:rPr>
                <w:color w:val="000000"/>
                <w:sz w:val="12"/>
                <w:szCs w:val="16"/>
                <w:lang w:val="es-CO" w:eastAsia="es-CO"/>
              </w:rPr>
              <w:t>486</w:t>
            </w:r>
            <w:r>
              <w:rPr>
                <w:color w:val="000000"/>
                <w:sz w:val="12"/>
                <w:szCs w:val="16"/>
                <w:lang w:val="es-CO" w:eastAsia="es-CO"/>
              </w:rPr>
              <w:t>.</w:t>
            </w:r>
            <w:r w:rsidRPr="00790D9C">
              <w:rPr>
                <w:color w:val="000000"/>
                <w:sz w:val="12"/>
                <w:szCs w:val="16"/>
                <w:lang w:val="es-CO" w:eastAsia="es-CO"/>
              </w:rPr>
              <w:t>372</w:t>
            </w:r>
          </w:p>
        </w:tc>
        <w:tc>
          <w:tcPr>
            <w:tcW w:w="1552" w:type="dxa"/>
            <w:tcBorders>
              <w:top w:val="nil"/>
              <w:left w:val="nil"/>
              <w:bottom w:val="single" w:sz="4" w:space="0" w:color="auto"/>
              <w:right w:val="single" w:sz="4" w:space="0" w:color="auto"/>
            </w:tcBorders>
            <w:shd w:val="clear" w:color="auto" w:fill="auto"/>
            <w:noWrap/>
            <w:vAlign w:val="bottom"/>
            <w:hideMark/>
          </w:tcPr>
          <w:p w14:paraId="3B4B1E3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4BD2DEA6"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73B468C2"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19</w:t>
            </w:r>
          </w:p>
        </w:tc>
        <w:tc>
          <w:tcPr>
            <w:tcW w:w="1095" w:type="dxa"/>
            <w:tcBorders>
              <w:top w:val="nil"/>
              <w:left w:val="nil"/>
              <w:bottom w:val="single" w:sz="4" w:space="0" w:color="auto"/>
              <w:right w:val="single" w:sz="4" w:space="0" w:color="auto"/>
            </w:tcBorders>
            <w:shd w:val="clear" w:color="auto" w:fill="auto"/>
            <w:noWrap/>
            <w:vAlign w:val="bottom"/>
            <w:hideMark/>
          </w:tcPr>
          <w:p w14:paraId="6B23CE3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40</w:t>
            </w:r>
            <w:r>
              <w:rPr>
                <w:color w:val="000000"/>
                <w:sz w:val="12"/>
                <w:szCs w:val="16"/>
                <w:lang w:val="es-CO" w:eastAsia="es-CO"/>
              </w:rPr>
              <w:t>.</w:t>
            </w:r>
            <w:r w:rsidRPr="00790D9C">
              <w:rPr>
                <w:color w:val="000000"/>
                <w:sz w:val="12"/>
                <w:szCs w:val="16"/>
                <w:lang w:val="es-CO" w:eastAsia="es-CO"/>
              </w:rPr>
              <w:t>475</w:t>
            </w:r>
            <w:r>
              <w:rPr>
                <w:color w:val="000000"/>
                <w:sz w:val="12"/>
                <w:szCs w:val="16"/>
                <w:lang w:val="es-CO" w:eastAsia="es-CO"/>
              </w:rPr>
              <w:t>.</w:t>
            </w:r>
            <w:r w:rsidRPr="00790D9C">
              <w:rPr>
                <w:color w:val="000000"/>
                <w:sz w:val="12"/>
                <w:szCs w:val="16"/>
                <w:lang w:val="es-CO" w:eastAsia="es-CO"/>
              </w:rPr>
              <w:t>912</w:t>
            </w:r>
          </w:p>
        </w:tc>
      </w:tr>
      <w:tr w:rsidR="00BA56AD" w:rsidRPr="00790D9C" w14:paraId="61282CF5"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999EB95"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20EFB91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279CEB9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TPE3/4ZV</w:t>
            </w:r>
          </w:p>
        </w:tc>
        <w:tc>
          <w:tcPr>
            <w:tcW w:w="1143" w:type="dxa"/>
            <w:tcBorders>
              <w:top w:val="nil"/>
              <w:left w:val="nil"/>
              <w:bottom w:val="single" w:sz="4" w:space="0" w:color="auto"/>
              <w:right w:val="single" w:sz="4" w:space="0" w:color="auto"/>
            </w:tcBorders>
            <w:shd w:val="clear" w:color="auto" w:fill="auto"/>
            <w:noWrap/>
            <w:vAlign w:val="bottom"/>
            <w:hideMark/>
          </w:tcPr>
          <w:p w14:paraId="4A06F531"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19</w:t>
            </w:r>
            <w:r>
              <w:rPr>
                <w:color w:val="000000"/>
                <w:sz w:val="12"/>
                <w:szCs w:val="16"/>
                <w:lang w:val="es-CO" w:eastAsia="es-CO"/>
              </w:rPr>
              <w:t>.</w:t>
            </w:r>
            <w:r w:rsidRPr="00790D9C">
              <w:rPr>
                <w:color w:val="000000"/>
                <w:sz w:val="12"/>
                <w:szCs w:val="16"/>
                <w:lang w:val="es-CO" w:eastAsia="es-CO"/>
              </w:rPr>
              <w:t>417</w:t>
            </w:r>
            <w:r>
              <w:rPr>
                <w:color w:val="000000"/>
                <w:sz w:val="12"/>
                <w:szCs w:val="16"/>
                <w:lang w:val="es-CO" w:eastAsia="es-CO"/>
              </w:rPr>
              <w:t>.</w:t>
            </w:r>
            <w:r w:rsidRPr="00790D9C">
              <w:rPr>
                <w:color w:val="000000"/>
                <w:sz w:val="12"/>
                <w:szCs w:val="16"/>
                <w:lang w:val="es-CO" w:eastAsia="es-CO"/>
              </w:rPr>
              <w:t>002</w:t>
            </w:r>
          </w:p>
        </w:tc>
        <w:tc>
          <w:tcPr>
            <w:tcW w:w="1552" w:type="dxa"/>
            <w:tcBorders>
              <w:top w:val="nil"/>
              <w:left w:val="nil"/>
              <w:bottom w:val="single" w:sz="4" w:space="0" w:color="auto"/>
              <w:right w:val="single" w:sz="4" w:space="0" w:color="auto"/>
            </w:tcBorders>
            <w:shd w:val="clear" w:color="auto" w:fill="auto"/>
            <w:noWrap/>
            <w:vAlign w:val="bottom"/>
            <w:hideMark/>
          </w:tcPr>
          <w:p w14:paraId="07F943E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00ADB18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227F867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80</w:t>
            </w:r>
          </w:p>
        </w:tc>
        <w:tc>
          <w:tcPr>
            <w:tcW w:w="1095" w:type="dxa"/>
            <w:tcBorders>
              <w:top w:val="nil"/>
              <w:left w:val="nil"/>
              <w:bottom w:val="single" w:sz="4" w:space="0" w:color="auto"/>
              <w:right w:val="single" w:sz="4" w:space="0" w:color="auto"/>
            </w:tcBorders>
            <w:shd w:val="clear" w:color="auto" w:fill="auto"/>
            <w:noWrap/>
            <w:vAlign w:val="bottom"/>
            <w:hideMark/>
          </w:tcPr>
          <w:p w14:paraId="11576772"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54</w:t>
            </w:r>
            <w:r>
              <w:rPr>
                <w:color w:val="000000"/>
                <w:sz w:val="12"/>
                <w:szCs w:val="16"/>
                <w:lang w:val="es-CO" w:eastAsia="es-CO"/>
              </w:rPr>
              <w:t>.</w:t>
            </w:r>
            <w:r w:rsidRPr="00790D9C">
              <w:rPr>
                <w:color w:val="000000"/>
                <w:sz w:val="12"/>
                <w:szCs w:val="16"/>
                <w:lang w:val="es-CO" w:eastAsia="es-CO"/>
              </w:rPr>
              <w:t>371</w:t>
            </w:r>
            <w:r>
              <w:rPr>
                <w:color w:val="000000"/>
                <w:sz w:val="12"/>
                <w:szCs w:val="16"/>
                <w:lang w:val="es-CO" w:eastAsia="es-CO"/>
              </w:rPr>
              <w:t>.</w:t>
            </w:r>
            <w:r w:rsidRPr="00790D9C">
              <w:rPr>
                <w:color w:val="000000"/>
                <w:sz w:val="12"/>
                <w:szCs w:val="16"/>
                <w:lang w:val="es-CO" w:eastAsia="es-CO"/>
              </w:rPr>
              <w:t>488</w:t>
            </w:r>
          </w:p>
        </w:tc>
      </w:tr>
      <w:tr w:rsidR="00BA56AD" w:rsidRPr="00790D9C" w14:paraId="4CEAB270"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D519F76"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F5F5BF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2857F45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TPE2ZV</w:t>
            </w:r>
          </w:p>
        </w:tc>
        <w:tc>
          <w:tcPr>
            <w:tcW w:w="1143" w:type="dxa"/>
            <w:tcBorders>
              <w:top w:val="nil"/>
              <w:left w:val="nil"/>
              <w:bottom w:val="single" w:sz="4" w:space="0" w:color="auto"/>
              <w:right w:val="single" w:sz="4" w:space="0" w:color="auto"/>
            </w:tcBorders>
            <w:shd w:val="clear" w:color="auto" w:fill="auto"/>
            <w:noWrap/>
            <w:vAlign w:val="bottom"/>
            <w:hideMark/>
          </w:tcPr>
          <w:p w14:paraId="51466143"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33</w:t>
            </w:r>
            <w:r>
              <w:rPr>
                <w:color w:val="000000"/>
                <w:sz w:val="12"/>
                <w:szCs w:val="16"/>
                <w:lang w:val="es-CO" w:eastAsia="es-CO"/>
              </w:rPr>
              <w:t>.</w:t>
            </w:r>
            <w:r w:rsidRPr="00790D9C">
              <w:rPr>
                <w:color w:val="000000"/>
                <w:sz w:val="12"/>
                <w:szCs w:val="16"/>
                <w:lang w:val="es-CO" w:eastAsia="es-CO"/>
              </w:rPr>
              <w:t>719</w:t>
            </w:r>
            <w:r>
              <w:rPr>
                <w:color w:val="000000"/>
                <w:sz w:val="12"/>
                <w:szCs w:val="16"/>
                <w:lang w:val="es-CO" w:eastAsia="es-CO"/>
              </w:rPr>
              <w:t>.</w:t>
            </w:r>
            <w:r w:rsidRPr="00790D9C">
              <w:rPr>
                <w:color w:val="000000"/>
                <w:sz w:val="12"/>
                <w:szCs w:val="16"/>
                <w:lang w:val="es-CO" w:eastAsia="es-CO"/>
              </w:rPr>
              <w:t>985</w:t>
            </w:r>
          </w:p>
        </w:tc>
        <w:tc>
          <w:tcPr>
            <w:tcW w:w="1552" w:type="dxa"/>
            <w:tcBorders>
              <w:top w:val="nil"/>
              <w:left w:val="nil"/>
              <w:bottom w:val="single" w:sz="4" w:space="0" w:color="auto"/>
              <w:right w:val="single" w:sz="4" w:space="0" w:color="auto"/>
            </w:tcBorders>
            <w:shd w:val="clear" w:color="auto" w:fill="auto"/>
            <w:noWrap/>
            <w:vAlign w:val="bottom"/>
            <w:hideMark/>
          </w:tcPr>
          <w:p w14:paraId="140E1A2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C0D7F89"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2CE2AE4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83</w:t>
            </w:r>
          </w:p>
        </w:tc>
        <w:tc>
          <w:tcPr>
            <w:tcW w:w="1095" w:type="dxa"/>
            <w:tcBorders>
              <w:top w:val="nil"/>
              <w:left w:val="nil"/>
              <w:bottom w:val="single" w:sz="4" w:space="0" w:color="auto"/>
              <w:right w:val="single" w:sz="4" w:space="0" w:color="auto"/>
            </w:tcBorders>
            <w:shd w:val="clear" w:color="auto" w:fill="auto"/>
            <w:noWrap/>
            <w:vAlign w:val="bottom"/>
            <w:hideMark/>
          </w:tcPr>
          <w:p w14:paraId="0F445E84"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27</w:t>
            </w:r>
            <w:r>
              <w:rPr>
                <w:color w:val="000000"/>
                <w:sz w:val="12"/>
                <w:szCs w:val="16"/>
                <w:lang w:val="es-CO" w:eastAsia="es-CO"/>
              </w:rPr>
              <w:t>.</w:t>
            </w:r>
            <w:r w:rsidRPr="00790D9C">
              <w:rPr>
                <w:color w:val="000000"/>
                <w:sz w:val="12"/>
                <w:szCs w:val="16"/>
                <w:lang w:val="es-CO" w:eastAsia="es-CO"/>
              </w:rPr>
              <w:t>835</w:t>
            </w:r>
            <w:r>
              <w:rPr>
                <w:color w:val="000000"/>
                <w:sz w:val="12"/>
                <w:szCs w:val="16"/>
                <w:lang w:val="es-CO" w:eastAsia="es-CO"/>
              </w:rPr>
              <w:t>.</w:t>
            </w:r>
            <w:r w:rsidRPr="00790D9C">
              <w:rPr>
                <w:color w:val="000000"/>
                <w:sz w:val="12"/>
                <w:szCs w:val="16"/>
                <w:lang w:val="es-CO" w:eastAsia="es-CO"/>
              </w:rPr>
              <w:t>848</w:t>
            </w:r>
          </w:p>
        </w:tc>
      </w:tr>
      <w:tr w:rsidR="00BA56AD" w:rsidRPr="00790D9C" w14:paraId="58ABA740"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2CC4D46"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2BD676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Estación GNC 200 m3/hora</w:t>
            </w:r>
          </w:p>
        </w:tc>
        <w:tc>
          <w:tcPr>
            <w:tcW w:w="862" w:type="dxa"/>
            <w:tcBorders>
              <w:top w:val="nil"/>
              <w:left w:val="nil"/>
              <w:bottom w:val="single" w:sz="4" w:space="0" w:color="auto"/>
              <w:right w:val="single" w:sz="4" w:space="0" w:color="auto"/>
            </w:tcBorders>
            <w:shd w:val="clear" w:color="auto" w:fill="auto"/>
            <w:noWrap/>
            <w:vAlign w:val="bottom"/>
            <w:hideMark/>
          </w:tcPr>
          <w:p w14:paraId="473570C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RM200</w:t>
            </w:r>
          </w:p>
        </w:tc>
        <w:tc>
          <w:tcPr>
            <w:tcW w:w="1143" w:type="dxa"/>
            <w:tcBorders>
              <w:top w:val="nil"/>
              <w:left w:val="nil"/>
              <w:bottom w:val="single" w:sz="4" w:space="0" w:color="auto"/>
              <w:right w:val="single" w:sz="4" w:space="0" w:color="auto"/>
            </w:tcBorders>
            <w:shd w:val="clear" w:color="auto" w:fill="auto"/>
            <w:noWrap/>
            <w:vAlign w:val="bottom"/>
            <w:hideMark/>
          </w:tcPr>
          <w:p w14:paraId="68345443"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372</w:t>
            </w:r>
            <w:r>
              <w:rPr>
                <w:color w:val="000000"/>
                <w:sz w:val="12"/>
                <w:szCs w:val="16"/>
                <w:lang w:val="es-CO" w:eastAsia="es-CO"/>
              </w:rPr>
              <w:t>.</w:t>
            </w:r>
            <w:r w:rsidRPr="00790D9C">
              <w:rPr>
                <w:color w:val="000000"/>
                <w:sz w:val="12"/>
                <w:szCs w:val="16"/>
                <w:lang w:val="es-CO" w:eastAsia="es-CO"/>
              </w:rPr>
              <w:t>885</w:t>
            </w:r>
            <w:r>
              <w:rPr>
                <w:color w:val="000000"/>
                <w:sz w:val="12"/>
                <w:szCs w:val="16"/>
                <w:lang w:val="es-CO" w:eastAsia="es-CO"/>
              </w:rPr>
              <w:t>.</w:t>
            </w:r>
            <w:r w:rsidRPr="00790D9C">
              <w:rPr>
                <w:color w:val="000000"/>
                <w:sz w:val="12"/>
                <w:szCs w:val="16"/>
                <w:lang w:val="es-CO" w:eastAsia="es-CO"/>
              </w:rPr>
              <w:t>901</w:t>
            </w:r>
          </w:p>
        </w:tc>
        <w:tc>
          <w:tcPr>
            <w:tcW w:w="1552" w:type="dxa"/>
            <w:tcBorders>
              <w:top w:val="nil"/>
              <w:left w:val="nil"/>
              <w:bottom w:val="single" w:sz="4" w:space="0" w:color="auto"/>
              <w:right w:val="single" w:sz="4" w:space="0" w:color="auto"/>
            </w:tcBorders>
            <w:shd w:val="clear" w:color="auto" w:fill="auto"/>
            <w:noWrap/>
            <w:vAlign w:val="bottom"/>
            <w:hideMark/>
          </w:tcPr>
          <w:p w14:paraId="3A91839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B728F0C"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74E6B2F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516CDEC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372</w:t>
            </w:r>
            <w:r>
              <w:rPr>
                <w:color w:val="000000"/>
                <w:sz w:val="12"/>
                <w:szCs w:val="16"/>
                <w:lang w:val="es-CO" w:eastAsia="es-CO"/>
              </w:rPr>
              <w:t>.</w:t>
            </w:r>
            <w:r w:rsidRPr="00790D9C">
              <w:rPr>
                <w:color w:val="000000"/>
                <w:sz w:val="12"/>
                <w:szCs w:val="16"/>
                <w:lang w:val="es-CO" w:eastAsia="es-CO"/>
              </w:rPr>
              <w:t>885</w:t>
            </w:r>
            <w:r>
              <w:rPr>
                <w:color w:val="000000"/>
                <w:sz w:val="12"/>
                <w:szCs w:val="16"/>
                <w:lang w:val="es-CO" w:eastAsia="es-CO"/>
              </w:rPr>
              <w:t>.</w:t>
            </w:r>
            <w:r w:rsidRPr="00790D9C">
              <w:rPr>
                <w:color w:val="000000"/>
                <w:sz w:val="12"/>
                <w:szCs w:val="16"/>
                <w:lang w:val="es-CO" w:eastAsia="es-CO"/>
              </w:rPr>
              <w:t>901</w:t>
            </w:r>
          </w:p>
        </w:tc>
      </w:tr>
      <w:tr w:rsidR="00BA56AD" w:rsidRPr="00790D9C" w14:paraId="7324451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C3C211C" w14:textId="77777777" w:rsidR="00BA56AD" w:rsidRPr="00790D9C" w:rsidRDefault="00BA56AD" w:rsidP="00FB5615">
            <w:pPr>
              <w:jc w:val="left"/>
              <w:rPr>
                <w:color w:val="000000"/>
                <w:sz w:val="12"/>
                <w:szCs w:val="16"/>
                <w:lang w:val="es-CO" w:eastAsia="es-CO"/>
              </w:rPr>
            </w:pPr>
            <w:r>
              <w:rPr>
                <w:color w:val="000000"/>
                <w:sz w:val="12"/>
                <w:szCs w:val="16"/>
                <w:lang w:val="es-CO" w:eastAsia="es-CO"/>
              </w:rPr>
              <w:t>La Montañita</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39CF075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Paso Especial 5 Metros</w:t>
            </w:r>
          </w:p>
        </w:tc>
        <w:tc>
          <w:tcPr>
            <w:tcW w:w="862" w:type="dxa"/>
            <w:tcBorders>
              <w:top w:val="nil"/>
              <w:left w:val="nil"/>
              <w:bottom w:val="single" w:sz="4" w:space="0" w:color="auto"/>
              <w:right w:val="single" w:sz="4" w:space="0" w:color="auto"/>
            </w:tcBorders>
            <w:shd w:val="clear" w:color="auto" w:fill="auto"/>
            <w:noWrap/>
            <w:vAlign w:val="bottom"/>
            <w:hideMark/>
          </w:tcPr>
          <w:p w14:paraId="565A4C9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TMP-4</w:t>
            </w:r>
          </w:p>
        </w:tc>
        <w:tc>
          <w:tcPr>
            <w:tcW w:w="1143" w:type="dxa"/>
            <w:tcBorders>
              <w:top w:val="nil"/>
              <w:left w:val="nil"/>
              <w:bottom w:val="single" w:sz="4" w:space="0" w:color="auto"/>
              <w:right w:val="single" w:sz="4" w:space="0" w:color="auto"/>
            </w:tcBorders>
            <w:shd w:val="clear" w:color="auto" w:fill="auto"/>
            <w:noWrap/>
            <w:vAlign w:val="bottom"/>
            <w:hideMark/>
          </w:tcPr>
          <w:p w14:paraId="6139BDA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783</w:t>
            </w:r>
            <w:r>
              <w:rPr>
                <w:color w:val="000000"/>
                <w:sz w:val="12"/>
                <w:szCs w:val="16"/>
                <w:lang w:val="es-CO" w:eastAsia="es-CO"/>
              </w:rPr>
              <w:t>.</w:t>
            </w:r>
            <w:r w:rsidRPr="00790D9C">
              <w:rPr>
                <w:color w:val="000000"/>
                <w:sz w:val="12"/>
                <w:szCs w:val="16"/>
                <w:lang w:val="es-CO" w:eastAsia="es-CO"/>
              </w:rPr>
              <w:t>177</w:t>
            </w:r>
          </w:p>
        </w:tc>
        <w:tc>
          <w:tcPr>
            <w:tcW w:w="1552" w:type="dxa"/>
            <w:tcBorders>
              <w:top w:val="nil"/>
              <w:left w:val="nil"/>
              <w:bottom w:val="single" w:sz="4" w:space="0" w:color="auto"/>
              <w:right w:val="single" w:sz="4" w:space="0" w:color="auto"/>
            </w:tcBorders>
            <w:shd w:val="clear" w:color="auto" w:fill="auto"/>
            <w:noWrap/>
            <w:vAlign w:val="bottom"/>
            <w:hideMark/>
          </w:tcPr>
          <w:p w14:paraId="7F2CDC3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Especiales</w:t>
            </w:r>
          </w:p>
        </w:tc>
        <w:tc>
          <w:tcPr>
            <w:tcW w:w="1177" w:type="dxa"/>
            <w:tcBorders>
              <w:top w:val="nil"/>
              <w:left w:val="nil"/>
              <w:bottom w:val="single" w:sz="4" w:space="0" w:color="auto"/>
              <w:right w:val="single" w:sz="4" w:space="0" w:color="auto"/>
            </w:tcBorders>
            <w:shd w:val="clear" w:color="auto" w:fill="auto"/>
            <w:noWrap/>
            <w:vAlign w:val="bottom"/>
            <w:hideMark/>
          </w:tcPr>
          <w:p w14:paraId="77085D0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16E5C0E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0726B617"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783</w:t>
            </w:r>
            <w:r>
              <w:rPr>
                <w:color w:val="000000"/>
                <w:sz w:val="12"/>
                <w:szCs w:val="16"/>
                <w:lang w:val="es-CO" w:eastAsia="es-CO"/>
              </w:rPr>
              <w:t>.</w:t>
            </w:r>
            <w:r w:rsidRPr="00790D9C">
              <w:rPr>
                <w:color w:val="000000"/>
                <w:sz w:val="12"/>
                <w:szCs w:val="16"/>
                <w:lang w:val="es-CO" w:eastAsia="es-CO"/>
              </w:rPr>
              <w:t>177</w:t>
            </w:r>
          </w:p>
        </w:tc>
      </w:tr>
      <w:tr w:rsidR="00BA56AD" w:rsidRPr="00790D9C" w14:paraId="52A92CAF"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17BF1D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AFA185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07842A1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TPE1/2AS</w:t>
            </w:r>
          </w:p>
        </w:tc>
        <w:tc>
          <w:tcPr>
            <w:tcW w:w="1143" w:type="dxa"/>
            <w:tcBorders>
              <w:top w:val="nil"/>
              <w:left w:val="nil"/>
              <w:bottom w:val="single" w:sz="4" w:space="0" w:color="auto"/>
              <w:right w:val="single" w:sz="4" w:space="0" w:color="auto"/>
            </w:tcBorders>
            <w:shd w:val="clear" w:color="auto" w:fill="auto"/>
            <w:noWrap/>
            <w:vAlign w:val="bottom"/>
            <w:hideMark/>
          </w:tcPr>
          <w:p w14:paraId="744F19C1"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75</w:t>
            </w:r>
            <w:r>
              <w:rPr>
                <w:color w:val="000000"/>
                <w:sz w:val="12"/>
                <w:szCs w:val="16"/>
                <w:lang w:val="es-CO" w:eastAsia="es-CO"/>
              </w:rPr>
              <w:t>.</w:t>
            </w:r>
            <w:r w:rsidRPr="00790D9C">
              <w:rPr>
                <w:color w:val="000000"/>
                <w:sz w:val="12"/>
                <w:szCs w:val="16"/>
                <w:lang w:val="es-CO" w:eastAsia="es-CO"/>
              </w:rPr>
              <w:t>816</w:t>
            </w:r>
            <w:r>
              <w:rPr>
                <w:color w:val="000000"/>
                <w:sz w:val="12"/>
                <w:szCs w:val="16"/>
                <w:lang w:val="es-CO" w:eastAsia="es-CO"/>
              </w:rPr>
              <w:t>.</w:t>
            </w:r>
            <w:r w:rsidRPr="00790D9C">
              <w:rPr>
                <w:color w:val="000000"/>
                <w:sz w:val="12"/>
                <w:szCs w:val="16"/>
                <w:lang w:val="es-CO" w:eastAsia="es-CO"/>
              </w:rPr>
              <w:t>559</w:t>
            </w:r>
          </w:p>
        </w:tc>
        <w:tc>
          <w:tcPr>
            <w:tcW w:w="1552" w:type="dxa"/>
            <w:tcBorders>
              <w:top w:val="nil"/>
              <w:left w:val="nil"/>
              <w:bottom w:val="single" w:sz="4" w:space="0" w:color="auto"/>
              <w:right w:val="single" w:sz="4" w:space="0" w:color="auto"/>
            </w:tcBorders>
            <w:shd w:val="clear" w:color="auto" w:fill="auto"/>
            <w:noWrap/>
            <w:vAlign w:val="bottom"/>
            <w:hideMark/>
          </w:tcPr>
          <w:p w14:paraId="199BEED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0E25520B"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48C9377A"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02</w:t>
            </w:r>
          </w:p>
        </w:tc>
        <w:tc>
          <w:tcPr>
            <w:tcW w:w="1095" w:type="dxa"/>
            <w:tcBorders>
              <w:top w:val="nil"/>
              <w:left w:val="nil"/>
              <w:bottom w:val="single" w:sz="4" w:space="0" w:color="auto"/>
              <w:right w:val="single" w:sz="4" w:space="0" w:color="auto"/>
            </w:tcBorders>
            <w:shd w:val="clear" w:color="auto" w:fill="auto"/>
            <w:noWrap/>
            <w:vAlign w:val="bottom"/>
            <w:hideMark/>
          </w:tcPr>
          <w:p w14:paraId="6A62281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508</w:t>
            </w:r>
            <w:r>
              <w:rPr>
                <w:color w:val="000000"/>
                <w:sz w:val="12"/>
                <w:szCs w:val="16"/>
                <w:lang w:val="es-CO" w:eastAsia="es-CO"/>
              </w:rPr>
              <w:t>.</w:t>
            </w:r>
            <w:r w:rsidRPr="00790D9C">
              <w:rPr>
                <w:color w:val="000000"/>
                <w:sz w:val="12"/>
                <w:szCs w:val="16"/>
                <w:lang w:val="es-CO" w:eastAsia="es-CO"/>
              </w:rPr>
              <w:t>750</w:t>
            </w:r>
          </w:p>
        </w:tc>
      </w:tr>
      <w:tr w:rsidR="00BA56AD" w:rsidRPr="00790D9C" w14:paraId="1E7C3EC1"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F241B1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6730930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4D84700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TPE3/4AS</w:t>
            </w:r>
          </w:p>
        </w:tc>
        <w:tc>
          <w:tcPr>
            <w:tcW w:w="1143" w:type="dxa"/>
            <w:tcBorders>
              <w:top w:val="nil"/>
              <w:left w:val="nil"/>
              <w:bottom w:val="single" w:sz="4" w:space="0" w:color="auto"/>
              <w:right w:val="single" w:sz="4" w:space="0" w:color="auto"/>
            </w:tcBorders>
            <w:shd w:val="clear" w:color="auto" w:fill="auto"/>
            <w:noWrap/>
            <w:vAlign w:val="bottom"/>
            <w:hideMark/>
          </w:tcPr>
          <w:p w14:paraId="6CCB384D"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76</w:t>
            </w:r>
            <w:r>
              <w:rPr>
                <w:color w:val="000000"/>
                <w:sz w:val="12"/>
                <w:szCs w:val="16"/>
                <w:lang w:val="es-CO" w:eastAsia="es-CO"/>
              </w:rPr>
              <w:t>.</w:t>
            </w:r>
            <w:r w:rsidRPr="00790D9C">
              <w:rPr>
                <w:color w:val="000000"/>
                <w:sz w:val="12"/>
                <w:szCs w:val="16"/>
                <w:lang w:val="es-CO" w:eastAsia="es-CO"/>
              </w:rPr>
              <w:t>715</w:t>
            </w:r>
            <w:r>
              <w:rPr>
                <w:color w:val="000000"/>
                <w:sz w:val="12"/>
                <w:szCs w:val="16"/>
                <w:lang w:val="es-CO" w:eastAsia="es-CO"/>
              </w:rPr>
              <w:t>.</w:t>
            </w:r>
            <w:r w:rsidRPr="00790D9C">
              <w:rPr>
                <w:color w:val="000000"/>
                <w:sz w:val="12"/>
                <w:szCs w:val="16"/>
                <w:lang w:val="es-CO" w:eastAsia="es-CO"/>
              </w:rPr>
              <w:t>959</w:t>
            </w:r>
          </w:p>
        </w:tc>
        <w:tc>
          <w:tcPr>
            <w:tcW w:w="1552" w:type="dxa"/>
            <w:tcBorders>
              <w:top w:val="nil"/>
              <w:left w:val="nil"/>
              <w:bottom w:val="single" w:sz="4" w:space="0" w:color="auto"/>
              <w:right w:val="single" w:sz="4" w:space="0" w:color="auto"/>
            </w:tcBorders>
            <w:shd w:val="clear" w:color="auto" w:fill="auto"/>
            <w:noWrap/>
            <w:vAlign w:val="bottom"/>
            <w:hideMark/>
          </w:tcPr>
          <w:p w14:paraId="4B3BC7C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4F6CD79E"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1D98A191"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19</w:t>
            </w:r>
          </w:p>
        </w:tc>
        <w:tc>
          <w:tcPr>
            <w:tcW w:w="1095" w:type="dxa"/>
            <w:tcBorders>
              <w:top w:val="nil"/>
              <w:left w:val="nil"/>
              <w:bottom w:val="single" w:sz="4" w:space="0" w:color="auto"/>
              <w:right w:val="single" w:sz="4" w:space="0" w:color="auto"/>
            </w:tcBorders>
            <w:shd w:val="clear" w:color="auto" w:fill="auto"/>
            <w:noWrap/>
            <w:vAlign w:val="bottom"/>
            <w:hideMark/>
          </w:tcPr>
          <w:p w14:paraId="037AF100"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14</w:t>
            </w:r>
            <w:r>
              <w:rPr>
                <w:color w:val="000000"/>
                <w:sz w:val="12"/>
                <w:szCs w:val="16"/>
                <w:lang w:val="es-CO" w:eastAsia="es-CO"/>
              </w:rPr>
              <w:t>.</w:t>
            </w:r>
            <w:r w:rsidRPr="00790D9C">
              <w:rPr>
                <w:color w:val="000000"/>
                <w:sz w:val="12"/>
                <w:szCs w:val="16"/>
                <w:lang w:val="es-CO" w:eastAsia="es-CO"/>
              </w:rPr>
              <w:t>852</w:t>
            </w:r>
            <w:r>
              <w:rPr>
                <w:color w:val="000000"/>
                <w:sz w:val="12"/>
                <w:szCs w:val="16"/>
                <w:lang w:val="es-CO" w:eastAsia="es-CO"/>
              </w:rPr>
              <w:t>.</w:t>
            </w:r>
            <w:r w:rsidRPr="00790D9C">
              <w:rPr>
                <w:color w:val="000000"/>
                <w:sz w:val="12"/>
                <w:szCs w:val="16"/>
                <w:lang w:val="es-CO" w:eastAsia="es-CO"/>
              </w:rPr>
              <w:t>210</w:t>
            </w:r>
          </w:p>
        </w:tc>
      </w:tr>
      <w:tr w:rsidR="00BA56AD" w:rsidRPr="00790D9C" w14:paraId="6910E14F"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F803CF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5AFBB2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11AC995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TPE2AS</w:t>
            </w:r>
          </w:p>
        </w:tc>
        <w:tc>
          <w:tcPr>
            <w:tcW w:w="1143" w:type="dxa"/>
            <w:tcBorders>
              <w:top w:val="nil"/>
              <w:left w:val="nil"/>
              <w:bottom w:val="single" w:sz="4" w:space="0" w:color="auto"/>
              <w:right w:val="single" w:sz="4" w:space="0" w:color="auto"/>
            </w:tcBorders>
            <w:shd w:val="clear" w:color="auto" w:fill="auto"/>
            <w:noWrap/>
            <w:vAlign w:val="bottom"/>
            <w:hideMark/>
          </w:tcPr>
          <w:p w14:paraId="2582AED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87</w:t>
            </w:r>
            <w:r>
              <w:rPr>
                <w:color w:val="000000"/>
                <w:sz w:val="12"/>
                <w:szCs w:val="16"/>
                <w:lang w:val="es-CO" w:eastAsia="es-CO"/>
              </w:rPr>
              <w:t>.</w:t>
            </w:r>
            <w:r w:rsidRPr="00790D9C">
              <w:rPr>
                <w:color w:val="000000"/>
                <w:sz w:val="12"/>
                <w:szCs w:val="16"/>
                <w:lang w:val="es-CO" w:eastAsia="es-CO"/>
              </w:rPr>
              <w:t>082</w:t>
            </w:r>
            <w:r>
              <w:rPr>
                <w:color w:val="000000"/>
                <w:sz w:val="12"/>
                <w:szCs w:val="16"/>
                <w:lang w:val="es-CO" w:eastAsia="es-CO"/>
              </w:rPr>
              <w:t>.</w:t>
            </w:r>
            <w:r w:rsidRPr="00790D9C">
              <w:rPr>
                <w:color w:val="000000"/>
                <w:sz w:val="12"/>
                <w:szCs w:val="16"/>
                <w:lang w:val="es-CO" w:eastAsia="es-CO"/>
              </w:rPr>
              <w:t>705</w:t>
            </w:r>
          </w:p>
        </w:tc>
        <w:tc>
          <w:tcPr>
            <w:tcW w:w="1552" w:type="dxa"/>
            <w:tcBorders>
              <w:top w:val="nil"/>
              <w:left w:val="nil"/>
              <w:bottom w:val="single" w:sz="4" w:space="0" w:color="auto"/>
              <w:right w:val="single" w:sz="4" w:space="0" w:color="auto"/>
            </w:tcBorders>
            <w:shd w:val="clear" w:color="auto" w:fill="auto"/>
            <w:noWrap/>
            <w:vAlign w:val="bottom"/>
            <w:hideMark/>
          </w:tcPr>
          <w:p w14:paraId="21793B1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42DD309B"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3A9E942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23</w:t>
            </w:r>
          </w:p>
        </w:tc>
        <w:tc>
          <w:tcPr>
            <w:tcW w:w="1095" w:type="dxa"/>
            <w:tcBorders>
              <w:top w:val="nil"/>
              <w:left w:val="nil"/>
              <w:bottom w:val="single" w:sz="4" w:space="0" w:color="auto"/>
              <w:right w:val="single" w:sz="4" w:space="0" w:color="auto"/>
            </w:tcBorders>
            <w:shd w:val="clear" w:color="auto" w:fill="auto"/>
            <w:noWrap/>
            <w:vAlign w:val="bottom"/>
            <w:hideMark/>
          </w:tcPr>
          <w:p w14:paraId="70A79BCC"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20</w:t>
            </w:r>
            <w:r>
              <w:rPr>
                <w:color w:val="000000"/>
                <w:sz w:val="12"/>
                <w:szCs w:val="16"/>
                <w:lang w:val="es-CO" w:eastAsia="es-CO"/>
              </w:rPr>
              <w:t>.</w:t>
            </w:r>
            <w:r w:rsidRPr="00790D9C">
              <w:rPr>
                <w:color w:val="000000"/>
                <w:sz w:val="12"/>
                <w:szCs w:val="16"/>
                <w:lang w:val="es-CO" w:eastAsia="es-CO"/>
              </w:rPr>
              <w:t>046</w:t>
            </w:r>
            <w:r>
              <w:rPr>
                <w:color w:val="000000"/>
                <w:sz w:val="12"/>
                <w:szCs w:val="16"/>
                <w:lang w:val="es-CO" w:eastAsia="es-CO"/>
              </w:rPr>
              <w:t>.</w:t>
            </w:r>
            <w:r w:rsidRPr="00790D9C">
              <w:rPr>
                <w:color w:val="000000"/>
                <w:sz w:val="12"/>
                <w:szCs w:val="16"/>
                <w:lang w:val="es-CO" w:eastAsia="es-CO"/>
              </w:rPr>
              <w:t>439</w:t>
            </w:r>
          </w:p>
        </w:tc>
      </w:tr>
      <w:tr w:rsidR="00BA56AD" w:rsidRPr="00790D9C" w14:paraId="666A511B"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7A08BC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7520648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76BE8C0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TPE1/2CO</w:t>
            </w:r>
          </w:p>
        </w:tc>
        <w:tc>
          <w:tcPr>
            <w:tcW w:w="1143" w:type="dxa"/>
            <w:tcBorders>
              <w:top w:val="nil"/>
              <w:left w:val="nil"/>
              <w:bottom w:val="single" w:sz="4" w:space="0" w:color="auto"/>
              <w:right w:val="single" w:sz="4" w:space="0" w:color="auto"/>
            </w:tcBorders>
            <w:shd w:val="clear" w:color="auto" w:fill="auto"/>
            <w:noWrap/>
            <w:vAlign w:val="bottom"/>
            <w:hideMark/>
          </w:tcPr>
          <w:p w14:paraId="070FC14B"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74</w:t>
            </w:r>
            <w:r>
              <w:rPr>
                <w:color w:val="000000"/>
                <w:sz w:val="12"/>
                <w:szCs w:val="16"/>
                <w:lang w:val="es-CO" w:eastAsia="es-CO"/>
              </w:rPr>
              <w:t>.</w:t>
            </w:r>
            <w:r w:rsidRPr="00790D9C">
              <w:rPr>
                <w:color w:val="000000"/>
                <w:sz w:val="12"/>
                <w:szCs w:val="16"/>
                <w:lang w:val="es-CO" w:eastAsia="es-CO"/>
              </w:rPr>
              <w:t>429</w:t>
            </w:r>
            <w:r>
              <w:rPr>
                <w:color w:val="000000"/>
                <w:sz w:val="12"/>
                <w:szCs w:val="16"/>
                <w:lang w:val="es-CO" w:eastAsia="es-CO"/>
              </w:rPr>
              <w:t>.</w:t>
            </w:r>
            <w:r w:rsidRPr="00790D9C">
              <w:rPr>
                <w:color w:val="000000"/>
                <w:sz w:val="12"/>
                <w:szCs w:val="16"/>
                <w:lang w:val="es-CO" w:eastAsia="es-CO"/>
              </w:rPr>
              <w:t>578</w:t>
            </w:r>
          </w:p>
        </w:tc>
        <w:tc>
          <w:tcPr>
            <w:tcW w:w="1552" w:type="dxa"/>
            <w:tcBorders>
              <w:top w:val="nil"/>
              <w:left w:val="nil"/>
              <w:bottom w:val="single" w:sz="4" w:space="0" w:color="auto"/>
              <w:right w:val="single" w:sz="4" w:space="0" w:color="auto"/>
            </w:tcBorders>
            <w:shd w:val="clear" w:color="auto" w:fill="auto"/>
            <w:noWrap/>
            <w:vAlign w:val="bottom"/>
            <w:hideMark/>
          </w:tcPr>
          <w:p w14:paraId="0277036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2AC995BA"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1281D33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13</w:t>
            </w:r>
          </w:p>
        </w:tc>
        <w:tc>
          <w:tcPr>
            <w:tcW w:w="1095" w:type="dxa"/>
            <w:tcBorders>
              <w:top w:val="nil"/>
              <w:left w:val="nil"/>
              <w:bottom w:val="single" w:sz="4" w:space="0" w:color="auto"/>
              <w:right w:val="single" w:sz="4" w:space="0" w:color="auto"/>
            </w:tcBorders>
            <w:shd w:val="clear" w:color="auto" w:fill="auto"/>
            <w:noWrap/>
            <w:vAlign w:val="bottom"/>
            <w:hideMark/>
          </w:tcPr>
          <w:p w14:paraId="1990E33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9</w:t>
            </w:r>
            <w:r>
              <w:rPr>
                <w:color w:val="000000"/>
                <w:sz w:val="12"/>
                <w:szCs w:val="16"/>
                <w:lang w:val="es-CO" w:eastAsia="es-CO"/>
              </w:rPr>
              <w:t>.</w:t>
            </w:r>
            <w:r w:rsidRPr="00790D9C">
              <w:rPr>
                <w:color w:val="000000"/>
                <w:sz w:val="12"/>
                <w:szCs w:val="16"/>
                <w:lang w:val="es-CO" w:eastAsia="es-CO"/>
              </w:rPr>
              <w:t>750</w:t>
            </w:r>
            <w:r>
              <w:rPr>
                <w:color w:val="000000"/>
                <w:sz w:val="12"/>
                <w:szCs w:val="16"/>
                <w:lang w:val="es-CO" w:eastAsia="es-CO"/>
              </w:rPr>
              <w:t>.</w:t>
            </w:r>
            <w:r w:rsidRPr="00790D9C">
              <w:rPr>
                <w:color w:val="000000"/>
                <w:sz w:val="12"/>
                <w:szCs w:val="16"/>
                <w:lang w:val="es-CO" w:eastAsia="es-CO"/>
              </w:rPr>
              <w:t>275</w:t>
            </w:r>
          </w:p>
        </w:tc>
      </w:tr>
      <w:tr w:rsidR="00BA56AD" w:rsidRPr="00790D9C" w14:paraId="144DDDF5"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7B6709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4D0B483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44DF737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TPE3/4CO</w:t>
            </w:r>
          </w:p>
        </w:tc>
        <w:tc>
          <w:tcPr>
            <w:tcW w:w="1143" w:type="dxa"/>
            <w:tcBorders>
              <w:top w:val="nil"/>
              <w:left w:val="nil"/>
              <w:bottom w:val="single" w:sz="4" w:space="0" w:color="auto"/>
              <w:right w:val="single" w:sz="4" w:space="0" w:color="auto"/>
            </w:tcBorders>
            <w:shd w:val="clear" w:color="auto" w:fill="auto"/>
            <w:noWrap/>
            <w:vAlign w:val="bottom"/>
            <w:hideMark/>
          </w:tcPr>
          <w:p w14:paraId="4B5DD9F3"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75</w:t>
            </w:r>
            <w:r>
              <w:rPr>
                <w:color w:val="000000"/>
                <w:sz w:val="12"/>
                <w:szCs w:val="16"/>
                <w:lang w:val="es-CO" w:eastAsia="es-CO"/>
              </w:rPr>
              <w:t>.</w:t>
            </w:r>
            <w:r w:rsidRPr="00790D9C">
              <w:rPr>
                <w:color w:val="000000"/>
                <w:sz w:val="12"/>
                <w:szCs w:val="16"/>
                <w:lang w:val="es-CO" w:eastAsia="es-CO"/>
              </w:rPr>
              <w:t>269</w:t>
            </w:r>
            <w:r>
              <w:rPr>
                <w:color w:val="000000"/>
                <w:sz w:val="12"/>
                <w:szCs w:val="16"/>
                <w:lang w:val="es-CO" w:eastAsia="es-CO"/>
              </w:rPr>
              <w:t>.</w:t>
            </w:r>
            <w:r w:rsidRPr="00790D9C">
              <w:rPr>
                <w:color w:val="000000"/>
                <w:sz w:val="12"/>
                <w:szCs w:val="16"/>
                <w:lang w:val="es-CO" w:eastAsia="es-CO"/>
              </w:rPr>
              <w:t>785</w:t>
            </w:r>
          </w:p>
        </w:tc>
        <w:tc>
          <w:tcPr>
            <w:tcW w:w="1552" w:type="dxa"/>
            <w:tcBorders>
              <w:top w:val="nil"/>
              <w:left w:val="nil"/>
              <w:bottom w:val="single" w:sz="4" w:space="0" w:color="auto"/>
              <w:right w:val="single" w:sz="4" w:space="0" w:color="auto"/>
            </w:tcBorders>
            <w:shd w:val="clear" w:color="auto" w:fill="auto"/>
            <w:noWrap/>
            <w:vAlign w:val="bottom"/>
            <w:hideMark/>
          </w:tcPr>
          <w:p w14:paraId="6A7F15D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2874EB43"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2872383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40E46044"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75</w:t>
            </w:r>
            <w:r>
              <w:rPr>
                <w:color w:val="000000"/>
                <w:sz w:val="12"/>
                <w:szCs w:val="16"/>
                <w:lang w:val="es-CO" w:eastAsia="es-CO"/>
              </w:rPr>
              <w:t>.</w:t>
            </w:r>
            <w:r w:rsidRPr="00790D9C">
              <w:rPr>
                <w:color w:val="000000"/>
                <w:sz w:val="12"/>
                <w:szCs w:val="16"/>
                <w:lang w:val="es-CO" w:eastAsia="es-CO"/>
              </w:rPr>
              <w:t>270</w:t>
            </w:r>
          </w:p>
        </w:tc>
      </w:tr>
      <w:tr w:rsidR="00BA56AD" w:rsidRPr="00790D9C" w14:paraId="426732AE"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A48BDE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23A9D56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456BC64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TPE1/2ACO</w:t>
            </w:r>
          </w:p>
        </w:tc>
        <w:tc>
          <w:tcPr>
            <w:tcW w:w="1143" w:type="dxa"/>
            <w:tcBorders>
              <w:top w:val="nil"/>
              <w:left w:val="nil"/>
              <w:bottom w:val="single" w:sz="4" w:space="0" w:color="auto"/>
              <w:right w:val="single" w:sz="4" w:space="0" w:color="auto"/>
            </w:tcBorders>
            <w:shd w:val="clear" w:color="auto" w:fill="auto"/>
            <w:noWrap/>
            <w:vAlign w:val="bottom"/>
            <w:hideMark/>
          </w:tcPr>
          <w:p w14:paraId="52A1613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52</w:t>
            </w:r>
            <w:r>
              <w:rPr>
                <w:color w:val="000000"/>
                <w:sz w:val="12"/>
                <w:szCs w:val="16"/>
                <w:lang w:val="es-CO" w:eastAsia="es-CO"/>
              </w:rPr>
              <w:t>.</w:t>
            </w:r>
            <w:r w:rsidRPr="00790D9C">
              <w:rPr>
                <w:color w:val="000000"/>
                <w:sz w:val="12"/>
                <w:szCs w:val="16"/>
                <w:lang w:val="es-CO" w:eastAsia="es-CO"/>
              </w:rPr>
              <w:t>202</w:t>
            </w:r>
            <w:r>
              <w:rPr>
                <w:color w:val="000000"/>
                <w:sz w:val="12"/>
                <w:szCs w:val="16"/>
                <w:lang w:val="es-CO" w:eastAsia="es-CO"/>
              </w:rPr>
              <w:t>.</w:t>
            </w:r>
            <w:r w:rsidRPr="00790D9C">
              <w:rPr>
                <w:color w:val="000000"/>
                <w:sz w:val="12"/>
                <w:szCs w:val="16"/>
                <w:lang w:val="es-CO" w:eastAsia="es-CO"/>
              </w:rPr>
              <w:t>790</w:t>
            </w:r>
          </w:p>
        </w:tc>
        <w:tc>
          <w:tcPr>
            <w:tcW w:w="1552" w:type="dxa"/>
            <w:tcBorders>
              <w:top w:val="nil"/>
              <w:left w:val="nil"/>
              <w:bottom w:val="single" w:sz="4" w:space="0" w:color="auto"/>
              <w:right w:val="single" w:sz="4" w:space="0" w:color="auto"/>
            </w:tcBorders>
            <w:shd w:val="clear" w:color="auto" w:fill="auto"/>
            <w:noWrap/>
            <w:vAlign w:val="bottom"/>
            <w:hideMark/>
          </w:tcPr>
          <w:p w14:paraId="141A4369"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4E98C5DF"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55EBD4BA"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01</w:t>
            </w:r>
          </w:p>
        </w:tc>
        <w:tc>
          <w:tcPr>
            <w:tcW w:w="1095" w:type="dxa"/>
            <w:tcBorders>
              <w:top w:val="nil"/>
              <w:left w:val="nil"/>
              <w:bottom w:val="single" w:sz="4" w:space="0" w:color="auto"/>
              <w:right w:val="single" w:sz="4" w:space="0" w:color="auto"/>
            </w:tcBorders>
            <w:shd w:val="clear" w:color="auto" w:fill="auto"/>
            <w:noWrap/>
            <w:vAlign w:val="bottom"/>
            <w:hideMark/>
          </w:tcPr>
          <w:p w14:paraId="534CBFC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52</w:t>
            </w:r>
            <w:r>
              <w:rPr>
                <w:color w:val="000000"/>
                <w:sz w:val="12"/>
                <w:szCs w:val="16"/>
                <w:lang w:val="es-CO" w:eastAsia="es-CO"/>
              </w:rPr>
              <w:t>.</w:t>
            </w:r>
            <w:r w:rsidRPr="00790D9C">
              <w:rPr>
                <w:color w:val="000000"/>
                <w:sz w:val="12"/>
                <w:szCs w:val="16"/>
                <w:lang w:val="es-CO" w:eastAsia="es-CO"/>
              </w:rPr>
              <w:t>860</w:t>
            </w:r>
            <w:r>
              <w:rPr>
                <w:color w:val="000000"/>
                <w:sz w:val="12"/>
                <w:szCs w:val="16"/>
                <w:lang w:val="es-CO" w:eastAsia="es-CO"/>
              </w:rPr>
              <w:t>.</w:t>
            </w:r>
            <w:r w:rsidRPr="00790D9C">
              <w:rPr>
                <w:color w:val="000000"/>
                <w:sz w:val="12"/>
                <w:szCs w:val="16"/>
                <w:lang w:val="es-CO" w:eastAsia="es-CO"/>
              </w:rPr>
              <w:t>545</w:t>
            </w:r>
          </w:p>
        </w:tc>
      </w:tr>
      <w:tr w:rsidR="00BA56AD" w:rsidRPr="00790D9C" w14:paraId="4AAAC619"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C1005D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DBBFD2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0FEB1C3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TPE3/4ACO</w:t>
            </w:r>
          </w:p>
        </w:tc>
        <w:tc>
          <w:tcPr>
            <w:tcW w:w="1143" w:type="dxa"/>
            <w:tcBorders>
              <w:top w:val="nil"/>
              <w:left w:val="nil"/>
              <w:bottom w:val="single" w:sz="4" w:space="0" w:color="auto"/>
              <w:right w:val="single" w:sz="4" w:space="0" w:color="auto"/>
            </w:tcBorders>
            <w:shd w:val="clear" w:color="auto" w:fill="auto"/>
            <w:noWrap/>
            <w:vAlign w:val="bottom"/>
            <w:hideMark/>
          </w:tcPr>
          <w:p w14:paraId="49A6C838"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53</w:t>
            </w:r>
            <w:r>
              <w:rPr>
                <w:color w:val="000000"/>
                <w:sz w:val="12"/>
                <w:szCs w:val="16"/>
                <w:lang w:val="es-CO" w:eastAsia="es-CO"/>
              </w:rPr>
              <w:t>.</w:t>
            </w:r>
            <w:r w:rsidRPr="00790D9C">
              <w:rPr>
                <w:color w:val="000000"/>
                <w:sz w:val="12"/>
                <w:szCs w:val="16"/>
                <w:lang w:val="es-CO" w:eastAsia="es-CO"/>
              </w:rPr>
              <w:t>098</w:t>
            </w:r>
            <w:r>
              <w:rPr>
                <w:color w:val="000000"/>
                <w:sz w:val="12"/>
                <w:szCs w:val="16"/>
                <w:lang w:val="es-CO" w:eastAsia="es-CO"/>
              </w:rPr>
              <w:t>.</w:t>
            </w:r>
            <w:r w:rsidRPr="00790D9C">
              <w:rPr>
                <w:color w:val="000000"/>
                <w:sz w:val="12"/>
                <w:szCs w:val="16"/>
                <w:lang w:val="es-CO" w:eastAsia="es-CO"/>
              </w:rPr>
              <w:t>574</w:t>
            </w:r>
          </w:p>
        </w:tc>
        <w:tc>
          <w:tcPr>
            <w:tcW w:w="1552" w:type="dxa"/>
            <w:tcBorders>
              <w:top w:val="nil"/>
              <w:left w:val="nil"/>
              <w:bottom w:val="single" w:sz="4" w:space="0" w:color="auto"/>
              <w:right w:val="single" w:sz="4" w:space="0" w:color="auto"/>
            </w:tcBorders>
            <w:shd w:val="clear" w:color="auto" w:fill="auto"/>
            <w:noWrap/>
            <w:vAlign w:val="bottom"/>
            <w:hideMark/>
          </w:tcPr>
          <w:p w14:paraId="1E5BDC7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4524BB8F"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2D3C34F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21</w:t>
            </w:r>
          </w:p>
        </w:tc>
        <w:tc>
          <w:tcPr>
            <w:tcW w:w="1095" w:type="dxa"/>
            <w:tcBorders>
              <w:top w:val="nil"/>
              <w:left w:val="nil"/>
              <w:bottom w:val="single" w:sz="4" w:space="0" w:color="auto"/>
              <w:right w:val="single" w:sz="4" w:space="0" w:color="auto"/>
            </w:tcBorders>
            <w:shd w:val="clear" w:color="auto" w:fill="auto"/>
            <w:noWrap/>
            <w:vAlign w:val="bottom"/>
            <w:hideMark/>
          </w:tcPr>
          <w:p w14:paraId="79C9B828"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64</w:t>
            </w:r>
            <w:r>
              <w:rPr>
                <w:color w:val="000000"/>
                <w:sz w:val="12"/>
                <w:szCs w:val="16"/>
                <w:lang w:val="es-CO" w:eastAsia="es-CO"/>
              </w:rPr>
              <w:t>.</w:t>
            </w:r>
            <w:r w:rsidRPr="00790D9C">
              <w:rPr>
                <w:color w:val="000000"/>
                <w:sz w:val="12"/>
                <w:szCs w:val="16"/>
                <w:lang w:val="es-CO" w:eastAsia="es-CO"/>
              </w:rPr>
              <w:t>302</w:t>
            </w:r>
            <w:r>
              <w:rPr>
                <w:color w:val="000000"/>
                <w:sz w:val="12"/>
                <w:szCs w:val="16"/>
                <w:lang w:val="es-CO" w:eastAsia="es-CO"/>
              </w:rPr>
              <w:t>.</w:t>
            </w:r>
            <w:r w:rsidRPr="00790D9C">
              <w:rPr>
                <w:color w:val="000000"/>
                <w:sz w:val="12"/>
                <w:szCs w:val="16"/>
                <w:lang w:val="es-CO" w:eastAsia="es-CO"/>
              </w:rPr>
              <w:t>373</w:t>
            </w:r>
          </w:p>
        </w:tc>
      </w:tr>
      <w:tr w:rsidR="00BA56AD" w:rsidRPr="00790D9C" w14:paraId="392AB2EF"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47E98C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7B6FEA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22532A2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TPE2ACO</w:t>
            </w:r>
          </w:p>
        </w:tc>
        <w:tc>
          <w:tcPr>
            <w:tcW w:w="1143" w:type="dxa"/>
            <w:tcBorders>
              <w:top w:val="nil"/>
              <w:left w:val="nil"/>
              <w:bottom w:val="single" w:sz="4" w:space="0" w:color="auto"/>
              <w:right w:val="single" w:sz="4" w:space="0" w:color="auto"/>
            </w:tcBorders>
            <w:shd w:val="clear" w:color="auto" w:fill="auto"/>
            <w:noWrap/>
            <w:vAlign w:val="bottom"/>
            <w:hideMark/>
          </w:tcPr>
          <w:p w14:paraId="6B84CE7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67</w:t>
            </w:r>
            <w:r>
              <w:rPr>
                <w:color w:val="000000"/>
                <w:sz w:val="12"/>
                <w:szCs w:val="16"/>
                <w:lang w:val="es-CO" w:eastAsia="es-CO"/>
              </w:rPr>
              <w:t>.</w:t>
            </w:r>
            <w:r w:rsidRPr="00790D9C">
              <w:rPr>
                <w:color w:val="000000"/>
                <w:sz w:val="12"/>
                <w:szCs w:val="16"/>
                <w:lang w:val="es-CO" w:eastAsia="es-CO"/>
              </w:rPr>
              <w:t>285</w:t>
            </w:r>
            <w:r>
              <w:rPr>
                <w:color w:val="000000"/>
                <w:sz w:val="12"/>
                <w:szCs w:val="16"/>
                <w:lang w:val="es-CO" w:eastAsia="es-CO"/>
              </w:rPr>
              <w:t>.</w:t>
            </w:r>
            <w:r w:rsidRPr="00790D9C">
              <w:rPr>
                <w:color w:val="000000"/>
                <w:sz w:val="12"/>
                <w:szCs w:val="16"/>
                <w:lang w:val="es-CO" w:eastAsia="es-CO"/>
              </w:rPr>
              <w:t>854</w:t>
            </w:r>
          </w:p>
        </w:tc>
        <w:tc>
          <w:tcPr>
            <w:tcW w:w="1552" w:type="dxa"/>
            <w:tcBorders>
              <w:top w:val="nil"/>
              <w:left w:val="nil"/>
              <w:bottom w:val="single" w:sz="4" w:space="0" w:color="auto"/>
              <w:right w:val="single" w:sz="4" w:space="0" w:color="auto"/>
            </w:tcBorders>
            <w:shd w:val="clear" w:color="auto" w:fill="auto"/>
            <w:noWrap/>
            <w:vAlign w:val="bottom"/>
            <w:hideMark/>
          </w:tcPr>
          <w:p w14:paraId="60F1A33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310E614C"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0FB779E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51</w:t>
            </w:r>
          </w:p>
        </w:tc>
        <w:tc>
          <w:tcPr>
            <w:tcW w:w="1095" w:type="dxa"/>
            <w:tcBorders>
              <w:top w:val="nil"/>
              <w:left w:val="nil"/>
              <w:bottom w:val="single" w:sz="4" w:space="0" w:color="auto"/>
              <w:right w:val="single" w:sz="4" w:space="0" w:color="auto"/>
            </w:tcBorders>
            <w:shd w:val="clear" w:color="auto" w:fill="auto"/>
            <w:noWrap/>
            <w:vAlign w:val="bottom"/>
            <w:hideMark/>
          </w:tcPr>
          <w:p w14:paraId="0CCD405C"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33</w:t>
            </w:r>
            <w:r>
              <w:rPr>
                <w:color w:val="000000"/>
                <w:sz w:val="12"/>
                <w:szCs w:val="16"/>
                <w:lang w:val="es-CO" w:eastAsia="es-CO"/>
              </w:rPr>
              <w:t>.</w:t>
            </w:r>
            <w:r w:rsidRPr="00790D9C">
              <w:rPr>
                <w:color w:val="000000"/>
                <w:sz w:val="12"/>
                <w:szCs w:val="16"/>
                <w:lang w:val="es-CO" w:eastAsia="es-CO"/>
              </w:rPr>
              <w:t>999</w:t>
            </w:r>
            <w:r>
              <w:rPr>
                <w:color w:val="000000"/>
                <w:sz w:val="12"/>
                <w:szCs w:val="16"/>
                <w:lang w:val="es-CO" w:eastAsia="es-CO"/>
              </w:rPr>
              <w:t>.</w:t>
            </w:r>
            <w:r w:rsidRPr="00790D9C">
              <w:rPr>
                <w:color w:val="000000"/>
                <w:sz w:val="12"/>
                <w:szCs w:val="16"/>
                <w:lang w:val="es-CO" w:eastAsia="es-CO"/>
              </w:rPr>
              <w:t>542</w:t>
            </w:r>
          </w:p>
        </w:tc>
      </w:tr>
      <w:tr w:rsidR="00BA56AD" w:rsidRPr="00790D9C" w14:paraId="5758C59F"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61F466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68DDA80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1A82F12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TPE1/2TA</w:t>
            </w:r>
          </w:p>
        </w:tc>
        <w:tc>
          <w:tcPr>
            <w:tcW w:w="1143" w:type="dxa"/>
            <w:tcBorders>
              <w:top w:val="nil"/>
              <w:left w:val="nil"/>
              <w:bottom w:val="single" w:sz="4" w:space="0" w:color="auto"/>
              <w:right w:val="single" w:sz="4" w:space="0" w:color="auto"/>
            </w:tcBorders>
            <w:shd w:val="clear" w:color="auto" w:fill="auto"/>
            <w:noWrap/>
            <w:vAlign w:val="bottom"/>
            <w:hideMark/>
          </w:tcPr>
          <w:p w14:paraId="2C692C65"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55</w:t>
            </w:r>
            <w:r>
              <w:rPr>
                <w:color w:val="000000"/>
                <w:sz w:val="12"/>
                <w:szCs w:val="16"/>
                <w:lang w:val="es-CO" w:eastAsia="es-CO"/>
              </w:rPr>
              <w:t>.</w:t>
            </w:r>
            <w:r w:rsidRPr="00790D9C">
              <w:rPr>
                <w:color w:val="000000"/>
                <w:sz w:val="12"/>
                <w:szCs w:val="16"/>
                <w:lang w:val="es-CO" w:eastAsia="es-CO"/>
              </w:rPr>
              <w:t>278</w:t>
            </w:r>
            <w:r>
              <w:rPr>
                <w:color w:val="000000"/>
                <w:sz w:val="12"/>
                <w:szCs w:val="16"/>
                <w:lang w:val="es-CO" w:eastAsia="es-CO"/>
              </w:rPr>
              <w:t>.</w:t>
            </w:r>
            <w:r w:rsidRPr="00790D9C">
              <w:rPr>
                <w:color w:val="000000"/>
                <w:sz w:val="12"/>
                <w:szCs w:val="16"/>
                <w:lang w:val="es-CO" w:eastAsia="es-CO"/>
              </w:rPr>
              <w:t>936</w:t>
            </w:r>
          </w:p>
        </w:tc>
        <w:tc>
          <w:tcPr>
            <w:tcW w:w="1552" w:type="dxa"/>
            <w:tcBorders>
              <w:top w:val="nil"/>
              <w:left w:val="nil"/>
              <w:bottom w:val="single" w:sz="4" w:space="0" w:color="auto"/>
              <w:right w:val="single" w:sz="4" w:space="0" w:color="auto"/>
            </w:tcBorders>
            <w:shd w:val="clear" w:color="auto" w:fill="auto"/>
            <w:noWrap/>
            <w:vAlign w:val="bottom"/>
            <w:hideMark/>
          </w:tcPr>
          <w:p w14:paraId="59D8FB6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4308629"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0497CF81"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13</w:t>
            </w:r>
          </w:p>
        </w:tc>
        <w:tc>
          <w:tcPr>
            <w:tcW w:w="1095" w:type="dxa"/>
            <w:tcBorders>
              <w:top w:val="nil"/>
              <w:left w:val="nil"/>
              <w:bottom w:val="single" w:sz="4" w:space="0" w:color="auto"/>
              <w:right w:val="single" w:sz="4" w:space="0" w:color="auto"/>
            </w:tcBorders>
            <w:shd w:val="clear" w:color="auto" w:fill="auto"/>
            <w:noWrap/>
            <w:vAlign w:val="bottom"/>
            <w:hideMark/>
          </w:tcPr>
          <w:p w14:paraId="4F003E0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7</w:t>
            </w:r>
            <w:r>
              <w:rPr>
                <w:color w:val="000000"/>
                <w:sz w:val="12"/>
                <w:szCs w:val="16"/>
                <w:lang w:val="es-CO" w:eastAsia="es-CO"/>
              </w:rPr>
              <w:t>.</w:t>
            </w:r>
            <w:r w:rsidRPr="00790D9C">
              <w:rPr>
                <w:color w:val="000000"/>
                <w:sz w:val="12"/>
                <w:szCs w:val="16"/>
                <w:lang w:val="es-CO" w:eastAsia="es-CO"/>
              </w:rPr>
              <w:t>241</w:t>
            </w:r>
            <w:r>
              <w:rPr>
                <w:color w:val="000000"/>
                <w:sz w:val="12"/>
                <w:szCs w:val="16"/>
                <w:lang w:val="es-CO" w:eastAsia="es-CO"/>
              </w:rPr>
              <w:t>.</w:t>
            </w:r>
            <w:r w:rsidRPr="00790D9C">
              <w:rPr>
                <w:color w:val="000000"/>
                <w:sz w:val="12"/>
                <w:szCs w:val="16"/>
                <w:lang w:val="es-CO" w:eastAsia="es-CO"/>
              </w:rPr>
              <w:t>541</w:t>
            </w:r>
          </w:p>
        </w:tc>
      </w:tr>
      <w:tr w:rsidR="00BA56AD" w:rsidRPr="00790D9C" w14:paraId="5ED20105"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3A2434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02FAA39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64630B0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TPE3/4TA</w:t>
            </w:r>
          </w:p>
        </w:tc>
        <w:tc>
          <w:tcPr>
            <w:tcW w:w="1143" w:type="dxa"/>
            <w:tcBorders>
              <w:top w:val="nil"/>
              <w:left w:val="nil"/>
              <w:bottom w:val="single" w:sz="4" w:space="0" w:color="auto"/>
              <w:right w:val="single" w:sz="4" w:space="0" w:color="auto"/>
            </w:tcBorders>
            <w:shd w:val="clear" w:color="auto" w:fill="auto"/>
            <w:noWrap/>
            <w:vAlign w:val="bottom"/>
            <w:hideMark/>
          </w:tcPr>
          <w:p w14:paraId="46AA312F"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56</w:t>
            </w:r>
            <w:r>
              <w:rPr>
                <w:color w:val="000000"/>
                <w:sz w:val="12"/>
                <w:szCs w:val="16"/>
                <w:lang w:val="es-CO" w:eastAsia="es-CO"/>
              </w:rPr>
              <w:t>.</w:t>
            </w:r>
            <w:r w:rsidRPr="00790D9C">
              <w:rPr>
                <w:color w:val="000000"/>
                <w:sz w:val="12"/>
                <w:szCs w:val="16"/>
                <w:lang w:val="es-CO" w:eastAsia="es-CO"/>
              </w:rPr>
              <w:t>167</w:t>
            </w:r>
            <w:r>
              <w:rPr>
                <w:color w:val="000000"/>
                <w:sz w:val="12"/>
                <w:szCs w:val="16"/>
                <w:lang w:val="es-CO" w:eastAsia="es-CO"/>
              </w:rPr>
              <w:t>.</w:t>
            </w:r>
            <w:r w:rsidRPr="00790D9C">
              <w:rPr>
                <w:color w:val="000000"/>
                <w:sz w:val="12"/>
                <w:szCs w:val="16"/>
                <w:lang w:val="es-CO" w:eastAsia="es-CO"/>
              </w:rPr>
              <w:t>552</w:t>
            </w:r>
          </w:p>
        </w:tc>
        <w:tc>
          <w:tcPr>
            <w:tcW w:w="1552" w:type="dxa"/>
            <w:tcBorders>
              <w:top w:val="nil"/>
              <w:left w:val="nil"/>
              <w:bottom w:val="single" w:sz="4" w:space="0" w:color="auto"/>
              <w:right w:val="single" w:sz="4" w:space="0" w:color="auto"/>
            </w:tcBorders>
            <w:shd w:val="clear" w:color="auto" w:fill="auto"/>
            <w:noWrap/>
            <w:vAlign w:val="bottom"/>
            <w:hideMark/>
          </w:tcPr>
          <w:p w14:paraId="0A2DA04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136BAE13"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2501CB4C"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24</w:t>
            </w:r>
          </w:p>
        </w:tc>
        <w:tc>
          <w:tcPr>
            <w:tcW w:w="1095" w:type="dxa"/>
            <w:tcBorders>
              <w:top w:val="nil"/>
              <w:left w:val="nil"/>
              <w:bottom w:val="single" w:sz="4" w:space="0" w:color="auto"/>
              <w:right w:val="single" w:sz="4" w:space="0" w:color="auto"/>
            </w:tcBorders>
            <w:shd w:val="clear" w:color="auto" w:fill="auto"/>
            <w:noWrap/>
            <w:vAlign w:val="bottom"/>
            <w:hideMark/>
          </w:tcPr>
          <w:p w14:paraId="50E0E58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13</w:t>
            </w:r>
            <w:r>
              <w:rPr>
                <w:color w:val="000000"/>
                <w:sz w:val="12"/>
                <w:szCs w:val="16"/>
                <w:lang w:val="es-CO" w:eastAsia="es-CO"/>
              </w:rPr>
              <w:t>.</w:t>
            </w:r>
            <w:r w:rsidRPr="00790D9C">
              <w:rPr>
                <w:color w:val="000000"/>
                <w:sz w:val="12"/>
                <w:szCs w:val="16"/>
                <w:lang w:val="es-CO" w:eastAsia="es-CO"/>
              </w:rPr>
              <w:t>732</w:t>
            </w:r>
            <w:r>
              <w:rPr>
                <w:color w:val="000000"/>
                <w:sz w:val="12"/>
                <w:szCs w:val="16"/>
                <w:lang w:val="es-CO" w:eastAsia="es-CO"/>
              </w:rPr>
              <w:t>.</w:t>
            </w:r>
            <w:r w:rsidRPr="00790D9C">
              <w:rPr>
                <w:color w:val="000000"/>
                <w:sz w:val="12"/>
                <w:szCs w:val="16"/>
                <w:lang w:val="es-CO" w:eastAsia="es-CO"/>
              </w:rPr>
              <w:t>967</w:t>
            </w:r>
          </w:p>
        </w:tc>
      </w:tr>
      <w:tr w:rsidR="00BA56AD" w:rsidRPr="00790D9C" w14:paraId="56739B20"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97E17A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355D23C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51333EA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TPE2TA</w:t>
            </w:r>
          </w:p>
        </w:tc>
        <w:tc>
          <w:tcPr>
            <w:tcW w:w="1143" w:type="dxa"/>
            <w:tcBorders>
              <w:top w:val="nil"/>
              <w:left w:val="nil"/>
              <w:bottom w:val="single" w:sz="4" w:space="0" w:color="auto"/>
              <w:right w:val="single" w:sz="4" w:space="0" w:color="auto"/>
            </w:tcBorders>
            <w:shd w:val="clear" w:color="auto" w:fill="auto"/>
            <w:noWrap/>
            <w:vAlign w:val="bottom"/>
            <w:hideMark/>
          </w:tcPr>
          <w:p w14:paraId="35F82619"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70</w:t>
            </w:r>
            <w:r>
              <w:rPr>
                <w:color w:val="000000"/>
                <w:sz w:val="12"/>
                <w:szCs w:val="16"/>
                <w:lang w:val="es-CO" w:eastAsia="es-CO"/>
              </w:rPr>
              <w:t>.</w:t>
            </w:r>
            <w:r w:rsidRPr="00790D9C">
              <w:rPr>
                <w:color w:val="000000"/>
                <w:sz w:val="12"/>
                <w:szCs w:val="16"/>
                <w:lang w:val="es-CO" w:eastAsia="es-CO"/>
              </w:rPr>
              <w:t>281</w:t>
            </w:r>
            <w:r>
              <w:rPr>
                <w:color w:val="000000"/>
                <w:sz w:val="12"/>
                <w:szCs w:val="16"/>
                <w:lang w:val="es-CO" w:eastAsia="es-CO"/>
              </w:rPr>
              <w:t>.</w:t>
            </w:r>
            <w:r w:rsidRPr="00790D9C">
              <w:rPr>
                <w:color w:val="000000"/>
                <w:sz w:val="12"/>
                <w:szCs w:val="16"/>
                <w:lang w:val="es-CO" w:eastAsia="es-CO"/>
              </w:rPr>
              <w:t>222</w:t>
            </w:r>
          </w:p>
        </w:tc>
        <w:tc>
          <w:tcPr>
            <w:tcW w:w="1552" w:type="dxa"/>
            <w:tcBorders>
              <w:top w:val="nil"/>
              <w:left w:val="nil"/>
              <w:bottom w:val="single" w:sz="4" w:space="0" w:color="auto"/>
              <w:right w:val="single" w:sz="4" w:space="0" w:color="auto"/>
            </w:tcBorders>
            <w:shd w:val="clear" w:color="auto" w:fill="auto"/>
            <w:noWrap/>
            <w:vAlign w:val="bottom"/>
            <w:hideMark/>
          </w:tcPr>
          <w:p w14:paraId="0BDA703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60FAD5E"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327AE29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14</w:t>
            </w:r>
          </w:p>
        </w:tc>
        <w:tc>
          <w:tcPr>
            <w:tcW w:w="1095" w:type="dxa"/>
            <w:tcBorders>
              <w:top w:val="nil"/>
              <w:left w:val="nil"/>
              <w:bottom w:val="single" w:sz="4" w:space="0" w:color="auto"/>
              <w:right w:val="single" w:sz="4" w:space="0" w:color="auto"/>
            </w:tcBorders>
            <w:shd w:val="clear" w:color="auto" w:fill="auto"/>
            <w:noWrap/>
            <w:vAlign w:val="bottom"/>
            <w:hideMark/>
          </w:tcPr>
          <w:p w14:paraId="2F54775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9</w:t>
            </w:r>
            <w:r>
              <w:rPr>
                <w:color w:val="000000"/>
                <w:sz w:val="12"/>
                <w:szCs w:val="16"/>
                <w:lang w:val="es-CO" w:eastAsia="es-CO"/>
              </w:rPr>
              <w:t>.</w:t>
            </w:r>
            <w:r w:rsidRPr="00790D9C">
              <w:rPr>
                <w:color w:val="000000"/>
                <w:sz w:val="12"/>
                <w:szCs w:val="16"/>
                <w:lang w:val="es-CO" w:eastAsia="es-CO"/>
              </w:rPr>
              <w:t>537</w:t>
            </w:r>
            <w:r>
              <w:rPr>
                <w:color w:val="000000"/>
                <w:sz w:val="12"/>
                <w:szCs w:val="16"/>
                <w:lang w:val="es-CO" w:eastAsia="es-CO"/>
              </w:rPr>
              <w:t>.</w:t>
            </w:r>
            <w:r w:rsidRPr="00790D9C">
              <w:rPr>
                <w:color w:val="000000"/>
                <w:sz w:val="12"/>
                <w:szCs w:val="16"/>
                <w:lang w:val="es-CO" w:eastAsia="es-CO"/>
              </w:rPr>
              <w:t>162</w:t>
            </w:r>
          </w:p>
        </w:tc>
      </w:tr>
      <w:tr w:rsidR="00BA56AD" w:rsidRPr="00790D9C" w14:paraId="597EF96C"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C12F5E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6E6FE87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5635353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TPE1/2ZV</w:t>
            </w:r>
          </w:p>
        </w:tc>
        <w:tc>
          <w:tcPr>
            <w:tcW w:w="1143" w:type="dxa"/>
            <w:tcBorders>
              <w:top w:val="nil"/>
              <w:left w:val="nil"/>
              <w:bottom w:val="single" w:sz="4" w:space="0" w:color="auto"/>
              <w:right w:val="single" w:sz="4" w:space="0" w:color="auto"/>
            </w:tcBorders>
            <w:shd w:val="clear" w:color="auto" w:fill="auto"/>
            <w:noWrap/>
            <w:vAlign w:val="bottom"/>
            <w:hideMark/>
          </w:tcPr>
          <w:p w14:paraId="5247EDC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18</w:t>
            </w:r>
            <w:r>
              <w:rPr>
                <w:color w:val="000000"/>
                <w:sz w:val="12"/>
                <w:szCs w:val="16"/>
                <w:lang w:val="es-CO" w:eastAsia="es-CO"/>
              </w:rPr>
              <w:t>.</w:t>
            </w:r>
            <w:r w:rsidRPr="00790D9C">
              <w:rPr>
                <w:color w:val="000000"/>
                <w:sz w:val="12"/>
                <w:szCs w:val="16"/>
                <w:lang w:val="es-CO" w:eastAsia="es-CO"/>
              </w:rPr>
              <w:t>486</w:t>
            </w:r>
            <w:r>
              <w:rPr>
                <w:color w:val="000000"/>
                <w:sz w:val="12"/>
                <w:szCs w:val="16"/>
                <w:lang w:val="es-CO" w:eastAsia="es-CO"/>
              </w:rPr>
              <w:t>.</w:t>
            </w:r>
            <w:r w:rsidRPr="00790D9C">
              <w:rPr>
                <w:color w:val="000000"/>
                <w:sz w:val="12"/>
                <w:szCs w:val="16"/>
                <w:lang w:val="es-CO" w:eastAsia="es-CO"/>
              </w:rPr>
              <w:t>372</w:t>
            </w:r>
          </w:p>
        </w:tc>
        <w:tc>
          <w:tcPr>
            <w:tcW w:w="1552" w:type="dxa"/>
            <w:tcBorders>
              <w:top w:val="nil"/>
              <w:left w:val="nil"/>
              <w:bottom w:val="single" w:sz="4" w:space="0" w:color="auto"/>
              <w:right w:val="single" w:sz="4" w:space="0" w:color="auto"/>
            </w:tcBorders>
            <w:shd w:val="clear" w:color="auto" w:fill="auto"/>
            <w:noWrap/>
            <w:vAlign w:val="bottom"/>
            <w:hideMark/>
          </w:tcPr>
          <w:p w14:paraId="2C79C0D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5E8A265"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58AADAC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67</w:t>
            </w:r>
          </w:p>
        </w:tc>
        <w:tc>
          <w:tcPr>
            <w:tcW w:w="1095" w:type="dxa"/>
            <w:tcBorders>
              <w:top w:val="nil"/>
              <w:left w:val="nil"/>
              <w:bottom w:val="single" w:sz="4" w:space="0" w:color="auto"/>
              <w:right w:val="single" w:sz="4" w:space="0" w:color="auto"/>
            </w:tcBorders>
            <w:shd w:val="clear" w:color="auto" w:fill="auto"/>
            <w:noWrap/>
            <w:vAlign w:val="bottom"/>
            <w:hideMark/>
          </w:tcPr>
          <w:p w14:paraId="2D98C9B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49</w:t>
            </w:r>
            <w:r>
              <w:rPr>
                <w:color w:val="000000"/>
                <w:sz w:val="12"/>
                <w:szCs w:val="16"/>
                <w:lang w:val="es-CO" w:eastAsia="es-CO"/>
              </w:rPr>
              <w:t>.</w:t>
            </w:r>
            <w:r w:rsidRPr="00790D9C">
              <w:rPr>
                <w:color w:val="000000"/>
                <w:sz w:val="12"/>
                <w:szCs w:val="16"/>
                <w:lang w:val="es-CO" w:eastAsia="es-CO"/>
              </w:rPr>
              <w:t>314</w:t>
            </w:r>
            <w:r>
              <w:rPr>
                <w:color w:val="000000"/>
                <w:sz w:val="12"/>
                <w:szCs w:val="16"/>
                <w:lang w:val="es-CO" w:eastAsia="es-CO"/>
              </w:rPr>
              <w:t>.</w:t>
            </w:r>
            <w:r w:rsidRPr="00790D9C">
              <w:rPr>
                <w:color w:val="000000"/>
                <w:sz w:val="12"/>
                <w:szCs w:val="16"/>
                <w:lang w:val="es-CO" w:eastAsia="es-CO"/>
              </w:rPr>
              <w:t>247</w:t>
            </w:r>
          </w:p>
        </w:tc>
      </w:tr>
      <w:tr w:rsidR="00BA56AD" w:rsidRPr="00790D9C" w14:paraId="5894C817"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73387D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0EEE1FC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6045569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TPE3/4ZV</w:t>
            </w:r>
          </w:p>
        </w:tc>
        <w:tc>
          <w:tcPr>
            <w:tcW w:w="1143" w:type="dxa"/>
            <w:tcBorders>
              <w:top w:val="nil"/>
              <w:left w:val="nil"/>
              <w:bottom w:val="single" w:sz="4" w:space="0" w:color="auto"/>
              <w:right w:val="single" w:sz="4" w:space="0" w:color="auto"/>
            </w:tcBorders>
            <w:shd w:val="clear" w:color="auto" w:fill="auto"/>
            <w:noWrap/>
            <w:vAlign w:val="bottom"/>
            <w:hideMark/>
          </w:tcPr>
          <w:p w14:paraId="5F174454"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19</w:t>
            </w:r>
            <w:r>
              <w:rPr>
                <w:color w:val="000000"/>
                <w:sz w:val="12"/>
                <w:szCs w:val="16"/>
                <w:lang w:val="es-CO" w:eastAsia="es-CO"/>
              </w:rPr>
              <w:t>.</w:t>
            </w:r>
            <w:r w:rsidRPr="00790D9C">
              <w:rPr>
                <w:color w:val="000000"/>
                <w:sz w:val="12"/>
                <w:szCs w:val="16"/>
                <w:lang w:val="es-CO" w:eastAsia="es-CO"/>
              </w:rPr>
              <w:t>417</w:t>
            </w:r>
            <w:r>
              <w:rPr>
                <w:color w:val="000000"/>
                <w:sz w:val="12"/>
                <w:szCs w:val="16"/>
                <w:lang w:val="es-CO" w:eastAsia="es-CO"/>
              </w:rPr>
              <w:t>.</w:t>
            </w:r>
            <w:r w:rsidRPr="00790D9C">
              <w:rPr>
                <w:color w:val="000000"/>
                <w:sz w:val="12"/>
                <w:szCs w:val="16"/>
                <w:lang w:val="es-CO" w:eastAsia="es-CO"/>
              </w:rPr>
              <w:t>002</w:t>
            </w:r>
          </w:p>
        </w:tc>
        <w:tc>
          <w:tcPr>
            <w:tcW w:w="1552" w:type="dxa"/>
            <w:tcBorders>
              <w:top w:val="nil"/>
              <w:left w:val="nil"/>
              <w:bottom w:val="single" w:sz="4" w:space="0" w:color="auto"/>
              <w:right w:val="single" w:sz="4" w:space="0" w:color="auto"/>
            </w:tcBorders>
            <w:shd w:val="clear" w:color="auto" w:fill="auto"/>
            <w:noWrap/>
            <w:vAlign w:val="bottom"/>
            <w:hideMark/>
          </w:tcPr>
          <w:p w14:paraId="1AA53F2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0759A6E"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4AB25C2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5</w:t>
            </w:r>
            <w:r>
              <w:rPr>
                <w:color w:val="000000"/>
                <w:sz w:val="12"/>
                <w:szCs w:val="16"/>
                <w:lang w:val="es-CO" w:eastAsia="es-CO"/>
              </w:rPr>
              <w:t>,</w:t>
            </w:r>
            <w:r w:rsidRPr="00790D9C">
              <w:rPr>
                <w:color w:val="000000"/>
                <w:sz w:val="12"/>
                <w:szCs w:val="16"/>
                <w:lang w:val="es-CO" w:eastAsia="es-CO"/>
              </w:rPr>
              <w:t>06</w:t>
            </w:r>
          </w:p>
        </w:tc>
        <w:tc>
          <w:tcPr>
            <w:tcW w:w="1095" w:type="dxa"/>
            <w:tcBorders>
              <w:top w:val="nil"/>
              <w:left w:val="nil"/>
              <w:bottom w:val="single" w:sz="4" w:space="0" w:color="auto"/>
              <w:right w:val="single" w:sz="4" w:space="0" w:color="auto"/>
            </w:tcBorders>
            <w:shd w:val="clear" w:color="auto" w:fill="auto"/>
            <w:noWrap/>
            <w:vAlign w:val="bottom"/>
            <w:hideMark/>
          </w:tcPr>
          <w:p w14:paraId="378731F8"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98</w:t>
            </w:r>
            <w:r>
              <w:rPr>
                <w:color w:val="000000"/>
                <w:sz w:val="12"/>
                <w:szCs w:val="16"/>
                <w:lang w:val="es-CO" w:eastAsia="es-CO"/>
              </w:rPr>
              <w:t>.</w:t>
            </w:r>
            <w:r w:rsidRPr="00790D9C">
              <w:rPr>
                <w:color w:val="000000"/>
                <w:sz w:val="12"/>
                <w:szCs w:val="16"/>
                <w:lang w:val="es-CO" w:eastAsia="es-CO"/>
              </w:rPr>
              <w:t>170</w:t>
            </w:r>
            <w:r>
              <w:rPr>
                <w:color w:val="000000"/>
                <w:sz w:val="12"/>
                <w:szCs w:val="16"/>
                <w:lang w:val="es-CO" w:eastAsia="es-CO"/>
              </w:rPr>
              <w:t>.</w:t>
            </w:r>
            <w:r w:rsidRPr="00790D9C">
              <w:rPr>
                <w:color w:val="000000"/>
                <w:sz w:val="12"/>
                <w:szCs w:val="16"/>
                <w:lang w:val="es-CO" w:eastAsia="es-CO"/>
              </w:rPr>
              <w:t>418</w:t>
            </w:r>
          </w:p>
        </w:tc>
      </w:tr>
      <w:tr w:rsidR="00BA56AD" w:rsidRPr="00790D9C" w14:paraId="271DF0FB"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ECD01C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79C93C6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3820105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TPE2ZV</w:t>
            </w:r>
          </w:p>
        </w:tc>
        <w:tc>
          <w:tcPr>
            <w:tcW w:w="1143" w:type="dxa"/>
            <w:tcBorders>
              <w:top w:val="nil"/>
              <w:left w:val="nil"/>
              <w:bottom w:val="single" w:sz="4" w:space="0" w:color="auto"/>
              <w:right w:val="single" w:sz="4" w:space="0" w:color="auto"/>
            </w:tcBorders>
            <w:shd w:val="clear" w:color="auto" w:fill="auto"/>
            <w:noWrap/>
            <w:vAlign w:val="bottom"/>
            <w:hideMark/>
          </w:tcPr>
          <w:p w14:paraId="411FC56D"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33</w:t>
            </w:r>
            <w:r>
              <w:rPr>
                <w:color w:val="000000"/>
                <w:sz w:val="12"/>
                <w:szCs w:val="16"/>
                <w:lang w:val="es-CO" w:eastAsia="es-CO"/>
              </w:rPr>
              <w:t>.</w:t>
            </w:r>
            <w:r w:rsidRPr="00790D9C">
              <w:rPr>
                <w:color w:val="000000"/>
                <w:sz w:val="12"/>
                <w:szCs w:val="16"/>
                <w:lang w:val="es-CO" w:eastAsia="es-CO"/>
              </w:rPr>
              <w:t>719</w:t>
            </w:r>
            <w:r>
              <w:rPr>
                <w:color w:val="000000"/>
                <w:sz w:val="12"/>
                <w:szCs w:val="16"/>
                <w:lang w:val="es-CO" w:eastAsia="es-CO"/>
              </w:rPr>
              <w:t>.</w:t>
            </w:r>
            <w:r w:rsidRPr="00790D9C">
              <w:rPr>
                <w:color w:val="000000"/>
                <w:sz w:val="12"/>
                <w:szCs w:val="16"/>
                <w:lang w:val="es-CO" w:eastAsia="es-CO"/>
              </w:rPr>
              <w:t>985</w:t>
            </w:r>
          </w:p>
        </w:tc>
        <w:tc>
          <w:tcPr>
            <w:tcW w:w="1552" w:type="dxa"/>
            <w:tcBorders>
              <w:top w:val="nil"/>
              <w:left w:val="nil"/>
              <w:bottom w:val="single" w:sz="4" w:space="0" w:color="auto"/>
              <w:right w:val="single" w:sz="4" w:space="0" w:color="auto"/>
            </w:tcBorders>
            <w:shd w:val="clear" w:color="auto" w:fill="auto"/>
            <w:noWrap/>
            <w:vAlign w:val="bottom"/>
            <w:hideMark/>
          </w:tcPr>
          <w:p w14:paraId="7AE5CF0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D44E124"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367DFD91"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90</w:t>
            </w:r>
          </w:p>
        </w:tc>
        <w:tc>
          <w:tcPr>
            <w:tcW w:w="1095" w:type="dxa"/>
            <w:tcBorders>
              <w:top w:val="nil"/>
              <w:left w:val="nil"/>
              <w:bottom w:val="single" w:sz="4" w:space="0" w:color="auto"/>
              <w:right w:val="single" w:sz="4" w:space="0" w:color="auto"/>
            </w:tcBorders>
            <w:shd w:val="clear" w:color="auto" w:fill="auto"/>
            <w:noWrap/>
            <w:vAlign w:val="bottom"/>
            <w:hideMark/>
          </w:tcPr>
          <w:p w14:paraId="1A757533"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63</w:t>
            </w:r>
            <w:r>
              <w:rPr>
                <w:color w:val="000000"/>
                <w:sz w:val="12"/>
                <w:szCs w:val="16"/>
                <w:lang w:val="es-CO" w:eastAsia="es-CO"/>
              </w:rPr>
              <w:t>.</w:t>
            </w:r>
            <w:r w:rsidRPr="00790D9C">
              <w:rPr>
                <w:color w:val="000000"/>
                <w:sz w:val="12"/>
                <w:szCs w:val="16"/>
                <w:lang w:val="es-CO" w:eastAsia="es-CO"/>
              </w:rPr>
              <w:t>899</w:t>
            </w:r>
            <w:r>
              <w:rPr>
                <w:color w:val="000000"/>
                <w:sz w:val="12"/>
                <w:szCs w:val="16"/>
                <w:lang w:val="es-CO" w:eastAsia="es-CO"/>
              </w:rPr>
              <w:t>.</w:t>
            </w:r>
            <w:r w:rsidRPr="00790D9C">
              <w:rPr>
                <w:color w:val="000000"/>
                <w:sz w:val="12"/>
                <w:szCs w:val="16"/>
                <w:lang w:val="es-CO" w:eastAsia="es-CO"/>
              </w:rPr>
              <w:t>371</w:t>
            </w:r>
          </w:p>
        </w:tc>
      </w:tr>
      <w:tr w:rsidR="00BA56AD" w:rsidRPr="00790D9C" w14:paraId="26B551AB"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2B2A3A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A3D08A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Estación GNC 200 m3/hora</w:t>
            </w:r>
          </w:p>
        </w:tc>
        <w:tc>
          <w:tcPr>
            <w:tcW w:w="862" w:type="dxa"/>
            <w:tcBorders>
              <w:top w:val="nil"/>
              <w:left w:val="nil"/>
              <w:bottom w:val="single" w:sz="4" w:space="0" w:color="auto"/>
              <w:right w:val="single" w:sz="4" w:space="0" w:color="auto"/>
            </w:tcBorders>
            <w:shd w:val="clear" w:color="auto" w:fill="auto"/>
            <w:noWrap/>
            <w:vAlign w:val="bottom"/>
            <w:hideMark/>
          </w:tcPr>
          <w:p w14:paraId="7282818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RM200</w:t>
            </w:r>
          </w:p>
        </w:tc>
        <w:tc>
          <w:tcPr>
            <w:tcW w:w="1143" w:type="dxa"/>
            <w:tcBorders>
              <w:top w:val="nil"/>
              <w:left w:val="nil"/>
              <w:bottom w:val="single" w:sz="4" w:space="0" w:color="auto"/>
              <w:right w:val="single" w:sz="4" w:space="0" w:color="auto"/>
            </w:tcBorders>
            <w:shd w:val="clear" w:color="auto" w:fill="auto"/>
            <w:noWrap/>
            <w:vAlign w:val="bottom"/>
            <w:hideMark/>
          </w:tcPr>
          <w:p w14:paraId="13AF1599"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372</w:t>
            </w:r>
            <w:r>
              <w:rPr>
                <w:color w:val="000000"/>
                <w:sz w:val="12"/>
                <w:szCs w:val="16"/>
                <w:lang w:val="es-CO" w:eastAsia="es-CO"/>
              </w:rPr>
              <w:t>.</w:t>
            </w:r>
            <w:r w:rsidRPr="00790D9C">
              <w:rPr>
                <w:color w:val="000000"/>
                <w:sz w:val="12"/>
                <w:szCs w:val="16"/>
                <w:lang w:val="es-CO" w:eastAsia="es-CO"/>
              </w:rPr>
              <w:t>885</w:t>
            </w:r>
            <w:r>
              <w:rPr>
                <w:color w:val="000000"/>
                <w:sz w:val="12"/>
                <w:szCs w:val="16"/>
                <w:lang w:val="es-CO" w:eastAsia="es-CO"/>
              </w:rPr>
              <w:t>.</w:t>
            </w:r>
            <w:r w:rsidRPr="00790D9C">
              <w:rPr>
                <w:color w:val="000000"/>
                <w:sz w:val="12"/>
                <w:szCs w:val="16"/>
                <w:lang w:val="es-CO" w:eastAsia="es-CO"/>
              </w:rPr>
              <w:t>901</w:t>
            </w:r>
          </w:p>
        </w:tc>
        <w:tc>
          <w:tcPr>
            <w:tcW w:w="1552" w:type="dxa"/>
            <w:tcBorders>
              <w:top w:val="nil"/>
              <w:left w:val="nil"/>
              <w:bottom w:val="single" w:sz="4" w:space="0" w:color="auto"/>
              <w:right w:val="single" w:sz="4" w:space="0" w:color="auto"/>
            </w:tcBorders>
            <w:shd w:val="clear" w:color="auto" w:fill="auto"/>
            <w:noWrap/>
            <w:vAlign w:val="bottom"/>
            <w:hideMark/>
          </w:tcPr>
          <w:p w14:paraId="3EDC391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21861AA4"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30B8DAC6"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3EADA590"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372</w:t>
            </w:r>
            <w:r>
              <w:rPr>
                <w:color w:val="000000"/>
                <w:sz w:val="12"/>
                <w:szCs w:val="16"/>
                <w:lang w:val="es-CO" w:eastAsia="es-CO"/>
              </w:rPr>
              <w:t>.</w:t>
            </w:r>
            <w:r w:rsidRPr="00790D9C">
              <w:rPr>
                <w:color w:val="000000"/>
                <w:sz w:val="12"/>
                <w:szCs w:val="16"/>
                <w:lang w:val="es-CO" w:eastAsia="es-CO"/>
              </w:rPr>
              <w:t>885</w:t>
            </w:r>
            <w:r>
              <w:rPr>
                <w:color w:val="000000"/>
                <w:sz w:val="12"/>
                <w:szCs w:val="16"/>
                <w:lang w:val="es-CO" w:eastAsia="es-CO"/>
              </w:rPr>
              <w:t>.</w:t>
            </w:r>
            <w:r w:rsidRPr="00790D9C">
              <w:rPr>
                <w:color w:val="000000"/>
                <w:sz w:val="12"/>
                <w:szCs w:val="16"/>
                <w:lang w:val="es-CO" w:eastAsia="es-CO"/>
              </w:rPr>
              <w:t>901</w:t>
            </w:r>
          </w:p>
        </w:tc>
      </w:tr>
      <w:tr w:rsidR="00BA56AD" w:rsidRPr="00790D9C" w14:paraId="318E2D25"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50AC41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912992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Paso Especial 14 Metros</w:t>
            </w:r>
          </w:p>
        </w:tc>
        <w:tc>
          <w:tcPr>
            <w:tcW w:w="862" w:type="dxa"/>
            <w:tcBorders>
              <w:top w:val="nil"/>
              <w:left w:val="nil"/>
              <w:bottom w:val="single" w:sz="4" w:space="0" w:color="auto"/>
              <w:right w:val="single" w:sz="4" w:space="0" w:color="auto"/>
            </w:tcBorders>
            <w:shd w:val="clear" w:color="auto" w:fill="auto"/>
            <w:noWrap/>
            <w:vAlign w:val="bottom"/>
            <w:hideMark/>
          </w:tcPr>
          <w:p w14:paraId="398B2AD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TMP-3</w:t>
            </w:r>
          </w:p>
        </w:tc>
        <w:tc>
          <w:tcPr>
            <w:tcW w:w="1143" w:type="dxa"/>
            <w:tcBorders>
              <w:top w:val="nil"/>
              <w:left w:val="nil"/>
              <w:bottom w:val="single" w:sz="4" w:space="0" w:color="auto"/>
              <w:right w:val="single" w:sz="4" w:space="0" w:color="auto"/>
            </w:tcBorders>
            <w:shd w:val="clear" w:color="auto" w:fill="auto"/>
            <w:noWrap/>
            <w:vAlign w:val="bottom"/>
            <w:hideMark/>
          </w:tcPr>
          <w:p w14:paraId="2AF8401F"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11</w:t>
            </w:r>
            <w:r>
              <w:rPr>
                <w:color w:val="000000"/>
                <w:sz w:val="12"/>
                <w:szCs w:val="16"/>
                <w:lang w:val="es-CO" w:eastAsia="es-CO"/>
              </w:rPr>
              <w:t>.</w:t>
            </w:r>
            <w:r w:rsidRPr="00790D9C">
              <w:rPr>
                <w:color w:val="000000"/>
                <w:sz w:val="12"/>
                <w:szCs w:val="16"/>
                <w:lang w:val="es-CO" w:eastAsia="es-CO"/>
              </w:rPr>
              <w:t>182</w:t>
            </w:r>
            <w:r>
              <w:rPr>
                <w:color w:val="000000"/>
                <w:sz w:val="12"/>
                <w:szCs w:val="16"/>
                <w:lang w:val="es-CO" w:eastAsia="es-CO"/>
              </w:rPr>
              <w:t>.</w:t>
            </w:r>
            <w:r w:rsidRPr="00790D9C">
              <w:rPr>
                <w:color w:val="000000"/>
                <w:sz w:val="12"/>
                <w:szCs w:val="16"/>
                <w:lang w:val="es-CO" w:eastAsia="es-CO"/>
              </w:rPr>
              <w:t>819</w:t>
            </w:r>
          </w:p>
        </w:tc>
        <w:tc>
          <w:tcPr>
            <w:tcW w:w="1552" w:type="dxa"/>
            <w:tcBorders>
              <w:top w:val="nil"/>
              <w:left w:val="nil"/>
              <w:bottom w:val="single" w:sz="4" w:space="0" w:color="auto"/>
              <w:right w:val="single" w:sz="4" w:space="0" w:color="auto"/>
            </w:tcBorders>
            <w:shd w:val="clear" w:color="auto" w:fill="auto"/>
            <w:noWrap/>
            <w:vAlign w:val="bottom"/>
            <w:hideMark/>
          </w:tcPr>
          <w:p w14:paraId="10C0A4F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Especiales</w:t>
            </w:r>
          </w:p>
        </w:tc>
        <w:tc>
          <w:tcPr>
            <w:tcW w:w="1177" w:type="dxa"/>
            <w:tcBorders>
              <w:top w:val="nil"/>
              <w:left w:val="nil"/>
              <w:bottom w:val="single" w:sz="4" w:space="0" w:color="auto"/>
              <w:right w:val="single" w:sz="4" w:space="0" w:color="auto"/>
            </w:tcBorders>
            <w:shd w:val="clear" w:color="auto" w:fill="auto"/>
            <w:noWrap/>
            <w:vAlign w:val="bottom"/>
            <w:hideMark/>
          </w:tcPr>
          <w:p w14:paraId="4984E74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0AA86E73"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7AA1F057"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11</w:t>
            </w:r>
            <w:r>
              <w:rPr>
                <w:color w:val="000000"/>
                <w:sz w:val="12"/>
                <w:szCs w:val="16"/>
                <w:lang w:val="es-CO" w:eastAsia="es-CO"/>
              </w:rPr>
              <w:t>.</w:t>
            </w:r>
            <w:r w:rsidRPr="00790D9C">
              <w:rPr>
                <w:color w:val="000000"/>
                <w:sz w:val="12"/>
                <w:szCs w:val="16"/>
                <w:lang w:val="es-CO" w:eastAsia="es-CO"/>
              </w:rPr>
              <w:t>182</w:t>
            </w:r>
            <w:r>
              <w:rPr>
                <w:color w:val="000000"/>
                <w:sz w:val="12"/>
                <w:szCs w:val="16"/>
                <w:lang w:val="es-CO" w:eastAsia="es-CO"/>
              </w:rPr>
              <w:t>.</w:t>
            </w:r>
            <w:r w:rsidRPr="00790D9C">
              <w:rPr>
                <w:color w:val="000000"/>
                <w:sz w:val="12"/>
                <w:szCs w:val="16"/>
                <w:lang w:val="es-CO" w:eastAsia="es-CO"/>
              </w:rPr>
              <w:t>819</w:t>
            </w:r>
          </w:p>
        </w:tc>
      </w:tr>
      <w:tr w:rsidR="00BA56AD" w:rsidRPr="00790D9C" w14:paraId="48F49634"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666C1E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Morelia-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F289B9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Paso Especial 4 Metros</w:t>
            </w:r>
          </w:p>
        </w:tc>
        <w:tc>
          <w:tcPr>
            <w:tcW w:w="862" w:type="dxa"/>
            <w:tcBorders>
              <w:top w:val="nil"/>
              <w:left w:val="nil"/>
              <w:bottom w:val="single" w:sz="4" w:space="0" w:color="auto"/>
              <w:right w:val="single" w:sz="4" w:space="0" w:color="auto"/>
            </w:tcBorders>
            <w:shd w:val="clear" w:color="auto" w:fill="auto"/>
            <w:noWrap/>
            <w:vAlign w:val="bottom"/>
            <w:hideMark/>
          </w:tcPr>
          <w:p w14:paraId="73E6F62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TMP-6</w:t>
            </w:r>
          </w:p>
        </w:tc>
        <w:tc>
          <w:tcPr>
            <w:tcW w:w="1143" w:type="dxa"/>
            <w:tcBorders>
              <w:top w:val="nil"/>
              <w:left w:val="nil"/>
              <w:bottom w:val="single" w:sz="4" w:space="0" w:color="auto"/>
              <w:right w:val="single" w:sz="4" w:space="0" w:color="auto"/>
            </w:tcBorders>
            <w:shd w:val="clear" w:color="auto" w:fill="auto"/>
            <w:noWrap/>
            <w:vAlign w:val="bottom"/>
            <w:hideMark/>
          </w:tcPr>
          <w:p w14:paraId="7E7E3CBC"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592</w:t>
            </w:r>
            <w:r>
              <w:rPr>
                <w:color w:val="000000"/>
                <w:sz w:val="12"/>
                <w:szCs w:val="16"/>
                <w:lang w:val="es-CO" w:eastAsia="es-CO"/>
              </w:rPr>
              <w:t>.</w:t>
            </w:r>
            <w:r w:rsidRPr="00790D9C">
              <w:rPr>
                <w:color w:val="000000"/>
                <w:sz w:val="12"/>
                <w:szCs w:val="16"/>
                <w:lang w:val="es-CO" w:eastAsia="es-CO"/>
              </w:rPr>
              <w:t>228</w:t>
            </w:r>
          </w:p>
        </w:tc>
        <w:tc>
          <w:tcPr>
            <w:tcW w:w="1552" w:type="dxa"/>
            <w:tcBorders>
              <w:top w:val="nil"/>
              <w:left w:val="nil"/>
              <w:bottom w:val="single" w:sz="4" w:space="0" w:color="auto"/>
              <w:right w:val="single" w:sz="4" w:space="0" w:color="auto"/>
            </w:tcBorders>
            <w:shd w:val="clear" w:color="auto" w:fill="auto"/>
            <w:noWrap/>
            <w:vAlign w:val="bottom"/>
            <w:hideMark/>
          </w:tcPr>
          <w:p w14:paraId="4BED013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Especiales</w:t>
            </w:r>
          </w:p>
        </w:tc>
        <w:tc>
          <w:tcPr>
            <w:tcW w:w="1177" w:type="dxa"/>
            <w:tcBorders>
              <w:top w:val="nil"/>
              <w:left w:val="nil"/>
              <w:bottom w:val="single" w:sz="4" w:space="0" w:color="auto"/>
              <w:right w:val="single" w:sz="4" w:space="0" w:color="auto"/>
            </w:tcBorders>
            <w:shd w:val="clear" w:color="auto" w:fill="auto"/>
            <w:noWrap/>
            <w:vAlign w:val="bottom"/>
            <w:hideMark/>
          </w:tcPr>
          <w:p w14:paraId="5E53893E"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45C50490"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324CD783"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5</w:t>
            </w:r>
            <w:r>
              <w:rPr>
                <w:color w:val="000000"/>
                <w:sz w:val="12"/>
                <w:szCs w:val="16"/>
                <w:lang w:val="es-CO" w:eastAsia="es-CO"/>
              </w:rPr>
              <w:t>.</w:t>
            </w:r>
            <w:r w:rsidRPr="00790D9C">
              <w:rPr>
                <w:color w:val="000000"/>
                <w:sz w:val="12"/>
                <w:szCs w:val="16"/>
                <w:lang w:val="es-CO" w:eastAsia="es-CO"/>
              </w:rPr>
              <w:t>184</w:t>
            </w:r>
            <w:r>
              <w:rPr>
                <w:color w:val="000000"/>
                <w:sz w:val="12"/>
                <w:szCs w:val="16"/>
                <w:lang w:val="es-CO" w:eastAsia="es-CO"/>
              </w:rPr>
              <w:t>.</w:t>
            </w:r>
            <w:r w:rsidRPr="00790D9C">
              <w:rPr>
                <w:color w:val="000000"/>
                <w:sz w:val="12"/>
                <w:szCs w:val="16"/>
                <w:lang w:val="es-CO" w:eastAsia="es-CO"/>
              </w:rPr>
              <w:t>456</w:t>
            </w:r>
          </w:p>
        </w:tc>
      </w:tr>
      <w:tr w:rsidR="00BA56AD" w:rsidRPr="00790D9C" w14:paraId="6283B2F5"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A332C05"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482CA19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733F2B2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TPE1/2AS</w:t>
            </w:r>
          </w:p>
        </w:tc>
        <w:tc>
          <w:tcPr>
            <w:tcW w:w="1143" w:type="dxa"/>
            <w:tcBorders>
              <w:top w:val="nil"/>
              <w:left w:val="nil"/>
              <w:bottom w:val="single" w:sz="4" w:space="0" w:color="auto"/>
              <w:right w:val="single" w:sz="4" w:space="0" w:color="auto"/>
            </w:tcBorders>
            <w:shd w:val="clear" w:color="auto" w:fill="auto"/>
            <w:noWrap/>
            <w:vAlign w:val="bottom"/>
            <w:hideMark/>
          </w:tcPr>
          <w:p w14:paraId="5966DA65"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75</w:t>
            </w:r>
            <w:r>
              <w:rPr>
                <w:color w:val="000000"/>
                <w:sz w:val="12"/>
                <w:szCs w:val="16"/>
                <w:lang w:val="es-CO" w:eastAsia="es-CO"/>
              </w:rPr>
              <w:t>.</w:t>
            </w:r>
            <w:r w:rsidRPr="00790D9C">
              <w:rPr>
                <w:color w:val="000000"/>
                <w:sz w:val="12"/>
                <w:szCs w:val="16"/>
                <w:lang w:val="es-CO" w:eastAsia="es-CO"/>
              </w:rPr>
              <w:t>816</w:t>
            </w:r>
            <w:r>
              <w:rPr>
                <w:color w:val="000000"/>
                <w:sz w:val="12"/>
                <w:szCs w:val="16"/>
                <w:lang w:val="es-CO" w:eastAsia="es-CO"/>
              </w:rPr>
              <w:t>.</w:t>
            </w:r>
            <w:r w:rsidRPr="00790D9C">
              <w:rPr>
                <w:color w:val="000000"/>
                <w:sz w:val="12"/>
                <w:szCs w:val="16"/>
                <w:lang w:val="es-CO" w:eastAsia="es-CO"/>
              </w:rPr>
              <w:t>559</w:t>
            </w:r>
          </w:p>
        </w:tc>
        <w:tc>
          <w:tcPr>
            <w:tcW w:w="1552" w:type="dxa"/>
            <w:tcBorders>
              <w:top w:val="nil"/>
              <w:left w:val="nil"/>
              <w:bottom w:val="single" w:sz="4" w:space="0" w:color="auto"/>
              <w:right w:val="single" w:sz="4" w:space="0" w:color="auto"/>
            </w:tcBorders>
            <w:shd w:val="clear" w:color="auto" w:fill="auto"/>
            <w:noWrap/>
            <w:vAlign w:val="bottom"/>
            <w:hideMark/>
          </w:tcPr>
          <w:p w14:paraId="59D5381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63D6D886"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443D6FA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01</w:t>
            </w:r>
          </w:p>
        </w:tc>
        <w:tc>
          <w:tcPr>
            <w:tcW w:w="1095" w:type="dxa"/>
            <w:tcBorders>
              <w:top w:val="nil"/>
              <w:left w:val="nil"/>
              <w:bottom w:val="single" w:sz="4" w:space="0" w:color="auto"/>
              <w:right w:val="single" w:sz="4" w:space="0" w:color="auto"/>
            </w:tcBorders>
            <w:shd w:val="clear" w:color="auto" w:fill="auto"/>
            <w:noWrap/>
            <w:vAlign w:val="bottom"/>
            <w:hideMark/>
          </w:tcPr>
          <w:p w14:paraId="03F17E37"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492</w:t>
            </w:r>
            <w:r>
              <w:rPr>
                <w:color w:val="000000"/>
                <w:sz w:val="12"/>
                <w:szCs w:val="16"/>
                <w:lang w:val="es-CO" w:eastAsia="es-CO"/>
              </w:rPr>
              <w:t>.</w:t>
            </w:r>
            <w:r w:rsidRPr="00790D9C">
              <w:rPr>
                <w:color w:val="000000"/>
                <w:sz w:val="12"/>
                <w:szCs w:val="16"/>
                <w:lang w:val="es-CO" w:eastAsia="es-CO"/>
              </w:rPr>
              <w:t>808</w:t>
            </w:r>
          </w:p>
        </w:tc>
      </w:tr>
      <w:tr w:rsidR="00BA56AD" w:rsidRPr="00790D9C" w14:paraId="17B43470"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1755CEF"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3E7B274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159F6CC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TPE3/4AS</w:t>
            </w:r>
          </w:p>
        </w:tc>
        <w:tc>
          <w:tcPr>
            <w:tcW w:w="1143" w:type="dxa"/>
            <w:tcBorders>
              <w:top w:val="nil"/>
              <w:left w:val="nil"/>
              <w:bottom w:val="single" w:sz="4" w:space="0" w:color="auto"/>
              <w:right w:val="single" w:sz="4" w:space="0" w:color="auto"/>
            </w:tcBorders>
            <w:shd w:val="clear" w:color="auto" w:fill="auto"/>
            <w:noWrap/>
            <w:vAlign w:val="bottom"/>
            <w:hideMark/>
          </w:tcPr>
          <w:p w14:paraId="201D8DF3"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76</w:t>
            </w:r>
            <w:r>
              <w:rPr>
                <w:color w:val="000000"/>
                <w:sz w:val="12"/>
                <w:szCs w:val="16"/>
                <w:lang w:val="es-CO" w:eastAsia="es-CO"/>
              </w:rPr>
              <w:t>.</w:t>
            </w:r>
            <w:r w:rsidRPr="00790D9C">
              <w:rPr>
                <w:color w:val="000000"/>
                <w:sz w:val="12"/>
                <w:szCs w:val="16"/>
                <w:lang w:val="es-CO" w:eastAsia="es-CO"/>
              </w:rPr>
              <w:t>715</w:t>
            </w:r>
            <w:r>
              <w:rPr>
                <w:color w:val="000000"/>
                <w:sz w:val="12"/>
                <w:szCs w:val="16"/>
                <w:lang w:val="es-CO" w:eastAsia="es-CO"/>
              </w:rPr>
              <w:t>.</w:t>
            </w:r>
            <w:r w:rsidRPr="00790D9C">
              <w:rPr>
                <w:color w:val="000000"/>
                <w:sz w:val="12"/>
                <w:szCs w:val="16"/>
                <w:lang w:val="es-CO" w:eastAsia="es-CO"/>
              </w:rPr>
              <w:t>959</w:t>
            </w:r>
          </w:p>
        </w:tc>
        <w:tc>
          <w:tcPr>
            <w:tcW w:w="1552" w:type="dxa"/>
            <w:tcBorders>
              <w:top w:val="nil"/>
              <w:left w:val="nil"/>
              <w:bottom w:val="single" w:sz="4" w:space="0" w:color="auto"/>
              <w:right w:val="single" w:sz="4" w:space="0" w:color="auto"/>
            </w:tcBorders>
            <w:shd w:val="clear" w:color="auto" w:fill="auto"/>
            <w:noWrap/>
            <w:vAlign w:val="bottom"/>
            <w:hideMark/>
          </w:tcPr>
          <w:p w14:paraId="28DB73D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05F7499C"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7ACFA4FC"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21</w:t>
            </w:r>
          </w:p>
        </w:tc>
        <w:tc>
          <w:tcPr>
            <w:tcW w:w="1095" w:type="dxa"/>
            <w:tcBorders>
              <w:top w:val="nil"/>
              <w:left w:val="nil"/>
              <w:bottom w:val="single" w:sz="4" w:space="0" w:color="auto"/>
              <w:right w:val="single" w:sz="4" w:space="0" w:color="auto"/>
            </w:tcBorders>
            <w:shd w:val="clear" w:color="auto" w:fill="auto"/>
            <w:noWrap/>
            <w:vAlign w:val="bottom"/>
            <w:hideMark/>
          </w:tcPr>
          <w:p w14:paraId="0AF9440C"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16</w:t>
            </w:r>
            <w:r>
              <w:rPr>
                <w:color w:val="000000"/>
                <w:sz w:val="12"/>
                <w:szCs w:val="16"/>
                <w:lang w:val="es-CO" w:eastAsia="es-CO"/>
              </w:rPr>
              <w:t>.</w:t>
            </w:r>
            <w:r w:rsidRPr="00790D9C">
              <w:rPr>
                <w:color w:val="000000"/>
                <w:sz w:val="12"/>
                <w:szCs w:val="16"/>
                <w:lang w:val="es-CO" w:eastAsia="es-CO"/>
              </w:rPr>
              <w:t>417</w:t>
            </w:r>
            <w:r>
              <w:rPr>
                <w:color w:val="000000"/>
                <w:sz w:val="12"/>
                <w:szCs w:val="16"/>
                <w:lang w:val="es-CO" w:eastAsia="es-CO"/>
              </w:rPr>
              <w:t>.</w:t>
            </w:r>
            <w:r w:rsidRPr="00790D9C">
              <w:rPr>
                <w:color w:val="000000"/>
                <w:sz w:val="12"/>
                <w:szCs w:val="16"/>
                <w:lang w:val="es-CO" w:eastAsia="es-CO"/>
              </w:rPr>
              <w:t>215</w:t>
            </w:r>
          </w:p>
        </w:tc>
      </w:tr>
      <w:tr w:rsidR="00BA56AD" w:rsidRPr="00790D9C" w14:paraId="1A87D821"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74C6960"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49738D0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70F5F079"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TPE1AS</w:t>
            </w:r>
          </w:p>
        </w:tc>
        <w:tc>
          <w:tcPr>
            <w:tcW w:w="1143" w:type="dxa"/>
            <w:tcBorders>
              <w:top w:val="nil"/>
              <w:left w:val="nil"/>
              <w:bottom w:val="single" w:sz="4" w:space="0" w:color="auto"/>
              <w:right w:val="single" w:sz="4" w:space="0" w:color="auto"/>
            </w:tcBorders>
            <w:shd w:val="clear" w:color="auto" w:fill="auto"/>
            <w:noWrap/>
            <w:vAlign w:val="bottom"/>
            <w:hideMark/>
          </w:tcPr>
          <w:p w14:paraId="2617553C"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79</w:t>
            </w:r>
            <w:r>
              <w:rPr>
                <w:color w:val="000000"/>
                <w:sz w:val="12"/>
                <w:szCs w:val="16"/>
                <w:lang w:val="es-CO" w:eastAsia="es-CO"/>
              </w:rPr>
              <w:t>.</w:t>
            </w:r>
            <w:r w:rsidRPr="00790D9C">
              <w:rPr>
                <w:color w:val="000000"/>
                <w:sz w:val="12"/>
                <w:szCs w:val="16"/>
                <w:lang w:val="es-CO" w:eastAsia="es-CO"/>
              </w:rPr>
              <w:t>392</w:t>
            </w:r>
            <w:r>
              <w:rPr>
                <w:color w:val="000000"/>
                <w:sz w:val="12"/>
                <w:szCs w:val="16"/>
                <w:lang w:val="es-CO" w:eastAsia="es-CO"/>
              </w:rPr>
              <w:t>.</w:t>
            </w:r>
            <w:r w:rsidRPr="00790D9C">
              <w:rPr>
                <w:color w:val="000000"/>
                <w:sz w:val="12"/>
                <w:szCs w:val="16"/>
                <w:lang w:val="es-CO" w:eastAsia="es-CO"/>
              </w:rPr>
              <w:t>979</w:t>
            </w:r>
          </w:p>
        </w:tc>
        <w:tc>
          <w:tcPr>
            <w:tcW w:w="1552" w:type="dxa"/>
            <w:tcBorders>
              <w:top w:val="nil"/>
              <w:left w:val="nil"/>
              <w:bottom w:val="single" w:sz="4" w:space="0" w:color="auto"/>
              <w:right w:val="single" w:sz="4" w:space="0" w:color="auto"/>
            </w:tcBorders>
            <w:shd w:val="clear" w:color="auto" w:fill="auto"/>
            <w:noWrap/>
            <w:vAlign w:val="bottom"/>
            <w:hideMark/>
          </w:tcPr>
          <w:p w14:paraId="682D9B4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38AA4995"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77D5B6B6"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04</w:t>
            </w:r>
          </w:p>
        </w:tc>
        <w:tc>
          <w:tcPr>
            <w:tcW w:w="1095" w:type="dxa"/>
            <w:tcBorders>
              <w:top w:val="nil"/>
              <w:left w:val="nil"/>
              <w:bottom w:val="single" w:sz="4" w:space="0" w:color="auto"/>
              <w:right w:val="single" w:sz="4" w:space="0" w:color="auto"/>
            </w:tcBorders>
            <w:shd w:val="clear" w:color="auto" w:fill="auto"/>
            <w:noWrap/>
            <w:vAlign w:val="bottom"/>
            <w:hideMark/>
          </w:tcPr>
          <w:p w14:paraId="5CCF5F4C"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778</w:t>
            </w:r>
            <w:r>
              <w:rPr>
                <w:color w:val="000000"/>
                <w:sz w:val="12"/>
                <w:szCs w:val="16"/>
                <w:lang w:val="es-CO" w:eastAsia="es-CO"/>
              </w:rPr>
              <w:t>.</w:t>
            </w:r>
            <w:r w:rsidRPr="00790D9C">
              <w:rPr>
                <w:color w:val="000000"/>
                <w:sz w:val="12"/>
                <w:szCs w:val="16"/>
                <w:lang w:val="es-CO" w:eastAsia="es-CO"/>
              </w:rPr>
              <w:t>754</w:t>
            </w:r>
          </w:p>
        </w:tc>
      </w:tr>
      <w:tr w:rsidR="00BA56AD" w:rsidRPr="00790D9C" w14:paraId="195AA636"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87B2494"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737439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7E29D5E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TPE2AS</w:t>
            </w:r>
          </w:p>
        </w:tc>
        <w:tc>
          <w:tcPr>
            <w:tcW w:w="1143" w:type="dxa"/>
            <w:tcBorders>
              <w:top w:val="nil"/>
              <w:left w:val="nil"/>
              <w:bottom w:val="single" w:sz="4" w:space="0" w:color="auto"/>
              <w:right w:val="single" w:sz="4" w:space="0" w:color="auto"/>
            </w:tcBorders>
            <w:shd w:val="clear" w:color="auto" w:fill="auto"/>
            <w:noWrap/>
            <w:vAlign w:val="bottom"/>
            <w:hideMark/>
          </w:tcPr>
          <w:p w14:paraId="26008A3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87</w:t>
            </w:r>
            <w:r>
              <w:rPr>
                <w:color w:val="000000"/>
                <w:sz w:val="12"/>
                <w:szCs w:val="16"/>
                <w:lang w:val="es-CO" w:eastAsia="es-CO"/>
              </w:rPr>
              <w:t>.</w:t>
            </w:r>
            <w:r w:rsidRPr="00790D9C">
              <w:rPr>
                <w:color w:val="000000"/>
                <w:sz w:val="12"/>
                <w:szCs w:val="16"/>
                <w:lang w:val="es-CO" w:eastAsia="es-CO"/>
              </w:rPr>
              <w:t>082</w:t>
            </w:r>
            <w:r>
              <w:rPr>
                <w:color w:val="000000"/>
                <w:sz w:val="12"/>
                <w:szCs w:val="16"/>
                <w:lang w:val="es-CO" w:eastAsia="es-CO"/>
              </w:rPr>
              <w:t>.</w:t>
            </w:r>
            <w:r w:rsidRPr="00790D9C">
              <w:rPr>
                <w:color w:val="000000"/>
                <w:sz w:val="12"/>
                <w:szCs w:val="16"/>
                <w:lang w:val="es-CO" w:eastAsia="es-CO"/>
              </w:rPr>
              <w:t>705</w:t>
            </w:r>
          </w:p>
        </w:tc>
        <w:tc>
          <w:tcPr>
            <w:tcW w:w="1552" w:type="dxa"/>
            <w:tcBorders>
              <w:top w:val="nil"/>
              <w:left w:val="nil"/>
              <w:bottom w:val="single" w:sz="4" w:space="0" w:color="auto"/>
              <w:right w:val="single" w:sz="4" w:space="0" w:color="auto"/>
            </w:tcBorders>
            <w:shd w:val="clear" w:color="auto" w:fill="auto"/>
            <w:noWrap/>
            <w:vAlign w:val="bottom"/>
            <w:hideMark/>
          </w:tcPr>
          <w:p w14:paraId="7DC229F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1CD15428"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2596519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07</w:t>
            </w:r>
          </w:p>
        </w:tc>
        <w:tc>
          <w:tcPr>
            <w:tcW w:w="1095" w:type="dxa"/>
            <w:tcBorders>
              <w:top w:val="nil"/>
              <w:left w:val="nil"/>
              <w:bottom w:val="single" w:sz="4" w:space="0" w:color="auto"/>
              <w:right w:val="single" w:sz="4" w:space="0" w:color="auto"/>
            </w:tcBorders>
            <w:shd w:val="clear" w:color="auto" w:fill="auto"/>
            <w:noWrap/>
            <w:vAlign w:val="bottom"/>
            <w:hideMark/>
          </w:tcPr>
          <w:p w14:paraId="12C48CC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6</w:t>
            </w:r>
            <w:r>
              <w:rPr>
                <w:color w:val="000000"/>
                <w:sz w:val="12"/>
                <w:szCs w:val="16"/>
                <w:lang w:val="es-CO" w:eastAsia="es-CO"/>
              </w:rPr>
              <w:t>.</w:t>
            </w:r>
            <w:r w:rsidRPr="00790D9C">
              <w:rPr>
                <w:color w:val="000000"/>
                <w:sz w:val="12"/>
                <w:szCs w:val="16"/>
                <w:lang w:val="es-CO" w:eastAsia="es-CO"/>
              </w:rPr>
              <w:t>313</w:t>
            </w:r>
            <w:r>
              <w:rPr>
                <w:color w:val="000000"/>
                <w:sz w:val="12"/>
                <w:szCs w:val="16"/>
                <w:lang w:val="es-CO" w:eastAsia="es-CO"/>
              </w:rPr>
              <w:t>.</w:t>
            </w:r>
            <w:r w:rsidRPr="00790D9C">
              <w:rPr>
                <w:color w:val="000000"/>
                <w:sz w:val="12"/>
                <w:szCs w:val="16"/>
                <w:lang w:val="es-CO" w:eastAsia="es-CO"/>
              </w:rPr>
              <w:t>496</w:t>
            </w:r>
          </w:p>
        </w:tc>
      </w:tr>
      <w:tr w:rsidR="00BA56AD" w:rsidRPr="00790D9C" w14:paraId="08B78C66"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5A72442"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3826CC1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43719A6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TPE3/4CO</w:t>
            </w:r>
          </w:p>
        </w:tc>
        <w:tc>
          <w:tcPr>
            <w:tcW w:w="1143" w:type="dxa"/>
            <w:tcBorders>
              <w:top w:val="nil"/>
              <w:left w:val="nil"/>
              <w:bottom w:val="single" w:sz="4" w:space="0" w:color="auto"/>
              <w:right w:val="single" w:sz="4" w:space="0" w:color="auto"/>
            </w:tcBorders>
            <w:shd w:val="clear" w:color="auto" w:fill="auto"/>
            <w:noWrap/>
            <w:vAlign w:val="bottom"/>
            <w:hideMark/>
          </w:tcPr>
          <w:p w14:paraId="783E274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75</w:t>
            </w:r>
            <w:r>
              <w:rPr>
                <w:color w:val="000000"/>
                <w:sz w:val="12"/>
                <w:szCs w:val="16"/>
                <w:lang w:val="es-CO" w:eastAsia="es-CO"/>
              </w:rPr>
              <w:t>.</w:t>
            </w:r>
            <w:r w:rsidRPr="00790D9C">
              <w:rPr>
                <w:color w:val="000000"/>
                <w:sz w:val="12"/>
                <w:szCs w:val="16"/>
                <w:lang w:val="es-CO" w:eastAsia="es-CO"/>
              </w:rPr>
              <w:t>269</w:t>
            </w:r>
            <w:r>
              <w:rPr>
                <w:color w:val="000000"/>
                <w:sz w:val="12"/>
                <w:szCs w:val="16"/>
                <w:lang w:val="es-CO" w:eastAsia="es-CO"/>
              </w:rPr>
              <w:t>.</w:t>
            </w:r>
            <w:r w:rsidRPr="00790D9C">
              <w:rPr>
                <w:color w:val="000000"/>
                <w:sz w:val="12"/>
                <w:szCs w:val="16"/>
                <w:lang w:val="es-CO" w:eastAsia="es-CO"/>
              </w:rPr>
              <w:t>785</w:t>
            </w:r>
          </w:p>
        </w:tc>
        <w:tc>
          <w:tcPr>
            <w:tcW w:w="1552" w:type="dxa"/>
            <w:tcBorders>
              <w:top w:val="nil"/>
              <w:left w:val="nil"/>
              <w:bottom w:val="single" w:sz="4" w:space="0" w:color="auto"/>
              <w:right w:val="single" w:sz="4" w:space="0" w:color="auto"/>
            </w:tcBorders>
            <w:shd w:val="clear" w:color="auto" w:fill="auto"/>
            <w:noWrap/>
            <w:vAlign w:val="bottom"/>
            <w:hideMark/>
          </w:tcPr>
          <w:p w14:paraId="0375CD4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950C148"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0A13D29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77</w:t>
            </w:r>
          </w:p>
        </w:tc>
        <w:tc>
          <w:tcPr>
            <w:tcW w:w="1095" w:type="dxa"/>
            <w:tcBorders>
              <w:top w:val="nil"/>
              <w:left w:val="nil"/>
              <w:bottom w:val="single" w:sz="4" w:space="0" w:color="auto"/>
              <w:right w:val="single" w:sz="4" w:space="0" w:color="auto"/>
            </w:tcBorders>
            <w:shd w:val="clear" w:color="auto" w:fill="auto"/>
            <w:noWrap/>
            <w:vAlign w:val="bottom"/>
            <w:hideMark/>
          </w:tcPr>
          <w:p w14:paraId="358349E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57</w:t>
            </w:r>
            <w:r>
              <w:rPr>
                <w:color w:val="000000"/>
                <w:sz w:val="12"/>
                <w:szCs w:val="16"/>
                <w:lang w:val="es-CO" w:eastAsia="es-CO"/>
              </w:rPr>
              <w:t>.</w:t>
            </w:r>
            <w:r w:rsidRPr="00790D9C">
              <w:rPr>
                <w:color w:val="000000"/>
                <w:sz w:val="12"/>
                <w:szCs w:val="16"/>
                <w:lang w:val="es-CO" w:eastAsia="es-CO"/>
              </w:rPr>
              <w:t>920</w:t>
            </w:r>
            <w:r>
              <w:rPr>
                <w:color w:val="000000"/>
                <w:sz w:val="12"/>
                <w:szCs w:val="16"/>
                <w:lang w:val="es-CO" w:eastAsia="es-CO"/>
              </w:rPr>
              <w:t>.</w:t>
            </w:r>
            <w:r w:rsidRPr="00790D9C">
              <w:rPr>
                <w:color w:val="000000"/>
                <w:sz w:val="12"/>
                <w:szCs w:val="16"/>
                <w:lang w:val="es-CO" w:eastAsia="es-CO"/>
              </w:rPr>
              <w:t>100</w:t>
            </w:r>
          </w:p>
        </w:tc>
      </w:tr>
      <w:tr w:rsidR="00BA56AD" w:rsidRPr="00790D9C" w14:paraId="3A4B1AC4"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491D83C" w14:textId="77777777" w:rsidR="00BA56AD" w:rsidRPr="00790D9C" w:rsidRDefault="00BA56AD" w:rsidP="00FB5615">
            <w:pPr>
              <w:jc w:val="left"/>
              <w:rPr>
                <w:color w:val="000000"/>
                <w:sz w:val="12"/>
                <w:szCs w:val="16"/>
                <w:lang w:val="es-CO" w:eastAsia="es-CO"/>
              </w:rPr>
            </w:pPr>
            <w:r>
              <w:rPr>
                <w:color w:val="000000"/>
                <w:sz w:val="12"/>
                <w:szCs w:val="16"/>
                <w:lang w:val="es-CO" w:eastAsia="es-CO"/>
              </w:rPr>
              <w:lastRenderedPageBreak/>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6A212B9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1592501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TPE1CO</w:t>
            </w:r>
          </w:p>
        </w:tc>
        <w:tc>
          <w:tcPr>
            <w:tcW w:w="1143" w:type="dxa"/>
            <w:tcBorders>
              <w:top w:val="nil"/>
              <w:left w:val="nil"/>
              <w:bottom w:val="single" w:sz="4" w:space="0" w:color="auto"/>
              <w:right w:val="single" w:sz="4" w:space="0" w:color="auto"/>
            </w:tcBorders>
            <w:shd w:val="clear" w:color="auto" w:fill="auto"/>
            <w:noWrap/>
            <w:vAlign w:val="bottom"/>
            <w:hideMark/>
          </w:tcPr>
          <w:p w14:paraId="2917757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77</w:t>
            </w:r>
            <w:r>
              <w:rPr>
                <w:color w:val="000000"/>
                <w:sz w:val="12"/>
                <w:szCs w:val="16"/>
                <w:lang w:val="es-CO" w:eastAsia="es-CO"/>
              </w:rPr>
              <w:t>.</w:t>
            </w:r>
            <w:r w:rsidRPr="00790D9C">
              <w:rPr>
                <w:color w:val="000000"/>
                <w:sz w:val="12"/>
                <w:szCs w:val="16"/>
                <w:lang w:val="es-CO" w:eastAsia="es-CO"/>
              </w:rPr>
              <w:t>820</w:t>
            </w:r>
            <w:r>
              <w:rPr>
                <w:color w:val="000000"/>
                <w:sz w:val="12"/>
                <w:szCs w:val="16"/>
                <w:lang w:val="es-CO" w:eastAsia="es-CO"/>
              </w:rPr>
              <w:t>.</w:t>
            </w:r>
            <w:r w:rsidRPr="00790D9C">
              <w:rPr>
                <w:color w:val="000000"/>
                <w:sz w:val="12"/>
                <w:szCs w:val="16"/>
                <w:lang w:val="es-CO" w:eastAsia="es-CO"/>
              </w:rPr>
              <w:t>464</w:t>
            </w:r>
          </w:p>
        </w:tc>
        <w:tc>
          <w:tcPr>
            <w:tcW w:w="1552" w:type="dxa"/>
            <w:tcBorders>
              <w:top w:val="nil"/>
              <w:left w:val="nil"/>
              <w:bottom w:val="single" w:sz="4" w:space="0" w:color="auto"/>
              <w:right w:val="single" w:sz="4" w:space="0" w:color="auto"/>
            </w:tcBorders>
            <w:shd w:val="clear" w:color="auto" w:fill="auto"/>
            <w:noWrap/>
            <w:vAlign w:val="bottom"/>
            <w:hideMark/>
          </w:tcPr>
          <w:p w14:paraId="0401704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463C3F49"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1054ACEA"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05</w:t>
            </w:r>
          </w:p>
        </w:tc>
        <w:tc>
          <w:tcPr>
            <w:tcW w:w="1095" w:type="dxa"/>
            <w:tcBorders>
              <w:top w:val="nil"/>
              <w:left w:val="nil"/>
              <w:bottom w:val="single" w:sz="4" w:space="0" w:color="auto"/>
              <w:right w:val="single" w:sz="4" w:space="0" w:color="auto"/>
            </w:tcBorders>
            <w:shd w:val="clear" w:color="auto" w:fill="auto"/>
            <w:noWrap/>
            <w:vAlign w:val="bottom"/>
            <w:hideMark/>
          </w:tcPr>
          <w:p w14:paraId="1B7A34D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w:t>
            </w:r>
            <w:r>
              <w:rPr>
                <w:color w:val="000000"/>
                <w:sz w:val="12"/>
                <w:szCs w:val="16"/>
                <w:lang w:val="es-CO" w:eastAsia="es-CO"/>
              </w:rPr>
              <w:t>.</w:t>
            </w:r>
            <w:r w:rsidRPr="00790D9C">
              <w:rPr>
                <w:color w:val="000000"/>
                <w:sz w:val="12"/>
                <w:szCs w:val="16"/>
                <w:lang w:val="es-CO" w:eastAsia="es-CO"/>
              </w:rPr>
              <w:t>774</w:t>
            </w:r>
            <w:r>
              <w:rPr>
                <w:color w:val="000000"/>
                <w:sz w:val="12"/>
                <w:szCs w:val="16"/>
                <w:lang w:val="es-CO" w:eastAsia="es-CO"/>
              </w:rPr>
              <w:t>.</w:t>
            </w:r>
            <w:r w:rsidRPr="00790D9C">
              <w:rPr>
                <w:color w:val="000000"/>
                <w:sz w:val="12"/>
                <w:szCs w:val="16"/>
                <w:lang w:val="es-CO" w:eastAsia="es-CO"/>
              </w:rPr>
              <w:t>292</w:t>
            </w:r>
          </w:p>
        </w:tc>
      </w:tr>
      <w:tr w:rsidR="00BA56AD" w:rsidRPr="00790D9C" w14:paraId="599E2DC5"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E4E9D2E"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8F0CE9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293271D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TPE2CO</w:t>
            </w:r>
          </w:p>
        </w:tc>
        <w:tc>
          <w:tcPr>
            <w:tcW w:w="1143" w:type="dxa"/>
            <w:tcBorders>
              <w:top w:val="nil"/>
              <w:left w:val="nil"/>
              <w:bottom w:val="single" w:sz="4" w:space="0" w:color="auto"/>
              <w:right w:val="single" w:sz="4" w:space="0" w:color="auto"/>
            </w:tcBorders>
            <w:shd w:val="clear" w:color="auto" w:fill="auto"/>
            <w:noWrap/>
            <w:vAlign w:val="bottom"/>
            <w:hideMark/>
          </w:tcPr>
          <w:p w14:paraId="0F45152D"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88</w:t>
            </w:r>
            <w:r>
              <w:rPr>
                <w:color w:val="000000"/>
                <w:sz w:val="12"/>
                <w:szCs w:val="16"/>
                <w:lang w:val="es-CO" w:eastAsia="es-CO"/>
              </w:rPr>
              <w:t>.</w:t>
            </w:r>
            <w:r w:rsidRPr="00790D9C">
              <w:rPr>
                <w:color w:val="000000"/>
                <w:sz w:val="12"/>
                <w:szCs w:val="16"/>
                <w:lang w:val="es-CO" w:eastAsia="es-CO"/>
              </w:rPr>
              <w:t>939</w:t>
            </w:r>
            <w:r>
              <w:rPr>
                <w:color w:val="000000"/>
                <w:sz w:val="12"/>
                <w:szCs w:val="16"/>
                <w:lang w:val="es-CO" w:eastAsia="es-CO"/>
              </w:rPr>
              <w:t>.</w:t>
            </w:r>
            <w:r w:rsidRPr="00790D9C">
              <w:rPr>
                <w:color w:val="000000"/>
                <w:sz w:val="12"/>
                <w:szCs w:val="16"/>
                <w:lang w:val="es-CO" w:eastAsia="es-CO"/>
              </w:rPr>
              <w:t>504</w:t>
            </w:r>
          </w:p>
        </w:tc>
        <w:tc>
          <w:tcPr>
            <w:tcW w:w="1552" w:type="dxa"/>
            <w:tcBorders>
              <w:top w:val="nil"/>
              <w:left w:val="nil"/>
              <w:bottom w:val="single" w:sz="4" w:space="0" w:color="auto"/>
              <w:right w:val="single" w:sz="4" w:space="0" w:color="auto"/>
            </w:tcBorders>
            <w:shd w:val="clear" w:color="auto" w:fill="auto"/>
            <w:noWrap/>
            <w:vAlign w:val="bottom"/>
            <w:hideMark/>
          </w:tcPr>
          <w:p w14:paraId="684A264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FAC58B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11D3A71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03</w:t>
            </w:r>
          </w:p>
        </w:tc>
        <w:tc>
          <w:tcPr>
            <w:tcW w:w="1095" w:type="dxa"/>
            <w:tcBorders>
              <w:top w:val="nil"/>
              <w:left w:val="nil"/>
              <w:bottom w:val="single" w:sz="4" w:space="0" w:color="auto"/>
              <w:right w:val="single" w:sz="4" w:space="0" w:color="auto"/>
            </w:tcBorders>
            <w:shd w:val="clear" w:color="auto" w:fill="auto"/>
            <w:noWrap/>
            <w:vAlign w:val="bottom"/>
            <w:hideMark/>
          </w:tcPr>
          <w:p w14:paraId="7FBEE683"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401</w:t>
            </w:r>
            <w:r>
              <w:rPr>
                <w:color w:val="000000"/>
                <w:sz w:val="12"/>
                <w:szCs w:val="16"/>
                <w:lang w:val="es-CO" w:eastAsia="es-CO"/>
              </w:rPr>
              <w:t>.</w:t>
            </w:r>
            <w:r w:rsidRPr="00790D9C">
              <w:rPr>
                <w:color w:val="000000"/>
                <w:sz w:val="12"/>
                <w:szCs w:val="16"/>
                <w:lang w:val="es-CO" w:eastAsia="es-CO"/>
              </w:rPr>
              <w:t>367</w:t>
            </w:r>
          </w:p>
        </w:tc>
      </w:tr>
      <w:tr w:rsidR="00BA56AD" w:rsidRPr="00790D9C" w14:paraId="75F2A49B"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44EB3E9"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7A58C73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3ADF4D1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TPE1/2ACO</w:t>
            </w:r>
          </w:p>
        </w:tc>
        <w:tc>
          <w:tcPr>
            <w:tcW w:w="1143" w:type="dxa"/>
            <w:tcBorders>
              <w:top w:val="nil"/>
              <w:left w:val="nil"/>
              <w:bottom w:val="single" w:sz="4" w:space="0" w:color="auto"/>
              <w:right w:val="single" w:sz="4" w:space="0" w:color="auto"/>
            </w:tcBorders>
            <w:shd w:val="clear" w:color="auto" w:fill="auto"/>
            <w:noWrap/>
            <w:vAlign w:val="bottom"/>
            <w:hideMark/>
          </w:tcPr>
          <w:p w14:paraId="239D498B"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52</w:t>
            </w:r>
            <w:r>
              <w:rPr>
                <w:color w:val="000000"/>
                <w:sz w:val="12"/>
                <w:szCs w:val="16"/>
                <w:lang w:val="es-CO" w:eastAsia="es-CO"/>
              </w:rPr>
              <w:t>.</w:t>
            </w:r>
            <w:r w:rsidRPr="00790D9C">
              <w:rPr>
                <w:color w:val="000000"/>
                <w:sz w:val="12"/>
                <w:szCs w:val="16"/>
                <w:lang w:val="es-CO" w:eastAsia="es-CO"/>
              </w:rPr>
              <w:t>202</w:t>
            </w:r>
            <w:r>
              <w:rPr>
                <w:color w:val="000000"/>
                <w:sz w:val="12"/>
                <w:szCs w:val="16"/>
                <w:lang w:val="es-CO" w:eastAsia="es-CO"/>
              </w:rPr>
              <w:t>.</w:t>
            </w:r>
            <w:r w:rsidRPr="00790D9C">
              <w:rPr>
                <w:color w:val="000000"/>
                <w:sz w:val="12"/>
                <w:szCs w:val="16"/>
                <w:lang w:val="es-CO" w:eastAsia="es-CO"/>
              </w:rPr>
              <w:t>790</w:t>
            </w:r>
          </w:p>
        </w:tc>
        <w:tc>
          <w:tcPr>
            <w:tcW w:w="1552" w:type="dxa"/>
            <w:tcBorders>
              <w:top w:val="nil"/>
              <w:left w:val="nil"/>
              <w:bottom w:val="single" w:sz="4" w:space="0" w:color="auto"/>
              <w:right w:val="single" w:sz="4" w:space="0" w:color="auto"/>
            </w:tcBorders>
            <w:shd w:val="clear" w:color="auto" w:fill="auto"/>
            <w:noWrap/>
            <w:vAlign w:val="bottom"/>
            <w:hideMark/>
          </w:tcPr>
          <w:p w14:paraId="641B195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EA7C8C9"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05CED157"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08</w:t>
            </w:r>
          </w:p>
        </w:tc>
        <w:tc>
          <w:tcPr>
            <w:tcW w:w="1095" w:type="dxa"/>
            <w:tcBorders>
              <w:top w:val="nil"/>
              <w:left w:val="nil"/>
              <w:bottom w:val="single" w:sz="4" w:space="0" w:color="auto"/>
              <w:right w:val="single" w:sz="4" w:space="0" w:color="auto"/>
            </w:tcBorders>
            <w:shd w:val="clear" w:color="auto" w:fill="auto"/>
            <w:noWrap/>
            <w:vAlign w:val="bottom"/>
            <w:hideMark/>
          </w:tcPr>
          <w:p w14:paraId="6A41B611"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4</w:t>
            </w:r>
            <w:r>
              <w:rPr>
                <w:color w:val="000000"/>
                <w:sz w:val="12"/>
                <w:szCs w:val="16"/>
                <w:lang w:val="es-CO" w:eastAsia="es-CO"/>
              </w:rPr>
              <w:t>.</w:t>
            </w:r>
            <w:r w:rsidRPr="00790D9C">
              <w:rPr>
                <w:color w:val="000000"/>
                <w:sz w:val="12"/>
                <w:szCs w:val="16"/>
                <w:lang w:val="es-CO" w:eastAsia="es-CO"/>
              </w:rPr>
              <w:t>280</w:t>
            </w:r>
            <w:r>
              <w:rPr>
                <w:color w:val="000000"/>
                <w:sz w:val="12"/>
                <w:szCs w:val="16"/>
                <w:lang w:val="es-CO" w:eastAsia="es-CO"/>
              </w:rPr>
              <w:t>.</w:t>
            </w:r>
            <w:r w:rsidRPr="00790D9C">
              <w:rPr>
                <w:color w:val="000000"/>
                <w:sz w:val="12"/>
                <w:szCs w:val="16"/>
                <w:lang w:val="es-CO" w:eastAsia="es-CO"/>
              </w:rPr>
              <w:t>629</w:t>
            </w:r>
          </w:p>
        </w:tc>
      </w:tr>
      <w:tr w:rsidR="00BA56AD" w:rsidRPr="00790D9C" w14:paraId="541E4D6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8A1C6DD"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7157168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350817D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TPE3/4ACO</w:t>
            </w:r>
          </w:p>
        </w:tc>
        <w:tc>
          <w:tcPr>
            <w:tcW w:w="1143" w:type="dxa"/>
            <w:tcBorders>
              <w:top w:val="nil"/>
              <w:left w:val="nil"/>
              <w:bottom w:val="single" w:sz="4" w:space="0" w:color="auto"/>
              <w:right w:val="single" w:sz="4" w:space="0" w:color="auto"/>
            </w:tcBorders>
            <w:shd w:val="clear" w:color="auto" w:fill="auto"/>
            <w:noWrap/>
            <w:vAlign w:val="bottom"/>
            <w:hideMark/>
          </w:tcPr>
          <w:p w14:paraId="1286F151"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53</w:t>
            </w:r>
            <w:r>
              <w:rPr>
                <w:color w:val="000000"/>
                <w:sz w:val="12"/>
                <w:szCs w:val="16"/>
                <w:lang w:val="es-CO" w:eastAsia="es-CO"/>
              </w:rPr>
              <w:t>.</w:t>
            </w:r>
            <w:r w:rsidRPr="00790D9C">
              <w:rPr>
                <w:color w:val="000000"/>
                <w:sz w:val="12"/>
                <w:szCs w:val="16"/>
                <w:lang w:val="es-CO" w:eastAsia="es-CO"/>
              </w:rPr>
              <w:t>098</w:t>
            </w:r>
            <w:r>
              <w:rPr>
                <w:color w:val="000000"/>
                <w:sz w:val="12"/>
                <w:szCs w:val="16"/>
                <w:lang w:val="es-CO" w:eastAsia="es-CO"/>
              </w:rPr>
              <w:t>.</w:t>
            </w:r>
            <w:r w:rsidRPr="00790D9C">
              <w:rPr>
                <w:color w:val="000000"/>
                <w:sz w:val="12"/>
                <w:szCs w:val="16"/>
                <w:lang w:val="es-CO" w:eastAsia="es-CO"/>
              </w:rPr>
              <w:t>574</w:t>
            </w:r>
          </w:p>
        </w:tc>
        <w:tc>
          <w:tcPr>
            <w:tcW w:w="1552" w:type="dxa"/>
            <w:tcBorders>
              <w:top w:val="nil"/>
              <w:left w:val="nil"/>
              <w:bottom w:val="single" w:sz="4" w:space="0" w:color="auto"/>
              <w:right w:val="single" w:sz="4" w:space="0" w:color="auto"/>
            </w:tcBorders>
            <w:shd w:val="clear" w:color="auto" w:fill="auto"/>
            <w:noWrap/>
            <w:vAlign w:val="bottom"/>
            <w:hideMark/>
          </w:tcPr>
          <w:p w14:paraId="5DE466F9"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1E4F414A"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61887DC3"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16</w:t>
            </w:r>
          </w:p>
        </w:tc>
        <w:tc>
          <w:tcPr>
            <w:tcW w:w="1095" w:type="dxa"/>
            <w:tcBorders>
              <w:top w:val="nil"/>
              <w:left w:val="nil"/>
              <w:bottom w:val="single" w:sz="4" w:space="0" w:color="auto"/>
              <w:right w:val="single" w:sz="4" w:space="0" w:color="auto"/>
            </w:tcBorders>
            <w:shd w:val="clear" w:color="auto" w:fill="auto"/>
            <w:noWrap/>
            <w:vAlign w:val="bottom"/>
            <w:hideMark/>
          </w:tcPr>
          <w:p w14:paraId="4C4D7F6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114</w:t>
            </w:r>
            <w:r>
              <w:rPr>
                <w:color w:val="000000"/>
                <w:sz w:val="12"/>
                <w:szCs w:val="16"/>
                <w:lang w:val="es-CO" w:eastAsia="es-CO"/>
              </w:rPr>
              <w:t>.</w:t>
            </w:r>
            <w:r w:rsidRPr="00790D9C">
              <w:rPr>
                <w:color w:val="000000"/>
                <w:sz w:val="12"/>
                <w:szCs w:val="16"/>
                <w:lang w:val="es-CO" w:eastAsia="es-CO"/>
              </w:rPr>
              <w:t>432</w:t>
            </w:r>
            <w:r>
              <w:rPr>
                <w:color w:val="000000"/>
                <w:sz w:val="12"/>
                <w:szCs w:val="16"/>
                <w:lang w:val="es-CO" w:eastAsia="es-CO"/>
              </w:rPr>
              <w:t>.</w:t>
            </w:r>
            <w:r w:rsidRPr="00790D9C">
              <w:rPr>
                <w:color w:val="000000"/>
                <w:sz w:val="12"/>
                <w:szCs w:val="16"/>
                <w:lang w:val="es-CO" w:eastAsia="es-CO"/>
              </w:rPr>
              <w:t>737</w:t>
            </w:r>
          </w:p>
        </w:tc>
      </w:tr>
      <w:tr w:rsidR="00BA56AD" w:rsidRPr="00790D9C" w14:paraId="26C48089"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98CCD07"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9A2402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00835A3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TPE1ACO</w:t>
            </w:r>
          </w:p>
        </w:tc>
        <w:tc>
          <w:tcPr>
            <w:tcW w:w="1143" w:type="dxa"/>
            <w:tcBorders>
              <w:top w:val="nil"/>
              <w:left w:val="nil"/>
              <w:bottom w:val="single" w:sz="4" w:space="0" w:color="auto"/>
              <w:right w:val="single" w:sz="4" w:space="0" w:color="auto"/>
            </w:tcBorders>
            <w:shd w:val="clear" w:color="auto" w:fill="auto"/>
            <w:noWrap/>
            <w:vAlign w:val="bottom"/>
            <w:hideMark/>
          </w:tcPr>
          <w:p w14:paraId="4A284E6A"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55</w:t>
            </w:r>
            <w:r>
              <w:rPr>
                <w:color w:val="000000"/>
                <w:sz w:val="12"/>
                <w:szCs w:val="16"/>
                <w:lang w:val="es-CO" w:eastAsia="es-CO"/>
              </w:rPr>
              <w:t>.</w:t>
            </w:r>
            <w:r w:rsidRPr="00790D9C">
              <w:rPr>
                <w:color w:val="000000"/>
                <w:sz w:val="12"/>
                <w:szCs w:val="16"/>
                <w:lang w:val="es-CO" w:eastAsia="es-CO"/>
              </w:rPr>
              <w:t>772</w:t>
            </w:r>
            <w:r>
              <w:rPr>
                <w:color w:val="000000"/>
                <w:sz w:val="12"/>
                <w:szCs w:val="16"/>
                <w:lang w:val="es-CO" w:eastAsia="es-CO"/>
              </w:rPr>
              <w:t>.</w:t>
            </w:r>
            <w:r w:rsidRPr="00790D9C">
              <w:rPr>
                <w:color w:val="000000"/>
                <w:sz w:val="12"/>
                <w:szCs w:val="16"/>
                <w:lang w:val="es-CO" w:eastAsia="es-CO"/>
              </w:rPr>
              <w:t>649</w:t>
            </w:r>
          </w:p>
        </w:tc>
        <w:tc>
          <w:tcPr>
            <w:tcW w:w="1552" w:type="dxa"/>
            <w:tcBorders>
              <w:top w:val="nil"/>
              <w:left w:val="nil"/>
              <w:bottom w:val="single" w:sz="4" w:space="0" w:color="auto"/>
              <w:right w:val="single" w:sz="4" w:space="0" w:color="auto"/>
            </w:tcBorders>
            <w:shd w:val="clear" w:color="auto" w:fill="auto"/>
            <w:noWrap/>
            <w:vAlign w:val="bottom"/>
            <w:hideMark/>
          </w:tcPr>
          <w:p w14:paraId="075503F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6385D64C"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207B0AF6"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30</w:t>
            </w:r>
          </w:p>
        </w:tc>
        <w:tc>
          <w:tcPr>
            <w:tcW w:w="1095" w:type="dxa"/>
            <w:tcBorders>
              <w:top w:val="nil"/>
              <w:left w:val="nil"/>
              <w:bottom w:val="single" w:sz="4" w:space="0" w:color="auto"/>
              <w:right w:val="single" w:sz="4" w:space="0" w:color="auto"/>
            </w:tcBorders>
            <w:shd w:val="clear" w:color="auto" w:fill="auto"/>
            <w:noWrap/>
            <w:vAlign w:val="bottom"/>
            <w:hideMark/>
          </w:tcPr>
          <w:p w14:paraId="2B6041A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16</w:t>
            </w:r>
            <w:r>
              <w:rPr>
                <w:color w:val="000000"/>
                <w:sz w:val="12"/>
                <w:szCs w:val="16"/>
                <w:lang w:val="es-CO" w:eastAsia="es-CO"/>
              </w:rPr>
              <w:t>.</w:t>
            </w:r>
            <w:r w:rsidRPr="00790D9C">
              <w:rPr>
                <w:color w:val="000000"/>
                <w:sz w:val="12"/>
                <w:szCs w:val="16"/>
                <w:lang w:val="es-CO" w:eastAsia="es-CO"/>
              </w:rPr>
              <w:t>564</w:t>
            </w:r>
            <w:r>
              <w:rPr>
                <w:color w:val="000000"/>
                <w:sz w:val="12"/>
                <w:szCs w:val="16"/>
                <w:lang w:val="es-CO" w:eastAsia="es-CO"/>
              </w:rPr>
              <w:t>.</w:t>
            </w:r>
            <w:r w:rsidRPr="00790D9C">
              <w:rPr>
                <w:color w:val="000000"/>
                <w:sz w:val="12"/>
                <w:szCs w:val="16"/>
                <w:lang w:val="es-CO" w:eastAsia="es-CO"/>
              </w:rPr>
              <w:t>477</w:t>
            </w:r>
          </w:p>
        </w:tc>
      </w:tr>
      <w:tr w:rsidR="00BA56AD" w:rsidRPr="00790D9C" w14:paraId="29B8478E"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B83D6D1"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6BD501F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65B94C1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TPE2ACO</w:t>
            </w:r>
          </w:p>
        </w:tc>
        <w:tc>
          <w:tcPr>
            <w:tcW w:w="1143" w:type="dxa"/>
            <w:tcBorders>
              <w:top w:val="nil"/>
              <w:left w:val="nil"/>
              <w:bottom w:val="single" w:sz="4" w:space="0" w:color="auto"/>
              <w:right w:val="single" w:sz="4" w:space="0" w:color="auto"/>
            </w:tcBorders>
            <w:shd w:val="clear" w:color="auto" w:fill="auto"/>
            <w:noWrap/>
            <w:vAlign w:val="bottom"/>
            <w:hideMark/>
          </w:tcPr>
          <w:p w14:paraId="10A9668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67</w:t>
            </w:r>
            <w:r>
              <w:rPr>
                <w:color w:val="000000"/>
                <w:sz w:val="12"/>
                <w:szCs w:val="16"/>
                <w:lang w:val="es-CO" w:eastAsia="es-CO"/>
              </w:rPr>
              <w:t>.</w:t>
            </w:r>
            <w:r w:rsidRPr="00790D9C">
              <w:rPr>
                <w:color w:val="000000"/>
                <w:sz w:val="12"/>
                <w:szCs w:val="16"/>
                <w:lang w:val="es-CO" w:eastAsia="es-CO"/>
              </w:rPr>
              <w:t>285</w:t>
            </w:r>
            <w:r>
              <w:rPr>
                <w:color w:val="000000"/>
                <w:sz w:val="12"/>
                <w:szCs w:val="16"/>
                <w:lang w:val="es-CO" w:eastAsia="es-CO"/>
              </w:rPr>
              <w:t>.</w:t>
            </w:r>
            <w:r w:rsidRPr="00790D9C">
              <w:rPr>
                <w:color w:val="000000"/>
                <w:sz w:val="12"/>
                <w:szCs w:val="16"/>
                <w:lang w:val="es-CO" w:eastAsia="es-CO"/>
              </w:rPr>
              <w:t>854</w:t>
            </w:r>
          </w:p>
        </w:tc>
        <w:tc>
          <w:tcPr>
            <w:tcW w:w="1552" w:type="dxa"/>
            <w:tcBorders>
              <w:top w:val="nil"/>
              <w:left w:val="nil"/>
              <w:bottom w:val="single" w:sz="4" w:space="0" w:color="auto"/>
              <w:right w:val="single" w:sz="4" w:space="0" w:color="auto"/>
            </w:tcBorders>
            <w:shd w:val="clear" w:color="auto" w:fill="auto"/>
            <w:noWrap/>
            <w:vAlign w:val="bottom"/>
            <w:hideMark/>
          </w:tcPr>
          <w:p w14:paraId="4DCEFDC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18EB29CB"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10AF0A72"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01</w:t>
            </w:r>
          </w:p>
        </w:tc>
        <w:tc>
          <w:tcPr>
            <w:tcW w:w="1095" w:type="dxa"/>
            <w:tcBorders>
              <w:top w:val="nil"/>
              <w:left w:val="nil"/>
              <w:bottom w:val="single" w:sz="4" w:space="0" w:color="auto"/>
              <w:right w:val="single" w:sz="4" w:space="0" w:color="auto"/>
            </w:tcBorders>
            <w:shd w:val="clear" w:color="auto" w:fill="auto"/>
            <w:noWrap/>
            <w:vAlign w:val="bottom"/>
            <w:hideMark/>
          </w:tcPr>
          <w:p w14:paraId="263065A6"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773</w:t>
            </w:r>
            <w:r>
              <w:rPr>
                <w:color w:val="000000"/>
                <w:sz w:val="12"/>
                <w:szCs w:val="16"/>
                <w:lang w:val="es-CO" w:eastAsia="es-CO"/>
              </w:rPr>
              <w:t>.</w:t>
            </w:r>
            <w:r w:rsidRPr="00790D9C">
              <w:rPr>
                <w:color w:val="000000"/>
                <w:sz w:val="12"/>
                <w:szCs w:val="16"/>
                <w:lang w:val="es-CO" w:eastAsia="es-CO"/>
              </w:rPr>
              <w:t>787</w:t>
            </w:r>
          </w:p>
        </w:tc>
      </w:tr>
      <w:tr w:rsidR="00BA56AD" w:rsidRPr="00790D9C" w14:paraId="374B37EC"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D9DD98C"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4BAF83D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27626B0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TPE3/4TA</w:t>
            </w:r>
          </w:p>
        </w:tc>
        <w:tc>
          <w:tcPr>
            <w:tcW w:w="1143" w:type="dxa"/>
            <w:tcBorders>
              <w:top w:val="nil"/>
              <w:left w:val="nil"/>
              <w:bottom w:val="single" w:sz="4" w:space="0" w:color="auto"/>
              <w:right w:val="single" w:sz="4" w:space="0" w:color="auto"/>
            </w:tcBorders>
            <w:shd w:val="clear" w:color="auto" w:fill="auto"/>
            <w:noWrap/>
            <w:vAlign w:val="bottom"/>
            <w:hideMark/>
          </w:tcPr>
          <w:p w14:paraId="05B00EA3"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56</w:t>
            </w:r>
            <w:r>
              <w:rPr>
                <w:color w:val="000000"/>
                <w:sz w:val="12"/>
                <w:szCs w:val="16"/>
                <w:lang w:val="es-CO" w:eastAsia="es-CO"/>
              </w:rPr>
              <w:t>.</w:t>
            </w:r>
            <w:r w:rsidRPr="00790D9C">
              <w:rPr>
                <w:color w:val="000000"/>
                <w:sz w:val="12"/>
                <w:szCs w:val="16"/>
                <w:lang w:val="es-CO" w:eastAsia="es-CO"/>
              </w:rPr>
              <w:t>167</w:t>
            </w:r>
            <w:r>
              <w:rPr>
                <w:color w:val="000000"/>
                <w:sz w:val="12"/>
                <w:szCs w:val="16"/>
                <w:lang w:val="es-CO" w:eastAsia="es-CO"/>
              </w:rPr>
              <w:t>.</w:t>
            </w:r>
            <w:r w:rsidRPr="00790D9C">
              <w:rPr>
                <w:color w:val="000000"/>
                <w:sz w:val="12"/>
                <w:szCs w:val="16"/>
                <w:lang w:val="es-CO" w:eastAsia="es-CO"/>
              </w:rPr>
              <w:t>552</w:t>
            </w:r>
          </w:p>
        </w:tc>
        <w:tc>
          <w:tcPr>
            <w:tcW w:w="1552" w:type="dxa"/>
            <w:tcBorders>
              <w:top w:val="nil"/>
              <w:left w:val="nil"/>
              <w:bottom w:val="single" w:sz="4" w:space="0" w:color="auto"/>
              <w:right w:val="single" w:sz="4" w:space="0" w:color="auto"/>
            </w:tcBorders>
            <w:shd w:val="clear" w:color="auto" w:fill="auto"/>
            <w:noWrap/>
            <w:vAlign w:val="bottom"/>
            <w:hideMark/>
          </w:tcPr>
          <w:p w14:paraId="4E2E2DB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C9C057E"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688B87F7"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09</w:t>
            </w:r>
          </w:p>
        </w:tc>
        <w:tc>
          <w:tcPr>
            <w:tcW w:w="1095" w:type="dxa"/>
            <w:tcBorders>
              <w:top w:val="nil"/>
              <w:left w:val="nil"/>
              <w:bottom w:val="single" w:sz="4" w:space="0" w:color="auto"/>
              <w:right w:val="single" w:sz="4" w:space="0" w:color="auto"/>
            </w:tcBorders>
            <w:shd w:val="clear" w:color="auto" w:fill="auto"/>
            <w:noWrap/>
            <w:vAlign w:val="bottom"/>
            <w:hideMark/>
          </w:tcPr>
          <w:p w14:paraId="4BEBFCBA"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4</w:t>
            </w:r>
            <w:r>
              <w:rPr>
                <w:color w:val="000000"/>
                <w:sz w:val="12"/>
                <w:szCs w:val="16"/>
                <w:lang w:val="es-CO" w:eastAsia="es-CO"/>
              </w:rPr>
              <w:t>.</w:t>
            </w:r>
            <w:r w:rsidRPr="00790D9C">
              <w:rPr>
                <w:color w:val="000000"/>
                <w:sz w:val="12"/>
                <w:szCs w:val="16"/>
                <w:lang w:val="es-CO" w:eastAsia="es-CO"/>
              </w:rPr>
              <w:t>942</w:t>
            </w:r>
            <w:r>
              <w:rPr>
                <w:color w:val="000000"/>
                <w:sz w:val="12"/>
                <w:szCs w:val="16"/>
                <w:lang w:val="es-CO" w:eastAsia="es-CO"/>
              </w:rPr>
              <w:t>.</w:t>
            </w:r>
            <w:r w:rsidRPr="00790D9C">
              <w:rPr>
                <w:color w:val="000000"/>
                <w:sz w:val="12"/>
                <w:szCs w:val="16"/>
                <w:lang w:val="es-CO" w:eastAsia="es-CO"/>
              </w:rPr>
              <w:t>745</w:t>
            </w:r>
          </w:p>
        </w:tc>
      </w:tr>
      <w:tr w:rsidR="00BA56AD" w:rsidRPr="00790D9C" w14:paraId="13CCCB60"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BAD3618"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F011D0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08C23A2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TPE1TA</w:t>
            </w:r>
          </w:p>
        </w:tc>
        <w:tc>
          <w:tcPr>
            <w:tcW w:w="1143" w:type="dxa"/>
            <w:tcBorders>
              <w:top w:val="nil"/>
              <w:left w:val="nil"/>
              <w:bottom w:val="single" w:sz="4" w:space="0" w:color="auto"/>
              <w:right w:val="single" w:sz="4" w:space="0" w:color="auto"/>
            </w:tcBorders>
            <w:shd w:val="clear" w:color="auto" w:fill="auto"/>
            <w:noWrap/>
            <w:vAlign w:val="bottom"/>
            <w:hideMark/>
          </w:tcPr>
          <w:p w14:paraId="1E3DCA01"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58</w:t>
            </w:r>
            <w:r>
              <w:rPr>
                <w:color w:val="000000"/>
                <w:sz w:val="12"/>
                <w:szCs w:val="16"/>
                <w:lang w:val="es-CO" w:eastAsia="es-CO"/>
              </w:rPr>
              <w:t>.</w:t>
            </w:r>
            <w:r w:rsidRPr="00790D9C">
              <w:rPr>
                <w:color w:val="000000"/>
                <w:sz w:val="12"/>
                <w:szCs w:val="16"/>
                <w:lang w:val="es-CO" w:eastAsia="es-CO"/>
              </w:rPr>
              <w:t>831</w:t>
            </w:r>
            <w:r>
              <w:rPr>
                <w:color w:val="000000"/>
                <w:sz w:val="12"/>
                <w:szCs w:val="16"/>
                <w:lang w:val="es-CO" w:eastAsia="es-CO"/>
              </w:rPr>
              <w:t>.</w:t>
            </w:r>
            <w:r w:rsidRPr="00790D9C">
              <w:rPr>
                <w:color w:val="000000"/>
                <w:sz w:val="12"/>
                <w:szCs w:val="16"/>
                <w:lang w:val="es-CO" w:eastAsia="es-CO"/>
              </w:rPr>
              <w:t>786</w:t>
            </w:r>
          </w:p>
        </w:tc>
        <w:tc>
          <w:tcPr>
            <w:tcW w:w="1552" w:type="dxa"/>
            <w:tcBorders>
              <w:top w:val="nil"/>
              <w:left w:val="nil"/>
              <w:bottom w:val="single" w:sz="4" w:space="0" w:color="auto"/>
              <w:right w:val="single" w:sz="4" w:space="0" w:color="auto"/>
            </w:tcBorders>
            <w:shd w:val="clear" w:color="auto" w:fill="auto"/>
            <w:noWrap/>
            <w:vAlign w:val="bottom"/>
            <w:hideMark/>
          </w:tcPr>
          <w:p w14:paraId="437B480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6B8803B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5C02AFDC"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03</w:t>
            </w:r>
          </w:p>
        </w:tc>
        <w:tc>
          <w:tcPr>
            <w:tcW w:w="1095" w:type="dxa"/>
            <w:tcBorders>
              <w:top w:val="nil"/>
              <w:left w:val="nil"/>
              <w:bottom w:val="single" w:sz="4" w:space="0" w:color="auto"/>
              <w:right w:val="single" w:sz="4" w:space="0" w:color="auto"/>
            </w:tcBorders>
            <w:shd w:val="clear" w:color="auto" w:fill="auto"/>
            <w:noWrap/>
            <w:vAlign w:val="bottom"/>
            <w:hideMark/>
          </w:tcPr>
          <w:p w14:paraId="6E216FD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470</w:t>
            </w:r>
            <w:r>
              <w:rPr>
                <w:color w:val="000000"/>
                <w:sz w:val="12"/>
                <w:szCs w:val="16"/>
                <w:lang w:val="es-CO" w:eastAsia="es-CO"/>
              </w:rPr>
              <w:t>.</w:t>
            </w:r>
            <w:r w:rsidRPr="00790D9C">
              <w:rPr>
                <w:color w:val="000000"/>
                <w:sz w:val="12"/>
                <w:szCs w:val="16"/>
                <w:lang w:val="es-CO" w:eastAsia="es-CO"/>
              </w:rPr>
              <w:t>795</w:t>
            </w:r>
          </w:p>
        </w:tc>
      </w:tr>
      <w:tr w:rsidR="00BA56AD" w:rsidRPr="00790D9C" w14:paraId="4FE3C489"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2A2D8F3"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2C69A929"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6C8B5D4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TPE1/2ZV</w:t>
            </w:r>
          </w:p>
        </w:tc>
        <w:tc>
          <w:tcPr>
            <w:tcW w:w="1143" w:type="dxa"/>
            <w:tcBorders>
              <w:top w:val="nil"/>
              <w:left w:val="nil"/>
              <w:bottom w:val="single" w:sz="4" w:space="0" w:color="auto"/>
              <w:right w:val="single" w:sz="4" w:space="0" w:color="auto"/>
            </w:tcBorders>
            <w:shd w:val="clear" w:color="auto" w:fill="auto"/>
            <w:noWrap/>
            <w:vAlign w:val="bottom"/>
            <w:hideMark/>
          </w:tcPr>
          <w:p w14:paraId="3986C01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18</w:t>
            </w:r>
            <w:r>
              <w:rPr>
                <w:color w:val="000000"/>
                <w:sz w:val="12"/>
                <w:szCs w:val="16"/>
                <w:lang w:val="es-CO" w:eastAsia="es-CO"/>
              </w:rPr>
              <w:t>.</w:t>
            </w:r>
            <w:r w:rsidRPr="00790D9C">
              <w:rPr>
                <w:color w:val="000000"/>
                <w:sz w:val="12"/>
                <w:szCs w:val="16"/>
                <w:lang w:val="es-CO" w:eastAsia="es-CO"/>
              </w:rPr>
              <w:t>486</w:t>
            </w:r>
            <w:r>
              <w:rPr>
                <w:color w:val="000000"/>
                <w:sz w:val="12"/>
                <w:szCs w:val="16"/>
                <w:lang w:val="es-CO" w:eastAsia="es-CO"/>
              </w:rPr>
              <w:t>.</w:t>
            </w:r>
            <w:r w:rsidRPr="00790D9C">
              <w:rPr>
                <w:color w:val="000000"/>
                <w:sz w:val="12"/>
                <w:szCs w:val="16"/>
                <w:lang w:val="es-CO" w:eastAsia="es-CO"/>
              </w:rPr>
              <w:t>372</w:t>
            </w:r>
          </w:p>
        </w:tc>
        <w:tc>
          <w:tcPr>
            <w:tcW w:w="1552" w:type="dxa"/>
            <w:tcBorders>
              <w:top w:val="nil"/>
              <w:left w:val="nil"/>
              <w:bottom w:val="single" w:sz="4" w:space="0" w:color="auto"/>
              <w:right w:val="single" w:sz="4" w:space="0" w:color="auto"/>
            </w:tcBorders>
            <w:shd w:val="clear" w:color="auto" w:fill="auto"/>
            <w:noWrap/>
            <w:vAlign w:val="bottom"/>
            <w:hideMark/>
          </w:tcPr>
          <w:p w14:paraId="018414E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43221CD6"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0EB90574"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80</w:t>
            </w:r>
          </w:p>
        </w:tc>
        <w:tc>
          <w:tcPr>
            <w:tcW w:w="1095" w:type="dxa"/>
            <w:tcBorders>
              <w:top w:val="nil"/>
              <w:left w:val="nil"/>
              <w:bottom w:val="single" w:sz="4" w:space="0" w:color="auto"/>
              <w:right w:val="single" w:sz="4" w:space="0" w:color="auto"/>
            </w:tcBorders>
            <w:shd w:val="clear" w:color="auto" w:fill="auto"/>
            <w:noWrap/>
            <w:vAlign w:val="bottom"/>
            <w:hideMark/>
          </w:tcPr>
          <w:p w14:paraId="6B12EB8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14</w:t>
            </w:r>
            <w:r>
              <w:rPr>
                <w:color w:val="000000"/>
                <w:sz w:val="12"/>
                <w:szCs w:val="16"/>
                <w:lang w:val="es-CO" w:eastAsia="es-CO"/>
              </w:rPr>
              <w:t>.</w:t>
            </w:r>
            <w:r w:rsidRPr="00790D9C">
              <w:rPr>
                <w:color w:val="000000"/>
                <w:sz w:val="12"/>
                <w:szCs w:val="16"/>
                <w:lang w:val="es-CO" w:eastAsia="es-CO"/>
              </w:rPr>
              <w:t>761</w:t>
            </w:r>
            <w:r>
              <w:rPr>
                <w:color w:val="000000"/>
                <w:sz w:val="12"/>
                <w:szCs w:val="16"/>
                <w:lang w:val="es-CO" w:eastAsia="es-CO"/>
              </w:rPr>
              <w:t>.</w:t>
            </w:r>
            <w:r w:rsidRPr="00790D9C">
              <w:rPr>
                <w:color w:val="000000"/>
                <w:sz w:val="12"/>
                <w:szCs w:val="16"/>
                <w:lang w:val="es-CO" w:eastAsia="es-CO"/>
              </w:rPr>
              <w:t>368</w:t>
            </w:r>
          </w:p>
        </w:tc>
      </w:tr>
      <w:tr w:rsidR="00BA56AD" w:rsidRPr="00790D9C" w14:paraId="29852E3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FF791B6"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079DDA1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4DC3AE3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TPE3/4ZV</w:t>
            </w:r>
          </w:p>
        </w:tc>
        <w:tc>
          <w:tcPr>
            <w:tcW w:w="1143" w:type="dxa"/>
            <w:tcBorders>
              <w:top w:val="nil"/>
              <w:left w:val="nil"/>
              <w:bottom w:val="single" w:sz="4" w:space="0" w:color="auto"/>
              <w:right w:val="single" w:sz="4" w:space="0" w:color="auto"/>
            </w:tcBorders>
            <w:shd w:val="clear" w:color="auto" w:fill="auto"/>
            <w:noWrap/>
            <w:vAlign w:val="bottom"/>
            <w:hideMark/>
          </w:tcPr>
          <w:p w14:paraId="66FE7CD8"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19</w:t>
            </w:r>
            <w:r>
              <w:rPr>
                <w:color w:val="000000"/>
                <w:sz w:val="12"/>
                <w:szCs w:val="16"/>
                <w:lang w:val="es-CO" w:eastAsia="es-CO"/>
              </w:rPr>
              <w:t>.</w:t>
            </w:r>
            <w:r w:rsidRPr="00790D9C">
              <w:rPr>
                <w:color w:val="000000"/>
                <w:sz w:val="12"/>
                <w:szCs w:val="16"/>
                <w:lang w:val="es-CO" w:eastAsia="es-CO"/>
              </w:rPr>
              <w:t>417</w:t>
            </w:r>
            <w:r>
              <w:rPr>
                <w:color w:val="000000"/>
                <w:sz w:val="12"/>
                <w:szCs w:val="16"/>
                <w:lang w:val="es-CO" w:eastAsia="es-CO"/>
              </w:rPr>
              <w:t>.</w:t>
            </w:r>
            <w:r w:rsidRPr="00790D9C">
              <w:rPr>
                <w:color w:val="000000"/>
                <w:sz w:val="12"/>
                <w:szCs w:val="16"/>
                <w:lang w:val="es-CO" w:eastAsia="es-CO"/>
              </w:rPr>
              <w:t>002</w:t>
            </w:r>
          </w:p>
        </w:tc>
        <w:tc>
          <w:tcPr>
            <w:tcW w:w="1552" w:type="dxa"/>
            <w:tcBorders>
              <w:top w:val="nil"/>
              <w:left w:val="nil"/>
              <w:bottom w:val="single" w:sz="4" w:space="0" w:color="auto"/>
              <w:right w:val="single" w:sz="4" w:space="0" w:color="auto"/>
            </w:tcBorders>
            <w:shd w:val="clear" w:color="auto" w:fill="auto"/>
            <w:noWrap/>
            <w:vAlign w:val="bottom"/>
            <w:hideMark/>
          </w:tcPr>
          <w:p w14:paraId="4C084BA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54B0FB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5BA60B2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7</w:t>
            </w:r>
            <w:r>
              <w:rPr>
                <w:color w:val="000000"/>
                <w:sz w:val="12"/>
                <w:szCs w:val="16"/>
                <w:lang w:val="es-CO" w:eastAsia="es-CO"/>
              </w:rPr>
              <w:t>,</w:t>
            </w:r>
            <w:r w:rsidRPr="00790D9C">
              <w:rPr>
                <w:color w:val="000000"/>
                <w:sz w:val="12"/>
                <w:szCs w:val="16"/>
                <w:lang w:val="es-CO" w:eastAsia="es-CO"/>
              </w:rPr>
              <w:t>66</w:t>
            </w:r>
          </w:p>
        </w:tc>
        <w:tc>
          <w:tcPr>
            <w:tcW w:w="1095" w:type="dxa"/>
            <w:tcBorders>
              <w:top w:val="nil"/>
              <w:left w:val="nil"/>
              <w:bottom w:val="single" w:sz="4" w:space="0" w:color="auto"/>
              <w:right w:val="single" w:sz="4" w:space="0" w:color="auto"/>
            </w:tcBorders>
            <w:shd w:val="clear" w:color="auto" w:fill="auto"/>
            <w:noWrap/>
            <w:vAlign w:val="bottom"/>
            <w:hideMark/>
          </w:tcPr>
          <w:p w14:paraId="0C07FD18"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148</w:t>
            </w:r>
            <w:r>
              <w:rPr>
                <w:color w:val="000000"/>
                <w:sz w:val="12"/>
                <w:szCs w:val="16"/>
                <w:lang w:val="es-CO" w:eastAsia="es-CO"/>
              </w:rPr>
              <w:t>.</w:t>
            </w:r>
            <w:r w:rsidRPr="00790D9C">
              <w:rPr>
                <w:color w:val="000000"/>
                <w:sz w:val="12"/>
                <w:szCs w:val="16"/>
                <w:lang w:val="es-CO" w:eastAsia="es-CO"/>
              </w:rPr>
              <w:t>695</w:t>
            </w:r>
            <w:r>
              <w:rPr>
                <w:color w:val="000000"/>
                <w:sz w:val="12"/>
                <w:szCs w:val="16"/>
                <w:lang w:val="es-CO" w:eastAsia="es-CO"/>
              </w:rPr>
              <w:t>.</w:t>
            </w:r>
            <w:r w:rsidRPr="00790D9C">
              <w:rPr>
                <w:color w:val="000000"/>
                <w:sz w:val="12"/>
                <w:szCs w:val="16"/>
                <w:lang w:val="es-CO" w:eastAsia="es-CO"/>
              </w:rPr>
              <w:t>398</w:t>
            </w:r>
          </w:p>
        </w:tc>
      </w:tr>
      <w:tr w:rsidR="00BA56AD" w:rsidRPr="00790D9C" w14:paraId="558BB5E0"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54B3CDC"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626AC34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34D332B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TPE1ZV</w:t>
            </w:r>
          </w:p>
        </w:tc>
        <w:tc>
          <w:tcPr>
            <w:tcW w:w="1143" w:type="dxa"/>
            <w:tcBorders>
              <w:top w:val="nil"/>
              <w:left w:val="nil"/>
              <w:bottom w:val="single" w:sz="4" w:space="0" w:color="auto"/>
              <w:right w:val="single" w:sz="4" w:space="0" w:color="auto"/>
            </w:tcBorders>
            <w:shd w:val="clear" w:color="auto" w:fill="auto"/>
            <w:noWrap/>
            <w:vAlign w:val="bottom"/>
            <w:hideMark/>
          </w:tcPr>
          <w:p w14:paraId="254D9D34"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22</w:t>
            </w:r>
            <w:r>
              <w:rPr>
                <w:color w:val="000000"/>
                <w:sz w:val="12"/>
                <w:szCs w:val="16"/>
                <w:lang w:val="es-CO" w:eastAsia="es-CO"/>
              </w:rPr>
              <w:t>.</w:t>
            </w:r>
            <w:r w:rsidRPr="00790D9C">
              <w:rPr>
                <w:color w:val="000000"/>
                <w:sz w:val="12"/>
                <w:szCs w:val="16"/>
                <w:lang w:val="es-CO" w:eastAsia="es-CO"/>
              </w:rPr>
              <w:t>118</w:t>
            </w:r>
            <w:r>
              <w:rPr>
                <w:color w:val="000000"/>
                <w:sz w:val="12"/>
                <w:szCs w:val="16"/>
                <w:lang w:val="es-CO" w:eastAsia="es-CO"/>
              </w:rPr>
              <w:t>.</w:t>
            </w:r>
            <w:r w:rsidRPr="00790D9C">
              <w:rPr>
                <w:color w:val="000000"/>
                <w:sz w:val="12"/>
                <w:szCs w:val="16"/>
                <w:lang w:val="es-CO" w:eastAsia="es-CO"/>
              </w:rPr>
              <w:t>200</w:t>
            </w:r>
          </w:p>
        </w:tc>
        <w:tc>
          <w:tcPr>
            <w:tcW w:w="1552" w:type="dxa"/>
            <w:tcBorders>
              <w:top w:val="nil"/>
              <w:left w:val="nil"/>
              <w:bottom w:val="single" w:sz="4" w:space="0" w:color="auto"/>
              <w:right w:val="single" w:sz="4" w:space="0" w:color="auto"/>
            </w:tcBorders>
            <w:shd w:val="clear" w:color="auto" w:fill="auto"/>
            <w:noWrap/>
            <w:vAlign w:val="bottom"/>
            <w:hideMark/>
          </w:tcPr>
          <w:p w14:paraId="2D949DF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397E0BC4"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339626A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75</w:t>
            </w:r>
          </w:p>
        </w:tc>
        <w:tc>
          <w:tcPr>
            <w:tcW w:w="1095" w:type="dxa"/>
            <w:tcBorders>
              <w:top w:val="nil"/>
              <w:left w:val="nil"/>
              <w:bottom w:val="single" w:sz="4" w:space="0" w:color="auto"/>
              <w:right w:val="single" w:sz="4" w:space="0" w:color="auto"/>
            </w:tcBorders>
            <w:shd w:val="clear" w:color="auto" w:fill="auto"/>
            <w:noWrap/>
            <w:vAlign w:val="bottom"/>
            <w:hideMark/>
          </w:tcPr>
          <w:p w14:paraId="2255EDAC"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16</w:t>
            </w:r>
            <w:r>
              <w:rPr>
                <w:color w:val="000000"/>
                <w:sz w:val="12"/>
                <w:szCs w:val="16"/>
                <w:lang w:val="es-CO" w:eastAsia="es-CO"/>
              </w:rPr>
              <w:t>.</w:t>
            </w:r>
            <w:r w:rsidRPr="00790D9C">
              <w:rPr>
                <w:color w:val="000000"/>
                <w:sz w:val="12"/>
                <w:szCs w:val="16"/>
                <w:lang w:val="es-CO" w:eastAsia="es-CO"/>
              </w:rPr>
              <w:t>500</w:t>
            </w:r>
            <w:r>
              <w:rPr>
                <w:color w:val="000000"/>
                <w:sz w:val="12"/>
                <w:szCs w:val="16"/>
                <w:lang w:val="es-CO" w:eastAsia="es-CO"/>
              </w:rPr>
              <w:t>.</w:t>
            </w:r>
            <w:r w:rsidRPr="00790D9C">
              <w:rPr>
                <w:color w:val="000000"/>
                <w:sz w:val="12"/>
                <w:szCs w:val="16"/>
                <w:lang w:val="es-CO" w:eastAsia="es-CO"/>
              </w:rPr>
              <w:t>177</w:t>
            </w:r>
          </w:p>
        </w:tc>
      </w:tr>
      <w:tr w:rsidR="00BA56AD" w:rsidRPr="00790D9C" w14:paraId="62C81CA3"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BCD3CC5"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3BA14F1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366348F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TPE2ZV</w:t>
            </w:r>
          </w:p>
        </w:tc>
        <w:tc>
          <w:tcPr>
            <w:tcW w:w="1143" w:type="dxa"/>
            <w:tcBorders>
              <w:top w:val="nil"/>
              <w:left w:val="nil"/>
              <w:bottom w:val="single" w:sz="4" w:space="0" w:color="auto"/>
              <w:right w:val="single" w:sz="4" w:space="0" w:color="auto"/>
            </w:tcBorders>
            <w:shd w:val="clear" w:color="auto" w:fill="auto"/>
            <w:noWrap/>
            <w:vAlign w:val="bottom"/>
            <w:hideMark/>
          </w:tcPr>
          <w:p w14:paraId="19F32D5C"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33</w:t>
            </w:r>
            <w:r>
              <w:rPr>
                <w:color w:val="000000"/>
                <w:sz w:val="12"/>
                <w:szCs w:val="16"/>
                <w:lang w:val="es-CO" w:eastAsia="es-CO"/>
              </w:rPr>
              <w:t>.</w:t>
            </w:r>
            <w:r w:rsidRPr="00790D9C">
              <w:rPr>
                <w:color w:val="000000"/>
                <w:sz w:val="12"/>
                <w:szCs w:val="16"/>
                <w:lang w:val="es-CO" w:eastAsia="es-CO"/>
              </w:rPr>
              <w:t>719</w:t>
            </w:r>
            <w:r>
              <w:rPr>
                <w:color w:val="000000"/>
                <w:sz w:val="12"/>
                <w:szCs w:val="16"/>
                <w:lang w:val="es-CO" w:eastAsia="es-CO"/>
              </w:rPr>
              <w:t>.</w:t>
            </w:r>
            <w:r w:rsidRPr="00790D9C">
              <w:rPr>
                <w:color w:val="000000"/>
                <w:sz w:val="12"/>
                <w:szCs w:val="16"/>
                <w:lang w:val="es-CO" w:eastAsia="es-CO"/>
              </w:rPr>
              <w:t>985</w:t>
            </w:r>
          </w:p>
        </w:tc>
        <w:tc>
          <w:tcPr>
            <w:tcW w:w="1552" w:type="dxa"/>
            <w:tcBorders>
              <w:top w:val="nil"/>
              <w:left w:val="nil"/>
              <w:bottom w:val="single" w:sz="4" w:space="0" w:color="auto"/>
              <w:right w:val="single" w:sz="4" w:space="0" w:color="auto"/>
            </w:tcBorders>
            <w:shd w:val="clear" w:color="auto" w:fill="auto"/>
            <w:noWrap/>
            <w:vAlign w:val="bottom"/>
            <w:hideMark/>
          </w:tcPr>
          <w:p w14:paraId="211FDF0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EBC5A7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7AE6C31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97</w:t>
            </w:r>
          </w:p>
        </w:tc>
        <w:tc>
          <w:tcPr>
            <w:tcW w:w="1095" w:type="dxa"/>
            <w:tcBorders>
              <w:top w:val="nil"/>
              <w:left w:val="nil"/>
              <w:bottom w:val="single" w:sz="4" w:space="0" w:color="auto"/>
              <w:right w:val="single" w:sz="4" w:space="0" w:color="auto"/>
            </w:tcBorders>
            <w:shd w:val="clear" w:color="auto" w:fill="auto"/>
            <w:noWrap/>
            <w:vAlign w:val="bottom"/>
            <w:hideMark/>
          </w:tcPr>
          <w:p w14:paraId="01D851D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32</w:t>
            </w:r>
            <w:r>
              <w:rPr>
                <w:color w:val="000000"/>
                <w:sz w:val="12"/>
                <w:szCs w:val="16"/>
                <w:lang w:val="es-CO" w:eastAsia="es-CO"/>
              </w:rPr>
              <w:t>.</w:t>
            </w:r>
            <w:r w:rsidRPr="00790D9C">
              <w:rPr>
                <w:color w:val="000000"/>
                <w:sz w:val="12"/>
                <w:szCs w:val="16"/>
                <w:lang w:val="es-CO" w:eastAsia="es-CO"/>
              </w:rPr>
              <w:t>691</w:t>
            </w:r>
            <w:r>
              <w:rPr>
                <w:color w:val="000000"/>
                <w:sz w:val="12"/>
                <w:szCs w:val="16"/>
                <w:lang w:val="es-CO" w:eastAsia="es-CO"/>
              </w:rPr>
              <w:t>.</w:t>
            </w:r>
            <w:r w:rsidRPr="00790D9C">
              <w:rPr>
                <w:color w:val="000000"/>
                <w:sz w:val="12"/>
                <w:szCs w:val="16"/>
                <w:lang w:val="es-CO" w:eastAsia="es-CO"/>
              </w:rPr>
              <w:t>525</w:t>
            </w:r>
          </w:p>
        </w:tc>
      </w:tr>
      <w:tr w:rsidR="00BA56AD" w:rsidRPr="00790D9C" w14:paraId="4BE01F3B"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1FF8544"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32A8495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Estación GNC 500 m3/hora</w:t>
            </w:r>
          </w:p>
        </w:tc>
        <w:tc>
          <w:tcPr>
            <w:tcW w:w="862" w:type="dxa"/>
            <w:tcBorders>
              <w:top w:val="nil"/>
              <w:left w:val="nil"/>
              <w:bottom w:val="single" w:sz="4" w:space="0" w:color="auto"/>
              <w:right w:val="single" w:sz="4" w:space="0" w:color="auto"/>
            </w:tcBorders>
            <w:shd w:val="clear" w:color="auto" w:fill="auto"/>
            <w:noWrap/>
            <w:vAlign w:val="bottom"/>
            <w:hideMark/>
          </w:tcPr>
          <w:p w14:paraId="7D12349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RM500</w:t>
            </w:r>
          </w:p>
        </w:tc>
        <w:tc>
          <w:tcPr>
            <w:tcW w:w="1143" w:type="dxa"/>
            <w:tcBorders>
              <w:top w:val="nil"/>
              <w:left w:val="nil"/>
              <w:bottom w:val="single" w:sz="4" w:space="0" w:color="auto"/>
              <w:right w:val="single" w:sz="4" w:space="0" w:color="auto"/>
            </w:tcBorders>
            <w:shd w:val="clear" w:color="auto" w:fill="auto"/>
            <w:noWrap/>
            <w:vAlign w:val="bottom"/>
            <w:hideMark/>
          </w:tcPr>
          <w:p w14:paraId="3E788894"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402</w:t>
            </w:r>
            <w:r>
              <w:rPr>
                <w:color w:val="000000"/>
                <w:sz w:val="12"/>
                <w:szCs w:val="16"/>
                <w:lang w:val="es-CO" w:eastAsia="es-CO"/>
              </w:rPr>
              <w:t>.</w:t>
            </w:r>
            <w:r w:rsidRPr="00790D9C">
              <w:rPr>
                <w:color w:val="000000"/>
                <w:sz w:val="12"/>
                <w:szCs w:val="16"/>
                <w:lang w:val="es-CO" w:eastAsia="es-CO"/>
              </w:rPr>
              <w:t>161</w:t>
            </w:r>
            <w:r>
              <w:rPr>
                <w:color w:val="000000"/>
                <w:sz w:val="12"/>
                <w:szCs w:val="16"/>
                <w:lang w:val="es-CO" w:eastAsia="es-CO"/>
              </w:rPr>
              <w:t>.</w:t>
            </w:r>
            <w:r w:rsidRPr="00790D9C">
              <w:rPr>
                <w:color w:val="000000"/>
                <w:sz w:val="12"/>
                <w:szCs w:val="16"/>
                <w:lang w:val="es-CO" w:eastAsia="es-CO"/>
              </w:rPr>
              <w:t>331</w:t>
            </w:r>
          </w:p>
        </w:tc>
        <w:tc>
          <w:tcPr>
            <w:tcW w:w="1552" w:type="dxa"/>
            <w:tcBorders>
              <w:top w:val="nil"/>
              <w:left w:val="nil"/>
              <w:bottom w:val="single" w:sz="4" w:space="0" w:color="auto"/>
              <w:right w:val="single" w:sz="4" w:space="0" w:color="auto"/>
            </w:tcBorders>
            <w:shd w:val="clear" w:color="auto" w:fill="auto"/>
            <w:noWrap/>
            <w:vAlign w:val="bottom"/>
            <w:hideMark/>
          </w:tcPr>
          <w:p w14:paraId="311C7C3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2CD54941"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0D681A3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6DC223B1"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402</w:t>
            </w:r>
            <w:r>
              <w:rPr>
                <w:color w:val="000000"/>
                <w:sz w:val="12"/>
                <w:szCs w:val="16"/>
                <w:lang w:val="es-CO" w:eastAsia="es-CO"/>
              </w:rPr>
              <w:t>.</w:t>
            </w:r>
            <w:r w:rsidRPr="00790D9C">
              <w:rPr>
                <w:color w:val="000000"/>
                <w:sz w:val="12"/>
                <w:szCs w:val="16"/>
                <w:lang w:val="es-CO" w:eastAsia="es-CO"/>
              </w:rPr>
              <w:t>161</w:t>
            </w:r>
            <w:r>
              <w:rPr>
                <w:color w:val="000000"/>
                <w:sz w:val="12"/>
                <w:szCs w:val="16"/>
                <w:lang w:val="es-CO" w:eastAsia="es-CO"/>
              </w:rPr>
              <w:t>.</w:t>
            </w:r>
            <w:r w:rsidRPr="00790D9C">
              <w:rPr>
                <w:color w:val="000000"/>
                <w:sz w:val="12"/>
                <w:szCs w:val="16"/>
                <w:lang w:val="es-CO" w:eastAsia="es-CO"/>
              </w:rPr>
              <w:t>331</w:t>
            </w:r>
          </w:p>
        </w:tc>
      </w:tr>
      <w:tr w:rsidR="00BA56AD" w:rsidRPr="00790D9C" w14:paraId="3EE22D3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01B03DB"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576FD83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Paso Especial 7 Metros</w:t>
            </w:r>
          </w:p>
        </w:tc>
        <w:tc>
          <w:tcPr>
            <w:tcW w:w="862" w:type="dxa"/>
            <w:tcBorders>
              <w:top w:val="nil"/>
              <w:left w:val="nil"/>
              <w:bottom w:val="single" w:sz="4" w:space="0" w:color="auto"/>
              <w:right w:val="single" w:sz="4" w:space="0" w:color="auto"/>
            </w:tcBorders>
            <w:shd w:val="clear" w:color="auto" w:fill="auto"/>
            <w:noWrap/>
            <w:vAlign w:val="bottom"/>
            <w:hideMark/>
          </w:tcPr>
          <w:p w14:paraId="78C60F3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TMP-9</w:t>
            </w:r>
          </w:p>
        </w:tc>
        <w:tc>
          <w:tcPr>
            <w:tcW w:w="1143" w:type="dxa"/>
            <w:tcBorders>
              <w:top w:val="nil"/>
              <w:left w:val="nil"/>
              <w:bottom w:val="single" w:sz="4" w:space="0" w:color="auto"/>
              <w:right w:val="single" w:sz="4" w:space="0" w:color="auto"/>
            </w:tcBorders>
            <w:shd w:val="clear" w:color="auto" w:fill="auto"/>
            <w:noWrap/>
            <w:vAlign w:val="bottom"/>
            <w:hideMark/>
          </w:tcPr>
          <w:p w14:paraId="61439AE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3</w:t>
            </w:r>
            <w:r>
              <w:rPr>
                <w:color w:val="000000"/>
                <w:sz w:val="12"/>
                <w:szCs w:val="16"/>
                <w:lang w:val="es-CO" w:eastAsia="es-CO"/>
              </w:rPr>
              <w:t>.</w:t>
            </w:r>
            <w:r w:rsidRPr="00790D9C">
              <w:rPr>
                <w:color w:val="000000"/>
                <w:sz w:val="12"/>
                <w:szCs w:val="16"/>
                <w:lang w:val="es-CO" w:eastAsia="es-CO"/>
              </w:rPr>
              <w:t>165</w:t>
            </w:r>
            <w:r>
              <w:rPr>
                <w:color w:val="000000"/>
                <w:sz w:val="12"/>
                <w:szCs w:val="16"/>
                <w:lang w:val="es-CO" w:eastAsia="es-CO"/>
              </w:rPr>
              <w:t>.</w:t>
            </w:r>
            <w:r w:rsidRPr="00790D9C">
              <w:rPr>
                <w:color w:val="000000"/>
                <w:sz w:val="12"/>
                <w:szCs w:val="16"/>
                <w:lang w:val="es-CO" w:eastAsia="es-CO"/>
              </w:rPr>
              <w:t>073</w:t>
            </w:r>
          </w:p>
        </w:tc>
        <w:tc>
          <w:tcPr>
            <w:tcW w:w="1552" w:type="dxa"/>
            <w:tcBorders>
              <w:top w:val="nil"/>
              <w:left w:val="nil"/>
              <w:bottom w:val="single" w:sz="4" w:space="0" w:color="auto"/>
              <w:right w:val="single" w:sz="4" w:space="0" w:color="auto"/>
            </w:tcBorders>
            <w:shd w:val="clear" w:color="auto" w:fill="auto"/>
            <w:noWrap/>
            <w:vAlign w:val="bottom"/>
            <w:hideMark/>
          </w:tcPr>
          <w:p w14:paraId="7999B68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Especiales</w:t>
            </w:r>
          </w:p>
        </w:tc>
        <w:tc>
          <w:tcPr>
            <w:tcW w:w="1177" w:type="dxa"/>
            <w:tcBorders>
              <w:top w:val="nil"/>
              <w:left w:val="nil"/>
              <w:bottom w:val="single" w:sz="4" w:space="0" w:color="auto"/>
              <w:right w:val="single" w:sz="4" w:space="0" w:color="auto"/>
            </w:tcBorders>
            <w:shd w:val="clear" w:color="auto" w:fill="auto"/>
            <w:noWrap/>
            <w:vAlign w:val="bottom"/>
            <w:hideMark/>
          </w:tcPr>
          <w:p w14:paraId="18FC3E8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1FF665E1"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4AAF371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w:t>
            </w:r>
            <w:r>
              <w:rPr>
                <w:color w:val="000000"/>
                <w:sz w:val="12"/>
                <w:szCs w:val="16"/>
                <w:lang w:val="es-CO" w:eastAsia="es-CO"/>
              </w:rPr>
              <w:t>.</w:t>
            </w:r>
            <w:r w:rsidRPr="00790D9C">
              <w:rPr>
                <w:color w:val="000000"/>
                <w:sz w:val="12"/>
                <w:szCs w:val="16"/>
                <w:lang w:val="es-CO" w:eastAsia="es-CO"/>
              </w:rPr>
              <w:t>165</w:t>
            </w:r>
            <w:r>
              <w:rPr>
                <w:color w:val="000000"/>
                <w:sz w:val="12"/>
                <w:szCs w:val="16"/>
                <w:lang w:val="es-CO" w:eastAsia="es-CO"/>
              </w:rPr>
              <w:t>.</w:t>
            </w:r>
            <w:r w:rsidRPr="00790D9C">
              <w:rPr>
                <w:color w:val="000000"/>
                <w:sz w:val="12"/>
                <w:szCs w:val="16"/>
                <w:lang w:val="es-CO" w:eastAsia="es-CO"/>
              </w:rPr>
              <w:t>073</w:t>
            </w:r>
          </w:p>
        </w:tc>
      </w:tr>
      <w:tr w:rsidR="00BA56AD" w:rsidRPr="00790D9C" w14:paraId="40E7E39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5EDCDCF"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0EFD3979"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Dirigido o Subfluvial</w:t>
            </w:r>
          </w:p>
        </w:tc>
        <w:tc>
          <w:tcPr>
            <w:tcW w:w="862" w:type="dxa"/>
            <w:tcBorders>
              <w:top w:val="nil"/>
              <w:left w:val="nil"/>
              <w:bottom w:val="single" w:sz="4" w:space="0" w:color="auto"/>
              <w:right w:val="single" w:sz="4" w:space="0" w:color="auto"/>
            </w:tcBorders>
            <w:shd w:val="clear" w:color="auto" w:fill="auto"/>
            <w:noWrap/>
            <w:vAlign w:val="bottom"/>
            <w:hideMark/>
          </w:tcPr>
          <w:p w14:paraId="23927E1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TMP-8</w:t>
            </w:r>
          </w:p>
        </w:tc>
        <w:tc>
          <w:tcPr>
            <w:tcW w:w="1143" w:type="dxa"/>
            <w:tcBorders>
              <w:top w:val="nil"/>
              <w:left w:val="nil"/>
              <w:bottom w:val="single" w:sz="4" w:space="0" w:color="auto"/>
              <w:right w:val="single" w:sz="4" w:space="0" w:color="auto"/>
            </w:tcBorders>
            <w:shd w:val="clear" w:color="auto" w:fill="auto"/>
            <w:noWrap/>
            <w:vAlign w:val="bottom"/>
            <w:hideMark/>
          </w:tcPr>
          <w:p w14:paraId="45FB4B56"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430</w:t>
            </w:r>
            <w:r>
              <w:rPr>
                <w:color w:val="000000"/>
                <w:sz w:val="12"/>
                <w:szCs w:val="16"/>
                <w:lang w:val="es-CO" w:eastAsia="es-CO"/>
              </w:rPr>
              <w:t>.</w:t>
            </w:r>
            <w:r w:rsidRPr="00790D9C">
              <w:rPr>
                <w:color w:val="000000"/>
                <w:sz w:val="12"/>
                <w:szCs w:val="16"/>
                <w:lang w:val="es-CO" w:eastAsia="es-CO"/>
              </w:rPr>
              <w:t>108</w:t>
            </w:r>
          </w:p>
        </w:tc>
        <w:tc>
          <w:tcPr>
            <w:tcW w:w="1552" w:type="dxa"/>
            <w:tcBorders>
              <w:top w:val="nil"/>
              <w:left w:val="nil"/>
              <w:bottom w:val="single" w:sz="4" w:space="0" w:color="auto"/>
              <w:right w:val="single" w:sz="4" w:space="0" w:color="auto"/>
            </w:tcBorders>
            <w:shd w:val="clear" w:color="auto" w:fill="auto"/>
            <w:noWrap/>
            <w:vAlign w:val="bottom"/>
            <w:hideMark/>
          </w:tcPr>
          <w:p w14:paraId="5485F11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Especiales</w:t>
            </w:r>
          </w:p>
        </w:tc>
        <w:tc>
          <w:tcPr>
            <w:tcW w:w="1177" w:type="dxa"/>
            <w:tcBorders>
              <w:top w:val="nil"/>
              <w:left w:val="nil"/>
              <w:bottom w:val="single" w:sz="4" w:space="0" w:color="auto"/>
              <w:right w:val="single" w:sz="4" w:space="0" w:color="auto"/>
            </w:tcBorders>
            <w:shd w:val="clear" w:color="auto" w:fill="auto"/>
            <w:noWrap/>
            <w:vAlign w:val="bottom"/>
            <w:hideMark/>
          </w:tcPr>
          <w:p w14:paraId="317DF65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485F2C6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12</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0638823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5</w:t>
            </w:r>
            <w:r>
              <w:rPr>
                <w:color w:val="000000"/>
                <w:sz w:val="12"/>
                <w:szCs w:val="16"/>
                <w:lang w:val="es-CO" w:eastAsia="es-CO"/>
              </w:rPr>
              <w:t>.</w:t>
            </w:r>
            <w:r w:rsidRPr="00790D9C">
              <w:rPr>
                <w:color w:val="000000"/>
                <w:sz w:val="12"/>
                <w:szCs w:val="16"/>
                <w:lang w:val="es-CO" w:eastAsia="es-CO"/>
              </w:rPr>
              <w:t>161</w:t>
            </w:r>
            <w:r>
              <w:rPr>
                <w:color w:val="000000"/>
                <w:sz w:val="12"/>
                <w:szCs w:val="16"/>
                <w:lang w:val="es-CO" w:eastAsia="es-CO"/>
              </w:rPr>
              <w:t>.</w:t>
            </w:r>
            <w:r w:rsidRPr="00790D9C">
              <w:rPr>
                <w:color w:val="000000"/>
                <w:sz w:val="12"/>
                <w:szCs w:val="16"/>
                <w:lang w:val="es-CO" w:eastAsia="es-CO"/>
              </w:rPr>
              <w:t>296</w:t>
            </w:r>
          </w:p>
        </w:tc>
      </w:tr>
      <w:tr w:rsidR="00BA56AD" w:rsidRPr="00790D9C" w14:paraId="4439DCAB"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B135534" w14:textId="77777777" w:rsidR="00BA56AD" w:rsidRPr="00790D9C" w:rsidRDefault="00BA56AD" w:rsidP="00FB5615">
            <w:pPr>
              <w:jc w:val="left"/>
              <w:rPr>
                <w:color w:val="000000"/>
                <w:sz w:val="12"/>
                <w:szCs w:val="16"/>
                <w:lang w:val="es-CO" w:eastAsia="es-CO"/>
              </w:rPr>
            </w:pPr>
            <w:r>
              <w:rPr>
                <w:color w:val="000000"/>
                <w:sz w:val="12"/>
                <w:szCs w:val="16"/>
                <w:lang w:val="es-CO" w:eastAsia="es-CO"/>
              </w:rPr>
              <w:t>Valparaíso</w:t>
            </w:r>
            <w:r w:rsidRPr="00790D9C">
              <w:rPr>
                <w:color w:val="000000"/>
                <w:sz w:val="12"/>
                <w:szCs w:val="16"/>
                <w:lang w:val="es-CO" w:eastAsia="es-CO"/>
              </w:rPr>
              <w:t>-</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4FB85F9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Paso Especial 10 Metros</w:t>
            </w:r>
          </w:p>
        </w:tc>
        <w:tc>
          <w:tcPr>
            <w:tcW w:w="862" w:type="dxa"/>
            <w:tcBorders>
              <w:top w:val="nil"/>
              <w:left w:val="nil"/>
              <w:bottom w:val="single" w:sz="4" w:space="0" w:color="auto"/>
              <w:right w:val="single" w:sz="4" w:space="0" w:color="auto"/>
            </w:tcBorders>
            <w:shd w:val="clear" w:color="auto" w:fill="auto"/>
            <w:noWrap/>
            <w:vAlign w:val="bottom"/>
            <w:hideMark/>
          </w:tcPr>
          <w:p w14:paraId="6F380A6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TMP-7</w:t>
            </w:r>
          </w:p>
        </w:tc>
        <w:tc>
          <w:tcPr>
            <w:tcW w:w="1143" w:type="dxa"/>
            <w:tcBorders>
              <w:top w:val="nil"/>
              <w:left w:val="nil"/>
              <w:bottom w:val="single" w:sz="4" w:space="0" w:color="auto"/>
              <w:right w:val="single" w:sz="4" w:space="0" w:color="auto"/>
            </w:tcBorders>
            <w:shd w:val="clear" w:color="auto" w:fill="auto"/>
            <w:noWrap/>
            <w:vAlign w:val="bottom"/>
            <w:hideMark/>
          </w:tcPr>
          <w:p w14:paraId="53F5115A"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9</w:t>
            </w:r>
            <w:r>
              <w:rPr>
                <w:color w:val="000000"/>
                <w:sz w:val="12"/>
                <w:szCs w:val="16"/>
                <w:lang w:val="es-CO" w:eastAsia="es-CO"/>
              </w:rPr>
              <w:t>.</w:t>
            </w:r>
            <w:r w:rsidRPr="00790D9C">
              <w:rPr>
                <w:color w:val="000000"/>
                <w:sz w:val="12"/>
                <w:szCs w:val="16"/>
                <w:lang w:val="es-CO" w:eastAsia="es-CO"/>
              </w:rPr>
              <w:t>187</w:t>
            </w:r>
            <w:r>
              <w:rPr>
                <w:color w:val="000000"/>
                <w:sz w:val="12"/>
                <w:szCs w:val="16"/>
                <w:lang w:val="es-CO" w:eastAsia="es-CO"/>
              </w:rPr>
              <w:t>.</w:t>
            </w:r>
            <w:r w:rsidRPr="00790D9C">
              <w:rPr>
                <w:color w:val="000000"/>
                <w:sz w:val="12"/>
                <w:szCs w:val="16"/>
                <w:lang w:val="es-CO" w:eastAsia="es-CO"/>
              </w:rPr>
              <w:t>046</w:t>
            </w:r>
          </w:p>
        </w:tc>
        <w:tc>
          <w:tcPr>
            <w:tcW w:w="1552" w:type="dxa"/>
            <w:tcBorders>
              <w:top w:val="nil"/>
              <w:left w:val="nil"/>
              <w:bottom w:val="single" w:sz="4" w:space="0" w:color="auto"/>
              <w:right w:val="single" w:sz="4" w:space="0" w:color="auto"/>
            </w:tcBorders>
            <w:shd w:val="clear" w:color="auto" w:fill="auto"/>
            <w:noWrap/>
            <w:vAlign w:val="bottom"/>
            <w:hideMark/>
          </w:tcPr>
          <w:p w14:paraId="7BA7790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Especiales</w:t>
            </w:r>
          </w:p>
        </w:tc>
        <w:tc>
          <w:tcPr>
            <w:tcW w:w="1177" w:type="dxa"/>
            <w:tcBorders>
              <w:top w:val="nil"/>
              <w:left w:val="nil"/>
              <w:bottom w:val="single" w:sz="4" w:space="0" w:color="auto"/>
              <w:right w:val="single" w:sz="4" w:space="0" w:color="auto"/>
            </w:tcBorders>
            <w:shd w:val="clear" w:color="auto" w:fill="auto"/>
            <w:noWrap/>
            <w:vAlign w:val="bottom"/>
            <w:hideMark/>
          </w:tcPr>
          <w:p w14:paraId="62DB828C"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1A2C0FE6"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276AB8A2"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9</w:t>
            </w:r>
            <w:r>
              <w:rPr>
                <w:color w:val="000000"/>
                <w:sz w:val="12"/>
                <w:szCs w:val="16"/>
                <w:lang w:val="es-CO" w:eastAsia="es-CO"/>
              </w:rPr>
              <w:t>.</w:t>
            </w:r>
            <w:r w:rsidRPr="00790D9C">
              <w:rPr>
                <w:color w:val="000000"/>
                <w:sz w:val="12"/>
                <w:szCs w:val="16"/>
                <w:lang w:val="es-CO" w:eastAsia="es-CO"/>
              </w:rPr>
              <w:t>187</w:t>
            </w:r>
            <w:r>
              <w:rPr>
                <w:color w:val="000000"/>
                <w:sz w:val="12"/>
                <w:szCs w:val="16"/>
                <w:lang w:val="es-CO" w:eastAsia="es-CO"/>
              </w:rPr>
              <w:t>.</w:t>
            </w:r>
            <w:r w:rsidRPr="00790D9C">
              <w:rPr>
                <w:color w:val="000000"/>
                <w:sz w:val="12"/>
                <w:szCs w:val="16"/>
                <w:lang w:val="es-CO" w:eastAsia="es-CO"/>
              </w:rPr>
              <w:t>046</w:t>
            </w:r>
          </w:p>
        </w:tc>
      </w:tr>
      <w:tr w:rsidR="00BA56AD" w:rsidRPr="00790D9C" w14:paraId="22B531A8"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AD3605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A23C9B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69FF334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TPE3/4AS</w:t>
            </w:r>
          </w:p>
        </w:tc>
        <w:tc>
          <w:tcPr>
            <w:tcW w:w="1143" w:type="dxa"/>
            <w:tcBorders>
              <w:top w:val="nil"/>
              <w:left w:val="nil"/>
              <w:bottom w:val="single" w:sz="4" w:space="0" w:color="auto"/>
              <w:right w:val="single" w:sz="4" w:space="0" w:color="auto"/>
            </w:tcBorders>
            <w:shd w:val="clear" w:color="auto" w:fill="auto"/>
            <w:noWrap/>
            <w:vAlign w:val="bottom"/>
            <w:hideMark/>
          </w:tcPr>
          <w:p w14:paraId="7E5FCA11"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76</w:t>
            </w:r>
            <w:r>
              <w:rPr>
                <w:color w:val="000000"/>
                <w:sz w:val="12"/>
                <w:szCs w:val="16"/>
                <w:lang w:val="es-CO" w:eastAsia="es-CO"/>
              </w:rPr>
              <w:t>.</w:t>
            </w:r>
            <w:r w:rsidRPr="00790D9C">
              <w:rPr>
                <w:color w:val="000000"/>
                <w:sz w:val="12"/>
                <w:szCs w:val="16"/>
                <w:lang w:val="es-CO" w:eastAsia="es-CO"/>
              </w:rPr>
              <w:t>715</w:t>
            </w:r>
            <w:r>
              <w:rPr>
                <w:color w:val="000000"/>
                <w:sz w:val="12"/>
                <w:szCs w:val="16"/>
                <w:lang w:val="es-CO" w:eastAsia="es-CO"/>
              </w:rPr>
              <w:t>.</w:t>
            </w:r>
            <w:r w:rsidRPr="00790D9C">
              <w:rPr>
                <w:color w:val="000000"/>
                <w:sz w:val="12"/>
                <w:szCs w:val="16"/>
                <w:lang w:val="es-CO" w:eastAsia="es-CO"/>
              </w:rPr>
              <w:t>959</w:t>
            </w:r>
          </w:p>
        </w:tc>
        <w:tc>
          <w:tcPr>
            <w:tcW w:w="1552" w:type="dxa"/>
            <w:tcBorders>
              <w:top w:val="nil"/>
              <w:left w:val="nil"/>
              <w:bottom w:val="single" w:sz="4" w:space="0" w:color="auto"/>
              <w:right w:val="single" w:sz="4" w:space="0" w:color="auto"/>
            </w:tcBorders>
            <w:shd w:val="clear" w:color="auto" w:fill="auto"/>
            <w:noWrap/>
            <w:vAlign w:val="bottom"/>
            <w:hideMark/>
          </w:tcPr>
          <w:p w14:paraId="3BD7D7C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627CB80A"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65AD48EC"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09</w:t>
            </w:r>
          </w:p>
        </w:tc>
        <w:tc>
          <w:tcPr>
            <w:tcW w:w="1095" w:type="dxa"/>
            <w:tcBorders>
              <w:top w:val="nil"/>
              <w:left w:val="nil"/>
              <w:bottom w:val="single" w:sz="4" w:space="0" w:color="auto"/>
              <w:right w:val="single" w:sz="4" w:space="0" w:color="auto"/>
            </w:tcBorders>
            <w:shd w:val="clear" w:color="auto" w:fill="auto"/>
            <w:noWrap/>
            <w:vAlign w:val="bottom"/>
            <w:hideMark/>
          </w:tcPr>
          <w:p w14:paraId="43D37826"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6</w:t>
            </w:r>
            <w:r>
              <w:rPr>
                <w:color w:val="000000"/>
                <w:sz w:val="12"/>
                <w:szCs w:val="16"/>
                <w:lang w:val="es-CO" w:eastAsia="es-CO"/>
              </w:rPr>
              <w:t>.</w:t>
            </w:r>
            <w:r w:rsidRPr="00790D9C">
              <w:rPr>
                <w:color w:val="000000"/>
                <w:sz w:val="12"/>
                <w:szCs w:val="16"/>
                <w:lang w:val="es-CO" w:eastAsia="es-CO"/>
              </w:rPr>
              <w:t>635</w:t>
            </w:r>
            <w:r>
              <w:rPr>
                <w:color w:val="000000"/>
                <w:sz w:val="12"/>
                <w:szCs w:val="16"/>
                <w:lang w:val="es-CO" w:eastAsia="es-CO"/>
              </w:rPr>
              <w:t>.</w:t>
            </w:r>
            <w:r w:rsidRPr="00790D9C">
              <w:rPr>
                <w:color w:val="000000"/>
                <w:sz w:val="12"/>
                <w:szCs w:val="16"/>
                <w:lang w:val="es-CO" w:eastAsia="es-CO"/>
              </w:rPr>
              <w:t>930</w:t>
            </w:r>
          </w:p>
        </w:tc>
      </w:tr>
      <w:tr w:rsidR="00BA56AD" w:rsidRPr="00790D9C" w14:paraId="636C6158"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C3ECA6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2FE8B3F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0D4D6BB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TPE1AS</w:t>
            </w:r>
          </w:p>
        </w:tc>
        <w:tc>
          <w:tcPr>
            <w:tcW w:w="1143" w:type="dxa"/>
            <w:tcBorders>
              <w:top w:val="nil"/>
              <w:left w:val="nil"/>
              <w:bottom w:val="single" w:sz="4" w:space="0" w:color="auto"/>
              <w:right w:val="single" w:sz="4" w:space="0" w:color="auto"/>
            </w:tcBorders>
            <w:shd w:val="clear" w:color="auto" w:fill="auto"/>
            <w:noWrap/>
            <w:vAlign w:val="bottom"/>
            <w:hideMark/>
          </w:tcPr>
          <w:p w14:paraId="6E2B1D68"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79</w:t>
            </w:r>
            <w:r>
              <w:rPr>
                <w:color w:val="000000"/>
                <w:sz w:val="12"/>
                <w:szCs w:val="16"/>
                <w:lang w:val="es-CO" w:eastAsia="es-CO"/>
              </w:rPr>
              <w:t>.</w:t>
            </w:r>
            <w:r w:rsidRPr="00790D9C">
              <w:rPr>
                <w:color w:val="000000"/>
                <w:sz w:val="12"/>
                <w:szCs w:val="16"/>
                <w:lang w:val="es-CO" w:eastAsia="es-CO"/>
              </w:rPr>
              <w:t>392</w:t>
            </w:r>
            <w:r>
              <w:rPr>
                <w:color w:val="000000"/>
                <w:sz w:val="12"/>
                <w:szCs w:val="16"/>
                <w:lang w:val="es-CO" w:eastAsia="es-CO"/>
              </w:rPr>
              <w:t>.</w:t>
            </w:r>
            <w:r w:rsidRPr="00790D9C">
              <w:rPr>
                <w:color w:val="000000"/>
                <w:sz w:val="12"/>
                <w:szCs w:val="16"/>
                <w:lang w:val="es-CO" w:eastAsia="es-CO"/>
              </w:rPr>
              <w:t>979</w:t>
            </w:r>
          </w:p>
        </w:tc>
        <w:tc>
          <w:tcPr>
            <w:tcW w:w="1552" w:type="dxa"/>
            <w:tcBorders>
              <w:top w:val="nil"/>
              <w:left w:val="nil"/>
              <w:bottom w:val="single" w:sz="4" w:space="0" w:color="auto"/>
              <w:right w:val="single" w:sz="4" w:space="0" w:color="auto"/>
            </w:tcBorders>
            <w:shd w:val="clear" w:color="auto" w:fill="auto"/>
            <w:noWrap/>
            <w:vAlign w:val="bottom"/>
            <w:hideMark/>
          </w:tcPr>
          <w:p w14:paraId="0714004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255AF05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2CC2356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02</w:t>
            </w:r>
          </w:p>
        </w:tc>
        <w:tc>
          <w:tcPr>
            <w:tcW w:w="1095" w:type="dxa"/>
            <w:tcBorders>
              <w:top w:val="nil"/>
              <w:left w:val="nil"/>
              <w:bottom w:val="single" w:sz="4" w:space="0" w:color="auto"/>
              <w:right w:val="single" w:sz="4" w:space="0" w:color="auto"/>
            </w:tcBorders>
            <w:shd w:val="clear" w:color="auto" w:fill="auto"/>
            <w:noWrap/>
            <w:vAlign w:val="bottom"/>
            <w:hideMark/>
          </w:tcPr>
          <w:p w14:paraId="3188AD48"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270</w:t>
            </w:r>
            <w:r>
              <w:rPr>
                <w:color w:val="000000"/>
                <w:sz w:val="12"/>
                <w:szCs w:val="16"/>
                <w:lang w:val="es-CO" w:eastAsia="es-CO"/>
              </w:rPr>
              <w:t>.</w:t>
            </w:r>
            <w:r w:rsidRPr="00790D9C">
              <w:rPr>
                <w:color w:val="000000"/>
                <w:sz w:val="12"/>
                <w:szCs w:val="16"/>
                <w:lang w:val="es-CO" w:eastAsia="es-CO"/>
              </w:rPr>
              <w:t>288</w:t>
            </w:r>
          </w:p>
        </w:tc>
      </w:tr>
      <w:tr w:rsidR="00BA56AD" w:rsidRPr="00790D9C" w14:paraId="4B44C3DB"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FDF640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480D526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Calzada Asfalto</w:t>
            </w:r>
          </w:p>
        </w:tc>
        <w:tc>
          <w:tcPr>
            <w:tcW w:w="862" w:type="dxa"/>
            <w:tcBorders>
              <w:top w:val="nil"/>
              <w:left w:val="nil"/>
              <w:bottom w:val="single" w:sz="4" w:space="0" w:color="auto"/>
              <w:right w:val="single" w:sz="4" w:space="0" w:color="auto"/>
            </w:tcBorders>
            <w:shd w:val="clear" w:color="auto" w:fill="auto"/>
            <w:noWrap/>
            <w:vAlign w:val="bottom"/>
            <w:hideMark/>
          </w:tcPr>
          <w:p w14:paraId="422049C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TPE2AS</w:t>
            </w:r>
          </w:p>
        </w:tc>
        <w:tc>
          <w:tcPr>
            <w:tcW w:w="1143" w:type="dxa"/>
            <w:tcBorders>
              <w:top w:val="nil"/>
              <w:left w:val="nil"/>
              <w:bottom w:val="single" w:sz="4" w:space="0" w:color="auto"/>
              <w:right w:val="single" w:sz="4" w:space="0" w:color="auto"/>
            </w:tcBorders>
            <w:shd w:val="clear" w:color="auto" w:fill="auto"/>
            <w:noWrap/>
            <w:vAlign w:val="bottom"/>
            <w:hideMark/>
          </w:tcPr>
          <w:p w14:paraId="6BBA84B8"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87</w:t>
            </w:r>
            <w:r>
              <w:rPr>
                <w:color w:val="000000"/>
                <w:sz w:val="12"/>
                <w:szCs w:val="16"/>
                <w:lang w:val="es-CO" w:eastAsia="es-CO"/>
              </w:rPr>
              <w:t>.</w:t>
            </w:r>
            <w:r w:rsidRPr="00790D9C">
              <w:rPr>
                <w:color w:val="000000"/>
                <w:sz w:val="12"/>
                <w:szCs w:val="16"/>
                <w:lang w:val="es-CO" w:eastAsia="es-CO"/>
              </w:rPr>
              <w:t>082</w:t>
            </w:r>
            <w:r>
              <w:rPr>
                <w:color w:val="000000"/>
                <w:sz w:val="12"/>
                <w:szCs w:val="16"/>
                <w:lang w:val="es-CO" w:eastAsia="es-CO"/>
              </w:rPr>
              <w:t>.</w:t>
            </w:r>
            <w:r w:rsidRPr="00790D9C">
              <w:rPr>
                <w:color w:val="000000"/>
                <w:sz w:val="12"/>
                <w:szCs w:val="16"/>
                <w:lang w:val="es-CO" w:eastAsia="es-CO"/>
              </w:rPr>
              <w:t>705</w:t>
            </w:r>
          </w:p>
        </w:tc>
        <w:tc>
          <w:tcPr>
            <w:tcW w:w="1552" w:type="dxa"/>
            <w:tcBorders>
              <w:top w:val="nil"/>
              <w:left w:val="nil"/>
              <w:bottom w:val="single" w:sz="4" w:space="0" w:color="auto"/>
              <w:right w:val="single" w:sz="4" w:space="0" w:color="auto"/>
            </w:tcBorders>
            <w:shd w:val="clear" w:color="auto" w:fill="auto"/>
            <w:noWrap/>
            <w:vAlign w:val="bottom"/>
            <w:hideMark/>
          </w:tcPr>
          <w:p w14:paraId="6D82809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428C743A"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2153BEA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05</w:t>
            </w:r>
          </w:p>
        </w:tc>
        <w:tc>
          <w:tcPr>
            <w:tcW w:w="1095" w:type="dxa"/>
            <w:tcBorders>
              <w:top w:val="nil"/>
              <w:left w:val="nil"/>
              <w:bottom w:val="single" w:sz="4" w:space="0" w:color="auto"/>
              <w:right w:val="single" w:sz="4" w:space="0" w:color="auto"/>
            </w:tcBorders>
            <w:shd w:val="clear" w:color="auto" w:fill="auto"/>
            <w:noWrap/>
            <w:vAlign w:val="bottom"/>
            <w:hideMark/>
          </w:tcPr>
          <w:p w14:paraId="24C5972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4</w:t>
            </w:r>
            <w:r>
              <w:rPr>
                <w:color w:val="000000"/>
                <w:sz w:val="12"/>
                <w:szCs w:val="16"/>
                <w:lang w:val="es-CO" w:eastAsia="es-CO"/>
              </w:rPr>
              <w:t>.</w:t>
            </w:r>
            <w:r w:rsidRPr="00790D9C">
              <w:rPr>
                <w:color w:val="000000"/>
                <w:sz w:val="12"/>
                <w:szCs w:val="16"/>
                <w:lang w:val="es-CO" w:eastAsia="es-CO"/>
              </w:rPr>
              <w:t>441</w:t>
            </w:r>
            <w:r>
              <w:rPr>
                <w:color w:val="000000"/>
                <w:sz w:val="12"/>
                <w:szCs w:val="16"/>
                <w:lang w:val="es-CO" w:eastAsia="es-CO"/>
              </w:rPr>
              <w:t>.</w:t>
            </w:r>
            <w:r w:rsidRPr="00790D9C">
              <w:rPr>
                <w:color w:val="000000"/>
                <w:sz w:val="12"/>
                <w:szCs w:val="16"/>
                <w:lang w:val="es-CO" w:eastAsia="es-CO"/>
              </w:rPr>
              <w:t>218</w:t>
            </w:r>
          </w:p>
        </w:tc>
      </w:tr>
      <w:tr w:rsidR="00BA56AD" w:rsidRPr="00790D9C" w14:paraId="73FBB68F"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81A78B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A96856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1B88E11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TPE3/4CO</w:t>
            </w:r>
          </w:p>
        </w:tc>
        <w:tc>
          <w:tcPr>
            <w:tcW w:w="1143" w:type="dxa"/>
            <w:tcBorders>
              <w:top w:val="nil"/>
              <w:left w:val="nil"/>
              <w:bottom w:val="single" w:sz="4" w:space="0" w:color="auto"/>
              <w:right w:val="single" w:sz="4" w:space="0" w:color="auto"/>
            </w:tcBorders>
            <w:shd w:val="clear" w:color="auto" w:fill="auto"/>
            <w:noWrap/>
            <w:vAlign w:val="bottom"/>
            <w:hideMark/>
          </w:tcPr>
          <w:p w14:paraId="6D2F0D6F"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75</w:t>
            </w:r>
            <w:r>
              <w:rPr>
                <w:color w:val="000000"/>
                <w:sz w:val="12"/>
                <w:szCs w:val="16"/>
                <w:lang w:val="es-CO" w:eastAsia="es-CO"/>
              </w:rPr>
              <w:t>.</w:t>
            </w:r>
            <w:r w:rsidRPr="00790D9C">
              <w:rPr>
                <w:color w:val="000000"/>
                <w:sz w:val="12"/>
                <w:szCs w:val="16"/>
                <w:lang w:val="es-CO" w:eastAsia="es-CO"/>
              </w:rPr>
              <w:t>269</w:t>
            </w:r>
            <w:r>
              <w:rPr>
                <w:color w:val="000000"/>
                <w:sz w:val="12"/>
                <w:szCs w:val="16"/>
                <w:lang w:val="es-CO" w:eastAsia="es-CO"/>
              </w:rPr>
              <w:t>.</w:t>
            </w:r>
            <w:r w:rsidRPr="00790D9C">
              <w:rPr>
                <w:color w:val="000000"/>
                <w:sz w:val="12"/>
                <w:szCs w:val="16"/>
                <w:lang w:val="es-CO" w:eastAsia="es-CO"/>
              </w:rPr>
              <w:t>785</w:t>
            </w:r>
          </w:p>
        </w:tc>
        <w:tc>
          <w:tcPr>
            <w:tcW w:w="1552" w:type="dxa"/>
            <w:tcBorders>
              <w:top w:val="nil"/>
              <w:left w:val="nil"/>
              <w:bottom w:val="single" w:sz="4" w:space="0" w:color="auto"/>
              <w:right w:val="single" w:sz="4" w:space="0" w:color="auto"/>
            </w:tcBorders>
            <w:shd w:val="clear" w:color="auto" w:fill="auto"/>
            <w:noWrap/>
            <w:vAlign w:val="bottom"/>
            <w:hideMark/>
          </w:tcPr>
          <w:p w14:paraId="4123475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0175DEA8"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21EB9006"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60</w:t>
            </w:r>
          </w:p>
        </w:tc>
        <w:tc>
          <w:tcPr>
            <w:tcW w:w="1095" w:type="dxa"/>
            <w:tcBorders>
              <w:top w:val="nil"/>
              <w:left w:val="nil"/>
              <w:bottom w:val="single" w:sz="4" w:space="0" w:color="auto"/>
              <w:right w:val="single" w:sz="4" w:space="0" w:color="auto"/>
            </w:tcBorders>
            <w:shd w:val="clear" w:color="auto" w:fill="auto"/>
            <w:noWrap/>
            <w:vAlign w:val="bottom"/>
            <w:hideMark/>
          </w:tcPr>
          <w:p w14:paraId="65010A79"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45</w:t>
            </w:r>
            <w:r>
              <w:rPr>
                <w:color w:val="000000"/>
                <w:sz w:val="12"/>
                <w:szCs w:val="16"/>
                <w:lang w:val="es-CO" w:eastAsia="es-CO"/>
              </w:rPr>
              <w:t>.</w:t>
            </w:r>
            <w:r w:rsidRPr="00790D9C">
              <w:rPr>
                <w:color w:val="000000"/>
                <w:sz w:val="12"/>
                <w:szCs w:val="16"/>
                <w:lang w:val="es-CO" w:eastAsia="es-CO"/>
              </w:rPr>
              <w:t>312</w:t>
            </w:r>
            <w:r>
              <w:rPr>
                <w:color w:val="000000"/>
                <w:sz w:val="12"/>
                <w:szCs w:val="16"/>
                <w:lang w:val="es-CO" w:eastAsia="es-CO"/>
              </w:rPr>
              <w:t>.</w:t>
            </w:r>
            <w:r w:rsidRPr="00790D9C">
              <w:rPr>
                <w:color w:val="000000"/>
                <w:sz w:val="12"/>
                <w:szCs w:val="16"/>
                <w:lang w:val="es-CO" w:eastAsia="es-CO"/>
              </w:rPr>
              <w:t>411</w:t>
            </w:r>
          </w:p>
        </w:tc>
      </w:tr>
      <w:tr w:rsidR="00BA56AD" w:rsidRPr="00790D9C" w14:paraId="57A3E35B"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A97720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3EFD532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176AC66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TPE1CO</w:t>
            </w:r>
          </w:p>
        </w:tc>
        <w:tc>
          <w:tcPr>
            <w:tcW w:w="1143" w:type="dxa"/>
            <w:tcBorders>
              <w:top w:val="nil"/>
              <w:left w:val="nil"/>
              <w:bottom w:val="single" w:sz="4" w:space="0" w:color="auto"/>
              <w:right w:val="single" w:sz="4" w:space="0" w:color="auto"/>
            </w:tcBorders>
            <w:shd w:val="clear" w:color="auto" w:fill="auto"/>
            <w:noWrap/>
            <w:vAlign w:val="bottom"/>
            <w:hideMark/>
          </w:tcPr>
          <w:p w14:paraId="7649ED6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77</w:t>
            </w:r>
            <w:r>
              <w:rPr>
                <w:color w:val="000000"/>
                <w:sz w:val="12"/>
                <w:szCs w:val="16"/>
                <w:lang w:val="es-CO" w:eastAsia="es-CO"/>
              </w:rPr>
              <w:t>.</w:t>
            </w:r>
            <w:r w:rsidRPr="00790D9C">
              <w:rPr>
                <w:color w:val="000000"/>
                <w:sz w:val="12"/>
                <w:szCs w:val="16"/>
                <w:lang w:val="es-CO" w:eastAsia="es-CO"/>
              </w:rPr>
              <w:t>820</w:t>
            </w:r>
            <w:r>
              <w:rPr>
                <w:color w:val="000000"/>
                <w:sz w:val="12"/>
                <w:szCs w:val="16"/>
                <w:lang w:val="es-CO" w:eastAsia="es-CO"/>
              </w:rPr>
              <w:t>.</w:t>
            </w:r>
            <w:r w:rsidRPr="00790D9C">
              <w:rPr>
                <w:color w:val="000000"/>
                <w:sz w:val="12"/>
                <w:szCs w:val="16"/>
                <w:lang w:val="es-CO" w:eastAsia="es-CO"/>
              </w:rPr>
              <w:t>464</w:t>
            </w:r>
          </w:p>
        </w:tc>
        <w:tc>
          <w:tcPr>
            <w:tcW w:w="1552" w:type="dxa"/>
            <w:tcBorders>
              <w:top w:val="nil"/>
              <w:left w:val="nil"/>
              <w:bottom w:val="single" w:sz="4" w:space="0" w:color="auto"/>
              <w:right w:val="single" w:sz="4" w:space="0" w:color="auto"/>
            </w:tcBorders>
            <w:shd w:val="clear" w:color="auto" w:fill="auto"/>
            <w:noWrap/>
            <w:vAlign w:val="bottom"/>
            <w:hideMark/>
          </w:tcPr>
          <w:p w14:paraId="0D24702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49EFD180"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1044F7F7"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06</w:t>
            </w:r>
          </w:p>
        </w:tc>
        <w:tc>
          <w:tcPr>
            <w:tcW w:w="1095" w:type="dxa"/>
            <w:tcBorders>
              <w:top w:val="nil"/>
              <w:left w:val="nil"/>
              <w:bottom w:val="single" w:sz="4" w:space="0" w:color="auto"/>
              <w:right w:val="single" w:sz="4" w:space="0" w:color="auto"/>
            </w:tcBorders>
            <w:shd w:val="clear" w:color="auto" w:fill="auto"/>
            <w:noWrap/>
            <w:vAlign w:val="bottom"/>
            <w:hideMark/>
          </w:tcPr>
          <w:p w14:paraId="40E977C0"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4</w:t>
            </w:r>
            <w:r>
              <w:rPr>
                <w:color w:val="000000"/>
                <w:sz w:val="12"/>
                <w:szCs w:val="16"/>
                <w:lang w:val="es-CO" w:eastAsia="es-CO"/>
              </w:rPr>
              <w:t>.</w:t>
            </w:r>
            <w:r w:rsidRPr="00790D9C">
              <w:rPr>
                <w:color w:val="000000"/>
                <w:sz w:val="12"/>
                <w:szCs w:val="16"/>
                <w:lang w:val="es-CO" w:eastAsia="es-CO"/>
              </w:rPr>
              <w:t>669</w:t>
            </w:r>
            <w:r>
              <w:rPr>
                <w:color w:val="000000"/>
                <w:sz w:val="12"/>
                <w:szCs w:val="16"/>
                <w:lang w:val="es-CO" w:eastAsia="es-CO"/>
              </w:rPr>
              <w:t>.</w:t>
            </w:r>
            <w:r w:rsidRPr="00790D9C">
              <w:rPr>
                <w:color w:val="000000"/>
                <w:sz w:val="12"/>
                <w:szCs w:val="16"/>
                <w:lang w:val="es-CO" w:eastAsia="es-CO"/>
              </w:rPr>
              <w:t>228</w:t>
            </w:r>
          </w:p>
        </w:tc>
      </w:tr>
      <w:tr w:rsidR="00BA56AD" w:rsidRPr="00790D9C" w14:paraId="1B1B377F"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555F56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0DB40DA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Calzada Concreto</w:t>
            </w:r>
          </w:p>
        </w:tc>
        <w:tc>
          <w:tcPr>
            <w:tcW w:w="862" w:type="dxa"/>
            <w:tcBorders>
              <w:top w:val="nil"/>
              <w:left w:val="nil"/>
              <w:bottom w:val="single" w:sz="4" w:space="0" w:color="auto"/>
              <w:right w:val="single" w:sz="4" w:space="0" w:color="auto"/>
            </w:tcBorders>
            <w:shd w:val="clear" w:color="auto" w:fill="auto"/>
            <w:noWrap/>
            <w:vAlign w:val="bottom"/>
            <w:hideMark/>
          </w:tcPr>
          <w:p w14:paraId="4F7C204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TPE2CO</w:t>
            </w:r>
          </w:p>
        </w:tc>
        <w:tc>
          <w:tcPr>
            <w:tcW w:w="1143" w:type="dxa"/>
            <w:tcBorders>
              <w:top w:val="nil"/>
              <w:left w:val="nil"/>
              <w:bottom w:val="single" w:sz="4" w:space="0" w:color="auto"/>
              <w:right w:val="single" w:sz="4" w:space="0" w:color="auto"/>
            </w:tcBorders>
            <w:shd w:val="clear" w:color="auto" w:fill="auto"/>
            <w:noWrap/>
            <w:vAlign w:val="bottom"/>
            <w:hideMark/>
          </w:tcPr>
          <w:p w14:paraId="67EEF325"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88</w:t>
            </w:r>
            <w:r>
              <w:rPr>
                <w:color w:val="000000"/>
                <w:sz w:val="12"/>
                <w:szCs w:val="16"/>
                <w:lang w:val="es-CO" w:eastAsia="es-CO"/>
              </w:rPr>
              <w:t>.</w:t>
            </w:r>
            <w:r w:rsidRPr="00790D9C">
              <w:rPr>
                <w:color w:val="000000"/>
                <w:sz w:val="12"/>
                <w:szCs w:val="16"/>
                <w:lang w:val="es-CO" w:eastAsia="es-CO"/>
              </w:rPr>
              <w:t>939</w:t>
            </w:r>
            <w:r>
              <w:rPr>
                <w:color w:val="000000"/>
                <w:sz w:val="12"/>
                <w:szCs w:val="16"/>
                <w:lang w:val="es-CO" w:eastAsia="es-CO"/>
              </w:rPr>
              <w:t>.</w:t>
            </w:r>
            <w:r w:rsidRPr="00790D9C">
              <w:rPr>
                <w:color w:val="000000"/>
                <w:sz w:val="12"/>
                <w:szCs w:val="16"/>
                <w:lang w:val="es-CO" w:eastAsia="es-CO"/>
              </w:rPr>
              <w:t>504</w:t>
            </w:r>
          </w:p>
        </w:tc>
        <w:tc>
          <w:tcPr>
            <w:tcW w:w="1552" w:type="dxa"/>
            <w:tcBorders>
              <w:top w:val="nil"/>
              <w:left w:val="nil"/>
              <w:bottom w:val="single" w:sz="4" w:space="0" w:color="auto"/>
              <w:right w:val="single" w:sz="4" w:space="0" w:color="auto"/>
            </w:tcBorders>
            <w:shd w:val="clear" w:color="auto" w:fill="auto"/>
            <w:noWrap/>
            <w:vAlign w:val="bottom"/>
            <w:hideMark/>
          </w:tcPr>
          <w:p w14:paraId="54F2CAD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015CE311"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637FBCC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04</w:t>
            </w:r>
          </w:p>
        </w:tc>
        <w:tc>
          <w:tcPr>
            <w:tcW w:w="1095" w:type="dxa"/>
            <w:tcBorders>
              <w:top w:val="nil"/>
              <w:left w:val="nil"/>
              <w:bottom w:val="single" w:sz="4" w:space="0" w:color="auto"/>
              <w:right w:val="single" w:sz="4" w:space="0" w:color="auto"/>
            </w:tcBorders>
            <w:shd w:val="clear" w:color="auto" w:fill="auto"/>
            <w:noWrap/>
            <w:vAlign w:val="bottom"/>
            <w:hideMark/>
          </w:tcPr>
          <w:p w14:paraId="367AABB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w:t>
            </w:r>
            <w:r>
              <w:rPr>
                <w:color w:val="000000"/>
                <w:sz w:val="12"/>
                <w:szCs w:val="16"/>
                <w:lang w:val="es-CO" w:eastAsia="es-CO"/>
              </w:rPr>
              <w:t>.</w:t>
            </w:r>
            <w:r w:rsidRPr="00790D9C">
              <w:rPr>
                <w:color w:val="000000"/>
                <w:sz w:val="12"/>
                <w:szCs w:val="16"/>
                <w:lang w:val="es-CO" w:eastAsia="es-CO"/>
              </w:rPr>
              <w:t>824</w:t>
            </w:r>
            <w:r>
              <w:rPr>
                <w:color w:val="000000"/>
                <w:sz w:val="12"/>
                <w:szCs w:val="16"/>
                <w:lang w:val="es-CO" w:eastAsia="es-CO"/>
              </w:rPr>
              <w:t>.</w:t>
            </w:r>
            <w:r w:rsidRPr="00790D9C">
              <w:rPr>
                <w:color w:val="000000"/>
                <w:sz w:val="12"/>
                <w:szCs w:val="16"/>
                <w:lang w:val="es-CO" w:eastAsia="es-CO"/>
              </w:rPr>
              <w:t>399</w:t>
            </w:r>
          </w:p>
        </w:tc>
      </w:tr>
      <w:tr w:rsidR="00BA56AD" w:rsidRPr="00790D9C" w14:paraId="59641AB8"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E2CC1B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60FE39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7A9A0F1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TPE1/2ACO</w:t>
            </w:r>
          </w:p>
        </w:tc>
        <w:tc>
          <w:tcPr>
            <w:tcW w:w="1143" w:type="dxa"/>
            <w:tcBorders>
              <w:top w:val="nil"/>
              <w:left w:val="nil"/>
              <w:bottom w:val="single" w:sz="4" w:space="0" w:color="auto"/>
              <w:right w:val="single" w:sz="4" w:space="0" w:color="auto"/>
            </w:tcBorders>
            <w:shd w:val="clear" w:color="auto" w:fill="auto"/>
            <w:noWrap/>
            <w:vAlign w:val="bottom"/>
            <w:hideMark/>
          </w:tcPr>
          <w:p w14:paraId="0342926C"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52</w:t>
            </w:r>
            <w:r>
              <w:rPr>
                <w:color w:val="000000"/>
                <w:sz w:val="12"/>
                <w:szCs w:val="16"/>
                <w:lang w:val="es-CO" w:eastAsia="es-CO"/>
              </w:rPr>
              <w:t>.</w:t>
            </w:r>
            <w:r w:rsidRPr="00790D9C">
              <w:rPr>
                <w:color w:val="000000"/>
                <w:sz w:val="12"/>
                <w:szCs w:val="16"/>
                <w:lang w:val="es-CO" w:eastAsia="es-CO"/>
              </w:rPr>
              <w:t>202</w:t>
            </w:r>
            <w:r>
              <w:rPr>
                <w:color w:val="000000"/>
                <w:sz w:val="12"/>
                <w:szCs w:val="16"/>
                <w:lang w:val="es-CO" w:eastAsia="es-CO"/>
              </w:rPr>
              <w:t>.</w:t>
            </w:r>
            <w:r w:rsidRPr="00790D9C">
              <w:rPr>
                <w:color w:val="000000"/>
                <w:sz w:val="12"/>
                <w:szCs w:val="16"/>
                <w:lang w:val="es-CO" w:eastAsia="es-CO"/>
              </w:rPr>
              <w:t>790</w:t>
            </w:r>
          </w:p>
        </w:tc>
        <w:tc>
          <w:tcPr>
            <w:tcW w:w="1552" w:type="dxa"/>
            <w:tcBorders>
              <w:top w:val="nil"/>
              <w:left w:val="nil"/>
              <w:bottom w:val="single" w:sz="4" w:space="0" w:color="auto"/>
              <w:right w:val="single" w:sz="4" w:space="0" w:color="auto"/>
            </w:tcBorders>
            <w:shd w:val="clear" w:color="auto" w:fill="auto"/>
            <w:noWrap/>
            <w:vAlign w:val="bottom"/>
            <w:hideMark/>
          </w:tcPr>
          <w:p w14:paraId="2BF7E66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604F5EA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5FEF1DF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02</w:t>
            </w:r>
          </w:p>
        </w:tc>
        <w:tc>
          <w:tcPr>
            <w:tcW w:w="1095" w:type="dxa"/>
            <w:tcBorders>
              <w:top w:val="nil"/>
              <w:left w:val="nil"/>
              <w:bottom w:val="single" w:sz="4" w:space="0" w:color="auto"/>
              <w:right w:val="single" w:sz="4" w:space="0" w:color="auto"/>
            </w:tcBorders>
            <w:shd w:val="clear" w:color="auto" w:fill="auto"/>
            <w:noWrap/>
            <w:vAlign w:val="bottom"/>
            <w:hideMark/>
          </w:tcPr>
          <w:p w14:paraId="735D326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835</w:t>
            </w:r>
            <w:r>
              <w:rPr>
                <w:color w:val="000000"/>
                <w:sz w:val="12"/>
                <w:szCs w:val="16"/>
                <w:lang w:val="es-CO" w:eastAsia="es-CO"/>
              </w:rPr>
              <w:t>.</w:t>
            </w:r>
            <w:r w:rsidRPr="00790D9C">
              <w:rPr>
                <w:color w:val="000000"/>
                <w:sz w:val="12"/>
                <w:szCs w:val="16"/>
                <w:lang w:val="es-CO" w:eastAsia="es-CO"/>
              </w:rPr>
              <w:t>245</w:t>
            </w:r>
          </w:p>
        </w:tc>
      </w:tr>
      <w:tr w:rsidR="00BA56AD" w:rsidRPr="00790D9C" w14:paraId="76AE8554"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061FBC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7A03FF1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065D150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TPE3/4ACO</w:t>
            </w:r>
          </w:p>
        </w:tc>
        <w:tc>
          <w:tcPr>
            <w:tcW w:w="1143" w:type="dxa"/>
            <w:tcBorders>
              <w:top w:val="nil"/>
              <w:left w:val="nil"/>
              <w:bottom w:val="single" w:sz="4" w:space="0" w:color="auto"/>
              <w:right w:val="single" w:sz="4" w:space="0" w:color="auto"/>
            </w:tcBorders>
            <w:shd w:val="clear" w:color="auto" w:fill="auto"/>
            <w:noWrap/>
            <w:vAlign w:val="bottom"/>
            <w:hideMark/>
          </w:tcPr>
          <w:p w14:paraId="3BFB9B8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53</w:t>
            </w:r>
            <w:r>
              <w:rPr>
                <w:color w:val="000000"/>
                <w:sz w:val="12"/>
                <w:szCs w:val="16"/>
                <w:lang w:val="es-CO" w:eastAsia="es-CO"/>
              </w:rPr>
              <w:t>.</w:t>
            </w:r>
            <w:r w:rsidRPr="00790D9C">
              <w:rPr>
                <w:color w:val="000000"/>
                <w:sz w:val="12"/>
                <w:szCs w:val="16"/>
                <w:lang w:val="es-CO" w:eastAsia="es-CO"/>
              </w:rPr>
              <w:t>098</w:t>
            </w:r>
            <w:r>
              <w:rPr>
                <w:color w:val="000000"/>
                <w:sz w:val="12"/>
                <w:szCs w:val="16"/>
                <w:lang w:val="es-CO" w:eastAsia="es-CO"/>
              </w:rPr>
              <w:t>.</w:t>
            </w:r>
            <w:r w:rsidRPr="00790D9C">
              <w:rPr>
                <w:color w:val="000000"/>
                <w:sz w:val="12"/>
                <w:szCs w:val="16"/>
                <w:lang w:val="es-CO" w:eastAsia="es-CO"/>
              </w:rPr>
              <w:t>574</w:t>
            </w:r>
          </w:p>
        </w:tc>
        <w:tc>
          <w:tcPr>
            <w:tcW w:w="1552" w:type="dxa"/>
            <w:tcBorders>
              <w:top w:val="nil"/>
              <w:left w:val="nil"/>
              <w:bottom w:val="single" w:sz="4" w:space="0" w:color="auto"/>
              <w:right w:val="single" w:sz="4" w:space="0" w:color="auto"/>
            </w:tcBorders>
            <w:shd w:val="clear" w:color="auto" w:fill="auto"/>
            <w:noWrap/>
            <w:vAlign w:val="bottom"/>
            <w:hideMark/>
          </w:tcPr>
          <w:p w14:paraId="3E89A36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414E1303"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6B3C3234"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18</w:t>
            </w:r>
          </w:p>
        </w:tc>
        <w:tc>
          <w:tcPr>
            <w:tcW w:w="1095" w:type="dxa"/>
            <w:tcBorders>
              <w:top w:val="nil"/>
              <w:left w:val="nil"/>
              <w:bottom w:val="single" w:sz="4" w:space="0" w:color="auto"/>
              <w:right w:val="single" w:sz="4" w:space="0" w:color="auto"/>
            </w:tcBorders>
            <w:shd w:val="clear" w:color="auto" w:fill="auto"/>
            <w:noWrap/>
            <w:vAlign w:val="bottom"/>
            <w:hideMark/>
          </w:tcPr>
          <w:p w14:paraId="7F5EE61B"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62</w:t>
            </w:r>
            <w:r>
              <w:rPr>
                <w:color w:val="000000"/>
                <w:sz w:val="12"/>
                <w:szCs w:val="16"/>
                <w:lang w:val="es-CO" w:eastAsia="es-CO"/>
              </w:rPr>
              <w:t>.</w:t>
            </w:r>
            <w:r w:rsidRPr="00790D9C">
              <w:rPr>
                <w:color w:val="000000"/>
                <w:sz w:val="12"/>
                <w:szCs w:val="16"/>
                <w:lang w:val="es-CO" w:eastAsia="es-CO"/>
              </w:rPr>
              <w:t>576</w:t>
            </w:r>
            <w:r>
              <w:rPr>
                <w:color w:val="000000"/>
                <w:sz w:val="12"/>
                <w:szCs w:val="16"/>
                <w:lang w:val="es-CO" w:eastAsia="es-CO"/>
              </w:rPr>
              <w:t>.</w:t>
            </w:r>
            <w:r w:rsidRPr="00790D9C">
              <w:rPr>
                <w:color w:val="000000"/>
                <w:sz w:val="12"/>
                <w:szCs w:val="16"/>
                <w:lang w:val="es-CO" w:eastAsia="es-CO"/>
              </w:rPr>
              <w:t>669</w:t>
            </w:r>
          </w:p>
        </w:tc>
      </w:tr>
      <w:tr w:rsidR="00BA56AD" w:rsidRPr="00790D9C" w14:paraId="637300EC"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03DDA8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7FF56659"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04646776"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TPE1ACO</w:t>
            </w:r>
          </w:p>
        </w:tc>
        <w:tc>
          <w:tcPr>
            <w:tcW w:w="1143" w:type="dxa"/>
            <w:tcBorders>
              <w:top w:val="nil"/>
              <w:left w:val="nil"/>
              <w:bottom w:val="single" w:sz="4" w:space="0" w:color="auto"/>
              <w:right w:val="single" w:sz="4" w:space="0" w:color="auto"/>
            </w:tcBorders>
            <w:shd w:val="clear" w:color="auto" w:fill="auto"/>
            <w:noWrap/>
            <w:vAlign w:val="bottom"/>
            <w:hideMark/>
          </w:tcPr>
          <w:p w14:paraId="1AE1C88D"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55</w:t>
            </w:r>
            <w:r>
              <w:rPr>
                <w:color w:val="000000"/>
                <w:sz w:val="12"/>
                <w:szCs w:val="16"/>
                <w:lang w:val="es-CO" w:eastAsia="es-CO"/>
              </w:rPr>
              <w:t>.</w:t>
            </w:r>
            <w:r w:rsidRPr="00790D9C">
              <w:rPr>
                <w:color w:val="000000"/>
                <w:sz w:val="12"/>
                <w:szCs w:val="16"/>
                <w:lang w:val="es-CO" w:eastAsia="es-CO"/>
              </w:rPr>
              <w:t>772</w:t>
            </w:r>
            <w:r>
              <w:rPr>
                <w:color w:val="000000"/>
                <w:sz w:val="12"/>
                <w:szCs w:val="16"/>
                <w:lang w:val="es-CO" w:eastAsia="es-CO"/>
              </w:rPr>
              <w:t>.</w:t>
            </w:r>
            <w:r w:rsidRPr="00790D9C">
              <w:rPr>
                <w:color w:val="000000"/>
                <w:sz w:val="12"/>
                <w:szCs w:val="16"/>
                <w:lang w:val="es-CO" w:eastAsia="es-CO"/>
              </w:rPr>
              <w:t>649</w:t>
            </w:r>
          </w:p>
        </w:tc>
        <w:tc>
          <w:tcPr>
            <w:tcW w:w="1552" w:type="dxa"/>
            <w:tcBorders>
              <w:top w:val="nil"/>
              <w:left w:val="nil"/>
              <w:bottom w:val="single" w:sz="4" w:space="0" w:color="auto"/>
              <w:right w:val="single" w:sz="4" w:space="0" w:color="auto"/>
            </w:tcBorders>
            <w:shd w:val="clear" w:color="auto" w:fill="auto"/>
            <w:noWrap/>
            <w:vAlign w:val="bottom"/>
            <w:hideMark/>
          </w:tcPr>
          <w:p w14:paraId="62D782E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00C645F8"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5176F157"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12</w:t>
            </w:r>
          </w:p>
        </w:tc>
        <w:tc>
          <w:tcPr>
            <w:tcW w:w="1095" w:type="dxa"/>
            <w:tcBorders>
              <w:top w:val="nil"/>
              <w:left w:val="nil"/>
              <w:bottom w:val="single" w:sz="4" w:space="0" w:color="auto"/>
              <w:right w:val="single" w:sz="4" w:space="0" w:color="auto"/>
            </w:tcBorders>
            <w:shd w:val="clear" w:color="auto" w:fill="auto"/>
            <w:noWrap/>
            <w:vAlign w:val="bottom"/>
            <w:hideMark/>
          </w:tcPr>
          <w:p w14:paraId="5B1583ED"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6</w:t>
            </w:r>
            <w:r>
              <w:rPr>
                <w:color w:val="000000"/>
                <w:sz w:val="12"/>
                <w:szCs w:val="16"/>
                <w:lang w:val="es-CO" w:eastAsia="es-CO"/>
              </w:rPr>
              <w:t>.</w:t>
            </w:r>
            <w:r w:rsidRPr="00790D9C">
              <w:rPr>
                <w:color w:val="000000"/>
                <w:sz w:val="12"/>
                <w:szCs w:val="16"/>
                <w:lang w:val="es-CO" w:eastAsia="es-CO"/>
              </w:rPr>
              <w:t>525</w:t>
            </w:r>
            <w:r>
              <w:rPr>
                <w:color w:val="000000"/>
                <w:sz w:val="12"/>
                <w:szCs w:val="16"/>
                <w:lang w:val="es-CO" w:eastAsia="es-CO"/>
              </w:rPr>
              <w:t>.</w:t>
            </w:r>
            <w:r w:rsidRPr="00790D9C">
              <w:rPr>
                <w:color w:val="000000"/>
                <w:sz w:val="12"/>
                <w:szCs w:val="16"/>
                <w:lang w:val="es-CO" w:eastAsia="es-CO"/>
              </w:rPr>
              <w:t>400</w:t>
            </w:r>
          </w:p>
        </w:tc>
      </w:tr>
      <w:tr w:rsidR="00BA56AD" w:rsidRPr="00790D9C" w14:paraId="125E39EF"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DF7582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24FE3BD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Anden Concreto</w:t>
            </w:r>
          </w:p>
        </w:tc>
        <w:tc>
          <w:tcPr>
            <w:tcW w:w="862" w:type="dxa"/>
            <w:tcBorders>
              <w:top w:val="nil"/>
              <w:left w:val="nil"/>
              <w:bottom w:val="single" w:sz="4" w:space="0" w:color="auto"/>
              <w:right w:val="single" w:sz="4" w:space="0" w:color="auto"/>
            </w:tcBorders>
            <w:shd w:val="clear" w:color="auto" w:fill="auto"/>
            <w:noWrap/>
            <w:vAlign w:val="bottom"/>
            <w:hideMark/>
          </w:tcPr>
          <w:p w14:paraId="4849A4B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TPE2ACO</w:t>
            </w:r>
          </w:p>
        </w:tc>
        <w:tc>
          <w:tcPr>
            <w:tcW w:w="1143" w:type="dxa"/>
            <w:tcBorders>
              <w:top w:val="nil"/>
              <w:left w:val="nil"/>
              <w:bottom w:val="single" w:sz="4" w:space="0" w:color="auto"/>
              <w:right w:val="single" w:sz="4" w:space="0" w:color="auto"/>
            </w:tcBorders>
            <w:shd w:val="clear" w:color="auto" w:fill="auto"/>
            <w:noWrap/>
            <w:vAlign w:val="bottom"/>
            <w:hideMark/>
          </w:tcPr>
          <w:p w14:paraId="4C4171AD"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67</w:t>
            </w:r>
            <w:r>
              <w:rPr>
                <w:color w:val="000000"/>
                <w:sz w:val="12"/>
                <w:szCs w:val="16"/>
                <w:lang w:val="es-CO" w:eastAsia="es-CO"/>
              </w:rPr>
              <w:t>.</w:t>
            </w:r>
            <w:r w:rsidRPr="00790D9C">
              <w:rPr>
                <w:color w:val="000000"/>
                <w:sz w:val="12"/>
                <w:szCs w:val="16"/>
                <w:lang w:val="es-CO" w:eastAsia="es-CO"/>
              </w:rPr>
              <w:t>285</w:t>
            </w:r>
            <w:r>
              <w:rPr>
                <w:color w:val="000000"/>
                <w:sz w:val="12"/>
                <w:szCs w:val="16"/>
                <w:lang w:val="es-CO" w:eastAsia="es-CO"/>
              </w:rPr>
              <w:t>.</w:t>
            </w:r>
            <w:r w:rsidRPr="00790D9C">
              <w:rPr>
                <w:color w:val="000000"/>
                <w:sz w:val="12"/>
                <w:szCs w:val="16"/>
                <w:lang w:val="es-CO" w:eastAsia="es-CO"/>
              </w:rPr>
              <w:t>854</w:t>
            </w:r>
          </w:p>
        </w:tc>
        <w:tc>
          <w:tcPr>
            <w:tcW w:w="1552" w:type="dxa"/>
            <w:tcBorders>
              <w:top w:val="nil"/>
              <w:left w:val="nil"/>
              <w:bottom w:val="single" w:sz="4" w:space="0" w:color="auto"/>
              <w:right w:val="single" w:sz="4" w:space="0" w:color="auto"/>
            </w:tcBorders>
            <w:shd w:val="clear" w:color="auto" w:fill="auto"/>
            <w:noWrap/>
            <w:vAlign w:val="bottom"/>
            <w:hideMark/>
          </w:tcPr>
          <w:p w14:paraId="05B2C83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36B80C66"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4DC068CA"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10</w:t>
            </w:r>
          </w:p>
        </w:tc>
        <w:tc>
          <w:tcPr>
            <w:tcW w:w="1095" w:type="dxa"/>
            <w:tcBorders>
              <w:top w:val="nil"/>
              <w:left w:val="nil"/>
              <w:bottom w:val="single" w:sz="4" w:space="0" w:color="auto"/>
              <w:right w:val="single" w:sz="4" w:space="0" w:color="auto"/>
            </w:tcBorders>
            <w:shd w:val="clear" w:color="auto" w:fill="auto"/>
            <w:noWrap/>
            <w:vAlign w:val="bottom"/>
            <w:hideMark/>
          </w:tcPr>
          <w:p w14:paraId="6980EF03"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6</w:t>
            </w:r>
            <w:r>
              <w:rPr>
                <w:color w:val="000000"/>
                <w:sz w:val="12"/>
                <w:szCs w:val="16"/>
                <w:lang w:val="es-CO" w:eastAsia="es-CO"/>
              </w:rPr>
              <w:t>.</w:t>
            </w:r>
            <w:r w:rsidRPr="00790D9C">
              <w:rPr>
                <w:color w:val="000000"/>
                <w:sz w:val="12"/>
                <w:szCs w:val="16"/>
                <w:lang w:val="es-CO" w:eastAsia="es-CO"/>
              </w:rPr>
              <w:t>594</w:t>
            </w:r>
            <w:r>
              <w:rPr>
                <w:color w:val="000000"/>
                <w:sz w:val="12"/>
                <w:szCs w:val="16"/>
                <w:lang w:val="es-CO" w:eastAsia="es-CO"/>
              </w:rPr>
              <w:t>.</w:t>
            </w:r>
            <w:r w:rsidRPr="00790D9C">
              <w:rPr>
                <w:color w:val="000000"/>
                <w:sz w:val="12"/>
                <w:szCs w:val="16"/>
                <w:lang w:val="es-CO" w:eastAsia="es-CO"/>
              </w:rPr>
              <w:t>014</w:t>
            </w:r>
          </w:p>
        </w:tc>
      </w:tr>
      <w:tr w:rsidR="00BA56AD" w:rsidRPr="00790D9C" w14:paraId="73B164DA"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3E1324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3151DCCD"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2C90819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TPE3/4TA</w:t>
            </w:r>
          </w:p>
        </w:tc>
        <w:tc>
          <w:tcPr>
            <w:tcW w:w="1143" w:type="dxa"/>
            <w:tcBorders>
              <w:top w:val="nil"/>
              <w:left w:val="nil"/>
              <w:bottom w:val="single" w:sz="4" w:space="0" w:color="auto"/>
              <w:right w:val="single" w:sz="4" w:space="0" w:color="auto"/>
            </w:tcBorders>
            <w:shd w:val="clear" w:color="auto" w:fill="auto"/>
            <w:noWrap/>
            <w:vAlign w:val="bottom"/>
            <w:hideMark/>
          </w:tcPr>
          <w:p w14:paraId="3EC90F0B"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56</w:t>
            </w:r>
            <w:r>
              <w:rPr>
                <w:color w:val="000000"/>
                <w:sz w:val="12"/>
                <w:szCs w:val="16"/>
                <w:lang w:val="es-CO" w:eastAsia="es-CO"/>
              </w:rPr>
              <w:t>.</w:t>
            </w:r>
            <w:r w:rsidRPr="00790D9C">
              <w:rPr>
                <w:color w:val="000000"/>
                <w:sz w:val="12"/>
                <w:szCs w:val="16"/>
                <w:lang w:val="es-CO" w:eastAsia="es-CO"/>
              </w:rPr>
              <w:t>167</w:t>
            </w:r>
            <w:r>
              <w:rPr>
                <w:color w:val="000000"/>
                <w:sz w:val="12"/>
                <w:szCs w:val="16"/>
                <w:lang w:val="es-CO" w:eastAsia="es-CO"/>
              </w:rPr>
              <w:t>.</w:t>
            </w:r>
            <w:r w:rsidRPr="00790D9C">
              <w:rPr>
                <w:color w:val="000000"/>
                <w:sz w:val="12"/>
                <w:szCs w:val="16"/>
                <w:lang w:val="es-CO" w:eastAsia="es-CO"/>
              </w:rPr>
              <w:t>552</w:t>
            </w:r>
          </w:p>
        </w:tc>
        <w:tc>
          <w:tcPr>
            <w:tcW w:w="1552" w:type="dxa"/>
            <w:tcBorders>
              <w:top w:val="nil"/>
              <w:left w:val="nil"/>
              <w:bottom w:val="single" w:sz="4" w:space="0" w:color="auto"/>
              <w:right w:val="single" w:sz="4" w:space="0" w:color="auto"/>
            </w:tcBorders>
            <w:shd w:val="clear" w:color="auto" w:fill="auto"/>
            <w:noWrap/>
            <w:vAlign w:val="bottom"/>
            <w:hideMark/>
          </w:tcPr>
          <w:p w14:paraId="4252FCE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04BBFC1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3AC2A23F"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05</w:t>
            </w:r>
          </w:p>
        </w:tc>
        <w:tc>
          <w:tcPr>
            <w:tcW w:w="1095" w:type="dxa"/>
            <w:tcBorders>
              <w:top w:val="nil"/>
              <w:left w:val="nil"/>
              <w:bottom w:val="single" w:sz="4" w:space="0" w:color="auto"/>
              <w:right w:val="single" w:sz="4" w:space="0" w:color="auto"/>
            </w:tcBorders>
            <w:shd w:val="clear" w:color="auto" w:fill="auto"/>
            <w:noWrap/>
            <w:vAlign w:val="bottom"/>
            <w:hideMark/>
          </w:tcPr>
          <w:p w14:paraId="57D724F3"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w:t>
            </w:r>
            <w:r>
              <w:rPr>
                <w:color w:val="000000"/>
                <w:sz w:val="12"/>
                <w:szCs w:val="16"/>
                <w:lang w:val="es-CO" w:eastAsia="es-CO"/>
              </w:rPr>
              <w:t>.</w:t>
            </w:r>
            <w:r w:rsidRPr="00790D9C">
              <w:rPr>
                <w:color w:val="000000"/>
                <w:sz w:val="12"/>
                <w:szCs w:val="16"/>
                <w:lang w:val="es-CO" w:eastAsia="es-CO"/>
              </w:rPr>
              <w:t>004</w:t>
            </w:r>
            <w:r>
              <w:rPr>
                <w:color w:val="000000"/>
                <w:sz w:val="12"/>
                <w:szCs w:val="16"/>
                <w:lang w:val="es-CO" w:eastAsia="es-CO"/>
              </w:rPr>
              <w:t>.</w:t>
            </w:r>
            <w:r w:rsidRPr="00790D9C">
              <w:rPr>
                <w:color w:val="000000"/>
                <w:sz w:val="12"/>
                <w:szCs w:val="16"/>
                <w:lang w:val="es-CO" w:eastAsia="es-CO"/>
              </w:rPr>
              <w:t>964</w:t>
            </w:r>
          </w:p>
        </w:tc>
      </w:tr>
      <w:tr w:rsidR="00BA56AD" w:rsidRPr="00790D9C" w14:paraId="50DF942B"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776F295"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294533D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Andén Tableta, Baldosín, Gravilla</w:t>
            </w:r>
          </w:p>
        </w:tc>
        <w:tc>
          <w:tcPr>
            <w:tcW w:w="862" w:type="dxa"/>
            <w:tcBorders>
              <w:top w:val="nil"/>
              <w:left w:val="nil"/>
              <w:bottom w:val="single" w:sz="4" w:space="0" w:color="auto"/>
              <w:right w:val="single" w:sz="4" w:space="0" w:color="auto"/>
            </w:tcBorders>
            <w:shd w:val="clear" w:color="auto" w:fill="auto"/>
            <w:noWrap/>
            <w:vAlign w:val="bottom"/>
            <w:hideMark/>
          </w:tcPr>
          <w:p w14:paraId="5EE2A6B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TPE2TA</w:t>
            </w:r>
          </w:p>
        </w:tc>
        <w:tc>
          <w:tcPr>
            <w:tcW w:w="1143" w:type="dxa"/>
            <w:tcBorders>
              <w:top w:val="nil"/>
              <w:left w:val="nil"/>
              <w:bottom w:val="single" w:sz="4" w:space="0" w:color="auto"/>
              <w:right w:val="single" w:sz="4" w:space="0" w:color="auto"/>
            </w:tcBorders>
            <w:shd w:val="clear" w:color="auto" w:fill="auto"/>
            <w:noWrap/>
            <w:vAlign w:val="bottom"/>
            <w:hideMark/>
          </w:tcPr>
          <w:p w14:paraId="382335CA"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70</w:t>
            </w:r>
            <w:r>
              <w:rPr>
                <w:color w:val="000000"/>
                <w:sz w:val="12"/>
                <w:szCs w:val="16"/>
                <w:lang w:val="es-CO" w:eastAsia="es-CO"/>
              </w:rPr>
              <w:t>.</w:t>
            </w:r>
            <w:r w:rsidRPr="00790D9C">
              <w:rPr>
                <w:color w:val="000000"/>
                <w:sz w:val="12"/>
                <w:szCs w:val="16"/>
                <w:lang w:val="es-CO" w:eastAsia="es-CO"/>
              </w:rPr>
              <w:t>281</w:t>
            </w:r>
            <w:r>
              <w:rPr>
                <w:color w:val="000000"/>
                <w:sz w:val="12"/>
                <w:szCs w:val="16"/>
                <w:lang w:val="es-CO" w:eastAsia="es-CO"/>
              </w:rPr>
              <w:t>.</w:t>
            </w:r>
            <w:r w:rsidRPr="00790D9C">
              <w:rPr>
                <w:color w:val="000000"/>
                <w:sz w:val="12"/>
                <w:szCs w:val="16"/>
                <w:lang w:val="es-CO" w:eastAsia="es-CO"/>
              </w:rPr>
              <w:t>222</w:t>
            </w:r>
          </w:p>
        </w:tc>
        <w:tc>
          <w:tcPr>
            <w:tcW w:w="1552" w:type="dxa"/>
            <w:tcBorders>
              <w:top w:val="nil"/>
              <w:left w:val="nil"/>
              <w:bottom w:val="single" w:sz="4" w:space="0" w:color="auto"/>
              <w:right w:val="single" w:sz="4" w:space="0" w:color="auto"/>
            </w:tcBorders>
            <w:shd w:val="clear" w:color="auto" w:fill="auto"/>
            <w:noWrap/>
            <w:vAlign w:val="bottom"/>
            <w:hideMark/>
          </w:tcPr>
          <w:p w14:paraId="39D368C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E66EDA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4DB7562A"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04</w:t>
            </w:r>
          </w:p>
        </w:tc>
        <w:tc>
          <w:tcPr>
            <w:tcW w:w="1095" w:type="dxa"/>
            <w:tcBorders>
              <w:top w:val="nil"/>
              <w:left w:val="nil"/>
              <w:bottom w:val="single" w:sz="4" w:space="0" w:color="auto"/>
              <w:right w:val="single" w:sz="4" w:space="0" w:color="auto"/>
            </w:tcBorders>
            <w:shd w:val="clear" w:color="auto" w:fill="auto"/>
            <w:noWrap/>
            <w:vAlign w:val="bottom"/>
            <w:hideMark/>
          </w:tcPr>
          <w:p w14:paraId="0D715BE8"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2</w:t>
            </w:r>
            <w:r>
              <w:rPr>
                <w:color w:val="000000"/>
                <w:sz w:val="12"/>
                <w:szCs w:val="16"/>
                <w:lang w:val="es-CO" w:eastAsia="es-CO"/>
              </w:rPr>
              <w:t>.</w:t>
            </w:r>
            <w:r w:rsidRPr="00790D9C">
              <w:rPr>
                <w:color w:val="000000"/>
                <w:sz w:val="12"/>
                <w:szCs w:val="16"/>
                <w:lang w:val="es-CO" w:eastAsia="es-CO"/>
              </w:rPr>
              <w:t>776</w:t>
            </w:r>
            <w:r>
              <w:rPr>
                <w:color w:val="000000"/>
                <w:sz w:val="12"/>
                <w:szCs w:val="16"/>
                <w:lang w:val="es-CO" w:eastAsia="es-CO"/>
              </w:rPr>
              <w:t>.</w:t>
            </w:r>
            <w:r w:rsidRPr="00790D9C">
              <w:rPr>
                <w:color w:val="000000"/>
                <w:sz w:val="12"/>
                <w:szCs w:val="16"/>
                <w:lang w:val="es-CO" w:eastAsia="es-CO"/>
              </w:rPr>
              <w:t>108</w:t>
            </w:r>
          </w:p>
        </w:tc>
      </w:tr>
      <w:tr w:rsidR="00BA56AD" w:rsidRPr="00790D9C" w14:paraId="03CC4A81"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C441B0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4BCC9F9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1/2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041481B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TPE1/2ZV</w:t>
            </w:r>
          </w:p>
        </w:tc>
        <w:tc>
          <w:tcPr>
            <w:tcW w:w="1143" w:type="dxa"/>
            <w:tcBorders>
              <w:top w:val="nil"/>
              <w:left w:val="nil"/>
              <w:bottom w:val="single" w:sz="4" w:space="0" w:color="auto"/>
              <w:right w:val="single" w:sz="4" w:space="0" w:color="auto"/>
            </w:tcBorders>
            <w:shd w:val="clear" w:color="auto" w:fill="auto"/>
            <w:noWrap/>
            <w:vAlign w:val="bottom"/>
            <w:hideMark/>
          </w:tcPr>
          <w:p w14:paraId="21BFF822"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18</w:t>
            </w:r>
            <w:r>
              <w:rPr>
                <w:color w:val="000000"/>
                <w:sz w:val="12"/>
                <w:szCs w:val="16"/>
                <w:lang w:val="es-CO" w:eastAsia="es-CO"/>
              </w:rPr>
              <w:t>.</w:t>
            </w:r>
            <w:r w:rsidRPr="00790D9C">
              <w:rPr>
                <w:color w:val="000000"/>
                <w:sz w:val="12"/>
                <w:szCs w:val="16"/>
                <w:lang w:val="es-CO" w:eastAsia="es-CO"/>
              </w:rPr>
              <w:t>486</w:t>
            </w:r>
            <w:r>
              <w:rPr>
                <w:color w:val="000000"/>
                <w:sz w:val="12"/>
                <w:szCs w:val="16"/>
                <w:lang w:val="es-CO" w:eastAsia="es-CO"/>
              </w:rPr>
              <w:t>.</w:t>
            </w:r>
            <w:r w:rsidRPr="00790D9C">
              <w:rPr>
                <w:color w:val="000000"/>
                <w:sz w:val="12"/>
                <w:szCs w:val="16"/>
                <w:lang w:val="es-CO" w:eastAsia="es-CO"/>
              </w:rPr>
              <w:t>372</w:t>
            </w:r>
          </w:p>
        </w:tc>
        <w:tc>
          <w:tcPr>
            <w:tcW w:w="1552" w:type="dxa"/>
            <w:tcBorders>
              <w:top w:val="nil"/>
              <w:left w:val="nil"/>
              <w:bottom w:val="single" w:sz="4" w:space="0" w:color="auto"/>
              <w:right w:val="single" w:sz="4" w:space="0" w:color="auto"/>
            </w:tcBorders>
            <w:shd w:val="clear" w:color="auto" w:fill="auto"/>
            <w:noWrap/>
            <w:vAlign w:val="bottom"/>
            <w:hideMark/>
          </w:tcPr>
          <w:p w14:paraId="5C9EF6D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59712CD6"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65D2028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w:t>
            </w:r>
            <w:r>
              <w:rPr>
                <w:color w:val="000000"/>
                <w:sz w:val="12"/>
                <w:szCs w:val="16"/>
                <w:lang w:val="es-CO" w:eastAsia="es-CO"/>
              </w:rPr>
              <w:t>,</w:t>
            </w:r>
            <w:r w:rsidRPr="00790D9C">
              <w:rPr>
                <w:color w:val="000000"/>
                <w:sz w:val="12"/>
                <w:szCs w:val="16"/>
                <w:lang w:val="es-CO" w:eastAsia="es-CO"/>
              </w:rPr>
              <w:t>78</w:t>
            </w:r>
          </w:p>
        </w:tc>
        <w:tc>
          <w:tcPr>
            <w:tcW w:w="1095" w:type="dxa"/>
            <w:tcBorders>
              <w:top w:val="nil"/>
              <w:left w:val="nil"/>
              <w:bottom w:val="single" w:sz="4" w:space="0" w:color="auto"/>
              <w:right w:val="single" w:sz="4" w:space="0" w:color="auto"/>
            </w:tcBorders>
            <w:shd w:val="clear" w:color="auto" w:fill="auto"/>
            <w:noWrap/>
            <w:vAlign w:val="bottom"/>
            <w:hideMark/>
          </w:tcPr>
          <w:p w14:paraId="44B8E23E"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69</w:t>
            </w:r>
            <w:r>
              <w:rPr>
                <w:color w:val="000000"/>
                <w:sz w:val="12"/>
                <w:szCs w:val="16"/>
                <w:lang w:val="es-CO" w:eastAsia="es-CO"/>
              </w:rPr>
              <w:t>.</w:t>
            </w:r>
            <w:r w:rsidRPr="00790D9C">
              <w:rPr>
                <w:color w:val="000000"/>
                <w:sz w:val="12"/>
                <w:szCs w:val="16"/>
                <w:lang w:val="es-CO" w:eastAsia="es-CO"/>
              </w:rPr>
              <w:t>878</w:t>
            </w:r>
            <w:r>
              <w:rPr>
                <w:color w:val="000000"/>
                <w:sz w:val="12"/>
                <w:szCs w:val="16"/>
                <w:lang w:val="es-CO" w:eastAsia="es-CO"/>
              </w:rPr>
              <w:t>.</w:t>
            </w:r>
            <w:r w:rsidRPr="00790D9C">
              <w:rPr>
                <w:color w:val="000000"/>
                <w:sz w:val="12"/>
                <w:szCs w:val="16"/>
                <w:lang w:val="es-CO" w:eastAsia="es-CO"/>
              </w:rPr>
              <w:t>488</w:t>
            </w:r>
          </w:p>
        </w:tc>
      </w:tr>
      <w:tr w:rsidR="00BA56AD" w:rsidRPr="00790D9C" w14:paraId="27B6651B"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F52F281"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3C2E2F2E"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3/4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52D4DC44"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TPE3/4ZV</w:t>
            </w:r>
          </w:p>
        </w:tc>
        <w:tc>
          <w:tcPr>
            <w:tcW w:w="1143" w:type="dxa"/>
            <w:tcBorders>
              <w:top w:val="nil"/>
              <w:left w:val="nil"/>
              <w:bottom w:val="single" w:sz="4" w:space="0" w:color="auto"/>
              <w:right w:val="single" w:sz="4" w:space="0" w:color="auto"/>
            </w:tcBorders>
            <w:shd w:val="clear" w:color="auto" w:fill="auto"/>
            <w:noWrap/>
            <w:vAlign w:val="bottom"/>
            <w:hideMark/>
          </w:tcPr>
          <w:p w14:paraId="4B12ED6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19</w:t>
            </w:r>
            <w:r>
              <w:rPr>
                <w:color w:val="000000"/>
                <w:sz w:val="12"/>
                <w:szCs w:val="16"/>
                <w:lang w:val="es-CO" w:eastAsia="es-CO"/>
              </w:rPr>
              <w:t>.</w:t>
            </w:r>
            <w:r w:rsidRPr="00790D9C">
              <w:rPr>
                <w:color w:val="000000"/>
                <w:sz w:val="12"/>
                <w:szCs w:val="16"/>
                <w:lang w:val="es-CO" w:eastAsia="es-CO"/>
              </w:rPr>
              <w:t>417</w:t>
            </w:r>
            <w:r>
              <w:rPr>
                <w:color w:val="000000"/>
                <w:sz w:val="12"/>
                <w:szCs w:val="16"/>
                <w:lang w:val="es-CO" w:eastAsia="es-CO"/>
              </w:rPr>
              <w:t>.</w:t>
            </w:r>
            <w:r w:rsidRPr="00790D9C">
              <w:rPr>
                <w:color w:val="000000"/>
                <w:sz w:val="12"/>
                <w:szCs w:val="16"/>
                <w:lang w:val="es-CO" w:eastAsia="es-CO"/>
              </w:rPr>
              <w:t>002</w:t>
            </w:r>
          </w:p>
        </w:tc>
        <w:tc>
          <w:tcPr>
            <w:tcW w:w="1552" w:type="dxa"/>
            <w:tcBorders>
              <w:top w:val="nil"/>
              <w:left w:val="nil"/>
              <w:bottom w:val="single" w:sz="4" w:space="0" w:color="auto"/>
              <w:right w:val="single" w:sz="4" w:space="0" w:color="auto"/>
            </w:tcBorders>
            <w:shd w:val="clear" w:color="auto" w:fill="auto"/>
            <w:noWrap/>
            <w:vAlign w:val="bottom"/>
            <w:hideMark/>
          </w:tcPr>
          <w:p w14:paraId="302A53F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62E34859"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445B6B94"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16</w:t>
            </w:r>
            <w:r>
              <w:rPr>
                <w:color w:val="000000"/>
                <w:sz w:val="12"/>
                <w:szCs w:val="16"/>
                <w:lang w:val="es-CO" w:eastAsia="es-CO"/>
              </w:rPr>
              <w:t>,</w:t>
            </w:r>
            <w:r w:rsidRPr="00790D9C">
              <w:rPr>
                <w:color w:val="000000"/>
                <w:sz w:val="12"/>
                <w:szCs w:val="16"/>
                <w:lang w:val="es-CO" w:eastAsia="es-CO"/>
              </w:rPr>
              <w:t>04</w:t>
            </w:r>
          </w:p>
        </w:tc>
        <w:tc>
          <w:tcPr>
            <w:tcW w:w="1095" w:type="dxa"/>
            <w:tcBorders>
              <w:top w:val="nil"/>
              <w:left w:val="nil"/>
              <w:bottom w:val="single" w:sz="4" w:space="0" w:color="auto"/>
              <w:right w:val="single" w:sz="4" w:space="0" w:color="auto"/>
            </w:tcBorders>
            <w:shd w:val="clear" w:color="auto" w:fill="auto"/>
            <w:noWrap/>
            <w:vAlign w:val="bottom"/>
            <w:hideMark/>
          </w:tcPr>
          <w:p w14:paraId="023AE02A"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311</w:t>
            </w:r>
            <w:r>
              <w:rPr>
                <w:color w:val="000000"/>
                <w:sz w:val="12"/>
                <w:szCs w:val="16"/>
                <w:lang w:val="es-CO" w:eastAsia="es-CO"/>
              </w:rPr>
              <w:t>.</w:t>
            </w:r>
            <w:r w:rsidRPr="00790D9C">
              <w:rPr>
                <w:color w:val="000000"/>
                <w:sz w:val="12"/>
                <w:szCs w:val="16"/>
                <w:lang w:val="es-CO" w:eastAsia="es-CO"/>
              </w:rPr>
              <w:t>487</w:t>
            </w:r>
            <w:r>
              <w:rPr>
                <w:color w:val="000000"/>
                <w:sz w:val="12"/>
                <w:szCs w:val="16"/>
                <w:lang w:val="es-CO" w:eastAsia="es-CO"/>
              </w:rPr>
              <w:t>.</w:t>
            </w:r>
            <w:r w:rsidRPr="00790D9C">
              <w:rPr>
                <w:color w:val="000000"/>
                <w:sz w:val="12"/>
                <w:szCs w:val="16"/>
                <w:lang w:val="es-CO" w:eastAsia="es-CO"/>
              </w:rPr>
              <w:t>539</w:t>
            </w:r>
          </w:p>
        </w:tc>
      </w:tr>
      <w:tr w:rsidR="00BA56AD" w:rsidRPr="00790D9C" w14:paraId="41457A47"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B5178F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1F9AFA3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1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177D0ECF"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TPE1ZV</w:t>
            </w:r>
          </w:p>
        </w:tc>
        <w:tc>
          <w:tcPr>
            <w:tcW w:w="1143" w:type="dxa"/>
            <w:tcBorders>
              <w:top w:val="nil"/>
              <w:left w:val="nil"/>
              <w:bottom w:val="single" w:sz="4" w:space="0" w:color="auto"/>
              <w:right w:val="single" w:sz="4" w:space="0" w:color="auto"/>
            </w:tcBorders>
            <w:shd w:val="clear" w:color="auto" w:fill="auto"/>
            <w:noWrap/>
            <w:vAlign w:val="bottom"/>
            <w:hideMark/>
          </w:tcPr>
          <w:p w14:paraId="33ADC8FB"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22</w:t>
            </w:r>
            <w:r>
              <w:rPr>
                <w:color w:val="000000"/>
                <w:sz w:val="12"/>
                <w:szCs w:val="16"/>
                <w:lang w:val="es-CO" w:eastAsia="es-CO"/>
              </w:rPr>
              <w:t>.</w:t>
            </w:r>
            <w:r w:rsidRPr="00790D9C">
              <w:rPr>
                <w:color w:val="000000"/>
                <w:sz w:val="12"/>
                <w:szCs w:val="16"/>
                <w:lang w:val="es-CO" w:eastAsia="es-CO"/>
              </w:rPr>
              <w:t>118</w:t>
            </w:r>
            <w:r>
              <w:rPr>
                <w:color w:val="000000"/>
                <w:sz w:val="12"/>
                <w:szCs w:val="16"/>
                <w:lang w:val="es-CO" w:eastAsia="es-CO"/>
              </w:rPr>
              <w:t>.</w:t>
            </w:r>
            <w:r w:rsidRPr="00790D9C">
              <w:rPr>
                <w:color w:val="000000"/>
                <w:sz w:val="12"/>
                <w:szCs w:val="16"/>
                <w:lang w:val="es-CO" w:eastAsia="es-CO"/>
              </w:rPr>
              <w:t>200</w:t>
            </w:r>
          </w:p>
        </w:tc>
        <w:tc>
          <w:tcPr>
            <w:tcW w:w="1552" w:type="dxa"/>
            <w:tcBorders>
              <w:top w:val="nil"/>
              <w:left w:val="nil"/>
              <w:bottom w:val="single" w:sz="4" w:space="0" w:color="auto"/>
              <w:right w:val="single" w:sz="4" w:space="0" w:color="auto"/>
            </w:tcBorders>
            <w:shd w:val="clear" w:color="auto" w:fill="auto"/>
            <w:noWrap/>
            <w:vAlign w:val="bottom"/>
            <w:hideMark/>
          </w:tcPr>
          <w:p w14:paraId="2D041E5A"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120D1C05"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Secundaria</w:t>
            </w:r>
          </w:p>
        </w:tc>
        <w:tc>
          <w:tcPr>
            <w:tcW w:w="831" w:type="dxa"/>
            <w:tcBorders>
              <w:top w:val="nil"/>
              <w:left w:val="nil"/>
              <w:bottom w:val="single" w:sz="4" w:space="0" w:color="auto"/>
              <w:right w:val="single" w:sz="4" w:space="0" w:color="auto"/>
            </w:tcBorders>
            <w:shd w:val="clear" w:color="auto" w:fill="auto"/>
            <w:noWrap/>
            <w:vAlign w:val="bottom"/>
            <w:hideMark/>
          </w:tcPr>
          <w:p w14:paraId="1BF89D92"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0</w:t>
            </w:r>
            <w:r>
              <w:rPr>
                <w:color w:val="000000"/>
                <w:sz w:val="12"/>
                <w:szCs w:val="16"/>
                <w:lang w:val="es-CO" w:eastAsia="es-CO"/>
              </w:rPr>
              <w:t>,</w:t>
            </w:r>
            <w:r w:rsidRPr="00790D9C">
              <w:rPr>
                <w:color w:val="000000"/>
                <w:sz w:val="12"/>
                <w:szCs w:val="16"/>
                <w:lang w:val="es-CO" w:eastAsia="es-CO"/>
              </w:rPr>
              <w:t>08</w:t>
            </w:r>
          </w:p>
        </w:tc>
        <w:tc>
          <w:tcPr>
            <w:tcW w:w="1095" w:type="dxa"/>
            <w:tcBorders>
              <w:top w:val="nil"/>
              <w:left w:val="nil"/>
              <w:bottom w:val="single" w:sz="4" w:space="0" w:color="auto"/>
              <w:right w:val="single" w:sz="4" w:space="0" w:color="auto"/>
            </w:tcBorders>
            <w:shd w:val="clear" w:color="auto" w:fill="auto"/>
            <w:noWrap/>
            <w:vAlign w:val="bottom"/>
            <w:hideMark/>
          </w:tcPr>
          <w:p w14:paraId="2BC1B4E5"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824</w:t>
            </w:r>
            <w:r>
              <w:rPr>
                <w:color w:val="000000"/>
                <w:sz w:val="12"/>
                <w:szCs w:val="16"/>
                <w:lang w:val="es-CO" w:eastAsia="es-CO"/>
              </w:rPr>
              <w:t>.</w:t>
            </w:r>
            <w:r w:rsidRPr="00790D9C">
              <w:rPr>
                <w:color w:val="000000"/>
                <w:sz w:val="12"/>
                <w:szCs w:val="16"/>
                <w:lang w:val="es-CO" w:eastAsia="es-CO"/>
              </w:rPr>
              <w:t>751</w:t>
            </w:r>
          </w:p>
        </w:tc>
      </w:tr>
      <w:tr w:rsidR="00BA56AD" w:rsidRPr="00790D9C" w14:paraId="08EBEECE"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170BB6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7CD22E70"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Tubería de Polietileno de 2 pulg. en Zona Verde</w:t>
            </w:r>
          </w:p>
        </w:tc>
        <w:tc>
          <w:tcPr>
            <w:tcW w:w="862" w:type="dxa"/>
            <w:tcBorders>
              <w:top w:val="nil"/>
              <w:left w:val="nil"/>
              <w:bottom w:val="single" w:sz="4" w:space="0" w:color="auto"/>
              <w:right w:val="single" w:sz="4" w:space="0" w:color="auto"/>
            </w:tcBorders>
            <w:shd w:val="clear" w:color="auto" w:fill="auto"/>
            <w:noWrap/>
            <w:vAlign w:val="bottom"/>
            <w:hideMark/>
          </w:tcPr>
          <w:p w14:paraId="264C7E98"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TPE2ZV</w:t>
            </w:r>
          </w:p>
        </w:tc>
        <w:tc>
          <w:tcPr>
            <w:tcW w:w="1143" w:type="dxa"/>
            <w:tcBorders>
              <w:top w:val="nil"/>
              <w:left w:val="nil"/>
              <w:bottom w:val="single" w:sz="4" w:space="0" w:color="auto"/>
              <w:right w:val="single" w:sz="4" w:space="0" w:color="auto"/>
            </w:tcBorders>
            <w:shd w:val="clear" w:color="auto" w:fill="auto"/>
            <w:noWrap/>
            <w:vAlign w:val="bottom"/>
            <w:hideMark/>
          </w:tcPr>
          <w:p w14:paraId="5FA14317"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33</w:t>
            </w:r>
            <w:r>
              <w:rPr>
                <w:color w:val="000000"/>
                <w:sz w:val="12"/>
                <w:szCs w:val="16"/>
                <w:lang w:val="es-CO" w:eastAsia="es-CO"/>
              </w:rPr>
              <w:t>.</w:t>
            </w:r>
            <w:r w:rsidRPr="00790D9C">
              <w:rPr>
                <w:color w:val="000000"/>
                <w:sz w:val="12"/>
                <w:szCs w:val="16"/>
                <w:lang w:val="es-CO" w:eastAsia="es-CO"/>
              </w:rPr>
              <w:t>719</w:t>
            </w:r>
            <w:r>
              <w:rPr>
                <w:color w:val="000000"/>
                <w:sz w:val="12"/>
                <w:szCs w:val="16"/>
                <w:lang w:val="es-CO" w:eastAsia="es-CO"/>
              </w:rPr>
              <w:t>.</w:t>
            </w:r>
            <w:r w:rsidRPr="00790D9C">
              <w:rPr>
                <w:color w:val="000000"/>
                <w:sz w:val="12"/>
                <w:szCs w:val="16"/>
                <w:lang w:val="es-CO" w:eastAsia="es-CO"/>
              </w:rPr>
              <w:t>985</w:t>
            </w:r>
          </w:p>
        </w:tc>
        <w:tc>
          <w:tcPr>
            <w:tcW w:w="1552" w:type="dxa"/>
            <w:tcBorders>
              <w:top w:val="nil"/>
              <w:left w:val="nil"/>
              <w:bottom w:val="single" w:sz="4" w:space="0" w:color="auto"/>
              <w:right w:val="single" w:sz="4" w:space="0" w:color="auto"/>
            </w:tcBorders>
            <w:shd w:val="clear" w:color="auto" w:fill="auto"/>
            <w:noWrap/>
            <w:vAlign w:val="bottom"/>
            <w:hideMark/>
          </w:tcPr>
          <w:p w14:paraId="4897BA33"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7FCEFF21"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431E9591"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71</w:t>
            </w:r>
          </w:p>
        </w:tc>
        <w:tc>
          <w:tcPr>
            <w:tcW w:w="1095" w:type="dxa"/>
            <w:tcBorders>
              <w:top w:val="nil"/>
              <w:left w:val="nil"/>
              <w:bottom w:val="single" w:sz="4" w:space="0" w:color="auto"/>
              <w:right w:val="single" w:sz="4" w:space="0" w:color="auto"/>
            </w:tcBorders>
            <w:shd w:val="clear" w:color="auto" w:fill="auto"/>
            <w:noWrap/>
            <w:vAlign w:val="bottom"/>
            <w:hideMark/>
          </w:tcPr>
          <w:p w14:paraId="075CA9D4"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57</w:t>
            </w:r>
            <w:r>
              <w:rPr>
                <w:color w:val="000000"/>
                <w:sz w:val="12"/>
                <w:szCs w:val="16"/>
                <w:lang w:val="es-CO" w:eastAsia="es-CO"/>
              </w:rPr>
              <w:t>.</w:t>
            </w:r>
            <w:r w:rsidRPr="00790D9C">
              <w:rPr>
                <w:color w:val="000000"/>
                <w:sz w:val="12"/>
                <w:szCs w:val="16"/>
                <w:lang w:val="es-CO" w:eastAsia="es-CO"/>
              </w:rPr>
              <w:t>509</w:t>
            </w:r>
            <w:r>
              <w:rPr>
                <w:color w:val="000000"/>
                <w:sz w:val="12"/>
                <w:szCs w:val="16"/>
                <w:lang w:val="es-CO" w:eastAsia="es-CO"/>
              </w:rPr>
              <w:t>.</w:t>
            </w:r>
            <w:r w:rsidRPr="00790D9C">
              <w:rPr>
                <w:color w:val="000000"/>
                <w:sz w:val="12"/>
                <w:szCs w:val="16"/>
                <w:lang w:val="es-CO" w:eastAsia="es-CO"/>
              </w:rPr>
              <w:t>434</w:t>
            </w:r>
          </w:p>
        </w:tc>
      </w:tr>
      <w:tr w:rsidR="00BA56AD" w:rsidRPr="00790D9C" w14:paraId="210BCD05" w14:textId="77777777" w:rsidTr="00FB5615">
        <w:trPr>
          <w:trHeight w:val="27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E34FE92"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Solita-</w:t>
            </w:r>
            <w:r>
              <w:rPr>
                <w:color w:val="000000"/>
                <w:sz w:val="12"/>
                <w:szCs w:val="16"/>
                <w:lang w:val="es-CO" w:eastAsia="es-CO"/>
              </w:rPr>
              <w:t>Caquetá</w:t>
            </w:r>
          </w:p>
        </w:tc>
        <w:tc>
          <w:tcPr>
            <w:tcW w:w="1698" w:type="dxa"/>
            <w:tcBorders>
              <w:top w:val="nil"/>
              <w:left w:val="nil"/>
              <w:bottom w:val="single" w:sz="4" w:space="0" w:color="auto"/>
              <w:right w:val="single" w:sz="4" w:space="0" w:color="auto"/>
            </w:tcBorders>
            <w:shd w:val="clear" w:color="auto" w:fill="auto"/>
            <w:noWrap/>
            <w:vAlign w:val="bottom"/>
            <w:hideMark/>
          </w:tcPr>
          <w:p w14:paraId="3217078C"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Estación GNC 500 m3/hora</w:t>
            </w:r>
          </w:p>
        </w:tc>
        <w:tc>
          <w:tcPr>
            <w:tcW w:w="862" w:type="dxa"/>
            <w:tcBorders>
              <w:top w:val="nil"/>
              <w:left w:val="nil"/>
              <w:bottom w:val="single" w:sz="4" w:space="0" w:color="auto"/>
              <w:right w:val="single" w:sz="4" w:space="0" w:color="auto"/>
            </w:tcBorders>
            <w:shd w:val="clear" w:color="auto" w:fill="auto"/>
            <w:noWrap/>
            <w:vAlign w:val="bottom"/>
            <w:hideMark/>
          </w:tcPr>
          <w:p w14:paraId="38895DE7"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RM500</w:t>
            </w:r>
          </w:p>
        </w:tc>
        <w:tc>
          <w:tcPr>
            <w:tcW w:w="1143" w:type="dxa"/>
            <w:tcBorders>
              <w:top w:val="nil"/>
              <w:left w:val="nil"/>
              <w:bottom w:val="single" w:sz="4" w:space="0" w:color="auto"/>
              <w:right w:val="single" w:sz="4" w:space="0" w:color="auto"/>
            </w:tcBorders>
            <w:shd w:val="clear" w:color="auto" w:fill="auto"/>
            <w:noWrap/>
            <w:vAlign w:val="bottom"/>
            <w:hideMark/>
          </w:tcPr>
          <w:p w14:paraId="08E42ACF"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402</w:t>
            </w:r>
            <w:r>
              <w:rPr>
                <w:color w:val="000000"/>
                <w:sz w:val="12"/>
                <w:szCs w:val="16"/>
                <w:lang w:val="es-CO" w:eastAsia="es-CO"/>
              </w:rPr>
              <w:t>.</w:t>
            </w:r>
            <w:r w:rsidRPr="00790D9C">
              <w:rPr>
                <w:color w:val="000000"/>
                <w:sz w:val="12"/>
                <w:szCs w:val="16"/>
                <w:lang w:val="es-CO" w:eastAsia="es-CO"/>
              </w:rPr>
              <w:t>161</w:t>
            </w:r>
            <w:r>
              <w:rPr>
                <w:color w:val="000000"/>
                <w:sz w:val="12"/>
                <w:szCs w:val="16"/>
                <w:lang w:val="es-CO" w:eastAsia="es-CO"/>
              </w:rPr>
              <w:t>.</w:t>
            </w:r>
            <w:r w:rsidRPr="00790D9C">
              <w:rPr>
                <w:color w:val="000000"/>
                <w:sz w:val="12"/>
                <w:szCs w:val="16"/>
                <w:lang w:val="es-CO" w:eastAsia="es-CO"/>
              </w:rPr>
              <w:t>331</w:t>
            </w:r>
          </w:p>
        </w:tc>
        <w:tc>
          <w:tcPr>
            <w:tcW w:w="1552" w:type="dxa"/>
            <w:tcBorders>
              <w:top w:val="nil"/>
              <w:left w:val="nil"/>
              <w:bottom w:val="single" w:sz="4" w:space="0" w:color="auto"/>
              <w:right w:val="single" w:sz="4" w:space="0" w:color="auto"/>
            </w:tcBorders>
            <w:shd w:val="clear" w:color="auto" w:fill="auto"/>
            <w:noWrap/>
            <w:vAlign w:val="bottom"/>
            <w:hideMark/>
          </w:tcPr>
          <w:p w14:paraId="344AEA0B" w14:textId="77777777" w:rsidR="00BA56AD" w:rsidRPr="00790D9C" w:rsidRDefault="00BA56AD" w:rsidP="00FB5615">
            <w:pPr>
              <w:jc w:val="left"/>
              <w:rPr>
                <w:color w:val="000000"/>
                <w:sz w:val="12"/>
                <w:szCs w:val="16"/>
                <w:lang w:val="es-CO" w:eastAsia="es-CO"/>
              </w:rPr>
            </w:pPr>
            <w:r w:rsidRPr="00790D9C">
              <w:rPr>
                <w:color w:val="000000"/>
                <w:sz w:val="12"/>
                <w:szCs w:val="16"/>
                <w:lang w:val="es-CO" w:eastAsia="es-CO"/>
              </w:rPr>
              <w:t>Activos Inherentes a la Operación</w:t>
            </w:r>
          </w:p>
        </w:tc>
        <w:tc>
          <w:tcPr>
            <w:tcW w:w="1177" w:type="dxa"/>
            <w:tcBorders>
              <w:top w:val="nil"/>
              <w:left w:val="nil"/>
              <w:bottom w:val="single" w:sz="4" w:space="0" w:color="auto"/>
              <w:right w:val="single" w:sz="4" w:space="0" w:color="auto"/>
            </w:tcBorders>
            <w:shd w:val="clear" w:color="auto" w:fill="auto"/>
            <w:noWrap/>
            <w:vAlign w:val="bottom"/>
            <w:hideMark/>
          </w:tcPr>
          <w:p w14:paraId="39016D3B" w14:textId="77777777" w:rsidR="00BA56AD" w:rsidRPr="00790D9C" w:rsidRDefault="00BA56AD" w:rsidP="00FB5615">
            <w:pPr>
              <w:jc w:val="center"/>
              <w:rPr>
                <w:color w:val="000000"/>
                <w:sz w:val="12"/>
                <w:szCs w:val="16"/>
                <w:lang w:val="es-CO" w:eastAsia="es-CO"/>
              </w:rPr>
            </w:pPr>
            <w:r w:rsidRPr="00790D9C">
              <w:rPr>
                <w:color w:val="000000"/>
                <w:sz w:val="12"/>
                <w:szCs w:val="16"/>
                <w:lang w:val="es-CO" w:eastAsia="es-CO"/>
              </w:rPr>
              <w:t>Primaria</w:t>
            </w:r>
          </w:p>
        </w:tc>
        <w:tc>
          <w:tcPr>
            <w:tcW w:w="831" w:type="dxa"/>
            <w:tcBorders>
              <w:top w:val="nil"/>
              <w:left w:val="nil"/>
              <w:bottom w:val="single" w:sz="4" w:space="0" w:color="auto"/>
              <w:right w:val="single" w:sz="4" w:space="0" w:color="auto"/>
            </w:tcBorders>
            <w:shd w:val="clear" w:color="auto" w:fill="auto"/>
            <w:noWrap/>
            <w:vAlign w:val="bottom"/>
            <w:hideMark/>
          </w:tcPr>
          <w:p w14:paraId="06C843FC"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1</w:t>
            </w:r>
            <w:r>
              <w:rPr>
                <w:color w:val="000000"/>
                <w:sz w:val="12"/>
                <w:szCs w:val="16"/>
                <w:lang w:val="es-CO" w:eastAsia="es-CO"/>
              </w:rPr>
              <w:t>,</w:t>
            </w:r>
            <w:r w:rsidRPr="00790D9C">
              <w:rPr>
                <w:color w:val="000000"/>
                <w:sz w:val="12"/>
                <w:szCs w:val="16"/>
                <w:lang w:val="es-CO" w:eastAsia="es-CO"/>
              </w:rPr>
              <w:t>00</w:t>
            </w:r>
          </w:p>
        </w:tc>
        <w:tc>
          <w:tcPr>
            <w:tcW w:w="1095" w:type="dxa"/>
            <w:tcBorders>
              <w:top w:val="nil"/>
              <w:left w:val="nil"/>
              <w:bottom w:val="single" w:sz="4" w:space="0" w:color="auto"/>
              <w:right w:val="single" w:sz="4" w:space="0" w:color="auto"/>
            </w:tcBorders>
            <w:shd w:val="clear" w:color="auto" w:fill="auto"/>
            <w:noWrap/>
            <w:vAlign w:val="bottom"/>
            <w:hideMark/>
          </w:tcPr>
          <w:p w14:paraId="4BE4BBF7" w14:textId="77777777" w:rsidR="00BA56AD" w:rsidRPr="00790D9C" w:rsidRDefault="00BA56AD" w:rsidP="00FB5615">
            <w:pPr>
              <w:jc w:val="right"/>
              <w:rPr>
                <w:color w:val="000000"/>
                <w:sz w:val="12"/>
                <w:szCs w:val="16"/>
                <w:lang w:val="es-CO" w:eastAsia="es-CO"/>
              </w:rPr>
            </w:pPr>
            <w:r w:rsidRPr="00790D9C">
              <w:rPr>
                <w:color w:val="000000"/>
                <w:sz w:val="12"/>
                <w:szCs w:val="16"/>
                <w:lang w:val="es-CO" w:eastAsia="es-CO"/>
              </w:rPr>
              <w:t>402</w:t>
            </w:r>
            <w:r>
              <w:rPr>
                <w:color w:val="000000"/>
                <w:sz w:val="12"/>
                <w:szCs w:val="16"/>
                <w:lang w:val="es-CO" w:eastAsia="es-CO"/>
              </w:rPr>
              <w:t>.</w:t>
            </w:r>
            <w:r w:rsidRPr="00790D9C">
              <w:rPr>
                <w:color w:val="000000"/>
                <w:sz w:val="12"/>
                <w:szCs w:val="16"/>
                <w:lang w:val="es-CO" w:eastAsia="es-CO"/>
              </w:rPr>
              <w:t>161</w:t>
            </w:r>
            <w:r>
              <w:rPr>
                <w:color w:val="000000"/>
                <w:sz w:val="12"/>
                <w:szCs w:val="16"/>
                <w:lang w:val="es-CO" w:eastAsia="es-CO"/>
              </w:rPr>
              <w:t>.</w:t>
            </w:r>
            <w:r w:rsidRPr="00790D9C">
              <w:rPr>
                <w:color w:val="000000"/>
                <w:sz w:val="12"/>
                <w:szCs w:val="16"/>
                <w:lang w:val="es-CO" w:eastAsia="es-CO"/>
              </w:rPr>
              <w:t>331</w:t>
            </w:r>
          </w:p>
        </w:tc>
      </w:tr>
      <w:tr w:rsidR="00BA56AD" w:rsidRPr="00790D9C" w14:paraId="518DFC94" w14:textId="77777777" w:rsidTr="00FB5615">
        <w:trPr>
          <w:trHeight w:val="270"/>
        </w:trPr>
        <w:tc>
          <w:tcPr>
            <w:tcW w:w="988" w:type="dxa"/>
            <w:tcBorders>
              <w:top w:val="nil"/>
              <w:left w:val="nil"/>
              <w:bottom w:val="nil"/>
              <w:right w:val="nil"/>
            </w:tcBorders>
            <w:shd w:val="clear" w:color="auto" w:fill="auto"/>
            <w:noWrap/>
            <w:vAlign w:val="bottom"/>
            <w:hideMark/>
          </w:tcPr>
          <w:p w14:paraId="5CC50DEF" w14:textId="77777777" w:rsidR="00BA56AD" w:rsidRPr="00790D9C" w:rsidRDefault="00BA56AD" w:rsidP="00FB5615">
            <w:pPr>
              <w:jc w:val="right"/>
              <w:rPr>
                <w:color w:val="000000"/>
                <w:sz w:val="12"/>
                <w:szCs w:val="16"/>
                <w:lang w:val="es-CO" w:eastAsia="es-CO"/>
              </w:rPr>
            </w:pPr>
          </w:p>
        </w:tc>
        <w:tc>
          <w:tcPr>
            <w:tcW w:w="1698" w:type="dxa"/>
            <w:tcBorders>
              <w:top w:val="nil"/>
              <w:left w:val="nil"/>
              <w:bottom w:val="nil"/>
              <w:right w:val="nil"/>
            </w:tcBorders>
            <w:shd w:val="clear" w:color="auto" w:fill="auto"/>
            <w:noWrap/>
            <w:vAlign w:val="bottom"/>
            <w:hideMark/>
          </w:tcPr>
          <w:p w14:paraId="0EB470DB" w14:textId="77777777" w:rsidR="00BA56AD" w:rsidRPr="00790D9C" w:rsidRDefault="00BA56AD" w:rsidP="00FB5615">
            <w:pPr>
              <w:jc w:val="left"/>
              <w:rPr>
                <w:sz w:val="12"/>
                <w:szCs w:val="16"/>
                <w:lang w:val="es-CO" w:eastAsia="es-CO"/>
              </w:rPr>
            </w:pPr>
          </w:p>
        </w:tc>
        <w:tc>
          <w:tcPr>
            <w:tcW w:w="862" w:type="dxa"/>
            <w:tcBorders>
              <w:top w:val="nil"/>
              <w:left w:val="nil"/>
              <w:bottom w:val="nil"/>
              <w:right w:val="nil"/>
            </w:tcBorders>
            <w:shd w:val="clear" w:color="auto" w:fill="auto"/>
            <w:noWrap/>
            <w:vAlign w:val="bottom"/>
            <w:hideMark/>
          </w:tcPr>
          <w:p w14:paraId="3B5A2BAB" w14:textId="77777777" w:rsidR="00BA56AD" w:rsidRPr="00790D9C" w:rsidRDefault="00BA56AD" w:rsidP="00FB5615">
            <w:pPr>
              <w:jc w:val="left"/>
              <w:rPr>
                <w:sz w:val="12"/>
                <w:szCs w:val="16"/>
                <w:lang w:val="es-CO" w:eastAsia="es-CO"/>
              </w:rPr>
            </w:pPr>
          </w:p>
        </w:tc>
        <w:tc>
          <w:tcPr>
            <w:tcW w:w="1143" w:type="dxa"/>
            <w:tcBorders>
              <w:top w:val="nil"/>
              <w:left w:val="nil"/>
              <w:bottom w:val="nil"/>
              <w:right w:val="nil"/>
            </w:tcBorders>
            <w:shd w:val="clear" w:color="auto" w:fill="auto"/>
            <w:noWrap/>
            <w:vAlign w:val="bottom"/>
            <w:hideMark/>
          </w:tcPr>
          <w:p w14:paraId="0D4A1C1C" w14:textId="77777777" w:rsidR="00BA56AD" w:rsidRPr="00790D9C" w:rsidRDefault="00BA56AD" w:rsidP="00FB5615">
            <w:pPr>
              <w:jc w:val="left"/>
              <w:rPr>
                <w:sz w:val="12"/>
                <w:szCs w:val="16"/>
                <w:lang w:val="es-CO" w:eastAsia="es-CO"/>
              </w:rPr>
            </w:pPr>
          </w:p>
        </w:tc>
        <w:tc>
          <w:tcPr>
            <w:tcW w:w="1552" w:type="dxa"/>
            <w:tcBorders>
              <w:top w:val="nil"/>
              <w:left w:val="nil"/>
              <w:bottom w:val="nil"/>
              <w:right w:val="nil"/>
            </w:tcBorders>
            <w:shd w:val="clear" w:color="auto" w:fill="auto"/>
            <w:noWrap/>
            <w:vAlign w:val="bottom"/>
            <w:hideMark/>
          </w:tcPr>
          <w:p w14:paraId="6F25219B" w14:textId="77777777" w:rsidR="00BA56AD" w:rsidRPr="00790D9C" w:rsidRDefault="00BA56AD" w:rsidP="00FB5615">
            <w:pPr>
              <w:jc w:val="left"/>
              <w:rPr>
                <w:sz w:val="12"/>
                <w:szCs w:val="16"/>
                <w:lang w:val="es-CO" w:eastAsia="es-CO"/>
              </w:rPr>
            </w:pPr>
          </w:p>
        </w:tc>
        <w:tc>
          <w:tcPr>
            <w:tcW w:w="1177" w:type="dxa"/>
            <w:tcBorders>
              <w:top w:val="nil"/>
              <w:left w:val="nil"/>
              <w:bottom w:val="nil"/>
              <w:right w:val="nil"/>
            </w:tcBorders>
            <w:shd w:val="clear" w:color="auto" w:fill="auto"/>
            <w:noWrap/>
            <w:vAlign w:val="bottom"/>
            <w:hideMark/>
          </w:tcPr>
          <w:p w14:paraId="7E87236D" w14:textId="77777777" w:rsidR="00BA56AD" w:rsidRPr="00790D9C" w:rsidRDefault="00BA56AD" w:rsidP="00FB5615">
            <w:pPr>
              <w:jc w:val="left"/>
              <w:rPr>
                <w:sz w:val="12"/>
                <w:szCs w:val="16"/>
                <w:lang w:val="es-CO" w:eastAsia="es-CO"/>
              </w:rPr>
            </w:pPr>
          </w:p>
        </w:tc>
        <w:tc>
          <w:tcPr>
            <w:tcW w:w="83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671100" w14:textId="77777777" w:rsidR="00BA56AD" w:rsidRPr="00790D9C" w:rsidRDefault="00BA56AD" w:rsidP="00FB5615">
            <w:pPr>
              <w:jc w:val="center"/>
              <w:rPr>
                <w:b/>
                <w:bCs/>
                <w:color w:val="000000"/>
                <w:sz w:val="12"/>
                <w:szCs w:val="16"/>
                <w:lang w:val="es-CO" w:eastAsia="es-CO"/>
              </w:rPr>
            </w:pPr>
            <w:r w:rsidRPr="00790D9C">
              <w:rPr>
                <w:b/>
                <w:bCs/>
                <w:color w:val="000000"/>
                <w:sz w:val="12"/>
                <w:szCs w:val="16"/>
                <w:lang w:val="es-CO" w:eastAsia="es-CO"/>
              </w:rPr>
              <w:t>TOTAL</w:t>
            </w:r>
          </w:p>
        </w:tc>
        <w:tc>
          <w:tcPr>
            <w:tcW w:w="1095" w:type="dxa"/>
            <w:tcBorders>
              <w:top w:val="nil"/>
              <w:left w:val="nil"/>
              <w:bottom w:val="single" w:sz="4" w:space="0" w:color="auto"/>
              <w:right w:val="single" w:sz="4" w:space="0" w:color="auto"/>
            </w:tcBorders>
            <w:shd w:val="clear" w:color="auto" w:fill="D9D9D9" w:themeFill="background1" w:themeFillShade="D9"/>
            <w:noWrap/>
            <w:vAlign w:val="center"/>
            <w:hideMark/>
          </w:tcPr>
          <w:p w14:paraId="0A03DEFB" w14:textId="77777777" w:rsidR="00BA56AD" w:rsidRPr="00790D9C" w:rsidRDefault="00BA56AD" w:rsidP="00FB5615">
            <w:pPr>
              <w:jc w:val="center"/>
              <w:rPr>
                <w:b/>
                <w:bCs/>
                <w:color w:val="000000"/>
                <w:sz w:val="12"/>
                <w:szCs w:val="16"/>
                <w:lang w:val="es-CO" w:eastAsia="es-CO"/>
              </w:rPr>
            </w:pPr>
            <w:r w:rsidRPr="00790D9C">
              <w:rPr>
                <w:b/>
                <w:bCs/>
                <w:color w:val="000000"/>
                <w:sz w:val="12"/>
                <w:szCs w:val="16"/>
                <w:lang w:val="es-CO" w:eastAsia="es-CO"/>
              </w:rPr>
              <w:t>5</w:t>
            </w:r>
            <w:r>
              <w:rPr>
                <w:b/>
                <w:bCs/>
                <w:color w:val="000000"/>
                <w:sz w:val="12"/>
                <w:szCs w:val="16"/>
                <w:lang w:val="es-CO" w:eastAsia="es-CO"/>
              </w:rPr>
              <w:t>.</w:t>
            </w:r>
            <w:r w:rsidRPr="00790D9C">
              <w:rPr>
                <w:b/>
                <w:bCs/>
                <w:color w:val="000000"/>
                <w:sz w:val="12"/>
                <w:szCs w:val="16"/>
                <w:lang w:val="es-CO" w:eastAsia="es-CO"/>
              </w:rPr>
              <w:t>826</w:t>
            </w:r>
            <w:r>
              <w:rPr>
                <w:b/>
                <w:bCs/>
                <w:color w:val="000000"/>
                <w:sz w:val="12"/>
                <w:szCs w:val="16"/>
                <w:lang w:val="es-CO" w:eastAsia="es-CO"/>
              </w:rPr>
              <w:t>.</w:t>
            </w:r>
            <w:r w:rsidRPr="00790D9C">
              <w:rPr>
                <w:b/>
                <w:bCs/>
                <w:color w:val="000000"/>
                <w:sz w:val="12"/>
                <w:szCs w:val="16"/>
                <w:lang w:val="es-CO" w:eastAsia="es-CO"/>
              </w:rPr>
              <w:t>240</w:t>
            </w:r>
            <w:r>
              <w:rPr>
                <w:b/>
                <w:bCs/>
                <w:color w:val="000000"/>
                <w:sz w:val="12"/>
                <w:szCs w:val="16"/>
                <w:lang w:val="es-CO" w:eastAsia="es-CO"/>
              </w:rPr>
              <w:t>.</w:t>
            </w:r>
            <w:r w:rsidRPr="00790D9C">
              <w:rPr>
                <w:b/>
                <w:bCs/>
                <w:color w:val="000000"/>
                <w:sz w:val="12"/>
                <w:szCs w:val="16"/>
                <w:lang w:val="es-CO" w:eastAsia="es-CO"/>
              </w:rPr>
              <w:t>322</w:t>
            </w:r>
          </w:p>
        </w:tc>
      </w:tr>
    </w:tbl>
    <w:p w14:paraId="4F1F98D9" w14:textId="77777777" w:rsidR="00BA56AD" w:rsidRDefault="00BA56AD" w:rsidP="00BA56AD">
      <w:pPr>
        <w:tabs>
          <w:tab w:val="left" w:pos="426"/>
        </w:tabs>
        <w:rPr>
          <w:iCs/>
          <w:lang w:val="es-ES_tradnl"/>
        </w:rPr>
      </w:pPr>
    </w:p>
    <w:p w14:paraId="0A37A9EE" w14:textId="77777777" w:rsidR="00BA56AD" w:rsidRDefault="00BA56AD" w:rsidP="00BA56AD">
      <w:pPr>
        <w:tabs>
          <w:tab w:val="left" w:pos="426"/>
        </w:tabs>
        <w:rPr>
          <w:iCs/>
          <w:lang w:val="es-ES_tradnl"/>
        </w:rPr>
      </w:pPr>
      <w:r>
        <w:rPr>
          <w:iCs/>
          <w:lang w:val="es-ES_tradnl"/>
        </w:rPr>
        <w:t>Una vez ajustada la Base Regulatoria de Activos, p</w:t>
      </w:r>
      <w:r w:rsidRPr="006D3E80">
        <w:rPr>
          <w:iCs/>
          <w:lang w:val="es-ES_tradnl"/>
        </w:rPr>
        <w:t>ara el para mercado relevante propuesto por la empresa ALCANOS DE COLOMBIA S.A. E.S.P. conformado por los municipios de Belén de Los Andaquies, Montañita, Morelia, Solita, Valparaíso y Albania, en el departamento del Caquetá;</w:t>
      </w:r>
      <w:r>
        <w:rPr>
          <w:iCs/>
          <w:lang w:val="es-ES_tradnl"/>
        </w:rPr>
        <w:t xml:space="preserve"> el </w:t>
      </w:r>
      <w:r w:rsidRPr="006D3E80">
        <w:rPr>
          <w:iCs/>
          <w:lang w:val="es-ES_tradnl"/>
        </w:rPr>
        <w:t>porcentaje de Otros Activos resultante del reporte de la empresa en la solicitud tarifaria corresponde</w:t>
      </w:r>
      <w:r>
        <w:rPr>
          <w:iCs/>
          <w:lang w:val="es-ES_tradnl"/>
        </w:rPr>
        <w:t xml:space="preserve"> al 6,0%, y el porcentaje de Otros Activos Máximo a Reconocer corresponde al 5,05%.</w:t>
      </w:r>
    </w:p>
    <w:p w14:paraId="147ED4EC" w14:textId="77777777" w:rsidR="00BA56AD" w:rsidRDefault="00BA56AD" w:rsidP="00BA56AD">
      <w:pPr>
        <w:tabs>
          <w:tab w:val="left" w:pos="426"/>
        </w:tabs>
        <w:rPr>
          <w:iCs/>
          <w:lang w:val="es-ES_tradnl"/>
        </w:rPr>
      </w:pPr>
    </w:p>
    <w:p w14:paraId="60BB23D2" w14:textId="77777777" w:rsidR="00BA56AD" w:rsidRPr="006D3E80" w:rsidRDefault="00BA56AD" w:rsidP="00BA56AD">
      <w:pPr>
        <w:tabs>
          <w:tab w:val="left" w:pos="426"/>
        </w:tabs>
        <w:rPr>
          <w:iCs/>
          <w:lang w:val="es-ES_tradnl"/>
        </w:rPr>
      </w:pPr>
      <w:r w:rsidRPr="006D3E80">
        <w:rPr>
          <w:iCs/>
          <w:lang w:val="es-ES_tradnl"/>
        </w:rPr>
        <w:lastRenderedPageBreak/>
        <w:t>El monto correspondiente a Otros Activos no podrá ser superior al monto de la inversión en Activos Inherentes a la operación por el porcentaje de Otros Activos eficiente.</w:t>
      </w:r>
    </w:p>
    <w:p w14:paraId="065A1113" w14:textId="77777777" w:rsidR="00BA56AD" w:rsidRDefault="00BA56AD" w:rsidP="00BA56AD">
      <w:pPr>
        <w:tabs>
          <w:tab w:val="left" w:pos="426"/>
        </w:tabs>
        <w:rPr>
          <w:iCs/>
          <w:lang w:val="es-ES_tradnl"/>
        </w:rPr>
      </w:pPr>
    </w:p>
    <w:p w14:paraId="484DBAF4" w14:textId="77777777" w:rsidR="00BA56AD" w:rsidRPr="006D3E80" w:rsidRDefault="00BA56AD" w:rsidP="00BA56AD">
      <w:pPr>
        <w:tabs>
          <w:tab w:val="left" w:pos="426"/>
        </w:tabs>
        <w:rPr>
          <w:iCs/>
          <w:lang w:val="es-ES_tradnl"/>
        </w:rPr>
      </w:pPr>
      <w:r>
        <w:rPr>
          <w:iCs/>
          <w:lang w:val="es-ES_tradnl"/>
        </w:rPr>
        <w:t xml:space="preserve">De esta manera, para el mercado relevante propuesto por la empresa Alcanos de Colombia, </w:t>
      </w:r>
      <w:r w:rsidRPr="006D3E80">
        <w:rPr>
          <w:iCs/>
          <w:lang w:val="es-ES_tradnl"/>
        </w:rPr>
        <w:t xml:space="preserve">el </w:t>
      </w:r>
      <m:oMath>
        <m:sSub>
          <m:sSubPr>
            <m:ctrlPr>
              <w:rPr>
                <w:rFonts w:ascii="Cambria Math" w:hAnsi="Cambria Math"/>
                <w:iCs/>
                <w:lang w:val="es-ES_tradnl"/>
              </w:rPr>
            </m:ctrlPr>
          </m:sSubPr>
          <m:e>
            <m:sSub>
              <m:sSubPr>
                <m:ctrlPr>
                  <w:rPr>
                    <w:rFonts w:ascii="Cambria Math" w:hAnsi="Cambria Math"/>
                    <w:iCs/>
                    <w:lang w:val="es-ES_tradnl"/>
                  </w:rPr>
                </m:ctrlPr>
              </m:sSubPr>
              <m:e>
                <m:r>
                  <m:rPr>
                    <m:sty m:val="p"/>
                  </m:rPr>
                  <w:rPr>
                    <w:rFonts w:ascii="Cambria Math" w:hAnsi="Cambria Math"/>
                    <w:lang w:val="es-ES_tradnl"/>
                  </w:rPr>
                  <m:t>%OA</m:t>
                </m:r>
              </m:e>
              <m:sub>
                <m:r>
                  <m:rPr>
                    <m:sty m:val="p"/>
                  </m:rPr>
                  <w:rPr>
                    <w:rFonts w:ascii="Cambria Math" w:hAnsi="Cambria Math"/>
                    <w:lang w:val="es-ES_tradnl"/>
                  </w:rPr>
                  <m:t>eficiente</m:t>
                </m:r>
              </m:sub>
            </m:sSub>
          </m:e>
          <m:sub>
            <m:r>
              <w:rPr>
                <w:rFonts w:ascii="Cambria Math" w:hAnsi="Cambria Math"/>
                <w:lang w:val="es-ES_tradnl"/>
              </w:rPr>
              <m:t>k</m:t>
            </m:r>
          </m:sub>
        </m:sSub>
      </m:oMath>
      <w:r w:rsidRPr="006D3E80">
        <w:rPr>
          <w:iCs/>
          <w:lang w:val="es-ES_tradnl"/>
        </w:rPr>
        <w:t>; se estableció en un 5.05%, por lo cual el porcentaje de otros activos eficiente que se reconocerá en los cargos de distribución corresponderá al porcentaje de otros activos máximo a reconocer.</w:t>
      </w:r>
    </w:p>
    <w:p w14:paraId="6909ED31" w14:textId="77777777" w:rsidR="00BA56AD" w:rsidRDefault="00BA56AD" w:rsidP="00BA56AD">
      <w:pPr>
        <w:tabs>
          <w:tab w:val="left" w:pos="426"/>
        </w:tabs>
        <w:rPr>
          <w:spacing w:val="-3"/>
          <w:szCs w:val="20"/>
          <w:lang w:val="es-ES_tradnl"/>
        </w:rPr>
      </w:pPr>
    </w:p>
    <w:p w14:paraId="3CDD66BD" w14:textId="77777777" w:rsidR="00BA56AD" w:rsidRDefault="00BA56AD" w:rsidP="00BA56AD">
      <w:pPr>
        <w:tabs>
          <w:tab w:val="left" w:pos="426"/>
        </w:tabs>
        <w:rPr>
          <w:iCs/>
          <w:lang w:val="es-ES_tradnl"/>
        </w:rPr>
      </w:pPr>
      <w:r w:rsidRPr="0066094C">
        <w:rPr>
          <w:iCs/>
          <w:lang w:val="es-ES_tradnl"/>
        </w:rPr>
        <w:t xml:space="preserve">Ahora bien, </w:t>
      </w:r>
      <w:r>
        <w:rPr>
          <w:iCs/>
          <w:lang w:val="es-ES_tradnl"/>
        </w:rPr>
        <w:t xml:space="preserve">una vez realizado el ajuste de la valoración de la inversión base y </w:t>
      </w:r>
      <w:r w:rsidRPr="0066094C">
        <w:rPr>
          <w:iCs/>
          <w:lang w:val="es-ES_tradnl"/>
        </w:rPr>
        <w:t xml:space="preserve">aplicando la metodología contenida en las </w:t>
      </w:r>
      <w:r>
        <w:rPr>
          <w:iCs/>
          <w:lang w:val="es-ES_tradnl"/>
        </w:rPr>
        <w:t>r</w:t>
      </w:r>
      <w:r w:rsidRPr="0066094C">
        <w:rPr>
          <w:iCs/>
          <w:lang w:val="es-ES_tradnl"/>
        </w:rPr>
        <w:t>esoluciones CREG 202 de 2013, CREG 138 de 2014, CREG 090 y 132 de 2018</w:t>
      </w:r>
      <w:r>
        <w:rPr>
          <w:iCs/>
          <w:lang w:val="es-ES_tradnl"/>
        </w:rPr>
        <w:t>,</w:t>
      </w:r>
      <w:r w:rsidRPr="0066094C">
        <w:rPr>
          <w:iCs/>
          <w:lang w:val="es-ES_tradnl"/>
        </w:rPr>
        <w:t xml:space="preserve"> se calcularon las siguientes variables principales para la componente que remunera la inversión base, aplicable a usuarios de uso residencial y a usuarios diferentes a los de uso residencial.</w:t>
      </w:r>
    </w:p>
    <w:p w14:paraId="14BB36C1" w14:textId="77777777" w:rsidR="00BA56AD" w:rsidRPr="0066094C" w:rsidRDefault="00BA56AD" w:rsidP="00BA56AD">
      <w:pPr>
        <w:tabs>
          <w:tab w:val="left" w:pos="426"/>
        </w:tabs>
        <w:rPr>
          <w:iCs/>
          <w:lang w:val="es-ES_tradnl"/>
        </w:rPr>
      </w:pPr>
    </w:p>
    <w:p w14:paraId="6D3058A3" w14:textId="77777777" w:rsidR="00BA56AD" w:rsidRPr="009714C5" w:rsidRDefault="00BA56AD" w:rsidP="00BA56AD">
      <w:pPr>
        <w:keepNext/>
        <w:widowControl w:val="0"/>
        <w:adjustRightInd w:val="0"/>
        <w:ind w:right="23"/>
        <w:jc w:val="center"/>
        <w:rPr>
          <w:rFonts w:cs="Arial"/>
          <w:b/>
          <w:sz w:val="20"/>
        </w:rPr>
      </w:pPr>
      <w:r w:rsidRPr="009714C5">
        <w:rPr>
          <w:rFonts w:cs="Arial"/>
          <w:b/>
          <w:sz w:val="20"/>
        </w:rPr>
        <w:t>Variables para el cálculo de la componente de Inversión Base.</w:t>
      </w:r>
    </w:p>
    <w:p w14:paraId="72C54CD7" w14:textId="77777777" w:rsidR="00BA56AD" w:rsidRPr="009714C5" w:rsidRDefault="00BA56AD" w:rsidP="00BA56AD">
      <w:pPr>
        <w:keepNext/>
        <w:adjustRightInd w:val="0"/>
        <w:ind w:right="23"/>
        <w:jc w:val="center"/>
        <w:rPr>
          <w:rFonts w:cs="Arial"/>
          <w:b/>
          <w:sz w:val="20"/>
        </w:rPr>
      </w:pPr>
      <w:r w:rsidRPr="009714C5">
        <w:rPr>
          <w:rFonts w:cs="Arial"/>
          <w:b/>
          <w:sz w:val="20"/>
        </w:rPr>
        <w:t xml:space="preserve">Usuarios de Uso Residencial </w:t>
      </w:r>
    </w:p>
    <w:tbl>
      <w:tblPr>
        <w:tblW w:w="33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98"/>
        <w:gridCol w:w="3055"/>
      </w:tblGrid>
      <w:tr w:rsidR="00BA56AD" w:rsidRPr="009714C5" w14:paraId="265160B2" w14:textId="77777777" w:rsidTr="00FB5615">
        <w:trPr>
          <w:trHeight w:val="490"/>
          <w:tblHeader/>
          <w:jc w:val="center"/>
        </w:trPr>
        <w:tc>
          <w:tcPr>
            <w:tcW w:w="5000" w:type="pct"/>
            <w:gridSpan w:val="2"/>
            <w:shd w:val="clear" w:color="auto" w:fill="D9D9D9"/>
            <w:vAlign w:val="center"/>
            <w:hideMark/>
          </w:tcPr>
          <w:p w14:paraId="1621B60A" w14:textId="77777777" w:rsidR="00BA56AD" w:rsidRPr="009714C5" w:rsidRDefault="00BA56AD" w:rsidP="00FB5615">
            <w:pPr>
              <w:keepNext/>
              <w:jc w:val="center"/>
              <w:rPr>
                <w:rFonts w:cs="Arial"/>
                <w:b/>
                <w:bCs/>
                <w:color w:val="000000"/>
                <w:sz w:val="20"/>
                <w:lang w:eastAsia="es-CO"/>
              </w:rPr>
            </w:pPr>
            <w:r w:rsidRPr="009714C5">
              <w:rPr>
                <w:rFonts w:cs="Arial"/>
                <w:b/>
                <w:bCs/>
                <w:color w:val="000000"/>
                <w:sz w:val="20"/>
                <w:lang w:eastAsia="es-CO"/>
              </w:rPr>
              <w:t>Usuarios de Uso Residencial</w:t>
            </w:r>
          </w:p>
        </w:tc>
      </w:tr>
      <w:tr w:rsidR="00BA56AD" w:rsidRPr="009714C5" w14:paraId="7536DB52" w14:textId="77777777" w:rsidTr="00FB5615">
        <w:trPr>
          <w:trHeight w:val="286"/>
          <w:tblHeader/>
          <w:jc w:val="center"/>
        </w:trPr>
        <w:tc>
          <w:tcPr>
            <w:tcW w:w="2596" w:type="pct"/>
            <w:shd w:val="clear" w:color="auto" w:fill="D9D9D9"/>
            <w:vAlign w:val="center"/>
            <w:hideMark/>
          </w:tcPr>
          <w:p w14:paraId="1AF755F2" w14:textId="77777777" w:rsidR="00BA56AD" w:rsidRPr="009714C5" w:rsidRDefault="00BA56AD" w:rsidP="00FB5615">
            <w:pPr>
              <w:jc w:val="center"/>
              <w:rPr>
                <w:rFonts w:cs="Arial"/>
                <w:b/>
                <w:bCs/>
                <w:color w:val="000000"/>
                <w:sz w:val="20"/>
                <w:lang w:eastAsia="es-CO"/>
              </w:rPr>
            </w:pPr>
            <w:r w:rsidRPr="009714C5">
              <w:rPr>
                <w:rFonts w:cs="Arial"/>
                <w:b/>
                <w:bCs/>
                <w:color w:val="000000"/>
                <w:sz w:val="20"/>
                <w:lang w:eastAsia="es-CO"/>
              </w:rPr>
              <w:t>Variable</w:t>
            </w:r>
          </w:p>
        </w:tc>
        <w:tc>
          <w:tcPr>
            <w:tcW w:w="2404" w:type="pct"/>
            <w:shd w:val="clear" w:color="auto" w:fill="D9D9D9"/>
            <w:vAlign w:val="center"/>
            <w:hideMark/>
          </w:tcPr>
          <w:p w14:paraId="1DA8F11E" w14:textId="77777777" w:rsidR="00BA56AD" w:rsidRPr="009714C5" w:rsidRDefault="00BA56AD" w:rsidP="00FB5615">
            <w:pPr>
              <w:keepNext/>
              <w:jc w:val="center"/>
              <w:rPr>
                <w:rFonts w:cs="Arial"/>
                <w:b/>
                <w:bCs/>
                <w:color w:val="000000"/>
                <w:sz w:val="20"/>
                <w:lang w:eastAsia="es-CO"/>
              </w:rPr>
            </w:pPr>
            <w:r w:rsidRPr="009714C5">
              <w:rPr>
                <w:rFonts w:cs="Arial"/>
                <w:b/>
                <w:bCs/>
                <w:color w:val="000000"/>
                <w:sz w:val="20"/>
                <w:lang w:eastAsia="es-CO"/>
              </w:rPr>
              <w:t>Año 2019 en adelante</w:t>
            </w:r>
          </w:p>
        </w:tc>
      </w:tr>
      <w:tr w:rsidR="00BA56AD" w:rsidRPr="009714C5" w14:paraId="7015B3FA" w14:textId="77777777" w:rsidTr="00FB5615">
        <w:trPr>
          <w:trHeight w:val="248"/>
          <w:jc w:val="center"/>
        </w:trPr>
        <w:tc>
          <w:tcPr>
            <w:tcW w:w="2596" w:type="pct"/>
            <w:shd w:val="clear" w:color="auto" w:fill="auto"/>
            <w:hideMark/>
          </w:tcPr>
          <w:p w14:paraId="5488C74F" w14:textId="77777777" w:rsidR="00BA56AD" w:rsidRPr="009714C5" w:rsidRDefault="00BA56AD" w:rsidP="00FB5615">
            <w:pPr>
              <w:rPr>
                <w:rFonts w:cs="Arial"/>
                <w:b/>
                <w:bCs/>
                <w:color w:val="000000"/>
                <w:sz w:val="20"/>
                <w:lang w:eastAsia="es-CO"/>
              </w:rPr>
            </w:pPr>
            <w:r w:rsidRPr="009714C5">
              <w:rPr>
                <w:rFonts w:cs="Arial"/>
                <w:noProof/>
                <w:sz w:val="20"/>
                <w:lang w:val="es-CO" w:eastAsia="es-CO"/>
              </w:rPr>
              <w:drawing>
                <wp:inline distT="0" distB="0" distL="0" distR="0" wp14:anchorId="2080E9E3" wp14:editId="0C996E07">
                  <wp:extent cx="504825" cy="154305"/>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4305"/>
                          </a:xfrm>
                          <a:prstGeom prst="rect">
                            <a:avLst/>
                          </a:prstGeom>
                          <a:noFill/>
                          <a:ln>
                            <a:noFill/>
                          </a:ln>
                        </pic:spPr>
                      </pic:pic>
                    </a:graphicData>
                  </a:graphic>
                </wp:inline>
              </w:drawing>
            </w:r>
          </w:p>
        </w:tc>
        <w:tc>
          <w:tcPr>
            <w:tcW w:w="2404" w:type="pct"/>
            <w:shd w:val="clear" w:color="auto" w:fill="auto"/>
            <w:vAlign w:val="bottom"/>
          </w:tcPr>
          <w:p w14:paraId="1E52F88B" w14:textId="77777777" w:rsidR="00BA56AD" w:rsidRPr="00520017" w:rsidRDefault="00BA56AD" w:rsidP="00FB5615">
            <w:pPr>
              <w:jc w:val="center"/>
              <w:rPr>
                <w:rFonts w:cs="Arial"/>
                <w:color w:val="000000"/>
                <w:sz w:val="20"/>
                <w:szCs w:val="22"/>
                <w:lang w:eastAsia="es-CO"/>
              </w:rPr>
            </w:pPr>
            <w:r w:rsidRPr="00520017">
              <w:rPr>
                <w:color w:val="000000"/>
                <w:sz w:val="20"/>
                <w:szCs w:val="16"/>
              </w:rPr>
              <w:t>2</w:t>
            </w:r>
            <w:r>
              <w:rPr>
                <w:color w:val="000000"/>
                <w:sz w:val="20"/>
                <w:szCs w:val="16"/>
              </w:rPr>
              <w:t>.</w:t>
            </w:r>
            <w:r w:rsidRPr="00520017">
              <w:rPr>
                <w:color w:val="000000"/>
                <w:sz w:val="20"/>
                <w:szCs w:val="16"/>
              </w:rPr>
              <w:t>811</w:t>
            </w:r>
            <w:r>
              <w:rPr>
                <w:color w:val="000000"/>
                <w:sz w:val="20"/>
                <w:szCs w:val="16"/>
              </w:rPr>
              <w:t>.</w:t>
            </w:r>
            <w:r w:rsidRPr="00520017">
              <w:rPr>
                <w:color w:val="000000"/>
                <w:sz w:val="20"/>
                <w:szCs w:val="16"/>
              </w:rPr>
              <w:t>906</w:t>
            </w:r>
            <w:r>
              <w:rPr>
                <w:color w:val="000000"/>
                <w:sz w:val="20"/>
                <w:szCs w:val="16"/>
              </w:rPr>
              <w:t>.</w:t>
            </w:r>
            <w:r w:rsidRPr="00520017">
              <w:rPr>
                <w:color w:val="000000"/>
                <w:sz w:val="20"/>
                <w:szCs w:val="16"/>
              </w:rPr>
              <w:t>423</w:t>
            </w:r>
          </w:p>
        </w:tc>
      </w:tr>
      <w:tr w:rsidR="00BA56AD" w:rsidRPr="009714C5" w14:paraId="62696979" w14:textId="77777777" w:rsidTr="00FB5615">
        <w:trPr>
          <w:trHeight w:val="248"/>
          <w:jc w:val="center"/>
        </w:trPr>
        <w:tc>
          <w:tcPr>
            <w:tcW w:w="2596" w:type="pct"/>
            <w:shd w:val="clear" w:color="auto" w:fill="auto"/>
            <w:hideMark/>
          </w:tcPr>
          <w:p w14:paraId="0BA6629A" w14:textId="77777777" w:rsidR="00BA56AD" w:rsidRPr="009714C5" w:rsidRDefault="00BA56AD" w:rsidP="00FB5615">
            <w:pPr>
              <w:rPr>
                <w:rFonts w:cs="Arial"/>
                <w:b/>
                <w:bCs/>
                <w:color w:val="000000"/>
                <w:sz w:val="20"/>
                <w:lang w:eastAsia="es-CO"/>
              </w:rPr>
            </w:pPr>
            <w:r w:rsidRPr="009714C5">
              <w:rPr>
                <w:rFonts w:cs="Arial"/>
                <w:noProof/>
                <w:sz w:val="20"/>
                <w:lang w:val="es-CO" w:eastAsia="es-CO"/>
              </w:rPr>
              <w:drawing>
                <wp:inline distT="0" distB="0" distL="0" distR="0" wp14:anchorId="751EBDBC" wp14:editId="3761C22B">
                  <wp:extent cx="492760" cy="154305"/>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2760" cy="154305"/>
                          </a:xfrm>
                          <a:prstGeom prst="rect">
                            <a:avLst/>
                          </a:prstGeom>
                          <a:noFill/>
                          <a:ln>
                            <a:noFill/>
                          </a:ln>
                        </pic:spPr>
                      </pic:pic>
                    </a:graphicData>
                  </a:graphic>
                </wp:inline>
              </w:drawing>
            </w:r>
          </w:p>
        </w:tc>
        <w:tc>
          <w:tcPr>
            <w:tcW w:w="2404" w:type="pct"/>
            <w:shd w:val="clear" w:color="auto" w:fill="auto"/>
            <w:vAlign w:val="bottom"/>
          </w:tcPr>
          <w:p w14:paraId="09216D43" w14:textId="77777777" w:rsidR="00BA56AD" w:rsidRPr="00520017" w:rsidRDefault="00BA56AD" w:rsidP="00FB5615">
            <w:pPr>
              <w:jc w:val="center"/>
              <w:rPr>
                <w:rFonts w:cs="Arial"/>
                <w:color w:val="000000"/>
                <w:sz w:val="20"/>
                <w:szCs w:val="22"/>
              </w:rPr>
            </w:pPr>
            <w:r w:rsidRPr="00520017">
              <w:rPr>
                <w:color w:val="000000"/>
                <w:sz w:val="20"/>
                <w:szCs w:val="16"/>
              </w:rPr>
              <w:t>2</w:t>
            </w:r>
            <w:r>
              <w:rPr>
                <w:color w:val="000000"/>
                <w:sz w:val="20"/>
                <w:szCs w:val="16"/>
              </w:rPr>
              <w:t>.</w:t>
            </w:r>
            <w:r w:rsidRPr="00520017">
              <w:rPr>
                <w:color w:val="000000"/>
                <w:sz w:val="20"/>
                <w:szCs w:val="16"/>
              </w:rPr>
              <w:t>638</w:t>
            </w:r>
            <w:r>
              <w:rPr>
                <w:color w:val="000000"/>
                <w:sz w:val="20"/>
                <w:szCs w:val="16"/>
              </w:rPr>
              <w:t>.</w:t>
            </w:r>
            <w:r w:rsidRPr="00520017">
              <w:rPr>
                <w:color w:val="000000"/>
                <w:sz w:val="20"/>
                <w:szCs w:val="16"/>
              </w:rPr>
              <w:t>196</w:t>
            </w:r>
            <w:r>
              <w:rPr>
                <w:color w:val="000000"/>
                <w:sz w:val="20"/>
                <w:szCs w:val="16"/>
              </w:rPr>
              <w:t>.</w:t>
            </w:r>
            <w:r w:rsidRPr="00520017">
              <w:rPr>
                <w:color w:val="000000"/>
                <w:sz w:val="20"/>
                <w:szCs w:val="16"/>
              </w:rPr>
              <w:t>390</w:t>
            </w:r>
          </w:p>
        </w:tc>
      </w:tr>
      <w:tr w:rsidR="00BA56AD" w:rsidRPr="009714C5" w14:paraId="1D8C382D" w14:textId="77777777" w:rsidTr="00FB5615">
        <w:trPr>
          <w:trHeight w:val="248"/>
          <w:jc w:val="center"/>
        </w:trPr>
        <w:tc>
          <w:tcPr>
            <w:tcW w:w="2596" w:type="pct"/>
            <w:shd w:val="clear" w:color="auto" w:fill="auto"/>
            <w:hideMark/>
          </w:tcPr>
          <w:p w14:paraId="01002166" w14:textId="77777777" w:rsidR="00BA56AD" w:rsidRPr="009714C5" w:rsidRDefault="00BA56AD" w:rsidP="00FB5615">
            <w:pPr>
              <w:rPr>
                <w:rFonts w:cs="Arial"/>
                <w:b/>
                <w:bCs/>
                <w:color w:val="000000"/>
                <w:sz w:val="20"/>
                <w:lang w:eastAsia="es-CO"/>
              </w:rPr>
            </w:pPr>
            <m:oMath>
              <m:r>
                <m:rPr>
                  <m:sty m:val="b"/>
                </m:rPr>
                <w:rPr>
                  <w:rFonts w:ascii="Cambria Math" w:hAnsi="Cambria Math"/>
                  <w:color w:val="000000"/>
                  <w:sz w:val="20"/>
                  <w:lang w:eastAsia="es-CO"/>
                </w:rPr>
                <m:t>VP(Q</m:t>
              </m:r>
              <m:sSub>
                <m:sSubPr>
                  <m:ctrlPr>
                    <w:rPr>
                      <w:rFonts w:ascii="Cambria Math" w:hAnsi="Cambria Math"/>
                      <w:b/>
                      <w:bCs/>
                      <w:color w:val="000000"/>
                      <w:sz w:val="20"/>
                      <w:lang w:eastAsia="es-CO"/>
                    </w:rPr>
                  </m:ctrlPr>
                </m:sSubPr>
                <m:e>
                  <m:d>
                    <m:dPr>
                      <m:ctrlPr>
                        <w:rPr>
                          <w:rFonts w:ascii="Cambria Math" w:hAnsi="Cambria Math"/>
                          <w:b/>
                          <w:bCs/>
                          <w:color w:val="000000"/>
                          <w:sz w:val="20"/>
                          <w:lang w:eastAsia="es-CO"/>
                        </w:rPr>
                      </m:ctrlPr>
                    </m:dPr>
                    <m:e>
                      <m:r>
                        <m:rPr>
                          <m:sty m:val="b"/>
                        </m:rPr>
                        <w:rPr>
                          <w:rFonts w:ascii="Cambria Math" w:hAnsi="Cambria Math"/>
                          <w:color w:val="000000"/>
                          <w:sz w:val="20"/>
                          <w:lang w:eastAsia="es-CO"/>
                        </w:rPr>
                        <m:t>PR</m:t>
                      </m:r>
                    </m:e>
                  </m:d>
                </m:e>
                <m:sub>
                  <m:r>
                    <m:rPr>
                      <m:sty m:val="b"/>
                    </m:rPr>
                    <w:rPr>
                      <w:rFonts w:ascii="Cambria Math" w:hAnsi="Cambria Math"/>
                      <w:color w:val="000000"/>
                      <w:sz w:val="20"/>
                      <w:lang w:eastAsia="es-CO"/>
                    </w:rPr>
                    <m:t>NoResRSk</m:t>
                  </m:r>
                </m:sub>
              </m:sSub>
              <m:r>
                <m:rPr>
                  <m:sty m:val="b"/>
                </m:rPr>
                <w:rPr>
                  <w:rFonts w:ascii="Cambria Math" w:hAnsi="Cambria Math"/>
                  <w:color w:val="000000"/>
                  <w:sz w:val="20"/>
                  <w:lang w:eastAsia="es-CO"/>
                </w:rPr>
                <m:t>+Q</m:t>
              </m:r>
              <m:sSub>
                <m:sSubPr>
                  <m:ctrlPr>
                    <w:rPr>
                      <w:rFonts w:ascii="Cambria Math" w:hAnsi="Cambria Math"/>
                      <w:b/>
                      <w:bCs/>
                      <w:color w:val="000000"/>
                      <w:sz w:val="20"/>
                      <w:lang w:eastAsia="es-CO"/>
                    </w:rPr>
                  </m:ctrlPr>
                </m:sSubPr>
                <m:e>
                  <m:d>
                    <m:dPr>
                      <m:ctrlPr>
                        <w:rPr>
                          <w:rFonts w:ascii="Cambria Math" w:hAnsi="Cambria Math"/>
                          <w:b/>
                          <w:bCs/>
                          <w:color w:val="000000"/>
                          <w:sz w:val="20"/>
                          <w:lang w:eastAsia="es-CO"/>
                        </w:rPr>
                      </m:ctrlPr>
                    </m:dPr>
                    <m:e>
                      <m:r>
                        <m:rPr>
                          <m:sty m:val="b"/>
                        </m:rPr>
                        <w:rPr>
                          <w:rFonts w:ascii="Cambria Math" w:hAnsi="Cambria Math"/>
                          <w:color w:val="000000"/>
                          <w:sz w:val="20"/>
                          <w:lang w:eastAsia="es-CO"/>
                        </w:rPr>
                        <m:t>PR</m:t>
                      </m:r>
                    </m:e>
                  </m:d>
                </m:e>
                <m:sub>
                  <m:r>
                    <m:rPr>
                      <m:sty m:val="b"/>
                    </m:rPr>
                    <w:rPr>
                      <w:rFonts w:ascii="Cambria Math" w:hAnsi="Cambria Math"/>
                      <w:color w:val="000000"/>
                      <w:sz w:val="20"/>
                      <w:lang w:eastAsia="es-CO"/>
                    </w:rPr>
                    <m:t>Resk</m:t>
                  </m:r>
                </m:sub>
              </m:sSub>
              <m:r>
                <m:rPr>
                  <m:sty m:val="b"/>
                </m:rPr>
                <w:rPr>
                  <w:rFonts w:ascii="Cambria Math" w:hAnsi="Cambria Math"/>
                  <w:color w:val="000000"/>
                  <w:sz w:val="20"/>
                  <w:lang w:eastAsia="es-CO"/>
                </w:rPr>
                <m:t>)</m:t>
              </m:r>
            </m:oMath>
            <w:r w:rsidRPr="009714C5">
              <w:rPr>
                <w:rFonts w:cs="Arial"/>
                <w:b/>
                <w:bCs/>
                <w:color w:val="000000"/>
                <w:sz w:val="20"/>
                <w:lang w:eastAsia="es-CO"/>
              </w:rPr>
              <w:t> </w:t>
            </w:r>
          </w:p>
        </w:tc>
        <w:tc>
          <w:tcPr>
            <w:tcW w:w="2404" w:type="pct"/>
            <w:shd w:val="clear" w:color="auto" w:fill="auto"/>
            <w:vAlign w:val="bottom"/>
          </w:tcPr>
          <w:p w14:paraId="7D0E02BE" w14:textId="77777777" w:rsidR="00BA56AD" w:rsidRPr="00520017" w:rsidRDefault="00BA56AD" w:rsidP="00FB5615">
            <w:pPr>
              <w:jc w:val="center"/>
              <w:rPr>
                <w:rFonts w:cs="Arial"/>
                <w:color w:val="000000"/>
                <w:sz w:val="20"/>
                <w:szCs w:val="22"/>
              </w:rPr>
            </w:pPr>
            <w:r w:rsidRPr="00520017">
              <w:rPr>
                <w:color w:val="000000"/>
                <w:sz w:val="20"/>
                <w:szCs w:val="16"/>
              </w:rPr>
              <w:t>6</w:t>
            </w:r>
            <w:r>
              <w:rPr>
                <w:color w:val="000000"/>
                <w:sz w:val="20"/>
                <w:szCs w:val="16"/>
              </w:rPr>
              <w:t>.</w:t>
            </w:r>
            <w:r w:rsidRPr="00520017">
              <w:rPr>
                <w:color w:val="000000"/>
                <w:sz w:val="20"/>
                <w:szCs w:val="16"/>
              </w:rPr>
              <w:t>067</w:t>
            </w:r>
            <w:r>
              <w:rPr>
                <w:color w:val="000000"/>
                <w:sz w:val="20"/>
                <w:szCs w:val="16"/>
              </w:rPr>
              <w:t>.</w:t>
            </w:r>
            <w:r w:rsidRPr="00520017">
              <w:rPr>
                <w:color w:val="000000"/>
                <w:sz w:val="20"/>
                <w:szCs w:val="16"/>
              </w:rPr>
              <w:t>125</w:t>
            </w:r>
          </w:p>
        </w:tc>
      </w:tr>
      <w:tr w:rsidR="00BA56AD" w:rsidRPr="009714C5" w14:paraId="010C562C" w14:textId="77777777" w:rsidTr="00FB5615">
        <w:trPr>
          <w:trHeight w:val="248"/>
          <w:jc w:val="center"/>
        </w:trPr>
        <w:tc>
          <w:tcPr>
            <w:tcW w:w="2596" w:type="pct"/>
            <w:shd w:val="clear" w:color="auto" w:fill="auto"/>
            <w:hideMark/>
          </w:tcPr>
          <w:p w14:paraId="2753CCD3" w14:textId="77777777" w:rsidR="00BA56AD" w:rsidRPr="009714C5" w:rsidRDefault="00BA56AD" w:rsidP="00FB5615">
            <w:pPr>
              <w:rPr>
                <w:rFonts w:cs="Arial"/>
                <w:b/>
                <w:bCs/>
                <w:color w:val="000000"/>
                <w:sz w:val="20"/>
                <w:lang w:eastAsia="es-CO"/>
              </w:rPr>
            </w:pPr>
            <w:r w:rsidRPr="009714C5">
              <w:rPr>
                <w:rFonts w:cs="Arial"/>
                <w:noProof/>
                <w:sz w:val="20"/>
                <w:lang w:val="es-CO" w:eastAsia="es-CO"/>
              </w:rPr>
              <w:drawing>
                <wp:inline distT="0" distB="0" distL="0" distR="0" wp14:anchorId="3C62C29D" wp14:editId="33D0D674">
                  <wp:extent cx="742315" cy="154305"/>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315" cy="154305"/>
                          </a:xfrm>
                          <a:prstGeom prst="rect">
                            <a:avLst/>
                          </a:prstGeom>
                          <a:noFill/>
                          <a:ln>
                            <a:noFill/>
                          </a:ln>
                        </pic:spPr>
                      </pic:pic>
                    </a:graphicData>
                  </a:graphic>
                </wp:inline>
              </w:drawing>
            </w:r>
          </w:p>
        </w:tc>
        <w:tc>
          <w:tcPr>
            <w:tcW w:w="2404" w:type="pct"/>
            <w:shd w:val="clear" w:color="auto" w:fill="auto"/>
            <w:vAlign w:val="bottom"/>
          </w:tcPr>
          <w:p w14:paraId="54E57026" w14:textId="77777777" w:rsidR="00BA56AD" w:rsidRPr="00520017" w:rsidRDefault="00BA56AD" w:rsidP="00FB5615">
            <w:pPr>
              <w:jc w:val="center"/>
              <w:rPr>
                <w:rFonts w:cs="Arial"/>
                <w:color w:val="000000"/>
                <w:sz w:val="20"/>
                <w:szCs w:val="22"/>
              </w:rPr>
            </w:pPr>
            <w:r w:rsidRPr="00520017">
              <w:rPr>
                <w:color w:val="000000"/>
                <w:sz w:val="20"/>
                <w:szCs w:val="16"/>
              </w:rPr>
              <w:t>6</w:t>
            </w:r>
            <w:r>
              <w:rPr>
                <w:color w:val="000000"/>
                <w:sz w:val="20"/>
                <w:szCs w:val="16"/>
              </w:rPr>
              <w:t>.</w:t>
            </w:r>
            <w:r w:rsidRPr="00520017">
              <w:rPr>
                <w:color w:val="000000"/>
                <w:sz w:val="20"/>
                <w:szCs w:val="16"/>
              </w:rPr>
              <w:t>067</w:t>
            </w:r>
            <w:r>
              <w:rPr>
                <w:color w:val="000000"/>
                <w:sz w:val="20"/>
                <w:szCs w:val="16"/>
              </w:rPr>
              <w:t>.</w:t>
            </w:r>
            <w:r w:rsidRPr="00520017">
              <w:rPr>
                <w:color w:val="000000"/>
                <w:sz w:val="20"/>
                <w:szCs w:val="16"/>
              </w:rPr>
              <w:t>125</w:t>
            </w:r>
          </w:p>
        </w:tc>
      </w:tr>
    </w:tbl>
    <w:p w14:paraId="51528CD5" w14:textId="77777777" w:rsidR="00BA56AD" w:rsidRPr="009714C5" w:rsidRDefault="00BA56AD" w:rsidP="00BA56AD">
      <w:pPr>
        <w:widowControl w:val="0"/>
        <w:adjustRightInd w:val="0"/>
        <w:spacing w:after="240"/>
        <w:ind w:right="23"/>
        <w:jc w:val="center"/>
        <w:rPr>
          <w:rFonts w:cs="Arial"/>
          <w:sz w:val="16"/>
        </w:rPr>
      </w:pPr>
      <w:r w:rsidRPr="009714C5">
        <w:rPr>
          <w:rFonts w:cs="Arial"/>
          <w:sz w:val="16"/>
        </w:rPr>
        <w:t>Cifras en pesos del 31 de diciembre de 2017.</w:t>
      </w:r>
    </w:p>
    <w:p w14:paraId="66F19FB8" w14:textId="77777777" w:rsidR="00BA56AD" w:rsidRDefault="00BA56AD" w:rsidP="00BA56AD">
      <w:pPr>
        <w:widowControl w:val="0"/>
        <w:adjustRightInd w:val="0"/>
        <w:ind w:right="20"/>
        <w:jc w:val="center"/>
        <w:rPr>
          <w:rFonts w:cs="Arial"/>
          <w:b/>
          <w:sz w:val="20"/>
        </w:rPr>
      </w:pPr>
    </w:p>
    <w:p w14:paraId="5E894111" w14:textId="77777777" w:rsidR="00BA56AD" w:rsidRPr="009714C5" w:rsidRDefault="00BA56AD" w:rsidP="00BA56AD">
      <w:pPr>
        <w:widowControl w:val="0"/>
        <w:adjustRightInd w:val="0"/>
        <w:ind w:right="20"/>
        <w:jc w:val="center"/>
        <w:rPr>
          <w:rFonts w:cs="Arial"/>
          <w:b/>
          <w:sz w:val="20"/>
        </w:rPr>
      </w:pPr>
      <w:r w:rsidRPr="009714C5">
        <w:rPr>
          <w:rFonts w:cs="Arial"/>
          <w:b/>
          <w:sz w:val="20"/>
        </w:rPr>
        <w:t>Variables para el cálculo de la componente de Inversión Base</w:t>
      </w:r>
    </w:p>
    <w:p w14:paraId="5292003E" w14:textId="77777777" w:rsidR="00BA56AD" w:rsidRPr="009714C5" w:rsidRDefault="00BA56AD" w:rsidP="00BA56AD">
      <w:pPr>
        <w:widowControl w:val="0"/>
        <w:adjustRightInd w:val="0"/>
        <w:ind w:right="20"/>
        <w:jc w:val="center"/>
        <w:rPr>
          <w:rFonts w:cs="Arial"/>
          <w:b/>
          <w:sz w:val="20"/>
        </w:rPr>
      </w:pPr>
      <w:r w:rsidRPr="009714C5">
        <w:rPr>
          <w:rFonts w:cs="Arial"/>
          <w:b/>
          <w:sz w:val="20"/>
        </w:rPr>
        <w:t xml:space="preserve">Usuarios Diferentes a los de Uso Residencial </w:t>
      </w:r>
    </w:p>
    <w:tbl>
      <w:tblPr>
        <w:tblW w:w="35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10"/>
        <w:gridCol w:w="3158"/>
      </w:tblGrid>
      <w:tr w:rsidR="00BA56AD" w:rsidRPr="009714C5" w14:paraId="5A81910F" w14:textId="77777777" w:rsidTr="00FB5615">
        <w:trPr>
          <w:trHeight w:val="438"/>
          <w:jc w:val="center"/>
        </w:trPr>
        <w:tc>
          <w:tcPr>
            <w:tcW w:w="5000" w:type="pct"/>
            <w:gridSpan w:val="2"/>
            <w:shd w:val="clear" w:color="auto" w:fill="D9D9D9"/>
            <w:vAlign w:val="center"/>
            <w:hideMark/>
          </w:tcPr>
          <w:p w14:paraId="462026E9" w14:textId="77777777" w:rsidR="00BA56AD" w:rsidRPr="009714C5" w:rsidRDefault="00BA56AD" w:rsidP="00FB5615">
            <w:pPr>
              <w:jc w:val="center"/>
              <w:rPr>
                <w:rFonts w:cs="Arial"/>
                <w:b/>
                <w:bCs/>
                <w:color w:val="000000"/>
                <w:sz w:val="20"/>
                <w:lang w:eastAsia="es-CO"/>
              </w:rPr>
            </w:pPr>
            <w:r w:rsidRPr="009714C5">
              <w:rPr>
                <w:rFonts w:cs="Arial"/>
                <w:b/>
                <w:bCs/>
                <w:color w:val="000000"/>
                <w:sz w:val="20"/>
                <w:lang w:eastAsia="es-CO"/>
              </w:rPr>
              <w:t>Usuarios Diferentes a los de Uso Residencial</w:t>
            </w:r>
          </w:p>
        </w:tc>
      </w:tr>
      <w:tr w:rsidR="00BA56AD" w:rsidRPr="009714C5" w14:paraId="22B0042C" w14:textId="77777777" w:rsidTr="00FB5615">
        <w:trPr>
          <w:trHeight w:val="255"/>
          <w:jc w:val="center"/>
        </w:trPr>
        <w:tc>
          <w:tcPr>
            <w:tcW w:w="2596" w:type="pct"/>
            <w:shd w:val="clear" w:color="auto" w:fill="D9D9D9"/>
            <w:vAlign w:val="center"/>
            <w:hideMark/>
          </w:tcPr>
          <w:p w14:paraId="37A6D32D" w14:textId="77777777" w:rsidR="00BA56AD" w:rsidRPr="009714C5" w:rsidRDefault="00BA56AD" w:rsidP="00FB5615">
            <w:pPr>
              <w:jc w:val="center"/>
              <w:rPr>
                <w:rFonts w:cs="Arial"/>
                <w:b/>
                <w:bCs/>
                <w:color w:val="000000"/>
                <w:sz w:val="20"/>
                <w:lang w:eastAsia="es-CO"/>
              </w:rPr>
            </w:pPr>
            <w:r w:rsidRPr="009714C5">
              <w:rPr>
                <w:rFonts w:cs="Arial"/>
                <w:b/>
                <w:bCs/>
                <w:color w:val="000000"/>
                <w:sz w:val="20"/>
                <w:lang w:eastAsia="es-CO"/>
              </w:rPr>
              <w:t>Variable</w:t>
            </w:r>
          </w:p>
        </w:tc>
        <w:tc>
          <w:tcPr>
            <w:tcW w:w="2403" w:type="pct"/>
            <w:shd w:val="clear" w:color="auto" w:fill="D9D9D9"/>
            <w:vAlign w:val="center"/>
            <w:hideMark/>
          </w:tcPr>
          <w:p w14:paraId="16004050" w14:textId="77777777" w:rsidR="00BA56AD" w:rsidRPr="009714C5" w:rsidRDefault="00BA56AD" w:rsidP="00FB5615">
            <w:pPr>
              <w:jc w:val="center"/>
              <w:rPr>
                <w:rFonts w:cs="Arial"/>
                <w:b/>
                <w:bCs/>
                <w:color w:val="000000"/>
                <w:sz w:val="20"/>
                <w:lang w:eastAsia="es-CO"/>
              </w:rPr>
            </w:pPr>
            <w:r w:rsidRPr="009714C5">
              <w:rPr>
                <w:rFonts w:cs="Arial"/>
                <w:b/>
                <w:bCs/>
                <w:color w:val="000000"/>
                <w:sz w:val="20"/>
                <w:lang w:eastAsia="es-CO"/>
              </w:rPr>
              <w:t>Año 2019 en adelante</w:t>
            </w:r>
          </w:p>
        </w:tc>
      </w:tr>
      <w:tr w:rsidR="00BA56AD" w:rsidRPr="009714C5" w14:paraId="1160D36C" w14:textId="77777777" w:rsidTr="00FB5615">
        <w:trPr>
          <w:trHeight w:val="221"/>
          <w:jc w:val="center"/>
        </w:trPr>
        <w:tc>
          <w:tcPr>
            <w:tcW w:w="2596" w:type="pct"/>
            <w:shd w:val="clear" w:color="auto" w:fill="auto"/>
            <w:hideMark/>
          </w:tcPr>
          <w:p w14:paraId="559CCDEC" w14:textId="77777777" w:rsidR="00BA56AD" w:rsidRPr="009714C5" w:rsidRDefault="00BA56AD" w:rsidP="00FB5615">
            <w:pPr>
              <w:rPr>
                <w:rFonts w:cs="Arial"/>
                <w:b/>
                <w:bCs/>
                <w:color w:val="000000"/>
                <w:sz w:val="20"/>
                <w:lang w:eastAsia="es-CO"/>
              </w:rPr>
            </w:pPr>
            <w:r w:rsidRPr="009714C5">
              <w:rPr>
                <w:rFonts w:cs="Arial"/>
                <w:noProof/>
                <w:sz w:val="20"/>
                <w:lang w:val="es-CO" w:eastAsia="es-CO"/>
              </w:rPr>
              <w:drawing>
                <wp:inline distT="0" distB="0" distL="0" distR="0" wp14:anchorId="6DBFFCAD" wp14:editId="794D5F32">
                  <wp:extent cx="504825" cy="154305"/>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4305"/>
                          </a:xfrm>
                          <a:prstGeom prst="rect">
                            <a:avLst/>
                          </a:prstGeom>
                          <a:noFill/>
                          <a:ln>
                            <a:noFill/>
                          </a:ln>
                        </pic:spPr>
                      </pic:pic>
                    </a:graphicData>
                  </a:graphic>
                </wp:inline>
              </w:drawing>
            </w:r>
          </w:p>
        </w:tc>
        <w:tc>
          <w:tcPr>
            <w:tcW w:w="2403" w:type="pct"/>
            <w:shd w:val="clear" w:color="auto" w:fill="auto"/>
            <w:vAlign w:val="center"/>
          </w:tcPr>
          <w:p w14:paraId="7B94AA93" w14:textId="77777777" w:rsidR="00BA56AD" w:rsidRPr="00520017" w:rsidRDefault="00BA56AD" w:rsidP="00FB5615">
            <w:pPr>
              <w:jc w:val="center"/>
              <w:rPr>
                <w:color w:val="000000"/>
                <w:sz w:val="20"/>
                <w:szCs w:val="16"/>
              </w:rPr>
            </w:pPr>
            <w:r w:rsidRPr="00520017">
              <w:rPr>
                <w:color w:val="000000"/>
                <w:sz w:val="20"/>
                <w:szCs w:val="16"/>
              </w:rPr>
              <w:t>2</w:t>
            </w:r>
            <w:r>
              <w:rPr>
                <w:color w:val="000000"/>
                <w:sz w:val="20"/>
                <w:szCs w:val="16"/>
              </w:rPr>
              <w:t>.</w:t>
            </w:r>
            <w:r w:rsidRPr="00520017">
              <w:rPr>
                <w:color w:val="000000"/>
                <w:sz w:val="20"/>
                <w:szCs w:val="16"/>
              </w:rPr>
              <w:t>811</w:t>
            </w:r>
            <w:r>
              <w:rPr>
                <w:color w:val="000000"/>
                <w:sz w:val="20"/>
                <w:szCs w:val="16"/>
              </w:rPr>
              <w:t>.</w:t>
            </w:r>
            <w:r w:rsidRPr="00520017">
              <w:rPr>
                <w:color w:val="000000"/>
                <w:sz w:val="20"/>
                <w:szCs w:val="16"/>
              </w:rPr>
              <w:t>906</w:t>
            </w:r>
            <w:r>
              <w:rPr>
                <w:color w:val="000000"/>
                <w:sz w:val="20"/>
                <w:szCs w:val="16"/>
              </w:rPr>
              <w:t>.</w:t>
            </w:r>
            <w:r w:rsidRPr="00520017">
              <w:rPr>
                <w:color w:val="000000"/>
                <w:sz w:val="20"/>
                <w:szCs w:val="16"/>
              </w:rPr>
              <w:t>423</w:t>
            </w:r>
          </w:p>
        </w:tc>
      </w:tr>
      <w:tr w:rsidR="00BA56AD" w:rsidRPr="009714C5" w14:paraId="45ED21F9" w14:textId="77777777" w:rsidTr="00FB5615">
        <w:trPr>
          <w:trHeight w:val="221"/>
          <w:jc w:val="center"/>
        </w:trPr>
        <w:tc>
          <w:tcPr>
            <w:tcW w:w="2596" w:type="pct"/>
            <w:shd w:val="clear" w:color="auto" w:fill="auto"/>
            <w:hideMark/>
          </w:tcPr>
          <w:p w14:paraId="4A9BA030" w14:textId="77777777" w:rsidR="00BA56AD" w:rsidRPr="009714C5" w:rsidRDefault="00BA56AD" w:rsidP="00FB5615">
            <w:pPr>
              <w:rPr>
                <w:rFonts w:cs="Arial"/>
                <w:b/>
                <w:bCs/>
                <w:color w:val="000000"/>
                <w:sz w:val="20"/>
                <w:lang w:eastAsia="es-CO"/>
              </w:rPr>
            </w:pPr>
            <w:r w:rsidRPr="009714C5">
              <w:rPr>
                <w:rFonts w:cs="Arial"/>
                <w:noProof/>
                <w:sz w:val="20"/>
                <w:lang w:val="es-CO" w:eastAsia="es-CO"/>
              </w:rPr>
              <w:drawing>
                <wp:inline distT="0" distB="0" distL="0" distR="0" wp14:anchorId="284A062A" wp14:editId="3ADB3C9E">
                  <wp:extent cx="836930" cy="160020"/>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6930" cy="160020"/>
                          </a:xfrm>
                          <a:prstGeom prst="rect">
                            <a:avLst/>
                          </a:prstGeom>
                          <a:noFill/>
                          <a:ln>
                            <a:noFill/>
                          </a:ln>
                        </pic:spPr>
                      </pic:pic>
                    </a:graphicData>
                  </a:graphic>
                </wp:inline>
              </w:drawing>
            </w:r>
          </w:p>
        </w:tc>
        <w:tc>
          <w:tcPr>
            <w:tcW w:w="2403" w:type="pct"/>
            <w:shd w:val="clear" w:color="auto" w:fill="auto"/>
            <w:vAlign w:val="center"/>
          </w:tcPr>
          <w:p w14:paraId="4F5D35FE" w14:textId="77777777" w:rsidR="00BA56AD" w:rsidRPr="00520017" w:rsidRDefault="00BA56AD" w:rsidP="00FB5615">
            <w:pPr>
              <w:jc w:val="center"/>
              <w:rPr>
                <w:color w:val="000000"/>
                <w:sz w:val="20"/>
                <w:szCs w:val="16"/>
              </w:rPr>
            </w:pPr>
            <w:r w:rsidRPr="00520017">
              <w:rPr>
                <w:color w:val="000000"/>
                <w:sz w:val="20"/>
                <w:szCs w:val="16"/>
              </w:rPr>
              <w:t>62</w:t>
            </w:r>
            <w:r>
              <w:rPr>
                <w:color w:val="000000"/>
                <w:sz w:val="20"/>
                <w:szCs w:val="16"/>
              </w:rPr>
              <w:t>.</w:t>
            </w:r>
            <w:r w:rsidRPr="00520017">
              <w:rPr>
                <w:color w:val="000000"/>
                <w:sz w:val="20"/>
                <w:szCs w:val="16"/>
              </w:rPr>
              <w:t>317</w:t>
            </w:r>
            <w:r>
              <w:rPr>
                <w:color w:val="000000"/>
                <w:sz w:val="20"/>
                <w:szCs w:val="16"/>
              </w:rPr>
              <w:t>.</w:t>
            </w:r>
            <w:r w:rsidRPr="00520017">
              <w:rPr>
                <w:color w:val="000000"/>
                <w:sz w:val="20"/>
                <w:szCs w:val="16"/>
              </w:rPr>
              <w:t>066</w:t>
            </w:r>
          </w:p>
        </w:tc>
      </w:tr>
      <w:tr w:rsidR="00BA56AD" w:rsidRPr="009714C5" w14:paraId="5006826E" w14:textId="77777777" w:rsidTr="00FB5615">
        <w:trPr>
          <w:trHeight w:val="221"/>
          <w:jc w:val="center"/>
        </w:trPr>
        <w:tc>
          <w:tcPr>
            <w:tcW w:w="2596" w:type="pct"/>
            <w:shd w:val="clear" w:color="auto" w:fill="auto"/>
            <w:hideMark/>
          </w:tcPr>
          <w:p w14:paraId="353D18FC" w14:textId="77777777" w:rsidR="00BA56AD" w:rsidRPr="009714C5" w:rsidRDefault="00BA56AD" w:rsidP="00FB5615">
            <w:pPr>
              <w:rPr>
                <w:rFonts w:cs="Arial"/>
                <w:b/>
                <w:bCs/>
                <w:color w:val="000000"/>
                <w:sz w:val="20"/>
                <w:lang w:eastAsia="es-CO"/>
              </w:rPr>
            </w:pPr>
            <w:r w:rsidRPr="009714C5">
              <w:rPr>
                <w:rFonts w:cs="Arial"/>
                <w:noProof/>
                <w:sz w:val="20"/>
                <w:lang w:val="es-CO" w:eastAsia="es-CO"/>
              </w:rPr>
              <w:drawing>
                <wp:inline distT="0" distB="0" distL="0" distR="0" wp14:anchorId="07B15E8E" wp14:editId="3A85294E">
                  <wp:extent cx="694690" cy="1543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4690" cy="154305"/>
                          </a:xfrm>
                          <a:prstGeom prst="rect">
                            <a:avLst/>
                          </a:prstGeom>
                          <a:noFill/>
                          <a:ln>
                            <a:noFill/>
                          </a:ln>
                        </pic:spPr>
                      </pic:pic>
                    </a:graphicData>
                  </a:graphic>
                </wp:inline>
              </w:drawing>
            </w:r>
          </w:p>
        </w:tc>
        <w:tc>
          <w:tcPr>
            <w:tcW w:w="2403" w:type="pct"/>
            <w:shd w:val="clear" w:color="auto" w:fill="auto"/>
            <w:vAlign w:val="center"/>
          </w:tcPr>
          <w:p w14:paraId="03F458FD" w14:textId="77777777" w:rsidR="00BA56AD" w:rsidRPr="00520017" w:rsidRDefault="00BA56AD" w:rsidP="00FB5615">
            <w:pPr>
              <w:jc w:val="center"/>
              <w:rPr>
                <w:color w:val="000000"/>
                <w:sz w:val="20"/>
                <w:szCs w:val="16"/>
              </w:rPr>
            </w:pPr>
            <w:r w:rsidRPr="00520017">
              <w:rPr>
                <w:color w:val="000000"/>
                <w:sz w:val="20"/>
                <w:szCs w:val="16"/>
              </w:rPr>
              <w:t>6</w:t>
            </w:r>
            <w:r>
              <w:rPr>
                <w:color w:val="000000"/>
                <w:sz w:val="20"/>
                <w:szCs w:val="16"/>
              </w:rPr>
              <w:t>.</w:t>
            </w:r>
            <w:r w:rsidRPr="00520017">
              <w:rPr>
                <w:color w:val="000000"/>
                <w:sz w:val="20"/>
                <w:szCs w:val="16"/>
              </w:rPr>
              <w:t>067</w:t>
            </w:r>
            <w:r>
              <w:rPr>
                <w:color w:val="000000"/>
                <w:sz w:val="20"/>
                <w:szCs w:val="16"/>
              </w:rPr>
              <w:t>.</w:t>
            </w:r>
            <w:r w:rsidRPr="00520017">
              <w:rPr>
                <w:color w:val="000000"/>
                <w:sz w:val="20"/>
                <w:szCs w:val="16"/>
              </w:rPr>
              <w:t>125</w:t>
            </w:r>
          </w:p>
        </w:tc>
      </w:tr>
      <w:tr w:rsidR="00BA56AD" w:rsidRPr="009714C5" w14:paraId="0D313B3D" w14:textId="77777777" w:rsidTr="00FB5615">
        <w:trPr>
          <w:trHeight w:val="221"/>
          <w:jc w:val="center"/>
        </w:trPr>
        <w:tc>
          <w:tcPr>
            <w:tcW w:w="2596" w:type="pct"/>
            <w:shd w:val="clear" w:color="auto" w:fill="auto"/>
            <w:hideMark/>
          </w:tcPr>
          <w:p w14:paraId="24C6895C" w14:textId="77777777" w:rsidR="00BA56AD" w:rsidRPr="009714C5" w:rsidRDefault="00BA56AD" w:rsidP="00FB5615">
            <w:pPr>
              <w:rPr>
                <w:rFonts w:cs="Arial"/>
                <w:b/>
                <w:bCs/>
                <w:color w:val="000000"/>
                <w:sz w:val="16"/>
                <w:lang w:eastAsia="es-CO"/>
              </w:rPr>
            </w:pPr>
            <w:r w:rsidRPr="009714C5">
              <w:rPr>
                <w:rFonts w:cs="Arial"/>
                <w:noProof/>
                <w:sz w:val="16"/>
                <w:lang w:val="es-CO" w:eastAsia="es-CO"/>
              </w:rPr>
              <w:drawing>
                <wp:inline distT="0" distB="0" distL="0" distR="0" wp14:anchorId="218E6643" wp14:editId="6EF5D268">
                  <wp:extent cx="836930" cy="154305"/>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6930" cy="154305"/>
                          </a:xfrm>
                          <a:prstGeom prst="rect">
                            <a:avLst/>
                          </a:prstGeom>
                          <a:noFill/>
                          <a:ln>
                            <a:noFill/>
                          </a:ln>
                        </pic:spPr>
                      </pic:pic>
                    </a:graphicData>
                  </a:graphic>
                </wp:inline>
              </w:drawing>
            </w:r>
          </w:p>
        </w:tc>
        <w:tc>
          <w:tcPr>
            <w:tcW w:w="2403" w:type="pct"/>
            <w:shd w:val="clear" w:color="auto" w:fill="auto"/>
            <w:vAlign w:val="center"/>
          </w:tcPr>
          <w:p w14:paraId="6F904844" w14:textId="77777777" w:rsidR="00BA56AD" w:rsidRPr="00520017" w:rsidRDefault="00BA56AD" w:rsidP="00FB5615">
            <w:pPr>
              <w:jc w:val="center"/>
              <w:rPr>
                <w:color w:val="000000"/>
                <w:sz w:val="20"/>
                <w:szCs w:val="16"/>
              </w:rPr>
            </w:pPr>
            <w:r w:rsidRPr="00520017">
              <w:rPr>
                <w:color w:val="000000"/>
                <w:sz w:val="20"/>
                <w:szCs w:val="16"/>
              </w:rPr>
              <w:t>5</w:t>
            </w:r>
            <w:r>
              <w:rPr>
                <w:color w:val="000000"/>
                <w:sz w:val="20"/>
                <w:szCs w:val="16"/>
              </w:rPr>
              <w:t>.</w:t>
            </w:r>
            <w:r w:rsidRPr="00520017">
              <w:rPr>
                <w:color w:val="000000"/>
                <w:sz w:val="20"/>
                <w:szCs w:val="16"/>
              </w:rPr>
              <w:t>909</w:t>
            </w:r>
            <w:r>
              <w:rPr>
                <w:color w:val="000000"/>
                <w:sz w:val="20"/>
                <w:szCs w:val="16"/>
              </w:rPr>
              <w:t>.</w:t>
            </w:r>
            <w:r w:rsidRPr="00520017">
              <w:rPr>
                <w:color w:val="000000"/>
                <w:sz w:val="20"/>
                <w:szCs w:val="16"/>
              </w:rPr>
              <w:t>437</w:t>
            </w:r>
          </w:p>
        </w:tc>
      </w:tr>
    </w:tbl>
    <w:p w14:paraId="34BA413E" w14:textId="77777777" w:rsidR="00BA56AD" w:rsidRPr="009714C5" w:rsidRDefault="00BA56AD" w:rsidP="00BA56AD">
      <w:pPr>
        <w:widowControl w:val="0"/>
        <w:adjustRightInd w:val="0"/>
        <w:spacing w:after="240"/>
        <w:ind w:right="23"/>
        <w:jc w:val="center"/>
        <w:rPr>
          <w:rFonts w:cs="Arial"/>
          <w:sz w:val="16"/>
        </w:rPr>
      </w:pPr>
      <w:r w:rsidRPr="009714C5">
        <w:rPr>
          <w:rFonts w:cs="Arial"/>
          <w:sz w:val="16"/>
        </w:rPr>
        <w:t>Cifras en pesos del 31 de diciembre de 2017.</w:t>
      </w:r>
    </w:p>
    <w:p w14:paraId="6865B632" w14:textId="77777777" w:rsidR="00BA56AD" w:rsidRDefault="00BA56AD" w:rsidP="00BA56AD">
      <w:pPr>
        <w:tabs>
          <w:tab w:val="left" w:pos="426"/>
        </w:tabs>
        <w:rPr>
          <w:spacing w:val="-3"/>
          <w:szCs w:val="20"/>
          <w:lang w:val="es-ES_tradnl"/>
        </w:rPr>
      </w:pPr>
    </w:p>
    <w:p w14:paraId="210B91BB" w14:textId="2E4F9BCD" w:rsidR="00BA56AD" w:rsidRPr="00BA56AD" w:rsidRDefault="00BA56AD" w:rsidP="00BA56AD">
      <w:pPr>
        <w:ind w:left="360" w:hanging="360"/>
        <w:rPr>
          <w:b/>
        </w:rPr>
      </w:pPr>
      <w:r>
        <w:rPr>
          <w:b/>
        </w:rPr>
        <w:t>4.1.2.</w:t>
      </w:r>
      <w:r w:rsidRPr="00BA56AD">
        <w:rPr>
          <w:b/>
        </w:rPr>
        <w:t xml:space="preserve">  Gastos de AOM</w:t>
      </w:r>
    </w:p>
    <w:p w14:paraId="53E2662F" w14:textId="77777777" w:rsidR="00BA56AD" w:rsidRDefault="00BA56AD" w:rsidP="00BA56AD">
      <w:pPr>
        <w:spacing w:before="240" w:after="240"/>
        <w:rPr>
          <w:shd w:val="clear" w:color="auto" w:fill="FFFFFF"/>
        </w:rPr>
      </w:pPr>
      <w:r w:rsidRPr="00956B5A">
        <w:rPr>
          <w:shd w:val="clear" w:color="auto" w:fill="FFFFFF"/>
        </w:rPr>
        <w:t xml:space="preserve">El recurrente manifiesta en el recurso la modificación de los cargos de AOM aprobados </w:t>
      </w:r>
      <w:r>
        <w:rPr>
          <w:shd w:val="clear" w:color="auto" w:fill="FFFFFF"/>
        </w:rPr>
        <w:t>por el ajuste de la valoración de la Base Regulatoria de Activos y de la proyección de Gastos de AOM a pesos de la fecha base (31 de diciembre de 2017), así</w:t>
      </w:r>
      <w:r w:rsidRPr="00956B5A">
        <w:rPr>
          <w:shd w:val="clear" w:color="auto" w:fill="FFFFFF"/>
        </w:rPr>
        <w:t xml:space="preserve"> </w:t>
      </w:r>
      <w:r>
        <w:rPr>
          <w:shd w:val="clear" w:color="auto" w:fill="FFFFFF"/>
        </w:rPr>
        <w:t xml:space="preserve">como </w:t>
      </w:r>
      <w:r w:rsidRPr="00956B5A">
        <w:rPr>
          <w:shd w:val="clear" w:color="auto" w:fill="FFFFFF"/>
        </w:rPr>
        <w:t xml:space="preserve">la modificación del </w:t>
      </w:r>
      <w:r>
        <w:rPr>
          <w:shd w:val="clear" w:color="auto" w:fill="FFFFFF"/>
        </w:rPr>
        <w:t>p</w:t>
      </w:r>
      <w:r w:rsidRPr="00956B5A">
        <w:rPr>
          <w:shd w:val="clear" w:color="auto" w:fill="FFFFFF"/>
        </w:rPr>
        <w:t xml:space="preserve">orcentaje de </w:t>
      </w:r>
      <w:r>
        <w:rPr>
          <w:shd w:val="clear" w:color="auto" w:fill="FFFFFF"/>
        </w:rPr>
        <w:t>f</w:t>
      </w:r>
      <w:r w:rsidRPr="00956B5A">
        <w:rPr>
          <w:shd w:val="clear" w:color="auto" w:fill="FFFFFF"/>
        </w:rPr>
        <w:t xml:space="preserve">actor de </w:t>
      </w:r>
      <w:r>
        <w:rPr>
          <w:shd w:val="clear" w:color="auto" w:fill="FFFFFF"/>
        </w:rPr>
        <w:t>a</w:t>
      </w:r>
      <w:r w:rsidRPr="00956B5A">
        <w:rPr>
          <w:shd w:val="clear" w:color="auto" w:fill="FFFFFF"/>
        </w:rPr>
        <w:t>juste de los cargos de AOM (%FA</w:t>
      </w:r>
      <w:r w:rsidRPr="00956B5A">
        <w:rPr>
          <w:shd w:val="clear" w:color="auto" w:fill="FFFFFF"/>
          <w:vertAlign w:val="subscript"/>
        </w:rPr>
        <w:t>proyecciónAOM</w:t>
      </w:r>
      <w:r w:rsidRPr="00956B5A">
        <w:rPr>
          <w:shd w:val="clear" w:color="auto" w:fill="FFFFFF"/>
        </w:rPr>
        <w:t>), el cual corresponde al 63,33%</w:t>
      </w:r>
      <w:r>
        <w:rPr>
          <w:shd w:val="clear" w:color="auto" w:fill="FFFFFF"/>
        </w:rPr>
        <w:t>.</w:t>
      </w:r>
    </w:p>
    <w:p w14:paraId="2F76FC35" w14:textId="77777777" w:rsidR="00BA56AD" w:rsidRPr="006D5452" w:rsidRDefault="00BA56AD" w:rsidP="00BA56AD">
      <w:pPr>
        <w:spacing w:before="240" w:after="240"/>
        <w:rPr>
          <w:shd w:val="clear" w:color="auto" w:fill="FFFFFF"/>
        </w:rPr>
      </w:pPr>
      <w:r>
        <w:rPr>
          <w:shd w:val="clear" w:color="auto" w:fill="FFFFFF"/>
        </w:rPr>
        <w:t xml:space="preserve">La empresa ALCANOS DE COLOMBIA S.A. E.S.P. en su solicitud tarifaria radicada bajo el número E-2018-000519 de enero 22 de 2018 presentó la siguiente proyección </w:t>
      </w:r>
      <w:r w:rsidRPr="006D5452">
        <w:rPr>
          <w:shd w:val="clear" w:color="auto" w:fill="FFFFFF"/>
        </w:rPr>
        <w:t>para los próximos 20 años</w:t>
      </w:r>
      <w:r>
        <w:rPr>
          <w:shd w:val="clear" w:color="auto" w:fill="FFFFFF"/>
        </w:rPr>
        <w:t xml:space="preserve"> de los </w:t>
      </w:r>
      <w:r w:rsidRPr="006D5452">
        <w:rPr>
          <w:shd w:val="clear" w:color="auto" w:fill="FFFFFF"/>
        </w:rPr>
        <w:t xml:space="preserve">gastos de Administración, Operación y Mantenimiento para las actividades de distribución y comercialización:  </w:t>
      </w:r>
    </w:p>
    <w:p w14:paraId="5B9DC57E" w14:textId="77777777" w:rsidR="00055B68" w:rsidRDefault="00055B68" w:rsidP="00BA56AD">
      <w:pPr>
        <w:jc w:val="center"/>
        <w:rPr>
          <w:rFonts w:cs="Arial"/>
          <w:b/>
          <w:sz w:val="20"/>
        </w:rPr>
      </w:pPr>
    </w:p>
    <w:p w14:paraId="02B63CA6" w14:textId="22EF9116" w:rsidR="00BA56AD" w:rsidRPr="006D5452" w:rsidRDefault="00BA56AD" w:rsidP="00BA56AD">
      <w:pPr>
        <w:jc w:val="center"/>
        <w:rPr>
          <w:rFonts w:cs="Arial"/>
          <w:b/>
          <w:sz w:val="20"/>
        </w:rPr>
      </w:pPr>
      <w:r w:rsidRPr="006D5452">
        <w:rPr>
          <w:rFonts w:cs="Arial"/>
          <w:b/>
          <w:sz w:val="20"/>
        </w:rPr>
        <w:t>Proyección de Gastos de AO&amp;M (Distribución +</w:t>
      </w:r>
      <w:r>
        <w:rPr>
          <w:rFonts w:cs="Arial"/>
          <w:b/>
          <w:sz w:val="20"/>
        </w:rPr>
        <w:t xml:space="preserve"> </w:t>
      </w:r>
      <w:r w:rsidRPr="006D5452">
        <w:rPr>
          <w:rFonts w:cs="Arial"/>
          <w:b/>
          <w:sz w:val="20"/>
        </w:rPr>
        <w:t>Comercialización)</w:t>
      </w:r>
    </w:p>
    <w:p w14:paraId="2441530B" w14:textId="77777777" w:rsidR="00BA56AD" w:rsidRPr="006D5452" w:rsidRDefault="00BA56AD" w:rsidP="00BA56AD">
      <w:pPr>
        <w:jc w:val="center"/>
        <w:rPr>
          <w:rFonts w:ascii="Arial" w:hAnsi="Arial" w:cs="Arial"/>
          <w:sz w:val="20"/>
        </w:rPr>
      </w:pPr>
    </w:p>
    <w:tbl>
      <w:tblPr>
        <w:tblW w:w="3440" w:type="dxa"/>
        <w:jc w:val="center"/>
        <w:tblCellMar>
          <w:left w:w="70" w:type="dxa"/>
          <w:right w:w="70" w:type="dxa"/>
        </w:tblCellMar>
        <w:tblLook w:val="04A0" w:firstRow="1" w:lastRow="0" w:firstColumn="1" w:lastColumn="0" w:noHBand="0" w:noVBand="1"/>
      </w:tblPr>
      <w:tblGrid>
        <w:gridCol w:w="1200"/>
        <w:gridCol w:w="2240"/>
      </w:tblGrid>
      <w:tr w:rsidR="00BA56AD" w:rsidRPr="006D5452" w14:paraId="7BE4B06C" w14:textId="77777777" w:rsidTr="00FB5615">
        <w:trPr>
          <w:trHeight w:val="630"/>
          <w:tblHeader/>
          <w:jc w:val="center"/>
        </w:trPr>
        <w:tc>
          <w:tcPr>
            <w:tcW w:w="1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1BA350" w14:textId="77777777" w:rsidR="00BA56AD" w:rsidRPr="006D5452" w:rsidRDefault="00BA56AD" w:rsidP="00FB5615">
            <w:pPr>
              <w:jc w:val="center"/>
              <w:rPr>
                <w:rFonts w:cs="Arial"/>
                <w:b/>
                <w:bCs/>
                <w:sz w:val="20"/>
                <w:szCs w:val="20"/>
                <w:lang w:eastAsia="es-CO"/>
              </w:rPr>
            </w:pPr>
            <w:r w:rsidRPr="006D5452">
              <w:rPr>
                <w:rFonts w:cs="Arial"/>
                <w:b/>
                <w:bCs/>
                <w:sz w:val="20"/>
                <w:szCs w:val="20"/>
                <w:lang w:eastAsia="es-CO"/>
              </w:rPr>
              <w:t>AÑO</w:t>
            </w:r>
          </w:p>
        </w:tc>
        <w:tc>
          <w:tcPr>
            <w:tcW w:w="2240" w:type="dxa"/>
            <w:tcBorders>
              <w:top w:val="single" w:sz="4" w:space="0" w:color="auto"/>
              <w:left w:val="nil"/>
              <w:bottom w:val="single" w:sz="4" w:space="0" w:color="auto"/>
              <w:right w:val="single" w:sz="4" w:space="0" w:color="auto"/>
            </w:tcBorders>
            <w:shd w:val="clear" w:color="auto" w:fill="D9D9D9"/>
            <w:vAlign w:val="center"/>
            <w:hideMark/>
          </w:tcPr>
          <w:p w14:paraId="34552E7F" w14:textId="77777777" w:rsidR="00BA56AD" w:rsidRPr="006D5452" w:rsidRDefault="00BA56AD" w:rsidP="00FB5615">
            <w:pPr>
              <w:jc w:val="center"/>
              <w:rPr>
                <w:rFonts w:cs="Arial"/>
                <w:b/>
                <w:bCs/>
                <w:sz w:val="20"/>
                <w:szCs w:val="20"/>
                <w:lang w:eastAsia="es-CO"/>
              </w:rPr>
            </w:pPr>
            <w:r w:rsidRPr="006D5452">
              <w:rPr>
                <w:rFonts w:cs="Arial"/>
                <w:b/>
                <w:bCs/>
                <w:sz w:val="20"/>
                <w:szCs w:val="20"/>
                <w:lang w:eastAsia="es-CO"/>
              </w:rPr>
              <w:t xml:space="preserve">GASTOS AOM </w:t>
            </w:r>
          </w:p>
          <w:p w14:paraId="42E5907C" w14:textId="77777777" w:rsidR="00BA56AD" w:rsidRPr="006D5452" w:rsidRDefault="00BA56AD" w:rsidP="00FB5615">
            <w:pPr>
              <w:jc w:val="center"/>
              <w:rPr>
                <w:rFonts w:cs="Arial"/>
                <w:b/>
                <w:bCs/>
                <w:sz w:val="20"/>
                <w:szCs w:val="20"/>
                <w:lang w:eastAsia="es-CO"/>
              </w:rPr>
            </w:pPr>
            <w:r w:rsidRPr="006D5452">
              <w:rPr>
                <w:rFonts w:cs="Arial"/>
                <w:b/>
                <w:bCs/>
                <w:sz w:val="20"/>
                <w:szCs w:val="20"/>
                <w:lang w:eastAsia="es-CO"/>
              </w:rPr>
              <w:t>$ Dic 2017</w:t>
            </w:r>
          </w:p>
        </w:tc>
      </w:tr>
      <w:tr w:rsidR="00BA56AD" w:rsidRPr="006D5452" w14:paraId="7359B6C5" w14:textId="77777777" w:rsidTr="00FB5615">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1151A"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w:t>
            </w:r>
          </w:p>
        </w:tc>
        <w:tc>
          <w:tcPr>
            <w:tcW w:w="2240" w:type="dxa"/>
            <w:tcBorders>
              <w:top w:val="single" w:sz="4" w:space="0" w:color="auto"/>
              <w:left w:val="nil"/>
              <w:bottom w:val="single" w:sz="4" w:space="0" w:color="auto"/>
              <w:right w:val="single" w:sz="4" w:space="0" w:color="auto"/>
            </w:tcBorders>
            <w:shd w:val="clear" w:color="auto" w:fill="auto"/>
            <w:noWrap/>
            <w:vAlign w:val="bottom"/>
          </w:tcPr>
          <w:p w14:paraId="34A32F48" w14:textId="77777777" w:rsidR="00BA56AD" w:rsidRPr="006D5452" w:rsidRDefault="00BA56AD" w:rsidP="00FB5615">
            <w:pPr>
              <w:jc w:val="center"/>
              <w:rPr>
                <w:rFonts w:cs="Arial"/>
                <w:color w:val="000000"/>
                <w:sz w:val="20"/>
                <w:szCs w:val="20"/>
                <w:lang w:eastAsia="es-CO"/>
              </w:rPr>
            </w:pPr>
            <w:r w:rsidRPr="006D5452">
              <w:rPr>
                <w:rFonts w:cs="Arial"/>
                <w:color w:val="000000"/>
                <w:sz w:val="20"/>
                <w:szCs w:val="20"/>
              </w:rPr>
              <w:t>496.911.795</w:t>
            </w:r>
          </w:p>
        </w:tc>
      </w:tr>
      <w:tr w:rsidR="00BA56AD" w:rsidRPr="006D5452" w14:paraId="6C2FF5D7"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C586B2"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2</w:t>
            </w:r>
          </w:p>
        </w:tc>
        <w:tc>
          <w:tcPr>
            <w:tcW w:w="2240" w:type="dxa"/>
            <w:tcBorders>
              <w:top w:val="nil"/>
              <w:left w:val="nil"/>
              <w:bottom w:val="single" w:sz="4" w:space="0" w:color="auto"/>
              <w:right w:val="single" w:sz="4" w:space="0" w:color="auto"/>
            </w:tcBorders>
            <w:shd w:val="clear" w:color="auto" w:fill="auto"/>
            <w:noWrap/>
            <w:vAlign w:val="bottom"/>
          </w:tcPr>
          <w:p w14:paraId="5BCD407E" w14:textId="77777777" w:rsidR="00BA56AD" w:rsidRPr="006D5452" w:rsidRDefault="00BA56AD" w:rsidP="00FB5615">
            <w:pPr>
              <w:jc w:val="center"/>
              <w:rPr>
                <w:rFonts w:cs="Arial"/>
                <w:color w:val="000000"/>
                <w:sz w:val="20"/>
                <w:szCs w:val="20"/>
              </w:rPr>
            </w:pPr>
            <w:r w:rsidRPr="006D5452">
              <w:rPr>
                <w:rFonts w:cs="Arial"/>
                <w:color w:val="000000"/>
                <w:sz w:val="20"/>
                <w:szCs w:val="20"/>
              </w:rPr>
              <w:t>507.346.943</w:t>
            </w:r>
          </w:p>
        </w:tc>
      </w:tr>
      <w:tr w:rsidR="00BA56AD" w:rsidRPr="006D5452" w14:paraId="30258DED"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6F731AB"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3</w:t>
            </w:r>
          </w:p>
        </w:tc>
        <w:tc>
          <w:tcPr>
            <w:tcW w:w="2240" w:type="dxa"/>
            <w:tcBorders>
              <w:top w:val="nil"/>
              <w:left w:val="nil"/>
              <w:bottom w:val="single" w:sz="4" w:space="0" w:color="auto"/>
              <w:right w:val="single" w:sz="4" w:space="0" w:color="auto"/>
            </w:tcBorders>
            <w:shd w:val="clear" w:color="auto" w:fill="auto"/>
            <w:noWrap/>
            <w:vAlign w:val="bottom"/>
          </w:tcPr>
          <w:p w14:paraId="54392AA3" w14:textId="77777777" w:rsidR="00BA56AD" w:rsidRPr="006D5452" w:rsidRDefault="00BA56AD" w:rsidP="00FB5615">
            <w:pPr>
              <w:jc w:val="center"/>
              <w:rPr>
                <w:rFonts w:cs="Arial"/>
                <w:color w:val="000000"/>
                <w:sz w:val="20"/>
                <w:szCs w:val="20"/>
              </w:rPr>
            </w:pPr>
            <w:r w:rsidRPr="006D5452">
              <w:rPr>
                <w:rFonts w:cs="Arial"/>
                <w:color w:val="000000"/>
                <w:sz w:val="20"/>
                <w:szCs w:val="20"/>
              </w:rPr>
              <w:t>518.001.229</w:t>
            </w:r>
          </w:p>
        </w:tc>
      </w:tr>
      <w:tr w:rsidR="00BA56AD" w:rsidRPr="006D5452" w14:paraId="0EE6360F"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BC2875A"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4</w:t>
            </w:r>
          </w:p>
        </w:tc>
        <w:tc>
          <w:tcPr>
            <w:tcW w:w="2240" w:type="dxa"/>
            <w:tcBorders>
              <w:top w:val="nil"/>
              <w:left w:val="nil"/>
              <w:bottom w:val="single" w:sz="4" w:space="0" w:color="auto"/>
              <w:right w:val="single" w:sz="4" w:space="0" w:color="auto"/>
            </w:tcBorders>
            <w:shd w:val="clear" w:color="auto" w:fill="auto"/>
            <w:noWrap/>
            <w:vAlign w:val="bottom"/>
          </w:tcPr>
          <w:p w14:paraId="60CF61C2" w14:textId="77777777" w:rsidR="00BA56AD" w:rsidRPr="006D5452" w:rsidRDefault="00BA56AD" w:rsidP="00FB5615">
            <w:pPr>
              <w:jc w:val="center"/>
              <w:rPr>
                <w:rFonts w:cs="Arial"/>
                <w:color w:val="000000"/>
                <w:sz w:val="20"/>
                <w:szCs w:val="20"/>
              </w:rPr>
            </w:pPr>
            <w:r w:rsidRPr="006D5452">
              <w:rPr>
                <w:rFonts w:cs="Arial"/>
                <w:color w:val="000000"/>
                <w:sz w:val="20"/>
                <w:szCs w:val="20"/>
              </w:rPr>
              <w:t>528.879.254</w:t>
            </w:r>
          </w:p>
        </w:tc>
      </w:tr>
      <w:tr w:rsidR="00BA56AD" w:rsidRPr="006D5452" w14:paraId="7B6394A6"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0B4841D"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5</w:t>
            </w:r>
          </w:p>
        </w:tc>
        <w:tc>
          <w:tcPr>
            <w:tcW w:w="2240" w:type="dxa"/>
            <w:tcBorders>
              <w:top w:val="nil"/>
              <w:left w:val="nil"/>
              <w:bottom w:val="single" w:sz="4" w:space="0" w:color="auto"/>
              <w:right w:val="single" w:sz="4" w:space="0" w:color="auto"/>
            </w:tcBorders>
            <w:shd w:val="clear" w:color="auto" w:fill="auto"/>
            <w:noWrap/>
            <w:vAlign w:val="bottom"/>
          </w:tcPr>
          <w:p w14:paraId="183D1BE3" w14:textId="77777777" w:rsidR="00BA56AD" w:rsidRPr="006D5452" w:rsidRDefault="00BA56AD" w:rsidP="00FB5615">
            <w:pPr>
              <w:jc w:val="center"/>
              <w:rPr>
                <w:rFonts w:cs="Arial"/>
                <w:color w:val="000000"/>
                <w:sz w:val="20"/>
                <w:szCs w:val="20"/>
              </w:rPr>
            </w:pPr>
            <w:r w:rsidRPr="006D5452">
              <w:rPr>
                <w:rFonts w:cs="Arial"/>
                <w:color w:val="000000"/>
                <w:sz w:val="20"/>
                <w:szCs w:val="20"/>
              </w:rPr>
              <w:t>539.985.719</w:t>
            </w:r>
          </w:p>
        </w:tc>
      </w:tr>
      <w:tr w:rsidR="00BA56AD" w:rsidRPr="006D5452" w14:paraId="60BE5B48"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64AA58F"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6</w:t>
            </w:r>
          </w:p>
        </w:tc>
        <w:tc>
          <w:tcPr>
            <w:tcW w:w="2240" w:type="dxa"/>
            <w:tcBorders>
              <w:top w:val="nil"/>
              <w:left w:val="nil"/>
              <w:bottom w:val="single" w:sz="4" w:space="0" w:color="auto"/>
              <w:right w:val="single" w:sz="4" w:space="0" w:color="auto"/>
            </w:tcBorders>
            <w:shd w:val="clear" w:color="auto" w:fill="auto"/>
            <w:noWrap/>
            <w:vAlign w:val="bottom"/>
          </w:tcPr>
          <w:p w14:paraId="68BE1F29" w14:textId="77777777" w:rsidR="00BA56AD" w:rsidRPr="006D5452" w:rsidRDefault="00BA56AD" w:rsidP="00FB5615">
            <w:pPr>
              <w:jc w:val="center"/>
              <w:rPr>
                <w:rFonts w:cs="Arial"/>
                <w:color w:val="000000"/>
                <w:sz w:val="20"/>
                <w:szCs w:val="20"/>
              </w:rPr>
            </w:pPr>
            <w:r w:rsidRPr="006D5452">
              <w:rPr>
                <w:rFonts w:cs="Arial"/>
                <w:color w:val="000000"/>
                <w:sz w:val="20"/>
                <w:szCs w:val="20"/>
              </w:rPr>
              <w:t>551.325.419</w:t>
            </w:r>
          </w:p>
        </w:tc>
      </w:tr>
      <w:tr w:rsidR="00BA56AD" w:rsidRPr="006D5452" w14:paraId="3FDA396B"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C0CEDF"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7</w:t>
            </w:r>
          </w:p>
        </w:tc>
        <w:tc>
          <w:tcPr>
            <w:tcW w:w="2240" w:type="dxa"/>
            <w:tcBorders>
              <w:top w:val="nil"/>
              <w:left w:val="nil"/>
              <w:bottom w:val="single" w:sz="4" w:space="0" w:color="auto"/>
              <w:right w:val="single" w:sz="4" w:space="0" w:color="auto"/>
            </w:tcBorders>
            <w:shd w:val="clear" w:color="auto" w:fill="auto"/>
            <w:noWrap/>
            <w:vAlign w:val="bottom"/>
          </w:tcPr>
          <w:p w14:paraId="5CCD0233" w14:textId="77777777" w:rsidR="00BA56AD" w:rsidRPr="006D5452" w:rsidRDefault="00BA56AD" w:rsidP="00FB5615">
            <w:pPr>
              <w:jc w:val="center"/>
              <w:rPr>
                <w:rFonts w:cs="Arial"/>
                <w:color w:val="000000"/>
                <w:sz w:val="20"/>
                <w:szCs w:val="20"/>
              </w:rPr>
            </w:pPr>
            <w:r w:rsidRPr="006D5452">
              <w:rPr>
                <w:rFonts w:cs="Arial"/>
                <w:color w:val="000000"/>
                <w:sz w:val="20"/>
                <w:szCs w:val="20"/>
              </w:rPr>
              <w:t>562.903.253</w:t>
            </w:r>
          </w:p>
        </w:tc>
      </w:tr>
      <w:tr w:rsidR="00BA56AD" w:rsidRPr="006D5452" w14:paraId="5B9124B5"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D99504"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8</w:t>
            </w:r>
          </w:p>
        </w:tc>
        <w:tc>
          <w:tcPr>
            <w:tcW w:w="2240" w:type="dxa"/>
            <w:tcBorders>
              <w:top w:val="nil"/>
              <w:left w:val="nil"/>
              <w:bottom w:val="single" w:sz="4" w:space="0" w:color="auto"/>
              <w:right w:val="single" w:sz="4" w:space="0" w:color="auto"/>
            </w:tcBorders>
            <w:shd w:val="clear" w:color="auto" w:fill="auto"/>
            <w:noWrap/>
            <w:vAlign w:val="bottom"/>
          </w:tcPr>
          <w:p w14:paraId="03367773" w14:textId="77777777" w:rsidR="00BA56AD" w:rsidRPr="006D5452" w:rsidRDefault="00BA56AD" w:rsidP="00FB5615">
            <w:pPr>
              <w:jc w:val="center"/>
              <w:rPr>
                <w:rFonts w:cs="Arial"/>
                <w:color w:val="000000"/>
                <w:sz w:val="20"/>
                <w:szCs w:val="20"/>
              </w:rPr>
            </w:pPr>
            <w:r w:rsidRPr="006D5452">
              <w:rPr>
                <w:rFonts w:cs="Arial"/>
                <w:color w:val="000000"/>
                <w:sz w:val="20"/>
                <w:szCs w:val="20"/>
              </w:rPr>
              <w:t>574.724.221</w:t>
            </w:r>
          </w:p>
        </w:tc>
      </w:tr>
      <w:tr w:rsidR="00BA56AD" w:rsidRPr="006D5452" w14:paraId="77FC2029"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3A1ADB"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9</w:t>
            </w:r>
          </w:p>
        </w:tc>
        <w:tc>
          <w:tcPr>
            <w:tcW w:w="2240" w:type="dxa"/>
            <w:tcBorders>
              <w:top w:val="nil"/>
              <w:left w:val="nil"/>
              <w:bottom w:val="single" w:sz="4" w:space="0" w:color="auto"/>
              <w:right w:val="single" w:sz="4" w:space="0" w:color="auto"/>
            </w:tcBorders>
            <w:shd w:val="clear" w:color="auto" w:fill="auto"/>
            <w:noWrap/>
            <w:vAlign w:val="bottom"/>
          </w:tcPr>
          <w:p w14:paraId="52253201" w14:textId="77777777" w:rsidR="00BA56AD" w:rsidRPr="006D5452" w:rsidRDefault="00BA56AD" w:rsidP="00FB5615">
            <w:pPr>
              <w:jc w:val="center"/>
              <w:rPr>
                <w:rFonts w:cs="Arial"/>
                <w:color w:val="000000"/>
                <w:sz w:val="20"/>
                <w:szCs w:val="20"/>
              </w:rPr>
            </w:pPr>
            <w:r w:rsidRPr="006D5452">
              <w:rPr>
                <w:rFonts w:cs="Arial"/>
                <w:color w:val="000000"/>
                <w:sz w:val="20"/>
                <w:szCs w:val="20"/>
              </w:rPr>
              <w:t>586.793.430</w:t>
            </w:r>
          </w:p>
        </w:tc>
      </w:tr>
      <w:tr w:rsidR="00BA56AD" w:rsidRPr="006D5452" w14:paraId="2DFCB372"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E6AAFE5"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10</w:t>
            </w:r>
          </w:p>
        </w:tc>
        <w:tc>
          <w:tcPr>
            <w:tcW w:w="2240" w:type="dxa"/>
            <w:tcBorders>
              <w:top w:val="nil"/>
              <w:left w:val="nil"/>
              <w:bottom w:val="single" w:sz="4" w:space="0" w:color="auto"/>
              <w:right w:val="single" w:sz="4" w:space="0" w:color="auto"/>
            </w:tcBorders>
            <w:shd w:val="clear" w:color="auto" w:fill="auto"/>
            <w:noWrap/>
            <w:vAlign w:val="bottom"/>
          </w:tcPr>
          <w:p w14:paraId="7DEAA65A" w14:textId="77777777" w:rsidR="00BA56AD" w:rsidRPr="006D5452" w:rsidRDefault="00BA56AD" w:rsidP="00FB5615">
            <w:pPr>
              <w:jc w:val="center"/>
              <w:rPr>
                <w:rFonts w:cs="Arial"/>
                <w:color w:val="000000"/>
                <w:sz w:val="20"/>
                <w:szCs w:val="20"/>
              </w:rPr>
            </w:pPr>
            <w:r w:rsidRPr="006D5452">
              <w:rPr>
                <w:rFonts w:cs="Arial"/>
                <w:color w:val="000000"/>
                <w:sz w:val="20"/>
                <w:szCs w:val="20"/>
              </w:rPr>
              <w:t>599.116.092</w:t>
            </w:r>
          </w:p>
        </w:tc>
      </w:tr>
      <w:tr w:rsidR="00BA56AD" w:rsidRPr="006D5452" w14:paraId="1271A669"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27CF3DB"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11</w:t>
            </w:r>
          </w:p>
        </w:tc>
        <w:tc>
          <w:tcPr>
            <w:tcW w:w="2240" w:type="dxa"/>
            <w:tcBorders>
              <w:top w:val="nil"/>
              <w:left w:val="nil"/>
              <w:bottom w:val="single" w:sz="4" w:space="0" w:color="auto"/>
              <w:right w:val="single" w:sz="4" w:space="0" w:color="auto"/>
            </w:tcBorders>
            <w:shd w:val="clear" w:color="auto" w:fill="auto"/>
            <w:noWrap/>
            <w:vAlign w:val="bottom"/>
          </w:tcPr>
          <w:p w14:paraId="1EA3F16D" w14:textId="77777777" w:rsidR="00BA56AD" w:rsidRPr="006D5452" w:rsidRDefault="00BA56AD" w:rsidP="00FB5615">
            <w:pPr>
              <w:jc w:val="center"/>
              <w:rPr>
                <w:rFonts w:cs="Arial"/>
                <w:color w:val="000000"/>
                <w:sz w:val="20"/>
                <w:szCs w:val="20"/>
              </w:rPr>
            </w:pPr>
            <w:r w:rsidRPr="006D5452">
              <w:rPr>
                <w:rFonts w:cs="Arial"/>
                <w:color w:val="000000"/>
                <w:sz w:val="20"/>
                <w:szCs w:val="20"/>
              </w:rPr>
              <w:t>611.697.530</w:t>
            </w:r>
          </w:p>
        </w:tc>
      </w:tr>
      <w:tr w:rsidR="00BA56AD" w:rsidRPr="006D5452" w14:paraId="54494E2C"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D09CC62"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12</w:t>
            </w:r>
          </w:p>
        </w:tc>
        <w:tc>
          <w:tcPr>
            <w:tcW w:w="2240" w:type="dxa"/>
            <w:tcBorders>
              <w:top w:val="nil"/>
              <w:left w:val="nil"/>
              <w:bottom w:val="single" w:sz="4" w:space="0" w:color="auto"/>
              <w:right w:val="single" w:sz="4" w:space="0" w:color="auto"/>
            </w:tcBorders>
            <w:shd w:val="clear" w:color="auto" w:fill="auto"/>
            <w:noWrap/>
            <w:vAlign w:val="bottom"/>
          </w:tcPr>
          <w:p w14:paraId="6BF294F4" w14:textId="77777777" w:rsidR="00BA56AD" w:rsidRPr="006D5452" w:rsidRDefault="00BA56AD" w:rsidP="00FB5615">
            <w:pPr>
              <w:jc w:val="center"/>
              <w:rPr>
                <w:rFonts w:cs="Arial"/>
                <w:color w:val="000000"/>
                <w:sz w:val="20"/>
                <w:szCs w:val="20"/>
              </w:rPr>
            </w:pPr>
            <w:r w:rsidRPr="006D5452">
              <w:rPr>
                <w:rFonts w:cs="Arial"/>
                <w:color w:val="000000"/>
                <w:sz w:val="20"/>
                <w:szCs w:val="20"/>
              </w:rPr>
              <w:t>624.543.178</w:t>
            </w:r>
          </w:p>
        </w:tc>
      </w:tr>
      <w:tr w:rsidR="00BA56AD" w:rsidRPr="006D5452" w14:paraId="0AF1958F"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B48DFCE"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13</w:t>
            </w:r>
          </w:p>
        </w:tc>
        <w:tc>
          <w:tcPr>
            <w:tcW w:w="2240" w:type="dxa"/>
            <w:tcBorders>
              <w:top w:val="nil"/>
              <w:left w:val="nil"/>
              <w:bottom w:val="single" w:sz="4" w:space="0" w:color="auto"/>
              <w:right w:val="single" w:sz="4" w:space="0" w:color="auto"/>
            </w:tcBorders>
            <w:shd w:val="clear" w:color="auto" w:fill="auto"/>
            <w:noWrap/>
            <w:vAlign w:val="bottom"/>
          </w:tcPr>
          <w:p w14:paraId="55BE91F0" w14:textId="77777777" w:rsidR="00BA56AD" w:rsidRPr="006D5452" w:rsidRDefault="00BA56AD" w:rsidP="00FB5615">
            <w:pPr>
              <w:jc w:val="center"/>
              <w:rPr>
                <w:rFonts w:cs="Arial"/>
                <w:color w:val="000000"/>
                <w:sz w:val="20"/>
                <w:szCs w:val="20"/>
              </w:rPr>
            </w:pPr>
            <w:r w:rsidRPr="006D5452">
              <w:rPr>
                <w:rFonts w:cs="Arial"/>
                <w:color w:val="000000"/>
                <w:sz w:val="20"/>
                <w:szCs w:val="20"/>
              </w:rPr>
              <w:t>637.658.584</w:t>
            </w:r>
          </w:p>
        </w:tc>
      </w:tr>
      <w:tr w:rsidR="00BA56AD" w:rsidRPr="006D5452" w14:paraId="76B9897A"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1033B9B"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14</w:t>
            </w:r>
          </w:p>
        </w:tc>
        <w:tc>
          <w:tcPr>
            <w:tcW w:w="2240" w:type="dxa"/>
            <w:tcBorders>
              <w:top w:val="nil"/>
              <w:left w:val="nil"/>
              <w:bottom w:val="single" w:sz="4" w:space="0" w:color="auto"/>
              <w:right w:val="single" w:sz="4" w:space="0" w:color="auto"/>
            </w:tcBorders>
            <w:shd w:val="clear" w:color="auto" w:fill="auto"/>
            <w:noWrap/>
            <w:vAlign w:val="bottom"/>
          </w:tcPr>
          <w:p w14:paraId="24128D0A" w14:textId="77777777" w:rsidR="00BA56AD" w:rsidRPr="006D5452" w:rsidRDefault="00BA56AD" w:rsidP="00FB5615">
            <w:pPr>
              <w:jc w:val="center"/>
              <w:rPr>
                <w:rFonts w:cs="Arial"/>
                <w:color w:val="000000"/>
                <w:sz w:val="20"/>
                <w:szCs w:val="20"/>
              </w:rPr>
            </w:pPr>
            <w:r w:rsidRPr="006D5452">
              <w:rPr>
                <w:rFonts w:cs="Arial"/>
                <w:color w:val="000000"/>
                <w:sz w:val="20"/>
                <w:szCs w:val="20"/>
              </w:rPr>
              <w:t>651.049.415</w:t>
            </w:r>
          </w:p>
        </w:tc>
      </w:tr>
      <w:tr w:rsidR="00BA56AD" w:rsidRPr="006D5452" w14:paraId="7C36C75F"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6DC0D26"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15</w:t>
            </w:r>
          </w:p>
        </w:tc>
        <w:tc>
          <w:tcPr>
            <w:tcW w:w="2240" w:type="dxa"/>
            <w:tcBorders>
              <w:top w:val="nil"/>
              <w:left w:val="nil"/>
              <w:bottom w:val="single" w:sz="4" w:space="0" w:color="auto"/>
              <w:right w:val="single" w:sz="4" w:space="0" w:color="auto"/>
            </w:tcBorders>
            <w:shd w:val="clear" w:color="auto" w:fill="auto"/>
            <w:noWrap/>
            <w:vAlign w:val="bottom"/>
          </w:tcPr>
          <w:p w14:paraId="02F14027" w14:textId="77777777" w:rsidR="00BA56AD" w:rsidRPr="006D5452" w:rsidRDefault="00BA56AD" w:rsidP="00FB5615">
            <w:pPr>
              <w:jc w:val="center"/>
              <w:rPr>
                <w:rFonts w:cs="Arial"/>
                <w:color w:val="000000"/>
                <w:sz w:val="20"/>
                <w:szCs w:val="20"/>
              </w:rPr>
            </w:pPr>
            <w:r w:rsidRPr="006D5452">
              <w:rPr>
                <w:rFonts w:cs="Arial"/>
                <w:color w:val="000000"/>
                <w:sz w:val="20"/>
                <w:szCs w:val="20"/>
              </w:rPr>
              <w:t>664.721.452</w:t>
            </w:r>
          </w:p>
        </w:tc>
      </w:tr>
      <w:tr w:rsidR="00BA56AD" w:rsidRPr="006D5452" w14:paraId="6ECBBA8F"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C8B71FC"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16</w:t>
            </w:r>
          </w:p>
        </w:tc>
        <w:tc>
          <w:tcPr>
            <w:tcW w:w="2240" w:type="dxa"/>
            <w:tcBorders>
              <w:top w:val="nil"/>
              <w:left w:val="nil"/>
              <w:bottom w:val="single" w:sz="4" w:space="0" w:color="auto"/>
              <w:right w:val="single" w:sz="4" w:space="0" w:color="auto"/>
            </w:tcBorders>
            <w:shd w:val="clear" w:color="auto" w:fill="auto"/>
            <w:noWrap/>
            <w:vAlign w:val="bottom"/>
          </w:tcPr>
          <w:p w14:paraId="6CA0C5A8" w14:textId="77777777" w:rsidR="00BA56AD" w:rsidRPr="006D5452" w:rsidRDefault="00BA56AD" w:rsidP="00FB5615">
            <w:pPr>
              <w:jc w:val="center"/>
              <w:rPr>
                <w:rFonts w:cs="Arial"/>
                <w:color w:val="000000"/>
                <w:sz w:val="20"/>
                <w:szCs w:val="20"/>
              </w:rPr>
            </w:pPr>
            <w:r w:rsidRPr="006D5452">
              <w:rPr>
                <w:rFonts w:cs="Arial"/>
                <w:color w:val="000000"/>
                <w:sz w:val="20"/>
                <w:szCs w:val="20"/>
              </w:rPr>
              <w:t>678.680.603</w:t>
            </w:r>
          </w:p>
        </w:tc>
      </w:tr>
      <w:tr w:rsidR="00BA56AD" w:rsidRPr="006D5452" w14:paraId="032F2C7E"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8C0FBF5"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17</w:t>
            </w:r>
          </w:p>
        </w:tc>
        <w:tc>
          <w:tcPr>
            <w:tcW w:w="2240" w:type="dxa"/>
            <w:tcBorders>
              <w:top w:val="nil"/>
              <w:left w:val="nil"/>
              <w:bottom w:val="single" w:sz="4" w:space="0" w:color="auto"/>
              <w:right w:val="single" w:sz="4" w:space="0" w:color="auto"/>
            </w:tcBorders>
            <w:shd w:val="clear" w:color="auto" w:fill="auto"/>
            <w:noWrap/>
            <w:vAlign w:val="bottom"/>
          </w:tcPr>
          <w:p w14:paraId="3E8EB128" w14:textId="77777777" w:rsidR="00BA56AD" w:rsidRPr="006D5452" w:rsidRDefault="00BA56AD" w:rsidP="00FB5615">
            <w:pPr>
              <w:jc w:val="center"/>
              <w:rPr>
                <w:rFonts w:cs="Arial"/>
                <w:color w:val="000000"/>
                <w:sz w:val="20"/>
                <w:szCs w:val="20"/>
              </w:rPr>
            </w:pPr>
            <w:r w:rsidRPr="006D5452">
              <w:rPr>
                <w:rFonts w:cs="Arial"/>
                <w:color w:val="000000"/>
                <w:sz w:val="20"/>
                <w:szCs w:val="20"/>
              </w:rPr>
              <w:t>692.932.896</w:t>
            </w:r>
          </w:p>
        </w:tc>
      </w:tr>
      <w:tr w:rsidR="00BA56AD" w:rsidRPr="006D5452" w14:paraId="35EA08B9"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3CA92E6"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18</w:t>
            </w:r>
          </w:p>
        </w:tc>
        <w:tc>
          <w:tcPr>
            <w:tcW w:w="2240" w:type="dxa"/>
            <w:tcBorders>
              <w:top w:val="nil"/>
              <w:left w:val="nil"/>
              <w:bottom w:val="single" w:sz="4" w:space="0" w:color="auto"/>
              <w:right w:val="single" w:sz="4" w:space="0" w:color="auto"/>
            </w:tcBorders>
            <w:shd w:val="clear" w:color="auto" w:fill="auto"/>
            <w:noWrap/>
            <w:vAlign w:val="bottom"/>
          </w:tcPr>
          <w:p w14:paraId="4D725314" w14:textId="77777777" w:rsidR="00BA56AD" w:rsidRPr="006D5452" w:rsidRDefault="00BA56AD" w:rsidP="00FB5615">
            <w:pPr>
              <w:jc w:val="center"/>
              <w:rPr>
                <w:rFonts w:cs="Arial"/>
                <w:color w:val="000000"/>
                <w:sz w:val="20"/>
                <w:szCs w:val="20"/>
              </w:rPr>
            </w:pPr>
            <w:r w:rsidRPr="006D5452">
              <w:rPr>
                <w:rFonts w:cs="Arial"/>
                <w:color w:val="000000"/>
                <w:sz w:val="20"/>
                <w:szCs w:val="20"/>
              </w:rPr>
              <w:t>707.484.486</w:t>
            </w:r>
          </w:p>
        </w:tc>
      </w:tr>
      <w:tr w:rsidR="00BA56AD" w:rsidRPr="006D5452" w14:paraId="095D5B73"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5D6E9B"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19</w:t>
            </w:r>
          </w:p>
        </w:tc>
        <w:tc>
          <w:tcPr>
            <w:tcW w:w="2240" w:type="dxa"/>
            <w:tcBorders>
              <w:top w:val="nil"/>
              <w:left w:val="nil"/>
              <w:bottom w:val="single" w:sz="4" w:space="0" w:color="auto"/>
              <w:right w:val="single" w:sz="4" w:space="0" w:color="auto"/>
            </w:tcBorders>
            <w:shd w:val="clear" w:color="auto" w:fill="auto"/>
            <w:noWrap/>
            <w:vAlign w:val="bottom"/>
          </w:tcPr>
          <w:p w14:paraId="11692281" w14:textId="77777777" w:rsidR="00BA56AD" w:rsidRPr="006D5452" w:rsidRDefault="00BA56AD" w:rsidP="00FB5615">
            <w:pPr>
              <w:jc w:val="center"/>
              <w:rPr>
                <w:rFonts w:cs="Arial"/>
                <w:color w:val="000000"/>
                <w:sz w:val="20"/>
                <w:szCs w:val="20"/>
              </w:rPr>
            </w:pPr>
            <w:r w:rsidRPr="006D5452">
              <w:rPr>
                <w:rFonts w:cs="Arial"/>
                <w:color w:val="000000"/>
                <w:sz w:val="20"/>
                <w:szCs w:val="20"/>
              </w:rPr>
              <w:t>722.341.661</w:t>
            </w:r>
          </w:p>
        </w:tc>
      </w:tr>
      <w:tr w:rsidR="00BA56AD" w:rsidRPr="006D5452" w14:paraId="6C1C4CA4"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8A012C"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20</w:t>
            </w:r>
          </w:p>
        </w:tc>
        <w:tc>
          <w:tcPr>
            <w:tcW w:w="2240" w:type="dxa"/>
            <w:tcBorders>
              <w:top w:val="nil"/>
              <w:left w:val="nil"/>
              <w:bottom w:val="single" w:sz="4" w:space="0" w:color="auto"/>
              <w:right w:val="single" w:sz="4" w:space="0" w:color="auto"/>
            </w:tcBorders>
            <w:shd w:val="clear" w:color="auto" w:fill="auto"/>
            <w:noWrap/>
            <w:vAlign w:val="bottom"/>
          </w:tcPr>
          <w:p w14:paraId="125BF03F" w14:textId="77777777" w:rsidR="00BA56AD" w:rsidRPr="006D5452" w:rsidRDefault="00BA56AD" w:rsidP="00FB5615">
            <w:pPr>
              <w:jc w:val="center"/>
              <w:rPr>
                <w:rFonts w:cs="Arial"/>
                <w:color w:val="000000"/>
                <w:sz w:val="20"/>
                <w:szCs w:val="20"/>
              </w:rPr>
            </w:pPr>
            <w:r w:rsidRPr="006D5452">
              <w:rPr>
                <w:rFonts w:cs="Arial"/>
                <w:color w:val="000000"/>
                <w:sz w:val="20"/>
                <w:szCs w:val="20"/>
              </w:rPr>
              <w:t>737.510.835</w:t>
            </w:r>
          </w:p>
        </w:tc>
      </w:tr>
    </w:tbl>
    <w:p w14:paraId="19BEF66B" w14:textId="77777777" w:rsidR="00055B68" w:rsidRDefault="00055B68" w:rsidP="00BA56AD">
      <w:pPr>
        <w:spacing w:before="240" w:after="240"/>
        <w:rPr>
          <w:shd w:val="clear" w:color="auto" w:fill="FFFFFF"/>
        </w:rPr>
      </w:pPr>
    </w:p>
    <w:p w14:paraId="14B532C8" w14:textId="4A96E43E" w:rsidR="00BA56AD" w:rsidRDefault="00BA56AD" w:rsidP="00BA56AD">
      <w:pPr>
        <w:spacing w:before="240" w:after="240"/>
        <w:rPr>
          <w:shd w:val="clear" w:color="auto" w:fill="FFFFFF"/>
        </w:rPr>
      </w:pPr>
      <w:r>
        <w:rPr>
          <w:shd w:val="clear" w:color="auto" w:fill="FFFFFF"/>
        </w:rPr>
        <w:t>Tal como se observa, la proyección de gastos de AOM presentada por la empresa está valorada a pesos de la fecha base, es decir 31 de diciembre de 2017, por lo cual, dichos valores no se actualizarán para el cálculo del cargo.</w:t>
      </w:r>
    </w:p>
    <w:p w14:paraId="0669D83C" w14:textId="21EFF437" w:rsidR="00BA56AD" w:rsidRDefault="00BA56AD" w:rsidP="00BA56AD">
      <w:pPr>
        <w:spacing w:before="240" w:after="240"/>
        <w:rPr>
          <w:shd w:val="clear" w:color="auto" w:fill="FFFFFF"/>
        </w:rPr>
      </w:pPr>
      <w:r w:rsidRPr="007D6B96">
        <w:rPr>
          <w:shd w:val="clear" w:color="auto" w:fill="FFFFFF"/>
        </w:rPr>
        <w:t>Adi</w:t>
      </w:r>
      <w:r>
        <w:rPr>
          <w:shd w:val="clear" w:color="auto" w:fill="FFFFFF"/>
        </w:rPr>
        <w:t>ci</w:t>
      </w:r>
      <w:r w:rsidRPr="007D6B96">
        <w:rPr>
          <w:shd w:val="clear" w:color="auto" w:fill="FFFFFF"/>
        </w:rPr>
        <w:t xml:space="preserve">onalmente, conforme a la metodología contenida en las resoluciones CREG 202 de 2013, CREG 138 de 2014, CREG 090 y </w:t>
      </w:r>
      <w:r w:rsidR="005468EB">
        <w:rPr>
          <w:shd w:val="clear" w:color="auto" w:fill="FFFFFF"/>
        </w:rPr>
        <w:t xml:space="preserve">CREG </w:t>
      </w:r>
      <w:r w:rsidRPr="007D6B96">
        <w:rPr>
          <w:shd w:val="clear" w:color="auto" w:fill="FFFFFF"/>
        </w:rPr>
        <w:t>132 de 2018</w:t>
      </w:r>
      <w:r>
        <w:rPr>
          <w:shd w:val="clear" w:color="auto" w:fill="FFFFFF"/>
        </w:rPr>
        <w:t>, p</w:t>
      </w:r>
      <w:r w:rsidRPr="007D6B96">
        <w:rPr>
          <w:shd w:val="clear" w:color="auto" w:fill="FFFFFF"/>
        </w:rPr>
        <w:t xml:space="preserve">ara los Mercados Relevantes de Distribución para el Siguiente Período Tarifario conformados por municipios nuevos, el distribuidor deberá presentar la proyección de gastos de AOM durante el horizonte de proyección de veinte (20) años y concordante con los costos reconocidos que se remuneran dentro de la </w:t>
      </w:r>
      <w:r w:rsidRPr="005468EB">
        <w:rPr>
          <w:shd w:val="clear" w:color="auto" w:fill="FFFFFF"/>
        </w:rPr>
        <w:t>Actividad de Distribución</w:t>
      </w:r>
      <w:r w:rsidRPr="007D6B96">
        <w:rPr>
          <w:shd w:val="clear" w:color="auto" w:fill="FFFFFF"/>
        </w:rPr>
        <w:t>.</w:t>
      </w:r>
    </w:p>
    <w:p w14:paraId="25992467" w14:textId="42618EE0" w:rsidR="00BA56AD" w:rsidRDefault="00BA56AD" w:rsidP="00BA56AD">
      <w:pPr>
        <w:spacing w:before="240" w:after="240"/>
        <w:rPr>
          <w:shd w:val="clear" w:color="auto" w:fill="FFFFFF"/>
        </w:rPr>
      </w:pPr>
      <w:r>
        <w:rPr>
          <w:shd w:val="clear" w:color="auto" w:fill="FFFFFF"/>
        </w:rPr>
        <w:t xml:space="preserve">Ahora bien y tal como se indicó anteriormente, la empresa ALCANOS DE COLOMBIA S.A. E.S.P. en su solicitud tarifaria reportó la proyección de gastos de AOM con los costos que remuneran las actividades de distribución más la de comercialización. En la solicitud No. 1332 en APLIGAS, la empresa reporta que el porcentaje asignado a la actividad de distribución corresponde al 56% y para comercialización el 44% de los gastos de AOM reportados. De esta manera, la proyección de gastos para cada actividad es la siguiente: </w:t>
      </w:r>
    </w:p>
    <w:p w14:paraId="385EDA3A" w14:textId="77777777" w:rsidR="00055B68" w:rsidRDefault="00055B68" w:rsidP="00BA56AD">
      <w:pPr>
        <w:jc w:val="center"/>
        <w:rPr>
          <w:rFonts w:cs="Arial"/>
          <w:b/>
          <w:sz w:val="20"/>
        </w:rPr>
      </w:pPr>
    </w:p>
    <w:p w14:paraId="258811E1" w14:textId="77777777" w:rsidR="00055B68" w:rsidRDefault="00055B68" w:rsidP="00BA56AD">
      <w:pPr>
        <w:jc w:val="center"/>
        <w:rPr>
          <w:rFonts w:cs="Arial"/>
          <w:b/>
          <w:sz w:val="20"/>
        </w:rPr>
      </w:pPr>
    </w:p>
    <w:p w14:paraId="7F165C81" w14:textId="6772432D" w:rsidR="00BA56AD" w:rsidRPr="007D6B96" w:rsidRDefault="00BA56AD" w:rsidP="00BA56AD">
      <w:pPr>
        <w:jc w:val="center"/>
        <w:rPr>
          <w:shd w:val="clear" w:color="auto" w:fill="FFFFFF"/>
        </w:rPr>
      </w:pPr>
      <w:r w:rsidRPr="006D5452">
        <w:rPr>
          <w:rFonts w:cs="Arial"/>
          <w:b/>
          <w:sz w:val="20"/>
        </w:rPr>
        <w:t>Proyección de Gastos de AO&amp;M</w:t>
      </w:r>
      <w:r>
        <w:rPr>
          <w:rFonts w:cs="Arial"/>
          <w:b/>
          <w:sz w:val="20"/>
        </w:rPr>
        <w:t xml:space="preserve"> por actividad</w:t>
      </w:r>
    </w:p>
    <w:tbl>
      <w:tblPr>
        <w:tblW w:w="6199" w:type="dxa"/>
        <w:jc w:val="center"/>
        <w:tblCellMar>
          <w:left w:w="70" w:type="dxa"/>
          <w:right w:w="70" w:type="dxa"/>
        </w:tblCellMar>
        <w:tblLook w:val="04A0" w:firstRow="1" w:lastRow="0" w:firstColumn="1" w:lastColumn="0" w:noHBand="0" w:noVBand="1"/>
      </w:tblPr>
      <w:tblGrid>
        <w:gridCol w:w="669"/>
        <w:gridCol w:w="1940"/>
        <w:gridCol w:w="1630"/>
        <w:gridCol w:w="1960"/>
      </w:tblGrid>
      <w:tr w:rsidR="00BA56AD" w:rsidRPr="005B1CAE" w14:paraId="7D424225" w14:textId="77777777" w:rsidTr="00FB5615">
        <w:trPr>
          <w:trHeight w:val="544"/>
          <w:tblHeader/>
          <w:jc w:val="center"/>
        </w:trPr>
        <w:tc>
          <w:tcPr>
            <w:tcW w:w="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E7BFF2" w14:textId="77777777" w:rsidR="00BA56AD" w:rsidRPr="007B1D87" w:rsidRDefault="00BA56AD" w:rsidP="00FB5615">
            <w:pPr>
              <w:jc w:val="center"/>
              <w:rPr>
                <w:b/>
                <w:color w:val="000000"/>
                <w:sz w:val="20"/>
                <w:szCs w:val="20"/>
                <w:lang w:val="es-CO" w:eastAsia="es-CO"/>
              </w:rPr>
            </w:pPr>
            <w:r>
              <w:rPr>
                <w:b/>
                <w:color w:val="000000"/>
                <w:sz w:val="20"/>
                <w:szCs w:val="20"/>
                <w:lang w:val="es-CO" w:eastAsia="es-CO"/>
              </w:rPr>
              <w:t>Año</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BB5CCA" w14:textId="77777777" w:rsidR="00BA56AD" w:rsidRPr="007B1D87" w:rsidRDefault="00BA56AD" w:rsidP="00FB5615">
            <w:pPr>
              <w:jc w:val="center"/>
              <w:rPr>
                <w:b/>
                <w:color w:val="000000"/>
                <w:sz w:val="20"/>
                <w:szCs w:val="20"/>
                <w:lang w:val="es-CO" w:eastAsia="es-CO"/>
              </w:rPr>
            </w:pPr>
            <w:r w:rsidRPr="007B1D87">
              <w:rPr>
                <w:b/>
                <w:color w:val="000000"/>
                <w:sz w:val="20"/>
                <w:szCs w:val="20"/>
                <w:lang w:val="es-CO" w:eastAsia="es-CO"/>
              </w:rPr>
              <w:t>AOM</w:t>
            </w:r>
          </w:p>
          <w:p w14:paraId="1EE37BDD" w14:textId="77777777" w:rsidR="00BA56AD" w:rsidRPr="007B1D87" w:rsidRDefault="00BA56AD" w:rsidP="00FB5615">
            <w:pPr>
              <w:jc w:val="center"/>
              <w:rPr>
                <w:b/>
                <w:color w:val="000000"/>
                <w:sz w:val="20"/>
                <w:szCs w:val="20"/>
                <w:lang w:val="es-CO" w:eastAsia="es-CO"/>
              </w:rPr>
            </w:pPr>
            <w:r w:rsidRPr="007B1D87">
              <w:rPr>
                <w:b/>
                <w:color w:val="000000"/>
                <w:sz w:val="20"/>
                <w:szCs w:val="20"/>
                <w:lang w:val="es-CO" w:eastAsia="es-CO"/>
              </w:rPr>
              <w:t>Distribución + Comercialización</w:t>
            </w:r>
          </w:p>
        </w:tc>
        <w:tc>
          <w:tcPr>
            <w:tcW w:w="163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81395E5" w14:textId="77777777" w:rsidR="00BA56AD" w:rsidRPr="007B1D87" w:rsidRDefault="00BA56AD" w:rsidP="00FB5615">
            <w:pPr>
              <w:jc w:val="center"/>
              <w:rPr>
                <w:b/>
                <w:color w:val="000000"/>
                <w:sz w:val="20"/>
                <w:szCs w:val="20"/>
                <w:lang w:val="es-CO" w:eastAsia="es-CO"/>
              </w:rPr>
            </w:pPr>
            <w:r w:rsidRPr="007B1D87">
              <w:rPr>
                <w:b/>
                <w:color w:val="000000"/>
                <w:sz w:val="20"/>
                <w:szCs w:val="20"/>
                <w:lang w:val="es-CO" w:eastAsia="es-CO"/>
              </w:rPr>
              <w:t>AOM Distribución</w:t>
            </w:r>
          </w:p>
        </w:tc>
        <w:tc>
          <w:tcPr>
            <w:tcW w:w="1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6A260B" w14:textId="77777777" w:rsidR="00BA56AD" w:rsidRPr="007B1D87" w:rsidRDefault="00BA56AD" w:rsidP="00FB5615">
            <w:pPr>
              <w:jc w:val="center"/>
              <w:rPr>
                <w:b/>
                <w:color w:val="000000"/>
                <w:sz w:val="20"/>
                <w:szCs w:val="20"/>
                <w:lang w:val="es-CO" w:eastAsia="es-CO"/>
              </w:rPr>
            </w:pPr>
            <w:r w:rsidRPr="007B1D87">
              <w:rPr>
                <w:b/>
                <w:color w:val="000000"/>
                <w:sz w:val="20"/>
                <w:szCs w:val="20"/>
                <w:lang w:val="es-CO" w:eastAsia="es-CO"/>
              </w:rPr>
              <w:t>AOM Comercialización</w:t>
            </w:r>
          </w:p>
        </w:tc>
      </w:tr>
      <w:tr w:rsidR="00BA56AD" w:rsidRPr="005B1CAE" w14:paraId="18E97104"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71F07096" w14:textId="77777777" w:rsidR="00BA56AD" w:rsidRPr="006C016E" w:rsidRDefault="00BA56AD" w:rsidP="00FB5615">
            <w:pPr>
              <w:jc w:val="center"/>
              <w:rPr>
                <w:color w:val="000000"/>
                <w:sz w:val="18"/>
                <w:szCs w:val="22"/>
              </w:rPr>
            </w:pPr>
            <w:r>
              <w:rPr>
                <w:color w:val="000000"/>
                <w:sz w:val="18"/>
                <w:szCs w:val="22"/>
              </w:rPr>
              <w:t>1</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301C211B" w14:textId="77777777" w:rsidR="00BA56AD" w:rsidRPr="006C016E" w:rsidRDefault="00BA56AD" w:rsidP="00FB5615">
            <w:pPr>
              <w:jc w:val="center"/>
              <w:rPr>
                <w:color w:val="000000"/>
                <w:sz w:val="18"/>
                <w:szCs w:val="20"/>
                <w:lang w:val="es-CO" w:eastAsia="es-CO"/>
              </w:rPr>
            </w:pPr>
            <w:r w:rsidRPr="006C016E">
              <w:rPr>
                <w:color w:val="000000"/>
                <w:sz w:val="18"/>
                <w:szCs w:val="22"/>
              </w:rPr>
              <w:t>496</w:t>
            </w:r>
            <w:r>
              <w:rPr>
                <w:color w:val="000000"/>
                <w:sz w:val="18"/>
                <w:szCs w:val="22"/>
              </w:rPr>
              <w:t>.</w:t>
            </w:r>
            <w:r w:rsidRPr="006C016E">
              <w:rPr>
                <w:color w:val="000000"/>
                <w:sz w:val="18"/>
                <w:szCs w:val="22"/>
              </w:rPr>
              <w:t>911</w:t>
            </w:r>
            <w:r>
              <w:rPr>
                <w:color w:val="000000"/>
                <w:sz w:val="18"/>
                <w:szCs w:val="22"/>
              </w:rPr>
              <w:t>.</w:t>
            </w:r>
            <w:r w:rsidRPr="006C016E">
              <w:rPr>
                <w:color w:val="000000"/>
                <w:sz w:val="18"/>
                <w:szCs w:val="22"/>
              </w:rPr>
              <w:t>795</w:t>
            </w:r>
          </w:p>
        </w:tc>
        <w:tc>
          <w:tcPr>
            <w:tcW w:w="1630" w:type="dxa"/>
            <w:tcBorders>
              <w:top w:val="nil"/>
              <w:left w:val="nil"/>
              <w:bottom w:val="single" w:sz="4" w:space="0" w:color="auto"/>
              <w:right w:val="single" w:sz="4" w:space="0" w:color="auto"/>
            </w:tcBorders>
            <w:shd w:val="clear" w:color="auto" w:fill="auto"/>
            <w:noWrap/>
            <w:vAlign w:val="bottom"/>
          </w:tcPr>
          <w:p w14:paraId="422ED0F7" w14:textId="77777777" w:rsidR="00BA56AD" w:rsidRPr="006C016E" w:rsidRDefault="00BA56AD" w:rsidP="00FB5615">
            <w:pPr>
              <w:jc w:val="center"/>
              <w:rPr>
                <w:color w:val="000000"/>
                <w:sz w:val="18"/>
                <w:szCs w:val="20"/>
                <w:lang w:val="es-CO" w:eastAsia="es-CO"/>
              </w:rPr>
            </w:pPr>
            <w:r w:rsidRPr="006C016E">
              <w:rPr>
                <w:color w:val="000000"/>
                <w:sz w:val="18"/>
                <w:szCs w:val="22"/>
              </w:rPr>
              <w:t>278</w:t>
            </w:r>
            <w:r>
              <w:rPr>
                <w:color w:val="000000"/>
                <w:sz w:val="18"/>
                <w:szCs w:val="22"/>
              </w:rPr>
              <w:t>.</w:t>
            </w:r>
            <w:r w:rsidRPr="006C016E">
              <w:rPr>
                <w:color w:val="000000"/>
                <w:sz w:val="18"/>
                <w:szCs w:val="22"/>
              </w:rPr>
              <w:t>270</w:t>
            </w:r>
            <w:r>
              <w:rPr>
                <w:color w:val="000000"/>
                <w:sz w:val="18"/>
                <w:szCs w:val="22"/>
              </w:rPr>
              <w:t>.</w:t>
            </w:r>
            <w:r w:rsidRPr="006C016E">
              <w:rPr>
                <w:color w:val="000000"/>
                <w:sz w:val="18"/>
                <w:szCs w:val="22"/>
              </w:rPr>
              <w:t>605</w:t>
            </w:r>
          </w:p>
        </w:tc>
        <w:tc>
          <w:tcPr>
            <w:tcW w:w="1960" w:type="dxa"/>
            <w:tcBorders>
              <w:top w:val="nil"/>
              <w:left w:val="nil"/>
              <w:bottom w:val="single" w:sz="4" w:space="0" w:color="auto"/>
              <w:right w:val="single" w:sz="4" w:space="0" w:color="auto"/>
            </w:tcBorders>
            <w:shd w:val="clear" w:color="auto" w:fill="auto"/>
            <w:noWrap/>
            <w:vAlign w:val="bottom"/>
          </w:tcPr>
          <w:p w14:paraId="19136A80" w14:textId="77777777" w:rsidR="00BA56AD" w:rsidRPr="006C016E" w:rsidRDefault="00BA56AD" w:rsidP="00FB5615">
            <w:pPr>
              <w:jc w:val="center"/>
              <w:rPr>
                <w:color w:val="000000"/>
                <w:sz w:val="18"/>
                <w:szCs w:val="22"/>
              </w:rPr>
            </w:pPr>
            <w:r w:rsidRPr="006C016E">
              <w:rPr>
                <w:color w:val="000000"/>
                <w:sz w:val="18"/>
                <w:szCs w:val="22"/>
              </w:rPr>
              <w:t>218</w:t>
            </w:r>
            <w:r>
              <w:rPr>
                <w:color w:val="000000"/>
                <w:sz w:val="18"/>
                <w:szCs w:val="22"/>
              </w:rPr>
              <w:t>.</w:t>
            </w:r>
            <w:r w:rsidRPr="006C016E">
              <w:rPr>
                <w:color w:val="000000"/>
                <w:sz w:val="18"/>
                <w:szCs w:val="22"/>
              </w:rPr>
              <w:t>641</w:t>
            </w:r>
            <w:r>
              <w:rPr>
                <w:color w:val="000000"/>
                <w:sz w:val="18"/>
                <w:szCs w:val="22"/>
              </w:rPr>
              <w:t>.</w:t>
            </w:r>
            <w:r w:rsidRPr="006C016E">
              <w:rPr>
                <w:color w:val="000000"/>
                <w:sz w:val="18"/>
                <w:szCs w:val="22"/>
              </w:rPr>
              <w:t>190</w:t>
            </w:r>
          </w:p>
        </w:tc>
      </w:tr>
      <w:tr w:rsidR="00BA56AD" w:rsidRPr="005B1CAE" w14:paraId="7646952B"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4EA168FD" w14:textId="77777777" w:rsidR="00BA56AD" w:rsidRPr="006C016E" w:rsidRDefault="00BA56AD" w:rsidP="00FB5615">
            <w:pPr>
              <w:jc w:val="center"/>
              <w:rPr>
                <w:color w:val="000000"/>
                <w:sz w:val="18"/>
                <w:szCs w:val="22"/>
              </w:rPr>
            </w:pPr>
            <w:r>
              <w:rPr>
                <w:color w:val="000000"/>
                <w:sz w:val="18"/>
                <w:szCs w:val="22"/>
              </w:rPr>
              <w:t>2</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21459724" w14:textId="77777777" w:rsidR="00BA56AD" w:rsidRPr="006C016E" w:rsidRDefault="00BA56AD" w:rsidP="00FB5615">
            <w:pPr>
              <w:jc w:val="center"/>
              <w:rPr>
                <w:color w:val="000000"/>
                <w:sz w:val="18"/>
                <w:szCs w:val="20"/>
                <w:lang w:val="es-CO" w:eastAsia="es-CO"/>
              </w:rPr>
            </w:pPr>
            <w:r w:rsidRPr="006C016E">
              <w:rPr>
                <w:color w:val="000000"/>
                <w:sz w:val="18"/>
                <w:szCs w:val="22"/>
              </w:rPr>
              <w:t>507</w:t>
            </w:r>
            <w:r>
              <w:rPr>
                <w:color w:val="000000"/>
                <w:sz w:val="18"/>
                <w:szCs w:val="22"/>
              </w:rPr>
              <w:t>.</w:t>
            </w:r>
            <w:r w:rsidRPr="006C016E">
              <w:rPr>
                <w:color w:val="000000"/>
                <w:sz w:val="18"/>
                <w:szCs w:val="22"/>
              </w:rPr>
              <w:t>346</w:t>
            </w:r>
            <w:r>
              <w:rPr>
                <w:color w:val="000000"/>
                <w:sz w:val="18"/>
                <w:szCs w:val="22"/>
              </w:rPr>
              <w:t>.</w:t>
            </w:r>
            <w:r w:rsidRPr="006C016E">
              <w:rPr>
                <w:color w:val="000000"/>
                <w:sz w:val="18"/>
                <w:szCs w:val="22"/>
              </w:rPr>
              <w:t>943</w:t>
            </w:r>
          </w:p>
        </w:tc>
        <w:tc>
          <w:tcPr>
            <w:tcW w:w="1630" w:type="dxa"/>
            <w:tcBorders>
              <w:top w:val="nil"/>
              <w:left w:val="nil"/>
              <w:bottom w:val="single" w:sz="4" w:space="0" w:color="auto"/>
              <w:right w:val="single" w:sz="4" w:space="0" w:color="auto"/>
            </w:tcBorders>
            <w:shd w:val="clear" w:color="auto" w:fill="auto"/>
            <w:noWrap/>
            <w:vAlign w:val="bottom"/>
          </w:tcPr>
          <w:p w14:paraId="05C402C5" w14:textId="77777777" w:rsidR="00BA56AD" w:rsidRPr="006C016E" w:rsidRDefault="00BA56AD" w:rsidP="00FB5615">
            <w:pPr>
              <w:jc w:val="center"/>
              <w:rPr>
                <w:color w:val="000000"/>
                <w:sz w:val="18"/>
                <w:szCs w:val="20"/>
                <w:lang w:val="es-CO" w:eastAsia="es-CO"/>
              </w:rPr>
            </w:pPr>
            <w:r w:rsidRPr="006C016E">
              <w:rPr>
                <w:color w:val="000000"/>
                <w:sz w:val="18"/>
                <w:szCs w:val="22"/>
              </w:rPr>
              <w:t>284</w:t>
            </w:r>
            <w:r>
              <w:rPr>
                <w:color w:val="000000"/>
                <w:sz w:val="18"/>
                <w:szCs w:val="22"/>
              </w:rPr>
              <w:t>.</w:t>
            </w:r>
            <w:r w:rsidRPr="006C016E">
              <w:rPr>
                <w:color w:val="000000"/>
                <w:sz w:val="18"/>
                <w:szCs w:val="22"/>
              </w:rPr>
              <w:t>114</w:t>
            </w:r>
            <w:r>
              <w:rPr>
                <w:color w:val="000000"/>
                <w:sz w:val="18"/>
                <w:szCs w:val="22"/>
              </w:rPr>
              <w:t>.</w:t>
            </w:r>
            <w:r w:rsidRPr="006C016E">
              <w:rPr>
                <w:color w:val="000000"/>
                <w:sz w:val="18"/>
                <w:szCs w:val="22"/>
              </w:rPr>
              <w:t>288</w:t>
            </w:r>
          </w:p>
        </w:tc>
        <w:tc>
          <w:tcPr>
            <w:tcW w:w="1960" w:type="dxa"/>
            <w:tcBorders>
              <w:top w:val="nil"/>
              <w:left w:val="nil"/>
              <w:bottom w:val="single" w:sz="4" w:space="0" w:color="auto"/>
              <w:right w:val="single" w:sz="4" w:space="0" w:color="auto"/>
            </w:tcBorders>
            <w:shd w:val="clear" w:color="auto" w:fill="auto"/>
            <w:noWrap/>
            <w:vAlign w:val="bottom"/>
          </w:tcPr>
          <w:p w14:paraId="4BAAE601" w14:textId="77777777" w:rsidR="00BA56AD" w:rsidRPr="006C016E" w:rsidRDefault="00BA56AD" w:rsidP="00FB5615">
            <w:pPr>
              <w:jc w:val="center"/>
              <w:rPr>
                <w:color w:val="000000"/>
                <w:sz w:val="18"/>
                <w:szCs w:val="22"/>
              </w:rPr>
            </w:pPr>
            <w:r w:rsidRPr="006C016E">
              <w:rPr>
                <w:color w:val="000000"/>
                <w:sz w:val="18"/>
                <w:szCs w:val="22"/>
              </w:rPr>
              <w:t>223</w:t>
            </w:r>
            <w:r>
              <w:rPr>
                <w:color w:val="000000"/>
                <w:sz w:val="18"/>
                <w:szCs w:val="22"/>
              </w:rPr>
              <w:t>.</w:t>
            </w:r>
            <w:r w:rsidRPr="006C016E">
              <w:rPr>
                <w:color w:val="000000"/>
                <w:sz w:val="18"/>
                <w:szCs w:val="22"/>
              </w:rPr>
              <w:t>232</w:t>
            </w:r>
            <w:r>
              <w:rPr>
                <w:color w:val="000000"/>
                <w:sz w:val="18"/>
                <w:szCs w:val="22"/>
              </w:rPr>
              <w:t>.</w:t>
            </w:r>
            <w:r w:rsidRPr="006C016E">
              <w:rPr>
                <w:color w:val="000000"/>
                <w:sz w:val="18"/>
                <w:szCs w:val="22"/>
              </w:rPr>
              <w:t>655</w:t>
            </w:r>
          </w:p>
        </w:tc>
      </w:tr>
      <w:tr w:rsidR="00BA56AD" w:rsidRPr="005B1CAE" w14:paraId="58EC2963"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0CD5868A" w14:textId="77777777" w:rsidR="00BA56AD" w:rsidRPr="006C016E" w:rsidRDefault="00BA56AD" w:rsidP="00FB5615">
            <w:pPr>
              <w:jc w:val="center"/>
              <w:rPr>
                <w:color w:val="000000"/>
                <w:sz w:val="18"/>
                <w:szCs w:val="22"/>
              </w:rPr>
            </w:pPr>
            <w:r>
              <w:rPr>
                <w:color w:val="000000"/>
                <w:sz w:val="18"/>
                <w:szCs w:val="22"/>
              </w:rPr>
              <w:t>3</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76970F9B" w14:textId="77777777" w:rsidR="00BA56AD" w:rsidRPr="006C016E" w:rsidRDefault="00BA56AD" w:rsidP="00FB5615">
            <w:pPr>
              <w:jc w:val="center"/>
              <w:rPr>
                <w:color w:val="000000"/>
                <w:sz w:val="18"/>
                <w:szCs w:val="20"/>
                <w:lang w:val="es-CO" w:eastAsia="es-CO"/>
              </w:rPr>
            </w:pPr>
            <w:r w:rsidRPr="006C016E">
              <w:rPr>
                <w:color w:val="000000"/>
                <w:sz w:val="18"/>
                <w:szCs w:val="22"/>
              </w:rPr>
              <w:t>518</w:t>
            </w:r>
            <w:r>
              <w:rPr>
                <w:color w:val="000000"/>
                <w:sz w:val="18"/>
                <w:szCs w:val="22"/>
              </w:rPr>
              <w:t>.</w:t>
            </w:r>
            <w:r w:rsidRPr="006C016E">
              <w:rPr>
                <w:color w:val="000000"/>
                <w:sz w:val="18"/>
                <w:szCs w:val="22"/>
              </w:rPr>
              <w:t>001</w:t>
            </w:r>
            <w:r>
              <w:rPr>
                <w:color w:val="000000"/>
                <w:sz w:val="18"/>
                <w:szCs w:val="22"/>
              </w:rPr>
              <w:t>.</w:t>
            </w:r>
            <w:r w:rsidRPr="006C016E">
              <w:rPr>
                <w:color w:val="000000"/>
                <w:sz w:val="18"/>
                <w:szCs w:val="22"/>
              </w:rPr>
              <w:t>229</w:t>
            </w:r>
          </w:p>
        </w:tc>
        <w:tc>
          <w:tcPr>
            <w:tcW w:w="1630" w:type="dxa"/>
            <w:tcBorders>
              <w:top w:val="nil"/>
              <w:left w:val="nil"/>
              <w:bottom w:val="single" w:sz="4" w:space="0" w:color="auto"/>
              <w:right w:val="single" w:sz="4" w:space="0" w:color="auto"/>
            </w:tcBorders>
            <w:shd w:val="clear" w:color="auto" w:fill="auto"/>
            <w:noWrap/>
            <w:vAlign w:val="bottom"/>
          </w:tcPr>
          <w:p w14:paraId="1C3EA559" w14:textId="77777777" w:rsidR="00BA56AD" w:rsidRPr="006C016E" w:rsidRDefault="00BA56AD" w:rsidP="00FB5615">
            <w:pPr>
              <w:jc w:val="center"/>
              <w:rPr>
                <w:color w:val="000000"/>
                <w:sz w:val="18"/>
                <w:szCs w:val="20"/>
                <w:lang w:val="es-CO" w:eastAsia="es-CO"/>
              </w:rPr>
            </w:pPr>
            <w:r w:rsidRPr="006C016E">
              <w:rPr>
                <w:color w:val="000000"/>
                <w:sz w:val="18"/>
                <w:szCs w:val="22"/>
              </w:rPr>
              <w:t>290</w:t>
            </w:r>
            <w:r>
              <w:rPr>
                <w:color w:val="000000"/>
                <w:sz w:val="18"/>
                <w:szCs w:val="22"/>
              </w:rPr>
              <w:t>.</w:t>
            </w:r>
            <w:r w:rsidRPr="006C016E">
              <w:rPr>
                <w:color w:val="000000"/>
                <w:sz w:val="18"/>
                <w:szCs w:val="22"/>
              </w:rPr>
              <w:t>080</w:t>
            </w:r>
            <w:r>
              <w:rPr>
                <w:color w:val="000000"/>
                <w:sz w:val="18"/>
                <w:szCs w:val="22"/>
              </w:rPr>
              <w:t>.</w:t>
            </w:r>
            <w:r w:rsidRPr="006C016E">
              <w:rPr>
                <w:color w:val="000000"/>
                <w:sz w:val="18"/>
                <w:szCs w:val="22"/>
              </w:rPr>
              <w:t>688</w:t>
            </w:r>
          </w:p>
        </w:tc>
        <w:tc>
          <w:tcPr>
            <w:tcW w:w="1960" w:type="dxa"/>
            <w:tcBorders>
              <w:top w:val="nil"/>
              <w:left w:val="nil"/>
              <w:bottom w:val="single" w:sz="4" w:space="0" w:color="auto"/>
              <w:right w:val="single" w:sz="4" w:space="0" w:color="auto"/>
            </w:tcBorders>
            <w:shd w:val="clear" w:color="auto" w:fill="auto"/>
            <w:noWrap/>
            <w:vAlign w:val="bottom"/>
          </w:tcPr>
          <w:p w14:paraId="2A59FA82" w14:textId="77777777" w:rsidR="00BA56AD" w:rsidRPr="006C016E" w:rsidRDefault="00BA56AD" w:rsidP="00FB5615">
            <w:pPr>
              <w:jc w:val="center"/>
              <w:rPr>
                <w:color w:val="000000"/>
                <w:sz w:val="18"/>
                <w:szCs w:val="22"/>
              </w:rPr>
            </w:pPr>
            <w:r w:rsidRPr="006C016E">
              <w:rPr>
                <w:color w:val="000000"/>
                <w:sz w:val="18"/>
                <w:szCs w:val="22"/>
              </w:rPr>
              <w:t>227</w:t>
            </w:r>
            <w:r>
              <w:rPr>
                <w:color w:val="000000"/>
                <w:sz w:val="18"/>
                <w:szCs w:val="22"/>
              </w:rPr>
              <w:t>.</w:t>
            </w:r>
            <w:r w:rsidRPr="006C016E">
              <w:rPr>
                <w:color w:val="000000"/>
                <w:sz w:val="18"/>
                <w:szCs w:val="22"/>
              </w:rPr>
              <w:t>920</w:t>
            </w:r>
            <w:r>
              <w:rPr>
                <w:color w:val="000000"/>
                <w:sz w:val="18"/>
                <w:szCs w:val="22"/>
              </w:rPr>
              <w:t>.</w:t>
            </w:r>
            <w:r w:rsidRPr="006C016E">
              <w:rPr>
                <w:color w:val="000000"/>
                <w:sz w:val="18"/>
                <w:szCs w:val="22"/>
              </w:rPr>
              <w:t>541</w:t>
            </w:r>
          </w:p>
        </w:tc>
      </w:tr>
      <w:tr w:rsidR="00BA56AD" w:rsidRPr="005B1CAE" w14:paraId="3F9CB5FE"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76FCA4D6" w14:textId="77777777" w:rsidR="00BA56AD" w:rsidRPr="006C016E" w:rsidRDefault="00BA56AD" w:rsidP="00FB5615">
            <w:pPr>
              <w:jc w:val="center"/>
              <w:rPr>
                <w:color w:val="000000"/>
                <w:sz w:val="18"/>
                <w:szCs w:val="22"/>
              </w:rPr>
            </w:pPr>
            <w:r>
              <w:rPr>
                <w:color w:val="000000"/>
                <w:sz w:val="18"/>
                <w:szCs w:val="22"/>
              </w:rPr>
              <w:t>4</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554C98D5" w14:textId="77777777" w:rsidR="00BA56AD" w:rsidRPr="006C016E" w:rsidRDefault="00BA56AD" w:rsidP="00FB5615">
            <w:pPr>
              <w:jc w:val="center"/>
              <w:rPr>
                <w:color w:val="000000"/>
                <w:sz w:val="18"/>
                <w:szCs w:val="20"/>
                <w:lang w:val="es-CO" w:eastAsia="es-CO"/>
              </w:rPr>
            </w:pPr>
            <w:r w:rsidRPr="006C016E">
              <w:rPr>
                <w:color w:val="000000"/>
                <w:sz w:val="18"/>
                <w:szCs w:val="22"/>
              </w:rPr>
              <w:t>528</w:t>
            </w:r>
            <w:r>
              <w:rPr>
                <w:color w:val="000000"/>
                <w:sz w:val="18"/>
                <w:szCs w:val="22"/>
              </w:rPr>
              <w:t>.</w:t>
            </w:r>
            <w:r w:rsidRPr="006C016E">
              <w:rPr>
                <w:color w:val="000000"/>
                <w:sz w:val="18"/>
                <w:szCs w:val="22"/>
              </w:rPr>
              <w:t>879</w:t>
            </w:r>
            <w:r>
              <w:rPr>
                <w:color w:val="000000"/>
                <w:sz w:val="18"/>
                <w:szCs w:val="22"/>
              </w:rPr>
              <w:t>.</w:t>
            </w:r>
            <w:r w:rsidRPr="006C016E">
              <w:rPr>
                <w:color w:val="000000"/>
                <w:sz w:val="18"/>
                <w:szCs w:val="22"/>
              </w:rPr>
              <w:t>254</w:t>
            </w:r>
          </w:p>
        </w:tc>
        <w:tc>
          <w:tcPr>
            <w:tcW w:w="1630" w:type="dxa"/>
            <w:tcBorders>
              <w:top w:val="nil"/>
              <w:left w:val="nil"/>
              <w:bottom w:val="single" w:sz="4" w:space="0" w:color="auto"/>
              <w:right w:val="single" w:sz="4" w:space="0" w:color="auto"/>
            </w:tcBorders>
            <w:shd w:val="clear" w:color="auto" w:fill="auto"/>
            <w:noWrap/>
            <w:vAlign w:val="bottom"/>
          </w:tcPr>
          <w:p w14:paraId="768FFD37" w14:textId="77777777" w:rsidR="00BA56AD" w:rsidRPr="006C016E" w:rsidRDefault="00BA56AD" w:rsidP="00FB5615">
            <w:pPr>
              <w:jc w:val="center"/>
              <w:rPr>
                <w:color w:val="000000"/>
                <w:sz w:val="18"/>
                <w:szCs w:val="20"/>
                <w:lang w:val="es-CO" w:eastAsia="es-CO"/>
              </w:rPr>
            </w:pPr>
            <w:r w:rsidRPr="006C016E">
              <w:rPr>
                <w:color w:val="000000"/>
                <w:sz w:val="18"/>
                <w:szCs w:val="22"/>
              </w:rPr>
              <w:t>296</w:t>
            </w:r>
            <w:r>
              <w:rPr>
                <w:color w:val="000000"/>
                <w:sz w:val="18"/>
                <w:szCs w:val="22"/>
              </w:rPr>
              <w:t>.</w:t>
            </w:r>
            <w:r w:rsidRPr="006C016E">
              <w:rPr>
                <w:color w:val="000000"/>
                <w:sz w:val="18"/>
                <w:szCs w:val="22"/>
              </w:rPr>
              <w:t>172</w:t>
            </w:r>
            <w:r>
              <w:rPr>
                <w:color w:val="000000"/>
                <w:sz w:val="18"/>
                <w:szCs w:val="22"/>
              </w:rPr>
              <w:t>.</w:t>
            </w:r>
            <w:r w:rsidRPr="006C016E">
              <w:rPr>
                <w:color w:val="000000"/>
                <w:sz w:val="18"/>
                <w:szCs w:val="22"/>
              </w:rPr>
              <w:t>382</w:t>
            </w:r>
          </w:p>
        </w:tc>
        <w:tc>
          <w:tcPr>
            <w:tcW w:w="1960" w:type="dxa"/>
            <w:tcBorders>
              <w:top w:val="nil"/>
              <w:left w:val="nil"/>
              <w:bottom w:val="single" w:sz="4" w:space="0" w:color="auto"/>
              <w:right w:val="single" w:sz="4" w:space="0" w:color="auto"/>
            </w:tcBorders>
            <w:shd w:val="clear" w:color="auto" w:fill="auto"/>
            <w:noWrap/>
            <w:vAlign w:val="bottom"/>
          </w:tcPr>
          <w:p w14:paraId="0CF21F05" w14:textId="77777777" w:rsidR="00BA56AD" w:rsidRPr="006C016E" w:rsidRDefault="00BA56AD" w:rsidP="00FB5615">
            <w:pPr>
              <w:jc w:val="center"/>
              <w:rPr>
                <w:color w:val="000000"/>
                <w:sz w:val="18"/>
                <w:szCs w:val="22"/>
              </w:rPr>
            </w:pPr>
            <w:r w:rsidRPr="006C016E">
              <w:rPr>
                <w:color w:val="000000"/>
                <w:sz w:val="18"/>
                <w:szCs w:val="22"/>
              </w:rPr>
              <w:t>232</w:t>
            </w:r>
            <w:r>
              <w:rPr>
                <w:color w:val="000000"/>
                <w:sz w:val="18"/>
                <w:szCs w:val="22"/>
              </w:rPr>
              <w:t>.</w:t>
            </w:r>
            <w:r w:rsidRPr="006C016E">
              <w:rPr>
                <w:color w:val="000000"/>
                <w:sz w:val="18"/>
                <w:szCs w:val="22"/>
              </w:rPr>
              <w:t>706</w:t>
            </w:r>
            <w:r>
              <w:rPr>
                <w:color w:val="000000"/>
                <w:sz w:val="18"/>
                <w:szCs w:val="22"/>
              </w:rPr>
              <w:t>.</w:t>
            </w:r>
            <w:r w:rsidRPr="006C016E">
              <w:rPr>
                <w:color w:val="000000"/>
                <w:sz w:val="18"/>
                <w:szCs w:val="22"/>
              </w:rPr>
              <w:t>872</w:t>
            </w:r>
          </w:p>
        </w:tc>
      </w:tr>
      <w:tr w:rsidR="00BA56AD" w:rsidRPr="005B1CAE" w14:paraId="15F72AB5"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79FEAD6F" w14:textId="77777777" w:rsidR="00BA56AD" w:rsidRPr="006C016E" w:rsidRDefault="00BA56AD" w:rsidP="00FB5615">
            <w:pPr>
              <w:jc w:val="center"/>
              <w:rPr>
                <w:color w:val="000000"/>
                <w:sz w:val="18"/>
                <w:szCs w:val="22"/>
              </w:rPr>
            </w:pPr>
            <w:r>
              <w:rPr>
                <w:color w:val="000000"/>
                <w:sz w:val="18"/>
                <w:szCs w:val="22"/>
              </w:rPr>
              <w:t>5</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3A506533" w14:textId="77777777" w:rsidR="00BA56AD" w:rsidRPr="006C016E" w:rsidRDefault="00BA56AD" w:rsidP="00FB5615">
            <w:pPr>
              <w:jc w:val="center"/>
              <w:rPr>
                <w:color w:val="000000"/>
                <w:sz w:val="18"/>
                <w:szCs w:val="20"/>
                <w:lang w:val="es-CO" w:eastAsia="es-CO"/>
              </w:rPr>
            </w:pPr>
            <w:r w:rsidRPr="006C016E">
              <w:rPr>
                <w:color w:val="000000"/>
                <w:sz w:val="18"/>
                <w:szCs w:val="22"/>
              </w:rPr>
              <w:t>539</w:t>
            </w:r>
            <w:r>
              <w:rPr>
                <w:color w:val="000000"/>
                <w:sz w:val="18"/>
                <w:szCs w:val="22"/>
              </w:rPr>
              <w:t>.</w:t>
            </w:r>
            <w:r w:rsidRPr="006C016E">
              <w:rPr>
                <w:color w:val="000000"/>
                <w:sz w:val="18"/>
                <w:szCs w:val="22"/>
              </w:rPr>
              <w:t>985</w:t>
            </w:r>
            <w:r>
              <w:rPr>
                <w:color w:val="000000"/>
                <w:sz w:val="18"/>
                <w:szCs w:val="22"/>
              </w:rPr>
              <w:t>.</w:t>
            </w:r>
            <w:r w:rsidRPr="006C016E">
              <w:rPr>
                <w:color w:val="000000"/>
                <w:sz w:val="18"/>
                <w:szCs w:val="22"/>
              </w:rPr>
              <w:t>719</w:t>
            </w:r>
          </w:p>
        </w:tc>
        <w:tc>
          <w:tcPr>
            <w:tcW w:w="1630" w:type="dxa"/>
            <w:tcBorders>
              <w:top w:val="nil"/>
              <w:left w:val="nil"/>
              <w:bottom w:val="single" w:sz="4" w:space="0" w:color="auto"/>
              <w:right w:val="single" w:sz="4" w:space="0" w:color="auto"/>
            </w:tcBorders>
            <w:shd w:val="clear" w:color="auto" w:fill="auto"/>
            <w:noWrap/>
            <w:vAlign w:val="bottom"/>
          </w:tcPr>
          <w:p w14:paraId="39472254" w14:textId="77777777" w:rsidR="00BA56AD" w:rsidRPr="006C016E" w:rsidRDefault="00BA56AD" w:rsidP="00FB5615">
            <w:pPr>
              <w:jc w:val="center"/>
              <w:rPr>
                <w:color w:val="000000"/>
                <w:sz w:val="18"/>
                <w:szCs w:val="20"/>
                <w:lang w:val="es-CO" w:eastAsia="es-CO"/>
              </w:rPr>
            </w:pPr>
            <w:r w:rsidRPr="006C016E">
              <w:rPr>
                <w:color w:val="000000"/>
                <w:sz w:val="18"/>
                <w:szCs w:val="22"/>
              </w:rPr>
              <w:t>302</w:t>
            </w:r>
            <w:r>
              <w:rPr>
                <w:color w:val="000000"/>
                <w:sz w:val="18"/>
                <w:szCs w:val="22"/>
              </w:rPr>
              <w:t>.</w:t>
            </w:r>
            <w:r w:rsidRPr="006C016E">
              <w:rPr>
                <w:color w:val="000000"/>
                <w:sz w:val="18"/>
                <w:szCs w:val="22"/>
              </w:rPr>
              <w:t>392</w:t>
            </w:r>
            <w:r>
              <w:rPr>
                <w:color w:val="000000"/>
                <w:sz w:val="18"/>
                <w:szCs w:val="22"/>
              </w:rPr>
              <w:t>.</w:t>
            </w:r>
            <w:r w:rsidRPr="006C016E">
              <w:rPr>
                <w:color w:val="000000"/>
                <w:sz w:val="18"/>
                <w:szCs w:val="22"/>
              </w:rPr>
              <w:t>003</w:t>
            </w:r>
          </w:p>
        </w:tc>
        <w:tc>
          <w:tcPr>
            <w:tcW w:w="1960" w:type="dxa"/>
            <w:tcBorders>
              <w:top w:val="nil"/>
              <w:left w:val="nil"/>
              <w:bottom w:val="single" w:sz="4" w:space="0" w:color="auto"/>
              <w:right w:val="single" w:sz="4" w:space="0" w:color="auto"/>
            </w:tcBorders>
            <w:shd w:val="clear" w:color="auto" w:fill="auto"/>
            <w:noWrap/>
            <w:vAlign w:val="bottom"/>
          </w:tcPr>
          <w:p w14:paraId="78FCD152" w14:textId="77777777" w:rsidR="00BA56AD" w:rsidRPr="006C016E" w:rsidRDefault="00BA56AD" w:rsidP="00FB5615">
            <w:pPr>
              <w:jc w:val="center"/>
              <w:rPr>
                <w:color w:val="000000"/>
                <w:sz w:val="18"/>
                <w:szCs w:val="22"/>
              </w:rPr>
            </w:pPr>
            <w:r w:rsidRPr="006C016E">
              <w:rPr>
                <w:color w:val="000000"/>
                <w:sz w:val="18"/>
                <w:szCs w:val="22"/>
              </w:rPr>
              <w:t>237</w:t>
            </w:r>
            <w:r>
              <w:rPr>
                <w:color w:val="000000"/>
                <w:sz w:val="18"/>
                <w:szCs w:val="22"/>
              </w:rPr>
              <w:t>.</w:t>
            </w:r>
            <w:r w:rsidRPr="006C016E">
              <w:rPr>
                <w:color w:val="000000"/>
                <w:sz w:val="18"/>
                <w:szCs w:val="22"/>
              </w:rPr>
              <w:t>593</w:t>
            </w:r>
            <w:r>
              <w:rPr>
                <w:color w:val="000000"/>
                <w:sz w:val="18"/>
                <w:szCs w:val="22"/>
              </w:rPr>
              <w:t>.</w:t>
            </w:r>
            <w:r w:rsidRPr="006C016E">
              <w:rPr>
                <w:color w:val="000000"/>
                <w:sz w:val="18"/>
                <w:szCs w:val="22"/>
              </w:rPr>
              <w:t>716</w:t>
            </w:r>
          </w:p>
        </w:tc>
      </w:tr>
      <w:tr w:rsidR="00BA56AD" w:rsidRPr="005B1CAE" w14:paraId="436140D0"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462E153B" w14:textId="77777777" w:rsidR="00BA56AD" w:rsidRPr="006C016E" w:rsidRDefault="00BA56AD" w:rsidP="00FB5615">
            <w:pPr>
              <w:jc w:val="center"/>
              <w:rPr>
                <w:color w:val="000000"/>
                <w:sz w:val="18"/>
                <w:szCs w:val="22"/>
              </w:rPr>
            </w:pPr>
            <w:r>
              <w:rPr>
                <w:color w:val="000000"/>
                <w:sz w:val="18"/>
                <w:szCs w:val="22"/>
              </w:rPr>
              <w:t>6</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70F14A1A" w14:textId="77777777" w:rsidR="00BA56AD" w:rsidRPr="006C016E" w:rsidRDefault="00BA56AD" w:rsidP="00FB5615">
            <w:pPr>
              <w:jc w:val="center"/>
              <w:rPr>
                <w:color w:val="000000"/>
                <w:sz w:val="18"/>
                <w:szCs w:val="20"/>
                <w:lang w:val="es-CO" w:eastAsia="es-CO"/>
              </w:rPr>
            </w:pPr>
            <w:r w:rsidRPr="006C016E">
              <w:rPr>
                <w:color w:val="000000"/>
                <w:sz w:val="18"/>
                <w:szCs w:val="22"/>
              </w:rPr>
              <w:t>551</w:t>
            </w:r>
            <w:r>
              <w:rPr>
                <w:color w:val="000000"/>
                <w:sz w:val="18"/>
                <w:szCs w:val="22"/>
              </w:rPr>
              <w:t>.</w:t>
            </w:r>
            <w:r w:rsidRPr="006C016E">
              <w:rPr>
                <w:color w:val="000000"/>
                <w:sz w:val="18"/>
                <w:szCs w:val="22"/>
              </w:rPr>
              <w:t>325</w:t>
            </w:r>
            <w:r>
              <w:rPr>
                <w:color w:val="000000"/>
                <w:sz w:val="18"/>
                <w:szCs w:val="22"/>
              </w:rPr>
              <w:t>.</w:t>
            </w:r>
            <w:r w:rsidRPr="006C016E">
              <w:rPr>
                <w:color w:val="000000"/>
                <w:sz w:val="18"/>
                <w:szCs w:val="22"/>
              </w:rPr>
              <w:t>419</w:t>
            </w:r>
          </w:p>
        </w:tc>
        <w:tc>
          <w:tcPr>
            <w:tcW w:w="1630" w:type="dxa"/>
            <w:tcBorders>
              <w:top w:val="nil"/>
              <w:left w:val="nil"/>
              <w:bottom w:val="single" w:sz="4" w:space="0" w:color="auto"/>
              <w:right w:val="single" w:sz="4" w:space="0" w:color="auto"/>
            </w:tcBorders>
            <w:shd w:val="clear" w:color="auto" w:fill="auto"/>
            <w:noWrap/>
            <w:vAlign w:val="bottom"/>
          </w:tcPr>
          <w:p w14:paraId="73B4C732" w14:textId="77777777" w:rsidR="00BA56AD" w:rsidRPr="006C016E" w:rsidRDefault="00BA56AD" w:rsidP="00FB5615">
            <w:pPr>
              <w:jc w:val="center"/>
              <w:rPr>
                <w:color w:val="000000"/>
                <w:sz w:val="18"/>
                <w:szCs w:val="20"/>
                <w:lang w:val="es-CO" w:eastAsia="es-CO"/>
              </w:rPr>
            </w:pPr>
            <w:r w:rsidRPr="006C016E">
              <w:rPr>
                <w:color w:val="000000"/>
                <w:sz w:val="18"/>
                <w:szCs w:val="22"/>
              </w:rPr>
              <w:t>308</w:t>
            </w:r>
            <w:r>
              <w:rPr>
                <w:color w:val="000000"/>
                <w:sz w:val="18"/>
                <w:szCs w:val="22"/>
              </w:rPr>
              <w:t>.</w:t>
            </w:r>
            <w:r w:rsidRPr="006C016E">
              <w:rPr>
                <w:color w:val="000000"/>
                <w:sz w:val="18"/>
                <w:szCs w:val="22"/>
              </w:rPr>
              <w:t>742</w:t>
            </w:r>
            <w:r>
              <w:rPr>
                <w:color w:val="000000"/>
                <w:sz w:val="18"/>
                <w:szCs w:val="22"/>
              </w:rPr>
              <w:t>.</w:t>
            </w:r>
            <w:r w:rsidRPr="006C016E">
              <w:rPr>
                <w:color w:val="000000"/>
                <w:sz w:val="18"/>
                <w:szCs w:val="22"/>
              </w:rPr>
              <w:t>235</w:t>
            </w:r>
          </w:p>
        </w:tc>
        <w:tc>
          <w:tcPr>
            <w:tcW w:w="1960" w:type="dxa"/>
            <w:tcBorders>
              <w:top w:val="nil"/>
              <w:left w:val="nil"/>
              <w:bottom w:val="single" w:sz="4" w:space="0" w:color="auto"/>
              <w:right w:val="single" w:sz="4" w:space="0" w:color="auto"/>
            </w:tcBorders>
            <w:shd w:val="clear" w:color="auto" w:fill="auto"/>
            <w:noWrap/>
            <w:vAlign w:val="bottom"/>
          </w:tcPr>
          <w:p w14:paraId="794ABDD3" w14:textId="77777777" w:rsidR="00BA56AD" w:rsidRPr="006C016E" w:rsidRDefault="00BA56AD" w:rsidP="00FB5615">
            <w:pPr>
              <w:jc w:val="center"/>
              <w:rPr>
                <w:color w:val="000000"/>
                <w:sz w:val="18"/>
                <w:szCs w:val="22"/>
              </w:rPr>
            </w:pPr>
            <w:r w:rsidRPr="006C016E">
              <w:rPr>
                <w:color w:val="000000"/>
                <w:sz w:val="18"/>
                <w:szCs w:val="22"/>
              </w:rPr>
              <w:t>242</w:t>
            </w:r>
            <w:r>
              <w:rPr>
                <w:color w:val="000000"/>
                <w:sz w:val="18"/>
                <w:szCs w:val="22"/>
              </w:rPr>
              <w:t>.</w:t>
            </w:r>
            <w:r w:rsidRPr="006C016E">
              <w:rPr>
                <w:color w:val="000000"/>
                <w:sz w:val="18"/>
                <w:szCs w:val="22"/>
              </w:rPr>
              <w:t>583</w:t>
            </w:r>
            <w:r>
              <w:rPr>
                <w:color w:val="000000"/>
                <w:sz w:val="18"/>
                <w:szCs w:val="22"/>
              </w:rPr>
              <w:t>.</w:t>
            </w:r>
            <w:r w:rsidRPr="006C016E">
              <w:rPr>
                <w:color w:val="000000"/>
                <w:sz w:val="18"/>
                <w:szCs w:val="22"/>
              </w:rPr>
              <w:t>184</w:t>
            </w:r>
          </w:p>
        </w:tc>
      </w:tr>
      <w:tr w:rsidR="00BA56AD" w:rsidRPr="005B1CAE" w14:paraId="122174CA"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05003A77" w14:textId="77777777" w:rsidR="00BA56AD" w:rsidRPr="006C016E" w:rsidRDefault="00BA56AD" w:rsidP="00FB5615">
            <w:pPr>
              <w:jc w:val="center"/>
              <w:rPr>
                <w:color w:val="000000"/>
                <w:sz w:val="18"/>
                <w:szCs w:val="22"/>
              </w:rPr>
            </w:pPr>
            <w:r>
              <w:rPr>
                <w:color w:val="000000"/>
                <w:sz w:val="18"/>
                <w:szCs w:val="22"/>
              </w:rPr>
              <w:t>7</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74CFA4F8" w14:textId="77777777" w:rsidR="00BA56AD" w:rsidRPr="006C016E" w:rsidRDefault="00BA56AD" w:rsidP="00FB5615">
            <w:pPr>
              <w:jc w:val="center"/>
              <w:rPr>
                <w:color w:val="000000"/>
                <w:sz w:val="18"/>
                <w:szCs w:val="20"/>
                <w:lang w:val="es-CO" w:eastAsia="es-CO"/>
              </w:rPr>
            </w:pPr>
            <w:r w:rsidRPr="006C016E">
              <w:rPr>
                <w:color w:val="000000"/>
                <w:sz w:val="18"/>
                <w:szCs w:val="22"/>
              </w:rPr>
              <w:t>562</w:t>
            </w:r>
            <w:r>
              <w:rPr>
                <w:color w:val="000000"/>
                <w:sz w:val="18"/>
                <w:szCs w:val="22"/>
              </w:rPr>
              <w:t>.</w:t>
            </w:r>
            <w:r w:rsidRPr="006C016E">
              <w:rPr>
                <w:color w:val="000000"/>
                <w:sz w:val="18"/>
                <w:szCs w:val="22"/>
              </w:rPr>
              <w:t>903</w:t>
            </w:r>
            <w:r>
              <w:rPr>
                <w:color w:val="000000"/>
                <w:sz w:val="18"/>
                <w:szCs w:val="22"/>
              </w:rPr>
              <w:t>.</w:t>
            </w:r>
            <w:r w:rsidRPr="006C016E">
              <w:rPr>
                <w:color w:val="000000"/>
                <w:sz w:val="18"/>
                <w:szCs w:val="22"/>
              </w:rPr>
              <w:t>253</w:t>
            </w:r>
          </w:p>
        </w:tc>
        <w:tc>
          <w:tcPr>
            <w:tcW w:w="1630" w:type="dxa"/>
            <w:tcBorders>
              <w:top w:val="nil"/>
              <w:left w:val="nil"/>
              <w:bottom w:val="single" w:sz="4" w:space="0" w:color="auto"/>
              <w:right w:val="single" w:sz="4" w:space="0" w:color="auto"/>
            </w:tcBorders>
            <w:shd w:val="clear" w:color="auto" w:fill="auto"/>
            <w:noWrap/>
            <w:vAlign w:val="bottom"/>
          </w:tcPr>
          <w:p w14:paraId="5CF8B1B5" w14:textId="77777777" w:rsidR="00BA56AD" w:rsidRPr="006C016E" w:rsidRDefault="00BA56AD" w:rsidP="00FB5615">
            <w:pPr>
              <w:jc w:val="center"/>
              <w:rPr>
                <w:color w:val="000000"/>
                <w:sz w:val="18"/>
                <w:szCs w:val="20"/>
                <w:lang w:val="es-CO" w:eastAsia="es-CO"/>
              </w:rPr>
            </w:pPr>
            <w:r w:rsidRPr="006C016E">
              <w:rPr>
                <w:color w:val="000000"/>
                <w:sz w:val="18"/>
                <w:szCs w:val="22"/>
              </w:rPr>
              <w:t>315</w:t>
            </w:r>
            <w:r>
              <w:rPr>
                <w:color w:val="000000"/>
                <w:sz w:val="18"/>
                <w:szCs w:val="22"/>
              </w:rPr>
              <w:t>.</w:t>
            </w:r>
            <w:r w:rsidRPr="006C016E">
              <w:rPr>
                <w:color w:val="000000"/>
                <w:sz w:val="18"/>
                <w:szCs w:val="22"/>
              </w:rPr>
              <w:t>225</w:t>
            </w:r>
            <w:r>
              <w:rPr>
                <w:color w:val="000000"/>
                <w:sz w:val="18"/>
                <w:szCs w:val="22"/>
              </w:rPr>
              <w:t>.</w:t>
            </w:r>
            <w:r w:rsidRPr="006C016E">
              <w:rPr>
                <w:color w:val="000000"/>
                <w:sz w:val="18"/>
                <w:szCs w:val="22"/>
              </w:rPr>
              <w:t>822</w:t>
            </w:r>
          </w:p>
        </w:tc>
        <w:tc>
          <w:tcPr>
            <w:tcW w:w="1960" w:type="dxa"/>
            <w:tcBorders>
              <w:top w:val="nil"/>
              <w:left w:val="nil"/>
              <w:bottom w:val="single" w:sz="4" w:space="0" w:color="auto"/>
              <w:right w:val="single" w:sz="4" w:space="0" w:color="auto"/>
            </w:tcBorders>
            <w:shd w:val="clear" w:color="auto" w:fill="auto"/>
            <w:noWrap/>
            <w:vAlign w:val="bottom"/>
          </w:tcPr>
          <w:p w14:paraId="4BC65115" w14:textId="77777777" w:rsidR="00BA56AD" w:rsidRPr="006C016E" w:rsidRDefault="00BA56AD" w:rsidP="00FB5615">
            <w:pPr>
              <w:jc w:val="center"/>
              <w:rPr>
                <w:color w:val="000000"/>
                <w:sz w:val="18"/>
                <w:szCs w:val="22"/>
              </w:rPr>
            </w:pPr>
            <w:r w:rsidRPr="006C016E">
              <w:rPr>
                <w:color w:val="000000"/>
                <w:sz w:val="18"/>
                <w:szCs w:val="22"/>
              </w:rPr>
              <w:t>247</w:t>
            </w:r>
            <w:r>
              <w:rPr>
                <w:color w:val="000000"/>
                <w:sz w:val="18"/>
                <w:szCs w:val="22"/>
              </w:rPr>
              <w:t>.</w:t>
            </w:r>
            <w:r w:rsidRPr="006C016E">
              <w:rPr>
                <w:color w:val="000000"/>
                <w:sz w:val="18"/>
                <w:szCs w:val="22"/>
              </w:rPr>
              <w:t>677</w:t>
            </w:r>
            <w:r>
              <w:rPr>
                <w:color w:val="000000"/>
                <w:sz w:val="18"/>
                <w:szCs w:val="22"/>
              </w:rPr>
              <w:t>.</w:t>
            </w:r>
            <w:r w:rsidRPr="006C016E">
              <w:rPr>
                <w:color w:val="000000"/>
                <w:sz w:val="18"/>
                <w:szCs w:val="22"/>
              </w:rPr>
              <w:t>431</w:t>
            </w:r>
          </w:p>
        </w:tc>
      </w:tr>
      <w:tr w:rsidR="00BA56AD" w:rsidRPr="005B1CAE" w14:paraId="47DC82B7"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288A1AEA" w14:textId="77777777" w:rsidR="00BA56AD" w:rsidRPr="006C016E" w:rsidRDefault="00BA56AD" w:rsidP="00FB5615">
            <w:pPr>
              <w:jc w:val="center"/>
              <w:rPr>
                <w:color w:val="000000"/>
                <w:sz w:val="18"/>
                <w:szCs w:val="22"/>
              </w:rPr>
            </w:pPr>
            <w:r>
              <w:rPr>
                <w:color w:val="000000"/>
                <w:sz w:val="18"/>
                <w:szCs w:val="22"/>
              </w:rPr>
              <w:t>8</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553738F5" w14:textId="77777777" w:rsidR="00BA56AD" w:rsidRPr="006C016E" w:rsidRDefault="00BA56AD" w:rsidP="00FB5615">
            <w:pPr>
              <w:jc w:val="center"/>
              <w:rPr>
                <w:color w:val="000000"/>
                <w:sz w:val="18"/>
                <w:szCs w:val="20"/>
                <w:lang w:val="es-CO" w:eastAsia="es-CO"/>
              </w:rPr>
            </w:pPr>
            <w:r w:rsidRPr="006C016E">
              <w:rPr>
                <w:color w:val="000000"/>
                <w:sz w:val="18"/>
                <w:szCs w:val="22"/>
              </w:rPr>
              <w:t>574</w:t>
            </w:r>
            <w:r>
              <w:rPr>
                <w:color w:val="000000"/>
                <w:sz w:val="18"/>
                <w:szCs w:val="22"/>
              </w:rPr>
              <w:t>.</w:t>
            </w:r>
            <w:r w:rsidRPr="006C016E">
              <w:rPr>
                <w:color w:val="000000"/>
                <w:sz w:val="18"/>
                <w:szCs w:val="22"/>
              </w:rPr>
              <w:t>724</w:t>
            </w:r>
            <w:r>
              <w:rPr>
                <w:color w:val="000000"/>
                <w:sz w:val="18"/>
                <w:szCs w:val="22"/>
              </w:rPr>
              <w:t>.</w:t>
            </w:r>
            <w:r w:rsidRPr="006C016E">
              <w:rPr>
                <w:color w:val="000000"/>
                <w:sz w:val="18"/>
                <w:szCs w:val="22"/>
              </w:rPr>
              <w:t>221</w:t>
            </w:r>
          </w:p>
        </w:tc>
        <w:tc>
          <w:tcPr>
            <w:tcW w:w="1630" w:type="dxa"/>
            <w:tcBorders>
              <w:top w:val="nil"/>
              <w:left w:val="nil"/>
              <w:bottom w:val="single" w:sz="4" w:space="0" w:color="auto"/>
              <w:right w:val="single" w:sz="4" w:space="0" w:color="auto"/>
            </w:tcBorders>
            <w:shd w:val="clear" w:color="auto" w:fill="auto"/>
            <w:noWrap/>
            <w:vAlign w:val="bottom"/>
          </w:tcPr>
          <w:p w14:paraId="4290E073" w14:textId="77777777" w:rsidR="00BA56AD" w:rsidRPr="006C016E" w:rsidRDefault="00BA56AD" w:rsidP="00FB5615">
            <w:pPr>
              <w:jc w:val="center"/>
              <w:rPr>
                <w:color w:val="000000"/>
                <w:sz w:val="18"/>
                <w:szCs w:val="20"/>
                <w:lang w:val="es-CO" w:eastAsia="es-CO"/>
              </w:rPr>
            </w:pPr>
            <w:r w:rsidRPr="006C016E">
              <w:rPr>
                <w:color w:val="000000"/>
                <w:sz w:val="18"/>
                <w:szCs w:val="22"/>
              </w:rPr>
              <w:t>321</w:t>
            </w:r>
            <w:r>
              <w:rPr>
                <w:color w:val="000000"/>
                <w:sz w:val="18"/>
                <w:szCs w:val="22"/>
              </w:rPr>
              <w:t>.</w:t>
            </w:r>
            <w:r w:rsidRPr="006C016E">
              <w:rPr>
                <w:color w:val="000000"/>
                <w:sz w:val="18"/>
                <w:szCs w:val="22"/>
              </w:rPr>
              <w:t>845</w:t>
            </w:r>
            <w:r>
              <w:rPr>
                <w:color w:val="000000"/>
                <w:sz w:val="18"/>
                <w:szCs w:val="22"/>
              </w:rPr>
              <w:t>.</w:t>
            </w:r>
            <w:r w:rsidRPr="006C016E">
              <w:rPr>
                <w:color w:val="000000"/>
                <w:sz w:val="18"/>
                <w:szCs w:val="22"/>
              </w:rPr>
              <w:t>564</w:t>
            </w:r>
          </w:p>
        </w:tc>
        <w:tc>
          <w:tcPr>
            <w:tcW w:w="1960" w:type="dxa"/>
            <w:tcBorders>
              <w:top w:val="nil"/>
              <w:left w:val="nil"/>
              <w:bottom w:val="single" w:sz="4" w:space="0" w:color="auto"/>
              <w:right w:val="single" w:sz="4" w:space="0" w:color="auto"/>
            </w:tcBorders>
            <w:shd w:val="clear" w:color="auto" w:fill="auto"/>
            <w:noWrap/>
            <w:vAlign w:val="bottom"/>
          </w:tcPr>
          <w:p w14:paraId="4AFF86A0" w14:textId="77777777" w:rsidR="00BA56AD" w:rsidRPr="006C016E" w:rsidRDefault="00BA56AD" w:rsidP="00FB5615">
            <w:pPr>
              <w:jc w:val="center"/>
              <w:rPr>
                <w:color w:val="000000"/>
                <w:sz w:val="18"/>
                <w:szCs w:val="22"/>
              </w:rPr>
            </w:pPr>
            <w:r w:rsidRPr="006C016E">
              <w:rPr>
                <w:color w:val="000000"/>
                <w:sz w:val="18"/>
                <w:szCs w:val="22"/>
              </w:rPr>
              <w:t>252</w:t>
            </w:r>
            <w:r>
              <w:rPr>
                <w:color w:val="000000"/>
                <w:sz w:val="18"/>
                <w:szCs w:val="22"/>
              </w:rPr>
              <w:t>.</w:t>
            </w:r>
            <w:r w:rsidRPr="006C016E">
              <w:rPr>
                <w:color w:val="000000"/>
                <w:sz w:val="18"/>
                <w:szCs w:val="22"/>
              </w:rPr>
              <w:t>878</w:t>
            </w:r>
            <w:r>
              <w:rPr>
                <w:color w:val="000000"/>
                <w:sz w:val="18"/>
                <w:szCs w:val="22"/>
              </w:rPr>
              <w:t>.</w:t>
            </w:r>
            <w:r w:rsidRPr="006C016E">
              <w:rPr>
                <w:color w:val="000000"/>
                <w:sz w:val="18"/>
                <w:szCs w:val="22"/>
              </w:rPr>
              <w:t>657</w:t>
            </w:r>
          </w:p>
        </w:tc>
      </w:tr>
      <w:tr w:rsidR="00BA56AD" w:rsidRPr="005B1CAE" w14:paraId="2318B1A1"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718F711B" w14:textId="77777777" w:rsidR="00BA56AD" w:rsidRPr="006C016E" w:rsidRDefault="00BA56AD" w:rsidP="00FB5615">
            <w:pPr>
              <w:jc w:val="center"/>
              <w:rPr>
                <w:color w:val="000000"/>
                <w:sz w:val="18"/>
                <w:szCs w:val="22"/>
              </w:rPr>
            </w:pPr>
            <w:r>
              <w:rPr>
                <w:color w:val="000000"/>
                <w:sz w:val="18"/>
                <w:szCs w:val="22"/>
              </w:rPr>
              <w:t>9</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26F315B7" w14:textId="77777777" w:rsidR="00BA56AD" w:rsidRPr="006C016E" w:rsidRDefault="00BA56AD" w:rsidP="00FB5615">
            <w:pPr>
              <w:jc w:val="center"/>
              <w:rPr>
                <w:color w:val="000000"/>
                <w:sz w:val="18"/>
                <w:szCs w:val="20"/>
                <w:lang w:val="es-CO" w:eastAsia="es-CO"/>
              </w:rPr>
            </w:pPr>
            <w:r w:rsidRPr="006C016E">
              <w:rPr>
                <w:color w:val="000000"/>
                <w:sz w:val="18"/>
                <w:szCs w:val="22"/>
              </w:rPr>
              <w:t>586</w:t>
            </w:r>
            <w:r>
              <w:rPr>
                <w:color w:val="000000"/>
                <w:sz w:val="18"/>
                <w:szCs w:val="22"/>
              </w:rPr>
              <w:t>.</w:t>
            </w:r>
            <w:r w:rsidRPr="006C016E">
              <w:rPr>
                <w:color w:val="000000"/>
                <w:sz w:val="18"/>
                <w:szCs w:val="22"/>
              </w:rPr>
              <w:t>793</w:t>
            </w:r>
            <w:r>
              <w:rPr>
                <w:color w:val="000000"/>
                <w:sz w:val="18"/>
                <w:szCs w:val="22"/>
              </w:rPr>
              <w:t>.</w:t>
            </w:r>
            <w:r w:rsidRPr="006C016E">
              <w:rPr>
                <w:color w:val="000000"/>
                <w:sz w:val="18"/>
                <w:szCs w:val="22"/>
              </w:rPr>
              <w:t>430</w:t>
            </w:r>
          </w:p>
        </w:tc>
        <w:tc>
          <w:tcPr>
            <w:tcW w:w="1630" w:type="dxa"/>
            <w:tcBorders>
              <w:top w:val="nil"/>
              <w:left w:val="nil"/>
              <w:bottom w:val="single" w:sz="4" w:space="0" w:color="auto"/>
              <w:right w:val="single" w:sz="4" w:space="0" w:color="auto"/>
            </w:tcBorders>
            <w:shd w:val="clear" w:color="auto" w:fill="auto"/>
            <w:noWrap/>
            <w:vAlign w:val="bottom"/>
          </w:tcPr>
          <w:p w14:paraId="5694DF87" w14:textId="77777777" w:rsidR="00BA56AD" w:rsidRPr="006C016E" w:rsidRDefault="00BA56AD" w:rsidP="00FB5615">
            <w:pPr>
              <w:jc w:val="center"/>
              <w:rPr>
                <w:color w:val="000000"/>
                <w:sz w:val="18"/>
                <w:szCs w:val="20"/>
                <w:lang w:val="es-CO" w:eastAsia="es-CO"/>
              </w:rPr>
            </w:pPr>
            <w:r w:rsidRPr="006C016E">
              <w:rPr>
                <w:color w:val="000000"/>
                <w:sz w:val="18"/>
                <w:szCs w:val="22"/>
              </w:rPr>
              <w:t>328</w:t>
            </w:r>
            <w:r>
              <w:rPr>
                <w:color w:val="000000"/>
                <w:sz w:val="18"/>
                <w:szCs w:val="22"/>
              </w:rPr>
              <w:t>.</w:t>
            </w:r>
            <w:r w:rsidRPr="006C016E">
              <w:rPr>
                <w:color w:val="000000"/>
                <w:sz w:val="18"/>
                <w:szCs w:val="22"/>
              </w:rPr>
              <w:t>604</w:t>
            </w:r>
            <w:r>
              <w:rPr>
                <w:color w:val="000000"/>
                <w:sz w:val="18"/>
                <w:szCs w:val="22"/>
              </w:rPr>
              <w:t>.</w:t>
            </w:r>
            <w:r w:rsidRPr="006C016E">
              <w:rPr>
                <w:color w:val="000000"/>
                <w:sz w:val="18"/>
                <w:szCs w:val="22"/>
              </w:rPr>
              <w:t>321</w:t>
            </w:r>
          </w:p>
        </w:tc>
        <w:tc>
          <w:tcPr>
            <w:tcW w:w="1960" w:type="dxa"/>
            <w:tcBorders>
              <w:top w:val="nil"/>
              <w:left w:val="nil"/>
              <w:bottom w:val="single" w:sz="4" w:space="0" w:color="auto"/>
              <w:right w:val="single" w:sz="4" w:space="0" w:color="auto"/>
            </w:tcBorders>
            <w:shd w:val="clear" w:color="auto" w:fill="auto"/>
            <w:noWrap/>
            <w:vAlign w:val="bottom"/>
          </w:tcPr>
          <w:p w14:paraId="285013EA" w14:textId="77777777" w:rsidR="00BA56AD" w:rsidRPr="006C016E" w:rsidRDefault="00BA56AD" w:rsidP="00FB5615">
            <w:pPr>
              <w:jc w:val="center"/>
              <w:rPr>
                <w:color w:val="000000"/>
                <w:sz w:val="18"/>
                <w:szCs w:val="22"/>
              </w:rPr>
            </w:pPr>
            <w:r w:rsidRPr="006C016E">
              <w:rPr>
                <w:color w:val="000000"/>
                <w:sz w:val="18"/>
                <w:szCs w:val="22"/>
              </w:rPr>
              <w:t>258</w:t>
            </w:r>
            <w:r>
              <w:rPr>
                <w:color w:val="000000"/>
                <w:sz w:val="18"/>
                <w:szCs w:val="22"/>
              </w:rPr>
              <w:t>.</w:t>
            </w:r>
            <w:r w:rsidRPr="006C016E">
              <w:rPr>
                <w:color w:val="000000"/>
                <w:sz w:val="18"/>
                <w:szCs w:val="22"/>
              </w:rPr>
              <w:t>189</w:t>
            </w:r>
            <w:r>
              <w:rPr>
                <w:color w:val="000000"/>
                <w:sz w:val="18"/>
                <w:szCs w:val="22"/>
              </w:rPr>
              <w:t>.</w:t>
            </w:r>
            <w:r w:rsidRPr="006C016E">
              <w:rPr>
                <w:color w:val="000000"/>
                <w:sz w:val="18"/>
                <w:szCs w:val="22"/>
              </w:rPr>
              <w:t>109</w:t>
            </w:r>
          </w:p>
        </w:tc>
      </w:tr>
      <w:tr w:rsidR="00BA56AD" w:rsidRPr="005B1CAE" w14:paraId="342B3522"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05633B1E" w14:textId="77777777" w:rsidR="00BA56AD" w:rsidRPr="006C016E" w:rsidRDefault="00BA56AD" w:rsidP="00FB5615">
            <w:pPr>
              <w:jc w:val="center"/>
              <w:rPr>
                <w:color w:val="000000"/>
                <w:sz w:val="18"/>
                <w:szCs w:val="22"/>
              </w:rPr>
            </w:pPr>
            <w:r>
              <w:rPr>
                <w:color w:val="000000"/>
                <w:sz w:val="18"/>
                <w:szCs w:val="22"/>
              </w:rPr>
              <w:t>10</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4ADFA844" w14:textId="77777777" w:rsidR="00BA56AD" w:rsidRPr="006C016E" w:rsidRDefault="00BA56AD" w:rsidP="00FB5615">
            <w:pPr>
              <w:jc w:val="center"/>
              <w:rPr>
                <w:color w:val="000000"/>
                <w:sz w:val="18"/>
                <w:szCs w:val="20"/>
                <w:lang w:val="es-CO" w:eastAsia="es-CO"/>
              </w:rPr>
            </w:pPr>
            <w:r w:rsidRPr="006C016E">
              <w:rPr>
                <w:color w:val="000000"/>
                <w:sz w:val="18"/>
                <w:szCs w:val="22"/>
              </w:rPr>
              <w:t>599</w:t>
            </w:r>
            <w:r>
              <w:rPr>
                <w:color w:val="000000"/>
                <w:sz w:val="18"/>
                <w:szCs w:val="22"/>
              </w:rPr>
              <w:t>.</w:t>
            </w:r>
            <w:r w:rsidRPr="006C016E">
              <w:rPr>
                <w:color w:val="000000"/>
                <w:sz w:val="18"/>
                <w:szCs w:val="22"/>
              </w:rPr>
              <w:t>116</w:t>
            </w:r>
            <w:r>
              <w:rPr>
                <w:color w:val="000000"/>
                <w:sz w:val="18"/>
                <w:szCs w:val="22"/>
              </w:rPr>
              <w:t>.</w:t>
            </w:r>
            <w:r w:rsidRPr="006C016E">
              <w:rPr>
                <w:color w:val="000000"/>
                <w:sz w:val="18"/>
                <w:szCs w:val="22"/>
              </w:rPr>
              <w:t>092</w:t>
            </w:r>
          </w:p>
        </w:tc>
        <w:tc>
          <w:tcPr>
            <w:tcW w:w="1630" w:type="dxa"/>
            <w:tcBorders>
              <w:top w:val="nil"/>
              <w:left w:val="nil"/>
              <w:bottom w:val="single" w:sz="4" w:space="0" w:color="auto"/>
              <w:right w:val="single" w:sz="4" w:space="0" w:color="auto"/>
            </w:tcBorders>
            <w:shd w:val="clear" w:color="auto" w:fill="auto"/>
            <w:noWrap/>
            <w:vAlign w:val="bottom"/>
          </w:tcPr>
          <w:p w14:paraId="014725A7" w14:textId="77777777" w:rsidR="00BA56AD" w:rsidRPr="006C016E" w:rsidRDefault="00BA56AD" w:rsidP="00FB5615">
            <w:pPr>
              <w:jc w:val="center"/>
              <w:rPr>
                <w:color w:val="000000"/>
                <w:sz w:val="18"/>
                <w:szCs w:val="20"/>
                <w:lang w:val="es-CO" w:eastAsia="es-CO"/>
              </w:rPr>
            </w:pPr>
            <w:r w:rsidRPr="006C016E">
              <w:rPr>
                <w:color w:val="000000"/>
                <w:sz w:val="18"/>
                <w:szCs w:val="22"/>
              </w:rPr>
              <w:t>335</w:t>
            </w:r>
            <w:r>
              <w:rPr>
                <w:color w:val="000000"/>
                <w:sz w:val="18"/>
                <w:szCs w:val="22"/>
              </w:rPr>
              <w:t>.</w:t>
            </w:r>
            <w:r w:rsidRPr="006C016E">
              <w:rPr>
                <w:color w:val="000000"/>
                <w:sz w:val="18"/>
                <w:szCs w:val="22"/>
              </w:rPr>
              <w:t>505</w:t>
            </w:r>
            <w:r>
              <w:rPr>
                <w:color w:val="000000"/>
                <w:sz w:val="18"/>
                <w:szCs w:val="22"/>
              </w:rPr>
              <w:t>.</w:t>
            </w:r>
            <w:r w:rsidRPr="006C016E">
              <w:rPr>
                <w:color w:val="000000"/>
                <w:sz w:val="18"/>
                <w:szCs w:val="22"/>
              </w:rPr>
              <w:t>011</w:t>
            </w:r>
          </w:p>
        </w:tc>
        <w:tc>
          <w:tcPr>
            <w:tcW w:w="1960" w:type="dxa"/>
            <w:tcBorders>
              <w:top w:val="nil"/>
              <w:left w:val="nil"/>
              <w:bottom w:val="single" w:sz="4" w:space="0" w:color="auto"/>
              <w:right w:val="single" w:sz="4" w:space="0" w:color="auto"/>
            </w:tcBorders>
            <w:shd w:val="clear" w:color="auto" w:fill="auto"/>
            <w:noWrap/>
            <w:vAlign w:val="bottom"/>
          </w:tcPr>
          <w:p w14:paraId="217C2F31" w14:textId="77777777" w:rsidR="00BA56AD" w:rsidRPr="006C016E" w:rsidRDefault="00BA56AD" w:rsidP="00FB5615">
            <w:pPr>
              <w:jc w:val="center"/>
              <w:rPr>
                <w:color w:val="000000"/>
                <w:sz w:val="18"/>
                <w:szCs w:val="22"/>
              </w:rPr>
            </w:pPr>
            <w:r w:rsidRPr="006C016E">
              <w:rPr>
                <w:color w:val="000000"/>
                <w:sz w:val="18"/>
                <w:szCs w:val="22"/>
              </w:rPr>
              <w:t>263</w:t>
            </w:r>
            <w:r>
              <w:rPr>
                <w:color w:val="000000"/>
                <w:sz w:val="18"/>
                <w:szCs w:val="22"/>
              </w:rPr>
              <w:t>.</w:t>
            </w:r>
            <w:r w:rsidRPr="006C016E">
              <w:rPr>
                <w:color w:val="000000"/>
                <w:sz w:val="18"/>
                <w:szCs w:val="22"/>
              </w:rPr>
              <w:t>611</w:t>
            </w:r>
            <w:r>
              <w:rPr>
                <w:color w:val="000000"/>
                <w:sz w:val="18"/>
                <w:szCs w:val="22"/>
              </w:rPr>
              <w:t>.</w:t>
            </w:r>
            <w:r w:rsidRPr="006C016E">
              <w:rPr>
                <w:color w:val="000000"/>
                <w:sz w:val="18"/>
                <w:szCs w:val="22"/>
              </w:rPr>
              <w:t>080</w:t>
            </w:r>
          </w:p>
        </w:tc>
      </w:tr>
      <w:tr w:rsidR="00BA56AD" w:rsidRPr="005B1CAE" w14:paraId="61320F28"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78A21F85" w14:textId="77777777" w:rsidR="00BA56AD" w:rsidRPr="006C016E" w:rsidRDefault="00BA56AD" w:rsidP="00FB5615">
            <w:pPr>
              <w:jc w:val="center"/>
              <w:rPr>
                <w:color w:val="000000"/>
                <w:sz w:val="18"/>
                <w:szCs w:val="22"/>
              </w:rPr>
            </w:pPr>
            <w:r>
              <w:rPr>
                <w:color w:val="000000"/>
                <w:sz w:val="18"/>
                <w:szCs w:val="22"/>
              </w:rPr>
              <w:t>11</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7EA0226B" w14:textId="77777777" w:rsidR="00BA56AD" w:rsidRPr="006C016E" w:rsidRDefault="00BA56AD" w:rsidP="00FB5615">
            <w:pPr>
              <w:jc w:val="center"/>
              <w:rPr>
                <w:color w:val="000000"/>
                <w:sz w:val="18"/>
                <w:szCs w:val="20"/>
                <w:lang w:val="es-CO" w:eastAsia="es-CO"/>
              </w:rPr>
            </w:pPr>
            <w:r w:rsidRPr="006C016E">
              <w:rPr>
                <w:color w:val="000000"/>
                <w:sz w:val="18"/>
                <w:szCs w:val="22"/>
              </w:rPr>
              <w:t>611</w:t>
            </w:r>
            <w:r>
              <w:rPr>
                <w:color w:val="000000"/>
                <w:sz w:val="18"/>
                <w:szCs w:val="22"/>
              </w:rPr>
              <w:t>.</w:t>
            </w:r>
            <w:r w:rsidRPr="006C016E">
              <w:rPr>
                <w:color w:val="000000"/>
                <w:sz w:val="18"/>
                <w:szCs w:val="22"/>
              </w:rPr>
              <w:t>697</w:t>
            </w:r>
            <w:r>
              <w:rPr>
                <w:color w:val="000000"/>
                <w:sz w:val="18"/>
                <w:szCs w:val="22"/>
              </w:rPr>
              <w:t>.</w:t>
            </w:r>
            <w:r w:rsidRPr="006C016E">
              <w:rPr>
                <w:color w:val="000000"/>
                <w:sz w:val="18"/>
                <w:szCs w:val="22"/>
              </w:rPr>
              <w:t>530</w:t>
            </w:r>
          </w:p>
        </w:tc>
        <w:tc>
          <w:tcPr>
            <w:tcW w:w="1630" w:type="dxa"/>
            <w:tcBorders>
              <w:top w:val="nil"/>
              <w:left w:val="nil"/>
              <w:bottom w:val="single" w:sz="4" w:space="0" w:color="auto"/>
              <w:right w:val="single" w:sz="4" w:space="0" w:color="auto"/>
            </w:tcBorders>
            <w:shd w:val="clear" w:color="auto" w:fill="auto"/>
            <w:noWrap/>
            <w:vAlign w:val="bottom"/>
          </w:tcPr>
          <w:p w14:paraId="60555715" w14:textId="77777777" w:rsidR="00BA56AD" w:rsidRPr="006C016E" w:rsidRDefault="00BA56AD" w:rsidP="00FB5615">
            <w:pPr>
              <w:jc w:val="center"/>
              <w:rPr>
                <w:color w:val="000000"/>
                <w:sz w:val="18"/>
                <w:szCs w:val="20"/>
                <w:lang w:val="es-CO" w:eastAsia="es-CO"/>
              </w:rPr>
            </w:pPr>
            <w:r w:rsidRPr="006C016E">
              <w:rPr>
                <w:color w:val="000000"/>
                <w:sz w:val="18"/>
                <w:szCs w:val="22"/>
              </w:rPr>
              <w:t>342</w:t>
            </w:r>
            <w:r>
              <w:rPr>
                <w:color w:val="000000"/>
                <w:sz w:val="18"/>
                <w:szCs w:val="22"/>
              </w:rPr>
              <w:t>.</w:t>
            </w:r>
            <w:r w:rsidRPr="006C016E">
              <w:rPr>
                <w:color w:val="000000"/>
                <w:sz w:val="18"/>
                <w:szCs w:val="22"/>
              </w:rPr>
              <w:t>550</w:t>
            </w:r>
            <w:r>
              <w:rPr>
                <w:color w:val="000000"/>
                <w:sz w:val="18"/>
                <w:szCs w:val="22"/>
              </w:rPr>
              <w:t>.</w:t>
            </w:r>
            <w:r w:rsidRPr="006C016E">
              <w:rPr>
                <w:color w:val="000000"/>
                <w:sz w:val="18"/>
                <w:szCs w:val="22"/>
              </w:rPr>
              <w:t>617</w:t>
            </w:r>
          </w:p>
        </w:tc>
        <w:tc>
          <w:tcPr>
            <w:tcW w:w="1960" w:type="dxa"/>
            <w:tcBorders>
              <w:top w:val="nil"/>
              <w:left w:val="nil"/>
              <w:bottom w:val="single" w:sz="4" w:space="0" w:color="auto"/>
              <w:right w:val="single" w:sz="4" w:space="0" w:color="auto"/>
            </w:tcBorders>
            <w:shd w:val="clear" w:color="auto" w:fill="auto"/>
            <w:noWrap/>
            <w:vAlign w:val="bottom"/>
          </w:tcPr>
          <w:p w14:paraId="44FAB657" w14:textId="77777777" w:rsidR="00BA56AD" w:rsidRPr="006C016E" w:rsidRDefault="00BA56AD" w:rsidP="00FB5615">
            <w:pPr>
              <w:jc w:val="center"/>
              <w:rPr>
                <w:color w:val="000000"/>
                <w:sz w:val="18"/>
                <w:szCs w:val="22"/>
              </w:rPr>
            </w:pPr>
            <w:r w:rsidRPr="006C016E">
              <w:rPr>
                <w:color w:val="000000"/>
                <w:sz w:val="18"/>
                <w:szCs w:val="22"/>
              </w:rPr>
              <w:t>269</w:t>
            </w:r>
            <w:r>
              <w:rPr>
                <w:color w:val="000000"/>
                <w:sz w:val="18"/>
                <w:szCs w:val="22"/>
              </w:rPr>
              <w:t>.</w:t>
            </w:r>
            <w:r w:rsidRPr="006C016E">
              <w:rPr>
                <w:color w:val="000000"/>
                <w:sz w:val="18"/>
                <w:szCs w:val="22"/>
              </w:rPr>
              <w:t>146</w:t>
            </w:r>
            <w:r>
              <w:rPr>
                <w:color w:val="000000"/>
                <w:sz w:val="18"/>
                <w:szCs w:val="22"/>
              </w:rPr>
              <w:t>.</w:t>
            </w:r>
            <w:r w:rsidRPr="006C016E">
              <w:rPr>
                <w:color w:val="000000"/>
                <w:sz w:val="18"/>
                <w:szCs w:val="22"/>
              </w:rPr>
              <w:t>913</w:t>
            </w:r>
          </w:p>
        </w:tc>
      </w:tr>
      <w:tr w:rsidR="00BA56AD" w:rsidRPr="005B1CAE" w14:paraId="404CD76C"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587C4C6B" w14:textId="77777777" w:rsidR="00BA56AD" w:rsidRPr="006C016E" w:rsidRDefault="00BA56AD" w:rsidP="00FB5615">
            <w:pPr>
              <w:jc w:val="center"/>
              <w:rPr>
                <w:color w:val="000000"/>
                <w:sz w:val="18"/>
                <w:szCs w:val="22"/>
              </w:rPr>
            </w:pPr>
            <w:r>
              <w:rPr>
                <w:color w:val="000000"/>
                <w:sz w:val="18"/>
                <w:szCs w:val="22"/>
              </w:rPr>
              <w:t>12</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338C8B60" w14:textId="77777777" w:rsidR="00BA56AD" w:rsidRPr="006C016E" w:rsidRDefault="00BA56AD" w:rsidP="00FB5615">
            <w:pPr>
              <w:jc w:val="center"/>
              <w:rPr>
                <w:color w:val="000000"/>
                <w:sz w:val="18"/>
                <w:szCs w:val="20"/>
                <w:lang w:val="es-CO" w:eastAsia="es-CO"/>
              </w:rPr>
            </w:pPr>
            <w:r w:rsidRPr="006C016E">
              <w:rPr>
                <w:color w:val="000000"/>
                <w:sz w:val="18"/>
                <w:szCs w:val="22"/>
              </w:rPr>
              <w:t>624</w:t>
            </w:r>
            <w:r>
              <w:rPr>
                <w:color w:val="000000"/>
                <w:sz w:val="18"/>
                <w:szCs w:val="22"/>
              </w:rPr>
              <w:t>.</w:t>
            </w:r>
            <w:r w:rsidRPr="006C016E">
              <w:rPr>
                <w:color w:val="000000"/>
                <w:sz w:val="18"/>
                <w:szCs w:val="22"/>
              </w:rPr>
              <w:t>543</w:t>
            </w:r>
            <w:r>
              <w:rPr>
                <w:color w:val="000000"/>
                <w:sz w:val="18"/>
                <w:szCs w:val="22"/>
              </w:rPr>
              <w:t>.</w:t>
            </w:r>
            <w:r w:rsidRPr="006C016E">
              <w:rPr>
                <w:color w:val="000000"/>
                <w:sz w:val="18"/>
                <w:szCs w:val="22"/>
              </w:rPr>
              <w:t>178</w:t>
            </w:r>
          </w:p>
        </w:tc>
        <w:tc>
          <w:tcPr>
            <w:tcW w:w="1630" w:type="dxa"/>
            <w:tcBorders>
              <w:top w:val="nil"/>
              <w:left w:val="nil"/>
              <w:bottom w:val="single" w:sz="4" w:space="0" w:color="auto"/>
              <w:right w:val="single" w:sz="4" w:space="0" w:color="auto"/>
            </w:tcBorders>
            <w:shd w:val="clear" w:color="auto" w:fill="auto"/>
            <w:noWrap/>
            <w:vAlign w:val="bottom"/>
          </w:tcPr>
          <w:p w14:paraId="31CBA7EF" w14:textId="77777777" w:rsidR="00BA56AD" w:rsidRPr="006C016E" w:rsidRDefault="00BA56AD" w:rsidP="00FB5615">
            <w:pPr>
              <w:jc w:val="center"/>
              <w:rPr>
                <w:color w:val="000000"/>
                <w:sz w:val="18"/>
                <w:szCs w:val="20"/>
                <w:lang w:val="es-CO" w:eastAsia="es-CO"/>
              </w:rPr>
            </w:pPr>
            <w:r w:rsidRPr="006C016E">
              <w:rPr>
                <w:color w:val="000000"/>
                <w:sz w:val="18"/>
                <w:szCs w:val="22"/>
              </w:rPr>
              <w:t>349</w:t>
            </w:r>
            <w:r>
              <w:rPr>
                <w:color w:val="000000"/>
                <w:sz w:val="18"/>
                <w:szCs w:val="22"/>
              </w:rPr>
              <w:t>.</w:t>
            </w:r>
            <w:r w:rsidRPr="006C016E">
              <w:rPr>
                <w:color w:val="000000"/>
                <w:sz w:val="18"/>
                <w:szCs w:val="22"/>
              </w:rPr>
              <w:t>744</w:t>
            </w:r>
            <w:r>
              <w:rPr>
                <w:color w:val="000000"/>
                <w:sz w:val="18"/>
                <w:szCs w:val="22"/>
              </w:rPr>
              <w:t>.</w:t>
            </w:r>
            <w:r w:rsidRPr="006C016E">
              <w:rPr>
                <w:color w:val="000000"/>
                <w:sz w:val="18"/>
                <w:szCs w:val="22"/>
              </w:rPr>
              <w:t>179</w:t>
            </w:r>
          </w:p>
        </w:tc>
        <w:tc>
          <w:tcPr>
            <w:tcW w:w="1960" w:type="dxa"/>
            <w:tcBorders>
              <w:top w:val="nil"/>
              <w:left w:val="nil"/>
              <w:bottom w:val="single" w:sz="4" w:space="0" w:color="auto"/>
              <w:right w:val="single" w:sz="4" w:space="0" w:color="auto"/>
            </w:tcBorders>
            <w:shd w:val="clear" w:color="auto" w:fill="auto"/>
            <w:noWrap/>
            <w:vAlign w:val="bottom"/>
          </w:tcPr>
          <w:p w14:paraId="6CF64F4B" w14:textId="77777777" w:rsidR="00BA56AD" w:rsidRPr="006C016E" w:rsidRDefault="00BA56AD" w:rsidP="00FB5615">
            <w:pPr>
              <w:jc w:val="center"/>
              <w:rPr>
                <w:color w:val="000000"/>
                <w:sz w:val="18"/>
                <w:szCs w:val="22"/>
              </w:rPr>
            </w:pPr>
            <w:r w:rsidRPr="006C016E">
              <w:rPr>
                <w:color w:val="000000"/>
                <w:sz w:val="18"/>
                <w:szCs w:val="22"/>
              </w:rPr>
              <w:t>274</w:t>
            </w:r>
            <w:r>
              <w:rPr>
                <w:color w:val="000000"/>
                <w:sz w:val="18"/>
                <w:szCs w:val="22"/>
              </w:rPr>
              <w:t>.</w:t>
            </w:r>
            <w:r w:rsidRPr="006C016E">
              <w:rPr>
                <w:color w:val="000000"/>
                <w:sz w:val="18"/>
                <w:szCs w:val="22"/>
              </w:rPr>
              <w:t>798</w:t>
            </w:r>
            <w:r>
              <w:rPr>
                <w:color w:val="000000"/>
                <w:sz w:val="18"/>
                <w:szCs w:val="22"/>
              </w:rPr>
              <w:t>.</w:t>
            </w:r>
            <w:r w:rsidRPr="006C016E">
              <w:rPr>
                <w:color w:val="000000"/>
                <w:sz w:val="18"/>
                <w:szCs w:val="22"/>
              </w:rPr>
              <w:t>998</w:t>
            </w:r>
          </w:p>
        </w:tc>
      </w:tr>
      <w:tr w:rsidR="00BA56AD" w:rsidRPr="005B1CAE" w14:paraId="178A9017"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5EF128B8" w14:textId="77777777" w:rsidR="00BA56AD" w:rsidRPr="006C016E" w:rsidRDefault="00BA56AD" w:rsidP="00FB5615">
            <w:pPr>
              <w:jc w:val="center"/>
              <w:rPr>
                <w:color w:val="000000"/>
                <w:sz w:val="18"/>
                <w:szCs w:val="22"/>
              </w:rPr>
            </w:pPr>
            <w:r>
              <w:rPr>
                <w:color w:val="000000"/>
                <w:sz w:val="18"/>
                <w:szCs w:val="22"/>
              </w:rPr>
              <w:t>13</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64B3F68E" w14:textId="77777777" w:rsidR="00BA56AD" w:rsidRPr="006C016E" w:rsidRDefault="00BA56AD" w:rsidP="00FB5615">
            <w:pPr>
              <w:jc w:val="center"/>
              <w:rPr>
                <w:color w:val="000000"/>
                <w:sz w:val="18"/>
                <w:szCs w:val="20"/>
                <w:lang w:val="es-CO" w:eastAsia="es-CO"/>
              </w:rPr>
            </w:pPr>
            <w:r w:rsidRPr="006C016E">
              <w:rPr>
                <w:color w:val="000000"/>
                <w:sz w:val="18"/>
                <w:szCs w:val="22"/>
              </w:rPr>
              <w:t>637</w:t>
            </w:r>
            <w:r>
              <w:rPr>
                <w:color w:val="000000"/>
                <w:sz w:val="18"/>
                <w:szCs w:val="22"/>
              </w:rPr>
              <w:t>.</w:t>
            </w:r>
            <w:r w:rsidRPr="006C016E">
              <w:rPr>
                <w:color w:val="000000"/>
                <w:sz w:val="18"/>
                <w:szCs w:val="22"/>
              </w:rPr>
              <w:t>658</w:t>
            </w:r>
            <w:r>
              <w:rPr>
                <w:color w:val="000000"/>
                <w:sz w:val="18"/>
                <w:szCs w:val="22"/>
              </w:rPr>
              <w:t>.</w:t>
            </w:r>
            <w:r w:rsidRPr="006C016E">
              <w:rPr>
                <w:color w:val="000000"/>
                <w:sz w:val="18"/>
                <w:szCs w:val="22"/>
              </w:rPr>
              <w:t>584</w:t>
            </w:r>
          </w:p>
        </w:tc>
        <w:tc>
          <w:tcPr>
            <w:tcW w:w="1630" w:type="dxa"/>
            <w:tcBorders>
              <w:top w:val="nil"/>
              <w:left w:val="nil"/>
              <w:bottom w:val="single" w:sz="4" w:space="0" w:color="auto"/>
              <w:right w:val="single" w:sz="4" w:space="0" w:color="auto"/>
            </w:tcBorders>
            <w:shd w:val="clear" w:color="auto" w:fill="auto"/>
            <w:noWrap/>
            <w:vAlign w:val="bottom"/>
          </w:tcPr>
          <w:p w14:paraId="67068C03" w14:textId="77777777" w:rsidR="00BA56AD" w:rsidRPr="006C016E" w:rsidRDefault="00BA56AD" w:rsidP="00FB5615">
            <w:pPr>
              <w:jc w:val="center"/>
              <w:rPr>
                <w:color w:val="000000"/>
                <w:sz w:val="18"/>
                <w:szCs w:val="20"/>
                <w:lang w:val="es-CO" w:eastAsia="es-CO"/>
              </w:rPr>
            </w:pPr>
            <w:r w:rsidRPr="006C016E">
              <w:rPr>
                <w:color w:val="000000"/>
                <w:sz w:val="18"/>
                <w:szCs w:val="22"/>
              </w:rPr>
              <w:t>357</w:t>
            </w:r>
            <w:r>
              <w:rPr>
                <w:color w:val="000000"/>
                <w:sz w:val="18"/>
                <w:szCs w:val="22"/>
              </w:rPr>
              <w:t>.</w:t>
            </w:r>
            <w:r w:rsidRPr="006C016E">
              <w:rPr>
                <w:color w:val="000000"/>
                <w:sz w:val="18"/>
                <w:szCs w:val="22"/>
              </w:rPr>
              <w:t>088</w:t>
            </w:r>
            <w:r>
              <w:rPr>
                <w:color w:val="000000"/>
                <w:sz w:val="18"/>
                <w:szCs w:val="22"/>
              </w:rPr>
              <w:t>.</w:t>
            </w:r>
            <w:r w:rsidRPr="006C016E">
              <w:rPr>
                <w:color w:val="000000"/>
                <w:sz w:val="18"/>
                <w:szCs w:val="22"/>
              </w:rPr>
              <w:t>807</w:t>
            </w:r>
          </w:p>
        </w:tc>
        <w:tc>
          <w:tcPr>
            <w:tcW w:w="1960" w:type="dxa"/>
            <w:tcBorders>
              <w:top w:val="nil"/>
              <w:left w:val="nil"/>
              <w:bottom w:val="single" w:sz="4" w:space="0" w:color="auto"/>
              <w:right w:val="single" w:sz="4" w:space="0" w:color="auto"/>
            </w:tcBorders>
            <w:shd w:val="clear" w:color="auto" w:fill="auto"/>
            <w:noWrap/>
            <w:vAlign w:val="bottom"/>
          </w:tcPr>
          <w:p w14:paraId="0136348C" w14:textId="77777777" w:rsidR="00BA56AD" w:rsidRPr="006C016E" w:rsidRDefault="00BA56AD" w:rsidP="00FB5615">
            <w:pPr>
              <w:jc w:val="center"/>
              <w:rPr>
                <w:color w:val="000000"/>
                <w:sz w:val="18"/>
                <w:szCs w:val="22"/>
              </w:rPr>
            </w:pPr>
            <w:r w:rsidRPr="006C016E">
              <w:rPr>
                <w:color w:val="000000"/>
                <w:sz w:val="18"/>
                <w:szCs w:val="22"/>
              </w:rPr>
              <w:t>280</w:t>
            </w:r>
            <w:r>
              <w:rPr>
                <w:color w:val="000000"/>
                <w:sz w:val="18"/>
                <w:szCs w:val="22"/>
              </w:rPr>
              <w:t>.</w:t>
            </w:r>
            <w:r w:rsidRPr="006C016E">
              <w:rPr>
                <w:color w:val="000000"/>
                <w:sz w:val="18"/>
                <w:szCs w:val="22"/>
              </w:rPr>
              <w:t>569</w:t>
            </w:r>
            <w:r>
              <w:rPr>
                <w:color w:val="000000"/>
                <w:sz w:val="18"/>
                <w:szCs w:val="22"/>
              </w:rPr>
              <w:t>.</w:t>
            </w:r>
            <w:r w:rsidRPr="006C016E">
              <w:rPr>
                <w:color w:val="000000"/>
                <w:sz w:val="18"/>
                <w:szCs w:val="22"/>
              </w:rPr>
              <w:t>777</w:t>
            </w:r>
          </w:p>
        </w:tc>
      </w:tr>
      <w:tr w:rsidR="00BA56AD" w:rsidRPr="005B1CAE" w14:paraId="2DFA0B80"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39C682CC" w14:textId="77777777" w:rsidR="00BA56AD" w:rsidRPr="006C016E" w:rsidRDefault="00BA56AD" w:rsidP="00FB5615">
            <w:pPr>
              <w:jc w:val="center"/>
              <w:rPr>
                <w:color w:val="000000"/>
                <w:sz w:val="18"/>
                <w:szCs w:val="22"/>
              </w:rPr>
            </w:pPr>
            <w:r>
              <w:rPr>
                <w:color w:val="000000"/>
                <w:sz w:val="18"/>
                <w:szCs w:val="22"/>
              </w:rPr>
              <w:t>14</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0F94932F" w14:textId="77777777" w:rsidR="00BA56AD" w:rsidRPr="006C016E" w:rsidRDefault="00BA56AD" w:rsidP="00FB5615">
            <w:pPr>
              <w:jc w:val="center"/>
              <w:rPr>
                <w:color w:val="000000"/>
                <w:sz w:val="18"/>
                <w:szCs w:val="20"/>
                <w:lang w:val="es-CO" w:eastAsia="es-CO"/>
              </w:rPr>
            </w:pPr>
            <w:r w:rsidRPr="006C016E">
              <w:rPr>
                <w:color w:val="000000"/>
                <w:sz w:val="18"/>
                <w:szCs w:val="22"/>
              </w:rPr>
              <w:t>651</w:t>
            </w:r>
            <w:r>
              <w:rPr>
                <w:color w:val="000000"/>
                <w:sz w:val="18"/>
                <w:szCs w:val="22"/>
              </w:rPr>
              <w:t>.</w:t>
            </w:r>
            <w:r w:rsidRPr="006C016E">
              <w:rPr>
                <w:color w:val="000000"/>
                <w:sz w:val="18"/>
                <w:szCs w:val="22"/>
              </w:rPr>
              <w:t>049</w:t>
            </w:r>
            <w:r>
              <w:rPr>
                <w:color w:val="000000"/>
                <w:sz w:val="18"/>
                <w:szCs w:val="22"/>
              </w:rPr>
              <w:t>.</w:t>
            </w:r>
            <w:r w:rsidRPr="006C016E">
              <w:rPr>
                <w:color w:val="000000"/>
                <w:sz w:val="18"/>
                <w:szCs w:val="22"/>
              </w:rPr>
              <w:t>415</w:t>
            </w:r>
          </w:p>
        </w:tc>
        <w:tc>
          <w:tcPr>
            <w:tcW w:w="1630" w:type="dxa"/>
            <w:tcBorders>
              <w:top w:val="nil"/>
              <w:left w:val="nil"/>
              <w:bottom w:val="single" w:sz="4" w:space="0" w:color="auto"/>
              <w:right w:val="single" w:sz="4" w:space="0" w:color="auto"/>
            </w:tcBorders>
            <w:shd w:val="clear" w:color="auto" w:fill="auto"/>
            <w:noWrap/>
            <w:vAlign w:val="bottom"/>
          </w:tcPr>
          <w:p w14:paraId="51DF1D62" w14:textId="77777777" w:rsidR="00BA56AD" w:rsidRPr="006C016E" w:rsidRDefault="00BA56AD" w:rsidP="00FB5615">
            <w:pPr>
              <w:jc w:val="center"/>
              <w:rPr>
                <w:color w:val="000000"/>
                <w:sz w:val="18"/>
                <w:szCs w:val="20"/>
                <w:lang w:val="es-CO" w:eastAsia="es-CO"/>
              </w:rPr>
            </w:pPr>
            <w:r w:rsidRPr="006C016E">
              <w:rPr>
                <w:color w:val="000000"/>
                <w:sz w:val="18"/>
                <w:szCs w:val="22"/>
              </w:rPr>
              <w:t>364</w:t>
            </w:r>
            <w:r>
              <w:rPr>
                <w:color w:val="000000"/>
                <w:sz w:val="18"/>
                <w:szCs w:val="22"/>
              </w:rPr>
              <w:t>.</w:t>
            </w:r>
            <w:r w:rsidRPr="006C016E">
              <w:rPr>
                <w:color w:val="000000"/>
                <w:sz w:val="18"/>
                <w:szCs w:val="22"/>
              </w:rPr>
              <w:t>587</w:t>
            </w:r>
            <w:r>
              <w:rPr>
                <w:color w:val="000000"/>
                <w:sz w:val="18"/>
                <w:szCs w:val="22"/>
              </w:rPr>
              <w:t>.</w:t>
            </w:r>
            <w:r w:rsidRPr="006C016E">
              <w:rPr>
                <w:color w:val="000000"/>
                <w:sz w:val="18"/>
                <w:szCs w:val="22"/>
              </w:rPr>
              <w:t>672</w:t>
            </w:r>
          </w:p>
        </w:tc>
        <w:tc>
          <w:tcPr>
            <w:tcW w:w="1960" w:type="dxa"/>
            <w:tcBorders>
              <w:top w:val="nil"/>
              <w:left w:val="nil"/>
              <w:bottom w:val="single" w:sz="4" w:space="0" w:color="auto"/>
              <w:right w:val="single" w:sz="4" w:space="0" w:color="auto"/>
            </w:tcBorders>
            <w:shd w:val="clear" w:color="auto" w:fill="auto"/>
            <w:noWrap/>
            <w:vAlign w:val="bottom"/>
          </w:tcPr>
          <w:p w14:paraId="777711FD" w14:textId="77777777" w:rsidR="00BA56AD" w:rsidRPr="006C016E" w:rsidRDefault="00BA56AD" w:rsidP="00FB5615">
            <w:pPr>
              <w:jc w:val="center"/>
              <w:rPr>
                <w:color w:val="000000"/>
                <w:sz w:val="18"/>
                <w:szCs w:val="22"/>
              </w:rPr>
            </w:pPr>
            <w:r w:rsidRPr="006C016E">
              <w:rPr>
                <w:color w:val="000000"/>
                <w:sz w:val="18"/>
                <w:szCs w:val="22"/>
              </w:rPr>
              <w:t>286</w:t>
            </w:r>
            <w:r>
              <w:rPr>
                <w:color w:val="000000"/>
                <w:sz w:val="18"/>
                <w:szCs w:val="22"/>
              </w:rPr>
              <w:t>.</w:t>
            </w:r>
            <w:r w:rsidRPr="006C016E">
              <w:rPr>
                <w:color w:val="000000"/>
                <w:sz w:val="18"/>
                <w:szCs w:val="22"/>
              </w:rPr>
              <w:t>461</w:t>
            </w:r>
            <w:r>
              <w:rPr>
                <w:color w:val="000000"/>
                <w:sz w:val="18"/>
                <w:szCs w:val="22"/>
              </w:rPr>
              <w:t>.</w:t>
            </w:r>
            <w:r w:rsidRPr="006C016E">
              <w:rPr>
                <w:color w:val="000000"/>
                <w:sz w:val="18"/>
                <w:szCs w:val="22"/>
              </w:rPr>
              <w:t>742</w:t>
            </w:r>
          </w:p>
        </w:tc>
      </w:tr>
      <w:tr w:rsidR="00BA56AD" w:rsidRPr="005B1CAE" w14:paraId="3034F823"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6C97F940" w14:textId="77777777" w:rsidR="00BA56AD" w:rsidRPr="006C016E" w:rsidRDefault="00BA56AD" w:rsidP="00FB5615">
            <w:pPr>
              <w:jc w:val="center"/>
              <w:rPr>
                <w:color w:val="000000"/>
                <w:sz w:val="18"/>
                <w:szCs w:val="22"/>
              </w:rPr>
            </w:pPr>
            <w:r>
              <w:rPr>
                <w:color w:val="000000"/>
                <w:sz w:val="18"/>
                <w:szCs w:val="22"/>
              </w:rPr>
              <w:t>15</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1D41FE98" w14:textId="77777777" w:rsidR="00BA56AD" w:rsidRPr="006C016E" w:rsidRDefault="00BA56AD" w:rsidP="00FB5615">
            <w:pPr>
              <w:jc w:val="center"/>
              <w:rPr>
                <w:color w:val="000000"/>
                <w:sz w:val="18"/>
                <w:szCs w:val="20"/>
                <w:lang w:val="es-CO" w:eastAsia="es-CO"/>
              </w:rPr>
            </w:pPr>
            <w:r w:rsidRPr="006C016E">
              <w:rPr>
                <w:color w:val="000000"/>
                <w:sz w:val="18"/>
                <w:szCs w:val="22"/>
              </w:rPr>
              <w:t>664</w:t>
            </w:r>
            <w:r>
              <w:rPr>
                <w:color w:val="000000"/>
                <w:sz w:val="18"/>
                <w:szCs w:val="22"/>
              </w:rPr>
              <w:t>.</w:t>
            </w:r>
            <w:r w:rsidRPr="006C016E">
              <w:rPr>
                <w:color w:val="000000"/>
                <w:sz w:val="18"/>
                <w:szCs w:val="22"/>
              </w:rPr>
              <w:t>721</w:t>
            </w:r>
            <w:r>
              <w:rPr>
                <w:color w:val="000000"/>
                <w:sz w:val="18"/>
                <w:szCs w:val="22"/>
              </w:rPr>
              <w:t>.</w:t>
            </w:r>
            <w:r w:rsidRPr="006C016E">
              <w:rPr>
                <w:color w:val="000000"/>
                <w:sz w:val="18"/>
                <w:szCs w:val="22"/>
              </w:rPr>
              <w:t>452</w:t>
            </w:r>
          </w:p>
        </w:tc>
        <w:tc>
          <w:tcPr>
            <w:tcW w:w="1630" w:type="dxa"/>
            <w:tcBorders>
              <w:top w:val="nil"/>
              <w:left w:val="nil"/>
              <w:bottom w:val="single" w:sz="4" w:space="0" w:color="auto"/>
              <w:right w:val="single" w:sz="4" w:space="0" w:color="auto"/>
            </w:tcBorders>
            <w:shd w:val="clear" w:color="auto" w:fill="auto"/>
            <w:noWrap/>
            <w:vAlign w:val="bottom"/>
          </w:tcPr>
          <w:p w14:paraId="07D0C7E4" w14:textId="77777777" w:rsidR="00BA56AD" w:rsidRPr="006C016E" w:rsidRDefault="00BA56AD" w:rsidP="00FB5615">
            <w:pPr>
              <w:jc w:val="center"/>
              <w:rPr>
                <w:color w:val="000000"/>
                <w:sz w:val="18"/>
                <w:szCs w:val="20"/>
                <w:lang w:val="es-CO" w:eastAsia="es-CO"/>
              </w:rPr>
            </w:pPr>
            <w:r w:rsidRPr="006C016E">
              <w:rPr>
                <w:color w:val="000000"/>
                <w:sz w:val="18"/>
                <w:szCs w:val="22"/>
              </w:rPr>
              <w:t>372</w:t>
            </w:r>
            <w:r>
              <w:rPr>
                <w:color w:val="000000"/>
                <w:sz w:val="18"/>
                <w:szCs w:val="22"/>
              </w:rPr>
              <w:t>.</w:t>
            </w:r>
            <w:r w:rsidRPr="006C016E">
              <w:rPr>
                <w:color w:val="000000"/>
                <w:sz w:val="18"/>
                <w:szCs w:val="22"/>
              </w:rPr>
              <w:t>244</w:t>
            </w:r>
            <w:r>
              <w:rPr>
                <w:color w:val="000000"/>
                <w:sz w:val="18"/>
                <w:szCs w:val="22"/>
              </w:rPr>
              <w:t>.</w:t>
            </w:r>
            <w:r w:rsidRPr="006C016E">
              <w:rPr>
                <w:color w:val="000000"/>
                <w:sz w:val="18"/>
                <w:szCs w:val="22"/>
              </w:rPr>
              <w:t>013</w:t>
            </w:r>
          </w:p>
        </w:tc>
        <w:tc>
          <w:tcPr>
            <w:tcW w:w="1960" w:type="dxa"/>
            <w:tcBorders>
              <w:top w:val="nil"/>
              <w:left w:val="nil"/>
              <w:bottom w:val="single" w:sz="4" w:space="0" w:color="auto"/>
              <w:right w:val="single" w:sz="4" w:space="0" w:color="auto"/>
            </w:tcBorders>
            <w:shd w:val="clear" w:color="auto" w:fill="auto"/>
            <w:noWrap/>
            <w:vAlign w:val="bottom"/>
          </w:tcPr>
          <w:p w14:paraId="6F9131EB" w14:textId="77777777" w:rsidR="00BA56AD" w:rsidRPr="006C016E" w:rsidRDefault="00BA56AD" w:rsidP="00FB5615">
            <w:pPr>
              <w:jc w:val="center"/>
              <w:rPr>
                <w:color w:val="000000"/>
                <w:sz w:val="18"/>
                <w:szCs w:val="22"/>
              </w:rPr>
            </w:pPr>
            <w:r w:rsidRPr="006C016E">
              <w:rPr>
                <w:color w:val="000000"/>
                <w:sz w:val="18"/>
                <w:szCs w:val="22"/>
              </w:rPr>
              <w:t>292</w:t>
            </w:r>
            <w:r>
              <w:rPr>
                <w:color w:val="000000"/>
                <w:sz w:val="18"/>
                <w:szCs w:val="22"/>
              </w:rPr>
              <w:t>.</w:t>
            </w:r>
            <w:r w:rsidRPr="006C016E">
              <w:rPr>
                <w:color w:val="000000"/>
                <w:sz w:val="18"/>
                <w:szCs w:val="22"/>
              </w:rPr>
              <w:t>477</w:t>
            </w:r>
            <w:r>
              <w:rPr>
                <w:color w:val="000000"/>
                <w:sz w:val="18"/>
                <w:szCs w:val="22"/>
              </w:rPr>
              <w:t>.</w:t>
            </w:r>
            <w:r w:rsidRPr="006C016E">
              <w:rPr>
                <w:color w:val="000000"/>
                <w:sz w:val="18"/>
                <w:szCs w:val="22"/>
              </w:rPr>
              <w:t>439</w:t>
            </w:r>
          </w:p>
        </w:tc>
      </w:tr>
      <w:tr w:rsidR="00BA56AD" w:rsidRPr="005B1CAE" w14:paraId="710899FE"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7B20229D" w14:textId="77777777" w:rsidR="00BA56AD" w:rsidRPr="006C016E" w:rsidRDefault="00BA56AD" w:rsidP="00FB5615">
            <w:pPr>
              <w:jc w:val="center"/>
              <w:rPr>
                <w:color w:val="000000"/>
                <w:sz w:val="18"/>
                <w:szCs w:val="22"/>
              </w:rPr>
            </w:pPr>
            <w:r>
              <w:rPr>
                <w:color w:val="000000"/>
                <w:sz w:val="18"/>
                <w:szCs w:val="22"/>
              </w:rPr>
              <w:t>16</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1ADCE151" w14:textId="77777777" w:rsidR="00BA56AD" w:rsidRPr="006C016E" w:rsidRDefault="00BA56AD" w:rsidP="00FB5615">
            <w:pPr>
              <w:jc w:val="center"/>
              <w:rPr>
                <w:color w:val="000000"/>
                <w:sz w:val="18"/>
                <w:szCs w:val="20"/>
                <w:lang w:val="es-CO" w:eastAsia="es-CO"/>
              </w:rPr>
            </w:pPr>
            <w:r w:rsidRPr="006C016E">
              <w:rPr>
                <w:color w:val="000000"/>
                <w:sz w:val="18"/>
                <w:szCs w:val="22"/>
              </w:rPr>
              <w:t>678</w:t>
            </w:r>
            <w:r>
              <w:rPr>
                <w:color w:val="000000"/>
                <w:sz w:val="18"/>
                <w:szCs w:val="22"/>
              </w:rPr>
              <w:t>.</w:t>
            </w:r>
            <w:r w:rsidRPr="006C016E">
              <w:rPr>
                <w:color w:val="000000"/>
                <w:sz w:val="18"/>
                <w:szCs w:val="22"/>
              </w:rPr>
              <w:t>680</w:t>
            </w:r>
            <w:r>
              <w:rPr>
                <w:color w:val="000000"/>
                <w:sz w:val="18"/>
                <w:szCs w:val="22"/>
              </w:rPr>
              <w:t>.</w:t>
            </w:r>
            <w:r w:rsidRPr="006C016E">
              <w:rPr>
                <w:color w:val="000000"/>
                <w:sz w:val="18"/>
                <w:szCs w:val="22"/>
              </w:rPr>
              <w:t>603</w:t>
            </w:r>
          </w:p>
        </w:tc>
        <w:tc>
          <w:tcPr>
            <w:tcW w:w="1630" w:type="dxa"/>
            <w:tcBorders>
              <w:top w:val="nil"/>
              <w:left w:val="nil"/>
              <w:bottom w:val="single" w:sz="4" w:space="0" w:color="auto"/>
              <w:right w:val="single" w:sz="4" w:space="0" w:color="auto"/>
            </w:tcBorders>
            <w:shd w:val="clear" w:color="auto" w:fill="auto"/>
            <w:noWrap/>
            <w:vAlign w:val="bottom"/>
          </w:tcPr>
          <w:p w14:paraId="26BC92B4" w14:textId="77777777" w:rsidR="00BA56AD" w:rsidRPr="006C016E" w:rsidRDefault="00BA56AD" w:rsidP="00FB5615">
            <w:pPr>
              <w:jc w:val="center"/>
              <w:rPr>
                <w:color w:val="000000"/>
                <w:sz w:val="18"/>
                <w:szCs w:val="20"/>
                <w:lang w:val="es-CO" w:eastAsia="es-CO"/>
              </w:rPr>
            </w:pPr>
            <w:r w:rsidRPr="006C016E">
              <w:rPr>
                <w:color w:val="000000"/>
                <w:sz w:val="18"/>
                <w:szCs w:val="22"/>
              </w:rPr>
              <w:t>380</w:t>
            </w:r>
            <w:r>
              <w:rPr>
                <w:color w:val="000000"/>
                <w:sz w:val="18"/>
                <w:szCs w:val="22"/>
              </w:rPr>
              <w:t>.</w:t>
            </w:r>
            <w:r w:rsidRPr="006C016E">
              <w:rPr>
                <w:color w:val="000000"/>
                <w:sz w:val="18"/>
                <w:szCs w:val="22"/>
              </w:rPr>
              <w:t>061</w:t>
            </w:r>
            <w:r>
              <w:rPr>
                <w:color w:val="000000"/>
                <w:sz w:val="18"/>
                <w:szCs w:val="22"/>
              </w:rPr>
              <w:t>.</w:t>
            </w:r>
            <w:r w:rsidRPr="006C016E">
              <w:rPr>
                <w:color w:val="000000"/>
                <w:sz w:val="18"/>
                <w:szCs w:val="22"/>
              </w:rPr>
              <w:t>138</w:t>
            </w:r>
          </w:p>
        </w:tc>
        <w:tc>
          <w:tcPr>
            <w:tcW w:w="1960" w:type="dxa"/>
            <w:tcBorders>
              <w:top w:val="nil"/>
              <w:left w:val="nil"/>
              <w:bottom w:val="single" w:sz="4" w:space="0" w:color="auto"/>
              <w:right w:val="single" w:sz="4" w:space="0" w:color="auto"/>
            </w:tcBorders>
            <w:shd w:val="clear" w:color="auto" w:fill="auto"/>
            <w:noWrap/>
            <w:vAlign w:val="bottom"/>
          </w:tcPr>
          <w:p w14:paraId="2B54D8A9" w14:textId="77777777" w:rsidR="00BA56AD" w:rsidRPr="006C016E" w:rsidRDefault="00BA56AD" w:rsidP="00FB5615">
            <w:pPr>
              <w:jc w:val="center"/>
              <w:rPr>
                <w:color w:val="000000"/>
                <w:sz w:val="18"/>
                <w:szCs w:val="22"/>
              </w:rPr>
            </w:pPr>
            <w:r w:rsidRPr="006C016E">
              <w:rPr>
                <w:color w:val="000000"/>
                <w:sz w:val="18"/>
                <w:szCs w:val="22"/>
              </w:rPr>
              <w:t>298</w:t>
            </w:r>
            <w:r>
              <w:rPr>
                <w:color w:val="000000"/>
                <w:sz w:val="18"/>
                <w:szCs w:val="22"/>
              </w:rPr>
              <w:t>.</w:t>
            </w:r>
            <w:r w:rsidRPr="006C016E">
              <w:rPr>
                <w:color w:val="000000"/>
                <w:sz w:val="18"/>
                <w:szCs w:val="22"/>
              </w:rPr>
              <w:t>619</w:t>
            </w:r>
            <w:r>
              <w:rPr>
                <w:color w:val="000000"/>
                <w:sz w:val="18"/>
                <w:szCs w:val="22"/>
              </w:rPr>
              <w:t>.</w:t>
            </w:r>
            <w:r w:rsidRPr="006C016E">
              <w:rPr>
                <w:color w:val="000000"/>
                <w:sz w:val="18"/>
                <w:szCs w:val="22"/>
              </w:rPr>
              <w:t>465</w:t>
            </w:r>
          </w:p>
        </w:tc>
      </w:tr>
      <w:tr w:rsidR="00BA56AD" w:rsidRPr="005B1CAE" w14:paraId="68D83379"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720893DD" w14:textId="77777777" w:rsidR="00BA56AD" w:rsidRPr="006C016E" w:rsidRDefault="00BA56AD" w:rsidP="00FB5615">
            <w:pPr>
              <w:jc w:val="center"/>
              <w:rPr>
                <w:color w:val="000000"/>
                <w:sz w:val="18"/>
                <w:szCs w:val="22"/>
              </w:rPr>
            </w:pPr>
            <w:r>
              <w:rPr>
                <w:color w:val="000000"/>
                <w:sz w:val="18"/>
                <w:szCs w:val="22"/>
              </w:rPr>
              <w:t>17</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4E1D8962" w14:textId="77777777" w:rsidR="00BA56AD" w:rsidRPr="006C016E" w:rsidRDefault="00BA56AD" w:rsidP="00FB5615">
            <w:pPr>
              <w:jc w:val="center"/>
              <w:rPr>
                <w:color w:val="000000"/>
                <w:sz w:val="18"/>
                <w:szCs w:val="20"/>
                <w:lang w:val="es-CO" w:eastAsia="es-CO"/>
              </w:rPr>
            </w:pPr>
            <w:r w:rsidRPr="006C016E">
              <w:rPr>
                <w:color w:val="000000"/>
                <w:sz w:val="18"/>
                <w:szCs w:val="22"/>
              </w:rPr>
              <w:t>692</w:t>
            </w:r>
            <w:r>
              <w:rPr>
                <w:color w:val="000000"/>
                <w:sz w:val="18"/>
                <w:szCs w:val="22"/>
              </w:rPr>
              <w:t>.</w:t>
            </w:r>
            <w:r w:rsidRPr="006C016E">
              <w:rPr>
                <w:color w:val="000000"/>
                <w:sz w:val="18"/>
                <w:szCs w:val="22"/>
              </w:rPr>
              <w:t>932</w:t>
            </w:r>
            <w:r>
              <w:rPr>
                <w:color w:val="000000"/>
                <w:sz w:val="18"/>
                <w:szCs w:val="22"/>
              </w:rPr>
              <w:t>.</w:t>
            </w:r>
            <w:r w:rsidRPr="006C016E">
              <w:rPr>
                <w:color w:val="000000"/>
                <w:sz w:val="18"/>
                <w:szCs w:val="22"/>
              </w:rPr>
              <w:t>896</w:t>
            </w:r>
          </w:p>
        </w:tc>
        <w:tc>
          <w:tcPr>
            <w:tcW w:w="1630" w:type="dxa"/>
            <w:tcBorders>
              <w:top w:val="nil"/>
              <w:left w:val="nil"/>
              <w:bottom w:val="single" w:sz="4" w:space="0" w:color="auto"/>
              <w:right w:val="single" w:sz="4" w:space="0" w:color="auto"/>
            </w:tcBorders>
            <w:shd w:val="clear" w:color="auto" w:fill="auto"/>
            <w:noWrap/>
            <w:vAlign w:val="bottom"/>
          </w:tcPr>
          <w:p w14:paraId="5E2C576E" w14:textId="77777777" w:rsidR="00BA56AD" w:rsidRPr="006C016E" w:rsidRDefault="00BA56AD" w:rsidP="00FB5615">
            <w:pPr>
              <w:jc w:val="center"/>
              <w:rPr>
                <w:color w:val="000000"/>
                <w:sz w:val="18"/>
                <w:szCs w:val="20"/>
                <w:lang w:val="es-CO" w:eastAsia="es-CO"/>
              </w:rPr>
            </w:pPr>
            <w:r w:rsidRPr="006C016E">
              <w:rPr>
                <w:color w:val="000000"/>
                <w:sz w:val="18"/>
                <w:szCs w:val="22"/>
              </w:rPr>
              <w:t>388</w:t>
            </w:r>
            <w:r>
              <w:rPr>
                <w:color w:val="000000"/>
                <w:sz w:val="18"/>
                <w:szCs w:val="22"/>
              </w:rPr>
              <w:t>.</w:t>
            </w:r>
            <w:r w:rsidRPr="006C016E">
              <w:rPr>
                <w:color w:val="000000"/>
                <w:sz w:val="18"/>
                <w:szCs w:val="22"/>
              </w:rPr>
              <w:t>042</w:t>
            </w:r>
            <w:r>
              <w:rPr>
                <w:color w:val="000000"/>
                <w:sz w:val="18"/>
                <w:szCs w:val="22"/>
              </w:rPr>
              <w:t>.</w:t>
            </w:r>
            <w:r w:rsidRPr="006C016E">
              <w:rPr>
                <w:color w:val="000000"/>
                <w:sz w:val="18"/>
                <w:szCs w:val="22"/>
              </w:rPr>
              <w:t>421</w:t>
            </w:r>
          </w:p>
        </w:tc>
        <w:tc>
          <w:tcPr>
            <w:tcW w:w="1960" w:type="dxa"/>
            <w:tcBorders>
              <w:top w:val="nil"/>
              <w:left w:val="nil"/>
              <w:bottom w:val="single" w:sz="4" w:space="0" w:color="auto"/>
              <w:right w:val="single" w:sz="4" w:space="0" w:color="auto"/>
            </w:tcBorders>
            <w:shd w:val="clear" w:color="auto" w:fill="auto"/>
            <w:noWrap/>
            <w:vAlign w:val="bottom"/>
          </w:tcPr>
          <w:p w14:paraId="66230734" w14:textId="77777777" w:rsidR="00BA56AD" w:rsidRPr="006C016E" w:rsidRDefault="00BA56AD" w:rsidP="00FB5615">
            <w:pPr>
              <w:jc w:val="center"/>
              <w:rPr>
                <w:color w:val="000000"/>
                <w:sz w:val="18"/>
                <w:szCs w:val="22"/>
              </w:rPr>
            </w:pPr>
            <w:r w:rsidRPr="006C016E">
              <w:rPr>
                <w:color w:val="000000"/>
                <w:sz w:val="18"/>
                <w:szCs w:val="22"/>
              </w:rPr>
              <w:t>304</w:t>
            </w:r>
            <w:r>
              <w:rPr>
                <w:color w:val="000000"/>
                <w:sz w:val="18"/>
                <w:szCs w:val="22"/>
              </w:rPr>
              <w:t>.</w:t>
            </w:r>
            <w:r w:rsidRPr="006C016E">
              <w:rPr>
                <w:color w:val="000000"/>
                <w:sz w:val="18"/>
                <w:szCs w:val="22"/>
              </w:rPr>
              <w:t>890</w:t>
            </w:r>
            <w:r>
              <w:rPr>
                <w:color w:val="000000"/>
                <w:sz w:val="18"/>
                <w:szCs w:val="22"/>
              </w:rPr>
              <w:t>.</w:t>
            </w:r>
            <w:r w:rsidRPr="006C016E">
              <w:rPr>
                <w:color w:val="000000"/>
                <w:sz w:val="18"/>
                <w:szCs w:val="22"/>
              </w:rPr>
              <w:t>474</w:t>
            </w:r>
          </w:p>
        </w:tc>
      </w:tr>
      <w:tr w:rsidR="00BA56AD" w:rsidRPr="005B1CAE" w14:paraId="40A08A73"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493BA424" w14:textId="77777777" w:rsidR="00BA56AD" w:rsidRPr="006C016E" w:rsidRDefault="00BA56AD" w:rsidP="00FB5615">
            <w:pPr>
              <w:jc w:val="center"/>
              <w:rPr>
                <w:color w:val="000000"/>
                <w:sz w:val="18"/>
                <w:szCs w:val="22"/>
              </w:rPr>
            </w:pPr>
            <w:r>
              <w:rPr>
                <w:color w:val="000000"/>
                <w:sz w:val="18"/>
                <w:szCs w:val="22"/>
              </w:rPr>
              <w:t>18</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1014C43C" w14:textId="77777777" w:rsidR="00BA56AD" w:rsidRPr="006C016E" w:rsidRDefault="00BA56AD" w:rsidP="00FB5615">
            <w:pPr>
              <w:jc w:val="center"/>
              <w:rPr>
                <w:color w:val="000000"/>
                <w:sz w:val="18"/>
                <w:szCs w:val="20"/>
                <w:lang w:val="es-CO" w:eastAsia="es-CO"/>
              </w:rPr>
            </w:pPr>
            <w:r w:rsidRPr="006C016E">
              <w:rPr>
                <w:color w:val="000000"/>
                <w:sz w:val="18"/>
                <w:szCs w:val="22"/>
              </w:rPr>
              <w:t>707</w:t>
            </w:r>
            <w:r>
              <w:rPr>
                <w:color w:val="000000"/>
                <w:sz w:val="18"/>
                <w:szCs w:val="22"/>
              </w:rPr>
              <w:t>.</w:t>
            </w:r>
            <w:r w:rsidRPr="006C016E">
              <w:rPr>
                <w:color w:val="000000"/>
                <w:sz w:val="18"/>
                <w:szCs w:val="22"/>
              </w:rPr>
              <w:t>484</w:t>
            </w:r>
            <w:r>
              <w:rPr>
                <w:color w:val="000000"/>
                <w:sz w:val="18"/>
                <w:szCs w:val="22"/>
              </w:rPr>
              <w:t>.</w:t>
            </w:r>
            <w:r w:rsidRPr="006C016E">
              <w:rPr>
                <w:color w:val="000000"/>
                <w:sz w:val="18"/>
                <w:szCs w:val="22"/>
              </w:rPr>
              <w:t>486</w:t>
            </w:r>
          </w:p>
        </w:tc>
        <w:tc>
          <w:tcPr>
            <w:tcW w:w="1630" w:type="dxa"/>
            <w:tcBorders>
              <w:top w:val="nil"/>
              <w:left w:val="nil"/>
              <w:bottom w:val="single" w:sz="4" w:space="0" w:color="auto"/>
              <w:right w:val="single" w:sz="4" w:space="0" w:color="auto"/>
            </w:tcBorders>
            <w:shd w:val="clear" w:color="auto" w:fill="auto"/>
            <w:noWrap/>
            <w:vAlign w:val="bottom"/>
          </w:tcPr>
          <w:p w14:paraId="07B8EC65" w14:textId="77777777" w:rsidR="00BA56AD" w:rsidRPr="006C016E" w:rsidRDefault="00BA56AD" w:rsidP="00FB5615">
            <w:pPr>
              <w:jc w:val="center"/>
              <w:rPr>
                <w:color w:val="000000"/>
                <w:sz w:val="18"/>
                <w:szCs w:val="20"/>
                <w:lang w:val="es-CO" w:eastAsia="es-CO"/>
              </w:rPr>
            </w:pPr>
            <w:r w:rsidRPr="006C016E">
              <w:rPr>
                <w:color w:val="000000"/>
                <w:sz w:val="18"/>
                <w:szCs w:val="22"/>
              </w:rPr>
              <w:t>396</w:t>
            </w:r>
            <w:r>
              <w:rPr>
                <w:color w:val="000000"/>
                <w:sz w:val="18"/>
                <w:szCs w:val="22"/>
              </w:rPr>
              <w:t>.</w:t>
            </w:r>
            <w:r w:rsidRPr="006C016E">
              <w:rPr>
                <w:color w:val="000000"/>
                <w:sz w:val="18"/>
                <w:szCs w:val="22"/>
              </w:rPr>
              <w:t>191</w:t>
            </w:r>
            <w:r>
              <w:rPr>
                <w:color w:val="000000"/>
                <w:sz w:val="18"/>
                <w:szCs w:val="22"/>
              </w:rPr>
              <w:t>.</w:t>
            </w:r>
            <w:r w:rsidRPr="006C016E">
              <w:rPr>
                <w:color w:val="000000"/>
                <w:sz w:val="18"/>
                <w:szCs w:val="22"/>
              </w:rPr>
              <w:t>312</w:t>
            </w:r>
          </w:p>
        </w:tc>
        <w:tc>
          <w:tcPr>
            <w:tcW w:w="1960" w:type="dxa"/>
            <w:tcBorders>
              <w:top w:val="nil"/>
              <w:left w:val="nil"/>
              <w:bottom w:val="single" w:sz="4" w:space="0" w:color="auto"/>
              <w:right w:val="single" w:sz="4" w:space="0" w:color="auto"/>
            </w:tcBorders>
            <w:shd w:val="clear" w:color="auto" w:fill="auto"/>
            <w:noWrap/>
            <w:vAlign w:val="bottom"/>
          </w:tcPr>
          <w:p w14:paraId="5C5193D0" w14:textId="77777777" w:rsidR="00BA56AD" w:rsidRPr="006C016E" w:rsidRDefault="00BA56AD" w:rsidP="00FB5615">
            <w:pPr>
              <w:jc w:val="center"/>
              <w:rPr>
                <w:color w:val="000000"/>
                <w:sz w:val="18"/>
                <w:szCs w:val="22"/>
              </w:rPr>
            </w:pPr>
            <w:r w:rsidRPr="006C016E">
              <w:rPr>
                <w:color w:val="000000"/>
                <w:sz w:val="18"/>
                <w:szCs w:val="22"/>
              </w:rPr>
              <w:t>311</w:t>
            </w:r>
            <w:r>
              <w:rPr>
                <w:color w:val="000000"/>
                <w:sz w:val="18"/>
                <w:szCs w:val="22"/>
              </w:rPr>
              <w:t>.</w:t>
            </w:r>
            <w:r w:rsidRPr="006C016E">
              <w:rPr>
                <w:color w:val="000000"/>
                <w:sz w:val="18"/>
                <w:szCs w:val="22"/>
              </w:rPr>
              <w:t>293</w:t>
            </w:r>
            <w:r>
              <w:rPr>
                <w:color w:val="000000"/>
                <w:sz w:val="18"/>
                <w:szCs w:val="22"/>
              </w:rPr>
              <w:t>.</w:t>
            </w:r>
            <w:r w:rsidRPr="006C016E">
              <w:rPr>
                <w:color w:val="000000"/>
                <w:sz w:val="18"/>
                <w:szCs w:val="22"/>
              </w:rPr>
              <w:t>174</w:t>
            </w:r>
          </w:p>
        </w:tc>
      </w:tr>
      <w:tr w:rsidR="00BA56AD" w:rsidRPr="005B1CAE" w14:paraId="3EACC1D8"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69EC293A" w14:textId="77777777" w:rsidR="00BA56AD" w:rsidRPr="006C016E" w:rsidRDefault="00BA56AD" w:rsidP="00FB5615">
            <w:pPr>
              <w:jc w:val="center"/>
              <w:rPr>
                <w:color w:val="000000"/>
                <w:sz w:val="18"/>
                <w:szCs w:val="22"/>
              </w:rPr>
            </w:pPr>
            <w:r>
              <w:rPr>
                <w:color w:val="000000"/>
                <w:sz w:val="18"/>
                <w:szCs w:val="22"/>
              </w:rPr>
              <w:t>19</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23F692E7" w14:textId="77777777" w:rsidR="00BA56AD" w:rsidRPr="006C016E" w:rsidRDefault="00BA56AD" w:rsidP="00FB5615">
            <w:pPr>
              <w:jc w:val="center"/>
              <w:rPr>
                <w:color w:val="000000"/>
                <w:sz w:val="18"/>
                <w:szCs w:val="20"/>
                <w:lang w:val="es-CO" w:eastAsia="es-CO"/>
              </w:rPr>
            </w:pPr>
            <w:r w:rsidRPr="006C016E">
              <w:rPr>
                <w:color w:val="000000"/>
                <w:sz w:val="18"/>
                <w:szCs w:val="22"/>
              </w:rPr>
              <w:t>722</w:t>
            </w:r>
            <w:r>
              <w:rPr>
                <w:color w:val="000000"/>
                <w:sz w:val="18"/>
                <w:szCs w:val="22"/>
              </w:rPr>
              <w:t>.</w:t>
            </w:r>
            <w:r w:rsidRPr="006C016E">
              <w:rPr>
                <w:color w:val="000000"/>
                <w:sz w:val="18"/>
                <w:szCs w:val="22"/>
              </w:rPr>
              <w:t>341</w:t>
            </w:r>
            <w:r>
              <w:rPr>
                <w:color w:val="000000"/>
                <w:sz w:val="18"/>
                <w:szCs w:val="22"/>
              </w:rPr>
              <w:t>.</w:t>
            </w:r>
            <w:r w:rsidRPr="006C016E">
              <w:rPr>
                <w:color w:val="000000"/>
                <w:sz w:val="18"/>
                <w:szCs w:val="22"/>
              </w:rPr>
              <w:t>661</w:t>
            </w:r>
          </w:p>
        </w:tc>
        <w:tc>
          <w:tcPr>
            <w:tcW w:w="1630" w:type="dxa"/>
            <w:tcBorders>
              <w:top w:val="nil"/>
              <w:left w:val="nil"/>
              <w:bottom w:val="single" w:sz="4" w:space="0" w:color="auto"/>
              <w:right w:val="single" w:sz="4" w:space="0" w:color="auto"/>
            </w:tcBorders>
            <w:shd w:val="clear" w:color="auto" w:fill="auto"/>
            <w:noWrap/>
            <w:vAlign w:val="bottom"/>
          </w:tcPr>
          <w:p w14:paraId="456E72EC" w14:textId="77777777" w:rsidR="00BA56AD" w:rsidRPr="006C016E" w:rsidRDefault="00BA56AD" w:rsidP="00FB5615">
            <w:pPr>
              <w:jc w:val="center"/>
              <w:rPr>
                <w:color w:val="000000"/>
                <w:sz w:val="18"/>
                <w:szCs w:val="20"/>
                <w:lang w:val="es-CO" w:eastAsia="es-CO"/>
              </w:rPr>
            </w:pPr>
            <w:r w:rsidRPr="006C016E">
              <w:rPr>
                <w:color w:val="000000"/>
                <w:sz w:val="18"/>
                <w:szCs w:val="22"/>
              </w:rPr>
              <w:t>404</w:t>
            </w:r>
            <w:r>
              <w:rPr>
                <w:color w:val="000000"/>
                <w:sz w:val="18"/>
                <w:szCs w:val="22"/>
              </w:rPr>
              <w:t>.</w:t>
            </w:r>
            <w:r w:rsidRPr="006C016E">
              <w:rPr>
                <w:color w:val="000000"/>
                <w:sz w:val="18"/>
                <w:szCs w:val="22"/>
              </w:rPr>
              <w:t>511</w:t>
            </w:r>
            <w:r>
              <w:rPr>
                <w:color w:val="000000"/>
                <w:sz w:val="18"/>
                <w:szCs w:val="22"/>
              </w:rPr>
              <w:t>.</w:t>
            </w:r>
            <w:r w:rsidRPr="006C016E">
              <w:rPr>
                <w:color w:val="000000"/>
                <w:sz w:val="18"/>
                <w:szCs w:val="22"/>
              </w:rPr>
              <w:t>330</w:t>
            </w:r>
          </w:p>
        </w:tc>
        <w:tc>
          <w:tcPr>
            <w:tcW w:w="1960" w:type="dxa"/>
            <w:tcBorders>
              <w:top w:val="nil"/>
              <w:left w:val="nil"/>
              <w:bottom w:val="single" w:sz="4" w:space="0" w:color="auto"/>
              <w:right w:val="single" w:sz="4" w:space="0" w:color="auto"/>
            </w:tcBorders>
            <w:shd w:val="clear" w:color="auto" w:fill="auto"/>
            <w:noWrap/>
            <w:vAlign w:val="bottom"/>
          </w:tcPr>
          <w:p w14:paraId="393B9AC1" w14:textId="77777777" w:rsidR="00BA56AD" w:rsidRPr="006C016E" w:rsidRDefault="00BA56AD" w:rsidP="00FB5615">
            <w:pPr>
              <w:jc w:val="center"/>
              <w:rPr>
                <w:color w:val="000000"/>
                <w:sz w:val="18"/>
                <w:szCs w:val="22"/>
              </w:rPr>
            </w:pPr>
            <w:r w:rsidRPr="006C016E">
              <w:rPr>
                <w:color w:val="000000"/>
                <w:sz w:val="18"/>
                <w:szCs w:val="22"/>
              </w:rPr>
              <w:t>317</w:t>
            </w:r>
            <w:r>
              <w:rPr>
                <w:color w:val="000000"/>
                <w:sz w:val="18"/>
                <w:szCs w:val="22"/>
              </w:rPr>
              <w:t>.</w:t>
            </w:r>
            <w:r w:rsidRPr="006C016E">
              <w:rPr>
                <w:color w:val="000000"/>
                <w:sz w:val="18"/>
                <w:szCs w:val="22"/>
              </w:rPr>
              <w:t>830</w:t>
            </w:r>
            <w:r>
              <w:rPr>
                <w:color w:val="000000"/>
                <w:sz w:val="18"/>
                <w:szCs w:val="22"/>
              </w:rPr>
              <w:t>.</w:t>
            </w:r>
            <w:r w:rsidRPr="006C016E">
              <w:rPr>
                <w:color w:val="000000"/>
                <w:sz w:val="18"/>
                <w:szCs w:val="22"/>
              </w:rPr>
              <w:t>331</w:t>
            </w:r>
          </w:p>
        </w:tc>
      </w:tr>
      <w:tr w:rsidR="00BA56AD" w:rsidRPr="005B1CAE" w14:paraId="0AEBF18D" w14:textId="77777777" w:rsidTr="00FB5615">
        <w:trPr>
          <w:trHeight w:val="272"/>
          <w:jc w:val="center"/>
        </w:trPr>
        <w:tc>
          <w:tcPr>
            <w:tcW w:w="669" w:type="dxa"/>
            <w:tcBorders>
              <w:top w:val="nil"/>
              <w:left w:val="single" w:sz="4" w:space="0" w:color="auto"/>
              <w:bottom w:val="single" w:sz="4" w:space="0" w:color="auto"/>
              <w:right w:val="single" w:sz="4" w:space="0" w:color="auto"/>
            </w:tcBorders>
          </w:tcPr>
          <w:p w14:paraId="04954C3F" w14:textId="77777777" w:rsidR="00BA56AD" w:rsidRPr="006C016E" w:rsidRDefault="00BA56AD" w:rsidP="00FB5615">
            <w:pPr>
              <w:jc w:val="center"/>
              <w:rPr>
                <w:color w:val="000000"/>
                <w:sz w:val="18"/>
                <w:szCs w:val="22"/>
              </w:rPr>
            </w:pPr>
            <w:r>
              <w:rPr>
                <w:color w:val="000000"/>
                <w:sz w:val="18"/>
                <w:szCs w:val="22"/>
              </w:rPr>
              <w:t>20</w:t>
            </w:r>
          </w:p>
        </w:tc>
        <w:tc>
          <w:tcPr>
            <w:tcW w:w="1940" w:type="dxa"/>
            <w:tcBorders>
              <w:top w:val="nil"/>
              <w:left w:val="single" w:sz="4" w:space="0" w:color="auto"/>
              <w:bottom w:val="single" w:sz="4" w:space="0" w:color="auto"/>
              <w:right w:val="single" w:sz="4" w:space="0" w:color="auto"/>
            </w:tcBorders>
            <w:shd w:val="clear" w:color="auto" w:fill="auto"/>
            <w:noWrap/>
            <w:vAlign w:val="bottom"/>
          </w:tcPr>
          <w:p w14:paraId="6E9AB904" w14:textId="77777777" w:rsidR="00BA56AD" w:rsidRPr="006C016E" w:rsidRDefault="00BA56AD" w:rsidP="00FB5615">
            <w:pPr>
              <w:jc w:val="center"/>
              <w:rPr>
                <w:color w:val="000000"/>
                <w:sz w:val="18"/>
                <w:szCs w:val="20"/>
                <w:lang w:val="es-CO" w:eastAsia="es-CO"/>
              </w:rPr>
            </w:pPr>
            <w:r w:rsidRPr="006C016E">
              <w:rPr>
                <w:color w:val="000000"/>
                <w:sz w:val="18"/>
                <w:szCs w:val="22"/>
              </w:rPr>
              <w:t>737</w:t>
            </w:r>
            <w:r>
              <w:rPr>
                <w:color w:val="000000"/>
                <w:sz w:val="18"/>
                <w:szCs w:val="22"/>
              </w:rPr>
              <w:t>.</w:t>
            </w:r>
            <w:r w:rsidRPr="006C016E">
              <w:rPr>
                <w:color w:val="000000"/>
                <w:sz w:val="18"/>
                <w:szCs w:val="22"/>
              </w:rPr>
              <w:t>510</w:t>
            </w:r>
            <w:r>
              <w:rPr>
                <w:color w:val="000000"/>
                <w:sz w:val="18"/>
                <w:szCs w:val="22"/>
              </w:rPr>
              <w:t>.</w:t>
            </w:r>
            <w:r w:rsidRPr="006C016E">
              <w:rPr>
                <w:color w:val="000000"/>
                <w:sz w:val="18"/>
                <w:szCs w:val="22"/>
              </w:rPr>
              <w:t>835</w:t>
            </w:r>
          </w:p>
        </w:tc>
        <w:tc>
          <w:tcPr>
            <w:tcW w:w="1630" w:type="dxa"/>
            <w:tcBorders>
              <w:top w:val="nil"/>
              <w:left w:val="nil"/>
              <w:bottom w:val="single" w:sz="4" w:space="0" w:color="auto"/>
              <w:right w:val="single" w:sz="4" w:space="0" w:color="auto"/>
            </w:tcBorders>
            <w:shd w:val="clear" w:color="auto" w:fill="auto"/>
            <w:noWrap/>
            <w:vAlign w:val="bottom"/>
          </w:tcPr>
          <w:p w14:paraId="40B8CE22" w14:textId="77777777" w:rsidR="00BA56AD" w:rsidRPr="006C016E" w:rsidRDefault="00BA56AD" w:rsidP="00FB5615">
            <w:pPr>
              <w:jc w:val="center"/>
              <w:rPr>
                <w:color w:val="000000"/>
                <w:sz w:val="18"/>
                <w:szCs w:val="20"/>
                <w:lang w:val="es-CO" w:eastAsia="es-CO"/>
              </w:rPr>
            </w:pPr>
            <w:r w:rsidRPr="006C016E">
              <w:rPr>
                <w:color w:val="000000"/>
                <w:sz w:val="18"/>
                <w:szCs w:val="22"/>
              </w:rPr>
              <w:t>413</w:t>
            </w:r>
            <w:r>
              <w:rPr>
                <w:color w:val="000000"/>
                <w:sz w:val="18"/>
                <w:szCs w:val="22"/>
              </w:rPr>
              <w:t>.</w:t>
            </w:r>
            <w:r w:rsidRPr="006C016E">
              <w:rPr>
                <w:color w:val="000000"/>
                <w:sz w:val="18"/>
                <w:szCs w:val="22"/>
              </w:rPr>
              <w:t>006</w:t>
            </w:r>
            <w:r>
              <w:rPr>
                <w:color w:val="000000"/>
                <w:sz w:val="18"/>
                <w:szCs w:val="22"/>
              </w:rPr>
              <w:t>.</w:t>
            </w:r>
            <w:r w:rsidRPr="006C016E">
              <w:rPr>
                <w:color w:val="000000"/>
                <w:sz w:val="18"/>
                <w:szCs w:val="22"/>
              </w:rPr>
              <w:t>068</w:t>
            </w:r>
          </w:p>
        </w:tc>
        <w:tc>
          <w:tcPr>
            <w:tcW w:w="1960" w:type="dxa"/>
            <w:tcBorders>
              <w:top w:val="nil"/>
              <w:left w:val="nil"/>
              <w:bottom w:val="single" w:sz="4" w:space="0" w:color="auto"/>
              <w:right w:val="single" w:sz="4" w:space="0" w:color="auto"/>
            </w:tcBorders>
            <w:shd w:val="clear" w:color="auto" w:fill="auto"/>
            <w:noWrap/>
            <w:vAlign w:val="bottom"/>
          </w:tcPr>
          <w:p w14:paraId="0CC8B59D" w14:textId="77777777" w:rsidR="00BA56AD" w:rsidRPr="006C016E" w:rsidRDefault="00BA56AD" w:rsidP="00FB5615">
            <w:pPr>
              <w:jc w:val="center"/>
              <w:rPr>
                <w:color w:val="000000"/>
                <w:sz w:val="18"/>
                <w:szCs w:val="22"/>
              </w:rPr>
            </w:pPr>
            <w:r w:rsidRPr="006C016E">
              <w:rPr>
                <w:color w:val="000000"/>
                <w:sz w:val="18"/>
                <w:szCs w:val="22"/>
              </w:rPr>
              <w:t>324</w:t>
            </w:r>
            <w:r>
              <w:rPr>
                <w:color w:val="000000"/>
                <w:sz w:val="18"/>
                <w:szCs w:val="22"/>
              </w:rPr>
              <w:t>.</w:t>
            </w:r>
            <w:r w:rsidRPr="006C016E">
              <w:rPr>
                <w:color w:val="000000"/>
                <w:sz w:val="18"/>
                <w:szCs w:val="22"/>
              </w:rPr>
              <w:t>504</w:t>
            </w:r>
            <w:r>
              <w:rPr>
                <w:color w:val="000000"/>
                <w:sz w:val="18"/>
                <w:szCs w:val="22"/>
              </w:rPr>
              <w:t>.</w:t>
            </w:r>
            <w:r w:rsidRPr="006C016E">
              <w:rPr>
                <w:color w:val="000000"/>
                <w:sz w:val="18"/>
                <w:szCs w:val="22"/>
              </w:rPr>
              <w:t>768</w:t>
            </w:r>
          </w:p>
        </w:tc>
      </w:tr>
    </w:tbl>
    <w:p w14:paraId="189E5377" w14:textId="77777777" w:rsidR="00BA56AD" w:rsidRDefault="00BA56AD" w:rsidP="00BA56AD">
      <w:pPr>
        <w:spacing w:before="240" w:after="240"/>
        <w:rPr>
          <w:shd w:val="clear" w:color="auto" w:fill="FFFFFF"/>
        </w:rPr>
      </w:pPr>
      <w:r>
        <w:rPr>
          <w:shd w:val="clear" w:color="auto" w:fill="FFFFFF"/>
        </w:rPr>
        <w:t xml:space="preserve">De esta manera, se tomará la proyección de los gastos de AOM que remunera la actividad de distribución para los cálculos de la componente que los remunera. </w:t>
      </w:r>
    </w:p>
    <w:p w14:paraId="0CF4BA46" w14:textId="77777777" w:rsidR="00BA56AD" w:rsidRPr="002E0E3D" w:rsidRDefault="00BA56AD" w:rsidP="00BA56AD">
      <w:pPr>
        <w:spacing w:before="240" w:after="240"/>
        <w:rPr>
          <w:shd w:val="clear" w:color="auto" w:fill="FFFFFF"/>
        </w:rPr>
      </w:pPr>
      <w:r w:rsidRPr="002E0E3D">
        <w:rPr>
          <w:shd w:val="clear" w:color="auto" w:fill="FFFFFF"/>
        </w:rPr>
        <w:t xml:space="preserve">En </w:t>
      </w:r>
      <w:r>
        <w:rPr>
          <w:shd w:val="clear" w:color="auto" w:fill="FFFFFF"/>
        </w:rPr>
        <w:t>la</w:t>
      </w:r>
      <w:r w:rsidRPr="002E0E3D">
        <w:rPr>
          <w:shd w:val="clear" w:color="auto" w:fill="FFFFFF"/>
        </w:rPr>
        <w:t xml:space="preserve"> proyección de gastos de AOM de distribución, el incremento anual de AOM en cada uno de los años desde el 2 hasta el 20 deberá ser menor o igual al incremento anual de demanda. </w:t>
      </w:r>
    </w:p>
    <w:p w14:paraId="239AD231" w14:textId="77777777" w:rsidR="00BA56AD" w:rsidRPr="002E0E3D" w:rsidRDefault="00BA56AD" w:rsidP="00BA56AD">
      <w:pPr>
        <w:spacing w:before="240" w:after="240"/>
        <w:rPr>
          <w:shd w:val="clear" w:color="auto" w:fill="FFFFFF"/>
        </w:rPr>
      </w:pPr>
      <w:r w:rsidRPr="002E0E3D">
        <w:rPr>
          <w:shd w:val="clear" w:color="auto" w:fill="FFFFFF"/>
        </w:rPr>
        <w:t>En caso en que el incremento anual de gastos de AOM en todos o en algunos de los años sea mayor al incremento de la demanda, se ajustará anualmente la proyección de gastos de AOM conforme al menor de los crecimientos anuales entre AOM y demanda.</w:t>
      </w:r>
    </w:p>
    <w:p w14:paraId="057E7593" w14:textId="77777777" w:rsidR="00BA56AD" w:rsidRDefault="00BA56AD" w:rsidP="00BA56AD">
      <w:pPr>
        <w:spacing w:before="240" w:after="240"/>
        <w:rPr>
          <w:shd w:val="clear" w:color="auto" w:fill="FFFFFF"/>
        </w:rPr>
      </w:pPr>
      <w:r w:rsidRPr="002400D1">
        <w:rPr>
          <w:shd w:val="clear" w:color="auto" w:fill="FFFFFF"/>
        </w:rPr>
        <w:t xml:space="preserve">La variación de la proyección de </w:t>
      </w:r>
      <w:r>
        <w:rPr>
          <w:shd w:val="clear" w:color="auto" w:fill="FFFFFF"/>
        </w:rPr>
        <w:t>los g</w:t>
      </w:r>
      <w:r w:rsidRPr="002400D1">
        <w:rPr>
          <w:shd w:val="clear" w:color="auto" w:fill="FFFFFF"/>
        </w:rPr>
        <w:t xml:space="preserve">astos de AOM de distribución y de la demanda presentada por la empresa ALCANOS DE COLOMBIA S.A. E.S.P. en su solicitud tarifaria para el mercado relevante conformado por los municipios de Belén de Los Andaquies, Montañita, Morelia, Solita, Valparaíso y Albania, en el departamento del Caquetá es </w:t>
      </w:r>
      <w:r>
        <w:rPr>
          <w:shd w:val="clear" w:color="auto" w:fill="FFFFFF"/>
        </w:rPr>
        <w:t>la</w:t>
      </w:r>
      <w:r w:rsidRPr="002400D1">
        <w:rPr>
          <w:shd w:val="clear" w:color="auto" w:fill="FFFFFF"/>
        </w:rPr>
        <w:t xml:space="preserve"> siguiente:</w:t>
      </w:r>
    </w:p>
    <w:tbl>
      <w:tblPr>
        <w:tblW w:w="5640" w:type="dxa"/>
        <w:jc w:val="center"/>
        <w:tblCellMar>
          <w:left w:w="70" w:type="dxa"/>
          <w:right w:w="70" w:type="dxa"/>
        </w:tblCellMar>
        <w:tblLook w:val="04A0" w:firstRow="1" w:lastRow="0" w:firstColumn="1" w:lastColumn="0" w:noHBand="0" w:noVBand="1"/>
      </w:tblPr>
      <w:tblGrid>
        <w:gridCol w:w="1200"/>
        <w:gridCol w:w="1480"/>
        <w:gridCol w:w="1480"/>
        <w:gridCol w:w="1480"/>
      </w:tblGrid>
      <w:tr w:rsidR="00BA56AD" w:rsidRPr="003F2319" w14:paraId="0DF216B4" w14:textId="77777777" w:rsidTr="00FB5615">
        <w:trPr>
          <w:trHeight w:val="300"/>
          <w:tblHeader/>
          <w:jc w:val="center"/>
        </w:trPr>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713EB9" w14:textId="77777777" w:rsidR="00BA56AD" w:rsidRPr="00ED0873" w:rsidRDefault="00BA56AD" w:rsidP="00FB5615">
            <w:pPr>
              <w:jc w:val="left"/>
              <w:rPr>
                <w:sz w:val="20"/>
                <w:szCs w:val="20"/>
                <w:lang w:val="es-CO" w:eastAsia="es-CO"/>
              </w:rPr>
            </w:pPr>
          </w:p>
        </w:tc>
        <w:tc>
          <w:tcPr>
            <w:tcW w:w="29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6803380" w14:textId="77777777" w:rsidR="00BA56AD" w:rsidRPr="00ED0873" w:rsidRDefault="00BA56AD" w:rsidP="00FB5615">
            <w:pPr>
              <w:jc w:val="center"/>
              <w:rPr>
                <w:b/>
                <w:bCs/>
                <w:color w:val="000000"/>
                <w:sz w:val="20"/>
                <w:szCs w:val="22"/>
                <w:lang w:val="es-CO" w:eastAsia="es-CO"/>
              </w:rPr>
            </w:pPr>
            <w:r w:rsidRPr="00ED0873">
              <w:rPr>
                <w:b/>
                <w:bCs/>
                <w:color w:val="000000"/>
                <w:sz w:val="20"/>
                <w:szCs w:val="22"/>
                <w:lang w:val="es-CO" w:eastAsia="es-CO"/>
              </w:rPr>
              <w:t xml:space="preserve">Variación </w:t>
            </w:r>
          </w:p>
        </w:tc>
        <w:tc>
          <w:tcPr>
            <w:tcW w:w="1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F446561" w14:textId="77777777" w:rsidR="00BA56AD" w:rsidRPr="00ED0873" w:rsidRDefault="00BA56AD" w:rsidP="00FB5615">
            <w:pPr>
              <w:jc w:val="center"/>
              <w:rPr>
                <w:b/>
                <w:bCs/>
                <w:color w:val="000000"/>
                <w:sz w:val="20"/>
                <w:szCs w:val="22"/>
                <w:lang w:val="es-CO" w:eastAsia="es-CO"/>
              </w:rPr>
            </w:pPr>
          </w:p>
        </w:tc>
      </w:tr>
      <w:tr w:rsidR="00BA56AD" w:rsidRPr="003F2319" w14:paraId="2CCD411E" w14:textId="77777777" w:rsidTr="00FB5615">
        <w:trPr>
          <w:trHeight w:val="900"/>
          <w:tblHeader/>
          <w:jc w:val="center"/>
        </w:trPr>
        <w:tc>
          <w:tcPr>
            <w:tcW w:w="1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5DB06A" w14:textId="77777777" w:rsidR="00BA56AD" w:rsidRPr="00ED0873" w:rsidRDefault="00BA56AD" w:rsidP="00FB5615">
            <w:pPr>
              <w:jc w:val="center"/>
              <w:rPr>
                <w:b/>
                <w:bCs/>
                <w:color w:val="000000"/>
                <w:sz w:val="20"/>
                <w:szCs w:val="22"/>
                <w:lang w:val="es-CO" w:eastAsia="es-CO"/>
              </w:rPr>
            </w:pPr>
            <w:r w:rsidRPr="00ED0873">
              <w:rPr>
                <w:b/>
                <w:bCs/>
                <w:color w:val="000000"/>
                <w:sz w:val="20"/>
                <w:szCs w:val="22"/>
                <w:lang w:val="es-CO" w:eastAsia="es-CO"/>
              </w:rPr>
              <w:t>Año</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58EBF" w14:textId="77777777" w:rsidR="00BA56AD" w:rsidRPr="00ED0873" w:rsidRDefault="00BA56AD" w:rsidP="00FB5615">
            <w:pPr>
              <w:jc w:val="center"/>
              <w:rPr>
                <w:b/>
                <w:bCs/>
                <w:color w:val="000000"/>
                <w:sz w:val="20"/>
                <w:szCs w:val="22"/>
                <w:lang w:val="es-CO" w:eastAsia="es-CO"/>
              </w:rPr>
            </w:pPr>
            <w:r w:rsidRPr="00ED0873">
              <w:rPr>
                <w:b/>
                <w:bCs/>
                <w:color w:val="000000"/>
                <w:sz w:val="20"/>
                <w:szCs w:val="22"/>
                <w:lang w:val="es-CO" w:eastAsia="es-CO"/>
              </w:rPr>
              <w:t>AOM</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823717" w14:textId="77777777" w:rsidR="00BA56AD" w:rsidRPr="00ED0873" w:rsidRDefault="00BA56AD" w:rsidP="00FB5615">
            <w:pPr>
              <w:jc w:val="center"/>
              <w:rPr>
                <w:b/>
                <w:bCs/>
                <w:color w:val="000000"/>
                <w:sz w:val="20"/>
                <w:szCs w:val="22"/>
                <w:lang w:val="es-CO" w:eastAsia="es-CO"/>
              </w:rPr>
            </w:pPr>
            <w:r w:rsidRPr="00ED0873">
              <w:rPr>
                <w:b/>
                <w:bCs/>
                <w:color w:val="000000"/>
                <w:sz w:val="20"/>
                <w:szCs w:val="22"/>
                <w:lang w:val="es-CO" w:eastAsia="es-CO"/>
              </w:rPr>
              <w:t>DEMANDA</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883104" w14:textId="77777777" w:rsidR="00BA56AD" w:rsidRPr="00ED0873" w:rsidRDefault="00BA56AD" w:rsidP="00FB5615">
            <w:pPr>
              <w:jc w:val="center"/>
              <w:rPr>
                <w:b/>
                <w:bCs/>
                <w:color w:val="000000"/>
                <w:sz w:val="20"/>
                <w:szCs w:val="22"/>
                <w:lang w:val="es-CO" w:eastAsia="es-CO"/>
              </w:rPr>
            </w:pPr>
            <w:r w:rsidRPr="00ED0873">
              <w:rPr>
                <w:b/>
                <w:bCs/>
                <w:color w:val="000000"/>
                <w:sz w:val="20"/>
                <w:szCs w:val="22"/>
                <w:lang w:val="es-CO" w:eastAsia="es-CO"/>
              </w:rPr>
              <w:t>GASTOS AOM AJUSTADO</w:t>
            </w:r>
          </w:p>
        </w:tc>
      </w:tr>
      <w:tr w:rsidR="00BA56AD" w:rsidRPr="003F2319" w14:paraId="6CF66E68"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5947ED7E" w14:textId="77777777" w:rsidR="00BA56AD" w:rsidRPr="003F2319" w:rsidRDefault="00BA56AD" w:rsidP="00FB5615">
            <w:pPr>
              <w:jc w:val="center"/>
              <w:rPr>
                <w:b/>
                <w:bCs/>
                <w:sz w:val="16"/>
                <w:szCs w:val="16"/>
                <w:lang w:val="es-CO" w:eastAsia="es-CO"/>
              </w:rPr>
            </w:pPr>
            <w:r w:rsidRPr="003F2319">
              <w:rPr>
                <w:b/>
                <w:bCs/>
                <w:sz w:val="16"/>
                <w:szCs w:val="16"/>
                <w:lang w:val="es-CO" w:eastAsia="es-CO"/>
              </w:rPr>
              <w:t>1</w:t>
            </w:r>
          </w:p>
        </w:tc>
        <w:tc>
          <w:tcPr>
            <w:tcW w:w="1480" w:type="dxa"/>
            <w:tcBorders>
              <w:top w:val="nil"/>
              <w:left w:val="nil"/>
              <w:bottom w:val="single" w:sz="4" w:space="0" w:color="auto"/>
              <w:right w:val="single" w:sz="4" w:space="0" w:color="auto"/>
            </w:tcBorders>
            <w:shd w:val="clear" w:color="auto" w:fill="auto"/>
            <w:noWrap/>
            <w:vAlign w:val="bottom"/>
            <w:hideMark/>
          </w:tcPr>
          <w:p w14:paraId="376EF38F" w14:textId="77777777" w:rsidR="00BA56AD" w:rsidRPr="003F2319" w:rsidRDefault="00BA56AD" w:rsidP="00FB5615">
            <w:pPr>
              <w:jc w:val="center"/>
              <w:rPr>
                <w:color w:val="000000"/>
                <w:sz w:val="16"/>
                <w:szCs w:val="16"/>
                <w:lang w:val="es-CO" w:eastAsia="es-CO"/>
              </w:rPr>
            </w:pPr>
          </w:p>
        </w:tc>
        <w:tc>
          <w:tcPr>
            <w:tcW w:w="1480" w:type="dxa"/>
            <w:tcBorders>
              <w:top w:val="nil"/>
              <w:left w:val="nil"/>
              <w:bottom w:val="single" w:sz="4" w:space="0" w:color="auto"/>
              <w:right w:val="single" w:sz="4" w:space="0" w:color="auto"/>
            </w:tcBorders>
            <w:shd w:val="clear" w:color="auto" w:fill="auto"/>
            <w:noWrap/>
            <w:vAlign w:val="bottom"/>
            <w:hideMark/>
          </w:tcPr>
          <w:p w14:paraId="3682874C" w14:textId="77777777" w:rsidR="00BA56AD" w:rsidRPr="003F2319" w:rsidRDefault="00BA56AD" w:rsidP="00FB5615">
            <w:pPr>
              <w:jc w:val="center"/>
              <w:rPr>
                <w:color w:val="000000"/>
                <w:sz w:val="16"/>
                <w:szCs w:val="16"/>
                <w:lang w:val="es-CO" w:eastAsia="es-CO"/>
              </w:rPr>
            </w:pPr>
          </w:p>
        </w:tc>
        <w:tc>
          <w:tcPr>
            <w:tcW w:w="1480" w:type="dxa"/>
            <w:tcBorders>
              <w:top w:val="nil"/>
              <w:left w:val="nil"/>
              <w:bottom w:val="single" w:sz="4" w:space="0" w:color="auto"/>
              <w:right w:val="single" w:sz="4" w:space="0" w:color="auto"/>
            </w:tcBorders>
            <w:shd w:val="clear" w:color="FFFFFF" w:fill="FFFFFF"/>
            <w:noWrap/>
            <w:vAlign w:val="bottom"/>
            <w:hideMark/>
          </w:tcPr>
          <w:p w14:paraId="488D39FD" w14:textId="77777777" w:rsidR="00BA56AD" w:rsidRPr="00052F08" w:rsidRDefault="00BA56AD" w:rsidP="00FB5615">
            <w:pPr>
              <w:jc w:val="center"/>
              <w:rPr>
                <w:sz w:val="16"/>
                <w:szCs w:val="16"/>
                <w:lang w:val="es-CO" w:eastAsia="es-CO"/>
              </w:rPr>
            </w:pPr>
            <w:r w:rsidRPr="00052F08">
              <w:rPr>
                <w:color w:val="000000"/>
                <w:sz w:val="16"/>
                <w:szCs w:val="22"/>
              </w:rPr>
              <w:t>278</w:t>
            </w:r>
            <w:r>
              <w:rPr>
                <w:color w:val="000000"/>
                <w:sz w:val="16"/>
                <w:szCs w:val="22"/>
              </w:rPr>
              <w:t>.</w:t>
            </w:r>
            <w:r w:rsidRPr="00052F08">
              <w:rPr>
                <w:color w:val="000000"/>
                <w:sz w:val="16"/>
                <w:szCs w:val="22"/>
              </w:rPr>
              <w:t>270</w:t>
            </w:r>
            <w:r>
              <w:rPr>
                <w:color w:val="000000"/>
                <w:sz w:val="16"/>
                <w:szCs w:val="22"/>
              </w:rPr>
              <w:t>.</w:t>
            </w:r>
            <w:r w:rsidRPr="00052F08">
              <w:rPr>
                <w:color w:val="000000"/>
                <w:sz w:val="16"/>
                <w:szCs w:val="22"/>
              </w:rPr>
              <w:t>605</w:t>
            </w:r>
          </w:p>
        </w:tc>
      </w:tr>
      <w:tr w:rsidR="00BA56AD" w:rsidRPr="003F2319" w14:paraId="0996ADAB"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44F68145" w14:textId="77777777" w:rsidR="00BA56AD" w:rsidRPr="003F2319" w:rsidRDefault="00BA56AD" w:rsidP="00FB5615">
            <w:pPr>
              <w:jc w:val="center"/>
              <w:rPr>
                <w:b/>
                <w:bCs/>
                <w:sz w:val="16"/>
                <w:szCs w:val="16"/>
                <w:lang w:val="es-CO" w:eastAsia="es-CO"/>
              </w:rPr>
            </w:pPr>
            <w:r w:rsidRPr="003F2319">
              <w:rPr>
                <w:b/>
                <w:bCs/>
                <w:sz w:val="16"/>
                <w:szCs w:val="16"/>
                <w:lang w:val="es-CO" w:eastAsia="es-CO"/>
              </w:rPr>
              <w:t>2</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A06B6"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nil"/>
              <w:left w:val="nil"/>
              <w:bottom w:val="single" w:sz="4" w:space="0" w:color="auto"/>
              <w:right w:val="single" w:sz="4" w:space="0" w:color="auto"/>
            </w:tcBorders>
            <w:shd w:val="clear" w:color="auto" w:fill="auto"/>
            <w:noWrap/>
            <w:vAlign w:val="bottom"/>
            <w:hideMark/>
          </w:tcPr>
          <w:p w14:paraId="44705B5E" w14:textId="77777777" w:rsidR="00BA56AD" w:rsidRPr="00ED0873" w:rsidRDefault="00BA56AD" w:rsidP="00FB5615">
            <w:pPr>
              <w:jc w:val="center"/>
              <w:rPr>
                <w:sz w:val="16"/>
                <w:szCs w:val="16"/>
                <w:lang w:val="es-CO" w:eastAsia="es-CO"/>
              </w:rPr>
            </w:pPr>
            <w:r w:rsidRPr="00ED0873">
              <w:rPr>
                <w:sz w:val="16"/>
                <w:szCs w:val="16"/>
                <w:lang w:val="es-CO" w:eastAsia="es-CO"/>
              </w:rPr>
              <w:t>80,76%</w:t>
            </w:r>
          </w:p>
        </w:tc>
        <w:tc>
          <w:tcPr>
            <w:tcW w:w="1480" w:type="dxa"/>
            <w:tcBorders>
              <w:top w:val="nil"/>
              <w:left w:val="nil"/>
              <w:bottom w:val="single" w:sz="4" w:space="0" w:color="auto"/>
              <w:right w:val="single" w:sz="4" w:space="0" w:color="auto"/>
            </w:tcBorders>
            <w:shd w:val="clear" w:color="FFFFFF" w:fill="FFFFFF"/>
            <w:noWrap/>
            <w:vAlign w:val="bottom"/>
            <w:hideMark/>
          </w:tcPr>
          <w:p w14:paraId="256E0A87" w14:textId="77777777" w:rsidR="00BA56AD" w:rsidRPr="00052F08" w:rsidRDefault="00BA56AD" w:rsidP="00FB5615">
            <w:pPr>
              <w:jc w:val="center"/>
              <w:rPr>
                <w:sz w:val="16"/>
                <w:szCs w:val="16"/>
                <w:lang w:val="es-CO" w:eastAsia="es-CO"/>
              </w:rPr>
            </w:pPr>
            <w:r w:rsidRPr="00052F08">
              <w:rPr>
                <w:color w:val="000000"/>
                <w:sz w:val="16"/>
                <w:szCs w:val="22"/>
              </w:rPr>
              <w:t>284</w:t>
            </w:r>
            <w:r>
              <w:rPr>
                <w:color w:val="000000"/>
                <w:sz w:val="16"/>
                <w:szCs w:val="22"/>
              </w:rPr>
              <w:t>.</w:t>
            </w:r>
            <w:r w:rsidRPr="00052F08">
              <w:rPr>
                <w:color w:val="000000"/>
                <w:sz w:val="16"/>
                <w:szCs w:val="22"/>
              </w:rPr>
              <w:t>114</w:t>
            </w:r>
            <w:r>
              <w:rPr>
                <w:color w:val="000000"/>
                <w:sz w:val="16"/>
                <w:szCs w:val="22"/>
              </w:rPr>
              <w:t>.</w:t>
            </w:r>
            <w:r w:rsidRPr="00052F08">
              <w:rPr>
                <w:color w:val="000000"/>
                <w:sz w:val="16"/>
                <w:szCs w:val="22"/>
              </w:rPr>
              <w:t>288</w:t>
            </w:r>
          </w:p>
        </w:tc>
      </w:tr>
      <w:tr w:rsidR="00BA56AD" w:rsidRPr="003F2319" w14:paraId="2F380184"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74913DAD" w14:textId="77777777" w:rsidR="00BA56AD" w:rsidRPr="003F2319" w:rsidRDefault="00BA56AD" w:rsidP="00FB5615">
            <w:pPr>
              <w:jc w:val="center"/>
              <w:rPr>
                <w:b/>
                <w:bCs/>
                <w:sz w:val="16"/>
                <w:szCs w:val="16"/>
                <w:lang w:val="es-CO" w:eastAsia="es-CO"/>
              </w:rPr>
            </w:pPr>
            <w:r w:rsidRPr="003F2319">
              <w:rPr>
                <w:b/>
                <w:bCs/>
                <w:sz w:val="16"/>
                <w:szCs w:val="16"/>
                <w:lang w:val="es-CO" w:eastAsia="es-CO"/>
              </w:rPr>
              <w:t>3</w:t>
            </w:r>
          </w:p>
        </w:tc>
        <w:tc>
          <w:tcPr>
            <w:tcW w:w="1480" w:type="dxa"/>
            <w:tcBorders>
              <w:top w:val="nil"/>
              <w:left w:val="nil"/>
              <w:bottom w:val="single" w:sz="4" w:space="0" w:color="auto"/>
              <w:right w:val="single" w:sz="4" w:space="0" w:color="auto"/>
            </w:tcBorders>
            <w:shd w:val="clear" w:color="auto" w:fill="auto"/>
            <w:noWrap/>
            <w:vAlign w:val="bottom"/>
            <w:hideMark/>
          </w:tcPr>
          <w:p w14:paraId="02F81DC6"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AD53A" w14:textId="77777777" w:rsidR="00BA56AD" w:rsidRPr="00ED0873" w:rsidRDefault="00BA56AD" w:rsidP="00FB5615">
            <w:pPr>
              <w:jc w:val="center"/>
              <w:rPr>
                <w:sz w:val="16"/>
                <w:szCs w:val="16"/>
                <w:lang w:val="es-CO" w:eastAsia="es-CO"/>
              </w:rPr>
            </w:pPr>
            <w:r w:rsidRPr="00ED0873">
              <w:rPr>
                <w:sz w:val="16"/>
                <w:szCs w:val="16"/>
                <w:lang w:val="es-CO" w:eastAsia="es-CO"/>
              </w:rPr>
              <w:t>1,64%</w:t>
            </w:r>
          </w:p>
        </w:tc>
        <w:tc>
          <w:tcPr>
            <w:tcW w:w="1480" w:type="dxa"/>
            <w:tcBorders>
              <w:top w:val="nil"/>
              <w:left w:val="nil"/>
              <w:bottom w:val="single" w:sz="4" w:space="0" w:color="auto"/>
              <w:right w:val="single" w:sz="4" w:space="0" w:color="auto"/>
            </w:tcBorders>
            <w:shd w:val="clear" w:color="FFFFFF" w:fill="FFFFFF"/>
            <w:noWrap/>
            <w:vAlign w:val="bottom"/>
            <w:hideMark/>
          </w:tcPr>
          <w:p w14:paraId="65F2D090" w14:textId="77777777" w:rsidR="00BA56AD" w:rsidRPr="00052F08" w:rsidRDefault="00BA56AD" w:rsidP="00FB5615">
            <w:pPr>
              <w:jc w:val="center"/>
              <w:rPr>
                <w:sz w:val="16"/>
                <w:szCs w:val="16"/>
                <w:lang w:val="es-CO" w:eastAsia="es-CO"/>
              </w:rPr>
            </w:pPr>
            <w:r w:rsidRPr="00052F08">
              <w:rPr>
                <w:color w:val="000000"/>
                <w:sz w:val="16"/>
                <w:szCs w:val="22"/>
              </w:rPr>
              <w:t>288</w:t>
            </w:r>
            <w:r>
              <w:rPr>
                <w:color w:val="000000"/>
                <w:sz w:val="16"/>
                <w:szCs w:val="22"/>
              </w:rPr>
              <w:t>.</w:t>
            </w:r>
            <w:r w:rsidRPr="00052F08">
              <w:rPr>
                <w:color w:val="000000"/>
                <w:sz w:val="16"/>
                <w:szCs w:val="22"/>
              </w:rPr>
              <w:t>782</w:t>
            </w:r>
            <w:r>
              <w:rPr>
                <w:color w:val="000000"/>
                <w:sz w:val="16"/>
                <w:szCs w:val="22"/>
              </w:rPr>
              <w:t>.</w:t>
            </w:r>
            <w:r w:rsidRPr="00052F08">
              <w:rPr>
                <w:color w:val="000000"/>
                <w:sz w:val="16"/>
                <w:szCs w:val="22"/>
              </w:rPr>
              <w:t>688</w:t>
            </w:r>
          </w:p>
        </w:tc>
      </w:tr>
      <w:tr w:rsidR="00BA56AD" w:rsidRPr="003F2319" w14:paraId="46CC6CA5"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129EEE03" w14:textId="77777777" w:rsidR="00BA56AD" w:rsidRPr="003F2319" w:rsidRDefault="00BA56AD" w:rsidP="00FB5615">
            <w:pPr>
              <w:jc w:val="center"/>
              <w:rPr>
                <w:b/>
                <w:bCs/>
                <w:sz w:val="16"/>
                <w:szCs w:val="16"/>
                <w:lang w:val="es-CO" w:eastAsia="es-CO"/>
              </w:rPr>
            </w:pPr>
            <w:r w:rsidRPr="003F2319">
              <w:rPr>
                <w:b/>
                <w:bCs/>
                <w:sz w:val="16"/>
                <w:szCs w:val="16"/>
                <w:lang w:val="es-CO" w:eastAsia="es-CO"/>
              </w:rPr>
              <w:lastRenderedPageBreak/>
              <w:t>4</w:t>
            </w:r>
          </w:p>
        </w:tc>
        <w:tc>
          <w:tcPr>
            <w:tcW w:w="1480" w:type="dxa"/>
            <w:tcBorders>
              <w:top w:val="nil"/>
              <w:left w:val="nil"/>
              <w:bottom w:val="single" w:sz="4" w:space="0" w:color="auto"/>
              <w:right w:val="single" w:sz="4" w:space="0" w:color="auto"/>
            </w:tcBorders>
            <w:shd w:val="clear" w:color="auto" w:fill="auto"/>
            <w:noWrap/>
            <w:vAlign w:val="bottom"/>
            <w:hideMark/>
          </w:tcPr>
          <w:p w14:paraId="761DA062"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ED1C0" w14:textId="77777777" w:rsidR="00BA56AD" w:rsidRPr="00ED0873" w:rsidRDefault="00BA56AD" w:rsidP="00FB5615">
            <w:pPr>
              <w:jc w:val="center"/>
              <w:rPr>
                <w:sz w:val="16"/>
                <w:szCs w:val="16"/>
                <w:lang w:val="es-CO" w:eastAsia="es-CO"/>
              </w:rPr>
            </w:pPr>
            <w:r w:rsidRPr="00ED0873">
              <w:rPr>
                <w:sz w:val="16"/>
                <w:szCs w:val="16"/>
                <w:lang w:val="es-CO" w:eastAsia="es-CO"/>
              </w:rPr>
              <w:t>2,04%</w:t>
            </w:r>
          </w:p>
        </w:tc>
        <w:tc>
          <w:tcPr>
            <w:tcW w:w="1480" w:type="dxa"/>
            <w:tcBorders>
              <w:top w:val="nil"/>
              <w:left w:val="nil"/>
              <w:bottom w:val="single" w:sz="4" w:space="0" w:color="auto"/>
              <w:right w:val="single" w:sz="4" w:space="0" w:color="auto"/>
            </w:tcBorders>
            <w:shd w:val="clear" w:color="FFFFFF" w:fill="FFFFFF"/>
            <w:noWrap/>
            <w:vAlign w:val="bottom"/>
            <w:hideMark/>
          </w:tcPr>
          <w:p w14:paraId="0CE1A039" w14:textId="77777777" w:rsidR="00BA56AD" w:rsidRPr="00052F08" w:rsidRDefault="00BA56AD" w:rsidP="00FB5615">
            <w:pPr>
              <w:jc w:val="center"/>
              <w:rPr>
                <w:sz w:val="16"/>
                <w:szCs w:val="16"/>
                <w:lang w:val="es-CO" w:eastAsia="es-CO"/>
              </w:rPr>
            </w:pPr>
            <w:r w:rsidRPr="00052F08">
              <w:rPr>
                <w:color w:val="000000"/>
                <w:sz w:val="16"/>
                <w:szCs w:val="22"/>
              </w:rPr>
              <w:t>294</w:t>
            </w:r>
            <w:r>
              <w:rPr>
                <w:color w:val="000000"/>
                <w:sz w:val="16"/>
                <w:szCs w:val="22"/>
              </w:rPr>
              <w:t>.</w:t>
            </w:r>
            <w:r w:rsidRPr="00052F08">
              <w:rPr>
                <w:color w:val="000000"/>
                <w:sz w:val="16"/>
                <w:szCs w:val="22"/>
              </w:rPr>
              <w:t>674</w:t>
            </w:r>
            <w:r>
              <w:rPr>
                <w:color w:val="000000"/>
                <w:sz w:val="16"/>
                <w:szCs w:val="22"/>
              </w:rPr>
              <w:t>.</w:t>
            </w:r>
            <w:r w:rsidRPr="00052F08">
              <w:rPr>
                <w:color w:val="000000"/>
                <w:sz w:val="16"/>
                <w:szCs w:val="22"/>
              </w:rPr>
              <w:t>300</w:t>
            </w:r>
          </w:p>
        </w:tc>
      </w:tr>
      <w:tr w:rsidR="00BA56AD" w:rsidRPr="003F2319" w14:paraId="05C41B77"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2B70C9CA" w14:textId="77777777" w:rsidR="00BA56AD" w:rsidRPr="003F2319" w:rsidRDefault="00BA56AD" w:rsidP="00FB5615">
            <w:pPr>
              <w:jc w:val="center"/>
              <w:rPr>
                <w:b/>
                <w:bCs/>
                <w:sz w:val="16"/>
                <w:szCs w:val="16"/>
                <w:lang w:val="es-CO" w:eastAsia="es-CO"/>
              </w:rPr>
            </w:pPr>
            <w:r w:rsidRPr="003F2319">
              <w:rPr>
                <w:b/>
                <w:bCs/>
                <w:sz w:val="16"/>
                <w:szCs w:val="16"/>
                <w:lang w:val="es-CO" w:eastAsia="es-CO"/>
              </w:rPr>
              <w:t>5</w:t>
            </w:r>
          </w:p>
        </w:tc>
        <w:tc>
          <w:tcPr>
            <w:tcW w:w="1480" w:type="dxa"/>
            <w:tcBorders>
              <w:top w:val="nil"/>
              <w:left w:val="nil"/>
              <w:bottom w:val="single" w:sz="4" w:space="0" w:color="auto"/>
              <w:right w:val="single" w:sz="4" w:space="0" w:color="auto"/>
            </w:tcBorders>
            <w:shd w:val="clear" w:color="auto" w:fill="auto"/>
            <w:noWrap/>
            <w:vAlign w:val="bottom"/>
            <w:hideMark/>
          </w:tcPr>
          <w:p w14:paraId="20FA07AD"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541A7" w14:textId="77777777" w:rsidR="00BA56AD" w:rsidRPr="00ED0873" w:rsidRDefault="00BA56AD" w:rsidP="00FB5615">
            <w:pPr>
              <w:jc w:val="center"/>
              <w:rPr>
                <w:sz w:val="16"/>
                <w:szCs w:val="16"/>
                <w:lang w:val="es-CO" w:eastAsia="es-CO"/>
              </w:rPr>
            </w:pPr>
            <w:r w:rsidRPr="00ED0873">
              <w:rPr>
                <w:sz w:val="16"/>
                <w:szCs w:val="16"/>
                <w:lang w:val="es-CO" w:eastAsia="es-CO"/>
              </w:rPr>
              <w:t>2,09%</w:t>
            </w:r>
          </w:p>
        </w:tc>
        <w:tc>
          <w:tcPr>
            <w:tcW w:w="1480" w:type="dxa"/>
            <w:tcBorders>
              <w:top w:val="nil"/>
              <w:left w:val="nil"/>
              <w:bottom w:val="single" w:sz="4" w:space="0" w:color="auto"/>
              <w:right w:val="single" w:sz="4" w:space="0" w:color="auto"/>
            </w:tcBorders>
            <w:shd w:val="clear" w:color="FFFFFF" w:fill="FFFFFF"/>
            <w:noWrap/>
            <w:vAlign w:val="bottom"/>
            <w:hideMark/>
          </w:tcPr>
          <w:p w14:paraId="6BB47A48" w14:textId="77777777" w:rsidR="00BA56AD" w:rsidRPr="00052F08" w:rsidRDefault="00BA56AD" w:rsidP="00FB5615">
            <w:pPr>
              <w:jc w:val="center"/>
              <w:rPr>
                <w:sz w:val="16"/>
                <w:szCs w:val="16"/>
                <w:lang w:val="es-CO" w:eastAsia="es-CO"/>
              </w:rPr>
            </w:pPr>
            <w:r w:rsidRPr="00052F08">
              <w:rPr>
                <w:color w:val="000000"/>
                <w:sz w:val="16"/>
                <w:szCs w:val="22"/>
              </w:rPr>
              <w:t>300</w:t>
            </w:r>
            <w:r>
              <w:rPr>
                <w:color w:val="000000"/>
                <w:sz w:val="16"/>
                <w:szCs w:val="22"/>
              </w:rPr>
              <w:t>.</w:t>
            </w:r>
            <w:r w:rsidRPr="00052F08">
              <w:rPr>
                <w:color w:val="000000"/>
                <w:sz w:val="16"/>
                <w:szCs w:val="22"/>
              </w:rPr>
              <w:t>843</w:t>
            </w:r>
            <w:r>
              <w:rPr>
                <w:color w:val="000000"/>
                <w:sz w:val="16"/>
                <w:szCs w:val="22"/>
              </w:rPr>
              <w:t>.</w:t>
            </w:r>
            <w:r w:rsidRPr="00052F08">
              <w:rPr>
                <w:color w:val="000000"/>
                <w:sz w:val="16"/>
                <w:szCs w:val="22"/>
              </w:rPr>
              <w:t>023</w:t>
            </w:r>
          </w:p>
        </w:tc>
      </w:tr>
      <w:tr w:rsidR="00BA56AD" w:rsidRPr="003F2319" w14:paraId="7D1E5A89"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4F5E48B8" w14:textId="77777777" w:rsidR="00BA56AD" w:rsidRPr="003F2319" w:rsidRDefault="00BA56AD" w:rsidP="00FB5615">
            <w:pPr>
              <w:jc w:val="center"/>
              <w:rPr>
                <w:b/>
                <w:bCs/>
                <w:sz w:val="16"/>
                <w:szCs w:val="16"/>
                <w:lang w:val="es-CO" w:eastAsia="es-CO"/>
              </w:rPr>
            </w:pPr>
            <w:r w:rsidRPr="003F2319">
              <w:rPr>
                <w:b/>
                <w:bCs/>
                <w:sz w:val="16"/>
                <w:szCs w:val="16"/>
                <w:lang w:val="es-CO" w:eastAsia="es-CO"/>
              </w:rPr>
              <w:t>6</w:t>
            </w:r>
          </w:p>
        </w:tc>
        <w:tc>
          <w:tcPr>
            <w:tcW w:w="1480" w:type="dxa"/>
            <w:tcBorders>
              <w:top w:val="nil"/>
              <w:left w:val="nil"/>
              <w:bottom w:val="single" w:sz="4" w:space="0" w:color="auto"/>
              <w:right w:val="single" w:sz="4" w:space="0" w:color="auto"/>
            </w:tcBorders>
            <w:shd w:val="clear" w:color="auto" w:fill="auto"/>
            <w:noWrap/>
            <w:vAlign w:val="bottom"/>
            <w:hideMark/>
          </w:tcPr>
          <w:p w14:paraId="6F18A64A"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050DB" w14:textId="77777777" w:rsidR="00BA56AD" w:rsidRPr="00ED0873" w:rsidRDefault="00BA56AD" w:rsidP="00FB5615">
            <w:pPr>
              <w:jc w:val="center"/>
              <w:rPr>
                <w:sz w:val="16"/>
                <w:szCs w:val="16"/>
                <w:lang w:val="es-CO" w:eastAsia="es-CO"/>
              </w:rPr>
            </w:pPr>
            <w:r w:rsidRPr="00ED0873">
              <w:rPr>
                <w:sz w:val="16"/>
                <w:szCs w:val="16"/>
                <w:lang w:val="es-CO" w:eastAsia="es-CO"/>
              </w:rPr>
              <w:t>2,07%</w:t>
            </w:r>
          </w:p>
        </w:tc>
        <w:tc>
          <w:tcPr>
            <w:tcW w:w="1480" w:type="dxa"/>
            <w:tcBorders>
              <w:top w:val="nil"/>
              <w:left w:val="nil"/>
              <w:bottom w:val="single" w:sz="4" w:space="0" w:color="auto"/>
              <w:right w:val="single" w:sz="4" w:space="0" w:color="auto"/>
            </w:tcBorders>
            <w:shd w:val="clear" w:color="FFFFFF" w:fill="FFFFFF"/>
            <w:noWrap/>
            <w:vAlign w:val="bottom"/>
            <w:hideMark/>
          </w:tcPr>
          <w:p w14:paraId="4A1AB1A8" w14:textId="77777777" w:rsidR="00BA56AD" w:rsidRPr="00052F08" w:rsidRDefault="00BA56AD" w:rsidP="00FB5615">
            <w:pPr>
              <w:jc w:val="center"/>
              <w:rPr>
                <w:sz w:val="16"/>
                <w:szCs w:val="16"/>
                <w:lang w:val="es-CO" w:eastAsia="es-CO"/>
              </w:rPr>
            </w:pPr>
            <w:r w:rsidRPr="00052F08">
              <w:rPr>
                <w:color w:val="000000"/>
                <w:sz w:val="16"/>
                <w:szCs w:val="22"/>
              </w:rPr>
              <w:t>307</w:t>
            </w:r>
            <w:r>
              <w:rPr>
                <w:color w:val="000000"/>
                <w:sz w:val="16"/>
                <w:szCs w:val="22"/>
              </w:rPr>
              <w:t>.</w:t>
            </w:r>
            <w:r w:rsidRPr="00052F08">
              <w:rPr>
                <w:color w:val="000000"/>
                <w:sz w:val="16"/>
                <w:szCs w:val="22"/>
              </w:rPr>
              <w:t>073</w:t>
            </w:r>
            <w:r>
              <w:rPr>
                <w:color w:val="000000"/>
                <w:sz w:val="16"/>
                <w:szCs w:val="22"/>
              </w:rPr>
              <w:t>.</w:t>
            </w:r>
            <w:r w:rsidRPr="00052F08">
              <w:rPr>
                <w:color w:val="000000"/>
                <w:sz w:val="16"/>
                <w:szCs w:val="22"/>
              </w:rPr>
              <w:t>488</w:t>
            </w:r>
          </w:p>
        </w:tc>
      </w:tr>
      <w:tr w:rsidR="00BA56AD" w:rsidRPr="003F2319" w14:paraId="4772F154"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1084382D" w14:textId="77777777" w:rsidR="00BA56AD" w:rsidRPr="003F2319" w:rsidRDefault="00BA56AD" w:rsidP="00FB5615">
            <w:pPr>
              <w:jc w:val="center"/>
              <w:rPr>
                <w:b/>
                <w:bCs/>
                <w:sz w:val="16"/>
                <w:szCs w:val="16"/>
                <w:lang w:val="es-CO" w:eastAsia="es-CO"/>
              </w:rPr>
            </w:pPr>
            <w:r w:rsidRPr="003F2319">
              <w:rPr>
                <w:b/>
                <w:bCs/>
                <w:sz w:val="16"/>
                <w:szCs w:val="16"/>
                <w:lang w:val="es-CO" w:eastAsia="es-CO"/>
              </w:rPr>
              <w:t>7</w:t>
            </w:r>
          </w:p>
        </w:tc>
        <w:tc>
          <w:tcPr>
            <w:tcW w:w="1480" w:type="dxa"/>
            <w:tcBorders>
              <w:top w:val="nil"/>
              <w:left w:val="nil"/>
              <w:bottom w:val="single" w:sz="4" w:space="0" w:color="auto"/>
              <w:right w:val="single" w:sz="4" w:space="0" w:color="auto"/>
            </w:tcBorders>
            <w:shd w:val="clear" w:color="auto" w:fill="auto"/>
            <w:noWrap/>
            <w:vAlign w:val="bottom"/>
            <w:hideMark/>
          </w:tcPr>
          <w:p w14:paraId="3B6BDA4F"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2D8E0" w14:textId="77777777" w:rsidR="00BA56AD" w:rsidRPr="00ED0873" w:rsidRDefault="00BA56AD" w:rsidP="00FB5615">
            <w:pPr>
              <w:jc w:val="center"/>
              <w:rPr>
                <w:sz w:val="16"/>
                <w:szCs w:val="16"/>
                <w:lang w:val="es-CO" w:eastAsia="es-CO"/>
              </w:rPr>
            </w:pPr>
            <w:r w:rsidRPr="00ED0873">
              <w:rPr>
                <w:sz w:val="16"/>
                <w:szCs w:val="16"/>
                <w:lang w:val="es-CO" w:eastAsia="es-CO"/>
              </w:rPr>
              <w:t>2,07%</w:t>
            </w:r>
          </w:p>
        </w:tc>
        <w:tc>
          <w:tcPr>
            <w:tcW w:w="1480" w:type="dxa"/>
            <w:tcBorders>
              <w:top w:val="nil"/>
              <w:left w:val="nil"/>
              <w:bottom w:val="single" w:sz="4" w:space="0" w:color="auto"/>
              <w:right w:val="single" w:sz="4" w:space="0" w:color="auto"/>
            </w:tcBorders>
            <w:shd w:val="clear" w:color="FFFFFF" w:fill="FFFFFF"/>
            <w:noWrap/>
            <w:vAlign w:val="bottom"/>
            <w:hideMark/>
          </w:tcPr>
          <w:p w14:paraId="0966CA7E" w14:textId="77777777" w:rsidR="00BA56AD" w:rsidRPr="00052F08" w:rsidRDefault="00BA56AD" w:rsidP="00FB5615">
            <w:pPr>
              <w:jc w:val="center"/>
              <w:rPr>
                <w:sz w:val="16"/>
                <w:szCs w:val="16"/>
                <w:lang w:val="es-CO" w:eastAsia="es-CO"/>
              </w:rPr>
            </w:pPr>
            <w:r w:rsidRPr="00052F08">
              <w:rPr>
                <w:color w:val="000000"/>
                <w:sz w:val="16"/>
                <w:szCs w:val="22"/>
              </w:rPr>
              <w:t>313</w:t>
            </w:r>
            <w:r>
              <w:rPr>
                <w:color w:val="000000"/>
                <w:sz w:val="16"/>
                <w:szCs w:val="22"/>
              </w:rPr>
              <w:t>.</w:t>
            </w:r>
            <w:r w:rsidRPr="00052F08">
              <w:rPr>
                <w:color w:val="000000"/>
                <w:sz w:val="16"/>
                <w:szCs w:val="22"/>
              </w:rPr>
              <w:t>421</w:t>
            </w:r>
            <w:r>
              <w:rPr>
                <w:color w:val="000000"/>
                <w:sz w:val="16"/>
                <w:szCs w:val="22"/>
              </w:rPr>
              <w:t>.</w:t>
            </w:r>
            <w:r w:rsidRPr="00052F08">
              <w:rPr>
                <w:color w:val="000000"/>
                <w:sz w:val="16"/>
                <w:szCs w:val="22"/>
              </w:rPr>
              <w:t>625</w:t>
            </w:r>
          </w:p>
        </w:tc>
      </w:tr>
      <w:tr w:rsidR="00BA56AD" w:rsidRPr="003F2319" w14:paraId="664F411C"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1FA10E24" w14:textId="77777777" w:rsidR="00BA56AD" w:rsidRPr="003F2319" w:rsidRDefault="00BA56AD" w:rsidP="00FB5615">
            <w:pPr>
              <w:jc w:val="center"/>
              <w:rPr>
                <w:b/>
                <w:bCs/>
                <w:sz w:val="16"/>
                <w:szCs w:val="16"/>
                <w:lang w:val="es-CO" w:eastAsia="es-CO"/>
              </w:rPr>
            </w:pPr>
            <w:r w:rsidRPr="003F2319">
              <w:rPr>
                <w:b/>
                <w:bCs/>
                <w:sz w:val="16"/>
                <w:szCs w:val="16"/>
                <w:lang w:val="es-CO" w:eastAsia="es-CO"/>
              </w:rPr>
              <w:t>8</w:t>
            </w:r>
          </w:p>
        </w:tc>
        <w:tc>
          <w:tcPr>
            <w:tcW w:w="1480" w:type="dxa"/>
            <w:tcBorders>
              <w:top w:val="nil"/>
              <w:left w:val="nil"/>
              <w:bottom w:val="single" w:sz="4" w:space="0" w:color="auto"/>
              <w:right w:val="single" w:sz="4" w:space="0" w:color="auto"/>
            </w:tcBorders>
            <w:shd w:val="clear" w:color="auto" w:fill="auto"/>
            <w:noWrap/>
            <w:vAlign w:val="bottom"/>
            <w:hideMark/>
          </w:tcPr>
          <w:p w14:paraId="00A840C4"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94FD5"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nil"/>
              <w:left w:val="nil"/>
              <w:bottom w:val="single" w:sz="4" w:space="0" w:color="auto"/>
              <w:right w:val="single" w:sz="4" w:space="0" w:color="auto"/>
            </w:tcBorders>
            <w:shd w:val="clear" w:color="FFFFFF" w:fill="FFFFFF"/>
            <w:noWrap/>
            <w:vAlign w:val="bottom"/>
            <w:hideMark/>
          </w:tcPr>
          <w:p w14:paraId="330873CD" w14:textId="77777777" w:rsidR="00BA56AD" w:rsidRPr="00052F08" w:rsidRDefault="00BA56AD" w:rsidP="00FB5615">
            <w:pPr>
              <w:jc w:val="center"/>
              <w:rPr>
                <w:sz w:val="16"/>
                <w:szCs w:val="16"/>
                <w:lang w:val="es-CO" w:eastAsia="es-CO"/>
              </w:rPr>
            </w:pPr>
            <w:r w:rsidRPr="00052F08">
              <w:rPr>
                <w:color w:val="000000"/>
                <w:sz w:val="16"/>
                <w:szCs w:val="22"/>
              </w:rPr>
              <w:t>319</w:t>
            </w:r>
            <w:r>
              <w:rPr>
                <w:color w:val="000000"/>
                <w:sz w:val="16"/>
                <w:szCs w:val="22"/>
              </w:rPr>
              <w:t>.</w:t>
            </w:r>
            <w:r w:rsidRPr="00052F08">
              <w:rPr>
                <w:color w:val="000000"/>
                <w:sz w:val="16"/>
                <w:szCs w:val="22"/>
              </w:rPr>
              <w:t>996</w:t>
            </w:r>
            <w:r>
              <w:rPr>
                <w:color w:val="000000"/>
                <w:sz w:val="16"/>
                <w:szCs w:val="22"/>
              </w:rPr>
              <w:t>.</w:t>
            </w:r>
            <w:r w:rsidRPr="00052F08">
              <w:rPr>
                <w:color w:val="000000"/>
                <w:sz w:val="16"/>
                <w:szCs w:val="22"/>
              </w:rPr>
              <w:t>754</w:t>
            </w:r>
          </w:p>
        </w:tc>
      </w:tr>
      <w:tr w:rsidR="00BA56AD" w:rsidRPr="003F2319" w14:paraId="05C1F94A"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0981AD83" w14:textId="77777777" w:rsidR="00BA56AD" w:rsidRPr="003F2319" w:rsidRDefault="00BA56AD" w:rsidP="00FB5615">
            <w:pPr>
              <w:jc w:val="center"/>
              <w:rPr>
                <w:b/>
                <w:bCs/>
                <w:sz w:val="16"/>
                <w:szCs w:val="16"/>
                <w:lang w:val="es-CO" w:eastAsia="es-CO"/>
              </w:rPr>
            </w:pPr>
            <w:r w:rsidRPr="003F2319">
              <w:rPr>
                <w:b/>
                <w:bCs/>
                <w:sz w:val="16"/>
                <w:szCs w:val="16"/>
                <w:lang w:val="es-CO" w:eastAsia="es-CO"/>
              </w:rPr>
              <w:t>9</w:t>
            </w:r>
          </w:p>
        </w:tc>
        <w:tc>
          <w:tcPr>
            <w:tcW w:w="1480" w:type="dxa"/>
            <w:tcBorders>
              <w:top w:val="nil"/>
              <w:left w:val="nil"/>
              <w:bottom w:val="single" w:sz="4" w:space="0" w:color="auto"/>
              <w:right w:val="single" w:sz="4" w:space="0" w:color="auto"/>
            </w:tcBorders>
            <w:shd w:val="clear" w:color="auto" w:fill="auto"/>
            <w:noWrap/>
            <w:vAlign w:val="bottom"/>
            <w:hideMark/>
          </w:tcPr>
          <w:p w14:paraId="4EEA2200"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748AC" w14:textId="77777777" w:rsidR="00BA56AD" w:rsidRPr="00ED0873" w:rsidRDefault="00BA56AD" w:rsidP="00FB5615">
            <w:pPr>
              <w:jc w:val="center"/>
              <w:rPr>
                <w:sz w:val="16"/>
                <w:szCs w:val="16"/>
                <w:lang w:val="es-CO" w:eastAsia="es-CO"/>
              </w:rPr>
            </w:pPr>
            <w:r w:rsidRPr="00ED0873">
              <w:rPr>
                <w:sz w:val="16"/>
                <w:szCs w:val="16"/>
                <w:lang w:val="es-CO" w:eastAsia="es-CO"/>
              </w:rPr>
              <w:t>2,09%</w:t>
            </w:r>
          </w:p>
        </w:tc>
        <w:tc>
          <w:tcPr>
            <w:tcW w:w="1480" w:type="dxa"/>
            <w:tcBorders>
              <w:top w:val="nil"/>
              <w:left w:val="nil"/>
              <w:bottom w:val="single" w:sz="4" w:space="0" w:color="auto"/>
              <w:right w:val="single" w:sz="4" w:space="0" w:color="auto"/>
            </w:tcBorders>
            <w:shd w:val="clear" w:color="FFFFFF" w:fill="FFFFFF"/>
            <w:noWrap/>
            <w:vAlign w:val="bottom"/>
            <w:hideMark/>
          </w:tcPr>
          <w:p w14:paraId="091BACD4" w14:textId="77777777" w:rsidR="00BA56AD" w:rsidRPr="00052F08" w:rsidRDefault="00BA56AD" w:rsidP="00FB5615">
            <w:pPr>
              <w:jc w:val="center"/>
              <w:rPr>
                <w:sz w:val="16"/>
                <w:szCs w:val="16"/>
                <w:lang w:val="es-CO" w:eastAsia="es-CO"/>
              </w:rPr>
            </w:pPr>
            <w:r w:rsidRPr="00052F08">
              <w:rPr>
                <w:color w:val="000000"/>
                <w:sz w:val="16"/>
                <w:szCs w:val="22"/>
              </w:rPr>
              <w:t>326</w:t>
            </w:r>
            <w:r>
              <w:rPr>
                <w:color w:val="000000"/>
                <w:sz w:val="16"/>
                <w:szCs w:val="22"/>
              </w:rPr>
              <w:t>.</w:t>
            </w:r>
            <w:r w:rsidRPr="00052F08">
              <w:rPr>
                <w:color w:val="000000"/>
                <w:sz w:val="16"/>
                <w:szCs w:val="22"/>
              </w:rPr>
              <w:t>677</w:t>
            </w:r>
            <w:r>
              <w:rPr>
                <w:color w:val="000000"/>
                <w:sz w:val="16"/>
                <w:szCs w:val="22"/>
              </w:rPr>
              <w:t>.</w:t>
            </w:r>
            <w:r w:rsidRPr="00052F08">
              <w:rPr>
                <w:color w:val="000000"/>
                <w:sz w:val="16"/>
                <w:szCs w:val="22"/>
              </w:rPr>
              <w:t>207</w:t>
            </w:r>
          </w:p>
        </w:tc>
      </w:tr>
      <w:tr w:rsidR="00BA56AD" w:rsidRPr="003F2319" w14:paraId="54F5D96D"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7D854F2A" w14:textId="77777777" w:rsidR="00BA56AD" w:rsidRPr="003F2319" w:rsidRDefault="00BA56AD" w:rsidP="00FB5615">
            <w:pPr>
              <w:jc w:val="center"/>
              <w:rPr>
                <w:b/>
                <w:bCs/>
                <w:sz w:val="16"/>
                <w:szCs w:val="16"/>
                <w:lang w:val="es-CO" w:eastAsia="es-CO"/>
              </w:rPr>
            </w:pPr>
            <w:r w:rsidRPr="003F2319">
              <w:rPr>
                <w:b/>
                <w:bCs/>
                <w:sz w:val="16"/>
                <w:szCs w:val="16"/>
                <w:lang w:val="es-CO" w:eastAsia="es-CO"/>
              </w:rPr>
              <w:t>10</w:t>
            </w:r>
          </w:p>
        </w:tc>
        <w:tc>
          <w:tcPr>
            <w:tcW w:w="1480" w:type="dxa"/>
            <w:tcBorders>
              <w:top w:val="nil"/>
              <w:left w:val="nil"/>
              <w:bottom w:val="single" w:sz="4" w:space="0" w:color="auto"/>
              <w:right w:val="single" w:sz="4" w:space="0" w:color="auto"/>
            </w:tcBorders>
            <w:shd w:val="clear" w:color="auto" w:fill="auto"/>
            <w:noWrap/>
            <w:vAlign w:val="bottom"/>
            <w:hideMark/>
          </w:tcPr>
          <w:p w14:paraId="7E3B02CD"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77F1D" w14:textId="77777777" w:rsidR="00BA56AD" w:rsidRPr="00ED0873" w:rsidRDefault="00BA56AD" w:rsidP="00FB5615">
            <w:pPr>
              <w:jc w:val="center"/>
              <w:rPr>
                <w:sz w:val="16"/>
                <w:szCs w:val="16"/>
                <w:lang w:val="es-CO" w:eastAsia="es-CO"/>
              </w:rPr>
            </w:pPr>
            <w:r w:rsidRPr="00ED0873">
              <w:rPr>
                <w:sz w:val="16"/>
                <w:szCs w:val="16"/>
                <w:lang w:val="es-CO" w:eastAsia="es-CO"/>
              </w:rPr>
              <w:t>2,08%</w:t>
            </w:r>
          </w:p>
        </w:tc>
        <w:tc>
          <w:tcPr>
            <w:tcW w:w="1480" w:type="dxa"/>
            <w:tcBorders>
              <w:top w:val="nil"/>
              <w:left w:val="nil"/>
              <w:bottom w:val="single" w:sz="4" w:space="0" w:color="auto"/>
              <w:right w:val="single" w:sz="4" w:space="0" w:color="auto"/>
            </w:tcBorders>
            <w:shd w:val="clear" w:color="FFFFFF" w:fill="FFFFFF"/>
            <w:noWrap/>
            <w:vAlign w:val="bottom"/>
            <w:hideMark/>
          </w:tcPr>
          <w:p w14:paraId="24045321" w14:textId="77777777" w:rsidR="00BA56AD" w:rsidRPr="00052F08" w:rsidRDefault="00BA56AD" w:rsidP="00FB5615">
            <w:pPr>
              <w:jc w:val="center"/>
              <w:rPr>
                <w:sz w:val="16"/>
                <w:szCs w:val="16"/>
                <w:lang w:val="es-CO" w:eastAsia="es-CO"/>
              </w:rPr>
            </w:pPr>
            <w:r w:rsidRPr="00052F08">
              <w:rPr>
                <w:color w:val="000000"/>
                <w:sz w:val="16"/>
                <w:szCs w:val="22"/>
              </w:rPr>
              <w:t>333</w:t>
            </w:r>
            <w:r>
              <w:rPr>
                <w:color w:val="000000"/>
                <w:sz w:val="16"/>
                <w:szCs w:val="22"/>
              </w:rPr>
              <w:t>.</w:t>
            </w:r>
            <w:r w:rsidRPr="00052F08">
              <w:rPr>
                <w:color w:val="000000"/>
                <w:sz w:val="16"/>
                <w:szCs w:val="22"/>
              </w:rPr>
              <w:t>469</w:t>
            </w:r>
            <w:r>
              <w:rPr>
                <w:color w:val="000000"/>
                <w:sz w:val="16"/>
                <w:szCs w:val="22"/>
              </w:rPr>
              <w:t>.</w:t>
            </w:r>
            <w:r w:rsidRPr="00052F08">
              <w:rPr>
                <w:color w:val="000000"/>
                <w:sz w:val="16"/>
                <w:szCs w:val="22"/>
              </w:rPr>
              <w:t>159</w:t>
            </w:r>
          </w:p>
        </w:tc>
      </w:tr>
      <w:tr w:rsidR="00BA56AD" w:rsidRPr="003F2319" w14:paraId="009BADC6"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76A30C87" w14:textId="77777777" w:rsidR="00BA56AD" w:rsidRPr="003F2319" w:rsidRDefault="00BA56AD" w:rsidP="00FB5615">
            <w:pPr>
              <w:jc w:val="center"/>
              <w:rPr>
                <w:b/>
                <w:bCs/>
                <w:sz w:val="16"/>
                <w:szCs w:val="16"/>
                <w:lang w:val="es-CO" w:eastAsia="es-CO"/>
              </w:rPr>
            </w:pPr>
            <w:r w:rsidRPr="003F2319">
              <w:rPr>
                <w:b/>
                <w:bCs/>
                <w:sz w:val="16"/>
                <w:szCs w:val="16"/>
                <w:lang w:val="es-CO" w:eastAsia="es-CO"/>
              </w:rPr>
              <w:t>11</w:t>
            </w:r>
          </w:p>
        </w:tc>
        <w:tc>
          <w:tcPr>
            <w:tcW w:w="1480" w:type="dxa"/>
            <w:tcBorders>
              <w:top w:val="nil"/>
              <w:left w:val="nil"/>
              <w:bottom w:val="single" w:sz="4" w:space="0" w:color="auto"/>
              <w:right w:val="single" w:sz="4" w:space="0" w:color="auto"/>
            </w:tcBorders>
            <w:shd w:val="clear" w:color="auto" w:fill="auto"/>
            <w:noWrap/>
            <w:vAlign w:val="bottom"/>
            <w:hideMark/>
          </w:tcPr>
          <w:p w14:paraId="68248064"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E6527" w14:textId="77777777" w:rsidR="00BA56AD" w:rsidRPr="00ED0873" w:rsidRDefault="00BA56AD" w:rsidP="00FB5615">
            <w:pPr>
              <w:jc w:val="center"/>
              <w:rPr>
                <w:sz w:val="16"/>
                <w:szCs w:val="16"/>
                <w:lang w:val="es-CO" w:eastAsia="es-CO"/>
              </w:rPr>
            </w:pPr>
            <w:r w:rsidRPr="00ED0873">
              <w:rPr>
                <w:sz w:val="16"/>
                <w:szCs w:val="16"/>
                <w:lang w:val="es-CO" w:eastAsia="es-CO"/>
              </w:rPr>
              <w:t>2,08%</w:t>
            </w:r>
          </w:p>
        </w:tc>
        <w:tc>
          <w:tcPr>
            <w:tcW w:w="1480" w:type="dxa"/>
            <w:tcBorders>
              <w:top w:val="nil"/>
              <w:left w:val="nil"/>
              <w:bottom w:val="single" w:sz="4" w:space="0" w:color="auto"/>
              <w:right w:val="single" w:sz="4" w:space="0" w:color="auto"/>
            </w:tcBorders>
            <w:shd w:val="clear" w:color="FFFFFF" w:fill="FFFFFF"/>
            <w:noWrap/>
            <w:vAlign w:val="bottom"/>
            <w:hideMark/>
          </w:tcPr>
          <w:p w14:paraId="4F5B676D" w14:textId="77777777" w:rsidR="00BA56AD" w:rsidRPr="00052F08" w:rsidRDefault="00BA56AD" w:rsidP="00FB5615">
            <w:pPr>
              <w:jc w:val="center"/>
              <w:rPr>
                <w:sz w:val="16"/>
                <w:szCs w:val="16"/>
                <w:lang w:val="es-CO" w:eastAsia="es-CO"/>
              </w:rPr>
            </w:pPr>
            <w:r w:rsidRPr="00052F08">
              <w:rPr>
                <w:color w:val="000000"/>
                <w:sz w:val="16"/>
                <w:szCs w:val="22"/>
              </w:rPr>
              <w:t>340</w:t>
            </w:r>
            <w:r>
              <w:rPr>
                <w:color w:val="000000"/>
                <w:sz w:val="16"/>
                <w:szCs w:val="22"/>
              </w:rPr>
              <w:t>.</w:t>
            </w:r>
            <w:r w:rsidRPr="00052F08">
              <w:rPr>
                <w:color w:val="000000"/>
                <w:sz w:val="16"/>
                <w:szCs w:val="22"/>
              </w:rPr>
              <w:t>414</w:t>
            </w:r>
            <w:r>
              <w:rPr>
                <w:color w:val="000000"/>
                <w:sz w:val="16"/>
                <w:szCs w:val="22"/>
              </w:rPr>
              <w:t>.</w:t>
            </w:r>
            <w:r w:rsidRPr="00052F08">
              <w:rPr>
                <w:color w:val="000000"/>
                <w:sz w:val="16"/>
                <w:szCs w:val="22"/>
              </w:rPr>
              <w:t>375</w:t>
            </w:r>
          </w:p>
        </w:tc>
      </w:tr>
      <w:tr w:rsidR="00BA56AD" w:rsidRPr="003F2319" w14:paraId="56A5B99B"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6F662AFE" w14:textId="77777777" w:rsidR="00BA56AD" w:rsidRPr="003F2319" w:rsidRDefault="00BA56AD" w:rsidP="00FB5615">
            <w:pPr>
              <w:jc w:val="center"/>
              <w:rPr>
                <w:b/>
                <w:bCs/>
                <w:sz w:val="16"/>
                <w:szCs w:val="16"/>
                <w:lang w:val="es-CO" w:eastAsia="es-CO"/>
              </w:rPr>
            </w:pPr>
            <w:r w:rsidRPr="003F2319">
              <w:rPr>
                <w:b/>
                <w:bCs/>
                <w:sz w:val="16"/>
                <w:szCs w:val="16"/>
                <w:lang w:val="es-CO" w:eastAsia="es-CO"/>
              </w:rPr>
              <w:t>12</w:t>
            </w:r>
          </w:p>
        </w:tc>
        <w:tc>
          <w:tcPr>
            <w:tcW w:w="1480" w:type="dxa"/>
            <w:tcBorders>
              <w:top w:val="nil"/>
              <w:left w:val="nil"/>
              <w:bottom w:val="single" w:sz="4" w:space="0" w:color="auto"/>
              <w:right w:val="single" w:sz="4" w:space="0" w:color="auto"/>
            </w:tcBorders>
            <w:shd w:val="clear" w:color="auto" w:fill="auto"/>
            <w:noWrap/>
            <w:vAlign w:val="bottom"/>
            <w:hideMark/>
          </w:tcPr>
          <w:p w14:paraId="3D8C369B"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79FB7"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nil"/>
              <w:left w:val="nil"/>
              <w:bottom w:val="single" w:sz="4" w:space="0" w:color="auto"/>
              <w:right w:val="single" w:sz="4" w:space="0" w:color="auto"/>
            </w:tcBorders>
            <w:shd w:val="clear" w:color="FFFFFF" w:fill="FFFFFF"/>
            <w:noWrap/>
            <w:vAlign w:val="bottom"/>
            <w:hideMark/>
          </w:tcPr>
          <w:p w14:paraId="70570D4A" w14:textId="77777777" w:rsidR="00BA56AD" w:rsidRPr="00052F08" w:rsidRDefault="00BA56AD" w:rsidP="00FB5615">
            <w:pPr>
              <w:jc w:val="center"/>
              <w:rPr>
                <w:sz w:val="16"/>
                <w:szCs w:val="16"/>
                <w:lang w:val="es-CO" w:eastAsia="es-CO"/>
              </w:rPr>
            </w:pPr>
            <w:r w:rsidRPr="00052F08">
              <w:rPr>
                <w:color w:val="000000"/>
                <w:sz w:val="16"/>
                <w:szCs w:val="22"/>
              </w:rPr>
              <w:t>347</w:t>
            </w:r>
            <w:r>
              <w:rPr>
                <w:color w:val="000000"/>
                <w:sz w:val="16"/>
                <w:szCs w:val="22"/>
              </w:rPr>
              <w:t>.</w:t>
            </w:r>
            <w:r w:rsidRPr="00052F08">
              <w:rPr>
                <w:color w:val="000000"/>
                <w:sz w:val="16"/>
                <w:szCs w:val="22"/>
              </w:rPr>
              <w:t>550</w:t>
            </w:r>
            <w:r>
              <w:rPr>
                <w:color w:val="000000"/>
                <w:sz w:val="16"/>
                <w:szCs w:val="22"/>
              </w:rPr>
              <w:t>.</w:t>
            </w:r>
            <w:r w:rsidRPr="00052F08">
              <w:rPr>
                <w:color w:val="000000"/>
                <w:sz w:val="16"/>
                <w:szCs w:val="22"/>
              </w:rPr>
              <w:t>990</w:t>
            </w:r>
          </w:p>
        </w:tc>
      </w:tr>
      <w:tr w:rsidR="00BA56AD" w:rsidRPr="003F2319" w14:paraId="0D6C30D0"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2ECE548A" w14:textId="77777777" w:rsidR="00BA56AD" w:rsidRPr="003F2319" w:rsidRDefault="00BA56AD" w:rsidP="00FB5615">
            <w:pPr>
              <w:jc w:val="center"/>
              <w:rPr>
                <w:b/>
                <w:bCs/>
                <w:sz w:val="16"/>
                <w:szCs w:val="16"/>
                <w:lang w:val="es-CO" w:eastAsia="es-CO"/>
              </w:rPr>
            </w:pPr>
            <w:r w:rsidRPr="003F2319">
              <w:rPr>
                <w:b/>
                <w:bCs/>
                <w:sz w:val="16"/>
                <w:szCs w:val="16"/>
                <w:lang w:val="es-CO" w:eastAsia="es-CO"/>
              </w:rPr>
              <w:t>13</w:t>
            </w:r>
          </w:p>
        </w:tc>
        <w:tc>
          <w:tcPr>
            <w:tcW w:w="1480" w:type="dxa"/>
            <w:tcBorders>
              <w:top w:val="nil"/>
              <w:left w:val="nil"/>
              <w:bottom w:val="single" w:sz="4" w:space="0" w:color="auto"/>
              <w:right w:val="single" w:sz="4" w:space="0" w:color="auto"/>
            </w:tcBorders>
            <w:shd w:val="clear" w:color="auto" w:fill="auto"/>
            <w:noWrap/>
            <w:vAlign w:val="bottom"/>
            <w:hideMark/>
          </w:tcPr>
          <w:p w14:paraId="3C8DF4D2"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5E918"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nil"/>
              <w:left w:val="nil"/>
              <w:bottom w:val="single" w:sz="4" w:space="0" w:color="auto"/>
              <w:right w:val="single" w:sz="4" w:space="0" w:color="auto"/>
            </w:tcBorders>
            <w:shd w:val="clear" w:color="FFFFFF" w:fill="FFFFFF"/>
            <w:noWrap/>
            <w:vAlign w:val="bottom"/>
            <w:hideMark/>
          </w:tcPr>
          <w:p w14:paraId="70FBF829" w14:textId="77777777" w:rsidR="00BA56AD" w:rsidRPr="00052F08" w:rsidRDefault="00BA56AD" w:rsidP="00FB5615">
            <w:pPr>
              <w:jc w:val="center"/>
              <w:rPr>
                <w:sz w:val="16"/>
                <w:szCs w:val="16"/>
                <w:lang w:val="es-CO" w:eastAsia="es-CO"/>
              </w:rPr>
            </w:pPr>
            <w:r w:rsidRPr="00052F08">
              <w:rPr>
                <w:color w:val="000000"/>
                <w:sz w:val="16"/>
                <w:szCs w:val="22"/>
              </w:rPr>
              <w:t>354</w:t>
            </w:r>
            <w:r>
              <w:rPr>
                <w:color w:val="000000"/>
                <w:sz w:val="16"/>
                <w:szCs w:val="22"/>
              </w:rPr>
              <w:t>.</w:t>
            </w:r>
            <w:r w:rsidRPr="00052F08">
              <w:rPr>
                <w:color w:val="000000"/>
                <w:sz w:val="16"/>
                <w:szCs w:val="22"/>
              </w:rPr>
              <w:t>836</w:t>
            </w:r>
            <w:r>
              <w:rPr>
                <w:color w:val="000000"/>
                <w:sz w:val="16"/>
                <w:szCs w:val="22"/>
              </w:rPr>
              <w:t>.</w:t>
            </w:r>
            <w:r w:rsidRPr="00052F08">
              <w:rPr>
                <w:color w:val="000000"/>
                <w:sz w:val="16"/>
                <w:szCs w:val="22"/>
              </w:rPr>
              <w:t>875</w:t>
            </w:r>
          </w:p>
        </w:tc>
      </w:tr>
      <w:tr w:rsidR="00BA56AD" w:rsidRPr="003F2319" w14:paraId="4C8ADBDD"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0A994F0B" w14:textId="77777777" w:rsidR="00BA56AD" w:rsidRPr="003F2319" w:rsidRDefault="00BA56AD" w:rsidP="00FB5615">
            <w:pPr>
              <w:jc w:val="center"/>
              <w:rPr>
                <w:b/>
                <w:bCs/>
                <w:sz w:val="16"/>
                <w:szCs w:val="16"/>
                <w:lang w:val="es-CO" w:eastAsia="es-CO"/>
              </w:rPr>
            </w:pPr>
            <w:r w:rsidRPr="003F2319">
              <w:rPr>
                <w:b/>
                <w:bCs/>
                <w:sz w:val="16"/>
                <w:szCs w:val="16"/>
                <w:lang w:val="es-CO" w:eastAsia="es-CO"/>
              </w:rPr>
              <w:t>14</w:t>
            </w:r>
          </w:p>
        </w:tc>
        <w:tc>
          <w:tcPr>
            <w:tcW w:w="1480" w:type="dxa"/>
            <w:tcBorders>
              <w:top w:val="nil"/>
              <w:left w:val="nil"/>
              <w:bottom w:val="single" w:sz="4" w:space="0" w:color="auto"/>
              <w:right w:val="single" w:sz="4" w:space="0" w:color="auto"/>
            </w:tcBorders>
            <w:shd w:val="clear" w:color="auto" w:fill="auto"/>
            <w:noWrap/>
            <w:vAlign w:val="bottom"/>
            <w:hideMark/>
          </w:tcPr>
          <w:p w14:paraId="367A044E"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3FDBB" w14:textId="77777777" w:rsidR="00BA56AD" w:rsidRPr="00ED0873" w:rsidRDefault="00BA56AD" w:rsidP="00FB5615">
            <w:pPr>
              <w:jc w:val="center"/>
              <w:rPr>
                <w:sz w:val="16"/>
                <w:szCs w:val="16"/>
                <w:lang w:val="es-CO" w:eastAsia="es-CO"/>
              </w:rPr>
            </w:pPr>
            <w:r w:rsidRPr="00ED0873">
              <w:rPr>
                <w:sz w:val="16"/>
                <w:szCs w:val="16"/>
                <w:lang w:val="es-CO" w:eastAsia="es-CO"/>
              </w:rPr>
              <w:t>2,09%</w:t>
            </w:r>
          </w:p>
        </w:tc>
        <w:tc>
          <w:tcPr>
            <w:tcW w:w="1480" w:type="dxa"/>
            <w:tcBorders>
              <w:top w:val="nil"/>
              <w:left w:val="nil"/>
              <w:bottom w:val="single" w:sz="4" w:space="0" w:color="auto"/>
              <w:right w:val="single" w:sz="4" w:space="0" w:color="auto"/>
            </w:tcBorders>
            <w:shd w:val="clear" w:color="FFFFFF" w:fill="FFFFFF"/>
            <w:noWrap/>
            <w:vAlign w:val="bottom"/>
            <w:hideMark/>
          </w:tcPr>
          <w:p w14:paraId="6E2996CB" w14:textId="77777777" w:rsidR="00BA56AD" w:rsidRPr="00052F08" w:rsidRDefault="00BA56AD" w:rsidP="00FB5615">
            <w:pPr>
              <w:jc w:val="center"/>
              <w:rPr>
                <w:sz w:val="16"/>
                <w:szCs w:val="16"/>
                <w:lang w:val="es-CO" w:eastAsia="es-CO"/>
              </w:rPr>
            </w:pPr>
            <w:r w:rsidRPr="00052F08">
              <w:rPr>
                <w:color w:val="000000"/>
                <w:sz w:val="16"/>
                <w:szCs w:val="22"/>
              </w:rPr>
              <w:t>362</w:t>
            </w:r>
            <w:r>
              <w:rPr>
                <w:color w:val="000000"/>
                <w:sz w:val="16"/>
                <w:szCs w:val="22"/>
              </w:rPr>
              <w:t>.</w:t>
            </w:r>
            <w:r w:rsidRPr="00052F08">
              <w:rPr>
                <w:color w:val="000000"/>
                <w:sz w:val="16"/>
                <w:szCs w:val="22"/>
              </w:rPr>
              <w:t>237</w:t>
            </w:r>
            <w:r>
              <w:rPr>
                <w:color w:val="000000"/>
                <w:sz w:val="16"/>
                <w:szCs w:val="22"/>
              </w:rPr>
              <w:t>.</w:t>
            </w:r>
            <w:r w:rsidRPr="00052F08">
              <w:rPr>
                <w:color w:val="000000"/>
                <w:sz w:val="16"/>
                <w:szCs w:val="22"/>
              </w:rPr>
              <w:t>164</w:t>
            </w:r>
          </w:p>
        </w:tc>
      </w:tr>
      <w:tr w:rsidR="00BA56AD" w:rsidRPr="003F2319" w14:paraId="3BB822D7"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06219045" w14:textId="77777777" w:rsidR="00BA56AD" w:rsidRPr="003F2319" w:rsidRDefault="00BA56AD" w:rsidP="00FB5615">
            <w:pPr>
              <w:jc w:val="center"/>
              <w:rPr>
                <w:b/>
                <w:bCs/>
                <w:sz w:val="16"/>
                <w:szCs w:val="16"/>
                <w:lang w:val="es-CO" w:eastAsia="es-CO"/>
              </w:rPr>
            </w:pPr>
            <w:r w:rsidRPr="003F2319">
              <w:rPr>
                <w:b/>
                <w:bCs/>
                <w:sz w:val="16"/>
                <w:szCs w:val="16"/>
                <w:lang w:val="es-CO" w:eastAsia="es-CO"/>
              </w:rPr>
              <w:t>15</w:t>
            </w:r>
          </w:p>
        </w:tc>
        <w:tc>
          <w:tcPr>
            <w:tcW w:w="1480" w:type="dxa"/>
            <w:tcBorders>
              <w:top w:val="nil"/>
              <w:left w:val="nil"/>
              <w:bottom w:val="single" w:sz="4" w:space="0" w:color="auto"/>
              <w:right w:val="single" w:sz="4" w:space="0" w:color="auto"/>
            </w:tcBorders>
            <w:shd w:val="clear" w:color="auto" w:fill="auto"/>
            <w:noWrap/>
            <w:vAlign w:val="bottom"/>
            <w:hideMark/>
          </w:tcPr>
          <w:p w14:paraId="50A85885"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8BBA8" w14:textId="77777777" w:rsidR="00BA56AD" w:rsidRPr="00ED0873" w:rsidRDefault="00BA56AD" w:rsidP="00FB5615">
            <w:pPr>
              <w:jc w:val="center"/>
              <w:rPr>
                <w:sz w:val="16"/>
                <w:szCs w:val="16"/>
                <w:lang w:val="es-CO" w:eastAsia="es-CO"/>
              </w:rPr>
            </w:pPr>
            <w:r w:rsidRPr="00ED0873">
              <w:rPr>
                <w:sz w:val="16"/>
                <w:szCs w:val="16"/>
                <w:lang w:val="es-CO" w:eastAsia="es-CO"/>
              </w:rPr>
              <w:t>2,09%</w:t>
            </w:r>
          </w:p>
        </w:tc>
        <w:tc>
          <w:tcPr>
            <w:tcW w:w="1480" w:type="dxa"/>
            <w:tcBorders>
              <w:top w:val="nil"/>
              <w:left w:val="nil"/>
              <w:bottom w:val="single" w:sz="4" w:space="0" w:color="auto"/>
              <w:right w:val="single" w:sz="4" w:space="0" w:color="auto"/>
            </w:tcBorders>
            <w:shd w:val="clear" w:color="FFFFFF" w:fill="FFFFFF"/>
            <w:noWrap/>
            <w:vAlign w:val="bottom"/>
            <w:hideMark/>
          </w:tcPr>
          <w:p w14:paraId="182417F7" w14:textId="77777777" w:rsidR="00BA56AD" w:rsidRPr="00052F08" w:rsidRDefault="00BA56AD" w:rsidP="00FB5615">
            <w:pPr>
              <w:jc w:val="center"/>
              <w:rPr>
                <w:sz w:val="16"/>
                <w:szCs w:val="16"/>
                <w:lang w:val="es-CO" w:eastAsia="es-CO"/>
              </w:rPr>
            </w:pPr>
            <w:r w:rsidRPr="00052F08">
              <w:rPr>
                <w:color w:val="000000"/>
                <w:sz w:val="16"/>
                <w:szCs w:val="22"/>
              </w:rPr>
              <w:t>369</w:t>
            </w:r>
            <w:r>
              <w:rPr>
                <w:color w:val="000000"/>
                <w:sz w:val="16"/>
                <w:szCs w:val="22"/>
              </w:rPr>
              <w:t>.</w:t>
            </w:r>
            <w:r w:rsidRPr="00052F08">
              <w:rPr>
                <w:color w:val="000000"/>
                <w:sz w:val="16"/>
                <w:szCs w:val="22"/>
              </w:rPr>
              <w:t>794</w:t>
            </w:r>
            <w:r>
              <w:rPr>
                <w:color w:val="000000"/>
                <w:sz w:val="16"/>
                <w:szCs w:val="22"/>
              </w:rPr>
              <w:t>.</w:t>
            </w:r>
            <w:r w:rsidRPr="00052F08">
              <w:rPr>
                <w:color w:val="000000"/>
                <w:sz w:val="16"/>
                <w:szCs w:val="22"/>
              </w:rPr>
              <w:t>713</w:t>
            </w:r>
          </w:p>
        </w:tc>
      </w:tr>
      <w:tr w:rsidR="00BA56AD" w:rsidRPr="003F2319" w14:paraId="71D7C14C"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221D7038" w14:textId="77777777" w:rsidR="00BA56AD" w:rsidRPr="003F2319" w:rsidRDefault="00BA56AD" w:rsidP="00FB5615">
            <w:pPr>
              <w:jc w:val="center"/>
              <w:rPr>
                <w:b/>
                <w:bCs/>
                <w:sz w:val="16"/>
                <w:szCs w:val="16"/>
                <w:lang w:val="es-CO" w:eastAsia="es-CO"/>
              </w:rPr>
            </w:pPr>
            <w:r w:rsidRPr="003F2319">
              <w:rPr>
                <w:b/>
                <w:bCs/>
                <w:sz w:val="16"/>
                <w:szCs w:val="16"/>
                <w:lang w:val="es-CO" w:eastAsia="es-CO"/>
              </w:rPr>
              <w:t>16</w:t>
            </w:r>
          </w:p>
        </w:tc>
        <w:tc>
          <w:tcPr>
            <w:tcW w:w="1480" w:type="dxa"/>
            <w:tcBorders>
              <w:top w:val="nil"/>
              <w:left w:val="nil"/>
              <w:bottom w:val="single" w:sz="4" w:space="0" w:color="auto"/>
              <w:right w:val="single" w:sz="4" w:space="0" w:color="auto"/>
            </w:tcBorders>
            <w:shd w:val="clear" w:color="auto" w:fill="auto"/>
            <w:noWrap/>
            <w:vAlign w:val="bottom"/>
            <w:hideMark/>
          </w:tcPr>
          <w:p w14:paraId="5E66CD36"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B8BA7" w14:textId="77777777" w:rsidR="00BA56AD" w:rsidRPr="00ED0873" w:rsidRDefault="00BA56AD" w:rsidP="00FB5615">
            <w:pPr>
              <w:jc w:val="center"/>
              <w:rPr>
                <w:sz w:val="16"/>
                <w:szCs w:val="16"/>
                <w:lang w:val="es-CO" w:eastAsia="es-CO"/>
              </w:rPr>
            </w:pPr>
            <w:r w:rsidRPr="00ED0873">
              <w:rPr>
                <w:sz w:val="16"/>
                <w:szCs w:val="16"/>
                <w:lang w:val="es-CO" w:eastAsia="es-CO"/>
              </w:rPr>
              <w:t>2,09%</w:t>
            </w:r>
          </w:p>
        </w:tc>
        <w:tc>
          <w:tcPr>
            <w:tcW w:w="1480" w:type="dxa"/>
            <w:tcBorders>
              <w:top w:val="nil"/>
              <w:left w:val="nil"/>
              <w:bottom w:val="single" w:sz="4" w:space="0" w:color="auto"/>
              <w:right w:val="single" w:sz="4" w:space="0" w:color="auto"/>
            </w:tcBorders>
            <w:shd w:val="clear" w:color="FFFFFF" w:fill="FFFFFF"/>
            <w:noWrap/>
            <w:vAlign w:val="bottom"/>
            <w:hideMark/>
          </w:tcPr>
          <w:p w14:paraId="098942E3" w14:textId="77777777" w:rsidR="00BA56AD" w:rsidRPr="00052F08" w:rsidRDefault="00BA56AD" w:rsidP="00FB5615">
            <w:pPr>
              <w:jc w:val="center"/>
              <w:rPr>
                <w:sz w:val="16"/>
                <w:szCs w:val="16"/>
                <w:lang w:val="es-CO" w:eastAsia="es-CO"/>
              </w:rPr>
            </w:pPr>
            <w:r w:rsidRPr="00052F08">
              <w:rPr>
                <w:color w:val="000000"/>
                <w:sz w:val="16"/>
                <w:szCs w:val="22"/>
              </w:rPr>
              <w:t>377</w:t>
            </w:r>
            <w:r>
              <w:rPr>
                <w:color w:val="000000"/>
                <w:sz w:val="16"/>
                <w:szCs w:val="22"/>
              </w:rPr>
              <w:t>.</w:t>
            </w:r>
            <w:r w:rsidRPr="00052F08">
              <w:rPr>
                <w:color w:val="000000"/>
                <w:sz w:val="16"/>
                <w:szCs w:val="22"/>
              </w:rPr>
              <w:t>541</w:t>
            </w:r>
            <w:r>
              <w:rPr>
                <w:color w:val="000000"/>
                <w:sz w:val="16"/>
                <w:szCs w:val="22"/>
              </w:rPr>
              <w:t>.</w:t>
            </w:r>
            <w:r w:rsidRPr="00052F08">
              <w:rPr>
                <w:color w:val="000000"/>
                <w:sz w:val="16"/>
                <w:szCs w:val="22"/>
              </w:rPr>
              <w:t>481</w:t>
            </w:r>
          </w:p>
        </w:tc>
      </w:tr>
      <w:tr w:rsidR="00BA56AD" w:rsidRPr="003F2319" w14:paraId="36FCFB08"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7D1F81B5" w14:textId="77777777" w:rsidR="00BA56AD" w:rsidRPr="003F2319" w:rsidRDefault="00BA56AD" w:rsidP="00FB5615">
            <w:pPr>
              <w:jc w:val="center"/>
              <w:rPr>
                <w:b/>
                <w:bCs/>
                <w:sz w:val="16"/>
                <w:szCs w:val="16"/>
                <w:lang w:val="es-CO" w:eastAsia="es-CO"/>
              </w:rPr>
            </w:pPr>
            <w:r w:rsidRPr="003F2319">
              <w:rPr>
                <w:b/>
                <w:bCs/>
                <w:sz w:val="16"/>
                <w:szCs w:val="16"/>
                <w:lang w:val="es-CO" w:eastAsia="es-CO"/>
              </w:rPr>
              <w:t>17</w:t>
            </w:r>
          </w:p>
        </w:tc>
        <w:tc>
          <w:tcPr>
            <w:tcW w:w="1480" w:type="dxa"/>
            <w:tcBorders>
              <w:top w:val="nil"/>
              <w:left w:val="nil"/>
              <w:bottom w:val="single" w:sz="4" w:space="0" w:color="auto"/>
              <w:right w:val="single" w:sz="4" w:space="0" w:color="auto"/>
            </w:tcBorders>
            <w:shd w:val="clear" w:color="auto" w:fill="auto"/>
            <w:noWrap/>
            <w:vAlign w:val="bottom"/>
            <w:hideMark/>
          </w:tcPr>
          <w:p w14:paraId="3CBFFBC2"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A16D2"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nil"/>
              <w:left w:val="nil"/>
              <w:bottom w:val="single" w:sz="4" w:space="0" w:color="auto"/>
              <w:right w:val="single" w:sz="4" w:space="0" w:color="auto"/>
            </w:tcBorders>
            <w:shd w:val="clear" w:color="FFFFFF" w:fill="FFFFFF"/>
            <w:noWrap/>
            <w:vAlign w:val="bottom"/>
            <w:hideMark/>
          </w:tcPr>
          <w:p w14:paraId="65BA4BDB" w14:textId="77777777" w:rsidR="00BA56AD" w:rsidRPr="00052F08" w:rsidRDefault="00BA56AD" w:rsidP="00FB5615">
            <w:pPr>
              <w:jc w:val="center"/>
              <w:rPr>
                <w:sz w:val="16"/>
                <w:szCs w:val="16"/>
                <w:lang w:val="es-CO" w:eastAsia="es-CO"/>
              </w:rPr>
            </w:pPr>
            <w:r w:rsidRPr="00052F08">
              <w:rPr>
                <w:color w:val="000000"/>
                <w:sz w:val="16"/>
                <w:szCs w:val="22"/>
              </w:rPr>
              <w:t>385</w:t>
            </w:r>
            <w:r>
              <w:rPr>
                <w:color w:val="000000"/>
                <w:sz w:val="16"/>
                <w:szCs w:val="22"/>
              </w:rPr>
              <w:t>.</w:t>
            </w:r>
            <w:r w:rsidRPr="00052F08">
              <w:rPr>
                <w:color w:val="000000"/>
                <w:sz w:val="16"/>
                <w:szCs w:val="22"/>
              </w:rPr>
              <w:t>451</w:t>
            </w:r>
            <w:r>
              <w:rPr>
                <w:color w:val="000000"/>
                <w:sz w:val="16"/>
                <w:szCs w:val="22"/>
              </w:rPr>
              <w:t>.</w:t>
            </w:r>
            <w:r w:rsidRPr="00052F08">
              <w:rPr>
                <w:color w:val="000000"/>
                <w:sz w:val="16"/>
                <w:szCs w:val="22"/>
              </w:rPr>
              <w:t>684</w:t>
            </w:r>
          </w:p>
        </w:tc>
      </w:tr>
      <w:tr w:rsidR="00BA56AD" w:rsidRPr="003F2319" w14:paraId="01A5E2AB"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22374005" w14:textId="77777777" w:rsidR="00BA56AD" w:rsidRPr="003F2319" w:rsidRDefault="00BA56AD" w:rsidP="00FB5615">
            <w:pPr>
              <w:jc w:val="center"/>
              <w:rPr>
                <w:b/>
                <w:bCs/>
                <w:sz w:val="16"/>
                <w:szCs w:val="16"/>
                <w:lang w:val="es-CO" w:eastAsia="es-CO"/>
              </w:rPr>
            </w:pPr>
            <w:r w:rsidRPr="003F2319">
              <w:rPr>
                <w:b/>
                <w:bCs/>
                <w:sz w:val="16"/>
                <w:szCs w:val="16"/>
                <w:lang w:val="es-CO" w:eastAsia="es-CO"/>
              </w:rPr>
              <w:t>18</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FB8B0"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nil"/>
              <w:left w:val="nil"/>
              <w:bottom w:val="single" w:sz="4" w:space="0" w:color="auto"/>
              <w:right w:val="single" w:sz="4" w:space="0" w:color="auto"/>
            </w:tcBorders>
            <w:shd w:val="clear" w:color="auto" w:fill="auto"/>
            <w:noWrap/>
            <w:vAlign w:val="bottom"/>
            <w:hideMark/>
          </w:tcPr>
          <w:p w14:paraId="567D0C9B" w14:textId="77777777" w:rsidR="00BA56AD" w:rsidRPr="00ED0873" w:rsidRDefault="00BA56AD" w:rsidP="00FB5615">
            <w:pPr>
              <w:jc w:val="center"/>
              <w:rPr>
                <w:sz w:val="16"/>
                <w:szCs w:val="16"/>
                <w:lang w:val="es-CO" w:eastAsia="es-CO"/>
              </w:rPr>
            </w:pPr>
            <w:r w:rsidRPr="00ED0873">
              <w:rPr>
                <w:sz w:val="16"/>
                <w:szCs w:val="16"/>
                <w:lang w:val="es-CO" w:eastAsia="es-CO"/>
              </w:rPr>
              <w:t>2,11%</w:t>
            </w:r>
          </w:p>
        </w:tc>
        <w:tc>
          <w:tcPr>
            <w:tcW w:w="1480" w:type="dxa"/>
            <w:tcBorders>
              <w:top w:val="nil"/>
              <w:left w:val="nil"/>
              <w:bottom w:val="single" w:sz="4" w:space="0" w:color="auto"/>
              <w:right w:val="single" w:sz="4" w:space="0" w:color="auto"/>
            </w:tcBorders>
            <w:shd w:val="clear" w:color="FFFFFF" w:fill="FFFFFF"/>
            <w:noWrap/>
            <w:vAlign w:val="bottom"/>
            <w:hideMark/>
          </w:tcPr>
          <w:p w14:paraId="165979E4" w14:textId="77777777" w:rsidR="00BA56AD" w:rsidRPr="00052F08" w:rsidRDefault="00BA56AD" w:rsidP="00FB5615">
            <w:pPr>
              <w:jc w:val="center"/>
              <w:rPr>
                <w:sz w:val="16"/>
                <w:szCs w:val="16"/>
                <w:lang w:val="es-CO" w:eastAsia="es-CO"/>
              </w:rPr>
            </w:pPr>
            <w:r w:rsidRPr="00052F08">
              <w:rPr>
                <w:color w:val="000000"/>
                <w:sz w:val="16"/>
                <w:szCs w:val="22"/>
              </w:rPr>
              <w:t>393</w:t>
            </w:r>
            <w:r>
              <w:rPr>
                <w:color w:val="000000"/>
                <w:sz w:val="16"/>
                <w:szCs w:val="22"/>
              </w:rPr>
              <w:t>.</w:t>
            </w:r>
            <w:r w:rsidRPr="00052F08">
              <w:rPr>
                <w:color w:val="000000"/>
                <w:sz w:val="16"/>
                <w:szCs w:val="22"/>
              </w:rPr>
              <w:t>546</w:t>
            </w:r>
            <w:r>
              <w:rPr>
                <w:color w:val="000000"/>
                <w:sz w:val="16"/>
                <w:szCs w:val="22"/>
              </w:rPr>
              <w:t>.</w:t>
            </w:r>
            <w:r w:rsidRPr="00052F08">
              <w:rPr>
                <w:color w:val="000000"/>
                <w:sz w:val="16"/>
                <w:szCs w:val="22"/>
              </w:rPr>
              <w:t>170</w:t>
            </w:r>
          </w:p>
        </w:tc>
      </w:tr>
      <w:tr w:rsidR="00BA56AD" w:rsidRPr="003F2319" w14:paraId="7A0AB94E"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53F56E7F" w14:textId="77777777" w:rsidR="00BA56AD" w:rsidRPr="003F2319" w:rsidRDefault="00BA56AD" w:rsidP="00FB5615">
            <w:pPr>
              <w:jc w:val="center"/>
              <w:rPr>
                <w:b/>
                <w:bCs/>
                <w:sz w:val="16"/>
                <w:szCs w:val="16"/>
                <w:lang w:val="es-CO" w:eastAsia="es-CO"/>
              </w:rPr>
            </w:pPr>
            <w:r w:rsidRPr="003F2319">
              <w:rPr>
                <w:b/>
                <w:bCs/>
                <w:sz w:val="16"/>
                <w:szCs w:val="16"/>
                <w:lang w:val="es-CO" w:eastAsia="es-CO"/>
              </w:rPr>
              <w:t>19</w:t>
            </w:r>
          </w:p>
        </w:tc>
        <w:tc>
          <w:tcPr>
            <w:tcW w:w="1480" w:type="dxa"/>
            <w:tcBorders>
              <w:top w:val="nil"/>
              <w:left w:val="nil"/>
              <w:bottom w:val="single" w:sz="4" w:space="0" w:color="auto"/>
              <w:right w:val="single" w:sz="4" w:space="0" w:color="auto"/>
            </w:tcBorders>
            <w:shd w:val="clear" w:color="auto" w:fill="auto"/>
            <w:noWrap/>
            <w:vAlign w:val="bottom"/>
            <w:hideMark/>
          </w:tcPr>
          <w:p w14:paraId="099CD6B5"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59127"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nil"/>
              <w:left w:val="nil"/>
              <w:bottom w:val="single" w:sz="4" w:space="0" w:color="auto"/>
              <w:right w:val="single" w:sz="4" w:space="0" w:color="auto"/>
            </w:tcBorders>
            <w:shd w:val="clear" w:color="FFFFFF" w:fill="FFFFFF"/>
            <w:noWrap/>
            <w:vAlign w:val="bottom"/>
            <w:hideMark/>
          </w:tcPr>
          <w:p w14:paraId="61FE763C" w14:textId="77777777" w:rsidR="00BA56AD" w:rsidRPr="00052F08" w:rsidRDefault="00BA56AD" w:rsidP="00FB5615">
            <w:pPr>
              <w:jc w:val="center"/>
              <w:rPr>
                <w:sz w:val="16"/>
                <w:szCs w:val="16"/>
                <w:lang w:val="es-CO" w:eastAsia="es-CO"/>
              </w:rPr>
            </w:pPr>
            <w:r w:rsidRPr="00052F08">
              <w:rPr>
                <w:color w:val="000000"/>
                <w:sz w:val="16"/>
                <w:szCs w:val="22"/>
              </w:rPr>
              <w:t>401</w:t>
            </w:r>
            <w:r>
              <w:rPr>
                <w:color w:val="000000"/>
                <w:sz w:val="16"/>
                <w:szCs w:val="22"/>
              </w:rPr>
              <w:t>.</w:t>
            </w:r>
            <w:r w:rsidRPr="00052F08">
              <w:rPr>
                <w:color w:val="000000"/>
                <w:sz w:val="16"/>
                <w:szCs w:val="22"/>
              </w:rPr>
              <w:t>806</w:t>
            </w:r>
            <w:r>
              <w:rPr>
                <w:color w:val="000000"/>
                <w:sz w:val="16"/>
                <w:szCs w:val="22"/>
              </w:rPr>
              <w:t>.</w:t>
            </w:r>
            <w:r w:rsidRPr="00052F08">
              <w:rPr>
                <w:color w:val="000000"/>
                <w:sz w:val="16"/>
                <w:szCs w:val="22"/>
              </w:rPr>
              <w:t>570</w:t>
            </w:r>
          </w:p>
        </w:tc>
      </w:tr>
      <w:tr w:rsidR="00BA56AD" w:rsidRPr="003F2319" w14:paraId="6D52EF86" w14:textId="77777777" w:rsidTr="00FB5615">
        <w:trPr>
          <w:trHeight w:val="300"/>
          <w:jc w:val="center"/>
        </w:trPr>
        <w:tc>
          <w:tcPr>
            <w:tcW w:w="1200" w:type="dxa"/>
            <w:tcBorders>
              <w:top w:val="nil"/>
              <w:left w:val="single" w:sz="4" w:space="0" w:color="auto"/>
              <w:bottom w:val="single" w:sz="4" w:space="0" w:color="auto"/>
              <w:right w:val="single" w:sz="4" w:space="0" w:color="auto"/>
            </w:tcBorders>
            <w:shd w:val="clear" w:color="FFFFFF" w:fill="FFFFFF"/>
            <w:noWrap/>
            <w:vAlign w:val="center"/>
            <w:hideMark/>
          </w:tcPr>
          <w:p w14:paraId="0873D98E" w14:textId="77777777" w:rsidR="00BA56AD" w:rsidRPr="003F2319" w:rsidRDefault="00BA56AD" w:rsidP="00FB5615">
            <w:pPr>
              <w:jc w:val="center"/>
              <w:rPr>
                <w:b/>
                <w:bCs/>
                <w:sz w:val="16"/>
                <w:szCs w:val="16"/>
                <w:lang w:val="es-CO" w:eastAsia="es-CO"/>
              </w:rPr>
            </w:pPr>
            <w:r w:rsidRPr="003F2319">
              <w:rPr>
                <w:b/>
                <w:bCs/>
                <w:sz w:val="16"/>
                <w:szCs w:val="16"/>
                <w:lang w:val="es-CO" w:eastAsia="es-CO"/>
              </w:rPr>
              <w:t>20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DC592" w14:textId="77777777" w:rsidR="00BA56AD" w:rsidRPr="00ED0873" w:rsidRDefault="00BA56AD" w:rsidP="00FB5615">
            <w:pPr>
              <w:jc w:val="center"/>
              <w:rPr>
                <w:sz w:val="16"/>
                <w:szCs w:val="16"/>
                <w:lang w:val="es-CO" w:eastAsia="es-CO"/>
              </w:rPr>
            </w:pPr>
            <w:r w:rsidRPr="00ED0873">
              <w:rPr>
                <w:sz w:val="16"/>
                <w:szCs w:val="16"/>
                <w:lang w:val="es-CO" w:eastAsia="es-CO"/>
              </w:rPr>
              <w:t>2,10%</w:t>
            </w:r>
          </w:p>
        </w:tc>
        <w:tc>
          <w:tcPr>
            <w:tcW w:w="1480" w:type="dxa"/>
            <w:tcBorders>
              <w:top w:val="nil"/>
              <w:left w:val="nil"/>
              <w:bottom w:val="single" w:sz="4" w:space="0" w:color="auto"/>
              <w:right w:val="single" w:sz="4" w:space="0" w:color="auto"/>
            </w:tcBorders>
            <w:shd w:val="clear" w:color="auto" w:fill="auto"/>
            <w:noWrap/>
            <w:vAlign w:val="bottom"/>
            <w:hideMark/>
          </w:tcPr>
          <w:p w14:paraId="11415998" w14:textId="77777777" w:rsidR="00BA56AD" w:rsidRPr="00ED0873" w:rsidRDefault="00BA56AD" w:rsidP="00FB5615">
            <w:pPr>
              <w:jc w:val="center"/>
              <w:rPr>
                <w:sz w:val="16"/>
                <w:szCs w:val="16"/>
                <w:lang w:val="es-CO" w:eastAsia="es-CO"/>
              </w:rPr>
            </w:pPr>
            <w:r w:rsidRPr="00ED0873">
              <w:rPr>
                <w:sz w:val="16"/>
                <w:szCs w:val="16"/>
                <w:lang w:val="es-CO" w:eastAsia="es-CO"/>
              </w:rPr>
              <w:t>2,11%</w:t>
            </w:r>
          </w:p>
        </w:tc>
        <w:tc>
          <w:tcPr>
            <w:tcW w:w="1480" w:type="dxa"/>
            <w:tcBorders>
              <w:top w:val="nil"/>
              <w:left w:val="nil"/>
              <w:bottom w:val="single" w:sz="4" w:space="0" w:color="auto"/>
              <w:right w:val="single" w:sz="4" w:space="0" w:color="auto"/>
            </w:tcBorders>
            <w:shd w:val="clear" w:color="FFFFFF" w:fill="FFFFFF"/>
            <w:noWrap/>
            <w:vAlign w:val="bottom"/>
            <w:hideMark/>
          </w:tcPr>
          <w:p w14:paraId="1316D0BF" w14:textId="77777777" w:rsidR="00BA56AD" w:rsidRPr="00052F08" w:rsidRDefault="00BA56AD" w:rsidP="00FB5615">
            <w:pPr>
              <w:jc w:val="center"/>
              <w:rPr>
                <w:sz w:val="16"/>
                <w:szCs w:val="16"/>
                <w:lang w:val="es-CO" w:eastAsia="es-CO"/>
              </w:rPr>
            </w:pPr>
            <w:r w:rsidRPr="00052F08">
              <w:rPr>
                <w:color w:val="000000"/>
                <w:sz w:val="16"/>
                <w:szCs w:val="22"/>
              </w:rPr>
              <w:t>410</w:t>
            </w:r>
            <w:r>
              <w:rPr>
                <w:color w:val="000000"/>
                <w:sz w:val="16"/>
                <w:szCs w:val="22"/>
              </w:rPr>
              <w:t>.</w:t>
            </w:r>
            <w:r w:rsidRPr="00052F08">
              <w:rPr>
                <w:color w:val="000000"/>
                <w:sz w:val="16"/>
                <w:szCs w:val="22"/>
              </w:rPr>
              <w:t>244</w:t>
            </w:r>
            <w:r>
              <w:rPr>
                <w:color w:val="000000"/>
                <w:sz w:val="16"/>
                <w:szCs w:val="22"/>
              </w:rPr>
              <w:t>.</w:t>
            </w:r>
            <w:r w:rsidRPr="00052F08">
              <w:rPr>
                <w:color w:val="000000"/>
                <w:sz w:val="16"/>
                <w:szCs w:val="22"/>
              </w:rPr>
              <w:t>508</w:t>
            </w:r>
          </w:p>
        </w:tc>
      </w:tr>
    </w:tbl>
    <w:p w14:paraId="21BBD41A" w14:textId="77777777" w:rsidR="00BA56AD" w:rsidRDefault="00BA56AD" w:rsidP="00BA56AD">
      <w:pPr>
        <w:rPr>
          <w:rFonts w:ascii="Arial" w:hAnsi="Arial" w:cs="Arial"/>
          <w:sz w:val="22"/>
        </w:rPr>
      </w:pPr>
    </w:p>
    <w:p w14:paraId="3DC4BCFE" w14:textId="77777777" w:rsidR="00BA56AD" w:rsidRPr="00EF0AA6" w:rsidRDefault="00BA56AD" w:rsidP="00BA56AD">
      <w:pPr>
        <w:spacing w:before="240" w:after="240"/>
        <w:rPr>
          <w:shd w:val="clear" w:color="auto" w:fill="FFFFFF"/>
        </w:rPr>
      </w:pPr>
      <w:r w:rsidRPr="00EF0AA6">
        <w:rPr>
          <w:shd w:val="clear" w:color="auto" w:fill="FFFFFF"/>
        </w:rPr>
        <w:t>Tal como se muestra en el cuadro anterior, la proyección de gastos de AOM de la actividad de distribución se ajustará bajo ese criterio.</w:t>
      </w:r>
    </w:p>
    <w:p w14:paraId="3F93240E" w14:textId="77777777" w:rsidR="00BA56AD" w:rsidRDefault="00BA56AD" w:rsidP="00BA56AD">
      <w:pPr>
        <w:spacing w:before="240" w:after="240"/>
        <w:rPr>
          <w:shd w:val="clear" w:color="auto" w:fill="FFFFFF"/>
        </w:rPr>
      </w:pPr>
      <w:r w:rsidRPr="00E536DA">
        <w:rPr>
          <w:shd w:val="clear" w:color="auto" w:fill="FFFFFF"/>
        </w:rPr>
        <w:t xml:space="preserve">Una vez ajustada la </w:t>
      </w:r>
      <w:r w:rsidRPr="00EF0AA6">
        <w:rPr>
          <w:shd w:val="clear" w:color="auto" w:fill="FFFFFF"/>
        </w:rPr>
        <w:t>proyección de gastos de AOM</w:t>
      </w:r>
      <w:r>
        <w:rPr>
          <w:shd w:val="clear" w:color="auto" w:fill="FFFFFF"/>
        </w:rPr>
        <w:t>,</w:t>
      </w:r>
      <w:r w:rsidRPr="00E536DA">
        <w:rPr>
          <w:shd w:val="clear" w:color="auto" w:fill="FFFFFF"/>
        </w:rPr>
        <w:t xml:space="preserve"> el  </w:t>
      </w:r>
      <m:oMath>
        <m:f>
          <m:fPr>
            <m:ctrlPr>
              <w:rPr>
                <w:rFonts w:ascii="Cambria Math" w:hAnsi="Cambria Math"/>
                <w:shd w:val="clear" w:color="auto" w:fill="FFFFFF"/>
              </w:rPr>
            </m:ctrlPr>
          </m:fPr>
          <m:num>
            <m:sSub>
              <m:sSubPr>
                <m:ctrlPr>
                  <w:rPr>
                    <w:rFonts w:ascii="Cambria Math" w:hAnsi="Cambria Math"/>
                    <w:shd w:val="clear" w:color="auto" w:fill="FFFFFF"/>
                  </w:rPr>
                </m:ctrlPr>
              </m:sSubPr>
              <m:e>
                <m:r>
                  <m:rPr>
                    <m:sty m:val="p"/>
                  </m:rPr>
                  <w:rPr>
                    <w:rFonts w:ascii="Cambria Math" w:hAnsi="Cambria Math"/>
                    <w:shd w:val="clear" w:color="auto" w:fill="FFFFFF"/>
                  </w:rPr>
                  <m:t>AOM</m:t>
                </m:r>
              </m:e>
              <m:sub>
                <m:r>
                  <m:rPr>
                    <m:sty m:val="p"/>
                  </m:rPr>
                  <w:rPr>
                    <w:rFonts w:ascii="Cambria Math" w:hAnsi="Cambria Math"/>
                    <w:shd w:val="clear" w:color="auto" w:fill="FFFFFF"/>
                  </w:rPr>
                  <m:t>r</m:t>
                </m:r>
              </m:sub>
            </m:sSub>
          </m:num>
          <m:den>
            <m:r>
              <m:rPr>
                <m:sty m:val="p"/>
              </m:rPr>
              <w:rPr>
                <w:rFonts w:ascii="Cambria Math" w:hAnsi="Cambria Math"/>
                <w:shd w:val="clear" w:color="auto" w:fill="FFFFFF"/>
              </w:rPr>
              <m:t>BRAN</m:t>
            </m:r>
          </m:den>
        </m:f>
      </m:oMath>
      <w:r w:rsidRPr="00E536DA">
        <w:rPr>
          <w:shd w:val="clear" w:color="auto" w:fill="FFFFFF"/>
        </w:rPr>
        <w:t xml:space="preserve">  reportado por la empresa corresponde al 4,97%</w:t>
      </w:r>
      <w:r>
        <w:rPr>
          <w:shd w:val="clear" w:color="auto" w:fill="FFFFFF"/>
        </w:rPr>
        <w:t xml:space="preserve">, y </w:t>
      </w:r>
      <w:r w:rsidRPr="00E536DA">
        <w:rPr>
          <w:shd w:val="clear" w:color="auto" w:fill="FFFFFF"/>
        </w:rPr>
        <w:t>el porcentaje de AOM máximo a reconocer corresponde a 6.60%</w:t>
      </w:r>
      <w:r>
        <w:rPr>
          <w:shd w:val="clear" w:color="auto" w:fill="FFFFFF"/>
        </w:rPr>
        <w:t>. Por</w:t>
      </w:r>
      <w:r w:rsidRPr="006D3E80">
        <w:rPr>
          <w:iCs/>
          <w:lang w:val="es-ES_tradnl"/>
        </w:rPr>
        <w:t xml:space="preserve"> lo cual el porcentaje </w:t>
      </w:r>
      <w:r>
        <w:rPr>
          <w:iCs/>
          <w:lang w:val="es-ES_tradnl"/>
        </w:rPr>
        <w:t xml:space="preserve">eficiente  de gastos de AOM </w:t>
      </w:r>
      <w:r w:rsidRPr="006D3E80">
        <w:rPr>
          <w:iCs/>
          <w:lang w:val="es-ES_tradnl"/>
        </w:rPr>
        <w:t xml:space="preserve">que se reconocerá en los cargos de distribución corresponderá al </w:t>
      </w:r>
      <w:r w:rsidRPr="00E536DA">
        <w:rPr>
          <w:shd w:val="clear" w:color="auto" w:fill="FFFFFF"/>
        </w:rPr>
        <w:t xml:space="preserve"> </w:t>
      </w:r>
      <m:oMath>
        <m:f>
          <m:fPr>
            <m:ctrlPr>
              <w:rPr>
                <w:rFonts w:ascii="Cambria Math" w:hAnsi="Cambria Math"/>
                <w:shd w:val="clear" w:color="auto" w:fill="FFFFFF"/>
              </w:rPr>
            </m:ctrlPr>
          </m:fPr>
          <m:num>
            <m:sSub>
              <m:sSubPr>
                <m:ctrlPr>
                  <w:rPr>
                    <w:rFonts w:ascii="Cambria Math" w:hAnsi="Cambria Math"/>
                    <w:shd w:val="clear" w:color="auto" w:fill="FFFFFF"/>
                  </w:rPr>
                </m:ctrlPr>
              </m:sSubPr>
              <m:e>
                <m:r>
                  <m:rPr>
                    <m:sty m:val="p"/>
                  </m:rPr>
                  <w:rPr>
                    <w:rFonts w:ascii="Cambria Math" w:hAnsi="Cambria Math"/>
                    <w:shd w:val="clear" w:color="auto" w:fill="FFFFFF"/>
                  </w:rPr>
                  <m:t>AOM</m:t>
                </m:r>
              </m:e>
              <m:sub>
                <m:r>
                  <m:rPr>
                    <m:sty m:val="p"/>
                  </m:rPr>
                  <w:rPr>
                    <w:rFonts w:ascii="Cambria Math" w:hAnsi="Cambria Math"/>
                    <w:shd w:val="clear" w:color="auto" w:fill="FFFFFF"/>
                  </w:rPr>
                  <m:t>r</m:t>
                </m:r>
              </m:sub>
            </m:sSub>
          </m:num>
          <m:den>
            <m:r>
              <m:rPr>
                <m:sty m:val="p"/>
              </m:rPr>
              <w:rPr>
                <w:rFonts w:ascii="Cambria Math" w:hAnsi="Cambria Math"/>
                <w:shd w:val="clear" w:color="auto" w:fill="FFFFFF"/>
              </w:rPr>
              <m:t>BRAN</m:t>
            </m:r>
          </m:den>
        </m:f>
      </m:oMath>
      <w:r w:rsidRPr="00E536DA">
        <w:rPr>
          <w:shd w:val="clear" w:color="auto" w:fill="FFFFFF"/>
        </w:rPr>
        <w:t xml:space="preserve">  reportado por la empresa</w:t>
      </w:r>
      <w:r>
        <w:rPr>
          <w:shd w:val="clear" w:color="auto" w:fill="FFFFFF"/>
        </w:rPr>
        <w:t xml:space="preserve">, en la cual </w:t>
      </w:r>
      <w:r w:rsidRPr="00ED2D03">
        <w:rPr>
          <w:shd w:val="clear" w:color="auto" w:fill="FFFFFF"/>
        </w:rPr>
        <w:t>se utiliza la proyección de los gastos de AOM reportada por la empresa y ajustada conforme al menor de los crecimientos entre el de AOM y el de la demanda para determinar los cargos de distribución.</w:t>
      </w:r>
    </w:p>
    <w:p w14:paraId="0ADB0761" w14:textId="77777777" w:rsidR="00BA56AD" w:rsidRDefault="00BA56AD" w:rsidP="00BA56AD">
      <w:pPr>
        <w:spacing w:before="240" w:after="240"/>
        <w:rPr>
          <w:shd w:val="clear" w:color="auto" w:fill="FFFFFF"/>
        </w:rPr>
      </w:pPr>
      <w:r w:rsidRPr="0044346D">
        <w:rPr>
          <w:shd w:val="clear" w:color="auto" w:fill="FFFFFF"/>
        </w:rPr>
        <w:t xml:space="preserve">Por lo tanto, </w:t>
      </w:r>
      <w:r>
        <w:rPr>
          <w:shd w:val="clear" w:color="auto" w:fill="FFFFFF"/>
        </w:rPr>
        <w:t xml:space="preserve">la proyección de </w:t>
      </w:r>
      <w:r w:rsidRPr="0044346D">
        <w:rPr>
          <w:shd w:val="clear" w:color="auto" w:fill="FFFFFF"/>
        </w:rPr>
        <w:t>los gastos de AOM eficientes de distribución a reconocer incluyendo adicionalmente los Otros Gastos de AOM</w:t>
      </w:r>
      <w:r>
        <w:rPr>
          <w:shd w:val="clear" w:color="auto" w:fill="FFFFFF"/>
        </w:rPr>
        <w:t>,</w:t>
      </w:r>
      <w:r w:rsidRPr="0044346D">
        <w:rPr>
          <w:shd w:val="clear" w:color="auto" w:fill="FFFFFF"/>
        </w:rPr>
        <w:t xml:space="preserve"> son los siguientes:</w:t>
      </w:r>
    </w:p>
    <w:tbl>
      <w:tblPr>
        <w:tblW w:w="3440" w:type="dxa"/>
        <w:jc w:val="center"/>
        <w:tblCellMar>
          <w:left w:w="70" w:type="dxa"/>
          <w:right w:w="70" w:type="dxa"/>
        </w:tblCellMar>
        <w:tblLook w:val="04A0" w:firstRow="1" w:lastRow="0" w:firstColumn="1" w:lastColumn="0" w:noHBand="0" w:noVBand="1"/>
      </w:tblPr>
      <w:tblGrid>
        <w:gridCol w:w="1200"/>
        <w:gridCol w:w="2240"/>
      </w:tblGrid>
      <w:tr w:rsidR="00BA56AD" w:rsidRPr="006D5452" w14:paraId="50D35D8D" w14:textId="77777777" w:rsidTr="00FB5615">
        <w:trPr>
          <w:trHeight w:val="630"/>
          <w:tblHeader/>
          <w:jc w:val="center"/>
        </w:trPr>
        <w:tc>
          <w:tcPr>
            <w:tcW w:w="1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B6C2FF" w14:textId="77777777" w:rsidR="00BA56AD" w:rsidRPr="006D5452" w:rsidRDefault="00BA56AD" w:rsidP="00FB5615">
            <w:pPr>
              <w:jc w:val="center"/>
              <w:rPr>
                <w:rFonts w:cs="Arial"/>
                <w:b/>
                <w:bCs/>
                <w:sz w:val="20"/>
                <w:szCs w:val="20"/>
                <w:lang w:eastAsia="es-CO"/>
              </w:rPr>
            </w:pPr>
            <w:r w:rsidRPr="006D5452">
              <w:rPr>
                <w:rFonts w:cs="Arial"/>
                <w:b/>
                <w:bCs/>
                <w:sz w:val="20"/>
                <w:szCs w:val="20"/>
                <w:lang w:eastAsia="es-CO"/>
              </w:rPr>
              <w:t>AÑO</w:t>
            </w:r>
          </w:p>
        </w:tc>
        <w:tc>
          <w:tcPr>
            <w:tcW w:w="2240" w:type="dxa"/>
            <w:tcBorders>
              <w:top w:val="single" w:sz="4" w:space="0" w:color="auto"/>
              <w:left w:val="nil"/>
              <w:bottom w:val="single" w:sz="4" w:space="0" w:color="auto"/>
              <w:right w:val="single" w:sz="4" w:space="0" w:color="auto"/>
            </w:tcBorders>
            <w:shd w:val="clear" w:color="auto" w:fill="D9D9D9"/>
            <w:vAlign w:val="center"/>
            <w:hideMark/>
          </w:tcPr>
          <w:p w14:paraId="7163714C" w14:textId="77777777" w:rsidR="00BA56AD" w:rsidRPr="006D5452" w:rsidRDefault="00BA56AD" w:rsidP="00FB5615">
            <w:pPr>
              <w:jc w:val="center"/>
              <w:rPr>
                <w:rFonts w:cs="Arial"/>
                <w:b/>
                <w:bCs/>
                <w:sz w:val="20"/>
                <w:szCs w:val="20"/>
                <w:lang w:eastAsia="es-CO"/>
              </w:rPr>
            </w:pPr>
            <w:r w:rsidRPr="006D5452">
              <w:rPr>
                <w:rFonts w:cs="Arial"/>
                <w:b/>
                <w:bCs/>
                <w:sz w:val="20"/>
                <w:szCs w:val="20"/>
                <w:lang w:eastAsia="es-CO"/>
              </w:rPr>
              <w:t xml:space="preserve">GASTOS AOM </w:t>
            </w:r>
          </w:p>
          <w:p w14:paraId="0EFE6773" w14:textId="77777777" w:rsidR="00BA56AD" w:rsidRPr="006D5452" w:rsidRDefault="00BA56AD" w:rsidP="00FB5615">
            <w:pPr>
              <w:jc w:val="center"/>
              <w:rPr>
                <w:rFonts w:cs="Arial"/>
                <w:b/>
                <w:bCs/>
                <w:sz w:val="20"/>
                <w:szCs w:val="20"/>
                <w:lang w:eastAsia="es-CO"/>
              </w:rPr>
            </w:pPr>
            <w:r w:rsidRPr="006D5452">
              <w:rPr>
                <w:rFonts w:cs="Arial"/>
                <w:b/>
                <w:bCs/>
                <w:sz w:val="20"/>
                <w:szCs w:val="20"/>
                <w:lang w:eastAsia="es-CO"/>
              </w:rPr>
              <w:t>$ Dic 2017</w:t>
            </w:r>
          </w:p>
        </w:tc>
      </w:tr>
      <w:tr w:rsidR="00BA56AD" w:rsidRPr="006D5452" w14:paraId="09818FCC" w14:textId="77777777" w:rsidTr="00FB5615">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8BB98"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w:t>
            </w:r>
          </w:p>
        </w:tc>
        <w:tc>
          <w:tcPr>
            <w:tcW w:w="2240" w:type="dxa"/>
            <w:tcBorders>
              <w:top w:val="single" w:sz="4" w:space="0" w:color="auto"/>
              <w:left w:val="nil"/>
              <w:bottom w:val="single" w:sz="4" w:space="0" w:color="auto"/>
              <w:right w:val="single" w:sz="4" w:space="0" w:color="auto"/>
            </w:tcBorders>
            <w:shd w:val="clear" w:color="auto" w:fill="auto"/>
            <w:noWrap/>
            <w:vAlign w:val="bottom"/>
          </w:tcPr>
          <w:p w14:paraId="65019A19" w14:textId="77777777" w:rsidR="00BA56AD" w:rsidRPr="0044346D" w:rsidRDefault="00BA56AD" w:rsidP="00FB5615">
            <w:pPr>
              <w:jc w:val="center"/>
              <w:rPr>
                <w:rFonts w:cs="Arial"/>
                <w:color w:val="000000"/>
                <w:sz w:val="20"/>
                <w:szCs w:val="20"/>
                <w:lang w:eastAsia="es-CO"/>
              </w:rPr>
            </w:pPr>
            <w:r w:rsidRPr="0044346D">
              <w:rPr>
                <w:color w:val="000000"/>
                <w:sz w:val="22"/>
                <w:szCs w:val="22"/>
              </w:rPr>
              <w:t>335</w:t>
            </w:r>
            <w:r>
              <w:rPr>
                <w:color w:val="000000"/>
                <w:sz w:val="22"/>
                <w:szCs w:val="22"/>
              </w:rPr>
              <w:t>.</w:t>
            </w:r>
            <w:r w:rsidRPr="0044346D">
              <w:rPr>
                <w:color w:val="000000"/>
                <w:sz w:val="22"/>
                <w:szCs w:val="22"/>
              </w:rPr>
              <w:t>870</w:t>
            </w:r>
            <w:r>
              <w:rPr>
                <w:color w:val="000000"/>
                <w:sz w:val="22"/>
                <w:szCs w:val="22"/>
              </w:rPr>
              <w:t>.</w:t>
            </w:r>
            <w:r w:rsidRPr="0044346D">
              <w:rPr>
                <w:color w:val="000000"/>
                <w:sz w:val="22"/>
                <w:szCs w:val="22"/>
              </w:rPr>
              <w:t>605</w:t>
            </w:r>
          </w:p>
        </w:tc>
      </w:tr>
      <w:tr w:rsidR="00BA56AD" w:rsidRPr="006D5452" w14:paraId="2121AF64"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A762900"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2</w:t>
            </w:r>
          </w:p>
        </w:tc>
        <w:tc>
          <w:tcPr>
            <w:tcW w:w="2240" w:type="dxa"/>
            <w:tcBorders>
              <w:top w:val="nil"/>
              <w:left w:val="nil"/>
              <w:bottom w:val="single" w:sz="4" w:space="0" w:color="auto"/>
              <w:right w:val="single" w:sz="4" w:space="0" w:color="auto"/>
            </w:tcBorders>
            <w:shd w:val="clear" w:color="auto" w:fill="auto"/>
            <w:noWrap/>
            <w:vAlign w:val="bottom"/>
          </w:tcPr>
          <w:p w14:paraId="320FBF11" w14:textId="77777777" w:rsidR="00BA56AD" w:rsidRPr="0044346D" w:rsidRDefault="00BA56AD" w:rsidP="00FB5615">
            <w:pPr>
              <w:jc w:val="center"/>
              <w:rPr>
                <w:rFonts w:cs="Arial"/>
                <w:color w:val="000000"/>
                <w:sz w:val="20"/>
                <w:szCs w:val="20"/>
              </w:rPr>
            </w:pPr>
            <w:r w:rsidRPr="0044346D">
              <w:rPr>
                <w:color w:val="000000"/>
                <w:sz w:val="22"/>
                <w:szCs w:val="22"/>
              </w:rPr>
              <w:t>341</w:t>
            </w:r>
            <w:r>
              <w:rPr>
                <w:color w:val="000000"/>
                <w:sz w:val="22"/>
                <w:szCs w:val="22"/>
              </w:rPr>
              <w:t>.</w:t>
            </w:r>
            <w:r w:rsidRPr="0044346D">
              <w:rPr>
                <w:color w:val="000000"/>
                <w:sz w:val="22"/>
                <w:szCs w:val="22"/>
              </w:rPr>
              <w:t>714</w:t>
            </w:r>
            <w:r>
              <w:rPr>
                <w:color w:val="000000"/>
                <w:sz w:val="22"/>
                <w:szCs w:val="22"/>
              </w:rPr>
              <w:t>.</w:t>
            </w:r>
            <w:r w:rsidRPr="0044346D">
              <w:rPr>
                <w:color w:val="000000"/>
                <w:sz w:val="22"/>
                <w:szCs w:val="22"/>
              </w:rPr>
              <w:t>288</w:t>
            </w:r>
          </w:p>
        </w:tc>
      </w:tr>
      <w:tr w:rsidR="00BA56AD" w:rsidRPr="006D5452" w14:paraId="573A2355"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4525C5B"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3</w:t>
            </w:r>
          </w:p>
        </w:tc>
        <w:tc>
          <w:tcPr>
            <w:tcW w:w="2240" w:type="dxa"/>
            <w:tcBorders>
              <w:top w:val="nil"/>
              <w:left w:val="nil"/>
              <w:bottom w:val="single" w:sz="4" w:space="0" w:color="auto"/>
              <w:right w:val="single" w:sz="4" w:space="0" w:color="auto"/>
            </w:tcBorders>
            <w:shd w:val="clear" w:color="auto" w:fill="auto"/>
            <w:noWrap/>
            <w:vAlign w:val="bottom"/>
          </w:tcPr>
          <w:p w14:paraId="06ADDE69" w14:textId="77777777" w:rsidR="00BA56AD" w:rsidRPr="0044346D" w:rsidRDefault="00BA56AD" w:rsidP="00FB5615">
            <w:pPr>
              <w:jc w:val="center"/>
              <w:rPr>
                <w:rFonts w:cs="Arial"/>
                <w:color w:val="000000"/>
                <w:sz w:val="20"/>
                <w:szCs w:val="20"/>
              </w:rPr>
            </w:pPr>
            <w:r w:rsidRPr="0044346D">
              <w:rPr>
                <w:color w:val="000000"/>
                <w:sz w:val="22"/>
                <w:szCs w:val="22"/>
              </w:rPr>
              <w:t>346</w:t>
            </w:r>
            <w:r>
              <w:rPr>
                <w:color w:val="000000"/>
                <w:sz w:val="22"/>
                <w:szCs w:val="22"/>
              </w:rPr>
              <w:t>.</w:t>
            </w:r>
            <w:r w:rsidRPr="0044346D">
              <w:rPr>
                <w:color w:val="000000"/>
                <w:sz w:val="22"/>
                <w:szCs w:val="22"/>
              </w:rPr>
              <w:t>382</w:t>
            </w:r>
            <w:r>
              <w:rPr>
                <w:color w:val="000000"/>
                <w:sz w:val="22"/>
                <w:szCs w:val="22"/>
              </w:rPr>
              <w:t>.</w:t>
            </w:r>
            <w:r w:rsidRPr="0044346D">
              <w:rPr>
                <w:color w:val="000000"/>
                <w:sz w:val="22"/>
                <w:szCs w:val="22"/>
              </w:rPr>
              <w:t>688</w:t>
            </w:r>
          </w:p>
        </w:tc>
      </w:tr>
      <w:tr w:rsidR="00BA56AD" w:rsidRPr="006D5452" w14:paraId="0CCE34D1"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6A4EC4"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4</w:t>
            </w:r>
          </w:p>
        </w:tc>
        <w:tc>
          <w:tcPr>
            <w:tcW w:w="2240" w:type="dxa"/>
            <w:tcBorders>
              <w:top w:val="nil"/>
              <w:left w:val="nil"/>
              <w:bottom w:val="single" w:sz="4" w:space="0" w:color="auto"/>
              <w:right w:val="single" w:sz="4" w:space="0" w:color="auto"/>
            </w:tcBorders>
            <w:shd w:val="clear" w:color="auto" w:fill="auto"/>
            <w:noWrap/>
            <w:vAlign w:val="bottom"/>
          </w:tcPr>
          <w:p w14:paraId="455C9BB4" w14:textId="77777777" w:rsidR="00BA56AD" w:rsidRPr="0044346D" w:rsidRDefault="00BA56AD" w:rsidP="00FB5615">
            <w:pPr>
              <w:jc w:val="center"/>
              <w:rPr>
                <w:rFonts w:cs="Arial"/>
                <w:color w:val="000000"/>
                <w:sz w:val="20"/>
                <w:szCs w:val="20"/>
              </w:rPr>
            </w:pPr>
            <w:r w:rsidRPr="0044346D">
              <w:rPr>
                <w:color w:val="000000"/>
                <w:sz w:val="22"/>
                <w:szCs w:val="22"/>
              </w:rPr>
              <w:t>352</w:t>
            </w:r>
            <w:r>
              <w:rPr>
                <w:color w:val="000000"/>
                <w:sz w:val="22"/>
                <w:szCs w:val="22"/>
              </w:rPr>
              <w:t>.</w:t>
            </w:r>
            <w:r w:rsidRPr="0044346D">
              <w:rPr>
                <w:color w:val="000000"/>
                <w:sz w:val="22"/>
                <w:szCs w:val="22"/>
              </w:rPr>
              <w:t>274</w:t>
            </w:r>
            <w:r>
              <w:rPr>
                <w:color w:val="000000"/>
                <w:sz w:val="22"/>
                <w:szCs w:val="22"/>
              </w:rPr>
              <w:t>.</w:t>
            </w:r>
            <w:r w:rsidRPr="0044346D">
              <w:rPr>
                <w:color w:val="000000"/>
                <w:sz w:val="22"/>
                <w:szCs w:val="22"/>
              </w:rPr>
              <w:t>300</w:t>
            </w:r>
          </w:p>
        </w:tc>
      </w:tr>
      <w:tr w:rsidR="00BA56AD" w:rsidRPr="006D5452" w14:paraId="4D80B10A"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CCE308"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5</w:t>
            </w:r>
          </w:p>
        </w:tc>
        <w:tc>
          <w:tcPr>
            <w:tcW w:w="2240" w:type="dxa"/>
            <w:tcBorders>
              <w:top w:val="nil"/>
              <w:left w:val="nil"/>
              <w:bottom w:val="single" w:sz="4" w:space="0" w:color="auto"/>
              <w:right w:val="single" w:sz="4" w:space="0" w:color="auto"/>
            </w:tcBorders>
            <w:shd w:val="clear" w:color="auto" w:fill="auto"/>
            <w:noWrap/>
            <w:vAlign w:val="bottom"/>
          </w:tcPr>
          <w:p w14:paraId="182E9116" w14:textId="77777777" w:rsidR="00BA56AD" w:rsidRPr="0044346D" w:rsidRDefault="00BA56AD" w:rsidP="00FB5615">
            <w:pPr>
              <w:jc w:val="center"/>
              <w:rPr>
                <w:rFonts w:cs="Arial"/>
                <w:color w:val="000000"/>
                <w:sz w:val="20"/>
                <w:szCs w:val="20"/>
              </w:rPr>
            </w:pPr>
            <w:r w:rsidRPr="0044346D">
              <w:rPr>
                <w:color w:val="000000"/>
                <w:sz w:val="22"/>
                <w:szCs w:val="22"/>
              </w:rPr>
              <w:t>358</w:t>
            </w:r>
            <w:r>
              <w:rPr>
                <w:color w:val="000000"/>
                <w:sz w:val="22"/>
                <w:szCs w:val="22"/>
              </w:rPr>
              <w:t>.</w:t>
            </w:r>
            <w:r w:rsidRPr="0044346D">
              <w:rPr>
                <w:color w:val="000000"/>
                <w:sz w:val="22"/>
                <w:szCs w:val="22"/>
              </w:rPr>
              <w:t>443</w:t>
            </w:r>
            <w:r>
              <w:rPr>
                <w:color w:val="000000"/>
                <w:sz w:val="22"/>
                <w:szCs w:val="22"/>
              </w:rPr>
              <w:t>.</w:t>
            </w:r>
            <w:r w:rsidRPr="0044346D">
              <w:rPr>
                <w:color w:val="000000"/>
                <w:sz w:val="22"/>
                <w:szCs w:val="22"/>
              </w:rPr>
              <w:t>023</w:t>
            </w:r>
          </w:p>
        </w:tc>
      </w:tr>
      <w:tr w:rsidR="00BA56AD" w:rsidRPr="006D5452" w14:paraId="7085764F"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D14A160"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6</w:t>
            </w:r>
          </w:p>
        </w:tc>
        <w:tc>
          <w:tcPr>
            <w:tcW w:w="2240" w:type="dxa"/>
            <w:tcBorders>
              <w:top w:val="nil"/>
              <w:left w:val="nil"/>
              <w:bottom w:val="single" w:sz="4" w:space="0" w:color="auto"/>
              <w:right w:val="single" w:sz="4" w:space="0" w:color="auto"/>
            </w:tcBorders>
            <w:shd w:val="clear" w:color="auto" w:fill="auto"/>
            <w:noWrap/>
            <w:vAlign w:val="bottom"/>
          </w:tcPr>
          <w:p w14:paraId="7B7FCA6B" w14:textId="77777777" w:rsidR="00BA56AD" w:rsidRPr="0044346D" w:rsidRDefault="00BA56AD" w:rsidP="00FB5615">
            <w:pPr>
              <w:jc w:val="center"/>
              <w:rPr>
                <w:rFonts w:cs="Arial"/>
                <w:color w:val="000000"/>
                <w:sz w:val="20"/>
                <w:szCs w:val="20"/>
              </w:rPr>
            </w:pPr>
            <w:r w:rsidRPr="0044346D">
              <w:rPr>
                <w:color w:val="000000"/>
                <w:sz w:val="22"/>
                <w:szCs w:val="22"/>
              </w:rPr>
              <w:t>364</w:t>
            </w:r>
            <w:r>
              <w:rPr>
                <w:color w:val="000000"/>
                <w:sz w:val="22"/>
                <w:szCs w:val="22"/>
              </w:rPr>
              <w:t>.</w:t>
            </w:r>
            <w:r w:rsidRPr="0044346D">
              <w:rPr>
                <w:color w:val="000000"/>
                <w:sz w:val="22"/>
                <w:szCs w:val="22"/>
              </w:rPr>
              <w:t>673</w:t>
            </w:r>
            <w:r>
              <w:rPr>
                <w:color w:val="000000"/>
                <w:sz w:val="22"/>
                <w:szCs w:val="22"/>
              </w:rPr>
              <w:t>.</w:t>
            </w:r>
            <w:r w:rsidRPr="0044346D">
              <w:rPr>
                <w:color w:val="000000"/>
                <w:sz w:val="22"/>
                <w:szCs w:val="22"/>
              </w:rPr>
              <w:t>488</w:t>
            </w:r>
          </w:p>
        </w:tc>
      </w:tr>
      <w:tr w:rsidR="00BA56AD" w:rsidRPr="006D5452" w14:paraId="46187326"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B18B640"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7</w:t>
            </w:r>
          </w:p>
        </w:tc>
        <w:tc>
          <w:tcPr>
            <w:tcW w:w="2240" w:type="dxa"/>
            <w:tcBorders>
              <w:top w:val="nil"/>
              <w:left w:val="nil"/>
              <w:bottom w:val="single" w:sz="4" w:space="0" w:color="auto"/>
              <w:right w:val="single" w:sz="4" w:space="0" w:color="auto"/>
            </w:tcBorders>
            <w:shd w:val="clear" w:color="auto" w:fill="auto"/>
            <w:noWrap/>
            <w:vAlign w:val="bottom"/>
          </w:tcPr>
          <w:p w14:paraId="0E149157" w14:textId="77777777" w:rsidR="00BA56AD" w:rsidRPr="0044346D" w:rsidRDefault="00BA56AD" w:rsidP="00FB5615">
            <w:pPr>
              <w:jc w:val="center"/>
              <w:rPr>
                <w:rFonts w:cs="Arial"/>
                <w:color w:val="000000"/>
                <w:sz w:val="20"/>
                <w:szCs w:val="20"/>
              </w:rPr>
            </w:pPr>
            <w:r w:rsidRPr="0044346D">
              <w:rPr>
                <w:color w:val="000000"/>
                <w:sz w:val="22"/>
                <w:szCs w:val="22"/>
              </w:rPr>
              <w:t>371</w:t>
            </w:r>
            <w:r>
              <w:rPr>
                <w:color w:val="000000"/>
                <w:sz w:val="22"/>
                <w:szCs w:val="22"/>
              </w:rPr>
              <w:t>.</w:t>
            </w:r>
            <w:r w:rsidRPr="0044346D">
              <w:rPr>
                <w:color w:val="000000"/>
                <w:sz w:val="22"/>
                <w:szCs w:val="22"/>
              </w:rPr>
              <w:t>021</w:t>
            </w:r>
            <w:r>
              <w:rPr>
                <w:color w:val="000000"/>
                <w:sz w:val="22"/>
                <w:szCs w:val="22"/>
              </w:rPr>
              <w:t>.</w:t>
            </w:r>
            <w:r w:rsidRPr="0044346D">
              <w:rPr>
                <w:color w:val="000000"/>
                <w:sz w:val="22"/>
                <w:szCs w:val="22"/>
              </w:rPr>
              <w:t>625</w:t>
            </w:r>
          </w:p>
        </w:tc>
      </w:tr>
      <w:tr w:rsidR="00BA56AD" w:rsidRPr="006D5452" w14:paraId="41E89E8C"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30649A7"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lastRenderedPageBreak/>
              <w:t>8</w:t>
            </w:r>
          </w:p>
        </w:tc>
        <w:tc>
          <w:tcPr>
            <w:tcW w:w="2240" w:type="dxa"/>
            <w:tcBorders>
              <w:top w:val="nil"/>
              <w:left w:val="nil"/>
              <w:bottom w:val="single" w:sz="4" w:space="0" w:color="auto"/>
              <w:right w:val="single" w:sz="4" w:space="0" w:color="auto"/>
            </w:tcBorders>
            <w:shd w:val="clear" w:color="auto" w:fill="auto"/>
            <w:noWrap/>
            <w:vAlign w:val="bottom"/>
          </w:tcPr>
          <w:p w14:paraId="13446523" w14:textId="77777777" w:rsidR="00BA56AD" w:rsidRPr="0044346D" w:rsidRDefault="00BA56AD" w:rsidP="00FB5615">
            <w:pPr>
              <w:jc w:val="center"/>
              <w:rPr>
                <w:rFonts w:cs="Arial"/>
                <w:color w:val="000000"/>
                <w:sz w:val="20"/>
                <w:szCs w:val="20"/>
              </w:rPr>
            </w:pPr>
            <w:r w:rsidRPr="0044346D">
              <w:rPr>
                <w:color w:val="000000"/>
                <w:sz w:val="22"/>
                <w:szCs w:val="22"/>
              </w:rPr>
              <w:t>377</w:t>
            </w:r>
            <w:r>
              <w:rPr>
                <w:color w:val="000000"/>
                <w:sz w:val="22"/>
                <w:szCs w:val="22"/>
              </w:rPr>
              <w:t>.</w:t>
            </w:r>
            <w:r w:rsidRPr="0044346D">
              <w:rPr>
                <w:color w:val="000000"/>
                <w:sz w:val="22"/>
                <w:szCs w:val="22"/>
              </w:rPr>
              <w:t>596</w:t>
            </w:r>
            <w:r>
              <w:rPr>
                <w:color w:val="000000"/>
                <w:sz w:val="22"/>
                <w:szCs w:val="22"/>
              </w:rPr>
              <w:t>.</w:t>
            </w:r>
            <w:r w:rsidRPr="0044346D">
              <w:rPr>
                <w:color w:val="000000"/>
                <w:sz w:val="22"/>
                <w:szCs w:val="22"/>
              </w:rPr>
              <w:t>754</w:t>
            </w:r>
          </w:p>
        </w:tc>
      </w:tr>
      <w:tr w:rsidR="00BA56AD" w:rsidRPr="006D5452" w14:paraId="601E46FC"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17287E"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9</w:t>
            </w:r>
          </w:p>
        </w:tc>
        <w:tc>
          <w:tcPr>
            <w:tcW w:w="2240" w:type="dxa"/>
            <w:tcBorders>
              <w:top w:val="nil"/>
              <w:left w:val="nil"/>
              <w:bottom w:val="single" w:sz="4" w:space="0" w:color="auto"/>
              <w:right w:val="single" w:sz="4" w:space="0" w:color="auto"/>
            </w:tcBorders>
            <w:shd w:val="clear" w:color="auto" w:fill="auto"/>
            <w:noWrap/>
            <w:vAlign w:val="bottom"/>
          </w:tcPr>
          <w:p w14:paraId="57793620" w14:textId="77777777" w:rsidR="00BA56AD" w:rsidRPr="0044346D" w:rsidRDefault="00BA56AD" w:rsidP="00FB5615">
            <w:pPr>
              <w:jc w:val="center"/>
              <w:rPr>
                <w:rFonts w:cs="Arial"/>
                <w:color w:val="000000"/>
                <w:sz w:val="20"/>
                <w:szCs w:val="20"/>
              </w:rPr>
            </w:pPr>
            <w:r w:rsidRPr="0044346D">
              <w:rPr>
                <w:color w:val="000000"/>
                <w:sz w:val="22"/>
                <w:szCs w:val="22"/>
              </w:rPr>
              <w:t>384</w:t>
            </w:r>
            <w:r>
              <w:rPr>
                <w:color w:val="000000"/>
                <w:sz w:val="22"/>
                <w:szCs w:val="22"/>
              </w:rPr>
              <w:t>.</w:t>
            </w:r>
            <w:r w:rsidRPr="0044346D">
              <w:rPr>
                <w:color w:val="000000"/>
                <w:sz w:val="22"/>
                <w:szCs w:val="22"/>
              </w:rPr>
              <w:t>277</w:t>
            </w:r>
            <w:r>
              <w:rPr>
                <w:color w:val="000000"/>
                <w:sz w:val="22"/>
                <w:szCs w:val="22"/>
              </w:rPr>
              <w:t>.</w:t>
            </w:r>
            <w:r w:rsidRPr="0044346D">
              <w:rPr>
                <w:color w:val="000000"/>
                <w:sz w:val="22"/>
                <w:szCs w:val="22"/>
              </w:rPr>
              <w:t>207</w:t>
            </w:r>
          </w:p>
        </w:tc>
      </w:tr>
      <w:tr w:rsidR="00BA56AD" w:rsidRPr="006D5452" w14:paraId="25913E75"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49617D4"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10</w:t>
            </w:r>
          </w:p>
        </w:tc>
        <w:tc>
          <w:tcPr>
            <w:tcW w:w="2240" w:type="dxa"/>
            <w:tcBorders>
              <w:top w:val="nil"/>
              <w:left w:val="nil"/>
              <w:bottom w:val="single" w:sz="4" w:space="0" w:color="auto"/>
              <w:right w:val="single" w:sz="4" w:space="0" w:color="auto"/>
            </w:tcBorders>
            <w:shd w:val="clear" w:color="auto" w:fill="auto"/>
            <w:noWrap/>
            <w:vAlign w:val="bottom"/>
          </w:tcPr>
          <w:p w14:paraId="0D1CD12C" w14:textId="77777777" w:rsidR="00BA56AD" w:rsidRPr="0044346D" w:rsidRDefault="00BA56AD" w:rsidP="00FB5615">
            <w:pPr>
              <w:jc w:val="center"/>
              <w:rPr>
                <w:rFonts w:cs="Arial"/>
                <w:color w:val="000000"/>
                <w:sz w:val="20"/>
                <w:szCs w:val="20"/>
              </w:rPr>
            </w:pPr>
            <w:r w:rsidRPr="0044346D">
              <w:rPr>
                <w:color w:val="000000"/>
                <w:sz w:val="22"/>
                <w:szCs w:val="22"/>
              </w:rPr>
              <w:t>391</w:t>
            </w:r>
            <w:r>
              <w:rPr>
                <w:color w:val="000000"/>
                <w:sz w:val="22"/>
                <w:szCs w:val="22"/>
              </w:rPr>
              <w:t>.</w:t>
            </w:r>
            <w:r w:rsidRPr="0044346D">
              <w:rPr>
                <w:color w:val="000000"/>
                <w:sz w:val="22"/>
                <w:szCs w:val="22"/>
              </w:rPr>
              <w:t>069</w:t>
            </w:r>
            <w:r>
              <w:rPr>
                <w:color w:val="000000"/>
                <w:sz w:val="22"/>
                <w:szCs w:val="22"/>
              </w:rPr>
              <w:t>.</w:t>
            </w:r>
            <w:r w:rsidRPr="0044346D">
              <w:rPr>
                <w:color w:val="000000"/>
                <w:sz w:val="22"/>
                <w:szCs w:val="22"/>
              </w:rPr>
              <w:t>159</w:t>
            </w:r>
          </w:p>
        </w:tc>
      </w:tr>
      <w:tr w:rsidR="00BA56AD" w:rsidRPr="006D5452" w14:paraId="1F3A9621"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015CE31"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11</w:t>
            </w:r>
          </w:p>
        </w:tc>
        <w:tc>
          <w:tcPr>
            <w:tcW w:w="2240" w:type="dxa"/>
            <w:tcBorders>
              <w:top w:val="nil"/>
              <w:left w:val="nil"/>
              <w:bottom w:val="single" w:sz="4" w:space="0" w:color="auto"/>
              <w:right w:val="single" w:sz="4" w:space="0" w:color="auto"/>
            </w:tcBorders>
            <w:shd w:val="clear" w:color="auto" w:fill="auto"/>
            <w:noWrap/>
            <w:vAlign w:val="bottom"/>
          </w:tcPr>
          <w:p w14:paraId="6F9416C6" w14:textId="77777777" w:rsidR="00BA56AD" w:rsidRPr="0044346D" w:rsidRDefault="00BA56AD" w:rsidP="00FB5615">
            <w:pPr>
              <w:jc w:val="center"/>
              <w:rPr>
                <w:rFonts w:cs="Arial"/>
                <w:color w:val="000000"/>
                <w:sz w:val="20"/>
                <w:szCs w:val="20"/>
              </w:rPr>
            </w:pPr>
            <w:r w:rsidRPr="0044346D">
              <w:rPr>
                <w:color w:val="000000"/>
                <w:sz w:val="22"/>
                <w:szCs w:val="22"/>
              </w:rPr>
              <w:t>398</w:t>
            </w:r>
            <w:r>
              <w:rPr>
                <w:color w:val="000000"/>
                <w:sz w:val="22"/>
                <w:szCs w:val="22"/>
              </w:rPr>
              <w:t>.</w:t>
            </w:r>
            <w:r w:rsidRPr="0044346D">
              <w:rPr>
                <w:color w:val="000000"/>
                <w:sz w:val="22"/>
                <w:szCs w:val="22"/>
              </w:rPr>
              <w:t>014</w:t>
            </w:r>
            <w:r>
              <w:rPr>
                <w:color w:val="000000"/>
                <w:sz w:val="22"/>
                <w:szCs w:val="22"/>
              </w:rPr>
              <w:t>.</w:t>
            </w:r>
            <w:r w:rsidRPr="0044346D">
              <w:rPr>
                <w:color w:val="000000"/>
                <w:sz w:val="22"/>
                <w:szCs w:val="22"/>
              </w:rPr>
              <w:t>375</w:t>
            </w:r>
          </w:p>
        </w:tc>
      </w:tr>
      <w:tr w:rsidR="00BA56AD" w:rsidRPr="006D5452" w14:paraId="28AB7821"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59E2E8E"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12</w:t>
            </w:r>
          </w:p>
        </w:tc>
        <w:tc>
          <w:tcPr>
            <w:tcW w:w="2240" w:type="dxa"/>
            <w:tcBorders>
              <w:top w:val="nil"/>
              <w:left w:val="nil"/>
              <w:bottom w:val="single" w:sz="4" w:space="0" w:color="auto"/>
              <w:right w:val="single" w:sz="4" w:space="0" w:color="auto"/>
            </w:tcBorders>
            <w:shd w:val="clear" w:color="auto" w:fill="auto"/>
            <w:noWrap/>
            <w:vAlign w:val="bottom"/>
          </w:tcPr>
          <w:p w14:paraId="406CCAC3" w14:textId="77777777" w:rsidR="00BA56AD" w:rsidRPr="0044346D" w:rsidRDefault="00BA56AD" w:rsidP="00FB5615">
            <w:pPr>
              <w:jc w:val="center"/>
              <w:rPr>
                <w:rFonts w:cs="Arial"/>
                <w:color w:val="000000"/>
                <w:sz w:val="20"/>
                <w:szCs w:val="20"/>
              </w:rPr>
            </w:pPr>
            <w:r w:rsidRPr="0044346D">
              <w:rPr>
                <w:color w:val="000000"/>
                <w:sz w:val="22"/>
                <w:szCs w:val="22"/>
              </w:rPr>
              <w:t>405</w:t>
            </w:r>
            <w:r>
              <w:rPr>
                <w:color w:val="000000"/>
                <w:sz w:val="22"/>
                <w:szCs w:val="22"/>
              </w:rPr>
              <w:t>.</w:t>
            </w:r>
            <w:r w:rsidRPr="0044346D">
              <w:rPr>
                <w:color w:val="000000"/>
                <w:sz w:val="22"/>
                <w:szCs w:val="22"/>
              </w:rPr>
              <w:t>150</w:t>
            </w:r>
            <w:r>
              <w:rPr>
                <w:color w:val="000000"/>
                <w:sz w:val="22"/>
                <w:szCs w:val="22"/>
              </w:rPr>
              <w:t>.</w:t>
            </w:r>
            <w:r w:rsidRPr="0044346D">
              <w:rPr>
                <w:color w:val="000000"/>
                <w:sz w:val="22"/>
                <w:szCs w:val="22"/>
              </w:rPr>
              <w:t>990</w:t>
            </w:r>
          </w:p>
        </w:tc>
      </w:tr>
      <w:tr w:rsidR="00BA56AD" w:rsidRPr="006D5452" w14:paraId="7FCEDC52"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52C42EF"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13</w:t>
            </w:r>
          </w:p>
        </w:tc>
        <w:tc>
          <w:tcPr>
            <w:tcW w:w="2240" w:type="dxa"/>
            <w:tcBorders>
              <w:top w:val="nil"/>
              <w:left w:val="nil"/>
              <w:bottom w:val="single" w:sz="4" w:space="0" w:color="auto"/>
              <w:right w:val="single" w:sz="4" w:space="0" w:color="auto"/>
            </w:tcBorders>
            <w:shd w:val="clear" w:color="auto" w:fill="auto"/>
            <w:noWrap/>
            <w:vAlign w:val="bottom"/>
          </w:tcPr>
          <w:p w14:paraId="1E10A677" w14:textId="77777777" w:rsidR="00BA56AD" w:rsidRPr="0044346D" w:rsidRDefault="00BA56AD" w:rsidP="00FB5615">
            <w:pPr>
              <w:jc w:val="center"/>
              <w:rPr>
                <w:rFonts w:cs="Arial"/>
                <w:color w:val="000000"/>
                <w:sz w:val="20"/>
                <w:szCs w:val="20"/>
              </w:rPr>
            </w:pPr>
            <w:r w:rsidRPr="0044346D">
              <w:rPr>
                <w:color w:val="000000"/>
                <w:sz w:val="22"/>
                <w:szCs w:val="22"/>
              </w:rPr>
              <w:t>412</w:t>
            </w:r>
            <w:r>
              <w:rPr>
                <w:color w:val="000000"/>
                <w:sz w:val="22"/>
                <w:szCs w:val="22"/>
              </w:rPr>
              <w:t>.</w:t>
            </w:r>
            <w:r w:rsidRPr="0044346D">
              <w:rPr>
                <w:color w:val="000000"/>
                <w:sz w:val="22"/>
                <w:szCs w:val="22"/>
              </w:rPr>
              <w:t>436</w:t>
            </w:r>
            <w:r>
              <w:rPr>
                <w:color w:val="000000"/>
                <w:sz w:val="22"/>
                <w:szCs w:val="22"/>
              </w:rPr>
              <w:t>.</w:t>
            </w:r>
            <w:r w:rsidRPr="0044346D">
              <w:rPr>
                <w:color w:val="000000"/>
                <w:sz w:val="22"/>
                <w:szCs w:val="22"/>
              </w:rPr>
              <w:t>875</w:t>
            </w:r>
          </w:p>
        </w:tc>
      </w:tr>
      <w:tr w:rsidR="00BA56AD" w:rsidRPr="006D5452" w14:paraId="57823436"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DE745BA"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14</w:t>
            </w:r>
          </w:p>
        </w:tc>
        <w:tc>
          <w:tcPr>
            <w:tcW w:w="2240" w:type="dxa"/>
            <w:tcBorders>
              <w:top w:val="nil"/>
              <w:left w:val="nil"/>
              <w:bottom w:val="single" w:sz="4" w:space="0" w:color="auto"/>
              <w:right w:val="single" w:sz="4" w:space="0" w:color="auto"/>
            </w:tcBorders>
            <w:shd w:val="clear" w:color="auto" w:fill="auto"/>
            <w:noWrap/>
            <w:vAlign w:val="bottom"/>
          </w:tcPr>
          <w:p w14:paraId="6C6AC7DC" w14:textId="77777777" w:rsidR="00BA56AD" w:rsidRPr="0044346D" w:rsidRDefault="00BA56AD" w:rsidP="00FB5615">
            <w:pPr>
              <w:jc w:val="center"/>
              <w:rPr>
                <w:rFonts w:cs="Arial"/>
                <w:color w:val="000000"/>
                <w:sz w:val="20"/>
                <w:szCs w:val="20"/>
              </w:rPr>
            </w:pPr>
            <w:r w:rsidRPr="0044346D">
              <w:rPr>
                <w:color w:val="000000"/>
                <w:sz w:val="22"/>
                <w:szCs w:val="22"/>
              </w:rPr>
              <w:t>419</w:t>
            </w:r>
            <w:r>
              <w:rPr>
                <w:color w:val="000000"/>
                <w:sz w:val="22"/>
                <w:szCs w:val="22"/>
              </w:rPr>
              <w:t>.</w:t>
            </w:r>
            <w:r w:rsidRPr="0044346D">
              <w:rPr>
                <w:color w:val="000000"/>
                <w:sz w:val="22"/>
                <w:szCs w:val="22"/>
              </w:rPr>
              <w:t>837</w:t>
            </w:r>
            <w:r>
              <w:rPr>
                <w:color w:val="000000"/>
                <w:sz w:val="22"/>
                <w:szCs w:val="22"/>
              </w:rPr>
              <w:t>.</w:t>
            </w:r>
            <w:r w:rsidRPr="0044346D">
              <w:rPr>
                <w:color w:val="000000"/>
                <w:sz w:val="22"/>
                <w:szCs w:val="22"/>
              </w:rPr>
              <w:t>164</w:t>
            </w:r>
          </w:p>
        </w:tc>
      </w:tr>
      <w:tr w:rsidR="00BA56AD" w:rsidRPr="006D5452" w14:paraId="133732E1"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919EE09"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15</w:t>
            </w:r>
          </w:p>
        </w:tc>
        <w:tc>
          <w:tcPr>
            <w:tcW w:w="2240" w:type="dxa"/>
            <w:tcBorders>
              <w:top w:val="nil"/>
              <w:left w:val="nil"/>
              <w:bottom w:val="single" w:sz="4" w:space="0" w:color="auto"/>
              <w:right w:val="single" w:sz="4" w:space="0" w:color="auto"/>
            </w:tcBorders>
            <w:shd w:val="clear" w:color="auto" w:fill="auto"/>
            <w:noWrap/>
            <w:vAlign w:val="bottom"/>
          </w:tcPr>
          <w:p w14:paraId="32CD90C2" w14:textId="77777777" w:rsidR="00BA56AD" w:rsidRPr="0044346D" w:rsidRDefault="00BA56AD" w:rsidP="00FB5615">
            <w:pPr>
              <w:jc w:val="center"/>
              <w:rPr>
                <w:rFonts w:cs="Arial"/>
                <w:color w:val="000000"/>
                <w:sz w:val="20"/>
                <w:szCs w:val="20"/>
              </w:rPr>
            </w:pPr>
            <w:r w:rsidRPr="0044346D">
              <w:rPr>
                <w:color w:val="000000"/>
                <w:sz w:val="22"/>
                <w:szCs w:val="22"/>
              </w:rPr>
              <w:t>427</w:t>
            </w:r>
            <w:r>
              <w:rPr>
                <w:color w:val="000000"/>
                <w:sz w:val="22"/>
                <w:szCs w:val="22"/>
              </w:rPr>
              <w:t>.</w:t>
            </w:r>
            <w:r w:rsidRPr="0044346D">
              <w:rPr>
                <w:color w:val="000000"/>
                <w:sz w:val="22"/>
                <w:szCs w:val="22"/>
              </w:rPr>
              <w:t>394</w:t>
            </w:r>
            <w:r>
              <w:rPr>
                <w:color w:val="000000"/>
                <w:sz w:val="22"/>
                <w:szCs w:val="22"/>
              </w:rPr>
              <w:t>.</w:t>
            </w:r>
            <w:r w:rsidRPr="0044346D">
              <w:rPr>
                <w:color w:val="000000"/>
                <w:sz w:val="22"/>
                <w:szCs w:val="22"/>
              </w:rPr>
              <w:t>713</w:t>
            </w:r>
          </w:p>
        </w:tc>
      </w:tr>
      <w:tr w:rsidR="00BA56AD" w:rsidRPr="006D5452" w14:paraId="409437A2"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7A79164"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16</w:t>
            </w:r>
          </w:p>
        </w:tc>
        <w:tc>
          <w:tcPr>
            <w:tcW w:w="2240" w:type="dxa"/>
            <w:tcBorders>
              <w:top w:val="nil"/>
              <w:left w:val="nil"/>
              <w:bottom w:val="single" w:sz="4" w:space="0" w:color="auto"/>
              <w:right w:val="single" w:sz="4" w:space="0" w:color="auto"/>
            </w:tcBorders>
            <w:shd w:val="clear" w:color="auto" w:fill="auto"/>
            <w:noWrap/>
            <w:vAlign w:val="bottom"/>
          </w:tcPr>
          <w:p w14:paraId="02819741" w14:textId="77777777" w:rsidR="00BA56AD" w:rsidRPr="0044346D" w:rsidRDefault="00BA56AD" w:rsidP="00FB5615">
            <w:pPr>
              <w:jc w:val="center"/>
              <w:rPr>
                <w:rFonts w:cs="Arial"/>
                <w:color w:val="000000"/>
                <w:sz w:val="20"/>
                <w:szCs w:val="20"/>
              </w:rPr>
            </w:pPr>
            <w:r w:rsidRPr="0044346D">
              <w:rPr>
                <w:color w:val="000000"/>
                <w:sz w:val="22"/>
                <w:szCs w:val="22"/>
              </w:rPr>
              <w:t>435</w:t>
            </w:r>
            <w:r>
              <w:rPr>
                <w:color w:val="000000"/>
                <w:sz w:val="22"/>
                <w:szCs w:val="22"/>
              </w:rPr>
              <w:t>.</w:t>
            </w:r>
            <w:r w:rsidRPr="0044346D">
              <w:rPr>
                <w:color w:val="000000"/>
                <w:sz w:val="22"/>
                <w:szCs w:val="22"/>
              </w:rPr>
              <w:t>141</w:t>
            </w:r>
            <w:r>
              <w:rPr>
                <w:color w:val="000000"/>
                <w:sz w:val="22"/>
                <w:szCs w:val="22"/>
              </w:rPr>
              <w:t>.</w:t>
            </w:r>
            <w:r w:rsidRPr="0044346D">
              <w:rPr>
                <w:color w:val="000000"/>
                <w:sz w:val="22"/>
                <w:szCs w:val="22"/>
              </w:rPr>
              <w:t>481</w:t>
            </w:r>
          </w:p>
        </w:tc>
      </w:tr>
      <w:tr w:rsidR="00BA56AD" w:rsidRPr="006D5452" w14:paraId="3E8AA0FE"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272357"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17</w:t>
            </w:r>
          </w:p>
        </w:tc>
        <w:tc>
          <w:tcPr>
            <w:tcW w:w="2240" w:type="dxa"/>
            <w:tcBorders>
              <w:top w:val="nil"/>
              <w:left w:val="nil"/>
              <w:bottom w:val="single" w:sz="4" w:space="0" w:color="auto"/>
              <w:right w:val="single" w:sz="4" w:space="0" w:color="auto"/>
            </w:tcBorders>
            <w:shd w:val="clear" w:color="auto" w:fill="auto"/>
            <w:noWrap/>
            <w:vAlign w:val="bottom"/>
          </w:tcPr>
          <w:p w14:paraId="258370C9" w14:textId="77777777" w:rsidR="00BA56AD" w:rsidRPr="0044346D" w:rsidRDefault="00BA56AD" w:rsidP="00FB5615">
            <w:pPr>
              <w:jc w:val="center"/>
              <w:rPr>
                <w:rFonts w:cs="Arial"/>
                <w:color w:val="000000"/>
                <w:sz w:val="20"/>
                <w:szCs w:val="20"/>
              </w:rPr>
            </w:pPr>
            <w:r w:rsidRPr="0044346D">
              <w:rPr>
                <w:color w:val="000000"/>
                <w:sz w:val="22"/>
                <w:szCs w:val="22"/>
              </w:rPr>
              <w:t>443</w:t>
            </w:r>
            <w:r>
              <w:rPr>
                <w:color w:val="000000"/>
                <w:sz w:val="22"/>
                <w:szCs w:val="22"/>
              </w:rPr>
              <w:t>.</w:t>
            </w:r>
            <w:r w:rsidRPr="0044346D">
              <w:rPr>
                <w:color w:val="000000"/>
                <w:sz w:val="22"/>
                <w:szCs w:val="22"/>
              </w:rPr>
              <w:t>051</w:t>
            </w:r>
            <w:r>
              <w:rPr>
                <w:color w:val="000000"/>
                <w:sz w:val="22"/>
                <w:szCs w:val="22"/>
              </w:rPr>
              <w:t>.</w:t>
            </w:r>
            <w:r w:rsidRPr="0044346D">
              <w:rPr>
                <w:color w:val="000000"/>
                <w:sz w:val="22"/>
                <w:szCs w:val="22"/>
              </w:rPr>
              <w:t>684</w:t>
            </w:r>
          </w:p>
        </w:tc>
      </w:tr>
      <w:tr w:rsidR="00BA56AD" w:rsidRPr="006D5452" w14:paraId="05D5829C"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4EFF2C"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18</w:t>
            </w:r>
          </w:p>
        </w:tc>
        <w:tc>
          <w:tcPr>
            <w:tcW w:w="2240" w:type="dxa"/>
            <w:tcBorders>
              <w:top w:val="nil"/>
              <w:left w:val="nil"/>
              <w:bottom w:val="single" w:sz="4" w:space="0" w:color="auto"/>
              <w:right w:val="single" w:sz="4" w:space="0" w:color="auto"/>
            </w:tcBorders>
            <w:shd w:val="clear" w:color="auto" w:fill="auto"/>
            <w:noWrap/>
            <w:vAlign w:val="bottom"/>
          </w:tcPr>
          <w:p w14:paraId="5CA01F16" w14:textId="77777777" w:rsidR="00BA56AD" w:rsidRPr="0044346D" w:rsidRDefault="00BA56AD" w:rsidP="00FB5615">
            <w:pPr>
              <w:jc w:val="center"/>
              <w:rPr>
                <w:rFonts w:cs="Arial"/>
                <w:color w:val="000000"/>
                <w:sz w:val="20"/>
                <w:szCs w:val="20"/>
              </w:rPr>
            </w:pPr>
            <w:r w:rsidRPr="0044346D">
              <w:rPr>
                <w:color w:val="000000"/>
                <w:sz w:val="22"/>
                <w:szCs w:val="22"/>
              </w:rPr>
              <w:t>451</w:t>
            </w:r>
            <w:r>
              <w:rPr>
                <w:color w:val="000000"/>
                <w:sz w:val="22"/>
                <w:szCs w:val="22"/>
              </w:rPr>
              <w:t>.</w:t>
            </w:r>
            <w:r w:rsidRPr="0044346D">
              <w:rPr>
                <w:color w:val="000000"/>
                <w:sz w:val="22"/>
                <w:szCs w:val="22"/>
              </w:rPr>
              <w:t>146</w:t>
            </w:r>
            <w:r>
              <w:rPr>
                <w:color w:val="000000"/>
                <w:sz w:val="22"/>
                <w:szCs w:val="22"/>
              </w:rPr>
              <w:t>.</w:t>
            </w:r>
            <w:r w:rsidRPr="0044346D">
              <w:rPr>
                <w:color w:val="000000"/>
                <w:sz w:val="22"/>
                <w:szCs w:val="22"/>
              </w:rPr>
              <w:t>170</w:t>
            </w:r>
          </w:p>
        </w:tc>
      </w:tr>
      <w:tr w:rsidR="00BA56AD" w:rsidRPr="006D5452" w14:paraId="7F597595"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00588F"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19</w:t>
            </w:r>
          </w:p>
        </w:tc>
        <w:tc>
          <w:tcPr>
            <w:tcW w:w="2240" w:type="dxa"/>
            <w:tcBorders>
              <w:top w:val="nil"/>
              <w:left w:val="nil"/>
              <w:bottom w:val="single" w:sz="4" w:space="0" w:color="auto"/>
              <w:right w:val="single" w:sz="4" w:space="0" w:color="auto"/>
            </w:tcBorders>
            <w:shd w:val="clear" w:color="auto" w:fill="auto"/>
            <w:noWrap/>
            <w:vAlign w:val="bottom"/>
          </w:tcPr>
          <w:p w14:paraId="07526781" w14:textId="77777777" w:rsidR="00BA56AD" w:rsidRPr="0044346D" w:rsidRDefault="00BA56AD" w:rsidP="00FB5615">
            <w:pPr>
              <w:jc w:val="center"/>
              <w:rPr>
                <w:rFonts w:cs="Arial"/>
                <w:color w:val="000000"/>
                <w:sz w:val="20"/>
                <w:szCs w:val="20"/>
              </w:rPr>
            </w:pPr>
            <w:r w:rsidRPr="0044346D">
              <w:rPr>
                <w:color w:val="000000"/>
                <w:sz w:val="22"/>
                <w:szCs w:val="22"/>
              </w:rPr>
              <w:t>459</w:t>
            </w:r>
            <w:r>
              <w:rPr>
                <w:color w:val="000000"/>
                <w:sz w:val="22"/>
                <w:szCs w:val="22"/>
              </w:rPr>
              <w:t>.</w:t>
            </w:r>
            <w:r w:rsidRPr="0044346D">
              <w:rPr>
                <w:color w:val="000000"/>
                <w:sz w:val="22"/>
                <w:szCs w:val="22"/>
              </w:rPr>
              <w:t>406</w:t>
            </w:r>
            <w:r>
              <w:rPr>
                <w:color w:val="000000"/>
                <w:sz w:val="22"/>
                <w:szCs w:val="22"/>
              </w:rPr>
              <w:t>.</w:t>
            </w:r>
            <w:r w:rsidRPr="0044346D">
              <w:rPr>
                <w:color w:val="000000"/>
                <w:sz w:val="22"/>
                <w:szCs w:val="22"/>
              </w:rPr>
              <w:t>570</w:t>
            </w:r>
          </w:p>
        </w:tc>
      </w:tr>
      <w:tr w:rsidR="00BA56AD" w:rsidRPr="006D5452" w14:paraId="3CAEDA62" w14:textId="77777777" w:rsidTr="00FB5615">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00DE66" w14:textId="77777777" w:rsidR="00BA56AD" w:rsidRPr="006D5452" w:rsidRDefault="00BA56AD" w:rsidP="00FB5615">
            <w:pPr>
              <w:jc w:val="center"/>
              <w:rPr>
                <w:rFonts w:cs="Arial"/>
                <w:bCs/>
                <w:sz w:val="20"/>
                <w:szCs w:val="20"/>
                <w:lang w:eastAsia="es-CO"/>
              </w:rPr>
            </w:pPr>
            <w:r w:rsidRPr="006D5452">
              <w:rPr>
                <w:rFonts w:cs="Arial"/>
                <w:bCs/>
                <w:sz w:val="20"/>
                <w:szCs w:val="20"/>
                <w:lang w:eastAsia="es-CO"/>
              </w:rPr>
              <w:t>20</w:t>
            </w:r>
          </w:p>
        </w:tc>
        <w:tc>
          <w:tcPr>
            <w:tcW w:w="2240" w:type="dxa"/>
            <w:tcBorders>
              <w:top w:val="nil"/>
              <w:left w:val="nil"/>
              <w:bottom w:val="single" w:sz="4" w:space="0" w:color="auto"/>
              <w:right w:val="single" w:sz="4" w:space="0" w:color="auto"/>
            </w:tcBorders>
            <w:shd w:val="clear" w:color="auto" w:fill="auto"/>
            <w:noWrap/>
            <w:vAlign w:val="bottom"/>
          </w:tcPr>
          <w:p w14:paraId="0A60BFE8" w14:textId="77777777" w:rsidR="00BA56AD" w:rsidRPr="0044346D" w:rsidRDefault="00BA56AD" w:rsidP="00FB5615">
            <w:pPr>
              <w:jc w:val="center"/>
              <w:rPr>
                <w:rFonts w:cs="Arial"/>
                <w:color w:val="000000"/>
                <w:sz w:val="20"/>
                <w:szCs w:val="20"/>
              </w:rPr>
            </w:pPr>
            <w:r w:rsidRPr="0044346D">
              <w:rPr>
                <w:color w:val="000000"/>
                <w:sz w:val="22"/>
                <w:szCs w:val="22"/>
              </w:rPr>
              <w:t>467</w:t>
            </w:r>
            <w:r>
              <w:rPr>
                <w:color w:val="000000"/>
                <w:sz w:val="22"/>
                <w:szCs w:val="22"/>
              </w:rPr>
              <w:t>.</w:t>
            </w:r>
            <w:r w:rsidRPr="0044346D">
              <w:rPr>
                <w:color w:val="000000"/>
                <w:sz w:val="22"/>
                <w:szCs w:val="22"/>
              </w:rPr>
              <w:t>844</w:t>
            </w:r>
            <w:r>
              <w:rPr>
                <w:color w:val="000000"/>
                <w:sz w:val="22"/>
                <w:szCs w:val="22"/>
              </w:rPr>
              <w:t>.</w:t>
            </w:r>
            <w:r w:rsidRPr="0044346D">
              <w:rPr>
                <w:color w:val="000000"/>
                <w:sz w:val="22"/>
                <w:szCs w:val="22"/>
              </w:rPr>
              <w:t>508</w:t>
            </w:r>
          </w:p>
        </w:tc>
      </w:tr>
    </w:tbl>
    <w:p w14:paraId="1AFCB6CC" w14:textId="77777777" w:rsidR="00BA56AD" w:rsidRPr="00666470" w:rsidRDefault="00BA56AD" w:rsidP="00BA56AD">
      <w:pPr>
        <w:widowControl w:val="0"/>
        <w:adjustRightInd w:val="0"/>
        <w:spacing w:before="240"/>
        <w:ind w:right="23"/>
        <w:jc w:val="center"/>
        <w:rPr>
          <w:rFonts w:cs="Arial"/>
          <w:b/>
          <w:sz w:val="20"/>
          <w:szCs w:val="22"/>
        </w:rPr>
      </w:pPr>
      <w:r w:rsidRPr="00666470">
        <w:rPr>
          <w:rFonts w:cs="Arial"/>
          <w:b/>
          <w:sz w:val="20"/>
          <w:szCs w:val="22"/>
        </w:rPr>
        <w:t xml:space="preserve">Valor presente Gastos AOM </w:t>
      </w:r>
    </w:p>
    <w:tbl>
      <w:tblPr>
        <w:tblW w:w="1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0"/>
        <w:gridCol w:w="1838"/>
      </w:tblGrid>
      <w:tr w:rsidR="00BA56AD" w:rsidRPr="00666470" w14:paraId="7BC28404" w14:textId="77777777" w:rsidTr="00FB5615">
        <w:trPr>
          <w:trHeight w:val="240"/>
          <w:jc w:val="center"/>
        </w:trPr>
        <w:tc>
          <w:tcPr>
            <w:tcW w:w="2403" w:type="pct"/>
            <w:shd w:val="clear" w:color="auto" w:fill="D9D9D9"/>
            <w:vAlign w:val="center"/>
            <w:hideMark/>
          </w:tcPr>
          <w:p w14:paraId="6BFD77BD" w14:textId="77777777" w:rsidR="00BA56AD" w:rsidRPr="00666470" w:rsidRDefault="00BA56AD" w:rsidP="00FB5615">
            <w:pPr>
              <w:jc w:val="center"/>
              <w:rPr>
                <w:rFonts w:cs="Arial"/>
                <w:b/>
                <w:bCs/>
                <w:color w:val="000000"/>
                <w:sz w:val="20"/>
                <w:lang w:eastAsia="es-CO"/>
              </w:rPr>
            </w:pPr>
            <w:r w:rsidRPr="00666470">
              <w:rPr>
                <w:rFonts w:cs="Arial"/>
                <w:b/>
                <w:bCs/>
                <w:color w:val="000000"/>
                <w:sz w:val="20"/>
                <w:lang w:eastAsia="es-CO"/>
              </w:rPr>
              <w:t>Componente</w:t>
            </w:r>
          </w:p>
        </w:tc>
        <w:tc>
          <w:tcPr>
            <w:tcW w:w="2597" w:type="pct"/>
            <w:shd w:val="clear" w:color="auto" w:fill="D9D9D9"/>
            <w:vAlign w:val="center"/>
          </w:tcPr>
          <w:p w14:paraId="75E7805F" w14:textId="77777777" w:rsidR="00BA56AD" w:rsidRPr="00666470" w:rsidRDefault="00BA56AD" w:rsidP="00FB5615">
            <w:pPr>
              <w:jc w:val="center"/>
              <w:rPr>
                <w:rFonts w:cs="Arial"/>
                <w:b/>
                <w:bCs/>
                <w:color w:val="000000"/>
                <w:sz w:val="20"/>
                <w:szCs w:val="22"/>
                <w:lang w:eastAsia="es-CO"/>
              </w:rPr>
            </w:pPr>
            <w:r w:rsidRPr="00666470">
              <w:rPr>
                <w:rFonts w:cs="Arial"/>
                <w:b/>
                <w:bCs/>
                <w:color w:val="000000"/>
                <w:sz w:val="20"/>
                <w:szCs w:val="22"/>
                <w:lang w:eastAsia="es-CO"/>
              </w:rPr>
              <w:t>Año 2019 en adelante</w:t>
            </w:r>
          </w:p>
          <w:p w14:paraId="4D34C04F" w14:textId="77777777" w:rsidR="00BA56AD" w:rsidRPr="00666470" w:rsidRDefault="00BA56AD" w:rsidP="00FB5615">
            <w:pPr>
              <w:jc w:val="center"/>
              <w:rPr>
                <w:rFonts w:cs="Arial"/>
                <w:b/>
                <w:bCs/>
                <w:color w:val="000000"/>
                <w:sz w:val="20"/>
                <w:lang w:eastAsia="es-CO"/>
              </w:rPr>
            </w:pPr>
            <w:r w:rsidRPr="00666470">
              <w:rPr>
                <w:rFonts w:cs="Arial"/>
                <w:b/>
                <w:bCs/>
                <w:color w:val="000000"/>
                <w:sz w:val="20"/>
                <w:szCs w:val="22"/>
                <w:lang w:eastAsia="es-CO"/>
              </w:rPr>
              <w:t xml:space="preserve"> ($ dic de 2017)</w:t>
            </w:r>
          </w:p>
        </w:tc>
      </w:tr>
      <w:tr w:rsidR="00BA56AD" w:rsidRPr="00666470" w14:paraId="3C2A72D5" w14:textId="77777777" w:rsidTr="00FB5615">
        <w:trPr>
          <w:trHeight w:val="400"/>
          <w:jc w:val="center"/>
        </w:trPr>
        <w:tc>
          <w:tcPr>
            <w:tcW w:w="2403" w:type="pct"/>
            <w:shd w:val="clear" w:color="auto" w:fill="auto"/>
            <w:vAlign w:val="center"/>
            <w:hideMark/>
          </w:tcPr>
          <w:p w14:paraId="704F8E2D" w14:textId="77777777" w:rsidR="00BA56AD" w:rsidRPr="00666470" w:rsidRDefault="00BA56AD" w:rsidP="00FB5615">
            <w:pPr>
              <w:rPr>
                <w:rFonts w:cs="Arial"/>
                <w:color w:val="000000"/>
                <w:sz w:val="20"/>
                <w:lang w:eastAsia="es-CO"/>
              </w:rPr>
            </w:pPr>
            <w:r w:rsidRPr="00666470">
              <w:rPr>
                <w:rFonts w:cs="Arial"/>
                <w:color w:val="000000"/>
                <w:sz w:val="20"/>
                <w:lang w:val="es-ES_tradnl" w:eastAsia="es-CO"/>
              </w:rPr>
              <w:t>Valor Presente AOM, con nivel de eficiencia</w:t>
            </w:r>
          </w:p>
        </w:tc>
        <w:tc>
          <w:tcPr>
            <w:tcW w:w="2597" w:type="pct"/>
            <w:vAlign w:val="center"/>
          </w:tcPr>
          <w:p w14:paraId="370E56F3" w14:textId="77777777" w:rsidR="00BA56AD" w:rsidRPr="00666470" w:rsidRDefault="00BA56AD" w:rsidP="00FB5615">
            <w:pPr>
              <w:jc w:val="center"/>
              <w:rPr>
                <w:rFonts w:cs="Arial"/>
                <w:color w:val="000000"/>
                <w:sz w:val="20"/>
                <w:lang w:eastAsia="es-CO"/>
              </w:rPr>
            </w:pPr>
            <w:r w:rsidRPr="00666470">
              <w:rPr>
                <w:rFonts w:cs="Arial"/>
                <w:color w:val="000000"/>
                <w:sz w:val="20"/>
                <w:lang w:eastAsia="es-CO"/>
              </w:rPr>
              <w:t>2.733.583.326</w:t>
            </w:r>
          </w:p>
        </w:tc>
      </w:tr>
    </w:tbl>
    <w:p w14:paraId="438424F4" w14:textId="511665EA" w:rsidR="00BA56AD" w:rsidRPr="00666470" w:rsidRDefault="00BA56AD" w:rsidP="00BA56AD">
      <w:pPr>
        <w:widowControl w:val="0"/>
        <w:adjustRightInd w:val="0"/>
        <w:spacing w:before="240" w:after="240"/>
        <w:ind w:right="23"/>
        <w:rPr>
          <w:iCs/>
          <w:lang w:val="es-ES_tradnl"/>
        </w:rPr>
      </w:pPr>
      <w:r w:rsidRPr="00666470">
        <w:rPr>
          <w:iCs/>
          <w:lang w:val="es-ES_tradnl"/>
        </w:rPr>
        <w:t xml:space="preserve">Aplicando la metodología </w:t>
      </w:r>
      <w:r w:rsidRPr="0066094C">
        <w:rPr>
          <w:iCs/>
          <w:lang w:val="es-ES_tradnl"/>
        </w:rPr>
        <w:t xml:space="preserve">contenida en las </w:t>
      </w:r>
      <w:r>
        <w:rPr>
          <w:iCs/>
          <w:lang w:val="es-ES_tradnl"/>
        </w:rPr>
        <w:t>r</w:t>
      </w:r>
      <w:r w:rsidRPr="0066094C">
        <w:rPr>
          <w:iCs/>
          <w:lang w:val="es-ES_tradnl"/>
        </w:rPr>
        <w:t xml:space="preserve">esoluciones CREG 202 de 2013, CREG 138 de 2014, CREG 090 y </w:t>
      </w:r>
      <w:r w:rsidR="005468EB">
        <w:rPr>
          <w:iCs/>
          <w:lang w:val="es-ES_tradnl"/>
        </w:rPr>
        <w:t xml:space="preserve">CREG </w:t>
      </w:r>
      <w:r w:rsidRPr="0066094C">
        <w:rPr>
          <w:iCs/>
          <w:lang w:val="es-ES_tradnl"/>
        </w:rPr>
        <w:t>132 de 2018</w:t>
      </w:r>
      <w:r w:rsidRPr="00666470">
        <w:rPr>
          <w:iCs/>
          <w:lang w:val="es-ES_tradnl"/>
        </w:rPr>
        <w:t>, se calcularon las siguientes variables principales para la componente que remunera los gastos de AOM, aplicable a usuarios de uso residencial y a usuarios diferentes a los de uso residencial:</w:t>
      </w:r>
    </w:p>
    <w:p w14:paraId="3F8A7ABC" w14:textId="77777777" w:rsidR="00BA56AD" w:rsidRPr="00666470" w:rsidRDefault="00BA56AD" w:rsidP="00BA56AD">
      <w:pPr>
        <w:keepNext/>
        <w:adjustRightInd w:val="0"/>
        <w:ind w:right="20"/>
        <w:jc w:val="center"/>
        <w:rPr>
          <w:rFonts w:cs="Arial"/>
          <w:b/>
          <w:sz w:val="20"/>
        </w:rPr>
      </w:pPr>
      <w:r w:rsidRPr="00666470">
        <w:rPr>
          <w:rFonts w:cs="Arial"/>
          <w:b/>
          <w:sz w:val="20"/>
        </w:rPr>
        <w:t>Variables para el cálculo de la componente de gastos AOM.</w:t>
      </w:r>
    </w:p>
    <w:p w14:paraId="3E934CD2" w14:textId="77777777" w:rsidR="00BA56AD" w:rsidRPr="00666470" w:rsidRDefault="00BA56AD" w:rsidP="00BA56AD">
      <w:pPr>
        <w:keepNext/>
        <w:adjustRightInd w:val="0"/>
        <w:ind w:right="20"/>
        <w:jc w:val="center"/>
        <w:rPr>
          <w:rFonts w:cs="Arial"/>
          <w:b/>
          <w:sz w:val="20"/>
        </w:rPr>
      </w:pPr>
      <w:r w:rsidRPr="00666470">
        <w:rPr>
          <w:rFonts w:cs="Arial"/>
          <w:b/>
          <w:sz w:val="20"/>
        </w:rPr>
        <w:t>Usuarios de Uso Residencial.</w:t>
      </w:r>
    </w:p>
    <w:tbl>
      <w:tblPr>
        <w:tblW w:w="3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32"/>
        <w:gridCol w:w="2900"/>
      </w:tblGrid>
      <w:tr w:rsidR="00BA56AD" w:rsidRPr="00666470" w14:paraId="252B21DE" w14:textId="77777777" w:rsidTr="00FB5615">
        <w:trPr>
          <w:trHeight w:val="532"/>
          <w:tblHeader/>
          <w:jc w:val="center"/>
        </w:trPr>
        <w:tc>
          <w:tcPr>
            <w:tcW w:w="5000" w:type="pct"/>
            <w:gridSpan w:val="2"/>
            <w:shd w:val="clear" w:color="auto" w:fill="D9D9D9"/>
            <w:vAlign w:val="center"/>
            <w:hideMark/>
          </w:tcPr>
          <w:p w14:paraId="33F6FBEA" w14:textId="77777777" w:rsidR="00BA56AD" w:rsidRPr="00666470" w:rsidRDefault="00BA56AD" w:rsidP="00FB5615">
            <w:pPr>
              <w:keepNext/>
              <w:jc w:val="center"/>
              <w:rPr>
                <w:rFonts w:cs="Arial"/>
                <w:b/>
                <w:bCs/>
                <w:color w:val="000000"/>
                <w:sz w:val="20"/>
                <w:lang w:eastAsia="es-CO"/>
              </w:rPr>
            </w:pPr>
            <w:r w:rsidRPr="00666470">
              <w:rPr>
                <w:rFonts w:cs="Arial"/>
                <w:b/>
                <w:bCs/>
                <w:color w:val="000000"/>
                <w:sz w:val="20"/>
                <w:lang w:eastAsia="es-CO"/>
              </w:rPr>
              <w:t>Usuarios de Uso Residencial</w:t>
            </w:r>
          </w:p>
        </w:tc>
      </w:tr>
      <w:tr w:rsidR="00BA56AD" w:rsidRPr="00666470" w14:paraId="16F6CA8A" w14:textId="77777777" w:rsidTr="00FB5615">
        <w:trPr>
          <w:trHeight w:val="310"/>
          <w:tblHeader/>
          <w:jc w:val="center"/>
        </w:trPr>
        <w:tc>
          <w:tcPr>
            <w:tcW w:w="2596" w:type="pct"/>
            <w:shd w:val="clear" w:color="auto" w:fill="D9D9D9"/>
            <w:vAlign w:val="center"/>
            <w:hideMark/>
          </w:tcPr>
          <w:p w14:paraId="02BEFDAC" w14:textId="77777777" w:rsidR="00BA56AD" w:rsidRPr="00666470" w:rsidRDefault="00BA56AD" w:rsidP="00FB5615">
            <w:pPr>
              <w:keepNext/>
              <w:jc w:val="center"/>
              <w:rPr>
                <w:rFonts w:cs="Arial"/>
                <w:b/>
                <w:bCs/>
                <w:color w:val="000000"/>
                <w:sz w:val="20"/>
                <w:lang w:eastAsia="es-CO"/>
              </w:rPr>
            </w:pPr>
            <w:r w:rsidRPr="00666470">
              <w:rPr>
                <w:rFonts w:cs="Arial"/>
                <w:b/>
                <w:bCs/>
                <w:color w:val="000000"/>
                <w:sz w:val="20"/>
                <w:lang w:eastAsia="es-CO"/>
              </w:rPr>
              <w:t>Variable</w:t>
            </w:r>
          </w:p>
        </w:tc>
        <w:tc>
          <w:tcPr>
            <w:tcW w:w="2404" w:type="pct"/>
            <w:shd w:val="clear" w:color="auto" w:fill="D9D9D9"/>
            <w:vAlign w:val="center"/>
            <w:hideMark/>
          </w:tcPr>
          <w:p w14:paraId="74164F8D" w14:textId="77777777" w:rsidR="00BA56AD" w:rsidRPr="00666470" w:rsidRDefault="00BA56AD" w:rsidP="00FB5615">
            <w:pPr>
              <w:keepNext/>
              <w:jc w:val="center"/>
              <w:rPr>
                <w:rFonts w:cs="Arial"/>
                <w:b/>
                <w:bCs/>
                <w:color w:val="000000"/>
                <w:sz w:val="20"/>
                <w:lang w:eastAsia="es-CO"/>
              </w:rPr>
            </w:pPr>
            <w:r w:rsidRPr="00666470">
              <w:rPr>
                <w:rFonts w:cs="Arial"/>
                <w:b/>
                <w:bCs/>
                <w:color w:val="000000"/>
                <w:sz w:val="20"/>
                <w:lang w:eastAsia="es-CO"/>
              </w:rPr>
              <w:t>Año 2019 en adelante</w:t>
            </w:r>
          </w:p>
        </w:tc>
      </w:tr>
      <w:tr w:rsidR="00BA56AD" w:rsidRPr="00666470" w14:paraId="5BE32B65" w14:textId="77777777" w:rsidTr="00FB5615">
        <w:trPr>
          <w:trHeight w:val="268"/>
          <w:jc w:val="center"/>
        </w:trPr>
        <w:tc>
          <w:tcPr>
            <w:tcW w:w="2596" w:type="pct"/>
            <w:shd w:val="clear" w:color="auto" w:fill="auto"/>
            <w:hideMark/>
          </w:tcPr>
          <w:p w14:paraId="14C4D359" w14:textId="77777777" w:rsidR="00BA56AD" w:rsidRPr="00666470" w:rsidRDefault="00BA56AD" w:rsidP="00FB5615">
            <w:pPr>
              <w:rPr>
                <w:rFonts w:cs="Arial"/>
                <w:b/>
                <w:bCs/>
                <w:color w:val="000000"/>
                <w:sz w:val="20"/>
                <w:lang w:eastAsia="es-CO"/>
              </w:rPr>
            </w:pPr>
            <w:r w:rsidRPr="00666470">
              <w:rPr>
                <w:rFonts w:cs="Arial"/>
                <w:noProof/>
                <w:sz w:val="20"/>
                <w:lang w:val="es-CO" w:eastAsia="es-CO"/>
              </w:rPr>
              <w:drawing>
                <wp:inline distT="0" distB="0" distL="0" distR="0" wp14:anchorId="6795D737" wp14:editId="7A6E477F">
                  <wp:extent cx="1031240" cy="15367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1240" cy="153670"/>
                          </a:xfrm>
                          <a:prstGeom prst="rect">
                            <a:avLst/>
                          </a:prstGeom>
                          <a:noFill/>
                          <a:ln>
                            <a:noFill/>
                          </a:ln>
                        </pic:spPr>
                      </pic:pic>
                    </a:graphicData>
                  </a:graphic>
                </wp:inline>
              </w:drawing>
            </w:r>
          </w:p>
        </w:tc>
        <w:tc>
          <w:tcPr>
            <w:tcW w:w="2404" w:type="pct"/>
            <w:shd w:val="clear" w:color="auto" w:fill="auto"/>
            <w:vAlign w:val="bottom"/>
          </w:tcPr>
          <w:p w14:paraId="5DECAE2F" w14:textId="77777777" w:rsidR="00BA56AD" w:rsidRPr="0011198D" w:rsidRDefault="00BA56AD" w:rsidP="00FB5615">
            <w:pPr>
              <w:jc w:val="center"/>
              <w:rPr>
                <w:rFonts w:cs="Arial"/>
                <w:color w:val="000000"/>
                <w:sz w:val="20"/>
                <w:szCs w:val="22"/>
              </w:rPr>
            </w:pPr>
            <w:r w:rsidRPr="0011198D">
              <w:rPr>
                <w:color w:val="000000"/>
                <w:sz w:val="20"/>
                <w:szCs w:val="16"/>
              </w:rPr>
              <w:t>878</w:t>
            </w:r>
            <w:r>
              <w:rPr>
                <w:color w:val="000000"/>
                <w:sz w:val="20"/>
                <w:szCs w:val="16"/>
              </w:rPr>
              <w:t>.</w:t>
            </w:r>
            <w:r w:rsidRPr="0011198D">
              <w:rPr>
                <w:color w:val="000000"/>
                <w:sz w:val="20"/>
                <w:szCs w:val="16"/>
              </w:rPr>
              <w:t>663</w:t>
            </w:r>
            <w:r>
              <w:rPr>
                <w:color w:val="000000"/>
                <w:sz w:val="20"/>
                <w:szCs w:val="16"/>
              </w:rPr>
              <w:t>.</w:t>
            </w:r>
            <w:r w:rsidRPr="0011198D">
              <w:rPr>
                <w:color w:val="000000"/>
                <w:sz w:val="20"/>
                <w:szCs w:val="16"/>
              </w:rPr>
              <w:t>248</w:t>
            </w:r>
          </w:p>
        </w:tc>
      </w:tr>
      <w:tr w:rsidR="00BA56AD" w:rsidRPr="00666470" w14:paraId="0B167EC8" w14:textId="77777777" w:rsidTr="00FB5615">
        <w:trPr>
          <w:trHeight w:val="268"/>
          <w:jc w:val="center"/>
        </w:trPr>
        <w:tc>
          <w:tcPr>
            <w:tcW w:w="2596" w:type="pct"/>
            <w:shd w:val="clear" w:color="auto" w:fill="auto"/>
            <w:hideMark/>
          </w:tcPr>
          <w:p w14:paraId="3504B83B" w14:textId="77777777" w:rsidR="00BA56AD" w:rsidRPr="00666470" w:rsidRDefault="00BA56AD" w:rsidP="00FB5615">
            <w:pPr>
              <w:rPr>
                <w:rFonts w:cs="Arial"/>
                <w:b/>
                <w:bCs/>
                <w:color w:val="000000"/>
                <w:sz w:val="20"/>
                <w:lang w:eastAsia="es-CO"/>
              </w:rPr>
            </w:pPr>
            <w:r w:rsidRPr="00666470">
              <w:rPr>
                <w:rFonts w:cs="Arial"/>
                <w:noProof/>
                <w:sz w:val="20"/>
                <w:lang w:val="es-CO" w:eastAsia="es-CO"/>
              </w:rPr>
              <w:drawing>
                <wp:inline distT="0" distB="0" distL="0" distR="0" wp14:anchorId="73B9D044" wp14:editId="3A77A7BB">
                  <wp:extent cx="1016635" cy="15367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6635" cy="153670"/>
                          </a:xfrm>
                          <a:prstGeom prst="rect">
                            <a:avLst/>
                          </a:prstGeom>
                          <a:noFill/>
                          <a:ln>
                            <a:noFill/>
                          </a:ln>
                        </pic:spPr>
                      </pic:pic>
                    </a:graphicData>
                  </a:graphic>
                </wp:inline>
              </w:drawing>
            </w:r>
          </w:p>
        </w:tc>
        <w:tc>
          <w:tcPr>
            <w:tcW w:w="2404" w:type="pct"/>
            <w:shd w:val="clear" w:color="auto" w:fill="auto"/>
            <w:vAlign w:val="bottom"/>
          </w:tcPr>
          <w:p w14:paraId="111C708D" w14:textId="77777777" w:rsidR="00BA56AD" w:rsidRPr="0011198D" w:rsidRDefault="00BA56AD" w:rsidP="00FB5615">
            <w:pPr>
              <w:jc w:val="center"/>
              <w:rPr>
                <w:rFonts w:cs="Arial"/>
                <w:color w:val="000000"/>
                <w:sz w:val="20"/>
                <w:szCs w:val="22"/>
              </w:rPr>
            </w:pPr>
            <w:r w:rsidRPr="0011198D">
              <w:rPr>
                <w:color w:val="000000"/>
                <w:sz w:val="20"/>
                <w:szCs w:val="16"/>
              </w:rPr>
              <w:t>1</w:t>
            </w:r>
            <w:r>
              <w:rPr>
                <w:color w:val="000000"/>
                <w:sz w:val="20"/>
                <w:szCs w:val="16"/>
              </w:rPr>
              <w:t>.</w:t>
            </w:r>
            <w:r w:rsidRPr="0011198D">
              <w:rPr>
                <w:color w:val="000000"/>
                <w:sz w:val="20"/>
                <w:szCs w:val="16"/>
              </w:rPr>
              <w:t>854</w:t>
            </w:r>
            <w:r>
              <w:rPr>
                <w:color w:val="000000"/>
                <w:sz w:val="20"/>
                <w:szCs w:val="16"/>
              </w:rPr>
              <w:t>.</w:t>
            </w:r>
            <w:r w:rsidRPr="0011198D">
              <w:rPr>
                <w:color w:val="000000"/>
                <w:sz w:val="20"/>
                <w:szCs w:val="16"/>
              </w:rPr>
              <w:t>920</w:t>
            </w:r>
            <w:r>
              <w:rPr>
                <w:color w:val="000000"/>
                <w:sz w:val="20"/>
                <w:szCs w:val="16"/>
              </w:rPr>
              <w:t>.</w:t>
            </w:r>
            <w:r w:rsidRPr="0011198D">
              <w:rPr>
                <w:color w:val="000000"/>
                <w:sz w:val="20"/>
                <w:szCs w:val="16"/>
              </w:rPr>
              <w:t>078</w:t>
            </w:r>
          </w:p>
        </w:tc>
      </w:tr>
      <w:tr w:rsidR="00BA56AD" w:rsidRPr="00666470" w14:paraId="6445EB3A" w14:textId="77777777" w:rsidTr="00FB5615">
        <w:trPr>
          <w:trHeight w:val="268"/>
          <w:jc w:val="center"/>
        </w:trPr>
        <w:tc>
          <w:tcPr>
            <w:tcW w:w="2596" w:type="pct"/>
            <w:shd w:val="clear" w:color="auto" w:fill="auto"/>
            <w:hideMark/>
          </w:tcPr>
          <w:p w14:paraId="790A82EA" w14:textId="77777777" w:rsidR="00BA56AD" w:rsidRPr="00666470" w:rsidRDefault="00BA56AD" w:rsidP="00FB5615">
            <w:pPr>
              <w:rPr>
                <w:rFonts w:cs="Arial"/>
                <w:b/>
                <w:bCs/>
                <w:color w:val="000000"/>
                <w:sz w:val="20"/>
                <w:lang w:eastAsia="es-CO"/>
              </w:rPr>
            </w:pPr>
            <m:oMathPara>
              <m:oMathParaPr>
                <m:jc m:val="left"/>
              </m:oMathParaPr>
              <m:oMath>
                <m:r>
                  <m:rPr>
                    <m:sty m:val="b"/>
                  </m:rPr>
                  <w:rPr>
                    <w:rFonts w:ascii="Cambria Math" w:hAnsi="Cambria Math"/>
                    <w:color w:val="000000"/>
                    <w:sz w:val="20"/>
                    <w:lang w:eastAsia="es-CO"/>
                  </w:rPr>
                  <m:t>VP(Q</m:t>
                </m:r>
                <m:sSub>
                  <m:sSubPr>
                    <m:ctrlPr>
                      <w:rPr>
                        <w:rFonts w:ascii="Cambria Math" w:hAnsi="Cambria Math"/>
                        <w:b/>
                        <w:bCs/>
                        <w:color w:val="000000"/>
                        <w:sz w:val="20"/>
                        <w:lang w:eastAsia="es-CO"/>
                      </w:rPr>
                    </m:ctrlPr>
                  </m:sSubPr>
                  <m:e>
                    <m:d>
                      <m:dPr>
                        <m:ctrlPr>
                          <w:rPr>
                            <w:rFonts w:ascii="Cambria Math" w:hAnsi="Cambria Math"/>
                            <w:b/>
                            <w:bCs/>
                            <w:color w:val="000000"/>
                            <w:sz w:val="20"/>
                            <w:lang w:eastAsia="es-CO"/>
                          </w:rPr>
                        </m:ctrlPr>
                      </m:dPr>
                      <m:e>
                        <m:r>
                          <m:rPr>
                            <m:sty m:val="b"/>
                          </m:rPr>
                          <w:rPr>
                            <w:rFonts w:ascii="Cambria Math" w:hAnsi="Cambria Math"/>
                            <w:color w:val="000000"/>
                            <w:sz w:val="20"/>
                            <w:lang w:eastAsia="es-CO"/>
                          </w:rPr>
                          <m:t>PR</m:t>
                        </m:r>
                      </m:e>
                    </m:d>
                  </m:e>
                  <m:sub>
                    <m:r>
                      <m:rPr>
                        <m:sty m:val="b"/>
                      </m:rPr>
                      <w:rPr>
                        <w:rFonts w:ascii="Cambria Math" w:hAnsi="Cambria Math"/>
                        <w:color w:val="000000"/>
                        <w:sz w:val="20"/>
                        <w:lang w:eastAsia="es-CO"/>
                      </w:rPr>
                      <m:t>NoResRSk</m:t>
                    </m:r>
                  </m:sub>
                </m:sSub>
                <m:r>
                  <m:rPr>
                    <m:sty m:val="b"/>
                  </m:rPr>
                  <w:rPr>
                    <w:rFonts w:ascii="Cambria Math" w:hAnsi="Cambria Math"/>
                    <w:color w:val="000000"/>
                    <w:sz w:val="20"/>
                    <w:lang w:eastAsia="es-CO"/>
                  </w:rPr>
                  <m:t>+Q</m:t>
                </m:r>
                <m:sSub>
                  <m:sSubPr>
                    <m:ctrlPr>
                      <w:rPr>
                        <w:rFonts w:ascii="Cambria Math" w:hAnsi="Cambria Math"/>
                        <w:b/>
                        <w:bCs/>
                        <w:color w:val="000000"/>
                        <w:sz w:val="20"/>
                        <w:lang w:eastAsia="es-CO"/>
                      </w:rPr>
                    </m:ctrlPr>
                  </m:sSubPr>
                  <m:e>
                    <m:d>
                      <m:dPr>
                        <m:ctrlPr>
                          <w:rPr>
                            <w:rFonts w:ascii="Cambria Math" w:hAnsi="Cambria Math"/>
                            <w:b/>
                            <w:bCs/>
                            <w:color w:val="000000"/>
                            <w:sz w:val="20"/>
                            <w:lang w:eastAsia="es-CO"/>
                          </w:rPr>
                        </m:ctrlPr>
                      </m:dPr>
                      <m:e>
                        <m:r>
                          <m:rPr>
                            <m:sty m:val="b"/>
                          </m:rPr>
                          <w:rPr>
                            <w:rFonts w:ascii="Cambria Math" w:hAnsi="Cambria Math"/>
                            <w:color w:val="000000"/>
                            <w:sz w:val="20"/>
                            <w:lang w:eastAsia="es-CO"/>
                          </w:rPr>
                          <m:t>PR</m:t>
                        </m:r>
                      </m:e>
                    </m:d>
                  </m:e>
                  <m:sub>
                    <m:r>
                      <m:rPr>
                        <m:sty m:val="b"/>
                      </m:rPr>
                      <w:rPr>
                        <w:rFonts w:ascii="Cambria Math" w:hAnsi="Cambria Math"/>
                        <w:color w:val="000000"/>
                        <w:sz w:val="20"/>
                        <w:lang w:eastAsia="es-CO"/>
                      </w:rPr>
                      <m:t>Resk</m:t>
                    </m:r>
                  </m:sub>
                </m:sSub>
                <m:r>
                  <m:rPr>
                    <m:sty m:val="b"/>
                  </m:rPr>
                  <w:rPr>
                    <w:rFonts w:ascii="Cambria Math" w:hAnsi="Cambria Math"/>
                    <w:color w:val="000000"/>
                    <w:sz w:val="20"/>
                    <w:lang w:eastAsia="es-CO"/>
                  </w:rPr>
                  <m:t>)</m:t>
                </m:r>
              </m:oMath>
            </m:oMathPara>
          </w:p>
        </w:tc>
        <w:tc>
          <w:tcPr>
            <w:tcW w:w="2404" w:type="pct"/>
            <w:shd w:val="clear" w:color="auto" w:fill="auto"/>
            <w:vAlign w:val="bottom"/>
          </w:tcPr>
          <w:p w14:paraId="234D370E" w14:textId="77777777" w:rsidR="00BA56AD" w:rsidRPr="0011198D" w:rsidRDefault="00BA56AD" w:rsidP="00FB5615">
            <w:pPr>
              <w:jc w:val="center"/>
              <w:rPr>
                <w:rFonts w:cs="Arial"/>
                <w:color w:val="000000"/>
                <w:sz w:val="20"/>
                <w:szCs w:val="22"/>
              </w:rPr>
            </w:pPr>
            <w:r w:rsidRPr="0011198D">
              <w:rPr>
                <w:color w:val="000000"/>
                <w:sz w:val="20"/>
                <w:szCs w:val="16"/>
              </w:rPr>
              <w:t>6</w:t>
            </w:r>
            <w:r>
              <w:rPr>
                <w:color w:val="000000"/>
                <w:sz w:val="20"/>
                <w:szCs w:val="16"/>
              </w:rPr>
              <w:t>.</w:t>
            </w:r>
            <w:r w:rsidRPr="0011198D">
              <w:rPr>
                <w:color w:val="000000"/>
                <w:sz w:val="20"/>
                <w:szCs w:val="16"/>
              </w:rPr>
              <w:t>067</w:t>
            </w:r>
            <w:r>
              <w:rPr>
                <w:color w:val="000000"/>
                <w:sz w:val="20"/>
                <w:szCs w:val="16"/>
              </w:rPr>
              <w:t>.</w:t>
            </w:r>
            <w:r w:rsidRPr="0011198D">
              <w:rPr>
                <w:color w:val="000000"/>
                <w:sz w:val="20"/>
                <w:szCs w:val="16"/>
              </w:rPr>
              <w:t>125</w:t>
            </w:r>
          </w:p>
        </w:tc>
      </w:tr>
      <w:tr w:rsidR="00BA56AD" w:rsidRPr="00666470" w14:paraId="2D07C1EE" w14:textId="77777777" w:rsidTr="00FB5615">
        <w:trPr>
          <w:trHeight w:val="268"/>
          <w:jc w:val="center"/>
        </w:trPr>
        <w:tc>
          <w:tcPr>
            <w:tcW w:w="2596" w:type="pct"/>
            <w:shd w:val="clear" w:color="auto" w:fill="auto"/>
            <w:hideMark/>
          </w:tcPr>
          <w:p w14:paraId="695DF36C" w14:textId="77777777" w:rsidR="00BA56AD" w:rsidRPr="00666470" w:rsidRDefault="00BA56AD" w:rsidP="00FB5615">
            <w:pPr>
              <w:rPr>
                <w:rFonts w:cs="Arial"/>
                <w:b/>
                <w:bCs/>
                <w:color w:val="000000"/>
                <w:sz w:val="20"/>
                <w:lang w:eastAsia="es-CO"/>
              </w:rPr>
            </w:pPr>
            <w:r w:rsidRPr="00666470">
              <w:rPr>
                <w:rFonts w:cs="Arial"/>
                <w:noProof/>
                <w:sz w:val="20"/>
                <w:lang w:val="es-CO" w:eastAsia="es-CO"/>
              </w:rPr>
              <w:drawing>
                <wp:inline distT="0" distB="0" distL="0" distR="0" wp14:anchorId="1B6A817C" wp14:editId="5FF62FA3">
                  <wp:extent cx="746125" cy="15367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6125" cy="153670"/>
                          </a:xfrm>
                          <a:prstGeom prst="rect">
                            <a:avLst/>
                          </a:prstGeom>
                          <a:noFill/>
                          <a:ln>
                            <a:noFill/>
                          </a:ln>
                        </pic:spPr>
                      </pic:pic>
                    </a:graphicData>
                  </a:graphic>
                </wp:inline>
              </w:drawing>
            </w:r>
          </w:p>
        </w:tc>
        <w:tc>
          <w:tcPr>
            <w:tcW w:w="2404" w:type="pct"/>
            <w:shd w:val="clear" w:color="auto" w:fill="auto"/>
            <w:vAlign w:val="bottom"/>
          </w:tcPr>
          <w:p w14:paraId="545070E4" w14:textId="77777777" w:rsidR="00BA56AD" w:rsidRPr="0011198D" w:rsidRDefault="00BA56AD" w:rsidP="00FB5615">
            <w:pPr>
              <w:jc w:val="center"/>
              <w:rPr>
                <w:rFonts w:cs="Arial"/>
                <w:color w:val="000000"/>
                <w:sz w:val="20"/>
                <w:szCs w:val="22"/>
              </w:rPr>
            </w:pPr>
            <w:r w:rsidRPr="0011198D">
              <w:rPr>
                <w:color w:val="000000"/>
                <w:sz w:val="20"/>
                <w:szCs w:val="16"/>
              </w:rPr>
              <w:t>6</w:t>
            </w:r>
            <w:r>
              <w:rPr>
                <w:color w:val="000000"/>
                <w:sz w:val="20"/>
                <w:szCs w:val="16"/>
              </w:rPr>
              <w:t>.</w:t>
            </w:r>
            <w:r w:rsidRPr="0011198D">
              <w:rPr>
                <w:color w:val="000000"/>
                <w:sz w:val="20"/>
                <w:szCs w:val="16"/>
              </w:rPr>
              <w:t>067</w:t>
            </w:r>
            <w:r>
              <w:rPr>
                <w:color w:val="000000"/>
                <w:sz w:val="20"/>
                <w:szCs w:val="16"/>
              </w:rPr>
              <w:t>.</w:t>
            </w:r>
            <w:r w:rsidRPr="0011198D">
              <w:rPr>
                <w:color w:val="000000"/>
                <w:sz w:val="20"/>
                <w:szCs w:val="16"/>
              </w:rPr>
              <w:t>125</w:t>
            </w:r>
          </w:p>
        </w:tc>
      </w:tr>
    </w:tbl>
    <w:p w14:paraId="1DA79EE8" w14:textId="77777777" w:rsidR="00BA56AD" w:rsidRPr="00666470" w:rsidRDefault="00BA56AD" w:rsidP="00BA56AD">
      <w:pPr>
        <w:widowControl w:val="0"/>
        <w:adjustRightInd w:val="0"/>
        <w:spacing w:after="240"/>
        <w:ind w:right="23"/>
        <w:jc w:val="center"/>
        <w:rPr>
          <w:rFonts w:cs="Arial"/>
          <w:sz w:val="16"/>
          <w:szCs w:val="16"/>
        </w:rPr>
      </w:pPr>
      <w:r w:rsidRPr="00666470">
        <w:rPr>
          <w:rFonts w:cs="Arial"/>
          <w:sz w:val="16"/>
          <w:szCs w:val="16"/>
        </w:rPr>
        <w:t>Cifras en pesos del 31 de diciembre de 2017.</w:t>
      </w:r>
    </w:p>
    <w:p w14:paraId="4287DCC8" w14:textId="77777777" w:rsidR="00BA56AD" w:rsidRPr="00666470" w:rsidRDefault="00BA56AD" w:rsidP="00BA56AD">
      <w:pPr>
        <w:widowControl w:val="0"/>
        <w:adjustRightInd w:val="0"/>
        <w:ind w:right="20"/>
        <w:jc w:val="center"/>
        <w:rPr>
          <w:rFonts w:cs="Arial"/>
          <w:b/>
          <w:sz w:val="20"/>
        </w:rPr>
      </w:pPr>
      <w:r w:rsidRPr="00666470">
        <w:rPr>
          <w:rFonts w:cs="Arial"/>
          <w:b/>
          <w:sz w:val="20"/>
        </w:rPr>
        <w:t>Variables para el cálculo de la componente de gastos AOM.</w:t>
      </w:r>
    </w:p>
    <w:p w14:paraId="712DCED4" w14:textId="77777777" w:rsidR="00BA56AD" w:rsidRPr="00666470" w:rsidRDefault="00BA56AD" w:rsidP="00BA56AD">
      <w:pPr>
        <w:widowControl w:val="0"/>
        <w:adjustRightInd w:val="0"/>
        <w:ind w:right="20"/>
        <w:jc w:val="center"/>
        <w:rPr>
          <w:rFonts w:cs="Arial"/>
          <w:b/>
          <w:sz w:val="20"/>
        </w:rPr>
      </w:pPr>
      <w:r w:rsidRPr="00666470">
        <w:rPr>
          <w:rFonts w:cs="Arial"/>
          <w:b/>
          <w:sz w:val="20"/>
        </w:rPr>
        <w:t>Usuarios diferentes a los de Uso Residencial.</w:t>
      </w:r>
    </w:p>
    <w:tbl>
      <w:tblPr>
        <w:tblW w:w="33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27"/>
        <w:gridCol w:w="2988"/>
      </w:tblGrid>
      <w:tr w:rsidR="00BA56AD" w:rsidRPr="00666470" w14:paraId="7C1A0DC0" w14:textId="77777777" w:rsidTr="00FB5615">
        <w:trPr>
          <w:trHeight w:val="450"/>
          <w:jc w:val="center"/>
        </w:trPr>
        <w:tc>
          <w:tcPr>
            <w:tcW w:w="5000" w:type="pct"/>
            <w:gridSpan w:val="2"/>
            <w:shd w:val="clear" w:color="auto" w:fill="D9D9D9"/>
            <w:vAlign w:val="center"/>
            <w:hideMark/>
          </w:tcPr>
          <w:p w14:paraId="0564839F" w14:textId="77777777" w:rsidR="00BA56AD" w:rsidRPr="00666470" w:rsidRDefault="00BA56AD" w:rsidP="00FB5615">
            <w:pPr>
              <w:jc w:val="center"/>
              <w:rPr>
                <w:rFonts w:cs="Arial"/>
                <w:b/>
                <w:bCs/>
                <w:color w:val="000000"/>
                <w:sz w:val="20"/>
                <w:lang w:eastAsia="es-CO"/>
              </w:rPr>
            </w:pPr>
            <w:r w:rsidRPr="00666470">
              <w:rPr>
                <w:rFonts w:cs="Arial"/>
                <w:b/>
                <w:bCs/>
                <w:color w:val="000000"/>
                <w:sz w:val="20"/>
                <w:lang w:eastAsia="es-CO"/>
              </w:rPr>
              <w:t>Usuarios Diferentes a los de Uso Residencial</w:t>
            </w:r>
          </w:p>
        </w:tc>
      </w:tr>
      <w:tr w:rsidR="00BA56AD" w:rsidRPr="00666470" w14:paraId="1D074DED" w14:textId="77777777" w:rsidTr="00FB5615">
        <w:trPr>
          <w:trHeight w:val="262"/>
          <w:jc w:val="center"/>
        </w:trPr>
        <w:tc>
          <w:tcPr>
            <w:tcW w:w="2596" w:type="pct"/>
            <w:shd w:val="clear" w:color="auto" w:fill="D9D9D9"/>
            <w:vAlign w:val="center"/>
            <w:hideMark/>
          </w:tcPr>
          <w:p w14:paraId="0E8E7849" w14:textId="77777777" w:rsidR="00BA56AD" w:rsidRPr="00666470" w:rsidRDefault="00BA56AD" w:rsidP="00FB5615">
            <w:pPr>
              <w:jc w:val="center"/>
              <w:rPr>
                <w:rFonts w:cs="Arial"/>
                <w:b/>
                <w:bCs/>
                <w:color w:val="000000"/>
                <w:sz w:val="20"/>
                <w:lang w:eastAsia="es-CO"/>
              </w:rPr>
            </w:pPr>
            <w:r w:rsidRPr="00666470">
              <w:rPr>
                <w:rFonts w:cs="Arial"/>
                <w:b/>
                <w:bCs/>
                <w:color w:val="000000"/>
                <w:sz w:val="20"/>
                <w:lang w:eastAsia="es-CO"/>
              </w:rPr>
              <w:t>Variable</w:t>
            </w:r>
          </w:p>
        </w:tc>
        <w:tc>
          <w:tcPr>
            <w:tcW w:w="2404" w:type="pct"/>
            <w:shd w:val="clear" w:color="auto" w:fill="D9D9D9"/>
            <w:vAlign w:val="center"/>
            <w:hideMark/>
          </w:tcPr>
          <w:p w14:paraId="0AA953FA" w14:textId="77777777" w:rsidR="00BA56AD" w:rsidRPr="00666470" w:rsidRDefault="00BA56AD" w:rsidP="00FB5615">
            <w:pPr>
              <w:jc w:val="center"/>
              <w:rPr>
                <w:rFonts w:cs="Arial"/>
                <w:b/>
                <w:bCs/>
                <w:color w:val="000000"/>
                <w:sz w:val="20"/>
                <w:lang w:eastAsia="es-CO"/>
              </w:rPr>
            </w:pPr>
            <w:r w:rsidRPr="00666470">
              <w:rPr>
                <w:rFonts w:cs="Arial"/>
                <w:b/>
                <w:bCs/>
                <w:color w:val="000000"/>
                <w:sz w:val="20"/>
                <w:lang w:eastAsia="es-CO"/>
              </w:rPr>
              <w:t>Año 2019 en adelante</w:t>
            </w:r>
          </w:p>
        </w:tc>
      </w:tr>
      <w:tr w:rsidR="00BA56AD" w:rsidRPr="00666470" w14:paraId="1C0F18F6" w14:textId="77777777" w:rsidTr="00FB5615">
        <w:trPr>
          <w:trHeight w:val="228"/>
          <w:jc w:val="center"/>
        </w:trPr>
        <w:tc>
          <w:tcPr>
            <w:tcW w:w="2596" w:type="pct"/>
            <w:shd w:val="clear" w:color="auto" w:fill="auto"/>
            <w:vAlign w:val="center"/>
            <w:hideMark/>
          </w:tcPr>
          <w:p w14:paraId="3C45481A" w14:textId="77777777" w:rsidR="00BA56AD" w:rsidRPr="00666470" w:rsidRDefault="00BA56AD" w:rsidP="00FB5615">
            <w:pPr>
              <w:rPr>
                <w:rFonts w:cs="Arial"/>
                <w:b/>
                <w:bCs/>
                <w:color w:val="000000"/>
                <w:sz w:val="20"/>
                <w:lang w:eastAsia="es-CO"/>
              </w:rPr>
            </w:pPr>
            <w:r w:rsidRPr="00666470">
              <w:rPr>
                <w:rFonts w:cs="Arial"/>
                <w:noProof/>
                <w:sz w:val="20"/>
                <w:lang w:val="es-CO" w:eastAsia="es-CO"/>
              </w:rPr>
              <w:drawing>
                <wp:inline distT="0" distB="0" distL="0" distR="0" wp14:anchorId="028E65E6" wp14:editId="2BE7C853">
                  <wp:extent cx="753745" cy="153670"/>
                  <wp:effectExtent l="0" t="0" r="825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3745" cy="153670"/>
                          </a:xfrm>
                          <a:prstGeom prst="rect">
                            <a:avLst/>
                          </a:prstGeom>
                          <a:noFill/>
                          <a:ln>
                            <a:noFill/>
                          </a:ln>
                        </pic:spPr>
                      </pic:pic>
                    </a:graphicData>
                  </a:graphic>
                </wp:inline>
              </w:drawing>
            </w:r>
          </w:p>
        </w:tc>
        <w:tc>
          <w:tcPr>
            <w:tcW w:w="2404" w:type="pct"/>
            <w:shd w:val="clear" w:color="auto" w:fill="auto"/>
            <w:vAlign w:val="center"/>
          </w:tcPr>
          <w:p w14:paraId="48EBE077" w14:textId="77777777" w:rsidR="00BA56AD" w:rsidRPr="0011198D" w:rsidRDefault="00BA56AD" w:rsidP="00FB5615">
            <w:pPr>
              <w:jc w:val="center"/>
              <w:rPr>
                <w:color w:val="000000"/>
                <w:sz w:val="20"/>
                <w:szCs w:val="16"/>
              </w:rPr>
            </w:pPr>
            <w:r w:rsidRPr="0011198D">
              <w:rPr>
                <w:color w:val="000000"/>
                <w:sz w:val="20"/>
                <w:szCs w:val="16"/>
              </w:rPr>
              <w:t>878</w:t>
            </w:r>
            <w:r>
              <w:rPr>
                <w:color w:val="000000"/>
                <w:sz w:val="20"/>
                <w:szCs w:val="16"/>
              </w:rPr>
              <w:t>.</w:t>
            </w:r>
            <w:r w:rsidRPr="0011198D">
              <w:rPr>
                <w:color w:val="000000"/>
                <w:sz w:val="20"/>
                <w:szCs w:val="16"/>
              </w:rPr>
              <w:t>663</w:t>
            </w:r>
            <w:r>
              <w:rPr>
                <w:color w:val="000000"/>
                <w:sz w:val="20"/>
                <w:szCs w:val="16"/>
              </w:rPr>
              <w:t>.</w:t>
            </w:r>
            <w:r w:rsidRPr="0011198D">
              <w:rPr>
                <w:color w:val="000000"/>
                <w:sz w:val="20"/>
                <w:szCs w:val="16"/>
              </w:rPr>
              <w:t>248</w:t>
            </w:r>
          </w:p>
        </w:tc>
      </w:tr>
      <w:tr w:rsidR="00BA56AD" w:rsidRPr="00666470" w14:paraId="1D6DF1B8" w14:textId="77777777" w:rsidTr="00FB5615">
        <w:trPr>
          <w:trHeight w:val="228"/>
          <w:jc w:val="center"/>
        </w:trPr>
        <w:tc>
          <w:tcPr>
            <w:tcW w:w="2596" w:type="pct"/>
            <w:shd w:val="clear" w:color="auto" w:fill="auto"/>
            <w:vAlign w:val="center"/>
            <w:hideMark/>
          </w:tcPr>
          <w:p w14:paraId="0A3D6625" w14:textId="77777777" w:rsidR="00BA56AD" w:rsidRPr="00666470" w:rsidRDefault="00BA56AD" w:rsidP="00FB5615">
            <w:pPr>
              <w:rPr>
                <w:rFonts w:cs="Arial"/>
                <w:b/>
                <w:bCs/>
                <w:color w:val="000000"/>
                <w:sz w:val="20"/>
                <w:lang w:eastAsia="es-CO"/>
              </w:rPr>
            </w:pPr>
            <w:r w:rsidRPr="00666470">
              <w:rPr>
                <w:rFonts w:cs="Arial"/>
                <w:noProof/>
                <w:sz w:val="20"/>
                <w:lang w:val="es-CO" w:eastAsia="es-CO"/>
              </w:rPr>
              <w:drawing>
                <wp:inline distT="0" distB="0" distL="0" distR="0" wp14:anchorId="75FCF297" wp14:editId="03F384EB">
                  <wp:extent cx="1068070" cy="168275"/>
                  <wp:effectExtent l="0" t="0" r="0" b="31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8070" cy="168275"/>
                          </a:xfrm>
                          <a:prstGeom prst="rect">
                            <a:avLst/>
                          </a:prstGeom>
                          <a:noFill/>
                          <a:ln>
                            <a:noFill/>
                          </a:ln>
                        </pic:spPr>
                      </pic:pic>
                    </a:graphicData>
                  </a:graphic>
                </wp:inline>
              </w:drawing>
            </w:r>
          </w:p>
        </w:tc>
        <w:tc>
          <w:tcPr>
            <w:tcW w:w="2404" w:type="pct"/>
            <w:shd w:val="clear" w:color="auto" w:fill="auto"/>
            <w:vAlign w:val="center"/>
          </w:tcPr>
          <w:p w14:paraId="70844592" w14:textId="77777777" w:rsidR="00BA56AD" w:rsidRPr="0011198D" w:rsidRDefault="00BA56AD" w:rsidP="00FB5615">
            <w:pPr>
              <w:jc w:val="center"/>
              <w:rPr>
                <w:color w:val="000000"/>
                <w:sz w:val="20"/>
                <w:szCs w:val="16"/>
              </w:rPr>
            </w:pPr>
            <w:r w:rsidRPr="0011198D">
              <w:rPr>
                <w:color w:val="000000"/>
                <w:sz w:val="20"/>
                <w:szCs w:val="16"/>
              </w:rPr>
              <w:t>43</w:t>
            </w:r>
            <w:r>
              <w:rPr>
                <w:color w:val="000000"/>
                <w:sz w:val="20"/>
                <w:szCs w:val="16"/>
              </w:rPr>
              <w:t>.</w:t>
            </w:r>
            <w:r w:rsidRPr="0011198D">
              <w:rPr>
                <w:color w:val="000000"/>
                <w:sz w:val="20"/>
                <w:szCs w:val="16"/>
              </w:rPr>
              <w:t>815</w:t>
            </w:r>
            <w:r>
              <w:rPr>
                <w:color w:val="000000"/>
                <w:sz w:val="20"/>
                <w:szCs w:val="16"/>
              </w:rPr>
              <w:t>.</w:t>
            </w:r>
            <w:r w:rsidRPr="0011198D">
              <w:rPr>
                <w:color w:val="000000"/>
                <w:sz w:val="20"/>
                <w:szCs w:val="16"/>
              </w:rPr>
              <w:t>228.23</w:t>
            </w:r>
          </w:p>
        </w:tc>
      </w:tr>
      <w:tr w:rsidR="00BA56AD" w:rsidRPr="00666470" w14:paraId="48973564" w14:textId="77777777" w:rsidTr="00FB5615">
        <w:trPr>
          <w:trHeight w:val="228"/>
          <w:jc w:val="center"/>
        </w:trPr>
        <w:tc>
          <w:tcPr>
            <w:tcW w:w="2596" w:type="pct"/>
            <w:shd w:val="clear" w:color="auto" w:fill="auto"/>
            <w:vAlign w:val="center"/>
            <w:hideMark/>
          </w:tcPr>
          <w:p w14:paraId="1DDEE71A" w14:textId="77777777" w:rsidR="00BA56AD" w:rsidRPr="00666470" w:rsidRDefault="00BA56AD" w:rsidP="00FB5615">
            <w:pPr>
              <w:rPr>
                <w:rFonts w:cs="Arial"/>
                <w:b/>
                <w:bCs/>
                <w:color w:val="000000"/>
                <w:sz w:val="20"/>
                <w:lang w:eastAsia="es-CO"/>
              </w:rPr>
            </w:pPr>
            <w:r w:rsidRPr="00666470">
              <w:rPr>
                <w:rFonts w:cs="Arial"/>
                <w:noProof/>
                <w:sz w:val="20"/>
                <w:lang w:val="es-CO" w:eastAsia="es-CO"/>
              </w:rPr>
              <w:drawing>
                <wp:inline distT="0" distB="0" distL="0" distR="0" wp14:anchorId="303EDACD" wp14:editId="765CC37C">
                  <wp:extent cx="694690" cy="15367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4690" cy="153670"/>
                          </a:xfrm>
                          <a:prstGeom prst="rect">
                            <a:avLst/>
                          </a:prstGeom>
                          <a:noFill/>
                          <a:ln>
                            <a:noFill/>
                          </a:ln>
                        </pic:spPr>
                      </pic:pic>
                    </a:graphicData>
                  </a:graphic>
                </wp:inline>
              </w:drawing>
            </w:r>
          </w:p>
        </w:tc>
        <w:tc>
          <w:tcPr>
            <w:tcW w:w="2404" w:type="pct"/>
            <w:shd w:val="clear" w:color="auto" w:fill="auto"/>
            <w:vAlign w:val="center"/>
          </w:tcPr>
          <w:p w14:paraId="0B54A053" w14:textId="77777777" w:rsidR="00BA56AD" w:rsidRPr="0011198D" w:rsidRDefault="00BA56AD" w:rsidP="00FB5615">
            <w:pPr>
              <w:jc w:val="center"/>
              <w:rPr>
                <w:color w:val="000000"/>
                <w:sz w:val="20"/>
                <w:szCs w:val="16"/>
              </w:rPr>
            </w:pPr>
            <w:r w:rsidRPr="0011198D">
              <w:rPr>
                <w:color w:val="000000"/>
                <w:sz w:val="20"/>
                <w:szCs w:val="16"/>
              </w:rPr>
              <w:t>6</w:t>
            </w:r>
            <w:r>
              <w:rPr>
                <w:color w:val="000000"/>
                <w:sz w:val="20"/>
                <w:szCs w:val="16"/>
              </w:rPr>
              <w:t>.</w:t>
            </w:r>
            <w:r w:rsidRPr="0011198D">
              <w:rPr>
                <w:color w:val="000000"/>
                <w:sz w:val="20"/>
                <w:szCs w:val="16"/>
              </w:rPr>
              <w:t>067</w:t>
            </w:r>
            <w:r>
              <w:rPr>
                <w:color w:val="000000"/>
                <w:sz w:val="20"/>
                <w:szCs w:val="16"/>
              </w:rPr>
              <w:t>.</w:t>
            </w:r>
            <w:r w:rsidRPr="0011198D">
              <w:rPr>
                <w:color w:val="000000"/>
                <w:sz w:val="20"/>
                <w:szCs w:val="16"/>
              </w:rPr>
              <w:t>125</w:t>
            </w:r>
          </w:p>
        </w:tc>
      </w:tr>
      <w:tr w:rsidR="00BA56AD" w:rsidRPr="00666470" w14:paraId="4506CF4B" w14:textId="77777777" w:rsidTr="00FB5615">
        <w:trPr>
          <w:trHeight w:val="99"/>
          <w:jc w:val="center"/>
        </w:trPr>
        <w:tc>
          <w:tcPr>
            <w:tcW w:w="2596" w:type="pct"/>
            <w:shd w:val="clear" w:color="auto" w:fill="auto"/>
            <w:vAlign w:val="center"/>
            <w:hideMark/>
          </w:tcPr>
          <w:p w14:paraId="6BE821BB" w14:textId="77777777" w:rsidR="00BA56AD" w:rsidRPr="00666470" w:rsidRDefault="00BA56AD" w:rsidP="00FB5615">
            <w:pPr>
              <w:rPr>
                <w:rFonts w:cs="Arial"/>
                <w:b/>
                <w:bCs/>
                <w:color w:val="000000"/>
                <w:sz w:val="20"/>
                <w:lang w:eastAsia="es-CO"/>
              </w:rPr>
            </w:pPr>
            <w:r w:rsidRPr="00666470">
              <w:rPr>
                <w:rFonts w:cs="Arial"/>
                <w:noProof/>
                <w:sz w:val="20"/>
                <w:lang w:val="es-CO" w:eastAsia="es-CO"/>
              </w:rPr>
              <w:drawing>
                <wp:inline distT="0" distB="0" distL="0" distR="0" wp14:anchorId="5FC46428" wp14:editId="0C4332F8">
                  <wp:extent cx="841375" cy="15367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1375" cy="153670"/>
                          </a:xfrm>
                          <a:prstGeom prst="rect">
                            <a:avLst/>
                          </a:prstGeom>
                          <a:noFill/>
                          <a:ln>
                            <a:noFill/>
                          </a:ln>
                        </pic:spPr>
                      </pic:pic>
                    </a:graphicData>
                  </a:graphic>
                </wp:inline>
              </w:drawing>
            </w:r>
          </w:p>
        </w:tc>
        <w:tc>
          <w:tcPr>
            <w:tcW w:w="2404" w:type="pct"/>
            <w:shd w:val="clear" w:color="auto" w:fill="auto"/>
            <w:vAlign w:val="center"/>
          </w:tcPr>
          <w:p w14:paraId="4362EC0F" w14:textId="77777777" w:rsidR="00BA56AD" w:rsidRPr="0011198D" w:rsidRDefault="00BA56AD" w:rsidP="00FB5615">
            <w:pPr>
              <w:jc w:val="center"/>
              <w:rPr>
                <w:color w:val="000000"/>
                <w:sz w:val="20"/>
                <w:szCs w:val="16"/>
              </w:rPr>
            </w:pPr>
            <w:r w:rsidRPr="0011198D">
              <w:rPr>
                <w:color w:val="000000"/>
                <w:sz w:val="20"/>
                <w:szCs w:val="16"/>
              </w:rPr>
              <w:t>5</w:t>
            </w:r>
            <w:r>
              <w:rPr>
                <w:color w:val="000000"/>
                <w:sz w:val="20"/>
                <w:szCs w:val="16"/>
              </w:rPr>
              <w:t>.</w:t>
            </w:r>
            <w:r w:rsidRPr="0011198D">
              <w:rPr>
                <w:color w:val="000000"/>
                <w:sz w:val="20"/>
                <w:szCs w:val="16"/>
              </w:rPr>
              <w:t>909</w:t>
            </w:r>
            <w:r>
              <w:rPr>
                <w:color w:val="000000"/>
                <w:sz w:val="20"/>
                <w:szCs w:val="16"/>
              </w:rPr>
              <w:t>.</w:t>
            </w:r>
            <w:r w:rsidRPr="0011198D">
              <w:rPr>
                <w:color w:val="000000"/>
                <w:sz w:val="20"/>
                <w:szCs w:val="16"/>
              </w:rPr>
              <w:t>437</w:t>
            </w:r>
          </w:p>
        </w:tc>
      </w:tr>
    </w:tbl>
    <w:p w14:paraId="314B53E7" w14:textId="77777777" w:rsidR="00BA56AD" w:rsidRPr="00666470" w:rsidRDefault="00BA56AD" w:rsidP="00BA56AD">
      <w:pPr>
        <w:widowControl w:val="0"/>
        <w:adjustRightInd w:val="0"/>
        <w:spacing w:after="240"/>
        <w:ind w:right="23"/>
        <w:jc w:val="center"/>
        <w:rPr>
          <w:rFonts w:cs="Arial"/>
          <w:sz w:val="16"/>
        </w:rPr>
      </w:pPr>
      <w:r w:rsidRPr="00666470">
        <w:rPr>
          <w:rFonts w:cs="Arial"/>
          <w:sz w:val="16"/>
        </w:rPr>
        <w:t>Cifras en pesos del 31 de diciembre de 2017.</w:t>
      </w:r>
    </w:p>
    <w:p w14:paraId="31DE8EB9" w14:textId="77777777" w:rsidR="00BA56AD" w:rsidRDefault="00BA56AD" w:rsidP="00BA56AD">
      <w:pPr>
        <w:widowControl w:val="0"/>
        <w:adjustRightInd w:val="0"/>
        <w:spacing w:before="240" w:after="240"/>
        <w:ind w:right="23"/>
        <w:rPr>
          <w:shd w:val="clear" w:color="auto" w:fill="FFFFFF"/>
        </w:rPr>
      </w:pPr>
      <w:r w:rsidRPr="00E84937">
        <w:rPr>
          <w:iCs/>
          <w:lang w:val="es-ES_tradnl"/>
        </w:rPr>
        <w:lastRenderedPageBreak/>
        <w:t>Teniendo en cuenta que</w:t>
      </w:r>
      <w:r>
        <w:rPr>
          <w:iCs/>
          <w:lang w:val="es-ES_tradnl"/>
        </w:rPr>
        <w:t xml:space="preserve"> se deben considerar los aspectos relacionados en los numerales 4.1.1 y 4.1.2 de la presente resolución que afectan </w:t>
      </w:r>
      <w:r w:rsidRPr="00E84937">
        <w:rPr>
          <w:iCs/>
          <w:lang w:val="es-ES_tradnl"/>
        </w:rPr>
        <w:t xml:space="preserve">el cálculo del cargo aprobado mediante la Resolución CREG </w:t>
      </w:r>
      <w:r>
        <w:rPr>
          <w:iCs/>
          <w:lang w:val="es-ES_tradnl"/>
        </w:rPr>
        <w:t>005</w:t>
      </w:r>
      <w:r w:rsidRPr="00E84937">
        <w:rPr>
          <w:iCs/>
          <w:lang w:val="es-ES_tradnl"/>
        </w:rPr>
        <w:t xml:space="preserve"> de 201</w:t>
      </w:r>
      <w:r>
        <w:rPr>
          <w:iCs/>
          <w:lang w:val="es-ES_tradnl"/>
        </w:rPr>
        <w:t xml:space="preserve">9, </w:t>
      </w:r>
      <w:r w:rsidRPr="00E84937">
        <w:rPr>
          <w:iCs/>
          <w:lang w:val="es-ES_tradnl"/>
        </w:rPr>
        <w:t xml:space="preserve">se considera necesario calcular nuevamente el cargo de distribución para usuarios de uso residencial y el cargo de distribución para usuarios diferentes a los de uso residencial para el mercado conformado </w:t>
      </w:r>
      <w:r w:rsidRPr="002400D1">
        <w:rPr>
          <w:shd w:val="clear" w:color="auto" w:fill="FFFFFF"/>
        </w:rPr>
        <w:t>por los municipios de Belén de Los Andaquies, Montañita, Morelia, Solita, Valparaíso y Albania, en el departamento del Caquetá</w:t>
      </w:r>
      <w:r>
        <w:rPr>
          <w:shd w:val="clear" w:color="auto" w:fill="FFFFFF"/>
        </w:rPr>
        <w:t>, de la siguiente manera:</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767"/>
        <w:gridCol w:w="2111"/>
      </w:tblGrid>
      <w:tr w:rsidR="00BA56AD" w:rsidRPr="00202111" w14:paraId="66B5E897" w14:textId="77777777" w:rsidTr="00FB5615">
        <w:trPr>
          <w:trHeight w:val="468"/>
        </w:trPr>
        <w:tc>
          <w:tcPr>
            <w:tcW w:w="7972" w:type="dxa"/>
            <w:gridSpan w:val="3"/>
            <w:shd w:val="clear" w:color="auto" w:fill="D9D9D9" w:themeFill="background1" w:themeFillShade="D9"/>
            <w:vAlign w:val="center"/>
          </w:tcPr>
          <w:p w14:paraId="421625D3" w14:textId="77777777" w:rsidR="00BA56AD" w:rsidRPr="00BA5DDF" w:rsidRDefault="00BA56AD" w:rsidP="00FB5615">
            <w:pPr>
              <w:widowControl w:val="0"/>
              <w:adjustRightInd w:val="0"/>
              <w:ind w:right="20"/>
              <w:jc w:val="center"/>
              <w:rPr>
                <w:rFonts w:cs="Arial"/>
                <w:i/>
                <w:sz w:val="20"/>
              </w:rPr>
            </w:pPr>
            <w:r w:rsidRPr="00BA5DDF">
              <w:rPr>
                <w:b/>
                <w:bCs/>
                <w:i/>
                <w:color w:val="000000"/>
                <w:sz w:val="20"/>
                <w:szCs w:val="22"/>
                <w:lang w:eastAsia="es-CO"/>
              </w:rPr>
              <w:t>Usuarios de Uso Residencial</w:t>
            </w:r>
            <w:r>
              <w:rPr>
                <w:b/>
                <w:bCs/>
                <w:i/>
                <w:color w:val="000000"/>
                <w:sz w:val="20"/>
                <w:szCs w:val="22"/>
                <w:lang w:eastAsia="es-CO"/>
              </w:rPr>
              <w:t xml:space="preserve"> y Diferentes a los de Uso Residencial</w:t>
            </w:r>
          </w:p>
        </w:tc>
      </w:tr>
      <w:tr w:rsidR="00BA56AD" w:rsidRPr="00202111" w14:paraId="1B026803" w14:textId="77777777" w:rsidTr="00FB5615">
        <w:trPr>
          <w:trHeight w:val="345"/>
        </w:trPr>
        <w:tc>
          <w:tcPr>
            <w:tcW w:w="5094" w:type="dxa"/>
            <w:shd w:val="clear" w:color="auto" w:fill="D9D9D9" w:themeFill="background1" w:themeFillShade="D9"/>
            <w:vAlign w:val="center"/>
          </w:tcPr>
          <w:p w14:paraId="6BA8D9FF" w14:textId="77777777" w:rsidR="00BA56AD" w:rsidRPr="00BA5DDF" w:rsidRDefault="00BA56AD" w:rsidP="00FB5615">
            <w:pPr>
              <w:widowControl w:val="0"/>
              <w:adjustRightInd w:val="0"/>
              <w:ind w:right="20"/>
              <w:jc w:val="center"/>
              <w:rPr>
                <w:rFonts w:cs="Arial"/>
                <w:i/>
                <w:sz w:val="20"/>
                <w:szCs w:val="22"/>
              </w:rPr>
            </w:pPr>
            <w:r w:rsidRPr="00BA5DDF">
              <w:rPr>
                <w:b/>
                <w:bCs/>
                <w:i/>
                <w:color w:val="000000"/>
                <w:sz w:val="20"/>
                <w:szCs w:val="22"/>
                <w:lang w:val="es-ES_tradnl" w:eastAsia="es-CO"/>
              </w:rPr>
              <w:t>Componente</w:t>
            </w:r>
          </w:p>
        </w:tc>
        <w:tc>
          <w:tcPr>
            <w:tcW w:w="767" w:type="dxa"/>
            <w:shd w:val="clear" w:color="auto" w:fill="D9D9D9" w:themeFill="background1" w:themeFillShade="D9"/>
            <w:vAlign w:val="center"/>
          </w:tcPr>
          <w:p w14:paraId="47BFF01E" w14:textId="77777777" w:rsidR="00BA56AD" w:rsidRPr="00BA5DDF" w:rsidRDefault="00BA56AD" w:rsidP="00FB5615">
            <w:pPr>
              <w:widowControl w:val="0"/>
              <w:adjustRightInd w:val="0"/>
              <w:ind w:right="20"/>
              <w:jc w:val="center"/>
              <w:rPr>
                <w:rFonts w:cs="Arial"/>
                <w:i/>
                <w:sz w:val="20"/>
                <w:szCs w:val="22"/>
              </w:rPr>
            </w:pPr>
          </w:p>
        </w:tc>
        <w:tc>
          <w:tcPr>
            <w:tcW w:w="2111" w:type="dxa"/>
            <w:shd w:val="clear" w:color="auto" w:fill="D9D9D9" w:themeFill="background1" w:themeFillShade="D9"/>
            <w:vAlign w:val="center"/>
          </w:tcPr>
          <w:p w14:paraId="296B78B4" w14:textId="77777777" w:rsidR="00BA56AD" w:rsidRPr="00BA5DDF" w:rsidRDefault="00BA56AD" w:rsidP="00FB5615">
            <w:pPr>
              <w:widowControl w:val="0"/>
              <w:adjustRightInd w:val="0"/>
              <w:ind w:right="20"/>
              <w:jc w:val="center"/>
              <w:rPr>
                <w:rFonts w:cs="Arial"/>
                <w:i/>
                <w:sz w:val="20"/>
                <w:szCs w:val="22"/>
              </w:rPr>
            </w:pPr>
            <w:r w:rsidRPr="00BA5DDF">
              <w:rPr>
                <w:rFonts w:cs="Arial"/>
                <w:b/>
                <w:bCs/>
                <w:i/>
                <w:color w:val="000000"/>
                <w:sz w:val="20"/>
                <w:szCs w:val="22"/>
                <w:lang w:eastAsia="es-CO"/>
              </w:rPr>
              <w:t>2019 en adelante</w:t>
            </w:r>
          </w:p>
        </w:tc>
      </w:tr>
      <w:tr w:rsidR="00BA56AD" w:rsidRPr="00202111" w14:paraId="164E6A14" w14:textId="77777777" w:rsidTr="00FB5615">
        <w:trPr>
          <w:trHeight w:val="438"/>
        </w:trPr>
        <w:tc>
          <w:tcPr>
            <w:tcW w:w="5094" w:type="dxa"/>
            <w:shd w:val="clear" w:color="auto" w:fill="auto"/>
            <w:vAlign w:val="center"/>
          </w:tcPr>
          <w:p w14:paraId="465CEDAB" w14:textId="77777777" w:rsidR="00BA56AD" w:rsidRPr="00BA5DDF" w:rsidRDefault="00BA56AD" w:rsidP="00FB5615">
            <w:pPr>
              <w:widowControl w:val="0"/>
              <w:adjustRightInd w:val="0"/>
              <w:ind w:right="20"/>
              <w:rPr>
                <w:rFonts w:cs="Arial"/>
                <w:i/>
                <w:sz w:val="20"/>
                <w:szCs w:val="22"/>
              </w:rPr>
            </w:pPr>
            <w:r w:rsidRPr="00BA5DDF">
              <w:rPr>
                <w:b/>
                <w:bCs/>
                <w:i/>
                <w:color w:val="000000"/>
                <w:sz w:val="20"/>
                <w:szCs w:val="22"/>
                <w:lang w:val="es-ES_tradnl" w:eastAsia="es-CO"/>
              </w:rPr>
              <w:t>Cargo de distribución Total</w:t>
            </w:r>
          </w:p>
        </w:tc>
        <w:tc>
          <w:tcPr>
            <w:tcW w:w="767" w:type="dxa"/>
            <w:shd w:val="clear" w:color="auto" w:fill="auto"/>
            <w:vAlign w:val="center"/>
          </w:tcPr>
          <w:p w14:paraId="761683E6" w14:textId="77777777" w:rsidR="00BA56AD" w:rsidRPr="00BA5DDF" w:rsidRDefault="00BA56AD" w:rsidP="00FB5615">
            <w:pPr>
              <w:widowControl w:val="0"/>
              <w:adjustRightInd w:val="0"/>
              <w:ind w:right="20"/>
              <w:jc w:val="center"/>
              <w:rPr>
                <w:rFonts w:cs="Arial"/>
                <w:i/>
                <w:sz w:val="20"/>
                <w:szCs w:val="22"/>
              </w:rPr>
            </w:pPr>
            <w:r w:rsidRPr="00BA5DDF">
              <w:rPr>
                <w:b/>
                <w:bCs/>
                <w:i/>
                <w:color w:val="000000"/>
                <w:sz w:val="20"/>
                <w:szCs w:val="22"/>
                <w:lang w:val="es-ES_tradnl" w:eastAsia="es-CO"/>
              </w:rPr>
              <w:t>$/m</w:t>
            </w:r>
            <w:r w:rsidRPr="00BA5DDF">
              <w:rPr>
                <w:b/>
                <w:bCs/>
                <w:i/>
                <w:color w:val="000000"/>
                <w:sz w:val="20"/>
                <w:szCs w:val="22"/>
                <w:vertAlign w:val="superscript"/>
                <w:lang w:val="es-ES_tradnl" w:eastAsia="es-CO"/>
              </w:rPr>
              <w:t>3</w:t>
            </w:r>
          </w:p>
        </w:tc>
        <w:tc>
          <w:tcPr>
            <w:tcW w:w="2111" w:type="dxa"/>
            <w:shd w:val="clear" w:color="auto" w:fill="auto"/>
            <w:vAlign w:val="center"/>
          </w:tcPr>
          <w:p w14:paraId="58CEF308" w14:textId="77777777" w:rsidR="00BA56AD" w:rsidRPr="00BA5DDF" w:rsidRDefault="00BA56AD" w:rsidP="00FB5615">
            <w:pPr>
              <w:widowControl w:val="0"/>
              <w:adjustRightInd w:val="0"/>
              <w:ind w:right="20"/>
              <w:jc w:val="center"/>
              <w:rPr>
                <w:rFonts w:cs="Arial"/>
                <w:b/>
                <w:i/>
                <w:sz w:val="20"/>
                <w:szCs w:val="22"/>
              </w:rPr>
            </w:pPr>
            <w:r>
              <w:rPr>
                <w:rFonts w:cs="Arial"/>
                <w:b/>
                <w:i/>
                <w:sz w:val="20"/>
                <w:szCs w:val="22"/>
              </w:rPr>
              <w:t>1.348,86</w:t>
            </w:r>
          </w:p>
        </w:tc>
      </w:tr>
      <w:tr w:rsidR="00BA56AD" w:rsidRPr="00202111" w14:paraId="50933A97" w14:textId="77777777" w:rsidTr="00FB5615">
        <w:trPr>
          <w:trHeight w:val="438"/>
        </w:trPr>
        <w:tc>
          <w:tcPr>
            <w:tcW w:w="5094" w:type="dxa"/>
            <w:shd w:val="clear" w:color="auto" w:fill="auto"/>
            <w:vAlign w:val="center"/>
          </w:tcPr>
          <w:p w14:paraId="59483185" w14:textId="77777777" w:rsidR="00BA56AD" w:rsidRPr="00BA5DDF" w:rsidRDefault="00BA56AD" w:rsidP="00FB5615">
            <w:pPr>
              <w:widowControl w:val="0"/>
              <w:adjustRightInd w:val="0"/>
              <w:ind w:right="20"/>
              <w:rPr>
                <w:rFonts w:cs="Arial"/>
                <w:i/>
                <w:sz w:val="20"/>
                <w:szCs w:val="22"/>
              </w:rPr>
            </w:pPr>
            <w:r w:rsidRPr="00BA5DDF">
              <w:rPr>
                <w:i/>
                <w:color w:val="000000"/>
                <w:sz w:val="20"/>
                <w:szCs w:val="22"/>
                <w:lang w:val="es-CO" w:eastAsia="es-CO"/>
              </w:rPr>
              <w:t xml:space="preserve">Componente de inversión </w:t>
            </w:r>
          </w:p>
        </w:tc>
        <w:tc>
          <w:tcPr>
            <w:tcW w:w="767" w:type="dxa"/>
            <w:shd w:val="clear" w:color="auto" w:fill="auto"/>
            <w:vAlign w:val="center"/>
          </w:tcPr>
          <w:p w14:paraId="41A09442" w14:textId="77777777" w:rsidR="00BA56AD" w:rsidRPr="00BA5DDF" w:rsidRDefault="00BA56AD" w:rsidP="00FB5615">
            <w:pPr>
              <w:widowControl w:val="0"/>
              <w:adjustRightInd w:val="0"/>
              <w:ind w:right="20"/>
              <w:jc w:val="center"/>
              <w:rPr>
                <w:rFonts w:cs="Arial"/>
                <w:i/>
                <w:sz w:val="20"/>
                <w:szCs w:val="22"/>
              </w:rPr>
            </w:pPr>
            <w:r w:rsidRPr="00BA5DDF">
              <w:rPr>
                <w:i/>
                <w:color w:val="000000"/>
                <w:sz w:val="20"/>
                <w:szCs w:val="22"/>
                <w:lang w:val="es-ES_tradnl" w:eastAsia="es-CO"/>
              </w:rPr>
              <w:t>$/m</w:t>
            </w:r>
            <w:r w:rsidRPr="00BA5DDF">
              <w:rPr>
                <w:i/>
                <w:color w:val="000000"/>
                <w:sz w:val="20"/>
                <w:szCs w:val="22"/>
                <w:vertAlign w:val="superscript"/>
                <w:lang w:val="es-ES_tradnl" w:eastAsia="es-CO"/>
              </w:rPr>
              <w:t>3</w:t>
            </w:r>
          </w:p>
        </w:tc>
        <w:tc>
          <w:tcPr>
            <w:tcW w:w="2111" w:type="dxa"/>
            <w:shd w:val="clear" w:color="auto" w:fill="auto"/>
            <w:vAlign w:val="center"/>
          </w:tcPr>
          <w:p w14:paraId="486472C1" w14:textId="77777777" w:rsidR="00BA56AD" w:rsidRPr="00BA5DDF" w:rsidRDefault="00BA56AD" w:rsidP="00FB5615">
            <w:pPr>
              <w:widowControl w:val="0"/>
              <w:adjustRightInd w:val="0"/>
              <w:ind w:right="20"/>
              <w:jc w:val="center"/>
              <w:rPr>
                <w:rFonts w:cs="Arial"/>
                <w:i/>
                <w:sz w:val="20"/>
                <w:szCs w:val="22"/>
              </w:rPr>
            </w:pPr>
            <w:r>
              <w:rPr>
                <w:rFonts w:cs="Arial"/>
                <w:i/>
                <w:sz w:val="20"/>
                <w:szCs w:val="22"/>
              </w:rPr>
              <w:t>898,30</w:t>
            </w:r>
          </w:p>
        </w:tc>
      </w:tr>
      <w:tr w:rsidR="00BA56AD" w:rsidRPr="00202111" w14:paraId="26811773" w14:textId="77777777" w:rsidTr="00FB5615">
        <w:trPr>
          <w:trHeight w:val="439"/>
        </w:trPr>
        <w:tc>
          <w:tcPr>
            <w:tcW w:w="5094" w:type="dxa"/>
            <w:shd w:val="clear" w:color="auto" w:fill="auto"/>
            <w:vAlign w:val="center"/>
          </w:tcPr>
          <w:p w14:paraId="3B3BA2F3" w14:textId="77777777" w:rsidR="00BA56AD" w:rsidRPr="00BA5DDF" w:rsidRDefault="00BA56AD" w:rsidP="00FB5615">
            <w:pPr>
              <w:widowControl w:val="0"/>
              <w:adjustRightInd w:val="0"/>
              <w:ind w:right="20"/>
              <w:rPr>
                <w:i/>
                <w:color w:val="000000"/>
                <w:sz w:val="20"/>
                <w:szCs w:val="22"/>
                <w:lang w:val="es-CO" w:eastAsia="es-CO"/>
              </w:rPr>
            </w:pPr>
            <w:r w:rsidRPr="00BA5DDF">
              <w:rPr>
                <w:i/>
                <w:color w:val="000000"/>
                <w:sz w:val="20"/>
                <w:szCs w:val="22"/>
                <w:lang w:val="es-CO" w:eastAsia="es-CO"/>
              </w:rPr>
              <w:t>Componente Gastos AOM</w:t>
            </w:r>
          </w:p>
        </w:tc>
        <w:tc>
          <w:tcPr>
            <w:tcW w:w="767" w:type="dxa"/>
            <w:shd w:val="clear" w:color="auto" w:fill="auto"/>
            <w:vAlign w:val="center"/>
          </w:tcPr>
          <w:p w14:paraId="79E713EC" w14:textId="77777777" w:rsidR="00BA56AD" w:rsidRPr="00BA5DDF" w:rsidRDefault="00BA56AD" w:rsidP="00FB5615">
            <w:pPr>
              <w:widowControl w:val="0"/>
              <w:adjustRightInd w:val="0"/>
              <w:ind w:right="20"/>
              <w:jc w:val="center"/>
              <w:rPr>
                <w:rFonts w:cs="Arial"/>
                <w:i/>
                <w:sz w:val="20"/>
                <w:szCs w:val="22"/>
              </w:rPr>
            </w:pPr>
            <w:r w:rsidRPr="00BA5DDF">
              <w:rPr>
                <w:i/>
                <w:color w:val="000000"/>
                <w:sz w:val="20"/>
                <w:szCs w:val="22"/>
                <w:lang w:val="es-ES_tradnl" w:eastAsia="es-CO"/>
              </w:rPr>
              <w:t>$/m</w:t>
            </w:r>
            <w:r w:rsidRPr="00BA5DDF">
              <w:rPr>
                <w:i/>
                <w:color w:val="000000"/>
                <w:sz w:val="20"/>
                <w:szCs w:val="22"/>
                <w:vertAlign w:val="superscript"/>
                <w:lang w:val="es-ES_tradnl" w:eastAsia="es-CO"/>
              </w:rPr>
              <w:t>3</w:t>
            </w:r>
          </w:p>
        </w:tc>
        <w:tc>
          <w:tcPr>
            <w:tcW w:w="2111" w:type="dxa"/>
            <w:shd w:val="clear" w:color="auto" w:fill="auto"/>
            <w:vAlign w:val="center"/>
          </w:tcPr>
          <w:p w14:paraId="30F44829" w14:textId="77777777" w:rsidR="00BA56AD" w:rsidRPr="00BA5DDF" w:rsidRDefault="00BA56AD" w:rsidP="00FB5615">
            <w:pPr>
              <w:widowControl w:val="0"/>
              <w:adjustRightInd w:val="0"/>
              <w:ind w:right="20"/>
              <w:jc w:val="center"/>
              <w:rPr>
                <w:rFonts w:cs="Arial"/>
                <w:i/>
                <w:sz w:val="20"/>
                <w:szCs w:val="22"/>
              </w:rPr>
            </w:pPr>
            <w:r>
              <w:rPr>
                <w:rFonts w:cs="Arial"/>
                <w:i/>
                <w:sz w:val="20"/>
                <w:szCs w:val="22"/>
              </w:rPr>
              <w:t>450,56</w:t>
            </w:r>
          </w:p>
        </w:tc>
      </w:tr>
    </w:tbl>
    <w:p w14:paraId="416D665A" w14:textId="77777777" w:rsidR="00BA56AD" w:rsidRPr="00E84937" w:rsidRDefault="00BA56AD" w:rsidP="00BA56AD">
      <w:pPr>
        <w:widowControl w:val="0"/>
        <w:adjustRightInd w:val="0"/>
        <w:spacing w:before="240" w:after="240"/>
        <w:ind w:right="23"/>
        <w:rPr>
          <w:iCs/>
          <w:lang w:val="es-ES_tradnl"/>
        </w:rPr>
      </w:pPr>
    </w:p>
    <w:p w14:paraId="1CFC60CA" w14:textId="77777777" w:rsidR="00BA56AD" w:rsidRPr="00514F99" w:rsidRDefault="00BA56AD" w:rsidP="00BA56AD">
      <w:pPr>
        <w:suppressAutoHyphens/>
        <w:ind w:right="222"/>
        <w:rPr>
          <w:b/>
        </w:rPr>
      </w:pPr>
      <w:r>
        <w:rPr>
          <w:b/>
        </w:rPr>
        <w:t>4</w:t>
      </w:r>
      <w:r w:rsidRPr="00514F99">
        <w:rPr>
          <w:b/>
        </w:rPr>
        <w:t>.</w:t>
      </w:r>
      <w:r>
        <w:rPr>
          <w:b/>
        </w:rPr>
        <w:t>2.</w:t>
      </w:r>
      <w:r w:rsidRPr="00514F99">
        <w:rPr>
          <w:b/>
        </w:rPr>
        <w:t xml:space="preserve"> </w:t>
      </w:r>
      <w:r w:rsidRPr="00514F99">
        <w:rPr>
          <w:rFonts w:cs="Arial"/>
          <w:b/>
          <w:lang w:val="es-ES_tradnl"/>
        </w:rPr>
        <w:t>C.S.P. SOSTENIBLES S.A. E.S.P.</w:t>
      </w:r>
    </w:p>
    <w:p w14:paraId="1919F3E9" w14:textId="77777777" w:rsidR="00BA56AD" w:rsidRDefault="00BA56AD" w:rsidP="00BA56AD">
      <w:pPr>
        <w:tabs>
          <w:tab w:val="left" w:pos="426"/>
        </w:tabs>
        <w:rPr>
          <w:spacing w:val="-3"/>
          <w:szCs w:val="20"/>
          <w:lang w:val="es-ES_tradnl"/>
        </w:rPr>
      </w:pPr>
    </w:p>
    <w:p w14:paraId="13AEF2E9" w14:textId="77777777" w:rsidR="00BA56AD" w:rsidRPr="00C25A63" w:rsidRDefault="00BA56AD" w:rsidP="00BA56AD">
      <w:pPr>
        <w:suppressAutoHyphens/>
        <w:ind w:right="222"/>
        <w:rPr>
          <w:lang w:val="es-CO"/>
        </w:rPr>
      </w:pPr>
      <w:r w:rsidRPr="00C25A63">
        <w:rPr>
          <w:lang w:val="es-CO"/>
        </w:rPr>
        <w:t>Conforme a lo estipulado en la</w:t>
      </w:r>
      <w:r>
        <w:rPr>
          <w:lang w:val="es-CO"/>
        </w:rPr>
        <w:t xml:space="preserve"> metodología contenida en </w:t>
      </w:r>
      <w:r w:rsidRPr="00C25A63">
        <w:rPr>
          <w:lang w:val="es-CO"/>
        </w:rPr>
        <w:t>las Resoluciones CREG 202 de 2013, CREG 138 de 2014, CREG 090 y 132 de 2018, relacionado con las solicitudes de cargos tramitados paralelamente</w:t>
      </w:r>
      <w:r>
        <w:rPr>
          <w:lang w:val="es-CO"/>
        </w:rPr>
        <w:t xml:space="preserve"> establecida en el numeral 6.6 del artículo 6</w:t>
      </w:r>
      <w:r w:rsidRPr="00C25A63">
        <w:rPr>
          <w:lang w:val="es-CO"/>
        </w:rPr>
        <w:t xml:space="preserve">, la CREG evalúa las solicitudes tarifarias y se aprobarán los cargos de distribución con base en la información de aquella solicitud que cumpla de mejor manera los indicadores en relación con los costos totales de prestación del servicio al usuario y la cobertura. </w:t>
      </w:r>
    </w:p>
    <w:p w14:paraId="39A99023" w14:textId="77777777" w:rsidR="00BA56AD" w:rsidRDefault="00BA56AD" w:rsidP="00BA56AD">
      <w:pPr>
        <w:tabs>
          <w:tab w:val="left" w:pos="426"/>
        </w:tabs>
        <w:rPr>
          <w:spacing w:val="-3"/>
          <w:szCs w:val="20"/>
          <w:lang w:val="es-ES_tradnl"/>
        </w:rPr>
      </w:pPr>
    </w:p>
    <w:p w14:paraId="390B7119" w14:textId="77777777" w:rsidR="00BA56AD" w:rsidRPr="00C25A63" w:rsidRDefault="00BA56AD" w:rsidP="00BA56AD">
      <w:pPr>
        <w:suppressAutoHyphens/>
        <w:ind w:right="222"/>
        <w:rPr>
          <w:lang w:val="es-CO"/>
        </w:rPr>
      </w:pPr>
      <w:r w:rsidRPr="00C25A63">
        <w:rPr>
          <w:lang w:val="es-CO"/>
        </w:rPr>
        <w:t xml:space="preserve">De lo anterior y tal como se describe en el Documento CREG </w:t>
      </w:r>
      <w:r>
        <w:rPr>
          <w:lang w:val="es-CO"/>
        </w:rPr>
        <w:t>005</w:t>
      </w:r>
      <w:r w:rsidRPr="00C25A63">
        <w:rPr>
          <w:lang w:val="es-CO"/>
        </w:rPr>
        <w:t xml:space="preserve"> de 2019</w:t>
      </w:r>
      <w:r>
        <w:rPr>
          <w:lang w:val="es-CO"/>
        </w:rPr>
        <w:t>,</w:t>
      </w:r>
      <w:r w:rsidRPr="00C25A63">
        <w:rPr>
          <w:lang w:val="es-CO"/>
        </w:rPr>
        <w:t xml:space="preserve"> la solicitud presentada por ALCANOS DE COLOMBIA S.A. E.S.P. presentó mejores indicadores de cobertura y costos totales de prestación del servicio que la solicitud presentada por la empresa C.S.P. SOSTENIBLES S.A. E.S.P.  </w:t>
      </w:r>
    </w:p>
    <w:p w14:paraId="06FE9285" w14:textId="77777777" w:rsidR="00BA56AD" w:rsidRDefault="00BA56AD" w:rsidP="00BA56AD">
      <w:pPr>
        <w:rPr>
          <w:rFonts w:ascii="Arial" w:hAnsi="Arial" w:cs="Arial"/>
          <w:sz w:val="22"/>
          <w:szCs w:val="22"/>
        </w:rPr>
      </w:pPr>
    </w:p>
    <w:p w14:paraId="6F47A1E6" w14:textId="77777777" w:rsidR="00BA56AD" w:rsidRDefault="00BA56AD" w:rsidP="00BA56AD">
      <w:pPr>
        <w:suppressAutoHyphens/>
        <w:ind w:right="222"/>
        <w:rPr>
          <w:lang w:val="es-CO"/>
        </w:rPr>
      </w:pPr>
      <w:r w:rsidRPr="00C25A63">
        <w:rPr>
          <w:lang w:val="es-CO"/>
        </w:rPr>
        <w:t>De esta manera, la mejor opción tarifaria para los usuarios finales se present</w:t>
      </w:r>
      <w:r>
        <w:rPr>
          <w:lang w:val="es-CO"/>
        </w:rPr>
        <w:t>ó</w:t>
      </w:r>
      <w:r w:rsidRPr="00C25A63">
        <w:rPr>
          <w:lang w:val="es-CO"/>
        </w:rPr>
        <w:t xml:space="preserve"> en el mercado relevante propuesto por la empresa ALCANOS DE COLOMBIA S.A. E.S.P., </w:t>
      </w:r>
      <w:r>
        <w:rPr>
          <w:lang w:val="es-CO"/>
        </w:rPr>
        <w:t xml:space="preserve">conformado por los municipios de </w:t>
      </w:r>
      <w:r w:rsidRPr="007121EC">
        <w:rPr>
          <w:lang w:val="es-CO"/>
        </w:rPr>
        <w:t>Belén de los Andaquies, Montañita, Morelia, Solita, Valparaíso y Albania en el departamento del Caquetá</w:t>
      </w:r>
      <w:r>
        <w:rPr>
          <w:lang w:val="es-CO"/>
        </w:rPr>
        <w:t xml:space="preserve">, </w:t>
      </w:r>
      <w:r w:rsidRPr="00C25A63">
        <w:rPr>
          <w:lang w:val="es-CO"/>
        </w:rPr>
        <w:t>por lo que se prop</w:t>
      </w:r>
      <w:r>
        <w:rPr>
          <w:lang w:val="es-CO"/>
        </w:rPr>
        <w:t>uso</w:t>
      </w:r>
      <w:r w:rsidRPr="00C25A63">
        <w:rPr>
          <w:lang w:val="es-CO"/>
        </w:rPr>
        <w:t xml:space="preserve"> </w:t>
      </w:r>
      <w:r>
        <w:rPr>
          <w:lang w:val="es-CO"/>
        </w:rPr>
        <w:t xml:space="preserve">mediante la Resolución CREG 005 de 2019, </w:t>
      </w:r>
      <w:r w:rsidRPr="00C25A63">
        <w:rPr>
          <w:lang w:val="es-CO"/>
        </w:rPr>
        <w:t xml:space="preserve">aprobar </w:t>
      </w:r>
      <w:r>
        <w:rPr>
          <w:lang w:val="es-CO"/>
        </w:rPr>
        <w:t>dicho</w:t>
      </w:r>
      <w:r w:rsidRPr="00C25A63">
        <w:rPr>
          <w:lang w:val="es-CO"/>
        </w:rPr>
        <w:t xml:space="preserve"> mercado junto con los cargos de distribución calculados con la información suministrada por esta empresa</w:t>
      </w:r>
      <w:r>
        <w:rPr>
          <w:lang w:val="es-CO"/>
        </w:rPr>
        <w:t xml:space="preserve">, en la cual la prestación del servicio se realizará a través de gas natural comprimido. </w:t>
      </w:r>
    </w:p>
    <w:p w14:paraId="2A1AED7E" w14:textId="77777777" w:rsidR="00BA56AD" w:rsidRDefault="00BA56AD" w:rsidP="00BA56AD">
      <w:pPr>
        <w:suppressAutoHyphens/>
        <w:ind w:right="222"/>
        <w:rPr>
          <w:lang w:val="es-CO"/>
        </w:rPr>
      </w:pPr>
    </w:p>
    <w:p w14:paraId="6615B4D7" w14:textId="77777777" w:rsidR="00BA56AD" w:rsidRDefault="00BA56AD" w:rsidP="00BA56AD">
      <w:pPr>
        <w:suppressAutoHyphens/>
        <w:ind w:right="222"/>
        <w:rPr>
          <w:lang w:val="es-ES_tradnl"/>
        </w:rPr>
      </w:pPr>
      <w:r>
        <w:rPr>
          <w:lang w:val="es-CO"/>
        </w:rPr>
        <w:t>E</w:t>
      </w:r>
      <w:r w:rsidRPr="00A0412B">
        <w:rPr>
          <w:lang w:val="es-ES_tradnl"/>
        </w:rPr>
        <w:t xml:space="preserve">l </w:t>
      </w:r>
      <w:r>
        <w:rPr>
          <w:lang w:val="es-ES_tradnl"/>
        </w:rPr>
        <w:t>a</w:t>
      </w:r>
      <w:r w:rsidRPr="00A0412B">
        <w:rPr>
          <w:lang w:val="es-ES_tradnl"/>
        </w:rPr>
        <w:t>rtículo 2 de la Resolución CREG 202 de 2013, define el cargo de distribución así:</w:t>
      </w:r>
    </w:p>
    <w:p w14:paraId="69C7938A" w14:textId="77777777" w:rsidR="00BA56AD" w:rsidRPr="00A0412B" w:rsidRDefault="00BA56AD" w:rsidP="00BA56AD">
      <w:pPr>
        <w:spacing w:before="240" w:after="240"/>
        <w:ind w:left="284"/>
        <w:rPr>
          <w:i/>
          <w:lang w:val="es-ES_tradnl"/>
        </w:rPr>
      </w:pPr>
      <w:r w:rsidRPr="00A0412B">
        <w:rPr>
          <w:i/>
          <w:lang w:val="es-ES_tradnl"/>
        </w:rPr>
        <w:t xml:space="preserve">“(C)ARGOS DE DISTRIBUCIÓN: Corresponde al Cargo De Distribución Aplicable A Usuarios De Uso Residencial y/o al Cargo Promedio De Distribución Aplicable a Usuarios Diferentes a los de Uso Residencial, los cuales </w:t>
      </w:r>
      <w:r w:rsidRPr="00A0412B">
        <w:rPr>
          <w:b/>
          <w:i/>
          <w:u w:val="single"/>
          <w:lang w:val="es-ES_tradnl"/>
        </w:rPr>
        <w:t>se aprueban para Mercado Relevante de Distribución</w:t>
      </w:r>
      <w:r w:rsidRPr="00A0412B">
        <w:rPr>
          <w:i/>
          <w:lang w:val="es-ES_tradnl"/>
        </w:rPr>
        <w:t xml:space="preserve"> para el Siguiente Período Tarifario.” Resaltado y subrayado fuera de texto.</w:t>
      </w:r>
    </w:p>
    <w:p w14:paraId="28740381" w14:textId="77777777" w:rsidR="00BA56AD" w:rsidRPr="00A0412B" w:rsidRDefault="00BA56AD" w:rsidP="00BA56AD">
      <w:pPr>
        <w:spacing w:before="240" w:after="240"/>
        <w:rPr>
          <w:lang w:val="es-ES_tradnl"/>
        </w:rPr>
      </w:pPr>
      <w:r>
        <w:rPr>
          <w:lang w:val="es-ES_tradnl"/>
        </w:rPr>
        <w:lastRenderedPageBreak/>
        <w:t xml:space="preserve">Así mismo, </w:t>
      </w:r>
      <w:r w:rsidRPr="00A0412B">
        <w:rPr>
          <w:lang w:val="es-ES_tradnl"/>
        </w:rPr>
        <w:t xml:space="preserve">el </w:t>
      </w:r>
      <w:r>
        <w:rPr>
          <w:lang w:val="es-ES_tradnl"/>
        </w:rPr>
        <w:t>a</w:t>
      </w:r>
      <w:r w:rsidRPr="00A0412B">
        <w:rPr>
          <w:lang w:val="es-ES_tradnl"/>
        </w:rPr>
        <w:t>rtículo 4 de la Resolución CREG 202 de 2013, dispone las reglas para la conformación de los sistemas de distribución estableciendo como uno de los criterios que “(E)l Sistema de Distribución será considerado por Mercado Relevante de Distribución para el Siguiente Período Tarifario, con independencia de si tiene dos o más propietarios.</w:t>
      </w:r>
    </w:p>
    <w:p w14:paraId="05B734B3" w14:textId="77777777" w:rsidR="00BA56AD" w:rsidRPr="00A0412B" w:rsidRDefault="00BA56AD" w:rsidP="00BA56AD">
      <w:pPr>
        <w:spacing w:before="240" w:after="240"/>
        <w:rPr>
          <w:lang w:val="es-ES_tradnl"/>
        </w:rPr>
      </w:pPr>
      <w:r w:rsidRPr="00A0412B">
        <w:rPr>
          <w:lang w:val="es-ES_tradnl"/>
        </w:rPr>
        <w:t>Así las cosas, los cargos de distribución para el siguiente periodo tarifario se calculan para un mercado relevante de distribución independiente del número de distribuidores que operen en él.</w:t>
      </w:r>
    </w:p>
    <w:p w14:paraId="606D596B" w14:textId="77777777" w:rsidR="00BA56AD" w:rsidRPr="00A0412B" w:rsidRDefault="00BA56AD" w:rsidP="00BA56AD">
      <w:pPr>
        <w:spacing w:before="240" w:after="240"/>
        <w:rPr>
          <w:lang w:val="es-ES_tradnl"/>
        </w:rPr>
      </w:pPr>
      <w:r w:rsidRPr="00A0412B">
        <w:rPr>
          <w:lang w:val="es-ES_tradnl"/>
        </w:rPr>
        <w:t xml:space="preserve">En el mismo sentido, el </w:t>
      </w:r>
      <w:r>
        <w:rPr>
          <w:lang w:val="es-ES_tradnl"/>
        </w:rPr>
        <w:t>a</w:t>
      </w:r>
      <w:r w:rsidRPr="00A0412B">
        <w:rPr>
          <w:lang w:val="es-ES_tradnl"/>
        </w:rPr>
        <w:t xml:space="preserve">rtículo 333 de la Constitución Política de Colombia, establece que: </w:t>
      </w:r>
      <w:r w:rsidRPr="00A0412B">
        <w:rPr>
          <w:i/>
          <w:lang w:val="es-ES_tradnl"/>
        </w:rPr>
        <w:t xml:space="preserve">“(L)a actividad económica y la iniciativa privada son libres, dentro de los límites del bien común. Para su ejercicio, nadie podrá exigir permisos previos ni requisitos, sin autorización de la ley. </w:t>
      </w:r>
      <w:r w:rsidRPr="00A0412B">
        <w:rPr>
          <w:b/>
          <w:i/>
          <w:u w:val="single"/>
          <w:lang w:val="es-ES_tradnl"/>
        </w:rPr>
        <w:t>La libre competencia económica es un derecho de todos</w:t>
      </w:r>
      <w:r w:rsidRPr="00A0412B">
        <w:rPr>
          <w:i/>
          <w:lang w:val="es-ES_tradnl"/>
        </w:rPr>
        <w:t xml:space="preserve"> que supone responsabilidades. La empresa, como base del desarrollo, tiene una función social que implica obligaciones. El Estado fortalecerá las organizaciones solidarias y estimulará el desarrollo empresarial. El Estado, por mandato de la ley, impedirá que se obstruya o se restrinja la libertad económica y evitará o controlará cualquier abuso que personas o empresas hagan de su posición dominante en el mercado nacional. La ley delimitará el alcance de la libertad económica cuando así lo exijan el interés social, el ambiente y el patrimonio cultural de la Nación.”</w:t>
      </w:r>
      <w:r w:rsidRPr="00A0412B">
        <w:rPr>
          <w:lang w:val="es-ES_tradnl"/>
        </w:rPr>
        <w:t xml:space="preserve"> </w:t>
      </w:r>
      <w:r w:rsidRPr="00A0412B">
        <w:rPr>
          <w:i/>
          <w:lang w:val="es-ES_tradnl"/>
        </w:rPr>
        <w:t>Resaltado y subrayado fuera de texto</w:t>
      </w:r>
      <w:r w:rsidRPr="00A0412B">
        <w:rPr>
          <w:lang w:val="es-ES_tradnl"/>
        </w:rPr>
        <w:t>.</w:t>
      </w:r>
    </w:p>
    <w:p w14:paraId="5E0C4605" w14:textId="77777777" w:rsidR="00BA56AD" w:rsidRDefault="00BA56AD" w:rsidP="00BA56AD">
      <w:pPr>
        <w:spacing w:before="240" w:after="240"/>
        <w:rPr>
          <w:shd w:val="clear" w:color="auto" w:fill="FFFFFF"/>
        </w:rPr>
      </w:pPr>
      <w:r>
        <w:rPr>
          <w:shd w:val="clear" w:color="auto" w:fill="FFFFFF"/>
        </w:rPr>
        <w:t>Además, teniendo en cuenta que la metodología actual en relación con la resolución de solicitudes para un mismo mercado con dos tipos de gas combustible como en este caso Gas Natural y GLP por Redes, la metodología establece un procedimiento en donde con base en la comparación de los costos de la prestación del servicio al usuario final -CU-, se escoge el más eficiente. Sin embargo, la Comisión tomando como base el hecho de que los componentes del CU y en especial de las componentes G y T, los cuales son de referencia con mercados cercanos, considera necesario contar con unos rangos, evitando una posible distorsión en la determinación de los cargos y así, de esta manera considera pertinente calcular el cargo de distribución al mercado no sólo para Gas Natural como el más eficiente, sino también el de GLP por redes.</w:t>
      </w:r>
    </w:p>
    <w:p w14:paraId="17E71A17" w14:textId="77777777" w:rsidR="00BA56AD" w:rsidRPr="007E0500" w:rsidRDefault="00BA56AD" w:rsidP="00BA56AD">
      <w:pPr>
        <w:spacing w:before="240" w:after="240"/>
        <w:rPr>
          <w:shd w:val="clear" w:color="auto" w:fill="FFFFFF"/>
        </w:rPr>
      </w:pPr>
      <w:r w:rsidRPr="007E0500">
        <w:rPr>
          <w:shd w:val="clear" w:color="auto" w:fill="FFFFFF"/>
        </w:rPr>
        <w:t>Ahora bien, p</w:t>
      </w:r>
      <w:r>
        <w:rPr>
          <w:shd w:val="clear" w:color="auto" w:fill="FFFFFF"/>
        </w:rPr>
        <w:t xml:space="preserve">ara </w:t>
      </w:r>
      <w:r w:rsidRPr="00A323C1">
        <w:rPr>
          <w:shd w:val="clear" w:color="auto" w:fill="FFFFFF"/>
        </w:rPr>
        <w:t xml:space="preserve">la prestación del servicio con otros combustibles diferente al cual se aprobaron los cargos para </w:t>
      </w:r>
      <w:r>
        <w:rPr>
          <w:shd w:val="clear" w:color="auto" w:fill="FFFFFF"/>
        </w:rPr>
        <w:t>el</w:t>
      </w:r>
      <w:r w:rsidRPr="00A323C1">
        <w:rPr>
          <w:shd w:val="clear" w:color="auto" w:fill="FFFFFF"/>
        </w:rPr>
        <w:t xml:space="preserve"> mercado relevante</w:t>
      </w:r>
      <w:r>
        <w:rPr>
          <w:shd w:val="clear" w:color="auto" w:fill="FFFFFF"/>
        </w:rPr>
        <w:t xml:space="preserve">, se pueden hacer correspondientes </w:t>
      </w:r>
      <w:r w:rsidRPr="007E0500">
        <w:rPr>
          <w:shd w:val="clear" w:color="auto" w:fill="FFFFFF"/>
        </w:rPr>
        <w:t>los cargos de distribución de Gas Natural con los cargos de distribución de GLP por Redes de tubería, expresados en $/m3</w:t>
      </w:r>
      <w:r>
        <w:rPr>
          <w:shd w:val="clear" w:color="auto" w:fill="FFFFFF"/>
        </w:rPr>
        <w:t xml:space="preserve">, </w:t>
      </w:r>
      <w:r w:rsidRPr="007E0500">
        <w:rPr>
          <w:shd w:val="clear" w:color="auto" w:fill="FFFFFF"/>
        </w:rPr>
        <w:t>para que un distribuidor con el tipo de gas correspondiente desee prestar el servicio de gas en el mercado relevante de su interés, promoviendo así la entrada de nuevos oferentes.</w:t>
      </w:r>
    </w:p>
    <w:p w14:paraId="17E0A9E4" w14:textId="4ED7324F" w:rsidR="00BA56AD" w:rsidRDefault="00BA56AD" w:rsidP="00BA56AD">
      <w:pPr>
        <w:spacing w:before="240" w:after="240"/>
        <w:rPr>
          <w:lang w:val="es-CO"/>
        </w:rPr>
      </w:pPr>
      <w:r>
        <w:rPr>
          <w:lang w:val="es-CO"/>
        </w:rPr>
        <w:t xml:space="preserve">De esta manera, aplicando la metodología contenida en las Resoluciones </w:t>
      </w:r>
      <w:r w:rsidRPr="00513234">
        <w:rPr>
          <w:lang w:val="es-CO"/>
        </w:rPr>
        <w:t>CREG 202 de 2013, CREG 138 de 2014 y CREG 090 y CREG 132 de 2018</w:t>
      </w:r>
      <w:r>
        <w:rPr>
          <w:lang w:val="es-CO"/>
        </w:rPr>
        <w:t xml:space="preserve">, los cargos de distribución eficientes calculados para la distribución de GLP por redes, a partir de la información presentada por la empresa CSP Sostenibles S.A. E.S.P. en su solicitud tarifaria, son los siguientes:  </w:t>
      </w:r>
    </w:p>
    <w:p w14:paraId="30B1EFE5" w14:textId="6C061FB0" w:rsidR="00055B68" w:rsidRDefault="00055B68" w:rsidP="00BA56AD">
      <w:pPr>
        <w:spacing w:before="240" w:after="240"/>
        <w:rPr>
          <w:lang w:val="es-CO"/>
        </w:rPr>
      </w:pPr>
    </w:p>
    <w:p w14:paraId="41FA8325" w14:textId="15A29095" w:rsidR="00055B68" w:rsidRDefault="00055B68" w:rsidP="00BA56AD">
      <w:pPr>
        <w:spacing w:before="240" w:after="240"/>
        <w:rPr>
          <w:lang w:val="es-CO"/>
        </w:rPr>
      </w:pPr>
    </w:p>
    <w:p w14:paraId="18915C67" w14:textId="77777777" w:rsidR="00055B68" w:rsidRDefault="00055B68" w:rsidP="00BA56AD">
      <w:pPr>
        <w:spacing w:before="240" w:after="240"/>
        <w:rPr>
          <w:lang w:val="es-CO"/>
        </w:rPr>
      </w:pPr>
    </w:p>
    <w:p w14:paraId="20E258E3" w14:textId="77777777" w:rsidR="00BA56AD" w:rsidRPr="00DD503B" w:rsidRDefault="00BA56AD" w:rsidP="00BA56AD">
      <w:pPr>
        <w:pStyle w:val="Textoindependiente"/>
        <w:rPr>
          <w:rFonts w:ascii="Bookman Old Style" w:hAnsi="Bookman Old Style"/>
          <w:lang w:val="es-CO"/>
        </w:rPr>
      </w:pPr>
      <w:r w:rsidRPr="00DD503B">
        <w:rPr>
          <w:rFonts w:ascii="Bookman Old Style" w:hAnsi="Bookman Old Style"/>
          <w:i/>
          <w:sz w:val="20"/>
          <w:szCs w:val="22"/>
          <w:lang w:val="es-CO"/>
        </w:rPr>
        <w:t>C</w:t>
      </w:r>
      <w:r w:rsidRPr="00DD503B">
        <w:rPr>
          <w:rFonts w:ascii="Bookman Old Style" w:hAnsi="Bookman Old Style"/>
          <w:i/>
          <w:sz w:val="20"/>
          <w:szCs w:val="22"/>
        </w:rPr>
        <w:t>argos eficientes de distribución GLP Redes – Información CSP Sostenibles.</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767"/>
        <w:gridCol w:w="2111"/>
      </w:tblGrid>
      <w:tr w:rsidR="00BA56AD" w:rsidRPr="00202111" w14:paraId="7F951BA0" w14:textId="77777777" w:rsidTr="003A2916">
        <w:trPr>
          <w:trHeight w:val="468"/>
          <w:tblHeader/>
        </w:trPr>
        <w:tc>
          <w:tcPr>
            <w:tcW w:w="7972" w:type="dxa"/>
            <w:gridSpan w:val="3"/>
            <w:shd w:val="clear" w:color="auto" w:fill="D9D9D9" w:themeFill="background1" w:themeFillShade="D9"/>
            <w:vAlign w:val="center"/>
          </w:tcPr>
          <w:p w14:paraId="2678B3C4" w14:textId="77777777" w:rsidR="00BA56AD" w:rsidRPr="00BA5DDF" w:rsidRDefault="00BA56AD" w:rsidP="00FB5615">
            <w:pPr>
              <w:widowControl w:val="0"/>
              <w:adjustRightInd w:val="0"/>
              <w:ind w:right="20"/>
              <w:jc w:val="center"/>
              <w:rPr>
                <w:rFonts w:cs="Arial"/>
                <w:i/>
                <w:sz w:val="20"/>
              </w:rPr>
            </w:pPr>
            <w:r w:rsidRPr="00BA5DDF">
              <w:rPr>
                <w:b/>
                <w:bCs/>
                <w:i/>
                <w:color w:val="000000"/>
                <w:sz w:val="20"/>
                <w:szCs w:val="22"/>
                <w:lang w:eastAsia="es-CO"/>
              </w:rPr>
              <w:t>Usuarios de Uso Residencial</w:t>
            </w:r>
            <w:r>
              <w:rPr>
                <w:b/>
                <w:bCs/>
                <w:i/>
                <w:color w:val="000000"/>
                <w:sz w:val="20"/>
                <w:szCs w:val="22"/>
                <w:lang w:eastAsia="es-CO"/>
              </w:rPr>
              <w:t>-Diferentes a los de Uso Residencial</w:t>
            </w:r>
          </w:p>
        </w:tc>
      </w:tr>
      <w:tr w:rsidR="00BA56AD" w:rsidRPr="00202111" w14:paraId="4F792759" w14:textId="77777777" w:rsidTr="003A2916">
        <w:trPr>
          <w:trHeight w:val="345"/>
          <w:tblHeader/>
        </w:trPr>
        <w:tc>
          <w:tcPr>
            <w:tcW w:w="5094" w:type="dxa"/>
            <w:shd w:val="clear" w:color="auto" w:fill="D9D9D9" w:themeFill="background1" w:themeFillShade="D9"/>
            <w:vAlign w:val="center"/>
          </w:tcPr>
          <w:p w14:paraId="1651B686" w14:textId="77777777" w:rsidR="00BA56AD" w:rsidRPr="00BA5DDF" w:rsidRDefault="00BA56AD" w:rsidP="00FB5615">
            <w:pPr>
              <w:widowControl w:val="0"/>
              <w:adjustRightInd w:val="0"/>
              <w:ind w:right="20"/>
              <w:jc w:val="center"/>
              <w:rPr>
                <w:rFonts w:cs="Arial"/>
                <w:i/>
                <w:sz w:val="20"/>
                <w:szCs w:val="22"/>
              </w:rPr>
            </w:pPr>
            <w:r w:rsidRPr="00BA5DDF">
              <w:rPr>
                <w:b/>
                <w:bCs/>
                <w:i/>
                <w:color w:val="000000"/>
                <w:sz w:val="20"/>
                <w:szCs w:val="22"/>
                <w:lang w:val="es-ES_tradnl" w:eastAsia="es-CO"/>
              </w:rPr>
              <w:t>Componente</w:t>
            </w:r>
          </w:p>
        </w:tc>
        <w:tc>
          <w:tcPr>
            <w:tcW w:w="767" w:type="dxa"/>
            <w:shd w:val="clear" w:color="auto" w:fill="D9D9D9" w:themeFill="background1" w:themeFillShade="D9"/>
            <w:vAlign w:val="center"/>
          </w:tcPr>
          <w:p w14:paraId="57D3EDA6" w14:textId="77777777" w:rsidR="00BA56AD" w:rsidRPr="00BA5DDF" w:rsidRDefault="00BA56AD" w:rsidP="00FB5615">
            <w:pPr>
              <w:widowControl w:val="0"/>
              <w:adjustRightInd w:val="0"/>
              <w:ind w:right="20"/>
              <w:jc w:val="center"/>
              <w:rPr>
                <w:rFonts w:cs="Arial"/>
                <w:i/>
                <w:sz w:val="20"/>
                <w:szCs w:val="22"/>
              </w:rPr>
            </w:pPr>
          </w:p>
        </w:tc>
        <w:tc>
          <w:tcPr>
            <w:tcW w:w="2111" w:type="dxa"/>
            <w:shd w:val="clear" w:color="auto" w:fill="D9D9D9" w:themeFill="background1" w:themeFillShade="D9"/>
            <w:vAlign w:val="center"/>
          </w:tcPr>
          <w:p w14:paraId="7850D144" w14:textId="127E6352" w:rsidR="00BA56AD" w:rsidRPr="00BA5DDF" w:rsidRDefault="003A2916" w:rsidP="00FB5615">
            <w:pPr>
              <w:widowControl w:val="0"/>
              <w:adjustRightInd w:val="0"/>
              <w:ind w:right="20"/>
              <w:jc w:val="center"/>
              <w:rPr>
                <w:rFonts w:cs="Arial"/>
                <w:i/>
                <w:sz w:val="20"/>
                <w:szCs w:val="22"/>
              </w:rPr>
            </w:pPr>
            <w:r>
              <w:rPr>
                <w:rFonts w:cs="Arial"/>
                <w:b/>
                <w:bCs/>
                <w:i/>
                <w:color w:val="000000"/>
                <w:sz w:val="20"/>
                <w:szCs w:val="22"/>
                <w:lang w:eastAsia="es-CO"/>
              </w:rPr>
              <w:t xml:space="preserve">Año </w:t>
            </w:r>
            <w:r w:rsidR="00BA56AD" w:rsidRPr="00BA5DDF">
              <w:rPr>
                <w:rFonts w:cs="Arial"/>
                <w:b/>
                <w:bCs/>
                <w:i/>
                <w:color w:val="000000"/>
                <w:sz w:val="20"/>
                <w:szCs w:val="22"/>
                <w:lang w:eastAsia="es-CO"/>
              </w:rPr>
              <w:t>2019 en adelante</w:t>
            </w:r>
          </w:p>
        </w:tc>
      </w:tr>
      <w:tr w:rsidR="00BA56AD" w:rsidRPr="00202111" w14:paraId="74B461CC" w14:textId="77777777" w:rsidTr="00FB5615">
        <w:trPr>
          <w:trHeight w:val="438"/>
        </w:trPr>
        <w:tc>
          <w:tcPr>
            <w:tcW w:w="5094" w:type="dxa"/>
            <w:shd w:val="clear" w:color="auto" w:fill="auto"/>
            <w:vAlign w:val="center"/>
          </w:tcPr>
          <w:p w14:paraId="75E74EBB" w14:textId="77777777" w:rsidR="00BA56AD" w:rsidRPr="00BA5DDF" w:rsidRDefault="00BA56AD" w:rsidP="00FB5615">
            <w:pPr>
              <w:widowControl w:val="0"/>
              <w:adjustRightInd w:val="0"/>
              <w:ind w:right="20"/>
              <w:rPr>
                <w:rFonts w:cs="Arial"/>
                <w:i/>
                <w:sz w:val="20"/>
                <w:szCs w:val="22"/>
              </w:rPr>
            </w:pPr>
            <w:r w:rsidRPr="00BA5DDF">
              <w:rPr>
                <w:b/>
                <w:bCs/>
                <w:i/>
                <w:color w:val="000000"/>
                <w:sz w:val="20"/>
                <w:szCs w:val="22"/>
                <w:lang w:val="es-ES_tradnl" w:eastAsia="es-CO"/>
              </w:rPr>
              <w:t>Cargo de distribución Total</w:t>
            </w:r>
          </w:p>
        </w:tc>
        <w:tc>
          <w:tcPr>
            <w:tcW w:w="767" w:type="dxa"/>
            <w:shd w:val="clear" w:color="auto" w:fill="auto"/>
            <w:vAlign w:val="center"/>
          </w:tcPr>
          <w:p w14:paraId="45C44E20" w14:textId="77777777" w:rsidR="00BA56AD" w:rsidRPr="00BA5DDF" w:rsidRDefault="00BA56AD" w:rsidP="00FB5615">
            <w:pPr>
              <w:widowControl w:val="0"/>
              <w:adjustRightInd w:val="0"/>
              <w:ind w:right="20"/>
              <w:jc w:val="center"/>
              <w:rPr>
                <w:rFonts w:cs="Arial"/>
                <w:i/>
                <w:sz w:val="20"/>
                <w:szCs w:val="22"/>
              </w:rPr>
            </w:pPr>
            <w:r w:rsidRPr="00BA5DDF">
              <w:rPr>
                <w:b/>
                <w:bCs/>
                <w:i/>
                <w:color w:val="000000"/>
                <w:sz w:val="20"/>
                <w:szCs w:val="22"/>
                <w:lang w:val="es-ES_tradnl" w:eastAsia="es-CO"/>
              </w:rPr>
              <w:t>$/m</w:t>
            </w:r>
            <w:r w:rsidRPr="00BA5DDF">
              <w:rPr>
                <w:b/>
                <w:bCs/>
                <w:i/>
                <w:color w:val="000000"/>
                <w:sz w:val="20"/>
                <w:szCs w:val="22"/>
                <w:vertAlign w:val="superscript"/>
                <w:lang w:val="es-ES_tradnl" w:eastAsia="es-CO"/>
              </w:rPr>
              <w:t>3</w:t>
            </w:r>
          </w:p>
        </w:tc>
        <w:tc>
          <w:tcPr>
            <w:tcW w:w="2111" w:type="dxa"/>
            <w:shd w:val="clear" w:color="auto" w:fill="auto"/>
            <w:vAlign w:val="center"/>
          </w:tcPr>
          <w:p w14:paraId="16F5F493" w14:textId="77777777" w:rsidR="00BA56AD" w:rsidRPr="00BA5DDF" w:rsidRDefault="00BA56AD" w:rsidP="00FB5615">
            <w:pPr>
              <w:widowControl w:val="0"/>
              <w:adjustRightInd w:val="0"/>
              <w:ind w:right="20"/>
              <w:jc w:val="center"/>
              <w:rPr>
                <w:rFonts w:cs="Arial"/>
                <w:b/>
                <w:i/>
                <w:sz w:val="20"/>
                <w:szCs w:val="22"/>
              </w:rPr>
            </w:pPr>
            <w:r>
              <w:rPr>
                <w:rFonts w:cs="Arial"/>
                <w:b/>
                <w:i/>
                <w:sz w:val="20"/>
                <w:szCs w:val="22"/>
              </w:rPr>
              <w:t>1.409,61</w:t>
            </w:r>
          </w:p>
        </w:tc>
      </w:tr>
      <w:tr w:rsidR="00BA56AD" w:rsidRPr="00202111" w14:paraId="4F2984AC" w14:textId="77777777" w:rsidTr="00FB5615">
        <w:trPr>
          <w:trHeight w:val="438"/>
        </w:trPr>
        <w:tc>
          <w:tcPr>
            <w:tcW w:w="5094" w:type="dxa"/>
            <w:shd w:val="clear" w:color="auto" w:fill="auto"/>
            <w:vAlign w:val="center"/>
          </w:tcPr>
          <w:p w14:paraId="4718CA5E" w14:textId="77777777" w:rsidR="00BA56AD" w:rsidRPr="00BA5DDF" w:rsidRDefault="00BA56AD" w:rsidP="00FB5615">
            <w:pPr>
              <w:widowControl w:val="0"/>
              <w:adjustRightInd w:val="0"/>
              <w:ind w:right="20"/>
              <w:rPr>
                <w:rFonts w:cs="Arial"/>
                <w:i/>
                <w:sz w:val="20"/>
                <w:szCs w:val="22"/>
              </w:rPr>
            </w:pPr>
            <w:r w:rsidRPr="00BA5DDF">
              <w:rPr>
                <w:i/>
                <w:color w:val="000000"/>
                <w:sz w:val="20"/>
                <w:szCs w:val="22"/>
                <w:lang w:val="es-CO" w:eastAsia="es-CO"/>
              </w:rPr>
              <w:t xml:space="preserve">Componente de inversión </w:t>
            </w:r>
          </w:p>
        </w:tc>
        <w:tc>
          <w:tcPr>
            <w:tcW w:w="767" w:type="dxa"/>
            <w:shd w:val="clear" w:color="auto" w:fill="auto"/>
            <w:vAlign w:val="center"/>
          </w:tcPr>
          <w:p w14:paraId="1D184A59" w14:textId="77777777" w:rsidR="00BA56AD" w:rsidRPr="00BA5DDF" w:rsidRDefault="00BA56AD" w:rsidP="00FB5615">
            <w:pPr>
              <w:widowControl w:val="0"/>
              <w:adjustRightInd w:val="0"/>
              <w:ind w:right="20"/>
              <w:jc w:val="center"/>
              <w:rPr>
                <w:rFonts w:cs="Arial"/>
                <w:i/>
                <w:sz w:val="20"/>
                <w:szCs w:val="22"/>
              </w:rPr>
            </w:pPr>
            <w:r w:rsidRPr="00BA5DDF">
              <w:rPr>
                <w:i/>
                <w:color w:val="000000"/>
                <w:sz w:val="20"/>
                <w:szCs w:val="22"/>
                <w:lang w:val="es-ES_tradnl" w:eastAsia="es-CO"/>
              </w:rPr>
              <w:t>$/m</w:t>
            </w:r>
            <w:r w:rsidRPr="00BA5DDF">
              <w:rPr>
                <w:i/>
                <w:color w:val="000000"/>
                <w:sz w:val="20"/>
                <w:szCs w:val="22"/>
                <w:vertAlign w:val="superscript"/>
                <w:lang w:val="es-ES_tradnl" w:eastAsia="es-CO"/>
              </w:rPr>
              <w:t>3</w:t>
            </w:r>
          </w:p>
        </w:tc>
        <w:tc>
          <w:tcPr>
            <w:tcW w:w="2111" w:type="dxa"/>
            <w:shd w:val="clear" w:color="auto" w:fill="auto"/>
            <w:vAlign w:val="center"/>
          </w:tcPr>
          <w:p w14:paraId="47E8F5C6" w14:textId="77777777" w:rsidR="00BA56AD" w:rsidRPr="00BA5DDF" w:rsidRDefault="00BA56AD" w:rsidP="00FB5615">
            <w:pPr>
              <w:widowControl w:val="0"/>
              <w:adjustRightInd w:val="0"/>
              <w:ind w:right="20"/>
              <w:jc w:val="center"/>
              <w:rPr>
                <w:rFonts w:cs="Arial"/>
                <w:i/>
                <w:sz w:val="20"/>
                <w:szCs w:val="22"/>
              </w:rPr>
            </w:pPr>
            <w:r>
              <w:rPr>
                <w:rFonts w:cs="Arial"/>
                <w:i/>
                <w:sz w:val="20"/>
                <w:szCs w:val="22"/>
              </w:rPr>
              <w:t>1.043,79</w:t>
            </w:r>
          </w:p>
        </w:tc>
      </w:tr>
      <w:tr w:rsidR="00BA56AD" w:rsidRPr="00202111" w14:paraId="6FFD0A32" w14:textId="77777777" w:rsidTr="00FB5615">
        <w:trPr>
          <w:trHeight w:val="439"/>
        </w:trPr>
        <w:tc>
          <w:tcPr>
            <w:tcW w:w="5094" w:type="dxa"/>
            <w:shd w:val="clear" w:color="auto" w:fill="auto"/>
            <w:vAlign w:val="center"/>
          </w:tcPr>
          <w:p w14:paraId="06D388DD" w14:textId="77777777" w:rsidR="00BA56AD" w:rsidRPr="00BA5DDF" w:rsidRDefault="00BA56AD" w:rsidP="00FB5615">
            <w:pPr>
              <w:widowControl w:val="0"/>
              <w:adjustRightInd w:val="0"/>
              <w:ind w:right="20"/>
              <w:rPr>
                <w:i/>
                <w:color w:val="000000"/>
                <w:sz w:val="20"/>
                <w:szCs w:val="22"/>
                <w:lang w:val="es-CO" w:eastAsia="es-CO"/>
              </w:rPr>
            </w:pPr>
            <w:r w:rsidRPr="00BA5DDF">
              <w:rPr>
                <w:i/>
                <w:color w:val="000000"/>
                <w:sz w:val="20"/>
                <w:szCs w:val="22"/>
                <w:lang w:val="es-CO" w:eastAsia="es-CO"/>
              </w:rPr>
              <w:t>Componente Gastos AOM</w:t>
            </w:r>
          </w:p>
        </w:tc>
        <w:tc>
          <w:tcPr>
            <w:tcW w:w="767" w:type="dxa"/>
            <w:shd w:val="clear" w:color="auto" w:fill="auto"/>
            <w:vAlign w:val="center"/>
          </w:tcPr>
          <w:p w14:paraId="7C36399C" w14:textId="77777777" w:rsidR="00BA56AD" w:rsidRPr="00BA5DDF" w:rsidRDefault="00BA56AD" w:rsidP="00FB5615">
            <w:pPr>
              <w:widowControl w:val="0"/>
              <w:adjustRightInd w:val="0"/>
              <w:ind w:right="20"/>
              <w:jc w:val="center"/>
              <w:rPr>
                <w:rFonts w:cs="Arial"/>
                <w:i/>
                <w:sz w:val="20"/>
                <w:szCs w:val="22"/>
              </w:rPr>
            </w:pPr>
            <w:r w:rsidRPr="00BA5DDF">
              <w:rPr>
                <w:i/>
                <w:color w:val="000000"/>
                <w:sz w:val="20"/>
                <w:szCs w:val="22"/>
                <w:lang w:val="es-ES_tradnl" w:eastAsia="es-CO"/>
              </w:rPr>
              <w:t>$/m</w:t>
            </w:r>
            <w:r w:rsidRPr="00BA5DDF">
              <w:rPr>
                <w:i/>
                <w:color w:val="000000"/>
                <w:sz w:val="20"/>
                <w:szCs w:val="22"/>
                <w:vertAlign w:val="superscript"/>
                <w:lang w:val="es-ES_tradnl" w:eastAsia="es-CO"/>
              </w:rPr>
              <w:t>3</w:t>
            </w:r>
          </w:p>
        </w:tc>
        <w:tc>
          <w:tcPr>
            <w:tcW w:w="2111" w:type="dxa"/>
            <w:shd w:val="clear" w:color="auto" w:fill="auto"/>
            <w:vAlign w:val="center"/>
          </w:tcPr>
          <w:p w14:paraId="474CFFC5" w14:textId="77777777" w:rsidR="00BA56AD" w:rsidRPr="00BA5DDF" w:rsidRDefault="00BA56AD" w:rsidP="00FB5615">
            <w:pPr>
              <w:widowControl w:val="0"/>
              <w:adjustRightInd w:val="0"/>
              <w:ind w:right="20"/>
              <w:jc w:val="center"/>
              <w:rPr>
                <w:rFonts w:cs="Arial"/>
                <w:i/>
                <w:sz w:val="20"/>
                <w:szCs w:val="22"/>
              </w:rPr>
            </w:pPr>
            <w:r>
              <w:rPr>
                <w:rFonts w:cs="Arial"/>
                <w:i/>
                <w:sz w:val="20"/>
                <w:szCs w:val="22"/>
              </w:rPr>
              <w:t>365,82</w:t>
            </w:r>
          </w:p>
        </w:tc>
      </w:tr>
    </w:tbl>
    <w:p w14:paraId="597D1401" w14:textId="77777777" w:rsidR="00BA56AD" w:rsidRDefault="00BA56AD" w:rsidP="00BA56AD">
      <w:pPr>
        <w:widowControl w:val="0"/>
        <w:adjustRightInd w:val="0"/>
        <w:ind w:right="20"/>
        <w:jc w:val="center"/>
        <w:rPr>
          <w:rFonts w:cs="Arial"/>
        </w:rPr>
      </w:pPr>
      <w:r w:rsidRPr="007B0D3E">
        <w:rPr>
          <w:rFonts w:cs="Arial"/>
          <w:sz w:val="16"/>
          <w:lang w:val="x-none" w:eastAsia="x-none"/>
        </w:rPr>
        <w:t>Cifras en pesos del 31 de diciembre de 20</w:t>
      </w:r>
      <w:r w:rsidRPr="007B0D3E">
        <w:rPr>
          <w:rFonts w:cs="Arial"/>
          <w:sz w:val="16"/>
          <w:lang w:val="es-CO" w:eastAsia="x-none"/>
        </w:rPr>
        <w:t>1</w:t>
      </w:r>
      <w:r>
        <w:rPr>
          <w:rFonts w:cs="Arial"/>
          <w:sz w:val="16"/>
          <w:lang w:val="es-CO" w:eastAsia="x-none"/>
        </w:rPr>
        <w:t>7</w:t>
      </w:r>
    </w:p>
    <w:p w14:paraId="2E753D4F" w14:textId="77777777" w:rsidR="00BA56AD" w:rsidRPr="009F1CEE" w:rsidRDefault="00BA56AD" w:rsidP="00BA56AD">
      <w:pPr>
        <w:spacing w:before="240" w:after="240"/>
        <w:rPr>
          <w:lang w:val="es-CO"/>
        </w:rPr>
      </w:pPr>
      <w:r>
        <w:rPr>
          <w:lang w:val="es-CO"/>
        </w:rPr>
        <w:t>Igualmente, desarrollando el procedimiento para la conversión del cargo de distribución de gas natural a cargos de distribución de GLP por redes, establecido en el Anexo 16 de la Resolución CREG 202 de 2013, y considerando el cargo de distribución de gas natural calculado y aprobado al mercado relevante en $1.348,83 $/m</w:t>
      </w:r>
      <w:r>
        <w:rPr>
          <w:vertAlign w:val="superscript"/>
          <w:lang w:val="es-CO"/>
        </w:rPr>
        <w:t>3</w:t>
      </w:r>
      <w:r>
        <w:rPr>
          <w:lang w:val="es-CO"/>
        </w:rPr>
        <w:t>, un poder calorífico del gas natural de 1.144,38 BTU/pie</w:t>
      </w:r>
      <w:r>
        <w:rPr>
          <w:vertAlign w:val="superscript"/>
          <w:lang w:val="es-CO"/>
        </w:rPr>
        <w:t>3</w:t>
      </w:r>
      <w:r>
        <w:rPr>
          <w:lang w:val="es-CO"/>
        </w:rPr>
        <w:t>, y del GLP de 2.955,75 BTU/pie</w:t>
      </w:r>
      <w:r>
        <w:rPr>
          <w:vertAlign w:val="superscript"/>
          <w:lang w:val="es-CO"/>
        </w:rPr>
        <w:t>3</w:t>
      </w:r>
      <w:r>
        <w:rPr>
          <w:lang w:val="es-CO"/>
        </w:rPr>
        <w:t>, se establece un factor de equivalencia energética entre ambos gases de 0,3872, en la cual, el cargo equivalente promedio de distribución de GLP será de 3.483,89, $/m</w:t>
      </w:r>
      <w:r>
        <w:rPr>
          <w:vertAlign w:val="superscript"/>
          <w:lang w:val="es-CO"/>
        </w:rPr>
        <w:t>3</w:t>
      </w:r>
      <w:r>
        <w:rPr>
          <w:lang w:val="es-CO"/>
        </w:rPr>
        <w:t xml:space="preserve">. </w:t>
      </w:r>
    </w:p>
    <w:p w14:paraId="62BDDC75" w14:textId="77777777" w:rsidR="00BA56AD" w:rsidRDefault="00BA56AD" w:rsidP="00BA56AD">
      <w:pPr>
        <w:spacing w:before="240" w:after="240"/>
        <w:rPr>
          <w:shd w:val="clear" w:color="auto" w:fill="FFFFFF"/>
        </w:rPr>
      </w:pPr>
      <w:r>
        <w:rPr>
          <w:shd w:val="clear" w:color="auto" w:fill="FFFFFF"/>
        </w:rPr>
        <w:t xml:space="preserve">De lo anterior, y teniendo en cuenta el costo de la prestación del servicio al usuario final, el cargo propuesto para la prestación del servicio de GLP por redes en el mercado relevante aprobado mediante la Resolución CREG 005 de 2019, corresponderá al menor entre el cargo eficiente y cargo el equivalente, el cual será de 1.409, 61 </w:t>
      </w:r>
      <w:r>
        <w:rPr>
          <w:lang w:val="es-CO"/>
        </w:rPr>
        <w:t>$/m</w:t>
      </w:r>
      <w:r>
        <w:rPr>
          <w:vertAlign w:val="superscript"/>
          <w:lang w:val="es-CO"/>
        </w:rPr>
        <w:t>3</w:t>
      </w:r>
      <w:r>
        <w:rPr>
          <w:shd w:val="clear" w:color="auto" w:fill="FFFFFF"/>
        </w:rPr>
        <w:t>.</w:t>
      </w:r>
    </w:p>
    <w:p w14:paraId="28BF6FC3" w14:textId="77777777" w:rsidR="00BA56AD" w:rsidRDefault="00BA56AD" w:rsidP="00BA56AD">
      <w:pPr>
        <w:spacing w:before="240" w:after="240"/>
        <w:rPr>
          <w:shd w:val="clear" w:color="auto" w:fill="FFFFFF"/>
        </w:rPr>
      </w:pPr>
      <w:r w:rsidRPr="007F3438">
        <w:rPr>
          <w:shd w:val="clear" w:color="auto" w:fill="FFFFFF"/>
        </w:rPr>
        <w:t xml:space="preserve">De </w:t>
      </w:r>
      <w:r>
        <w:rPr>
          <w:shd w:val="clear" w:color="auto" w:fill="FFFFFF"/>
        </w:rPr>
        <w:t>esta manera</w:t>
      </w:r>
      <w:r w:rsidRPr="007F3438">
        <w:rPr>
          <w:shd w:val="clear" w:color="auto" w:fill="FFFFFF"/>
        </w:rPr>
        <w:t xml:space="preserve">, </w:t>
      </w:r>
      <w:r>
        <w:rPr>
          <w:bCs/>
          <w:lang w:val="es-ES_tradnl"/>
        </w:rPr>
        <w:t>los cargos de distribución para el siguiente periodo tarifario se calculan para un mercado relevante de distribución independiente del número de distribuidores que operen en él, con</w:t>
      </w:r>
      <w:r w:rsidRPr="00340A61">
        <w:rPr>
          <w:bCs/>
          <w:lang w:val="es-ES_tradnl"/>
        </w:rPr>
        <w:t xml:space="preserve"> el propósito d</w:t>
      </w:r>
      <w:r>
        <w:rPr>
          <w:bCs/>
          <w:lang w:val="es-ES_tradnl"/>
        </w:rPr>
        <w:t>e que los usuarios de un mismo mercado relevante cuenten con las mismas condiciones tarifarias.</w:t>
      </w:r>
    </w:p>
    <w:p w14:paraId="532F5DF6" w14:textId="77777777" w:rsidR="00BA56AD" w:rsidRDefault="00BA56AD" w:rsidP="00BA56AD">
      <w:pPr>
        <w:spacing w:before="240" w:after="240"/>
        <w:rPr>
          <w:shd w:val="clear" w:color="auto" w:fill="FFFFFF"/>
        </w:rPr>
      </w:pPr>
      <w:r>
        <w:rPr>
          <w:shd w:val="clear" w:color="auto" w:fill="FFFFFF"/>
        </w:rPr>
        <w:t xml:space="preserve">Por lo anterior, se accede a lo solicitado por el recurrente en relación con los argumentos expuestos por el recurrente para la aprobación de un cargo de distribución para la prestación del servicio con Gas Natural y otro para la prestación del servicio con GLP por redes para el mercado relevante aprobado mediante la Resolución CREG 005 de 2019. </w:t>
      </w:r>
    </w:p>
    <w:p w14:paraId="5B348334" w14:textId="24E671AC" w:rsidR="00BA56AD" w:rsidRPr="00210ED1" w:rsidRDefault="00BA56AD" w:rsidP="00BA56AD">
      <w:pPr>
        <w:spacing w:before="240" w:after="240"/>
        <w:rPr>
          <w:lang w:val="es-ES_tradnl"/>
        </w:rPr>
      </w:pPr>
      <w:r w:rsidRPr="00210ED1">
        <w:rPr>
          <w:lang w:val="es-ES_tradnl"/>
        </w:rPr>
        <w:t xml:space="preserve">La Comisión de Regulación de Energía y Gas en su sesión </w:t>
      </w:r>
      <w:r w:rsidR="00055B68">
        <w:rPr>
          <w:lang w:val="es-ES_tradnl"/>
        </w:rPr>
        <w:t>947</w:t>
      </w:r>
      <w:r w:rsidRPr="00210ED1">
        <w:rPr>
          <w:lang w:val="es-ES_tradnl"/>
        </w:rPr>
        <w:t xml:space="preserve"> del </w:t>
      </w:r>
      <w:r w:rsidR="00055B68">
        <w:rPr>
          <w:lang w:val="es-ES_tradnl"/>
        </w:rPr>
        <w:t>27</w:t>
      </w:r>
      <w:r w:rsidRPr="00210ED1">
        <w:rPr>
          <w:lang w:val="es-ES_tradnl"/>
        </w:rPr>
        <w:t xml:space="preserve"> de </w:t>
      </w:r>
      <w:r>
        <w:rPr>
          <w:lang w:val="es-ES_tradnl"/>
        </w:rPr>
        <w:t>septiembre de 2019</w:t>
      </w:r>
      <w:r w:rsidRPr="00210ED1">
        <w:rPr>
          <w:lang w:val="es-ES_tradnl"/>
        </w:rPr>
        <w:t>, acordó expedir la presente resolución.</w:t>
      </w:r>
    </w:p>
    <w:p w14:paraId="089A3DC2" w14:textId="77777777" w:rsidR="00BA56AD" w:rsidRDefault="00BA56AD" w:rsidP="00BA56AD">
      <w:pPr>
        <w:keepNext/>
        <w:suppressAutoHyphens/>
        <w:spacing w:before="480" w:after="480"/>
        <w:jc w:val="center"/>
        <w:rPr>
          <w:b/>
          <w:spacing w:val="-3"/>
        </w:rPr>
      </w:pPr>
      <w:r w:rsidRPr="00C435C3">
        <w:rPr>
          <w:b/>
          <w:spacing w:val="-3"/>
        </w:rPr>
        <w:t>R E S U E L V E:</w:t>
      </w:r>
    </w:p>
    <w:p w14:paraId="203FE31E" w14:textId="77777777" w:rsidR="00BA56AD" w:rsidRPr="00DD503B" w:rsidRDefault="00BA56AD" w:rsidP="00BA56AD">
      <w:r>
        <w:rPr>
          <w:b/>
        </w:rPr>
        <w:t xml:space="preserve">ARTÍCULO 1. </w:t>
      </w:r>
      <w:r>
        <w:t>Reponer parcialmente la Resolución CREG 005 de 2019.</w:t>
      </w:r>
    </w:p>
    <w:p w14:paraId="4DF8ACBF" w14:textId="77777777" w:rsidR="00BA56AD" w:rsidRDefault="00BA56AD" w:rsidP="00BA56AD">
      <w:pPr>
        <w:rPr>
          <w:b/>
        </w:rPr>
      </w:pPr>
    </w:p>
    <w:p w14:paraId="5807F3BA" w14:textId="77777777" w:rsidR="00BA56AD" w:rsidRDefault="00BA56AD" w:rsidP="00BA56AD">
      <w:r>
        <w:rPr>
          <w:b/>
        </w:rPr>
        <w:t xml:space="preserve">ARTÍCULO 2. </w:t>
      </w:r>
      <w:r>
        <w:t xml:space="preserve">No se accede a lo solicitado en el Recurso de Reposición interpuesto por la empresa ALCANOS </w:t>
      </w:r>
      <w:r w:rsidRPr="00563F57">
        <w:t xml:space="preserve">S.A. E.S.P., </w:t>
      </w:r>
      <w:r>
        <w:t xml:space="preserve">en relación con </w:t>
      </w:r>
      <w:r>
        <w:rPr>
          <w:shd w:val="clear" w:color="auto" w:fill="FFFFFF"/>
        </w:rPr>
        <w:t xml:space="preserve">la proyección de gastos de AOM presentada por la empresa valorada a pesos de la fecha base, </w:t>
      </w:r>
      <w:r>
        <w:rPr>
          <w:shd w:val="clear" w:color="auto" w:fill="FFFFFF"/>
        </w:rPr>
        <w:lastRenderedPageBreak/>
        <w:t xml:space="preserve">es decir 31 de diciembre de 2017, </w:t>
      </w:r>
      <w:r w:rsidRPr="00563F57">
        <w:t xml:space="preserve">por las razones expuestas en la parte considerativa de la presente resolución. </w:t>
      </w:r>
    </w:p>
    <w:p w14:paraId="441E0654" w14:textId="77777777" w:rsidR="00BA56AD" w:rsidRDefault="00BA56AD" w:rsidP="00BA56AD">
      <w:pPr>
        <w:rPr>
          <w:b/>
        </w:rPr>
      </w:pPr>
    </w:p>
    <w:p w14:paraId="4EE5A399" w14:textId="77777777" w:rsidR="00BA56AD" w:rsidRDefault="00BA56AD" w:rsidP="00BA56AD">
      <w:r>
        <w:rPr>
          <w:b/>
        </w:rPr>
        <w:t xml:space="preserve">ARTÍCULO 3. </w:t>
      </w:r>
      <w:r w:rsidRPr="00F2436D">
        <w:t xml:space="preserve">Modificar el Artículo 3 “Inversión Base” de la Resolución CREG </w:t>
      </w:r>
      <w:r>
        <w:t>005 de 2019</w:t>
      </w:r>
      <w:r w:rsidRPr="00F2436D">
        <w:t xml:space="preserve">, </w:t>
      </w:r>
      <w:r>
        <w:t xml:space="preserve">de acuerdo con lo manifestado en el recurso de reposición interpuesto por ALCANOS S.A. E.S.P., </w:t>
      </w:r>
      <w:r w:rsidRPr="00F2436D">
        <w:t>el cual quedará así:</w:t>
      </w:r>
    </w:p>
    <w:p w14:paraId="5AC211AD" w14:textId="77777777" w:rsidR="00BA56AD" w:rsidRDefault="00BA56AD" w:rsidP="00BA56AD"/>
    <w:p w14:paraId="622D05AB" w14:textId="77777777" w:rsidR="00BA56AD" w:rsidRPr="007D0DEB" w:rsidRDefault="00BA56AD" w:rsidP="00BA56AD">
      <w:pPr>
        <w:widowControl w:val="0"/>
        <w:adjustRightInd w:val="0"/>
        <w:ind w:left="567" w:right="20"/>
        <w:rPr>
          <w:rFonts w:cs="Arial"/>
          <w:b/>
          <w:i/>
          <w:sz w:val="22"/>
        </w:rPr>
      </w:pPr>
      <w:r>
        <w:rPr>
          <w:rFonts w:cs="Arial"/>
          <w:b/>
          <w:i/>
          <w:sz w:val="22"/>
        </w:rPr>
        <w:t>“</w:t>
      </w:r>
      <w:r w:rsidRPr="007D0DEB">
        <w:rPr>
          <w:rFonts w:cs="Arial"/>
          <w:b/>
          <w:i/>
          <w:sz w:val="22"/>
        </w:rPr>
        <w:t>ARTÍCULO 3.</w:t>
      </w:r>
      <w:r w:rsidRPr="007D0DEB">
        <w:rPr>
          <w:rFonts w:cs="Arial"/>
          <w:i/>
          <w:sz w:val="22"/>
        </w:rPr>
        <w:t xml:space="preserve"> </w:t>
      </w:r>
      <w:r w:rsidRPr="007D0DEB">
        <w:rPr>
          <w:rFonts w:cs="Arial"/>
          <w:b/>
          <w:i/>
          <w:sz w:val="22"/>
        </w:rPr>
        <w:t xml:space="preserve">Inversión Base. </w:t>
      </w:r>
      <w:r w:rsidRPr="007D0DEB">
        <w:rPr>
          <w:rFonts w:cs="Arial"/>
          <w:i/>
          <w:sz w:val="22"/>
        </w:rPr>
        <w:t>La Inversión Base para determinar los cargos de distribución para el Mercado Relevante de Distribución definido en el artículo 1 de esta Resolución se compone como se indica a continuación:</w:t>
      </w:r>
    </w:p>
    <w:p w14:paraId="743F5991" w14:textId="77777777" w:rsidR="00BA56AD" w:rsidRPr="007D0DEB" w:rsidRDefault="00BA56AD" w:rsidP="00BA56AD">
      <w:pPr>
        <w:widowControl w:val="0"/>
        <w:adjustRightInd w:val="0"/>
        <w:ind w:left="567" w:right="20"/>
        <w:rPr>
          <w:rFonts w:cs="Arial"/>
          <w:b/>
          <w:i/>
          <w:sz w:val="22"/>
        </w:rPr>
      </w:pPr>
    </w:p>
    <w:p w14:paraId="3D5C17D2" w14:textId="77777777" w:rsidR="00BA56AD" w:rsidRPr="007D0DEB" w:rsidRDefault="00BA56AD" w:rsidP="00BA56AD">
      <w:pPr>
        <w:widowControl w:val="0"/>
        <w:adjustRightInd w:val="0"/>
        <w:ind w:left="567" w:right="20"/>
        <w:rPr>
          <w:rFonts w:cs="Arial"/>
          <w:i/>
          <w:sz w:val="22"/>
        </w:rPr>
      </w:pPr>
      <w:r w:rsidRPr="007D0DEB">
        <w:rPr>
          <w:rFonts w:cs="Arial"/>
          <w:b/>
          <w:i/>
          <w:sz w:val="22"/>
        </w:rPr>
        <w:t xml:space="preserve">3.1. Programa de Nuevas Inversiones para Municipios Nuevos (INPI). </w:t>
      </w:r>
      <w:r w:rsidRPr="007D0DEB">
        <w:rPr>
          <w:rFonts w:cs="Arial"/>
          <w:i/>
          <w:sz w:val="22"/>
        </w:rPr>
        <w:t xml:space="preserve">El   Programa de Nuevas Inversiones corresponde a un valor de </w:t>
      </w:r>
      <w:r>
        <w:rPr>
          <w:rFonts w:cs="Arial"/>
          <w:i/>
          <w:sz w:val="22"/>
        </w:rPr>
        <w:t>5.826.240.322</w:t>
      </w:r>
      <w:r w:rsidRPr="007D0DEB">
        <w:rPr>
          <w:rFonts w:cs="Arial"/>
          <w:i/>
          <w:sz w:val="22"/>
        </w:rPr>
        <w:t xml:space="preserve"> ($ 31 de diciembre de 2017) y su descripción se presenta en el Anexo 1 de la presente Resolución.</w:t>
      </w:r>
    </w:p>
    <w:p w14:paraId="110AAEC8" w14:textId="77777777" w:rsidR="00BA56AD" w:rsidRPr="007D0DEB" w:rsidRDefault="00BA56AD" w:rsidP="00BA56AD">
      <w:pPr>
        <w:widowControl w:val="0"/>
        <w:adjustRightInd w:val="0"/>
        <w:ind w:left="567" w:right="20"/>
        <w:rPr>
          <w:rFonts w:cs="Arial"/>
          <w:i/>
          <w:sz w:val="22"/>
        </w:rPr>
      </w:pPr>
    </w:p>
    <w:p w14:paraId="61DFD9D0" w14:textId="77777777" w:rsidR="00BA56AD" w:rsidRPr="007D0DEB" w:rsidRDefault="00BA56AD" w:rsidP="00BA56AD">
      <w:pPr>
        <w:widowControl w:val="0"/>
        <w:adjustRightInd w:val="0"/>
        <w:ind w:left="567" w:right="20"/>
        <w:rPr>
          <w:rFonts w:cs="Arial"/>
          <w:b/>
          <w:i/>
          <w:sz w:val="22"/>
        </w:rPr>
      </w:pPr>
      <w:r w:rsidRPr="007D0DEB">
        <w:rPr>
          <w:rFonts w:cs="Arial"/>
          <w:b/>
          <w:i/>
          <w:sz w:val="22"/>
        </w:rPr>
        <w:t xml:space="preserve">3.2. Valoración de la Inversión Base. </w:t>
      </w:r>
    </w:p>
    <w:p w14:paraId="63B3F260" w14:textId="77777777" w:rsidR="00BA56AD" w:rsidRPr="007D0DEB" w:rsidRDefault="00BA56AD" w:rsidP="00BA56AD">
      <w:pPr>
        <w:widowControl w:val="0"/>
        <w:adjustRightInd w:val="0"/>
        <w:ind w:left="567" w:right="20"/>
        <w:rPr>
          <w:rFonts w:cs="Arial"/>
          <w:i/>
          <w:sz w:val="22"/>
        </w:rPr>
      </w:pPr>
    </w:p>
    <w:p w14:paraId="096649B6" w14:textId="77777777" w:rsidR="00BA56AD" w:rsidRDefault="00BA56AD" w:rsidP="00BA56AD">
      <w:pPr>
        <w:widowControl w:val="0"/>
        <w:adjustRightInd w:val="0"/>
        <w:ind w:left="567" w:right="20"/>
        <w:rPr>
          <w:rFonts w:cs="Arial"/>
          <w:i/>
          <w:sz w:val="22"/>
        </w:rPr>
      </w:pPr>
      <w:r w:rsidRPr="007D0DEB">
        <w:rPr>
          <w:rFonts w:cs="Arial"/>
          <w:i/>
          <w:sz w:val="22"/>
        </w:rPr>
        <w:t>Aplicando la metodología contenida en la Resolución CREG 202 de 2013 y sus modificaciones y adiciones, se calcularon conforme a las formulas establecidas en los numerales 9.1.1.3. y 9.2.1.3. del artículo 9 para la componente que remunera la inversión base, aplicable a usuarios de uso residencial y a usuarios diferentes a los de uso residencial y se obtuvieron las siguientes variables principales:</w:t>
      </w:r>
    </w:p>
    <w:p w14:paraId="34266FC2" w14:textId="77777777" w:rsidR="00BA56AD" w:rsidRDefault="00BA56AD" w:rsidP="00BA56AD"/>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BA56AD" w:rsidRPr="007D0DEB" w14:paraId="547643DE" w14:textId="77777777" w:rsidTr="00FB5615">
        <w:trPr>
          <w:trHeight w:val="536"/>
          <w:tblHeader/>
          <w:jc w:val="center"/>
        </w:trPr>
        <w:tc>
          <w:tcPr>
            <w:tcW w:w="5000" w:type="pct"/>
            <w:gridSpan w:val="2"/>
            <w:shd w:val="clear" w:color="auto" w:fill="D9D9D9" w:themeFill="background1" w:themeFillShade="D9"/>
            <w:vAlign w:val="center"/>
            <w:hideMark/>
          </w:tcPr>
          <w:p w14:paraId="419A387F" w14:textId="77777777" w:rsidR="00BA56AD" w:rsidRPr="007D0DEB" w:rsidRDefault="00BA56AD" w:rsidP="00FB5615">
            <w:pPr>
              <w:jc w:val="center"/>
              <w:rPr>
                <w:b/>
                <w:bCs/>
                <w:i/>
                <w:color w:val="000000"/>
                <w:sz w:val="22"/>
                <w:szCs w:val="22"/>
                <w:lang w:val="es-CO" w:eastAsia="es-CO"/>
              </w:rPr>
            </w:pPr>
            <w:r w:rsidRPr="007D0DEB">
              <w:rPr>
                <w:b/>
                <w:bCs/>
                <w:i/>
                <w:color w:val="000000"/>
                <w:sz w:val="22"/>
                <w:szCs w:val="22"/>
                <w:lang w:eastAsia="es-CO"/>
              </w:rPr>
              <w:t>Usuarios de Uso Residencial</w:t>
            </w:r>
          </w:p>
        </w:tc>
      </w:tr>
      <w:tr w:rsidR="00BA56AD" w:rsidRPr="007D0DEB" w14:paraId="0E2F0840" w14:textId="77777777" w:rsidTr="00FB5615">
        <w:trPr>
          <w:trHeight w:val="313"/>
          <w:tblHeader/>
          <w:jc w:val="center"/>
        </w:trPr>
        <w:tc>
          <w:tcPr>
            <w:tcW w:w="2596" w:type="pct"/>
            <w:shd w:val="clear" w:color="auto" w:fill="D9D9D9" w:themeFill="background1" w:themeFillShade="D9"/>
            <w:vAlign w:val="center"/>
            <w:hideMark/>
          </w:tcPr>
          <w:p w14:paraId="58166C6C" w14:textId="77777777" w:rsidR="00BA56AD" w:rsidRPr="007D0DEB" w:rsidRDefault="00BA56AD" w:rsidP="00FB5615">
            <w:pPr>
              <w:jc w:val="center"/>
              <w:rPr>
                <w:b/>
                <w:bCs/>
                <w:i/>
                <w:color w:val="000000"/>
                <w:sz w:val="22"/>
                <w:szCs w:val="22"/>
                <w:lang w:val="es-CO" w:eastAsia="es-CO"/>
              </w:rPr>
            </w:pPr>
            <w:r w:rsidRPr="007D0DEB">
              <w:rPr>
                <w:rFonts w:cs="Arial"/>
                <w:b/>
                <w:bCs/>
                <w:i/>
                <w:color w:val="000000"/>
                <w:sz w:val="22"/>
                <w:szCs w:val="22"/>
                <w:lang w:eastAsia="es-CO"/>
              </w:rPr>
              <w:t>Variable</w:t>
            </w:r>
          </w:p>
        </w:tc>
        <w:tc>
          <w:tcPr>
            <w:tcW w:w="2404" w:type="pct"/>
            <w:shd w:val="clear" w:color="auto" w:fill="D9D9D9" w:themeFill="background1" w:themeFillShade="D9"/>
            <w:vAlign w:val="center"/>
            <w:hideMark/>
          </w:tcPr>
          <w:p w14:paraId="6F4A3DBA" w14:textId="77777777" w:rsidR="00BA56AD" w:rsidRPr="007D0DEB" w:rsidRDefault="00BA56AD" w:rsidP="00FB5615">
            <w:pPr>
              <w:jc w:val="center"/>
              <w:rPr>
                <w:b/>
                <w:bCs/>
                <w:i/>
                <w:color w:val="000000"/>
                <w:sz w:val="22"/>
                <w:szCs w:val="22"/>
                <w:lang w:val="es-CO" w:eastAsia="es-CO"/>
              </w:rPr>
            </w:pPr>
            <w:r w:rsidRPr="007D0DEB">
              <w:rPr>
                <w:rFonts w:cs="Arial"/>
                <w:b/>
                <w:bCs/>
                <w:i/>
                <w:color w:val="000000"/>
                <w:sz w:val="22"/>
                <w:szCs w:val="22"/>
                <w:lang w:eastAsia="es-CO"/>
              </w:rPr>
              <w:t>Año 2019 en adelante</w:t>
            </w:r>
          </w:p>
        </w:tc>
      </w:tr>
      <w:tr w:rsidR="00BA56AD" w:rsidRPr="007D0DEB" w14:paraId="480EE60C" w14:textId="77777777" w:rsidTr="00FB5615">
        <w:trPr>
          <w:trHeight w:val="271"/>
          <w:jc w:val="center"/>
        </w:trPr>
        <w:tc>
          <w:tcPr>
            <w:tcW w:w="2596" w:type="pct"/>
            <w:shd w:val="clear" w:color="auto" w:fill="auto"/>
            <w:hideMark/>
          </w:tcPr>
          <w:p w14:paraId="3D5C4682" w14:textId="77777777" w:rsidR="00BA56AD" w:rsidRPr="007D0DEB" w:rsidRDefault="00BA56AD" w:rsidP="00FB5615">
            <w:pPr>
              <w:rPr>
                <w:b/>
                <w:bCs/>
                <w:i/>
                <w:color w:val="000000"/>
                <w:sz w:val="22"/>
                <w:szCs w:val="22"/>
                <w:lang w:val="es-CO" w:eastAsia="es-CO"/>
              </w:rPr>
            </w:pPr>
            <w:r w:rsidRPr="007D0DEB">
              <w:rPr>
                <w:i/>
                <w:noProof/>
                <w:sz w:val="22"/>
                <w:szCs w:val="22"/>
                <w:lang w:val="es-CO" w:eastAsia="es-CO"/>
              </w:rPr>
              <w:drawing>
                <wp:inline distT="0" distB="0" distL="0" distR="0" wp14:anchorId="0906FECE" wp14:editId="6C69ECD7">
                  <wp:extent cx="504825" cy="152400"/>
                  <wp:effectExtent l="0" t="0" r="0" b="0"/>
                  <wp:docPr id="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bottom"/>
          </w:tcPr>
          <w:p w14:paraId="1809B91A" w14:textId="77777777" w:rsidR="00BA56AD" w:rsidRPr="00316BF6" w:rsidRDefault="00BA56AD" w:rsidP="00FB5615">
            <w:pPr>
              <w:jc w:val="center"/>
              <w:rPr>
                <w:i/>
                <w:color w:val="000000"/>
                <w:sz w:val="22"/>
                <w:szCs w:val="22"/>
                <w:lang w:val="es-CO" w:eastAsia="es-CO"/>
              </w:rPr>
            </w:pPr>
            <w:r w:rsidRPr="00316BF6">
              <w:rPr>
                <w:i/>
                <w:color w:val="000000"/>
                <w:sz w:val="20"/>
                <w:szCs w:val="16"/>
              </w:rPr>
              <w:t>2.811.906.423</w:t>
            </w:r>
          </w:p>
        </w:tc>
      </w:tr>
      <w:tr w:rsidR="00BA56AD" w:rsidRPr="007D0DEB" w14:paraId="3ED88293" w14:textId="77777777" w:rsidTr="00FB5615">
        <w:trPr>
          <w:trHeight w:val="271"/>
          <w:jc w:val="center"/>
        </w:trPr>
        <w:tc>
          <w:tcPr>
            <w:tcW w:w="2596" w:type="pct"/>
            <w:shd w:val="clear" w:color="auto" w:fill="auto"/>
            <w:hideMark/>
          </w:tcPr>
          <w:p w14:paraId="7E9C3EC3" w14:textId="77777777" w:rsidR="00BA56AD" w:rsidRPr="007D0DEB" w:rsidRDefault="00BA56AD" w:rsidP="00FB5615">
            <w:pPr>
              <w:rPr>
                <w:b/>
                <w:bCs/>
                <w:i/>
                <w:color w:val="000000"/>
                <w:sz w:val="22"/>
                <w:szCs w:val="22"/>
                <w:lang w:val="es-CO" w:eastAsia="es-CO"/>
              </w:rPr>
            </w:pPr>
            <w:r w:rsidRPr="007D0DEB">
              <w:rPr>
                <w:i/>
                <w:noProof/>
                <w:sz w:val="22"/>
                <w:szCs w:val="22"/>
                <w:lang w:val="es-CO" w:eastAsia="es-CO"/>
              </w:rPr>
              <w:drawing>
                <wp:inline distT="0" distB="0" distL="0" distR="0" wp14:anchorId="36AFE34D" wp14:editId="14AFC9BB">
                  <wp:extent cx="495300" cy="152400"/>
                  <wp:effectExtent l="0" t="0" r="0" b="0"/>
                  <wp:docPr id="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2404" w:type="pct"/>
            <w:shd w:val="clear" w:color="auto" w:fill="auto"/>
            <w:vAlign w:val="bottom"/>
          </w:tcPr>
          <w:p w14:paraId="4B20A7F7" w14:textId="77777777" w:rsidR="00BA56AD" w:rsidRPr="00316BF6" w:rsidRDefault="00BA56AD" w:rsidP="00FB5615">
            <w:pPr>
              <w:jc w:val="center"/>
              <w:rPr>
                <w:i/>
                <w:color w:val="000000"/>
                <w:sz w:val="22"/>
                <w:szCs w:val="22"/>
              </w:rPr>
            </w:pPr>
            <w:r w:rsidRPr="00316BF6">
              <w:rPr>
                <w:i/>
                <w:color w:val="000000"/>
                <w:sz w:val="20"/>
                <w:szCs w:val="16"/>
              </w:rPr>
              <w:t>2.638.196.390</w:t>
            </w:r>
          </w:p>
        </w:tc>
      </w:tr>
      <w:tr w:rsidR="00BA56AD" w:rsidRPr="007D0DEB" w14:paraId="1B96E63C" w14:textId="77777777" w:rsidTr="00FB5615">
        <w:trPr>
          <w:trHeight w:val="271"/>
          <w:jc w:val="center"/>
        </w:trPr>
        <w:tc>
          <w:tcPr>
            <w:tcW w:w="2596" w:type="pct"/>
            <w:shd w:val="clear" w:color="auto" w:fill="auto"/>
            <w:hideMark/>
          </w:tcPr>
          <w:p w14:paraId="1316250F" w14:textId="77777777" w:rsidR="00BA56AD" w:rsidRPr="007D0DEB" w:rsidRDefault="00BA56AD" w:rsidP="00FB5615">
            <w:pPr>
              <w:rPr>
                <w:b/>
                <w:bCs/>
                <w:i/>
                <w:color w:val="000000"/>
                <w:sz w:val="22"/>
                <w:szCs w:val="22"/>
                <w:lang w:val="es-CO" w:eastAsia="es-CO"/>
              </w:rPr>
            </w:pPr>
            <m:oMath>
              <m:r>
                <m:rPr>
                  <m:sty m:val="bi"/>
                </m:rPr>
                <w:rPr>
                  <w:rFonts w:ascii="Cambria Math" w:hAnsi="Cambria Math"/>
                  <w:color w:val="000000"/>
                  <w:sz w:val="20"/>
                  <w:szCs w:val="20"/>
                  <w:lang w:val="es-CO" w:eastAsia="es-CO"/>
                </w:rPr>
                <m:t>VP(Q</m:t>
              </m:r>
              <m:sSub>
                <m:sSubPr>
                  <m:ctrlPr>
                    <w:rPr>
                      <w:rFonts w:ascii="Cambria Math" w:hAnsi="Cambria Math"/>
                      <w:b/>
                      <w:bCs/>
                      <w:i/>
                      <w:color w:val="000000"/>
                      <w:sz w:val="20"/>
                      <w:szCs w:val="20"/>
                      <w:lang w:val="es-CO" w:eastAsia="es-CO"/>
                    </w:rPr>
                  </m:ctrlPr>
                </m:sSubPr>
                <m:e>
                  <m:d>
                    <m:dPr>
                      <m:ctrlPr>
                        <w:rPr>
                          <w:rFonts w:ascii="Cambria Math" w:hAnsi="Cambria Math"/>
                          <w:b/>
                          <w:bCs/>
                          <w:i/>
                          <w:color w:val="000000"/>
                          <w:sz w:val="20"/>
                          <w:szCs w:val="20"/>
                          <w:lang w:val="es-CO" w:eastAsia="es-CO"/>
                        </w:rPr>
                      </m:ctrlPr>
                    </m:dPr>
                    <m:e>
                      <m:r>
                        <m:rPr>
                          <m:sty m:val="bi"/>
                        </m:rPr>
                        <w:rPr>
                          <w:rFonts w:ascii="Cambria Math" w:hAnsi="Cambria Math"/>
                          <w:color w:val="000000"/>
                          <w:sz w:val="20"/>
                          <w:szCs w:val="20"/>
                          <w:lang w:val="es-CO" w:eastAsia="es-CO"/>
                        </w:rPr>
                        <m:t>PR</m:t>
                      </m:r>
                    </m:e>
                  </m:d>
                </m:e>
                <m:sub>
                  <m:r>
                    <m:rPr>
                      <m:sty m:val="bi"/>
                    </m:rPr>
                    <w:rPr>
                      <w:rFonts w:ascii="Cambria Math" w:hAnsi="Cambria Math"/>
                      <w:color w:val="000000"/>
                      <w:sz w:val="20"/>
                      <w:szCs w:val="20"/>
                      <w:lang w:val="es-CO" w:eastAsia="es-CO"/>
                    </w:rPr>
                    <m:t>NoResRSk</m:t>
                  </m:r>
                </m:sub>
              </m:sSub>
              <m:r>
                <m:rPr>
                  <m:sty m:val="bi"/>
                </m:rPr>
                <w:rPr>
                  <w:rFonts w:ascii="Cambria Math" w:hAnsi="Cambria Math"/>
                  <w:color w:val="000000"/>
                  <w:sz w:val="20"/>
                  <w:szCs w:val="20"/>
                  <w:lang w:val="es-CO" w:eastAsia="es-CO"/>
                </w:rPr>
                <m:t>+Q</m:t>
              </m:r>
              <m:sSub>
                <m:sSubPr>
                  <m:ctrlPr>
                    <w:rPr>
                      <w:rFonts w:ascii="Cambria Math" w:hAnsi="Cambria Math"/>
                      <w:b/>
                      <w:bCs/>
                      <w:i/>
                      <w:color w:val="000000"/>
                      <w:sz w:val="20"/>
                      <w:szCs w:val="20"/>
                      <w:lang w:val="es-CO" w:eastAsia="es-CO"/>
                    </w:rPr>
                  </m:ctrlPr>
                </m:sSubPr>
                <m:e>
                  <m:d>
                    <m:dPr>
                      <m:ctrlPr>
                        <w:rPr>
                          <w:rFonts w:ascii="Cambria Math" w:hAnsi="Cambria Math"/>
                          <w:b/>
                          <w:bCs/>
                          <w:i/>
                          <w:color w:val="000000"/>
                          <w:sz w:val="20"/>
                          <w:szCs w:val="20"/>
                          <w:lang w:val="es-CO" w:eastAsia="es-CO"/>
                        </w:rPr>
                      </m:ctrlPr>
                    </m:dPr>
                    <m:e>
                      <m:r>
                        <m:rPr>
                          <m:sty m:val="bi"/>
                        </m:rPr>
                        <w:rPr>
                          <w:rFonts w:ascii="Cambria Math" w:hAnsi="Cambria Math"/>
                          <w:color w:val="000000"/>
                          <w:sz w:val="20"/>
                          <w:szCs w:val="20"/>
                          <w:lang w:val="es-CO" w:eastAsia="es-CO"/>
                        </w:rPr>
                        <m:t>PR</m:t>
                      </m:r>
                    </m:e>
                  </m:d>
                </m:e>
                <m:sub>
                  <m:r>
                    <m:rPr>
                      <m:sty m:val="bi"/>
                    </m:rPr>
                    <w:rPr>
                      <w:rFonts w:ascii="Cambria Math" w:hAnsi="Cambria Math"/>
                      <w:color w:val="000000"/>
                      <w:sz w:val="20"/>
                      <w:szCs w:val="20"/>
                      <w:lang w:val="es-CO" w:eastAsia="es-CO"/>
                    </w:rPr>
                    <m:t>Resk</m:t>
                  </m:r>
                </m:sub>
              </m:sSub>
              <m:r>
                <m:rPr>
                  <m:sty m:val="bi"/>
                </m:rPr>
                <w:rPr>
                  <w:rFonts w:ascii="Cambria Math" w:hAnsi="Cambria Math"/>
                  <w:color w:val="000000"/>
                  <w:sz w:val="20"/>
                  <w:szCs w:val="20"/>
                  <w:lang w:val="es-CO" w:eastAsia="es-CO"/>
                </w:rPr>
                <m:t>)</m:t>
              </m:r>
            </m:oMath>
            <w:r w:rsidRPr="007D0DEB">
              <w:rPr>
                <w:b/>
                <w:bCs/>
                <w:i/>
                <w:color w:val="000000"/>
                <w:sz w:val="22"/>
                <w:szCs w:val="22"/>
                <w:lang w:val="es-CO" w:eastAsia="es-CO"/>
              </w:rPr>
              <w:t> </w:t>
            </w:r>
          </w:p>
        </w:tc>
        <w:tc>
          <w:tcPr>
            <w:tcW w:w="2404" w:type="pct"/>
            <w:shd w:val="clear" w:color="auto" w:fill="auto"/>
            <w:vAlign w:val="bottom"/>
          </w:tcPr>
          <w:p w14:paraId="53987A41" w14:textId="77777777" w:rsidR="00BA56AD" w:rsidRPr="00316BF6" w:rsidRDefault="00BA56AD" w:rsidP="00FB5615">
            <w:pPr>
              <w:jc w:val="center"/>
              <w:rPr>
                <w:i/>
                <w:color w:val="000000"/>
                <w:sz w:val="22"/>
                <w:szCs w:val="22"/>
              </w:rPr>
            </w:pPr>
            <w:r w:rsidRPr="00316BF6">
              <w:rPr>
                <w:i/>
                <w:color w:val="000000"/>
                <w:sz w:val="20"/>
                <w:szCs w:val="16"/>
              </w:rPr>
              <w:t>6.067.125</w:t>
            </w:r>
          </w:p>
        </w:tc>
      </w:tr>
      <w:tr w:rsidR="00BA56AD" w:rsidRPr="007D0DEB" w14:paraId="134CF226" w14:textId="77777777" w:rsidTr="00FB5615">
        <w:trPr>
          <w:trHeight w:val="271"/>
          <w:jc w:val="center"/>
        </w:trPr>
        <w:tc>
          <w:tcPr>
            <w:tcW w:w="2596" w:type="pct"/>
            <w:shd w:val="clear" w:color="auto" w:fill="auto"/>
            <w:hideMark/>
          </w:tcPr>
          <w:p w14:paraId="070B3E61" w14:textId="77777777" w:rsidR="00BA56AD" w:rsidRPr="007D0DEB" w:rsidRDefault="00BA56AD" w:rsidP="00FB5615">
            <w:pPr>
              <w:rPr>
                <w:b/>
                <w:bCs/>
                <w:i/>
                <w:color w:val="000000"/>
                <w:sz w:val="22"/>
                <w:szCs w:val="22"/>
                <w:lang w:val="es-CO" w:eastAsia="es-CO"/>
              </w:rPr>
            </w:pPr>
            <w:r w:rsidRPr="007D0DEB">
              <w:rPr>
                <w:i/>
                <w:noProof/>
                <w:sz w:val="22"/>
                <w:szCs w:val="22"/>
                <w:lang w:val="es-CO" w:eastAsia="es-CO"/>
              </w:rPr>
              <w:drawing>
                <wp:inline distT="0" distB="0" distL="0" distR="0" wp14:anchorId="36DACCB9" wp14:editId="02EC9B1F">
                  <wp:extent cx="742950" cy="152400"/>
                  <wp:effectExtent l="0" t="0" r="0" b="0"/>
                  <wp:docPr id="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bottom"/>
          </w:tcPr>
          <w:p w14:paraId="5564B3A7" w14:textId="77777777" w:rsidR="00BA56AD" w:rsidRPr="00316BF6" w:rsidRDefault="00BA56AD" w:rsidP="00FB5615">
            <w:pPr>
              <w:jc w:val="center"/>
              <w:rPr>
                <w:i/>
                <w:color w:val="000000"/>
                <w:sz w:val="22"/>
                <w:szCs w:val="22"/>
              </w:rPr>
            </w:pPr>
            <w:r w:rsidRPr="00316BF6">
              <w:rPr>
                <w:i/>
                <w:color w:val="000000"/>
                <w:sz w:val="20"/>
                <w:szCs w:val="16"/>
              </w:rPr>
              <w:t>6.067.125</w:t>
            </w:r>
          </w:p>
        </w:tc>
      </w:tr>
    </w:tbl>
    <w:p w14:paraId="09F2658A" w14:textId="77777777" w:rsidR="00BA56AD" w:rsidRPr="002442D8" w:rsidRDefault="00BA56AD" w:rsidP="00BA56AD">
      <w:pPr>
        <w:widowControl w:val="0"/>
        <w:adjustRightInd w:val="0"/>
        <w:spacing w:after="240"/>
        <w:ind w:right="23"/>
        <w:jc w:val="center"/>
        <w:rPr>
          <w:rFonts w:cs="Arial"/>
          <w:sz w:val="18"/>
        </w:rPr>
      </w:pPr>
      <w:r w:rsidRPr="007B0D3E">
        <w:rPr>
          <w:rFonts w:cs="Arial"/>
          <w:sz w:val="16"/>
        </w:rPr>
        <w:t>Cifras en pesos del 31 de diciembre de 201</w:t>
      </w:r>
      <w:r>
        <w:rPr>
          <w:rFonts w:cs="Arial"/>
          <w:sz w:val="16"/>
        </w:rPr>
        <w:t>7</w:t>
      </w:r>
      <w:r w:rsidRPr="007B0D3E">
        <w:rPr>
          <w:rFonts w:cs="Arial"/>
          <w:sz w:val="16"/>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BA56AD" w:rsidRPr="007D0DEB" w14:paraId="0805CDF0" w14:textId="77777777" w:rsidTr="00FB5615">
        <w:trPr>
          <w:trHeight w:val="536"/>
          <w:jc w:val="center"/>
        </w:trPr>
        <w:tc>
          <w:tcPr>
            <w:tcW w:w="5000" w:type="pct"/>
            <w:gridSpan w:val="2"/>
            <w:shd w:val="clear" w:color="auto" w:fill="D9D9D9" w:themeFill="background1" w:themeFillShade="D9"/>
            <w:vAlign w:val="center"/>
            <w:hideMark/>
          </w:tcPr>
          <w:p w14:paraId="332E086B" w14:textId="77777777" w:rsidR="00BA56AD" w:rsidRPr="007D0DEB" w:rsidRDefault="00BA56AD" w:rsidP="00FB5615">
            <w:pPr>
              <w:jc w:val="center"/>
              <w:rPr>
                <w:b/>
                <w:bCs/>
                <w:i/>
                <w:color w:val="000000"/>
                <w:sz w:val="22"/>
                <w:szCs w:val="22"/>
                <w:lang w:val="es-CO" w:eastAsia="es-CO"/>
              </w:rPr>
            </w:pPr>
            <w:r w:rsidRPr="007D0DEB">
              <w:rPr>
                <w:b/>
                <w:bCs/>
                <w:i/>
                <w:color w:val="000000"/>
                <w:sz w:val="22"/>
                <w:szCs w:val="22"/>
                <w:lang w:eastAsia="es-CO"/>
              </w:rPr>
              <w:t>Usuarios Diferentes a los de Uso Residencial</w:t>
            </w:r>
          </w:p>
        </w:tc>
      </w:tr>
      <w:tr w:rsidR="00BA56AD" w:rsidRPr="007D0DEB" w14:paraId="2E7BD9E0" w14:textId="77777777" w:rsidTr="00FB5615">
        <w:trPr>
          <w:trHeight w:val="313"/>
          <w:jc w:val="center"/>
        </w:trPr>
        <w:tc>
          <w:tcPr>
            <w:tcW w:w="2596" w:type="pct"/>
            <w:shd w:val="clear" w:color="auto" w:fill="D9D9D9" w:themeFill="background1" w:themeFillShade="D9"/>
            <w:vAlign w:val="center"/>
            <w:hideMark/>
          </w:tcPr>
          <w:p w14:paraId="61BA143A" w14:textId="77777777" w:rsidR="00BA56AD" w:rsidRPr="007D0DEB" w:rsidRDefault="00BA56AD" w:rsidP="00FB5615">
            <w:pPr>
              <w:jc w:val="center"/>
              <w:rPr>
                <w:b/>
                <w:bCs/>
                <w:i/>
                <w:color w:val="000000"/>
                <w:sz w:val="22"/>
                <w:szCs w:val="22"/>
                <w:lang w:val="es-CO" w:eastAsia="es-CO"/>
              </w:rPr>
            </w:pPr>
            <w:r w:rsidRPr="007D0DEB">
              <w:rPr>
                <w:rFonts w:cs="Arial"/>
                <w:b/>
                <w:bCs/>
                <w:i/>
                <w:color w:val="000000"/>
                <w:sz w:val="22"/>
                <w:szCs w:val="22"/>
                <w:lang w:eastAsia="es-CO"/>
              </w:rPr>
              <w:t>Variable</w:t>
            </w:r>
          </w:p>
        </w:tc>
        <w:tc>
          <w:tcPr>
            <w:tcW w:w="2404" w:type="pct"/>
            <w:shd w:val="clear" w:color="auto" w:fill="D9D9D9" w:themeFill="background1" w:themeFillShade="D9"/>
            <w:vAlign w:val="center"/>
            <w:hideMark/>
          </w:tcPr>
          <w:p w14:paraId="3AA6DD12" w14:textId="77777777" w:rsidR="00BA56AD" w:rsidRPr="007D0DEB" w:rsidRDefault="00BA56AD" w:rsidP="00FB5615">
            <w:pPr>
              <w:jc w:val="center"/>
              <w:rPr>
                <w:b/>
                <w:bCs/>
                <w:i/>
                <w:color w:val="000000"/>
                <w:sz w:val="22"/>
                <w:szCs w:val="22"/>
                <w:lang w:val="es-CO" w:eastAsia="es-CO"/>
              </w:rPr>
            </w:pPr>
            <w:r w:rsidRPr="007D0DEB">
              <w:rPr>
                <w:rFonts w:cs="Arial"/>
                <w:b/>
                <w:bCs/>
                <w:i/>
                <w:color w:val="000000"/>
                <w:sz w:val="22"/>
                <w:szCs w:val="22"/>
                <w:lang w:eastAsia="es-CO"/>
              </w:rPr>
              <w:t>Año 2019 en adelante</w:t>
            </w:r>
          </w:p>
        </w:tc>
      </w:tr>
      <w:tr w:rsidR="00BA56AD" w:rsidRPr="007D0DEB" w14:paraId="2E21FAA9" w14:textId="77777777" w:rsidTr="00FB5615">
        <w:trPr>
          <w:trHeight w:val="271"/>
          <w:jc w:val="center"/>
        </w:trPr>
        <w:tc>
          <w:tcPr>
            <w:tcW w:w="2596" w:type="pct"/>
            <w:shd w:val="clear" w:color="auto" w:fill="auto"/>
            <w:hideMark/>
          </w:tcPr>
          <w:p w14:paraId="60623426" w14:textId="77777777" w:rsidR="00BA56AD" w:rsidRPr="007D0DEB" w:rsidRDefault="00BA56AD" w:rsidP="00FB5615">
            <w:pPr>
              <w:rPr>
                <w:b/>
                <w:bCs/>
                <w:i/>
                <w:color w:val="000000"/>
                <w:sz w:val="22"/>
                <w:szCs w:val="22"/>
                <w:lang w:val="es-CO" w:eastAsia="es-CO"/>
              </w:rPr>
            </w:pPr>
            <w:r w:rsidRPr="007D0DEB">
              <w:rPr>
                <w:i/>
                <w:noProof/>
                <w:sz w:val="22"/>
                <w:szCs w:val="22"/>
                <w:lang w:val="es-CO" w:eastAsia="es-CO"/>
              </w:rPr>
              <w:drawing>
                <wp:inline distT="0" distB="0" distL="0" distR="0" wp14:anchorId="4A07936E" wp14:editId="1FAFD262">
                  <wp:extent cx="504825" cy="152400"/>
                  <wp:effectExtent l="0" t="0" r="0" b="0"/>
                  <wp:docPr id="3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center"/>
          </w:tcPr>
          <w:p w14:paraId="3277847A" w14:textId="77777777" w:rsidR="00BA56AD" w:rsidRPr="00316BF6" w:rsidRDefault="00BA56AD" w:rsidP="00FB5615">
            <w:pPr>
              <w:jc w:val="center"/>
              <w:rPr>
                <w:i/>
                <w:color w:val="000000"/>
                <w:sz w:val="22"/>
                <w:szCs w:val="22"/>
              </w:rPr>
            </w:pPr>
            <w:r w:rsidRPr="00316BF6">
              <w:rPr>
                <w:i/>
                <w:color w:val="000000"/>
                <w:sz w:val="20"/>
                <w:szCs w:val="16"/>
              </w:rPr>
              <w:t>2.811.906.423</w:t>
            </w:r>
          </w:p>
        </w:tc>
      </w:tr>
      <w:tr w:rsidR="00BA56AD" w:rsidRPr="007D0DEB" w14:paraId="538BB7FC" w14:textId="77777777" w:rsidTr="00FB5615">
        <w:trPr>
          <w:trHeight w:val="271"/>
          <w:jc w:val="center"/>
        </w:trPr>
        <w:tc>
          <w:tcPr>
            <w:tcW w:w="2596" w:type="pct"/>
            <w:shd w:val="clear" w:color="auto" w:fill="auto"/>
            <w:hideMark/>
          </w:tcPr>
          <w:p w14:paraId="689A0407" w14:textId="77777777" w:rsidR="00BA56AD" w:rsidRPr="007D0DEB" w:rsidRDefault="00BA56AD" w:rsidP="00FB5615">
            <w:pPr>
              <w:rPr>
                <w:b/>
                <w:bCs/>
                <w:i/>
                <w:color w:val="000000"/>
                <w:sz w:val="22"/>
                <w:szCs w:val="22"/>
                <w:lang w:val="es-CO" w:eastAsia="es-CO"/>
              </w:rPr>
            </w:pPr>
            <w:r w:rsidRPr="007D0DEB">
              <w:rPr>
                <w:i/>
                <w:noProof/>
                <w:sz w:val="22"/>
                <w:szCs w:val="22"/>
                <w:lang w:val="es-CO" w:eastAsia="es-CO"/>
              </w:rPr>
              <w:drawing>
                <wp:inline distT="0" distB="0" distL="0" distR="0" wp14:anchorId="3726C7E7" wp14:editId="65CFBBA3">
                  <wp:extent cx="838200" cy="161925"/>
                  <wp:effectExtent l="0" t="0" r="0" b="0"/>
                  <wp:docPr id="3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61925"/>
                          </a:xfrm>
                          <a:prstGeom prst="rect">
                            <a:avLst/>
                          </a:prstGeom>
                          <a:noFill/>
                          <a:ln>
                            <a:noFill/>
                          </a:ln>
                        </pic:spPr>
                      </pic:pic>
                    </a:graphicData>
                  </a:graphic>
                </wp:inline>
              </w:drawing>
            </w:r>
          </w:p>
        </w:tc>
        <w:tc>
          <w:tcPr>
            <w:tcW w:w="2404" w:type="pct"/>
            <w:shd w:val="clear" w:color="auto" w:fill="auto"/>
            <w:vAlign w:val="center"/>
          </w:tcPr>
          <w:p w14:paraId="77996A30" w14:textId="77777777" w:rsidR="00BA56AD" w:rsidRPr="00316BF6" w:rsidRDefault="00BA56AD" w:rsidP="00FB5615">
            <w:pPr>
              <w:jc w:val="center"/>
              <w:rPr>
                <w:i/>
                <w:color w:val="000000"/>
                <w:sz w:val="22"/>
                <w:szCs w:val="22"/>
              </w:rPr>
            </w:pPr>
            <w:r w:rsidRPr="00316BF6">
              <w:rPr>
                <w:i/>
                <w:color w:val="000000"/>
                <w:sz w:val="20"/>
                <w:szCs w:val="16"/>
              </w:rPr>
              <w:t>62.317.066</w:t>
            </w:r>
          </w:p>
        </w:tc>
      </w:tr>
      <w:tr w:rsidR="00BA56AD" w:rsidRPr="007D0DEB" w14:paraId="09FC7375" w14:textId="77777777" w:rsidTr="00FB5615">
        <w:trPr>
          <w:trHeight w:val="271"/>
          <w:jc w:val="center"/>
        </w:trPr>
        <w:tc>
          <w:tcPr>
            <w:tcW w:w="2596" w:type="pct"/>
            <w:shd w:val="clear" w:color="auto" w:fill="auto"/>
            <w:hideMark/>
          </w:tcPr>
          <w:p w14:paraId="321E24D3" w14:textId="77777777" w:rsidR="00BA56AD" w:rsidRPr="007D0DEB" w:rsidRDefault="00BA56AD" w:rsidP="00FB5615">
            <w:pPr>
              <w:rPr>
                <w:b/>
                <w:bCs/>
                <w:i/>
                <w:color w:val="000000"/>
                <w:sz w:val="22"/>
                <w:szCs w:val="22"/>
                <w:lang w:val="es-CO" w:eastAsia="es-CO"/>
              </w:rPr>
            </w:pPr>
            <w:r w:rsidRPr="007D0DEB">
              <w:rPr>
                <w:i/>
                <w:noProof/>
                <w:sz w:val="22"/>
                <w:szCs w:val="22"/>
                <w:lang w:val="es-CO" w:eastAsia="es-CO"/>
              </w:rPr>
              <w:drawing>
                <wp:inline distT="0" distB="0" distL="0" distR="0" wp14:anchorId="6D5E4A6F" wp14:editId="555A6595">
                  <wp:extent cx="695325" cy="152400"/>
                  <wp:effectExtent l="0" t="0" r="0" b="0"/>
                  <wp:docPr id="4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14:paraId="49778A2B" w14:textId="77777777" w:rsidR="00BA56AD" w:rsidRPr="00316BF6" w:rsidRDefault="00BA56AD" w:rsidP="00FB5615">
            <w:pPr>
              <w:jc w:val="center"/>
              <w:rPr>
                <w:i/>
                <w:color w:val="000000"/>
                <w:sz w:val="22"/>
                <w:szCs w:val="22"/>
              </w:rPr>
            </w:pPr>
            <w:r w:rsidRPr="00316BF6">
              <w:rPr>
                <w:i/>
                <w:color w:val="000000"/>
                <w:sz w:val="20"/>
                <w:szCs w:val="16"/>
              </w:rPr>
              <w:t>6.067.125</w:t>
            </w:r>
          </w:p>
        </w:tc>
      </w:tr>
      <w:tr w:rsidR="00BA56AD" w:rsidRPr="007D0DEB" w14:paraId="05BA9F21" w14:textId="77777777" w:rsidTr="00FB5615">
        <w:trPr>
          <w:trHeight w:val="271"/>
          <w:jc w:val="center"/>
        </w:trPr>
        <w:tc>
          <w:tcPr>
            <w:tcW w:w="2596" w:type="pct"/>
            <w:shd w:val="clear" w:color="auto" w:fill="auto"/>
            <w:hideMark/>
          </w:tcPr>
          <w:p w14:paraId="34E60F32" w14:textId="77777777" w:rsidR="00BA56AD" w:rsidRPr="007D0DEB" w:rsidRDefault="00BA56AD" w:rsidP="00FB5615">
            <w:pPr>
              <w:rPr>
                <w:b/>
                <w:bCs/>
                <w:i/>
                <w:color w:val="000000"/>
                <w:sz w:val="22"/>
                <w:szCs w:val="22"/>
                <w:lang w:val="es-CO" w:eastAsia="es-CO"/>
              </w:rPr>
            </w:pPr>
            <w:r w:rsidRPr="007D0DEB">
              <w:rPr>
                <w:i/>
                <w:noProof/>
                <w:sz w:val="22"/>
                <w:szCs w:val="22"/>
                <w:lang w:val="es-CO" w:eastAsia="es-CO"/>
              </w:rPr>
              <w:drawing>
                <wp:inline distT="0" distB="0" distL="0" distR="0" wp14:anchorId="07F7D648" wp14:editId="49E430C4">
                  <wp:extent cx="838200" cy="152400"/>
                  <wp:effectExtent l="0" t="0" r="0" b="0"/>
                  <wp:docPr id="4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14:paraId="78E1B3C6" w14:textId="77777777" w:rsidR="00BA56AD" w:rsidRPr="00316BF6" w:rsidRDefault="00BA56AD" w:rsidP="00FB5615">
            <w:pPr>
              <w:jc w:val="center"/>
              <w:rPr>
                <w:i/>
                <w:color w:val="000000"/>
                <w:sz w:val="22"/>
                <w:szCs w:val="22"/>
              </w:rPr>
            </w:pPr>
            <w:r w:rsidRPr="00316BF6">
              <w:rPr>
                <w:i/>
                <w:color w:val="000000"/>
                <w:sz w:val="20"/>
                <w:szCs w:val="16"/>
              </w:rPr>
              <w:t>5.909.437</w:t>
            </w:r>
          </w:p>
        </w:tc>
      </w:tr>
    </w:tbl>
    <w:p w14:paraId="6377738D" w14:textId="77777777" w:rsidR="00BA56AD" w:rsidRPr="002442D8" w:rsidRDefault="00BA56AD" w:rsidP="00BA56AD">
      <w:pPr>
        <w:widowControl w:val="0"/>
        <w:adjustRightInd w:val="0"/>
        <w:ind w:right="23"/>
        <w:jc w:val="center"/>
        <w:rPr>
          <w:rFonts w:cs="Arial"/>
          <w:sz w:val="18"/>
        </w:rPr>
      </w:pPr>
      <w:r w:rsidRPr="007B0D3E">
        <w:rPr>
          <w:rFonts w:cs="Arial"/>
          <w:sz w:val="16"/>
        </w:rPr>
        <w:t>Cifras en pesos del 31 de diciembre de 201</w:t>
      </w:r>
      <w:r>
        <w:rPr>
          <w:rFonts w:cs="Arial"/>
          <w:sz w:val="16"/>
        </w:rPr>
        <w:t>7</w:t>
      </w:r>
      <w:r w:rsidRPr="007B0D3E">
        <w:rPr>
          <w:rFonts w:cs="Arial"/>
          <w:sz w:val="16"/>
        </w:rPr>
        <w:t>.</w:t>
      </w:r>
    </w:p>
    <w:p w14:paraId="7898DBC2" w14:textId="77777777" w:rsidR="00BA56AD" w:rsidRDefault="00BA56AD" w:rsidP="00BA56AD">
      <w:r>
        <w:tab/>
      </w:r>
      <w:r>
        <w:tab/>
      </w:r>
      <w:r>
        <w:tab/>
      </w:r>
      <w:r>
        <w:tab/>
      </w:r>
      <w:r>
        <w:tab/>
      </w:r>
      <w:r>
        <w:tab/>
      </w:r>
      <w:r>
        <w:tab/>
      </w:r>
      <w:r>
        <w:tab/>
      </w:r>
      <w:r>
        <w:tab/>
      </w:r>
      <w:r>
        <w:tab/>
      </w:r>
      <w:r>
        <w:tab/>
        <w:t xml:space="preserve">       ”</w:t>
      </w:r>
      <w:r>
        <w:tab/>
      </w:r>
    </w:p>
    <w:p w14:paraId="1B33A521" w14:textId="77777777" w:rsidR="00BA56AD" w:rsidRPr="00F2436D" w:rsidRDefault="00BA56AD" w:rsidP="00BA56AD">
      <w:r w:rsidRPr="00F2436D">
        <w:rPr>
          <w:b/>
        </w:rPr>
        <w:t xml:space="preserve">ARTÍCULO </w:t>
      </w:r>
      <w:r>
        <w:rPr>
          <w:b/>
        </w:rPr>
        <w:t>4</w:t>
      </w:r>
      <w:r w:rsidRPr="00F2436D">
        <w:rPr>
          <w:b/>
        </w:rPr>
        <w:t>.</w:t>
      </w:r>
      <w:r w:rsidRPr="00F2436D">
        <w:t xml:space="preserve"> Modificar el Artículo 4 “Gastos de Administración, Operación y Mantenimiento - AOM” de la Resolución CREG </w:t>
      </w:r>
      <w:r>
        <w:t>005 de 2019</w:t>
      </w:r>
      <w:r w:rsidRPr="00F2436D">
        <w:t xml:space="preserve">, </w:t>
      </w:r>
      <w:r>
        <w:t xml:space="preserve">de acuerdo con lo manifestado en el recurso de reposición interpuesto por ALCANOS S.A. E.S.P. </w:t>
      </w:r>
      <w:r w:rsidRPr="00F2436D">
        <w:t>el cual quedará así:</w:t>
      </w:r>
    </w:p>
    <w:p w14:paraId="27529C03" w14:textId="77777777" w:rsidR="00BA56AD" w:rsidRPr="00F2436D" w:rsidRDefault="00BA56AD" w:rsidP="00BA56AD"/>
    <w:p w14:paraId="2737DB56" w14:textId="77777777" w:rsidR="00BA56AD" w:rsidRDefault="00BA56AD" w:rsidP="00BA56AD">
      <w:pPr>
        <w:ind w:left="567"/>
        <w:rPr>
          <w:rFonts w:cs="Arial"/>
          <w:i/>
          <w:sz w:val="22"/>
        </w:rPr>
      </w:pPr>
      <w:r>
        <w:rPr>
          <w:rFonts w:cs="Arial"/>
          <w:b/>
          <w:i/>
          <w:sz w:val="22"/>
        </w:rPr>
        <w:t>“</w:t>
      </w:r>
      <w:r w:rsidRPr="00A06219">
        <w:rPr>
          <w:rFonts w:cs="Arial"/>
          <w:b/>
          <w:i/>
          <w:sz w:val="22"/>
        </w:rPr>
        <w:t>ARTÍCULO 4. Gastos de Administración, Operación y Mantenimiento - AOM.</w:t>
      </w:r>
      <w:r w:rsidRPr="00A06219">
        <w:rPr>
          <w:rFonts w:cs="Arial"/>
          <w:bCs/>
          <w:i/>
          <w:sz w:val="22"/>
        </w:rPr>
        <w:t xml:space="preserve"> Para el mercado nuevo de distribución, una vez ajustado </w:t>
      </w:r>
      <w:r w:rsidRPr="00A06219">
        <w:rPr>
          <w:rFonts w:cs="Arial"/>
          <w:i/>
          <w:sz w:val="22"/>
        </w:rPr>
        <w:t>el Horizonte de Proyección</w:t>
      </w:r>
      <w:r w:rsidRPr="00A06219">
        <w:rPr>
          <w:rFonts w:cs="Arial"/>
          <w:bCs/>
          <w:i/>
          <w:sz w:val="22"/>
        </w:rPr>
        <w:t xml:space="preserve"> de AOM reportado por la empresa con el menor de los crecimientos porcentuales entre AOM y Demanda, se determina un porcentaje de AOM eficiente a reconocer de </w:t>
      </w:r>
      <w:r>
        <w:rPr>
          <w:rFonts w:cs="Arial"/>
          <w:bCs/>
          <w:i/>
          <w:sz w:val="22"/>
        </w:rPr>
        <w:t xml:space="preserve">4,97 </w:t>
      </w:r>
      <w:r w:rsidRPr="00A06219">
        <w:rPr>
          <w:rFonts w:cs="Arial"/>
          <w:bCs/>
          <w:i/>
          <w:sz w:val="22"/>
        </w:rPr>
        <w:t xml:space="preserve">%. A partir de este porcentaje, se calcula un  </w:t>
      </w:r>
      <m:oMath>
        <m:r>
          <w:rPr>
            <w:rFonts w:ascii="Cambria Math" w:hAnsi="Cambria Math" w:cs="Arial"/>
            <w:sz w:val="22"/>
          </w:rPr>
          <m:t>%F</m:t>
        </m:r>
        <m:sSub>
          <m:sSubPr>
            <m:ctrlPr>
              <w:rPr>
                <w:rFonts w:ascii="Cambria Math" w:hAnsi="Cambria Math" w:cs="Arial"/>
                <w:bCs/>
                <w:i/>
                <w:sz w:val="22"/>
              </w:rPr>
            </m:ctrlPr>
          </m:sSubPr>
          <m:e>
            <m:r>
              <w:rPr>
                <w:rFonts w:ascii="Cambria Math" w:hAnsi="Cambria Math" w:cs="Arial"/>
                <w:sz w:val="22"/>
              </w:rPr>
              <m:t>A</m:t>
            </m:r>
          </m:e>
          <m:sub>
            <m:r>
              <w:rPr>
                <w:rFonts w:ascii="Cambria Math" w:hAnsi="Cambria Math" w:cs="Arial"/>
                <w:sz w:val="22"/>
              </w:rPr>
              <m:t>proyección AOM</m:t>
            </m:r>
          </m:sub>
        </m:sSub>
      </m:oMath>
      <w:r w:rsidRPr="00A06219">
        <w:rPr>
          <w:rFonts w:cs="Arial"/>
          <w:bCs/>
          <w:i/>
          <w:sz w:val="22"/>
        </w:rPr>
        <w:t xml:space="preserve"> de </w:t>
      </w:r>
      <w:r>
        <w:rPr>
          <w:rFonts w:cs="Arial"/>
          <w:bCs/>
          <w:i/>
          <w:sz w:val="22"/>
        </w:rPr>
        <w:t>100,00</w:t>
      </w:r>
      <w:r w:rsidRPr="00A06219">
        <w:rPr>
          <w:rFonts w:cs="Arial"/>
          <w:bCs/>
          <w:i/>
          <w:sz w:val="22"/>
        </w:rPr>
        <w:t xml:space="preserve">%, el </w:t>
      </w:r>
      <w:r w:rsidRPr="00A06219">
        <w:rPr>
          <w:rFonts w:cs="Arial"/>
          <w:bCs/>
          <w:i/>
          <w:sz w:val="22"/>
        </w:rPr>
        <w:lastRenderedPageBreak/>
        <w:t xml:space="preserve">cual se aplica a la </w:t>
      </w:r>
      <w:r w:rsidRPr="00A06219">
        <w:rPr>
          <w:rFonts w:cs="Arial"/>
          <w:i/>
          <w:sz w:val="22"/>
        </w:rPr>
        <w:t>proyección de AOM ajustada. En el Anexo 3 se presentan los gastos ajustados de AOM para cada año del Horizonte de Proyección.</w:t>
      </w:r>
    </w:p>
    <w:p w14:paraId="24E62738" w14:textId="77777777" w:rsidR="00BA56AD" w:rsidRPr="00A06219" w:rsidRDefault="00BA56AD" w:rsidP="00BA56AD">
      <w:pPr>
        <w:ind w:left="567"/>
        <w:rPr>
          <w:rFonts w:cs="Arial"/>
          <w:i/>
          <w:sz w:val="22"/>
        </w:rPr>
      </w:pPr>
    </w:p>
    <w:tbl>
      <w:tblPr>
        <w:tblW w:w="3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4"/>
        <w:gridCol w:w="2636"/>
      </w:tblGrid>
      <w:tr w:rsidR="00BA56AD" w:rsidRPr="00A06219" w14:paraId="54C1FC40" w14:textId="77777777" w:rsidTr="00FB5615">
        <w:trPr>
          <w:trHeight w:val="298"/>
          <w:jc w:val="center"/>
        </w:trPr>
        <w:tc>
          <w:tcPr>
            <w:tcW w:w="2792" w:type="pct"/>
            <w:shd w:val="clear" w:color="auto" w:fill="D9D9D9" w:themeFill="background1" w:themeFillShade="D9"/>
            <w:vAlign w:val="center"/>
            <w:hideMark/>
          </w:tcPr>
          <w:p w14:paraId="2C7B52EE" w14:textId="77777777" w:rsidR="00BA56AD" w:rsidRPr="00A06219" w:rsidRDefault="00BA56AD" w:rsidP="00FB5615">
            <w:pPr>
              <w:jc w:val="center"/>
              <w:rPr>
                <w:b/>
                <w:bCs/>
                <w:i/>
                <w:color w:val="000000"/>
                <w:sz w:val="22"/>
                <w:szCs w:val="22"/>
                <w:lang w:val="es-CO" w:eastAsia="es-CO"/>
              </w:rPr>
            </w:pPr>
            <w:r w:rsidRPr="00A06219">
              <w:rPr>
                <w:rFonts w:cs="Arial"/>
                <w:b/>
                <w:bCs/>
                <w:i/>
                <w:color w:val="000000"/>
                <w:sz w:val="22"/>
                <w:szCs w:val="22"/>
                <w:lang w:eastAsia="es-CO"/>
              </w:rPr>
              <w:t>Componente</w:t>
            </w:r>
          </w:p>
        </w:tc>
        <w:tc>
          <w:tcPr>
            <w:tcW w:w="2208" w:type="pct"/>
            <w:shd w:val="clear" w:color="auto" w:fill="D9D9D9" w:themeFill="background1" w:themeFillShade="D9"/>
            <w:vAlign w:val="center"/>
          </w:tcPr>
          <w:p w14:paraId="12294829" w14:textId="77777777" w:rsidR="00BA56AD" w:rsidRPr="00A06219" w:rsidRDefault="00BA56AD" w:rsidP="00FB5615">
            <w:pPr>
              <w:jc w:val="center"/>
              <w:rPr>
                <w:b/>
                <w:bCs/>
                <w:i/>
                <w:color w:val="000000"/>
                <w:sz w:val="22"/>
                <w:szCs w:val="22"/>
                <w:lang w:val="es-CO" w:eastAsia="es-CO"/>
              </w:rPr>
            </w:pPr>
            <w:r w:rsidRPr="00A06219">
              <w:rPr>
                <w:rFonts w:cs="Arial"/>
                <w:b/>
                <w:bCs/>
                <w:i/>
                <w:color w:val="000000"/>
                <w:sz w:val="22"/>
                <w:szCs w:val="22"/>
                <w:lang w:eastAsia="es-CO"/>
              </w:rPr>
              <w:t>$ del 31 de diciembre de 2017</w:t>
            </w:r>
          </w:p>
        </w:tc>
      </w:tr>
      <w:tr w:rsidR="00BA56AD" w:rsidRPr="00A06219" w14:paraId="1B293A4E" w14:textId="77777777" w:rsidTr="00FB5615">
        <w:trPr>
          <w:trHeight w:val="497"/>
          <w:jc w:val="center"/>
        </w:trPr>
        <w:tc>
          <w:tcPr>
            <w:tcW w:w="2792" w:type="pct"/>
            <w:shd w:val="clear" w:color="auto" w:fill="auto"/>
            <w:vAlign w:val="center"/>
            <w:hideMark/>
          </w:tcPr>
          <w:p w14:paraId="30F6F54C" w14:textId="77777777" w:rsidR="00BA56AD" w:rsidRPr="00A06219" w:rsidRDefault="00BA56AD" w:rsidP="00FB5615">
            <w:pPr>
              <w:rPr>
                <w:i/>
                <w:color w:val="000000"/>
                <w:sz w:val="22"/>
                <w:szCs w:val="22"/>
                <w:lang w:val="es-CO" w:eastAsia="es-CO"/>
              </w:rPr>
            </w:pPr>
            <w:r w:rsidRPr="00A06219">
              <w:rPr>
                <w:i/>
                <w:color w:val="000000"/>
                <w:sz w:val="22"/>
                <w:szCs w:val="22"/>
                <w:lang w:val="es-ES_tradnl" w:eastAsia="es-CO"/>
              </w:rPr>
              <w:t>Valor Presente AOM, con nivel de eficiencia</w:t>
            </w:r>
          </w:p>
        </w:tc>
        <w:tc>
          <w:tcPr>
            <w:tcW w:w="2208" w:type="pct"/>
            <w:vAlign w:val="center"/>
          </w:tcPr>
          <w:p w14:paraId="0D2D3A7B" w14:textId="77777777" w:rsidR="00BA56AD" w:rsidRPr="0055489C" w:rsidRDefault="00BA56AD" w:rsidP="00FB5615">
            <w:pPr>
              <w:jc w:val="center"/>
              <w:rPr>
                <w:b/>
                <w:i/>
                <w:color w:val="000000"/>
                <w:sz w:val="22"/>
                <w:lang w:val="es-CO" w:eastAsia="es-CO"/>
              </w:rPr>
            </w:pPr>
            <w:r w:rsidRPr="0055489C">
              <w:rPr>
                <w:rFonts w:cs="Arial"/>
                <w:b/>
                <w:i/>
                <w:color w:val="000000"/>
                <w:sz w:val="20"/>
                <w:lang w:eastAsia="es-CO"/>
              </w:rPr>
              <w:t>2.733.583.326</w:t>
            </w:r>
          </w:p>
        </w:tc>
      </w:tr>
    </w:tbl>
    <w:p w14:paraId="17AE8FF7" w14:textId="77777777" w:rsidR="00BA56AD" w:rsidRPr="00A06219" w:rsidRDefault="00BA56AD" w:rsidP="00BA56AD">
      <w:pPr>
        <w:widowControl w:val="0"/>
        <w:adjustRightInd w:val="0"/>
        <w:ind w:left="567" w:right="20"/>
        <w:rPr>
          <w:rFonts w:cs="Arial"/>
          <w:i/>
          <w:sz w:val="22"/>
        </w:rPr>
      </w:pPr>
    </w:p>
    <w:p w14:paraId="1ED5B11A" w14:textId="77777777" w:rsidR="00BA56AD" w:rsidRDefault="00BA56AD" w:rsidP="00BA56AD">
      <w:pPr>
        <w:widowControl w:val="0"/>
        <w:adjustRightInd w:val="0"/>
        <w:ind w:left="567" w:right="20"/>
        <w:rPr>
          <w:rFonts w:cs="Arial"/>
          <w:i/>
          <w:sz w:val="22"/>
        </w:rPr>
      </w:pPr>
      <w:r w:rsidRPr="00A06219">
        <w:rPr>
          <w:rFonts w:cs="Arial"/>
          <w:i/>
          <w:sz w:val="22"/>
        </w:rPr>
        <w:t>Aplicando la metodología contenida en la Resolución CREG 202 de 2013 y sus modificaciones y adiciones, se calcularon conforme a las formulas establecidas en los numerales 9.1.1.3. y 9.2.1.3. del artículo 9 para la componente que remunera los gastos de AOM, aplicable a usuarios de uso residencial y a usuarios diferentes a los de uso residencial, las siguientes variables principales:</w:t>
      </w:r>
    </w:p>
    <w:p w14:paraId="06F7F908" w14:textId="77777777" w:rsidR="00BA56AD" w:rsidRPr="00A06219" w:rsidRDefault="00BA56AD" w:rsidP="00BA56AD">
      <w:pPr>
        <w:widowControl w:val="0"/>
        <w:adjustRightInd w:val="0"/>
        <w:ind w:left="567" w:right="20"/>
        <w:rPr>
          <w:rFonts w:cs="Arial"/>
          <w:i/>
          <w:sz w:val="22"/>
        </w:rPr>
      </w:pP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BA56AD" w:rsidRPr="00A06219" w14:paraId="526EC94A" w14:textId="77777777" w:rsidTr="00FB5615">
        <w:trPr>
          <w:trHeight w:val="536"/>
          <w:tblHeader/>
          <w:jc w:val="center"/>
        </w:trPr>
        <w:tc>
          <w:tcPr>
            <w:tcW w:w="5000" w:type="pct"/>
            <w:gridSpan w:val="2"/>
            <w:shd w:val="clear" w:color="auto" w:fill="D9D9D9" w:themeFill="background1" w:themeFillShade="D9"/>
            <w:vAlign w:val="center"/>
            <w:hideMark/>
          </w:tcPr>
          <w:p w14:paraId="72195F6D" w14:textId="77777777" w:rsidR="00BA56AD" w:rsidRPr="00A06219" w:rsidRDefault="00BA56AD" w:rsidP="00FB5615">
            <w:pPr>
              <w:jc w:val="center"/>
              <w:rPr>
                <w:b/>
                <w:bCs/>
                <w:i/>
                <w:color w:val="000000"/>
                <w:sz w:val="22"/>
                <w:szCs w:val="22"/>
                <w:lang w:val="es-CO" w:eastAsia="es-CO"/>
              </w:rPr>
            </w:pPr>
            <w:r w:rsidRPr="00A06219">
              <w:rPr>
                <w:b/>
                <w:bCs/>
                <w:i/>
                <w:color w:val="000000"/>
                <w:sz w:val="22"/>
                <w:szCs w:val="22"/>
                <w:lang w:eastAsia="es-CO"/>
              </w:rPr>
              <w:t>Usuarios de Uso Residencial</w:t>
            </w:r>
          </w:p>
        </w:tc>
      </w:tr>
      <w:tr w:rsidR="00BA56AD" w:rsidRPr="00A06219" w14:paraId="2DF9C5C8" w14:textId="77777777" w:rsidTr="00FB5615">
        <w:trPr>
          <w:trHeight w:val="313"/>
          <w:tblHeader/>
          <w:jc w:val="center"/>
        </w:trPr>
        <w:tc>
          <w:tcPr>
            <w:tcW w:w="2596" w:type="pct"/>
            <w:shd w:val="clear" w:color="auto" w:fill="D9D9D9" w:themeFill="background1" w:themeFillShade="D9"/>
            <w:vAlign w:val="center"/>
            <w:hideMark/>
          </w:tcPr>
          <w:p w14:paraId="7F2CFCE9" w14:textId="77777777" w:rsidR="00BA56AD" w:rsidRPr="00A06219" w:rsidRDefault="00BA56AD" w:rsidP="00FB5615">
            <w:pPr>
              <w:jc w:val="center"/>
              <w:rPr>
                <w:b/>
                <w:bCs/>
                <w:i/>
                <w:color w:val="000000"/>
                <w:sz w:val="22"/>
                <w:szCs w:val="22"/>
                <w:lang w:val="es-CO" w:eastAsia="es-CO"/>
              </w:rPr>
            </w:pPr>
            <w:r w:rsidRPr="00A06219">
              <w:rPr>
                <w:rFonts w:cs="Arial"/>
                <w:b/>
                <w:bCs/>
                <w:i/>
                <w:color w:val="000000"/>
                <w:sz w:val="22"/>
                <w:szCs w:val="22"/>
                <w:lang w:eastAsia="es-CO"/>
              </w:rPr>
              <w:t>Variable</w:t>
            </w:r>
          </w:p>
        </w:tc>
        <w:tc>
          <w:tcPr>
            <w:tcW w:w="2404" w:type="pct"/>
            <w:shd w:val="clear" w:color="auto" w:fill="D9D9D9" w:themeFill="background1" w:themeFillShade="D9"/>
            <w:vAlign w:val="center"/>
            <w:hideMark/>
          </w:tcPr>
          <w:p w14:paraId="7BEF7F76" w14:textId="77777777" w:rsidR="00BA56AD" w:rsidRPr="00A06219" w:rsidRDefault="00BA56AD" w:rsidP="00FB5615">
            <w:pPr>
              <w:jc w:val="center"/>
              <w:rPr>
                <w:b/>
                <w:bCs/>
                <w:i/>
                <w:color w:val="000000"/>
                <w:sz w:val="22"/>
                <w:szCs w:val="22"/>
                <w:lang w:val="es-CO" w:eastAsia="es-CO"/>
              </w:rPr>
            </w:pPr>
            <w:r w:rsidRPr="00A06219">
              <w:rPr>
                <w:rFonts w:cs="Arial"/>
                <w:b/>
                <w:bCs/>
                <w:i/>
                <w:color w:val="000000"/>
                <w:sz w:val="22"/>
                <w:szCs w:val="22"/>
                <w:lang w:eastAsia="es-CO"/>
              </w:rPr>
              <w:t>Año 2019 en adelante</w:t>
            </w:r>
          </w:p>
        </w:tc>
      </w:tr>
      <w:tr w:rsidR="00BA56AD" w:rsidRPr="00A06219" w14:paraId="36656E97" w14:textId="77777777" w:rsidTr="00FB5615">
        <w:trPr>
          <w:trHeight w:val="271"/>
          <w:jc w:val="center"/>
        </w:trPr>
        <w:tc>
          <w:tcPr>
            <w:tcW w:w="2596" w:type="pct"/>
            <w:shd w:val="clear" w:color="auto" w:fill="auto"/>
            <w:hideMark/>
          </w:tcPr>
          <w:p w14:paraId="6225637E" w14:textId="77777777" w:rsidR="00BA56AD" w:rsidRPr="00A06219" w:rsidRDefault="00BA56AD" w:rsidP="00FB5615">
            <w:pPr>
              <w:rPr>
                <w:b/>
                <w:bCs/>
                <w:i/>
                <w:color w:val="000000"/>
                <w:sz w:val="20"/>
                <w:szCs w:val="20"/>
                <w:lang w:val="es-CO" w:eastAsia="es-CO"/>
              </w:rPr>
            </w:pPr>
            <w:r w:rsidRPr="00A06219">
              <w:rPr>
                <w:i/>
                <w:noProof/>
                <w:lang w:val="es-CO" w:eastAsia="es-CO"/>
              </w:rPr>
              <w:drawing>
                <wp:inline distT="0" distB="0" distL="0" distR="0" wp14:anchorId="522FBA46" wp14:editId="0C09FEED">
                  <wp:extent cx="1028700" cy="152400"/>
                  <wp:effectExtent l="0" t="0" r="0" b="0"/>
                  <wp:docPr id="5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2404" w:type="pct"/>
            <w:shd w:val="clear" w:color="auto" w:fill="auto"/>
            <w:vAlign w:val="bottom"/>
          </w:tcPr>
          <w:p w14:paraId="4F66D0CF" w14:textId="77777777" w:rsidR="00BA56AD" w:rsidRPr="00642DCE" w:rsidRDefault="00BA56AD" w:rsidP="00FB5615">
            <w:pPr>
              <w:jc w:val="center"/>
              <w:rPr>
                <w:i/>
                <w:color w:val="000000"/>
                <w:sz w:val="22"/>
                <w:szCs w:val="22"/>
              </w:rPr>
            </w:pPr>
            <w:r w:rsidRPr="00642DCE">
              <w:rPr>
                <w:i/>
                <w:color w:val="000000"/>
                <w:sz w:val="20"/>
                <w:szCs w:val="16"/>
              </w:rPr>
              <w:t>878.663.248</w:t>
            </w:r>
          </w:p>
        </w:tc>
      </w:tr>
      <w:tr w:rsidR="00BA56AD" w:rsidRPr="00A06219" w14:paraId="0E5C55A8" w14:textId="77777777" w:rsidTr="00FB5615">
        <w:trPr>
          <w:trHeight w:val="271"/>
          <w:jc w:val="center"/>
        </w:trPr>
        <w:tc>
          <w:tcPr>
            <w:tcW w:w="2596" w:type="pct"/>
            <w:shd w:val="clear" w:color="auto" w:fill="auto"/>
            <w:hideMark/>
          </w:tcPr>
          <w:p w14:paraId="6C506514" w14:textId="77777777" w:rsidR="00BA56AD" w:rsidRPr="00A06219" w:rsidRDefault="00BA56AD" w:rsidP="00FB5615">
            <w:pPr>
              <w:rPr>
                <w:b/>
                <w:bCs/>
                <w:i/>
                <w:color w:val="000000"/>
                <w:sz w:val="20"/>
                <w:szCs w:val="20"/>
                <w:lang w:val="es-CO" w:eastAsia="es-CO"/>
              </w:rPr>
            </w:pPr>
            <w:r w:rsidRPr="00A06219">
              <w:rPr>
                <w:i/>
                <w:noProof/>
                <w:lang w:val="es-CO" w:eastAsia="es-CO"/>
              </w:rPr>
              <w:drawing>
                <wp:inline distT="0" distB="0" distL="0" distR="0" wp14:anchorId="7685885C" wp14:editId="7BCD2F73">
                  <wp:extent cx="1019175" cy="152400"/>
                  <wp:effectExtent l="0" t="0" r="0" b="0"/>
                  <wp:docPr id="5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2404" w:type="pct"/>
            <w:shd w:val="clear" w:color="auto" w:fill="auto"/>
            <w:vAlign w:val="bottom"/>
          </w:tcPr>
          <w:p w14:paraId="6342A261" w14:textId="77777777" w:rsidR="00BA56AD" w:rsidRPr="00642DCE" w:rsidRDefault="00BA56AD" w:rsidP="00FB5615">
            <w:pPr>
              <w:jc w:val="center"/>
              <w:rPr>
                <w:i/>
                <w:color w:val="000000"/>
                <w:sz w:val="22"/>
                <w:szCs w:val="22"/>
              </w:rPr>
            </w:pPr>
            <w:r w:rsidRPr="00642DCE">
              <w:rPr>
                <w:i/>
                <w:color w:val="000000"/>
                <w:sz w:val="20"/>
                <w:szCs w:val="16"/>
              </w:rPr>
              <w:t>1.854.920.078</w:t>
            </w:r>
          </w:p>
        </w:tc>
      </w:tr>
      <w:tr w:rsidR="00BA56AD" w:rsidRPr="00A06219" w14:paraId="2EF4CF80" w14:textId="77777777" w:rsidTr="00FB5615">
        <w:trPr>
          <w:trHeight w:val="271"/>
          <w:jc w:val="center"/>
        </w:trPr>
        <w:tc>
          <w:tcPr>
            <w:tcW w:w="2596" w:type="pct"/>
            <w:shd w:val="clear" w:color="auto" w:fill="auto"/>
            <w:hideMark/>
          </w:tcPr>
          <w:p w14:paraId="074ECF86" w14:textId="77777777" w:rsidR="00BA56AD" w:rsidRPr="00A06219" w:rsidRDefault="00BA56AD" w:rsidP="00FB5615">
            <w:pPr>
              <w:rPr>
                <w:b/>
                <w:bCs/>
                <w:i/>
                <w:color w:val="000000"/>
                <w:sz w:val="20"/>
                <w:szCs w:val="20"/>
                <w:lang w:val="es-CO" w:eastAsia="es-CO"/>
              </w:rPr>
            </w:pPr>
            <m:oMathPara>
              <m:oMathParaPr>
                <m:jc m:val="left"/>
              </m:oMathParaPr>
              <m:oMath>
                <m:r>
                  <m:rPr>
                    <m:sty m:val="bi"/>
                  </m:rPr>
                  <w:rPr>
                    <w:rFonts w:ascii="Cambria Math" w:hAnsi="Cambria Math"/>
                    <w:color w:val="000000"/>
                    <w:sz w:val="20"/>
                    <w:szCs w:val="20"/>
                    <w:lang w:val="es-CO" w:eastAsia="es-CO"/>
                  </w:rPr>
                  <m:t>VP(Q</m:t>
                </m:r>
                <m:sSub>
                  <m:sSubPr>
                    <m:ctrlPr>
                      <w:rPr>
                        <w:rFonts w:ascii="Cambria Math" w:hAnsi="Cambria Math"/>
                        <w:b/>
                        <w:bCs/>
                        <w:i/>
                        <w:color w:val="000000"/>
                        <w:sz w:val="20"/>
                        <w:szCs w:val="20"/>
                        <w:lang w:val="es-CO" w:eastAsia="es-CO"/>
                      </w:rPr>
                    </m:ctrlPr>
                  </m:sSubPr>
                  <m:e>
                    <m:d>
                      <m:dPr>
                        <m:ctrlPr>
                          <w:rPr>
                            <w:rFonts w:ascii="Cambria Math" w:hAnsi="Cambria Math"/>
                            <w:b/>
                            <w:bCs/>
                            <w:i/>
                            <w:color w:val="000000"/>
                            <w:sz w:val="20"/>
                            <w:szCs w:val="20"/>
                            <w:lang w:val="es-CO" w:eastAsia="es-CO"/>
                          </w:rPr>
                        </m:ctrlPr>
                      </m:dPr>
                      <m:e>
                        <m:r>
                          <m:rPr>
                            <m:sty m:val="bi"/>
                          </m:rPr>
                          <w:rPr>
                            <w:rFonts w:ascii="Cambria Math" w:hAnsi="Cambria Math"/>
                            <w:color w:val="000000"/>
                            <w:sz w:val="20"/>
                            <w:szCs w:val="20"/>
                            <w:lang w:val="es-CO" w:eastAsia="es-CO"/>
                          </w:rPr>
                          <m:t>PR</m:t>
                        </m:r>
                      </m:e>
                    </m:d>
                  </m:e>
                  <m:sub>
                    <m:r>
                      <m:rPr>
                        <m:sty m:val="bi"/>
                      </m:rPr>
                      <w:rPr>
                        <w:rFonts w:ascii="Cambria Math" w:hAnsi="Cambria Math"/>
                        <w:color w:val="000000"/>
                        <w:sz w:val="20"/>
                        <w:szCs w:val="20"/>
                        <w:lang w:val="es-CO" w:eastAsia="es-CO"/>
                      </w:rPr>
                      <m:t>NoResRSk</m:t>
                    </m:r>
                  </m:sub>
                </m:sSub>
                <m:r>
                  <m:rPr>
                    <m:sty m:val="bi"/>
                  </m:rPr>
                  <w:rPr>
                    <w:rFonts w:ascii="Cambria Math" w:hAnsi="Cambria Math"/>
                    <w:color w:val="000000"/>
                    <w:sz w:val="20"/>
                    <w:szCs w:val="20"/>
                    <w:lang w:val="es-CO" w:eastAsia="es-CO"/>
                  </w:rPr>
                  <m:t>+Q</m:t>
                </m:r>
                <m:sSub>
                  <m:sSubPr>
                    <m:ctrlPr>
                      <w:rPr>
                        <w:rFonts w:ascii="Cambria Math" w:hAnsi="Cambria Math"/>
                        <w:b/>
                        <w:bCs/>
                        <w:i/>
                        <w:color w:val="000000"/>
                        <w:sz w:val="20"/>
                        <w:szCs w:val="20"/>
                        <w:lang w:val="es-CO" w:eastAsia="es-CO"/>
                      </w:rPr>
                    </m:ctrlPr>
                  </m:sSubPr>
                  <m:e>
                    <m:d>
                      <m:dPr>
                        <m:ctrlPr>
                          <w:rPr>
                            <w:rFonts w:ascii="Cambria Math" w:hAnsi="Cambria Math"/>
                            <w:b/>
                            <w:bCs/>
                            <w:i/>
                            <w:color w:val="000000"/>
                            <w:sz w:val="20"/>
                            <w:szCs w:val="20"/>
                            <w:lang w:val="es-CO" w:eastAsia="es-CO"/>
                          </w:rPr>
                        </m:ctrlPr>
                      </m:dPr>
                      <m:e>
                        <m:r>
                          <m:rPr>
                            <m:sty m:val="bi"/>
                          </m:rPr>
                          <w:rPr>
                            <w:rFonts w:ascii="Cambria Math" w:hAnsi="Cambria Math"/>
                            <w:color w:val="000000"/>
                            <w:sz w:val="20"/>
                            <w:szCs w:val="20"/>
                            <w:lang w:val="es-CO" w:eastAsia="es-CO"/>
                          </w:rPr>
                          <m:t>PR</m:t>
                        </m:r>
                      </m:e>
                    </m:d>
                  </m:e>
                  <m:sub>
                    <m:r>
                      <m:rPr>
                        <m:sty m:val="bi"/>
                      </m:rPr>
                      <w:rPr>
                        <w:rFonts w:ascii="Cambria Math" w:hAnsi="Cambria Math"/>
                        <w:color w:val="000000"/>
                        <w:sz w:val="20"/>
                        <w:szCs w:val="20"/>
                        <w:lang w:val="es-CO" w:eastAsia="es-CO"/>
                      </w:rPr>
                      <m:t>Resk</m:t>
                    </m:r>
                  </m:sub>
                </m:sSub>
                <m:r>
                  <m:rPr>
                    <m:sty m:val="bi"/>
                  </m:rPr>
                  <w:rPr>
                    <w:rFonts w:ascii="Cambria Math" w:hAnsi="Cambria Math"/>
                    <w:color w:val="000000"/>
                    <w:sz w:val="20"/>
                    <w:szCs w:val="20"/>
                    <w:lang w:val="es-CO" w:eastAsia="es-CO"/>
                  </w:rPr>
                  <m:t>)</m:t>
                </m:r>
              </m:oMath>
            </m:oMathPara>
          </w:p>
        </w:tc>
        <w:tc>
          <w:tcPr>
            <w:tcW w:w="2404" w:type="pct"/>
            <w:shd w:val="clear" w:color="auto" w:fill="auto"/>
            <w:vAlign w:val="bottom"/>
          </w:tcPr>
          <w:p w14:paraId="757BF1B6" w14:textId="77777777" w:rsidR="00BA56AD" w:rsidRPr="00642DCE" w:rsidRDefault="00BA56AD" w:rsidP="00FB5615">
            <w:pPr>
              <w:jc w:val="center"/>
              <w:rPr>
                <w:i/>
                <w:color w:val="000000"/>
                <w:sz w:val="22"/>
                <w:szCs w:val="22"/>
              </w:rPr>
            </w:pPr>
            <w:r w:rsidRPr="00642DCE">
              <w:rPr>
                <w:i/>
                <w:color w:val="000000"/>
                <w:sz w:val="20"/>
                <w:szCs w:val="16"/>
              </w:rPr>
              <w:t>6.067.125</w:t>
            </w:r>
          </w:p>
        </w:tc>
      </w:tr>
      <w:tr w:rsidR="00BA56AD" w:rsidRPr="00A06219" w14:paraId="626F71DC" w14:textId="77777777" w:rsidTr="00FB5615">
        <w:trPr>
          <w:trHeight w:val="271"/>
          <w:jc w:val="center"/>
        </w:trPr>
        <w:tc>
          <w:tcPr>
            <w:tcW w:w="2596" w:type="pct"/>
            <w:shd w:val="clear" w:color="auto" w:fill="auto"/>
            <w:hideMark/>
          </w:tcPr>
          <w:p w14:paraId="00C92910" w14:textId="77777777" w:rsidR="00BA56AD" w:rsidRPr="00A06219" w:rsidRDefault="00BA56AD" w:rsidP="00FB5615">
            <w:pPr>
              <w:rPr>
                <w:b/>
                <w:bCs/>
                <w:i/>
                <w:color w:val="000000"/>
                <w:sz w:val="20"/>
                <w:szCs w:val="20"/>
                <w:lang w:val="es-CO" w:eastAsia="es-CO"/>
              </w:rPr>
            </w:pPr>
            <w:r w:rsidRPr="00A06219">
              <w:rPr>
                <w:i/>
                <w:noProof/>
                <w:lang w:val="es-CO" w:eastAsia="es-CO"/>
              </w:rPr>
              <w:drawing>
                <wp:inline distT="0" distB="0" distL="0" distR="0" wp14:anchorId="09A23CB3" wp14:editId="2FFF647D">
                  <wp:extent cx="742950" cy="152400"/>
                  <wp:effectExtent l="0" t="0" r="0" b="0"/>
                  <wp:docPr id="5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bottom"/>
          </w:tcPr>
          <w:p w14:paraId="4038E9D5" w14:textId="77777777" w:rsidR="00BA56AD" w:rsidRPr="00642DCE" w:rsidRDefault="00BA56AD" w:rsidP="00FB5615">
            <w:pPr>
              <w:jc w:val="center"/>
              <w:rPr>
                <w:i/>
                <w:color w:val="000000"/>
                <w:sz w:val="22"/>
                <w:szCs w:val="22"/>
              </w:rPr>
            </w:pPr>
            <w:r w:rsidRPr="00642DCE">
              <w:rPr>
                <w:i/>
                <w:color w:val="000000"/>
                <w:sz w:val="20"/>
                <w:szCs w:val="16"/>
              </w:rPr>
              <w:t>6.067.125</w:t>
            </w:r>
          </w:p>
        </w:tc>
      </w:tr>
    </w:tbl>
    <w:p w14:paraId="686FF649" w14:textId="77777777" w:rsidR="00BA56AD" w:rsidRDefault="00BA56AD" w:rsidP="00BA56AD">
      <w:pPr>
        <w:widowControl w:val="0"/>
        <w:adjustRightInd w:val="0"/>
        <w:spacing w:after="240"/>
        <w:ind w:right="23"/>
        <w:jc w:val="center"/>
        <w:rPr>
          <w:rFonts w:cs="Arial"/>
          <w:i/>
          <w:sz w:val="16"/>
        </w:rPr>
      </w:pPr>
      <w:r w:rsidRPr="00A06219">
        <w:rPr>
          <w:rFonts w:cs="Arial"/>
          <w:i/>
          <w:sz w:val="16"/>
        </w:rPr>
        <w:t>Cifras en pesos del 31 de diciembre de 2017.</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BA56AD" w:rsidRPr="00A06219" w14:paraId="31FB4CA6" w14:textId="77777777" w:rsidTr="00FB5615">
        <w:trPr>
          <w:trHeight w:val="536"/>
          <w:tblHeader/>
          <w:jc w:val="center"/>
        </w:trPr>
        <w:tc>
          <w:tcPr>
            <w:tcW w:w="5000" w:type="pct"/>
            <w:gridSpan w:val="2"/>
            <w:shd w:val="clear" w:color="auto" w:fill="D9D9D9" w:themeFill="background1" w:themeFillShade="D9"/>
            <w:vAlign w:val="center"/>
            <w:hideMark/>
          </w:tcPr>
          <w:p w14:paraId="2A4847E8" w14:textId="77777777" w:rsidR="00BA56AD" w:rsidRPr="00A06219" w:rsidRDefault="00BA56AD" w:rsidP="00FB5615">
            <w:pPr>
              <w:jc w:val="center"/>
              <w:rPr>
                <w:b/>
                <w:bCs/>
                <w:i/>
                <w:color w:val="000000"/>
                <w:sz w:val="22"/>
                <w:szCs w:val="22"/>
                <w:lang w:val="es-CO" w:eastAsia="es-CO"/>
              </w:rPr>
            </w:pPr>
            <w:r w:rsidRPr="00A06219">
              <w:rPr>
                <w:b/>
                <w:bCs/>
                <w:i/>
                <w:color w:val="000000"/>
                <w:sz w:val="22"/>
                <w:szCs w:val="22"/>
                <w:lang w:eastAsia="es-CO"/>
              </w:rPr>
              <w:t>Usuarios Diferentes a los de Uso Residencial</w:t>
            </w:r>
          </w:p>
        </w:tc>
      </w:tr>
      <w:tr w:rsidR="00BA56AD" w:rsidRPr="00A06219" w14:paraId="6D7C7427" w14:textId="77777777" w:rsidTr="00FB5615">
        <w:trPr>
          <w:trHeight w:val="313"/>
          <w:tblHeader/>
          <w:jc w:val="center"/>
        </w:trPr>
        <w:tc>
          <w:tcPr>
            <w:tcW w:w="2596" w:type="pct"/>
            <w:shd w:val="clear" w:color="auto" w:fill="D9D9D9" w:themeFill="background1" w:themeFillShade="D9"/>
            <w:vAlign w:val="center"/>
            <w:hideMark/>
          </w:tcPr>
          <w:p w14:paraId="10B84D15" w14:textId="77777777" w:rsidR="00BA56AD" w:rsidRPr="00A06219" w:rsidRDefault="00BA56AD" w:rsidP="00FB5615">
            <w:pPr>
              <w:jc w:val="center"/>
              <w:rPr>
                <w:b/>
                <w:bCs/>
                <w:i/>
                <w:color w:val="000000"/>
                <w:sz w:val="22"/>
                <w:szCs w:val="22"/>
                <w:lang w:val="es-CO" w:eastAsia="es-CO"/>
              </w:rPr>
            </w:pPr>
            <w:r w:rsidRPr="00A06219">
              <w:rPr>
                <w:rFonts w:cs="Arial"/>
                <w:b/>
                <w:bCs/>
                <w:i/>
                <w:color w:val="000000"/>
                <w:sz w:val="22"/>
                <w:szCs w:val="22"/>
                <w:lang w:eastAsia="es-CO"/>
              </w:rPr>
              <w:t>Variable</w:t>
            </w:r>
          </w:p>
        </w:tc>
        <w:tc>
          <w:tcPr>
            <w:tcW w:w="2404" w:type="pct"/>
            <w:shd w:val="clear" w:color="auto" w:fill="D9D9D9" w:themeFill="background1" w:themeFillShade="D9"/>
            <w:vAlign w:val="center"/>
            <w:hideMark/>
          </w:tcPr>
          <w:p w14:paraId="0971CAC4" w14:textId="77777777" w:rsidR="00BA56AD" w:rsidRPr="00A06219" w:rsidRDefault="00BA56AD" w:rsidP="00FB5615">
            <w:pPr>
              <w:jc w:val="center"/>
              <w:rPr>
                <w:b/>
                <w:bCs/>
                <w:i/>
                <w:color w:val="000000"/>
                <w:sz w:val="22"/>
                <w:szCs w:val="22"/>
                <w:lang w:val="es-CO" w:eastAsia="es-CO"/>
              </w:rPr>
            </w:pPr>
            <w:r w:rsidRPr="00A06219">
              <w:rPr>
                <w:rFonts w:cs="Arial"/>
                <w:b/>
                <w:bCs/>
                <w:i/>
                <w:color w:val="000000"/>
                <w:sz w:val="22"/>
                <w:szCs w:val="22"/>
                <w:lang w:eastAsia="es-CO"/>
              </w:rPr>
              <w:t>Año 2019 en adelante</w:t>
            </w:r>
          </w:p>
        </w:tc>
      </w:tr>
      <w:tr w:rsidR="00BA56AD" w:rsidRPr="00A06219" w14:paraId="711A2172" w14:textId="77777777" w:rsidTr="00FB5615">
        <w:trPr>
          <w:trHeight w:val="271"/>
          <w:jc w:val="center"/>
        </w:trPr>
        <w:tc>
          <w:tcPr>
            <w:tcW w:w="2596" w:type="pct"/>
            <w:shd w:val="clear" w:color="auto" w:fill="auto"/>
            <w:vAlign w:val="center"/>
            <w:hideMark/>
          </w:tcPr>
          <w:p w14:paraId="5A80E9C9" w14:textId="77777777" w:rsidR="00BA56AD" w:rsidRPr="00A06219" w:rsidRDefault="00BA56AD" w:rsidP="00FB5615">
            <w:pPr>
              <w:rPr>
                <w:b/>
                <w:bCs/>
                <w:i/>
                <w:color w:val="000000"/>
                <w:sz w:val="20"/>
                <w:szCs w:val="20"/>
                <w:lang w:val="es-CO" w:eastAsia="es-CO"/>
              </w:rPr>
            </w:pPr>
            <w:r w:rsidRPr="00A06219">
              <w:rPr>
                <w:i/>
                <w:noProof/>
                <w:lang w:val="es-CO" w:eastAsia="es-CO"/>
              </w:rPr>
              <w:drawing>
                <wp:inline distT="0" distB="0" distL="0" distR="0" wp14:anchorId="73BED17E" wp14:editId="7A77D6EA">
                  <wp:extent cx="752475" cy="152400"/>
                  <wp:effectExtent l="0" t="0" r="0" b="0"/>
                  <wp:docPr id="2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p>
        </w:tc>
        <w:tc>
          <w:tcPr>
            <w:tcW w:w="2404" w:type="pct"/>
            <w:shd w:val="clear" w:color="auto" w:fill="auto"/>
            <w:vAlign w:val="center"/>
          </w:tcPr>
          <w:p w14:paraId="1E95BA55" w14:textId="77777777" w:rsidR="00BA56AD" w:rsidRPr="00642DCE" w:rsidRDefault="00BA56AD" w:rsidP="00FB5615">
            <w:pPr>
              <w:jc w:val="center"/>
              <w:rPr>
                <w:i/>
                <w:color w:val="000000"/>
                <w:sz w:val="22"/>
                <w:szCs w:val="22"/>
              </w:rPr>
            </w:pPr>
            <w:r w:rsidRPr="00642DCE">
              <w:rPr>
                <w:i/>
                <w:color w:val="000000"/>
                <w:sz w:val="20"/>
                <w:szCs w:val="16"/>
              </w:rPr>
              <w:t>878.663.248</w:t>
            </w:r>
          </w:p>
        </w:tc>
      </w:tr>
      <w:tr w:rsidR="00BA56AD" w:rsidRPr="00A06219" w14:paraId="6B404365" w14:textId="77777777" w:rsidTr="00FB5615">
        <w:trPr>
          <w:trHeight w:val="271"/>
          <w:jc w:val="center"/>
        </w:trPr>
        <w:tc>
          <w:tcPr>
            <w:tcW w:w="2596" w:type="pct"/>
            <w:shd w:val="clear" w:color="auto" w:fill="auto"/>
            <w:vAlign w:val="center"/>
            <w:hideMark/>
          </w:tcPr>
          <w:p w14:paraId="12821910" w14:textId="77777777" w:rsidR="00BA56AD" w:rsidRPr="00A06219" w:rsidRDefault="00BA56AD" w:rsidP="00FB5615">
            <w:pPr>
              <w:rPr>
                <w:b/>
                <w:bCs/>
                <w:i/>
                <w:color w:val="000000"/>
                <w:sz w:val="20"/>
                <w:szCs w:val="20"/>
                <w:lang w:val="es-CO" w:eastAsia="es-CO"/>
              </w:rPr>
            </w:pPr>
            <w:r w:rsidRPr="00A06219">
              <w:rPr>
                <w:i/>
                <w:noProof/>
                <w:lang w:val="es-CO" w:eastAsia="es-CO"/>
              </w:rPr>
              <w:drawing>
                <wp:inline distT="0" distB="0" distL="0" distR="0" wp14:anchorId="627CD0DB" wp14:editId="69655984">
                  <wp:extent cx="1066800" cy="171450"/>
                  <wp:effectExtent l="0" t="0" r="0" b="0"/>
                  <wp:docPr id="2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0" cy="171450"/>
                          </a:xfrm>
                          <a:prstGeom prst="rect">
                            <a:avLst/>
                          </a:prstGeom>
                          <a:noFill/>
                          <a:ln>
                            <a:noFill/>
                          </a:ln>
                        </pic:spPr>
                      </pic:pic>
                    </a:graphicData>
                  </a:graphic>
                </wp:inline>
              </w:drawing>
            </w:r>
          </w:p>
        </w:tc>
        <w:tc>
          <w:tcPr>
            <w:tcW w:w="2404" w:type="pct"/>
            <w:shd w:val="clear" w:color="auto" w:fill="auto"/>
            <w:vAlign w:val="center"/>
          </w:tcPr>
          <w:p w14:paraId="24083E06" w14:textId="77777777" w:rsidR="00BA56AD" w:rsidRPr="00642DCE" w:rsidRDefault="00BA56AD" w:rsidP="00FB5615">
            <w:pPr>
              <w:jc w:val="center"/>
              <w:rPr>
                <w:i/>
                <w:color w:val="000000"/>
                <w:sz w:val="22"/>
                <w:szCs w:val="22"/>
              </w:rPr>
            </w:pPr>
            <w:r w:rsidRPr="00642DCE">
              <w:rPr>
                <w:i/>
                <w:color w:val="000000"/>
                <w:sz w:val="20"/>
                <w:szCs w:val="16"/>
              </w:rPr>
              <w:t>43.815.228.23</w:t>
            </w:r>
          </w:p>
        </w:tc>
      </w:tr>
      <w:tr w:rsidR="00BA56AD" w:rsidRPr="00A06219" w14:paraId="23D56A79" w14:textId="77777777" w:rsidTr="00FB5615">
        <w:trPr>
          <w:trHeight w:val="271"/>
          <w:jc w:val="center"/>
        </w:trPr>
        <w:tc>
          <w:tcPr>
            <w:tcW w:w="2596" w:type="pct"/>
            <w:shd w:val="clear" w:color="auto" w:fill="auto"/>
            <w:vAlign w:val="center"/>
            <w:hideMark/>
          </w:tcPr>
          <w:p w14:paraId="1B666404" w14:textId="77777777" w:rsidR="00BA56AD" w:rsidRPr="00A06219" w:rsidRDefault="00BA56AD" w:rsidP="00FB5615">
            <w:pPr>
              <w:rPr>
                <w:b/>
                <w:bCs/>
                <w:i/>
                <w:color w:val="000000"/>
                <w:sz w:val="20"/>
                <w:szCs w:val="20"/>
                <w:lang w:val="es-CO" w:eastAsia="es-CO"/>
              </w:rPr>
            </w:pPr>
            <w:r w:rsidRPr="00A06219">
              <w:rPr>
                <w:i/>
                <w:noProof/>
                <w:lang w:val="es-CO" w:eastAsia="es-CO"/>
              </w:rPr>
              <w:drawing>
                <wp:inline distT="0" distB="0" distL="0" distR="0" wp14:anchorId="702815BC" wp14:editId="4CD6C602">
                  <wp:extent cx="695325" cy="152400"/>
                  <wp:effectExtent l="0" t="0" r="0" b="0"/>
                  <wp:docPr id="3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14:paraId="4217BDB4" w14:textId="77777777" w:rsidR="00BA56AD" w:rsidRPr="00642DCE" w:rsidRDefault="00BA56AD" w:rsidP="00FB5615">
            <w:pPr>
              <w:jc w:val="center"/>
              <w:rPr>
                <w:i/>
                <w:color w:val="000000"/>
                <w:sz w:val="22"/>
                <w:szCs w:val="22"/>
              </w:rPr>
            </w:pPr>
            <w:r w:rsidRPr="00642DCE">
              <w:rPr>
                <w:i/>
                <w:color w:val="000000"/>
                <w:sz w:val="20"/>
                <w:szCs w:val="16"/>
              </w:rPr>
              <w:t>6.067.125</w:t>
            </w:r>
          </w:p>
        </w:tc>
      </w:tr>
      <w:tr w:rsidR="00BA56AD" w:rsidRPr="00A06219" w14:paraId="6D6180B2" w14:textId="77777777" w:rsidTr="00FB5615">
        <w:trPr>
          <w:trHeight w:val="118"/>
          <w:jc w:val="center"/>
        </w:trPr>
        <w:tc>
          <w:tcPr>
            <w:tcW w:w="2596" w:type="pct"/>
            <w:shd w:val="clear" w:color="auto" w:fill="auto"/>
            <w:vAlign w:val="center"/>
            <w:hideMark/>
          </w:tcPr>
          <w:p w14:paraId="4D6273C1" w14:textId="77777777" w:rsidR="00BA56AD" w:rsidRPr="00A06219" w:rsidRDefault="00BA56AD" w:rsidP="00FB5615">
            <w:pPr>
              <w:rPr>
                <w:b/>
                <w:bCs/>
                <w:i/>
                <w:color w:val="000000"/>
                <w:sz w:val="20"/>
                <w:szCs w:val="20"/>
                <w:lang w:val="es-CO" w:eastAsia="es-CO"/>
              </w:rPr>
            </w:pPr>
            <w:r w:rsidRPr="00A06219">
              <w:rPr>
                <w:i/>
                <w:noProof/>
                <w:lang w:val="es-CO" w:eastAsia="es-CO"/>
              </w:rPr>
              <w:drawing>
                <wp:inline distT="0" distB="0" distL="0" distR="0" wp14:anchorId="6677062D" wp14:editId="7F34E92D">
                  <wp:extent cx="838200" cy="152400"/>
                  <wp:effectExtent l="0" t="0" r="0" b="0"/>
                  <wp:docPr id="3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14:paraId="54FF9E1C" w14:textId="77777777" w:rsidR="00BA56AD" w:rsidRPr="00642DCE" w:rsidRDefault="00BA56AD" w:rsidP="00FB5615">
            <w:pPr>
              <w:jc w:val="center"/>
              <w:rPr>
                <w:i/>
                <w:color w:val="000000"/>
                <w:sz w:val="22"/>
                <w:szCs w:val="22"/>
              </w:rPr>
            </w:pPr>
            <w:r w:rsidRPr="00642DCE">
              <w:rPr>
                <w:i/>
                <w:color w:val="000000"/>
                <w:sz w:val="20"/>
                <w:szCs w:val="16"/>
              </w:rPr>
              <w:t>5.909.437</w:t>
            </w:r>
          </w:p>
        </w:tc>
      </w:tr>
    </w:tbl>
    <w:p w14:paraId="5093156A" w14:textId="77777777" w:rsidR="00BA56AD" w:rsidRPr="00A06219" w:rsidRDefault="00BA56AD" w:rsidP="00BA56AD">
      <w:pPr>
        <w:widowControl w:val="0"/>
        <w:adjustRightInd w:val="0"/>
        <w:ind w:right="23"/>
        <w:jc w:val="center"/>
        <w:rPr>
          <w:rFonts w:cs="Arial"/>
          <w:i/>
          <w:sz w:val="18"/>
        </w:rPr>
      </w:pPr>
      <w:r w:rsidRPr="00A06219">
        <w:rPr>
          <w:rFonts w:cs="Arial"/>
          <w:i/>
          <w:sz w:val="16"/>
        </w:rPr>
        <w:t>Cifras en pesos del 31 de diciembre de 2017.</w:t>
      </w:r>
    </w:p>
    <w:p w14:paraId="35A95AF3" w14:textId="77777777" w:rsidR="00BA56AD" w:rsidRPr="00A06219" w:rsidRDefault="00BA56AD" w:rsidP="00BA56AD">
      <w:pPr>
        <w:ind w:left="7788" w:firstLine="708"/>
      </w:pPr>
      <w:r w:rsidRPr="00A06219">
        <w:t>”</w:t>
      </w:r>
    </w:p>
    <w:p w14:paraId="3D12F525" w14:textId="77777777" w:rsidR="00BA56AD" w:rsidRPr="00F2436D" w:rsidRDefault="00BA56AD" w:rsidP="00BA56AD">
      <w:r w:rsidRPr="00F2436D">
        <w:rPr>
          <w:b/>
        </w:rPr>
        <w:t xml:space="preserve">ARTÍCULO </w:t>
      </w:r>
      <w:r>
        <w:rPr>
          <w:b/>
        </w:rPr>
        <w:t>5</w:t>
      </w:r>
      <w:r w:rsidRPr="00F2436D">
        <w:rPr>
          <w:b/>
        </w:rPr>
        <w:t>.</w:t>
      </w:r>
      <w:r w:rsidRPr="00F2436D">
        <w:t xml:space="preserve"> Modificar el Artículo 5 “Cargos de distribución aplicables a los usuarios de Uso Residencial” de la Resolución CREG </w:t>
      </w:r>
      <w:r>
        <w:t>005 de 2019</w:t>
      </w:r>
      <w:r w:rsidRPr="00F2436D">
        <w:t xml:space="preserve">, </w:t>
      </w:r>
      <w:r>
        <w:t xml:space="preserve">de acuerdo con lo manifestado en el recurso de reposición interpuesto por ALCANOS S.A. E.S.P. y C.S.P. SOSTENIBLES S.A. E.S.P., </w:t>
      </w:r>
      <w:r w:rsidRPr="00F2436D">
        <w:t>el cual quedará así:</w:t>
      </w:r>
    </w:p>
    <w:p w14:paraId="1B535041" w14:textId="77777777" w:rsidR="00BA56AD" w:rsidRPr="00F2436D" w:rsidRDefault="00BA56AD" w:rsidP="00BA56AD"/>
    <w:p w14:paraId="663A8FD9" w14:textId="77777777" w:rsidR="00BA56AD" w:rsidRPr="00BA5DDF" w:rsidRDefault="00BA56AD" w:rsidP="00BA56AD">
      <w:pPr>
        <w:widowControl w:val="0"/>
        <w:adjustRightInd w:val="0"/>
        <w:ind w:left="567" w:right="20"/>
        <w:rPr>
          <w:rFonts w:cs="Arial"/>
          <w:i/>
          <w:sz w:val="22"/>
        </w:rPr>
      </w:pPr>
      <w:r>
        <w:rPr>
          <w:rFonts w:cs="Arial"/>
          <w:b/>
          <w:i/>
          <w:sz w:val="22"/>
        </w:rPr>
        <w:t>“</w:t>
      </w:r>
      <w:r w:rsidRPr="00BA5DDF">
        <w:rPr>
          <w:rFonts w:cs="Arial"/>
          <w:b/>
          <w:i/>
          <w:sz w:val="22"/>
        </w:rPr>
        <w:t>ARTÍCULO 5. Cargo de distribución aplicable a los usuarios de Uso Residencial.</w:t>
      </w:r>
      <w:r w:rsidRPr="00BA5DDF">
        <w:rPr>
          <w:rFonts w:cs="Arial"/>
          <w:i/>
          <w:sz w:val="22"/>
        </w:rPr>
        <w:t xml:space="preserve"> A partir de la vigencia de la presente Resolución, el cargo de distribución aplicable a los usuarios de uso residencial aplicable en el Mercado Relevante definido en el artículo 1°, para recuperar los costos de inversión y los gastos de AOM para la distribución domiciliaria de gas combustible por red se fija de la siguiente manera:</w:t>
      </w:r>
    </w:p>
    <w:p w14:paraId="6FAD678C" w14:textId="77777777" w:rsidR="00BA56AD" w:rsidRPr="00BA5DDF" w:rsidRDefault="00BA56AD" w:rsidP="00BA56AD">
      <w:pPr>
        <w:widowControl w:val="0"/>
        <w:adjustRightInd w:val="0"/>
        <w:ind w:left="567" w:right="20"/>
        <w:rPr>
          <w:rFonts w:cs="Arial"/>
          <w:i/>
          <w:sz w:val="14"/>
          <w:lang w:val="x-none" w:eastAsia="x-non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767"/>
        <w:gridCol w:w="2111"/>
      </w:tblGrid>
      <w:tr w:rsidR="00BA56AD" w:rsidRPr="00202111" w14:paraId="0DDA7126" w14:textId="77777777" w:rsidTr="00FB5615">
        <w:trPr>
          <w:trHeight w:val="468"/>
        </w:trPr>
        <w:tc>
          <w:tcPr>
            <w:tcW w:w="7972" w:type="dxa"/>
            <w:gridSpan w:val="3"/>
            <w:shd w:val="clear" w:color="auto" w:fill="D9D9D9" w:themeFill="background1" w:themeFillShade="D9"/>
            <w:vAlign w:val="center"/>
          </w:tcPr>
          <w:p w14:paraId="6A6A5F64" w14:textId="77777777" w:rsidR="00BA56AD" w:rsidRPr="00BA5DDF" w:rsidRDefault="00BA56AD" w:rsidP="00FB5615">
            <w:pPr>
              <w:widowControl w:val="0"/>
              <w:adjustRightInd w:val="0"/>
              <w:ind w:right="20"/>
              <w:jc w:val="center"/>
              <w:rPr>
                <w:rFonts w:cs="Arial"/>
                <w:i/>
                <w:sz w:val="20"/>
              </w:rPr>
            </w:pPr>
            <w:r w:rsidRPr="00BA5DDF">
              <w:rPr>
                <w:b/>
                <w:bCs/>
                <w:i/>
                <w:color w:val="000000"/>
                <w:sz w:val="20"/>
                <w:szCs w:val="22"/>
                <w:lang w:eastAsia="es-CO"/>
              </w:rPr>
              <w:t>Usuarios de Uso Residencial</w:t>
            </w:r>
          </w:p>
        </w:tc>
      </w:tr>
      <w:tr w:rsidR="00BA56AD" w:rsidRPr="00202111" w14:paraId="55649DE2" w14:textId="77777777" w:rsidTr="00FB5615">
        <w:trPr>
          <w:trHeight w:val="345"/>
        </w:trPr>
        <w:tc>
          <w:tcPr>
            <w:tcW w:w="5094" w:type="dxa"/>
            <w:shd w:val="clear" w:color="auto" w:fill="D9D9D9" w:themeFill="background1" w:themeFillShade="D9"/>
            <w:vAlign w:val="center"/>
          </w:tcPr>
          <w:p w14:paraId="10336EE9" w14:textId="77777777" w:rsidR="00BA56AD" w:rsidRPr="00BA5DDF" w:rsidRDefault="00BA56AD" w:rsidP="00FB5615">
            <w:pPr>
              <w:widowControl w:val="0"/>
              <w:adjustRightInd w:val="0"/>
              <w:ind w:right="20"/>
              <w:jc w:val="center"/>
              <w:rPr>
                <w:rFonts w:cs="Arial"/>
                <w:i/>
                <w:sz w:val="20"/>
                <w:szCs w:val="22"/>
              </w:rPr>
            </w:pPr>
            <w:r w:rsidRPr="00BA5DDF">
              <w:rPr>
                <w:b/>
                <w:bCs/>
                <w:i/>
                <w:color w:val="000000"/>
                <w:sz w:val="20"/>
                <w:szCs w:val="22"/>
                <w:lang w:val="es-ES_tradnl" w:eastAsia="es-CO"/>
              </w:rPr>
              <w:t>Componente</w:t>
            </w:r>
          </w:p>
        </w:tc>
        <w:tc>
          <w:tcPr>
            <w:tcW w:w="767" w:type="dxa"/>
            <w:shd w:val="clear" w:color="auto" w:fill="D9D9D9" w:themeFill="background1" w:themeFillShade="D9"/>
            <w:vAlign w:val="center"/>
          </w:tcPr>
          <w:p w14:paraId="2032ABA6" w14:textId="77777777" w:rsidR="00BA56AD" w:rsidRPr="00BA5DDF" w:rsidRDefault="00BA56AD" w:rsidP="00FB5615">
            <w:pPr>
              <w:widowControl w:val="0"/>
              <w:adjustRightInd w:val="0"/>
              <w:ind w:right="20"/>
              <w:jc w:val="center"/>
              <w:rPr>
                <w:rFonts w:cs="Arial"/>
                <w:i/>
                <w:sz w:val="20"/>
                <w:szCs w:val="22"/>
              </w:rPr>
            </w:pPr>
          </w:p>
        </w:tc>
        <w:tc>
          <w:tcPr>
            <w:tcW w:w="2111" w:type="dxa"/>
            <w:shd w:val="clear" w:color="auto" w:fill="D9D9D9" w:themeFill="background1" w:themeFillShade="D9"/>
            <w:vAlign w:val="center"/>
          </w:tcPr>
          <w:p w14:paraId="52EFD253" w14:textId="42BCF9EE" w:rsidR="00BA56AD" w:rsidRPr="00BA5DDF" w:rsidRDefault="003A2916" w:rsidP="00FB5615">
            <w:pPr>
              <w:widowControl w:val="0"/>
              <w:adjustRightInd w:val="0"/>
              <w:ind w:right="20"/>
              <w:jc w:val="center"/>
              <w:rPr>
                <w:rFonts w:cs="Arial"/>
                <w:i/>
                <w:sz w:val="20"/>
                <w:szCs w:val="22"/>
              </w:rPr>
            </w:pPr>
            <w:r>
              <w:rPr>
                <w:rFonts w:cs="Arial"/>
                <w:b/>
                <w:bCs/>
                <w:i/>
                <w:color w:val="000000"/>
                <w:sz w:val="20"/>
                <w:szCs w:val="22"/>
                <w:lang w:eastAsia="es-CO"/>
              </w:rPr>
              <w:t xml:space="preserve">Año </w:t>
            </w:r>
            <w:r w:rsidR="00BA56AD" w:rsidRPr="00BA5DDF">
              <w:rPr>
                <w:rFonts w:cs="Arial"/>
                <w:b/>
                <w:bCs/>
                <w:i/>
                <w:color w:val="000000"/>
                <w:sz w:val="20"/>
                <w:szCs w:val="22"/>
                <w:lang w:eastAsia="es-CO"/>
              </w:rPr>
              <w:t>2019 en adelante</w:t>
            </w:r>
          </w:p>
        </w:tc>
      </w:tr>
      <w:tr w:rsidR="00BA56AD" w:rsidRPr="00202111" w14:paraId="08AB5FC7" w14:textId="77777777" w:rsidTr="00FB5615">
        <w:trPr>
          <w:trHeight w:val="438"/>
        </w:trPr>
        <w:tc>
          <w:tcPr>
            <w:tcW w:w="5094" w:type="dxa"/>
            <w:shd w:val="clear" w:color="auto" w:fill="auto"/>
            <w:vAlign w:val="center"/>
          </w:tcPr>
          <w:p w14:paraId="1009B7E1" w14:textId="77777777" w:rsidR="00BA56AD" w:rsidRPr="00BA5DDF" w:rsidRDefault="00BA56AD" w:rsidP="00FB5615">
            <w:pPr>
              <w:widowControl w:val="0"/>
              <w:adjustRightInd w:val="0"/>
              <w:ind w:right="20"/>
              <w:rPr>
                <w:rFonts w:cs="Arial"/>
                <w:i/>
                <w:sz w:val="20"/>
                <w:szCs w:val="22"/>
              </w:rPr>
            </w:pPr>
            <w:r w:rsidRPr="00BA5DDF">
              <w:rPr>
                <w:b/>
                <w:bCs/>
                <w:i/>
                <w:color w:val="000000"/>
                <w:sz w:val="20"/>
                <w:szCs w:val="22"/>
                <w:lang w:val="es-ES_tradnl" w:eastAsia="es-CO"/>
              </w:rPr>
              <w:t>Cargo de distribución Total</w:t>
            </w:r>
          </w:p>
        </w:tc>
        <w:tc>
          <w:tcPr>
            <w:tcW w:w="767" w:type="dxa"/>
            <w:shd w:val="clear" w:color="auto" w:fill="auto"/>
            <w:vAlign w:val="center"/>
          </w:tcPr>
          <w:p w14:paraId="5FDFDEDF" w14:textId="77777777" w:rsidR="00BA56AD" w:rsidRPr="00BA5DDF" w:rsidRDefault="00BA56AD" w:rsidP="00FB5615">
            <w:pPr>
              <w:widowControl w:val="0"/>
              <w:adjustRightInd w:val="0"/>
              <w:ind w:right="20"/>
              <w:jc w:val="center"/>
              <w:rPr>
                <w:rFonts w:cs="Arial"/>
                <w:i/>
                <w:sz w:val="20"/>
                <w:szCs w:val="22"/>
              </w:rPr>
            </w:pPr>
            <w:r w:rsidRPr="00BA5DDF">
              <w:rPr>
                <w:b/>
                <w:bCs/>
                <w:i/>
                <w:color w:val="000000"/>
                <w:sz w:val="20"/>
                <w:szCs w:val="22"/>
                <w:lang w:val="es-ES_tradnl" w:eastAsia="es-CO"/>
              </w:rPr>
              <w:t>$/m</w:t>
            </w:r>
            <w:r w:rsidRPr="00BA5DDF">
              <w:rPr>
                <w:b/>
                <w:bCs/>
                <w:i/>
                <w:color w:val="000000"/>
                <w:sz w:val="20"/>
                <w:szCs w:val="22"/>
                <w:vertAlign w:val="superscript"/>
                <w:lang w:val="es-ES_tradnl" w:eastAsia="es-CO"/>
              </w:rPr>
              <w:t>3</w:t>
            </w:r>
          </w:p>
        </w:tc>
        <w:tc>
          <w:tcPr>
            <w:tcW w:w="2111" w:type="dxa"/>
            <w:shd w:val="clear" w:color="auto" w:fill="auto"/>
            <w:vAlign w:val="center"/>
          </w:tcPr>
          <w:p w14:paraId="2A75EA54" w14:textId="77777777" w:rsidR="00BA56AD" w:rsidRPr="00BA5DDF" w:rsidRDefault="00BA56AD" w:rsidP="00FB5615">
            <w:pPr>
              <w:widowControl w:val="0"/>
              <w:adjustRightInd w:val="0"/>
              <w:ind w:right="20"/>
              <w:jc w:val="center"/>
              <w:rPr>
                <w:rFonts w:cs="Arial"/>
                <w:b/>
                <w:i/>
                <w:sz w:val="20"/>
                <w:szCs w:val="22"/>
              </w:rPr>
            </w:pPr>
            <w:r>
              <w:rPr>
                <w:rFonts w:cs="Arial"/>
                <w:b/>
                <w:i/>
                <w:sz w:val="20"/>
                <w:szCs w:val="22"/>
              </w:rPr>
              <w:t>1.348,86</w:t>
            </w:r>
          </w:p>
        </w:tc>
      </w:tr>
      <w:tr w:rsidR="00BA56AD" w:rsidRPr="00202111" w14:paraId="445EA47B" w14:textId="77777777" w:rsidTr="00FB5615">
        <w:trPr>
          <w:trHeight w:val="438"/>
        </w:trPr>
        <w:tc>
          <w:tcPr>
            <w:tcW w:w="5094" w:type="dxa"/>
            <w:shd w:val="clear" w:color="auto" w:fill="auto"/>
            <w:vAlign w:val="center"/>
          </w:tcPr>
          <w:p w14:paraId="3185FECE" w14:textId="77777777" w:rsidR="00BA56AD" w:rsidRPr="00BA5DDF" w:rsidRDefault="00BA56AD" w:rsidP="00FB5615">
            <w:pPr>
              <w:widowControl w:val="0"/>
              <w:adjustRightInd w:val="0"/>
              <w:ind w:right="20"/>
              <w:rPr>
                <w:rFonts w:cs="Arial"/>
                <w:i/>
                <w:sz w:val="20"/>
                <w:szCs w:val="22"/>
              </w:rPr>
            </w:pPr>
            <w:r w:rsidRPr="00BA5DDF">
              <w:rPr>
                <w:i/>
                <w:color w:val="000000"/>
                <w:sz w:val="20"/>
                <w:szCs w:val="22"/>
                <w:lang w:val="es-CO" w:eastAsia="es-CO"/>
              </w:rPr>
              <w:t xml:space="preserve">Componente de inversión </w:t>
            </w:r>
          </w:p>
        </w:tc>
        <w:tc>
          <w:tcPr>
            <w:tcW w:w="767" w:type="dxa"/>
            <w:shd w:val="clear" w:color="auto" w:fill="auto"/>
            <w:vAlign w:val="center"/>
          </w:tcPr>
          <w:p w14:paraId="7C8CF06F" w14:textId="77777777" w:rsidR="00BA56AD" w:rsidRPr="00BA5DDF" w:rsidRDefault="00BA56AD" w:rsidP="00FB5615">
            <w:pPr>
              <w:widowControl w:val="0"/>
              <w:adjustRightInd w:val="0"/>
              <w:ind w:right="20"/>
              <w:jc w:val="center"/>
              <w:rPr>
                <w:rFonts w:cs="Arial"/>
                <w:i/>
                <w:sz w:val="20"/>
                <w:szCs w:val="22"/>
              </w:rPr>
            </w:pPr>
            <w:r w:rsidRPr="00BA5DDF">
              <w:rPr>
                <w:i/>
                <w:color w:val="000000"/>
                <w:sz w:val="20"/>
                <w:szCs w:val="22"/>
                <w:lang w:val="es-ES_tradnl" w:eastAsia="es-CO"/>
              </w:rPr>
              <w:t>$/m</w:t>
            </w:r>
            <w:r w:rsidRPr="00BA5DDF">
              <w:rPr>
                <w:i/>
                <w:color w:val="000000"/>
                <w:sz w:val="20"/>
                <w:szCs w:val="22"/>
                <w:vertAlign w:val="superscript"/>
                <w:lang w:val="es-ES_tradnl" w:eastAsia="es-CO"/>
              </w:rPr>
              <w:t>3</w:t>
            </w:r>
          </w:p>
        </w:tc>
        <w:tc>
          <w:tcPr>
            <w:tcW w:w="2111" w:type="dxa"/>
            <w:shd w:val="clear" w:color="auto" w:fill="auto"/>
            <w:vAlign w:val="center"/>
          </w:tcPr>
          <w:p w14:paraId="45F0DD17" w14:textId="77777777" w:rsidR="00BA56AD" w:rsidRPr="00BA5DDF" w:rsidRDefault="00BA56AD" w:rsidP="00FB5615">
            <w:pPr>
              <w:widowControl w:val="0"/>
              <w:adjustRightInd w:val="0"/>
              <w:ind w:right="20"/>
              <w:jc w:val="center"/>
              <w:rPr>
                <w:rFonts w:cs="Arial"/>
                <w:i/>
                <w:sz w:val="20"/>
                <w:szCs w:val="22"/>
              </w:rPr>
            </w:pPr>
            <w:r>
              <w:rPr>
                <w:rFonts w:cs="Arial"/>
                <w:i/>
                <w:sz w:val="20"/>
                <w:szCs w:val="22"/>
              </w:rPr>
              <w:t>898,30</w:t>
            </w:r>
          </w:p>
        </w:tc>
      </w:tr>
      <w:tr w:rsidR="00BA56AD" w:rsidRPr="00202111" w14:paraId="3701B9AB" w14:textId="77777777" w:rsidTr="00FB5615">
        <w:trPr>
          <w:trHeight w:val="439"/>
        </w:trPr>
        <w:tc>
          <w:tcPr>
            <w:tcW w:w="5094" w:type="dxa"/>
            <w:shd w:val="clear" w:color="auto" w:fill="auto"/>
            <w:vAlign w:val="center"/>
          </w:tcPr>
          <w:p w14:paraId="7DD8D673" w14:textId="77777777" w:rsidR="00BA56AD" w:rsidRPr="00BA5DDF" w:rsidRDefault="00BA56AD" w:rsidP="00FB5615">
            <w:pPr>
              <w:widowControl w:val="0"/>
              <w:adjustRightInd w:val="0"/>
              <w:ind w:right="20"/>
              <w:rPr>
                <w:i/>
                <w:color w:val="000000"/>
                <w:sz w:val="20"/>
                <w:szCs w:val="22"/>
                <w:lang w:val="es-CO" w:eastAsia="es-CO"/>
              </w:rPr>
            </w:pPr>
            <w:r w:rsidRPr="00BA5DDF">
              <w:rPr>
                <w:i/>
                <w:color w:val="000000"/>
                <w:sz w:val="20"/>
                <w:szCs w:val="22"/>
                <w:lang w:val="es-CO" w:eastAsia="es-CO"/>
              </w:rPr>
              <w:t>Componente Gastos AOM</w:t>
            </w:r>
          </w:p>
        </w:tc>
        <w:tc>
          <w:tcPr>
            <w:tcW w:w="767" w:type="dxa"/>
            <w:shd w:val="clear" w:color="auto" w:fill="auto"/>
            <w:vAlign w:val="center"/>
          </w:tcPr>
          <w:p w14:paraId="02A7FCD5" w14:textId="77777777" w:rsidR="00BA56AD" w:rsidRPr="00BA5DDF" w:rsidRDefault="00BA56AD" w:rsidP="00FB5615">
            <w:pPr>
              <w:widowControl w:val="0"/>
              <w:adjustRightInd w:val="0"/>
              <w:ind w:right="20"/>
              <w:jc w:val="center"/>
              <w:rPr>
                <w:rFonts w:cs="Arial"/>
                <w:i/>
                <w:sz w:val="20"/>
                <w:szCs w:val="22"/>
              </w:rPr>
            </w:pPr>
            <w:r w:rsidRPr="00BA5DDF">
              <w:rPr>
                <w:i/>
                <w:color w:val="000000"/>
                <w:sz w:val="20"/>
                <w:szCs w:val="22"/>
                <w:lang w:val="es-ES_tradnl" w:eastAsia="es-CO"/>
              </w:rPr>
              <w:t>$/m</w:t>
            </w:r>
            <w:r w:rsidRPr="00BA5DDF">
              <w:rPr>
                <w:i/>
                <w:color w:val="000000"/>
                <w:sz w:val="20"/>
                <w:szCs w:val="22"/>
                <w:vertAlign w:val="superscript"/>
                <w:lang w:val="es-ES_tradnl" w:eastAsia="es-CO"/>
              </w:rPr>
              <w:t>3</w:t>
            </w:r>
          </w:p>
        </w:tc>
        <w:tc>
          <w:tcPr>
            <w:tcW w:w="2111" w:type="dxa"/>
            <w:shd w:val="clear" w:color="auto" w:fill="auto"/>
            <w:vAlign w:val="center"/>
          </w:tcPr>
          <w:p w14:paraId="019B1F05" w14:textId="77777777" w:rsidR="00BA56AD" w:rsidRPr="00BA5DDF" w:rsidRDefault="00BA56AD" w:rsidP="00FB5615">
            <w:pPr>
              <w:widowControl w:val="0"/>
              <w:adjustRightInd w:val="0"/>
              <w:ind w:right="20"/>
              <w:jc w:val="center"/>
              <w:rPr>
                <w:rFonts w:cs="Arial"/>
                <w:i/>
                <w:sz w:val="20"/>
                <w:szCs w:val="22"/>
              </w:rPr>
            </w:pPr>
            <w:r>
              <w:rPr>
                <w:rFonts w:cs="Arial"/>
                <w:i/>
                <w:sz w:val="20"/>
                <w:szCs w:val="22"/>
              </w:rPr>
              <w:t>450,56</w:t>
            </w:r>
          </w:p>
        </w:tc>
      </w:tr>
    </w:tbl>
    <w:p w14:paraId="583C9E18" w14:textId="77777777" w:rsidR="00BA56AD" w:rsidRDefault="00BA56AD" w:rsidP="00BA56AD">
      <w:pPr>
        <w:widowControl w:val="0"/>
        <w:adjustRightInd w:val="0"/>
        <w:ind w:right="20"/>
        <w:jc w:val="center"/>
        <w:rPr>
          <w:rFonts w:cs="Arial"/>
        </w:rPr>
      </w:pPr>
      <w:r w:rsidRPr="007B0D3E">
        <w:rPr>
          <w:rFonts w:cs="Arial"/>
          <w:sz w:val="16"/>
          <w:lang w:val="x-none" w:eastAsia="x-none"/>
        </w:rPr>
        <w:t>Cifras en pesos del 31 de diciembre de 20</w:t>
      </w:r>
      <w:r w:rsidRPr="007B0D3E">
        <w:rPr>
          <w:rFonts w:cs="Arial"/>
          <w:sz w:val="16"/>
          <w:lang w:val="es-CO" w:eastAsia="x-none"/>
        </w:rPr>
        <w:t>1</w:t>
      </w:r>
      <w:r>
        <w:rPr>
          <w:rFonts w:cs="Arial"/>
          <w:sz w:val="16"/>
          <w:lang w:val="es-CO" w:eastAsia="x-none"/>
        </w:rPr>
        <w:t>7</w:t>
      </w:r>
    </w:p>
    <w:p w14:paraId="2889E8AB" w14:textId="77777777" w:rsidR="00BA56AD" w:rsidRPr="00BA5DDF" w:rsidRDefault="00BA56AD" w:rsidP="00BA56AD">
      <w:pPr>
        <w:ind w:left="567"/>
        <w:rPr>
          <w:rFonts w:cs="Arial"/>
          <w:b/>
          <w:bCs/>
          <w:i/>
          <w:sz w:val="28"/>
        </w:rPr>
      </w:pPr>
    </w:p>
    <w:p w14:paraId="4DAFBBD1" w14:textId="77777777" w:rsidR="00BA56AD" w:rsidRDefault="00BA56AD" w:rsidP="00BA56AD">
      <w:pPr>
        <w:widowControl w:val="0"/>
        <w:adjustRightInd w:val="0"/>
        <w:ind w:left="567" w:right="20"/>
        <w:rPr>
          <w:rFonts w:cs="Arial"/>
          <w:i/>
          <w:sz w:val="22"/>
        </w:rPr>
      </w:pPr>
      <w:r w:rsidRPr="00BA5DDF">
        <w:rPr>
          <w:rFonts w:cs="Arial"/>
          <w:b/>
          <w:bCs/>
          <w:i/>
          <w:sz w:val="22"/>
        </w:rPr>
        <w:t>Parágrafo</w:t>
      </w:r>
      <w:r>
        <w:rPr>
          <w:rFonts w:cs="Arial"/>
          <w:b/>
          <w:bCs/>
          <w:i/>
          <w:sz w:val="22"/>
        </w:rPr>
        <w:t xml:space="preserve"> 1</w:t>
      </w:r>
      <w:r w:rsidRPr="00BA5DDF">
        <w:rPr>
          <w:rFonts w:cs="Arial"/>
          <w:b/>
          <w:bCs/>
          <w:i/>
          <w:sz w:val="22"/>
        </w:rPr>
        <w:t>.</w:t>
      </w:r>
      <w:r w:rsidRPr="00BA5DDF">
        <w:rPr>
          <w:rFonts w:cs="Arial"/>
          <w:i/>
          <w:sz w:val="22"/>
        </w:rPr>
        <w:t xml:space="preserve"> Estos Cargos de Distribución se actualizarán de conformidad con lo establecido en el artículo 12 de la Resolución CREG 202 de 2013 y aquellas que la adicionan y modifican.</w:t>
      </w:r>
    </w:p>
    <w:p w14:paraId="69C516A4" w14:textId="77777777" w:rsidR="00BA56AD" w:rsidRDefault="00BA56AD" w:rsidP="00BA56AD">
      <w:pPr>
        <w:widowControl w:val="0"/>
        <w:adjustRightInd w:val="0"/>
        <w:ind w:left="567" w:right="20"/>
        <w:rPr>
          <w:rFonts w:cs="Arial"/>
          <w:i/>
          <w:sz w:val="22"/>
        </w:rPr>
      </w:pPr>
    </w:p>
    <w:p w14:paraId="490289FD" w14:textId="77777777" w:rsidR="00BA56AD" w:rsidRDefault="00BA56AD" w:rsidP="00BA56AD">
      <w:pPr>
        <w:widowControl w:val="0"/>
        <w:adjustRightInd w:val="0"/>
        <w:ind w:left="567" w:right="20"/>
        <w:rPr>
          <w:rFonts w:cs="Arial"/>
          <w:i/>
          <w:sz w:val="22"/>
        </w:rPr>
      </w:pPr>
      <w:r w:rsidRPr="00BA5DDF">
        <w:rPr>
          <w:rFonts w:cs="Arial"/>
          <w:b/>
          <w:bCs/>
          <w:i/>
          <w:sz w:val="22"/>
        </w:rPr>
        <w:t>Parágrafo</w:t>
      </w:r>
      <w:r>
        <w:rPr>
          <w:rFonts w:cs="Arial"/>
          <w:b/>
          <w:bCs/>
          <w:i/>
          <w:sz w:val="22"/>
        </w:rPr>
        <w:t xml:space="preserve"> 2</w:t>
      </w:r>
      <w:r w:rsidRPr="00BA5DDF">
        <w:rPr>
          <w:rFonts w:cs="Arial"/>
          <w:b/>
          <w:bCs/>
          <w:i/>
          <w:sz w:val="22"/>
        </w:rPr>
        <w:t>.</w:t>
      </w:r>
      <w:r w:rsidRPr="00BA5DDF">
        <w:rPr>
          <w:rFonts w:cs="Arial"/>
          <w:i/>
          <w:sz w:val="22"/>
        </w:rPr>
        <w:t xml:space="preserve"> </w:t>
      </w:r>
      <w:r>
        <w:rPr>
          <w:rFonts w:cs="Arial"/>
          <w:i/>
          <w:sz w:val="22"/>
        </w:rPr>
        <w:t>Para la distribución domiciliaria de GLP por redes, el cargo de distribución se fija de la siguiente manera:</w:t>
      </w:r>
    </w:p>
    <w:p w14:paraId="017484C8" w14:textId="77777777" w:rsidR="00BA56AD" w:rsidRDefault="00BA56AD" w:rsidP="00BA56AD">
      <w:pPr>
        <w:widowControl w:val="0"/>
        <w:adjustRightInd w:val="0"/>
        <w:ind w:left="567" w:right="20"/>
        <w:rPr>
          <w:rFonts w:cs="Arial"/>
          <w:i/>
          <w:sz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767"/>
        <w:gridCol w:w="2111"/>
      </w:tblGrid>
      <w:tr w:rsidR="00BA56AD" w:rsidRPr="00202111" w14:paraId="75F5BF6B" w14:textId="77777777" w:rsidTr="00FB5615">
        <w:trPr>
          <w:trHeight w:val="468"/>
        </w:trPr>
        <w:tc>
          <w:tcPr>
            <w:tcW w:w="7972" w:type="dxa"/>
            <w:gridSpan w:val="3"/>
            <w:shd w:val="clear" w:color="auto" w:fill="D9D9D9" w:themeFill="background1" w:themeFillShade="D9"/>
            <w:vAlign w:val="center"/>
          </w:tcPr>
          <w:p w14:paraId="6E16A646" w14:textId="77777777" w:rsidR="00BA56AD" w:rsidRPr="00BA5DDF" w:rsidRDefault="00BA56AD" w:rsidP="00FB5615">
            <w:pPr>
              <w:widowControl w:val="0"/>
              <w:adjustRightInd w:val="0"/>
              <w:ind w:right="20"/>
              <w:jc w:val="center"/>
              <w:rPr>
                <w:rFonts w:cs="Arial"/>
                <w:i/>
                <w:sz w:val="20"/>
              </w:rPr>
            </w:pPr>
            <w:r w:rsidRPr="00BA5DDF">
              <w:rPr>
                <w:b/>
                <w:bCs/>
                <w:i/>
                <w:color w:val="000000"/>
                <w:sz w:val="20"/>
                <w:szCs w:val="22"/>
                <w:lang w:eastAsia="es-CO"/>
              </w:rPr>
              <w:t>Usuarios de Uso Residencial</w:t>
            </w:r>
          </w:p>
        </w:tc>
      </w:tr>
      <w:tr w:rsidR="00BA56AD" w:rsidRPr="00202111" w14:paraId="79F623CB" w14:textId="77777777" w:rsidTr="00FB5615">
        <w:trPr>
          <w:trHeight w:val="345"/>
        </w:trPr>
        <w:tc>
          <w:tcPr>
            <w:tcW w:w="5094" w:type="dxa"/>
            <w:shd w:val="clear" w:color="auto" w:fill="D9D9D9" w:themeFill="background1" w:themeFillShade="D9"/>
            <w:vAlign w:val="center"/>
          </w:tcPr>
          <w:p w14:paraId="6FBD5824" w14:textId="77777777" w:rsidR="00BA56AD" w:rsidRPr="00BA5DDF" w:rsidRDefault="00BA56AD" w:rsidP="00FB5615">
            <w:pPr>
              <w:widowControl w:val="0"/>
              <w:adjustRightInd w:val="0"/>
              <w:ind w:right="20"/>
              <w:jc w:val="center"/>
              <w:rPr>
                <w:rFonts w:cs="Arial"/>
                <w:i/>
                <w:sz w:val="20"/>
                <w:szCs w:val="22"/>
              </w:rPr>
            </w:pPr>
            <w:r w:rsidRPr="00BA5DDF">
              <w:rPr>
                <w:b/>
                <w:bCs/>
                <w:i/>
                <w:color w:val="000000"/>
                <w:sz w:val="20"/>
                <w:szCs w:val="22"/>
                <w:lang w:val="es-ES_tradnl" w:eastAsia="es-CO"/>
              </w:rPr>
              <w:t>Componente</w:t>
            </w:r>
          </w:p>
        </w:tc>
        <w:tc>
          <w:tcPr>
            <w:tcW w:w="767" w:type="dxa"/>
            <w:shd w:val="clear" w:color="auto" w:fill="D9D9D9" w:themeFill="background1" w:themeFillShade="D9"/>
            <w:vAlign w:val="center"/>
          </w:tcPr>
          <w:p w14:paraId="4DEB490D" w14:textId="77777777" w:rsidR="00BA56AD" w:rsidRPr="00BA5DDF" w:rsidRDefault="00BA56AD" w:rsidP="00FB5615">
            <w:pPr>
              <w:widowControl w:val="0"/>
              <w:adjustRightInd w:val="0"/>
              <w:ind w:right="20"/>
              <w:jc w:val="center"/>
              <w:rPr>
                <w:rFonts w:cs="Arial"/>
                <w:i/>
                <w:sz w:val="20"/>
                <w:szCs w:val="22"/>
              </w:rPr>
            </w:pPr>
          </w:p>
        </w:tc>
        <w:tc>
          <w:tcPr>
            <w:tcW w:w="2111" w:type="dxa"/>
            <w:shd w:val="clear" w:color="auto" w:fill="D9D9D9" w:themeFill="background1" w:themeFillShade="D9"/>
            <w:vAlign w:val="center"/>
          </w:tcPr>
          <w:p w14:paraId="565E47D2" w14:textId="7A2EB878" w:rsidR="00BA56AD" w:rsidRPr="00BA5DDF" w:rsidRDefault="003A2916" w:rsidP="00FB5615">
            <w:pPr>
              <w:widowControl w:val="0"/>
              <w:adjustRightInd w:val="0"/>
              <w:ind w:right="20"/>
              <w:jc w:val="center"/>
              <w:rPr>
                <w:rFonts w:cs="Arial"/>
                <w:i/>
                <w:sz w:val="20"/>
                <w:szCs w:val="22"/>
              </w:rPr>
            </w:pPr>
            <w:r>
              <w:rPr>
                <w:rFonts w:cs="Arial"/>
                <w:b/>
                <w:bCs/>
                <w:i/>
                <w:color w:val="000000"/>
                <w:sz w:val="20"/>
                <w:szCs w:val="22"/>
                <w:lang w:eastAsia="es-CO"/>
              </w:rPr>
              <w:t xml:space="preserve">Año </w:t>
            </w:r>
            <w:r w:rsidR="00BA56AD" w:rsidRPr="00BA5DDF">
              <w:rPr>
                <w:rFonts w:cs="Arial"/>
                <w:b/>
                <w:bCs/>
                <w:i/>
                <w:color w:val="000000"/>
                <w:sz w:val="20"/>
                <w:szCs w:val="22"/>
                <w:lang w:eastAsia="es-CO"/>
              </w:rPr>
              <w:t>2019 en adelante</w:t>
            </w:r>
          </w:p>
        </w:tc>
      </w:tr>
      <w:tr w:rsidR="00BA56AD" w:rsidRPr="00202111" w14:paraId="40CE873E" w14:textId="77777777" w:rsidTr="00FB5615">
        <w:trPr>
          <w:trHeight w:val="438"/>
        </w:trPr>
        <w:tc>
          <w:tcPr>
            <w:tcW w:w="5094" w:type="dxa"/>
            <w:shd w:val="clear" w:color="auto" w:fill="auto"/>
            <w:vAlign w:val="center"/>
          </w:tcPr>
          <w:p w14:paraId="72C82126" w14:textId="77777777" w:rsidR="00BA56AD" w:rsidRPr="00BA5DDF" w:rsidRDefault="00BA56AD" w:rsidP="00FB5615">
            <w:pPr>
              <w:widowControl w:val="0"/>
              <w:adjustRightInd w:val="0"/>
              <w:ind w:right="20"/>
              <w:rPr>
                <w:rFonts w:cs="Arial"/>
                <w:i/>
                <w:sz w:val="20"/>
                <w:szCs w:val="22"/>
              </w:rPr>
            </w:pPr>
            <w:r w:rsidRPr="00BA5DDF">
              <w:rPr>
                <w:b/>
                <w:bCs/>
                <w:i/>
                <w:color w:val="000000"/>
                <w:sz w:val="20"/>
                <w:szCs w:val="22"/>
                <w:lang w:val="es-ES_tradnl" w:eastAsia="es-CO"/>
              </w:rPr>
              <w:t>Cargo de distribución Total</w:t>
            </w:r>
          </w:p>
        </w:tc>
        <w:tc>
          <w:tcPr>
            <w:tcW w:w="767" w:type="dxa"/>
            <w:shd w:val="clear" w:color="auto" w:fill="auto"/>
            <w:vAlign w:val="center"/>
          </w:tcPr>
          <w:p w14:paraId="02AC9922" w14:textId="77777777" w:rsidR="00BA56AD" w:rsidRPr="00BA5DDF" w:rsidRDefault="00BA56AD" w:rsidP="00FB5615">
            <w:pPr>
              <w:widowControl w:val="0"/>
              <w:adjustRightInd w:val="0"/>
              <w:ind w:right="20"/>
              <w:jc w:val="center"/>
              <w:rPr>
                <w:rFonts w:cs="Arial"/>
                <w:i/>
                <w:sz w:val="20"/>
                <w:szCs w:val="22"/>
              </w:rPr>
            </w:pPr>
            <w:r w:rsidRPr="00BA5DDF">
              <w:rPr>
                <w:b/>
                <w:bCs/>
                <w:i/>
                <w:color w:val="000000"/>
                <w:sz w:val="20"/>
                <w:szCs w:val="22"/>
                <w:lang w:val="es-ES_tradnl" w:eastAsia="es-CO"/>
              </w:rPr>
              <w:t>$/m</w:t>
            </w:r>
            <w:r w:rsidRPr="00BA5DDF">
              <w:rPr>
                <w:b/>
                <w:bCs/>
                <w:i/>
                <w:color w:val="000000"/>
                <w:sz w:val="20"/>
                <w:szCs w:val="22"/>
                <w:vertAlign w:val="superscript"/>
                <w:lang w:val="es-ES_tradnl" w:eastAsia="es-CO"/>
              </w:rPr>
              <w:t>3</w:t>
            </w:r>
          </w:p>
        </w:tc>
        <w:tc>
          <w:tcPr>
            <w:tcW w:w="2111" w:type="dxa"/>
            <w:shd w:val="clear" w:color="auto" w:fill="auto"/>
            <w:vAlign w:val="center"/>
          </w:tcPr>
          <w:p w14:paraId="327B573D" w14:textId="77777777" w:rsidR="00BA56AD" w:rsidRPr="00BA5DDF" w:rsidRDefault="00BA56AD" w:rsidP="00FB5615">
            <w:pPr>
              <w:widowControl w:val="0"/>
              <w:adjustRightInd w:val="0"/>
              <w:ind w:right="20"/>
              <w:jc w:val="center"/>
              <w:rPr>
                <w:rFonts w:cs="Arial"/>
                <w:b/>
                <w:i/>
                <w:sz w:val="20"/>
                <w:szCs w:val="22"/>
              </w:rPr>
            </w:pPr>
            <w:r>
              <w:rPr>
                <w:rFonts w:cs="Arial"/>
                <w:b/>
                <w:i/>
                <w:sz w:val="20"/>
                <w:szCs w:val="22"/>
              </w:rPr>
              <w:t>1.409,61</w:t>
            </w:r>
          </w:p>
        </w:tc>
      </w:tr>
      <w:tr w:rsidR="00BA56AD" w:rsidRPr="00202111" w14:paraId="1A2B037F" w14:textId="77777777" w:rsidTr="00FB5615">
        <w:trPr>
          <w:trHeight w:val="438"/>
        </w:trPr>
        <w:tc>
          <w:tcPr>
            <w:tcW w:w="5094" w:type="dxa"/>
            <w:shd w:val="clear" w:color="auto" w:fill="auto"/>
            <w:vAlign w:val="center"/>
          </w:tcPr>
          <w:p w14:paraId="4E273C53" w14:textId="77777777" w:rsidR="00BA56AD" w:rsidRPr="00BA5DDF" w:rsidRDefault="00BA56AD" w:rsidP="00FB5615">
            <w:pPr>
              <w:widowControl w:val="0"/>
              <w:adjustRightInd w:val="0"/>
              <w:ind w:right="20"/>
              <w:rPr>
                <w:rFonts w:cs="Arial"/>
                <w:i/>
                <w:sz w:val="20"/>
                <w:szCs w:val="22"/>
              </w:rPr>
            </w:pPr>
            <w:r w:rsidRPr="00BA5DDF">
              <w:rPr>
                <w:i/>
                <w:color w:val="000000"/>
                <w:sz w:val="20"/>
                <w:szCs w:val="22"/>
                <w:lang w:val="es-CO" w:eastAsia="es-CO"/>
              </w:rPr>
              <w:t xml:space="preserve">Componente de inversión </w:t>
            </w:r>
          </w:p>
        </w:tc>
        <w:tc>
          <w:tcPr>
            <w:tcW w:w="767" w:type="dxa"/>
            <w:shd w:val="clear" w:color="auto" w:fill="auto"/>
            <w:vAlign w:val="center"/>
          </w:tcPr>
          <w:p w14:paraId="52421E15" w14:textId="77777777" w:rsidR="00BA56AD" w:rsidRPr="00BA5DDF" w:rsidRDefault="00BA56AD" w:rsidP="00FB5615">
            <w:pPr>
              <w:widowControl w:val="0"/>
              <w:adjustRightInd w:val="0"/>
              <w:ind w:right="20"/>
              <w:jc w:val="center"/>
              <w:rPr>
                <w:rFonts w:cs="Arial"/>
                <w:i/>
                <w:sz w:val="20"/>
                <w:szCs w:val="22"/>
              </w:rPr>
            </w:pPr>
            <w:r w:rsidRPr="00BA5DDF">
              <w:rPr>
                <w:i/>
                <w:color w:val="000000"/>
                <w:sz w:val="20"/>
                <w:szCs w:val="22"/>
                <w:lang w:val="es-ES_tradnl" w:eastAsia="es-CO"/>
              </w:rPr>
              <w:t>$/m</w:t>
            </w:r>
            <w:r w:rsidRPr="00BA5DDF">
              <w:rPr>
                <w:i/>
                <w:color w:val="000000"/>
                <w:sz w:val="20"/>
                <w:szCs w:val="22"/>
                <w:vertAlign w:val="superscript"/>
                <w:lang w:val="es-ES_tradnl" w:eastAsia="es-CO"/>
              </w:rPr>
              <w:t>3</w:t>
            </w:r>
          </w:p>
        </w:tc>
        <w:tc>
          <w:tcPr>
            <w:tcW w:w="2111" w:type="dxa"/>
            <w:shd w:val="clear" w:color="auto" w:fill="auto"/>
            <w:vAlign w:val="center"/>
          </w:tcPr>
          <w:p w14:paraId="4D88F4FA" w14:textId="77777777" w:rsidR="00BA56AD" w:rsidRPr="00BA5DDF" w:rsidRDefault="00BA56AD" w:rsidP="00FB5615">
            <w:pPr>
              <w:widowControl w:val="0"/>
              <w:adjustRightInd w:val="0"/>
              <w:ind w:right="20"/>
              <w:jc w:val="center"/>
              <w:rPr>
                <w:rFonts w:cs="Arial"/>
                <w:i/>
                <w:sz w:val="20"/>
                <w:szCs w:val="22"/>
              </w:rPr>
            </w:pPr>
            <w:r>
              <w:rPr>
                <w:rFonts w:cs="Arial"/>
                <w:i/>
                <w:sz w:val="20"/>
                <w:szCs w:val="22"/>
              </w:rPr>
              <w:t>1.043,79</w:t>
            </w:r>
          </w:p>
        </w:tc>
      </w:tr>
      <w:tr w:rsidR="00BA56AD" w:rsidRPr="00202111" w14:paraId="27DF7E9B" w14:textId="77777777" w:rsidTr="00FB5615">
        <w:trPr>
          <w:trHeight w:val="439"/>
        </w:trPr>
        <w:tc>
          <w:tcPr>
            <w:tcW w:w="5094" w:type="dxa"/>
            <w:shd w:val="clear" w:color="auto" w:fill="auto"/>
            <w:vAlign w:val="center"/>
          </w:tcPr>
          <w:p w14:paraId="7F31EF75" w14:textId="77777777" w:rsidR="00BA56AD" w:rsidRPr="00BA5DDF" w:rsidRDefault="00BA56AD" w:rsidP="00FB5615">
            <w:pPr>
              <w:widowControl w:val="0"/>
              <w:adjustRightInd w:val="0"/>
              <w:ind w:right="20"/>
              <w:rPr>
                <w:i/>
                <w:color w:val="000000"/>
                <w:sz w:val="20"/>
                <w:szCs w:val="22"/>
                <w:lang w:val="es-CO" w:eastAsia="es-CO"/>
              </w:rPr>
            </w:pPr>
            <w:r w:rsidRPr="00BA5DDF">
              <w:rPr>
                <w:i/>
                <w:color w:val="000000"/>
                <w:sz w:val="20"/>
                <w:szCs w:val="22"/>
                <w:lang w:val="es-CO" w:eastAsia="es-CO"/>
              </w:rPr>
              <w:t>Componente Gastos AOM</w:t>
            </w:r>
          </w:p>
        </w:tc>
        <w:tc>
          <w:tcPr>
            <w:tcW w:w="767" w:type="dxa"/>
            <w:shd w:val="clear" w:color="auto" w:fill="auto"/>
            <w:vAlign w:val="center"/>
          </w:tcPr>
          <w:p w14:paraId="39BC50EB" w14:textId="77777777" w:rsidR="00BA56AD" w:rsidRPr="00BA5DDF" w:rsidRDefault="00BA56AD" w:rsidP="00FB5615">
            <w:pPr>
              <w:widowControl w:val="0"/>
              <w:adjustRightInd w:val="0"/>
              <w:ind w:right="20"/>
              <w:jc w:val="center"/>
              <w:rPr>
                <w:rFonts w:cs="Arial"/>
                <w:i/>
                <w:sz w:val="20"/>
                <w:szCs w:val="22"/>
              </w:rPr>
            </w:pPr>
            <w:r w:rsidRPr="00BA5DDF">
              <w:rPr>
                <w:i/>
                <w:color w:val="000000"/>
                <w:sz w:val="20"/>
                <w:szCs w:val="22"/>
                <w:lang w:val="es-ES_tradnl" w:eastAsia="es-CO"/>
              </w:rPr>
              <w:t>$/m</w:t>
            </w:r>
            <w:r w:rsidRPr="00BA5DDF">
              <w:rPr>
                <w:i/>
                <w:color w:val="000000"/>
                <w:sz w:val="20"/>
                <w:szCs w:val="22"/>
                <w:vertAlign w:val="superscript"/>
                <w:lang w:val="es-ES_tradnl" w:eastAsia="es-CO"/>
              </w:rPr>
              <w:t>3</w:t>
            </w:r>
          </w:p>
        </w:tc>
        <w:tc>
          <w:tcPr>
            <w:tcW w:w="2111" w:type="dxa"/>
            <w:shd w:val="clear" w:color="auto" w:fill="auto"/>
            <w:vAlign w:val="center"/>
          </w:tcPr>
          <w:p w14:paraId="08791321" w14:textId="77777777" w:rsidR="00BA56AD" w:rsidRPr="00BA5DDF" w:rsidRDefault="00BA56AD" w:rsidP="00FB5615">
            <w:pPr>
              <w:widowControl w:val="0"/>
              <w:adjustRightInd w:val="0"/>
              <w:ind w:right="20"/>
              <w:jc w:val="center"/>
              <w:rPr>
                <w:rFonts w:cs="Arial"/>
                <w:i/>
                <w:sz w:val="20"/>
                <w:szCs w:val="22"/>
              </w:rPr>
            </w:pPr>
            <w:r>
              <w:rPr>
                <w:rFonts w:cs="Arial"/>
                <w:i/>
                <w:sz w:val="20"/>
                <w:szCs w:val="22"/>
              </w:rPr>
              <w:t>365,82</w:t>
            </w:r>
          </w:p>
        </w:tc>
      </w:tr>
    </w:tbl>
    <w:p w14:paraId="4408BAD4" w14:textId="77777777" w:rsidR="00BA56AD" w:rsidRDefault="00BA56AD" w:rsidP="00BA56AD">
      <w:pPr>
        <w:widowControl w:val="0"/>
        <w:adjustRightInd w:val="0"/>
        <w:ind w:right="20"/>
        <w:jc w:val="center"/>
        <w:rPr>
          <w:rFonts w:cs="Arial"/>
        </w:rPr>
      </w:pPr>
      <w:r w:rsidRPr="007B0D3E">
        <w:rPr>
          <w:rFonts w:cs="Arial"/>
          <w:sz w:val="16"/>
          <w:lang w:val="x-none" w:eastAsia="x-none"/>
        </w:rPr>
        <w:t>Cifras en pesos del 31 de diciembre de 20</w:t>
      </w:r>
      <w:r w:rsidRPr="007B0D3E">
        <w:rPr>
          <w:rFonts w:cs="Arial"/>
          <w:sz w:val="16"/>
          <w:lang w:val="es-CO" w:eastAsia="x-none"/>
        </w:rPr>
        <w:t>1</w:t>
      </w:r>
      <w:r>
        <w:rPr>
          <w:rFonts w:cs="Arial"/>
          <w:sz w:val="16"/>
          <w:lang w:val="es-CO" w:eastAsia="x-none"/>
        </w:rPr>
        <w:t>7</w:t>
      </w:r>
    </w:p>
    <w:p w14:paraId="1DF42B8A" w14:textId="77777777" w:rsidR="00BA56AD" w:rsidRPr="00BA5DDF" w:rsidRDefault="00BA56AD" w:rsidP="00BA56AD">
      <w:pPr>
        <w:widowControl w:val="0"/>
        <w:adjustRightInd w:val="0"/>
        <w:ind w:left="9063" w:right="20" w:firstLine="141"/>
        <w:rPr>
          <w:rFonts w:cs="Arial"/>
          <w:i/>
          <w:sz w:val="22"/>
        </w:rPr>
      </w:pPr>
      <w:r>
        <w:rPr>
          <w:rFonts w:cs="Arial"/>
          <w:i/>
          <w:sz w:val="22"/>
        </w:rPr>
        <w:t>”</w:t>
      </w:r>
    </w:p>
    <w:p w14:paraId="3B36FC6A" w14:textId="77777777" w:rsidR="00BA56AD" w:rsidRDefault="00BA56AD" w:rsidP="00BA56AD">
      <w:pPr>
        <w:rPr>
          <w:b/>
        </w:rPr>
      </w:pPr>
    </w:p>
    <w:p w14:paraId="477E3996" w14:textId="77777777" w:rsidR="00BA56AD" w:rsidRDefault="00BA56AD" w:rsidP="00BA56AD">
      <w:r w:rsidRPr="00F2436D">
        <w:rPr>
          <w:b/>
        </w:rPr>
        <w:t xml:space="preserve">ARTÍCULO </w:t>
      </w:r>
      <w:r>
        <w:rPr>
          <w:b/>
        </w:rPr>
        <w:t>6</w:t>
      </w:r>
      <w:r w:rsidRPr="00F2436D">
        <w:rPr>
          <w:b/>
        </w:rPr>
        <w:t>.</w:t>
      </w:r>
      <w:r w:rsidRPr="00F2436D">
        <w:t xml:space="preserve"> Modificar el Artículo 6 “Cargos de distribución aplicables a los usuarios Diferentes de Uso Residencial” de la Resolución CREG </w:t>
      </w:r>
      <w:r>
        <w:t>005 de 2019</w:t>
      </w:r>
      <w:r w:rsidRPr="00F2436D">
        <w:t xml:space="preserve">, </w:t>
      </w:r>
      <w:r>
        <w:t xml:space="preserve">de acuerdo con lo manifestado en el recurso de reposición interpuesto por ALCANOS S.A. E.S.P. y C.S.P. SOSTENIBLES S.A. E.S.P, </w:t>
      </w:r>
      <w:r w:rsidRPr="00F2436D">
        <w:t>el cual quedará así:</w:t>
      </w:r>
    </w:p>
    <w:p w14:paraId="5074097B" w14:textId="77777777" w:rsidR="00BA56AD" w:rsidRDefault="00BA56AD" w:rsidP="00BA56AD"/>
    <w:p w14:paraId="0E9C934C" w14:textId="77777777" w:rsidR="00BA56AD" w:rsidRPr="001A6FCA" w:rsidRDefault="00BA56AD" w:rsidP="00BA56AD">
      <w:pPr>
        <w:widowControl w:val="0"/>
        <w:adjustRightInd w:val="0"/>
        <w:ind w:left="426" w:right="20"/>
        <w:rPr>
          <w:rFonts w:cs="Arial"/>
          <w:i/>
          <w:sz w:val="22"/>
        </w:rPr>
      </w:pPr>
      <w:r>
        <w:rPr>
          <w:rFonts w:cs="Arial"/>
          <w:b/>
          <w:i/>
          <w:sz w:val="22"/>
        </w:rPr>
        <w:t>“</w:t>
      </w:r>
      <w:r w:rsidRPr="001A6FCA">
        <w:rPr>
          <w:rFonts w:cs="Arial"/>
          <w:b/>
          <w:i/>
          <w:sz w:val="22"/>
        </w:rPr>
        <w:t>ARTÍCULO 6. Cargo de distribución aplicable a los usuarios diferentes a los de Uso Residencial.</w:t>
      </w:r>
      <w:r w:rsidRPr="001A6FCA">
        <w:rPr>
          <w:rFonts w:cs="Arial"/>
          <w:i/>
          <w:sz w:val="22"/>
        </w:rPr>
        <w:t xml:space="preserve"> A partir de la vigencia de la presente Resolución, el cargo de distribución aplicable a los usuarios diferentes a los de uso residencial aplicable en el Mercado Relevante definido en el artículo 1°, para recuperar los costos de inversión y los gastos de AOM para la distribución domiciliaria de gas combustible por red se fija de la siguiente manera:</w:t>
      </w:r>
    </w:p>
    <w:p w14:paraId="27CB7565" w14:textId="77777777" w:rsidR="00BA56AD" w:rsidRPr="001A6FCA" w:rsidRDefault="00BA56AD" w:rsidP="00BA56AD">
      <w:pPr>
        <w:widowControl w:val="0"/>
        <w:adjustRightInd w:val="0"/>
        <w:ind w:left="426" w:right="20"/>
        <w:rPr>
          <w:rFonts w:cs="Arial"/>
          <w:i/>
          <w:sz w:val="22"/>
          <w:lang w:val="x-none" w:eastAsia="x-none"/>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1"/>
        <w:gridCol w:w="813"/>
        <w:gridCol w:w="2233"/>
      </w:tblGrid>
      <w:tr w:rsidR="00BA56AD" w:rsidRPr="001A6FCA" w14:paraId="5932CED4" w14:textId="77777777" w:rsidTr="00FB5615">
        <w:trPr>
          <w:trHeight w:val="546"/>
          <w:tblHeader/>
        </w:trPr>
        <w:tc>
          <w:tcPr>
            <w:tcW w:w="8597" w:type="dxa"/>
            <w:gridSpan w:val="3"/>
            <w:shd w:val="clear" w:color="auto" w:fill="D9D9D9" w:themeFill="background1" w:themeFillShade="D9"/>
            <w:vAlign w:val="center"/>
          </w:tcPr>
          <w:p w14:paraId="436372AA" w14:textId="77777777" w:rsidR="00BA56AD" w:rsidRPr="001A6FCA" w:rsidRDefault="00BA56AD" w:rsidP="00FB5615">
            <w:pPr>
              <w:widowControl w:val="0"/>
              <w:adjustRightInd w:val="0"/>
              <w:ind w:right="20"/>
              <w:jc w:val="center"/>
              <w:rPr>
                <w:rFonts w:cs="Arial"/>
                <w:i/>
                <w:sz w:val="20"/>
                <w:szCs w:val="22"/>
              </w:rPr>
            </w:pPr>
            <w:r w:rsidRPr="001A6FCA">
              <w:rPr>
                <w:rFonts w:cs="Arial"/>
                <w:b/>
                <w:bCs/>
                <w:i/>
                <w:color w:val="000000"/>
                <w:sz w:val="20"/>
                <w:szCs w:val="22"/>
                <w:lang w:eastAsia="es-CO"/>
              </w:rPr>
              <w:t>Usuarios Diferentes a los de Uso Residencial</w:t>
            </w:r>
          </w:p>
        </w:tc>
      </w:tr>
      <w:tr w:rsidR="00BA56AD" w:rsidRPr="001A6FCA" w14:paraId="292B267B" w14:textId="77777777" w:rsidTr="00FB5615">
        <w:trPr>
          <w:trHeight w:val="402"/>
          <w:tblHeader/>
        </w:trPr>
        <w:tc>
          <w:tcPr>
            <w:tcW w:w="5551" w:type="dxa"/>
            <w:shd w:val="clear" w:color="auto" w:fill="D9D9D9" w:themeFill="background1" w:themeFillShade="D9"/>
            <w:vAlign w:val="center"/>
          </w:tcPr>
          <w:p w14:paraId="0D358A83" w14:textId="77777777" w:rsidR="00BA56AD" w:rsidRPr="001A6FCA" w:rsidRDefault="00BA56AD" w:rsidP="00FB5615">
            <w:pPr>
              <w:widowControl w:val="0"/>
              <w:adjustRightInd w:val="0"/>
              <w:ind w:right="20"/>
              <w:jc w:val="center"/>
              <w:rPr>
                <w:rFonts w:cs="Arial"/>
                <w:i/>
                <w:sz w:val="20"/>
                <w:szCs w:val="22"/>
              </w:rPr>
            </w:pPr>
            <w:r w:rsidRPr="001A6FCA">
              <w:rPr>
                <w:b/>
                <w:bCs/>
                <w:i/>
                <w:color w:val="000000"/>
                <w:sz w:val="20"/>
                <w:szCs w:val="22"/>
                <w:lang w:val="es-ES_tradnl" w:eastAsia="es-CO"/>
              </w:rPr>
              <w:t>Componente</w:t>
            </w:r>
          </w:p>
        </w:tc>
        <w:tc>
          <w:tcPr>
            <w:tcW w:w="813" w:type="dxa"/>
            <w:shd w:val="clear" w:color="auto" w:fill="D9D9D9" w:themeFill="background1" w:themeFillShade="D9"/>
            <w:vAlign w:val="center"/>
          </w:tcPr>
          <w:p w14:paraId="5A0F81DB" w14:textId="77777777" w:rsidR="00BA56AD" w:rsidRPr="001A6FCA" w:rsidRDefault="00BA56AD" w:rsidP="00FB5615">
            <w:pPr>
              <w:widowControl w:val="0"/>
              <w:adjustRightInd w:val="0"/>
              <w:ind w:right="20"/>
              <w:jc w:val="center"/>
              <w:rPr>
                <w:rFonts w:cs="Arial"/>
                <w:i/>
                <w:sz w:val="20"/>
                <w:szCs w:val="22"/>
              </w:rPr>
            </w:pPr>
          </w:p>
        </w:tc>
        <w:tc>
          <w:tcPr>
            <w:tcW w:w="2233" w:type="dxa"/>
            <w:shd w:val="clear" w:color="auto" w:fill="D9D9D9" w:themeFill="background1" w:themeFillShade="D9"/>
            <w:vAlign w:val="center"/>
          </w:tcPr>
          <w:p w14:paraId="1FF5863A" w14:textId="2A443750" w:rsidR="00BA56AD" w:rsidRPr="001A6FCA" w:rsidRDefault="003A2916" w:rsidP="00FB5615">
            <w:pPr>
              <w:widowControl w:val="0"/>
              <w:adjustRightInd w:val="0"/>
              <w:ind w:right="20"/>
              <w:jc w:val="center"/>
              <w:rPr>
                <w:rFonts w:cs="Arial"/>
                <w:i/>
                <w:sz w:val="20"/>
                <w:szCs w:val="22"/>
              </w:rPr>
            </w:pPr>
            <w:r>
              <w:rPr>
                <w:rFonts w:cs="Arial"/>
                <w:b/>
                <w:bCs/>
                <w:i/>
                <w:color w:val="000000"/>
                <w:sz w:val="20"/>
                <w:szCs w:val="22"/>
                <w:lang w:eastAsia="es-CO"/>
              </w:rPr>
              <w:t xml:space="preserve">Año </w:t>
            </w:r>
            <w:r w:rsidR="00BA56AD" w:rsidRPr="001A6FCA">
              <w:rPr>
                <w:rFonts w:cs="Arial"/>
                <w:b/>
                <w:bCs/>
                <w:i/>
                <w:color w:val="000000"/>
                <w:sz w:val="20"/>
                <w:szCs w:val="22"/>
                <w:lang w:eastAsia="es-CO"/>
              </w:rPr>
              <w:t>2019 en adelante</w:t>
            </w:r>
          </w:p>
        </w:tc>
      </w:tr>
      <w:tr w:rsidR="00BA56AD" w:rsidRPr="001A6FCA" w14:paraId="2B976F05" w14:textId="77777777" w:rsidTr="00FB5615">
        <w:trPr>
          <w:trHeight w:val="511"/>
        </w:trPr>
        <w:tc>
          <w:tcPr>
            <w:tcW w:w="5551" w:type="dxa"/>
            <w:shd w:val="clear" w:color="auto" w:fill="auto"/>
            <w:vAlign w:val="center"/>
          </w:tcPr>
          <w:p w14:paraId="776FF421" w14:textId="77777777" w:rsidR="00BA56AD" w:rsidRPr="001A6FCA" w:rsidRDefault="00BA56AD" w:rsidP="00FB5615">
            <w:pPr>
              <w:widowControl w:val="0"/>
              <w:adjustRightInd w:val="0"/>
              <w:ind w:right="20"/>
              <w:rPr>
                <w:rFonts w:cs="Arial"/>
                <w:i/>
                <w:sz w:val="20"/>
                <w:szCs w:val="22"/>
              </w:rPr>
            </w:pPr>
            <w:r w:rsidRPr="001A6FCA">
              <w:rPr>
                <w:b/>
                <w:bCs/>
                <w:i/>
                <w:color w:val="000000"/>
                <w:sz w:val="20"/>
                <w:szCs w:val="22"/>
                <w:lang w:val="es-ES_tradnl" w:eastAsia="es-CO"/>
              </w:rPr>
              <w:t>Cargo de distribución Total</w:t>
            </w:r>
          </w:p>
        </w:tc>
        <w:tc>
          <w:tcPr>
            <w:tcW w:w="813" w:type="dxa"/>
            <w:shd w:val="clear" w:color="auto" w:fill="auto"/>
            <w:vAlign w:val="center"/>
          </w:tcPr>
          <w:p w14:paraId="1CF57FB7" w14:textId="77777777" w:rsidR="00BA56AD" w:rsidRPr="001A6FCA" w:rsidRDefault="00BA56AD" w:rsidP="00FB5615">
            <w:pPr>
              <w:widowControl w:val="0"/>
              <w:adjustRightInd w:val="0"/>
              <w:ind w:right="20"/>
              <w:jc w:val="center"/>
              <w:rPr>
                <w:rFonts w:cs="Arial"/>
                <w:i/>
                <w:sz w:val="20"/>
                <w:szCs w:val="22"/>
              </w:rPr>
            </w:pPr>
            <w:r w:rsidRPr="001A6FCA">
              <w:rPr>
                <w:b/>
                <w:bCs/>
                <w:i/>
                <w:color w:val="000000"/>
                <w:sz w:val="20"/>
                <w:szCs w:val="22"/>
                <w:lang w:val="es-ES_tradnl" w:eastAsia="es-CO"/>
              </w:rPr>
              <w:t>$/m</w:t>
            </w:r>
            <w:r w:rsidRPr="001A6FCA">
              <w:rPr>
                <w:b/>
                <w:bCs/>
                <w:i/>
                <w:color w:val="000000"/>
                <w:sz w:val="20"/>
                <w:szCs w:val="22"/>
                <w:vertAlign w:val="superscript"/>
                <w:lang w:val="es-ES_tradnl" w:eastAsia="es-CO"/>
              </w:rPr>
              <w:t>3</w:t>
            </w:r>
          </w:p>
        </w:tc>
        <w:tc>
          <w:tcPr>
            <w:tcW w:w="2233" w:type="dxa"/>
            <w:shd w:val="clear" w:color="auto" w:fill="auto"/>
            <w:vAlign w:val="center"/>
          </w:tcPr>
          <w:p w14:paraId="11314E59" w14:textId="77777777" w:rsidR="00BA56AD" w:rsidRPr="001A6FCA" w:rsidRDefault="00BA56AD" w:rsidP="00FB5615">
            <w:pPr>
              <w:widowControl w:val="0"/>
              <w:adjustRightInd w:val="0"/>
              <w:ind w:right="20"/>
              <w:jc w:val="center"/>
              <w:rPr>
                <w:rFonts w:cs="Arial"/>
                <w:b/>
                <w:i/>
                <w:sz w:val="20"/>
                <w:szCs w:val="22"/>
              </w:rPr>
            </w:pPr>
            <w:r>
              <w:rPr>
                <w:rFonts w:cs="Arial"/>
                <w:b/>
                <w:i/>
                <w:sz w:val="20"/>
                <w:szCs w:val="22"/>
              </w:rPr>
              <w:t>1.348,86</w:t>
            </w:r>
          </w:p>
        </w:tc>
      </w:tr>
      <w:tr w:rsidR="00BA56AD" w:rsidRPr="001A6FCA" w14:paraId="2960979A" w14:textId="77777777" w:rsidTr="00FB5615">
        <w:trPr>
          <w:trHeight w:val="511"/>
        </w:trPr>
        <w:tc>
          <w:tcPr>
            <w:tcW w:w="5551" w:type="dxa"/>
            <w:shd w:val="clear" w:color="auto" w:fill="auto"/>
            <w:vAlign w:val="center"/>
          </w:tcPr>
          <w:p w14:paraId="6B8ADF9E" w14:textId="77777777" w:rsidR="00BA56AD" w:rsidRPr="001A6FCA" w:rsidRDefault="00BA56AD" w:rsidP="00FB5615">
            <w:pPr>
              <w:widowControl w:val="0"/>
              <w:adjustRightInd w:val="0"/>
              <w:ind w:right="20"/>
              <w:rPr>
                <w:rFonts w:cs="Arial"/>
                <w:i/>
                <w:sz w:val="20"/>
                <w:szCs w:val="22"/>
              </w:rPr>
            </w:pPr>
            <w:r w:rsidRPr="001A6FCA">
              <w:rPr>
                <w:i/>
                <w:color w:val="000000"/>
                <w:sz w:val="20"/>
                <w:szCs w:val="22"/>
                <w:lang w:val="es-CO" w:eastAsia="es-CO"/>
              </w:rPr>
              <w:t xml:space="preserve">Componente de inversión </w:t>
            </w:r>
          </w:p>
        </w:tc>
        <w:tc>
          <w:tcPr>
            <w:tcW w:w="813" w:type="dxa"/>
            <w:shd w:val="clear" w:color="auto" w:fill="auto"/>
            <w:vAlign w:val="center"/>
          </w:tcPr>
          <w:p w14:paraId="49B19135" w14:textId="77777777" w:rsidR="00BA56AD" w:rsidRPr="001A6FCA" w:rsidRDefault="00BA56AD" w:rsidP="00FB5615">
            <w:pPr>
              <w:widowControl w:val="0"/>
              <w:adjustRightInd w:val="0"/>
              <w:ind w:right="20"/>
              <w:jc w:val="center"/>
              <w:rPr>
                <w:rFonts w:cs="Arial"/>
                <w:i/>
                <w:sz w:val="20"/>
                <w:szCs w:val="22"/>
              </w:rPr>
            </w:pPr>
            <w:r w:rsidRPr="001A6FCA">
              <w:rPr>
                <w:i/>
                <w:color w:val="000000"/>
                <w:sz w:val="20"/>
                <w:szCs w:val="22"/>
                <w:lang w:val="es-ES_tradnl" w:eastAsia="es-CO"/>
              </w:rPr>
              <w:t>$/m</w:t>
            </w:r>
            <w:r w:rsidRPr="001A6FCA">
              <w:rPr>
                <w:i/>
                <w:color w:val="000000"/>
                <w:sz w:val="20"/>
                <w:szCs w:val="22"/>
                <w:vertAlign w:val="superscript"/>
                <w:lang w:val="es-ES_tradnl" w:eastAsia="es-CO"/>
              </w:rPr>
              <w:t>3</w:t>
            </w:r>
          </w:p>
        </w:tc>
        <w:tc>
          <w:tcPr>
            <w:tcW w:w="2233" w:type="dxa"/>
            <w:shd w:val="clear" w:color="auto" w:fill="auto"/>
            <w:vAlign w:val="center"/>
          </w:tcPr>
          <w:p w14:paraId="3C1C6BCE" w14:textId="77777777" w:rsidR="00BA56AD" w:rsidRPr="001A6FCA" w:rsidRDefault="00BA56AD" w:rsidP="00FB5615">
            <w:pPr>
              <w:widowControl w:val="0"/>
              <w:adjustRightInd w:val="0"/>
              <w:ind w:right="20"/>
              <w:jc w:val="center"/>
              <w:rPr>
                <w:rFonts w:cs="Arial"/>
                <w:i/>
                <w:sz w:val="20"/>
                <w:szCs w:val="22"/>
              </w:rPr>
            </w:pPr>
            <w:r>
              <w:rPr>
                <w:rFonts w:cs="Arial"/>
                <w:i/>
                <w:sz w:val="20"/>
                <w:szCs w:val="22"/>
              </w:rPr>
              <w:t>898,30</w:t>
            </w:r>
          </w:p>
        </w:tc>
      </w:tr>
      <w:tr w:rsidR="00BA56AD" w:rsidRPr="001A6FCA" w14:paraId="42B5E691" w14:textId="77777777" w:rsidTr="00FB5615">
        <w:trPr>
          <w:trHeight w:val="512"/>
        </w:trPr>
        <w:tc>
          <w:tcPr>
            <w:tcW w:w="5551" w:type="dxa"/>
            <w:shd w:val="clear" w:color="auto" w:fill="auto"/>
            <w:vAlign w:val="center"/>
          </w:tcPr>
          <w:p w14:paraId="79A4B9A5" w14:textId="77777777" w:rsidR="00BA56AD" w:rsidRPr="001A6FCA" w:rsidRDefault="00BA56AD" w:rsidP="00FB5615">
            <w:pPr>
              <w:widowControl w:val="0"/>
              <w:adjustRightInd w:val="0"/>
              <w:ind w:right="20"/>
              <w:rPr>
                <w:i/>
                <w:color w:val="000000"/>
                <w:sz w:val="20"/>
                <w:szCs w:val="22"/>
                <w:lang w:val="es-CO" w:eastAsia="es-CO"/>
              </w:rPr>
            </w:pPr>
            <w:r w:rsidRPr="001A6FCA">
              <w:rPr>
                <w:i/>
                <w:color w:val="000000"/>
                <w:sz w:val="20"/>
                <w:szCs w:val="22"/>
                <w:lang w:val="es-CO" w:eastAsia="es-CO"/>
              </w:rPr>
              <w:t>Componente Gastos AOM</w:t>
            </w:r>
          </w:p>
        </w:tc>
        <w:tc>
          <w:tcPr>
            <w:tcW w:w="813" w:type="dxa"/>
            <w:shd w:val="clear" w:color="auto" w:fill="auto"/>
            <w:vAlign w:val="center"/>
          </w:tcPr>
          <w:p w14:paraId="3F72F2D1" w14:textId="77777777" w:rsidR="00BA56AD" w:rsidRPr="001A6FCA" w:rsidRDefault="00BA56AD" w:rsidP="00FB5615">
            <w:pPr>
              <w:widowControl w:val="0"/>
              <w:adjustRightInd w:val="0"/>
              <w:ind w:right="20"/>
              <w:jc w:val="center"/>
              <w:rPr>
                <w:rFonts w:cs="Arial"/>
                <w:i/>
                <w:sz w:val="20"/>
                <w:szCs w:val="22"/>
              </w:rPr>
            </w:pPr>
            <w:r w:rsidRPr="001A6FCA">
              <w:rPr>
                <w:i/>
                <w:color w:val="000000"/>
                <w:sz w:val="20"/>
                <w:szCs w:val="22"/>
                <w:lang w:val="es-ES_tradnl" w:eastAsia="es-CO"/>
              </w:rPr>
              <w:t>$/m</w:t>
            </w:r>
            <w:r w:rsidRPr="001A6FCA">
              <w:rPr>
                <w:i/>
                <w:color w:val="000000"/>
                <w:sz w:val="20"/>
                <w:szCs w:val="22"/>
                <w:vertAlign w:val="superscript"/>
                <w:lang w:val="es-ES_tradnl" w:eastAsia="es-CO"/>
              </w:rPr>
              <w:t>3</w:t>
            </w:r>
          </w:p>
        </w:tc>
        <w:tc>
          <w:tcPr>
            <w:tcW w:w="2233" w:type="dxa"/>
            <w:shd w:val="clear" w:color="auto" w:fill="auto"/>
            <w:vAlign w:val="center"/>
          </w:tcPr>
          <w:p w14:paraId="37DA09C7" w14:textId="77777777" w:rsidR="00BA56AD" w:rsidRPr="001A6FCA" w:rsidRDefault="00BA56AD" w:rsidP="00FB5615">
            <w:pPr>
              <w:widowControl w:val="0"/>
              <w:adjustRightInd w:val="0"/>
              <w:ind w:right="20"/>
              <w:jc w:val="center"/>
              <w:rPr>
                <w:rFonts w:cs="Arial"/>
                <w:i/>
                <w:sz w:val="20"/>
                <w:szCs w:val="22"/>
              </w:rPr>
            </w:pPr>
            <w:r>
              <w:rPr>
                <w:rFonts w:cs="Arial"/>
                <w:i/>
                <w:sz w:val="20"/>
                <w:szCs w:val="22"/>
              </w:rPr>
              <w:t>450,56</w:t>
            </w:r>
          </w:p>
        </w:tc>
      </w:tr>
    </w:tbl>
    <w:p w14:paraId="575B2942" w14:textId="77777777" w:rsidR="00BA56AD" w:rsidRDefault="00BA56AD" w:rsidP="00BA56AD">
      <w:pPr>
        <w:widowControl w:val="0"/>
        <w:adjustRightInd w:val="0"/>
        <w:ind w:right="20"/>
        <w:jc w:val="center"/>
        <w:rPr>
          <w:rFonts w:cs="Arial"/>
        </w:rPr>
      </w:pPr>
      <w:r w:rsidRPr="007B0D3E">
        <w:rPr>
          <w:rFonts w:cs="Arial"/>
          <w:sz w:val="16"/>
          <w:lang w:val="x-none" w:eastAsia="x-none"/>
        </w:rPr>
        <w:t>Cifras en pesos del 31 de diciembre de 20</w:t>
      </w:r>
      <w:r w:rsidRPr="007B0D3E">
        <w:rPr>
          <w:rFonts w:cs="Arial"/>
          <w:sz w:val="16"/>
          <w:lang w:val="es-CO" w:eastAsia="x-none"/>
        </w:rPr>
        <w:t>1</w:t>
      </w:r>
      <w:r>
        <w:rPr>
          <w:rFonts w:cs="Arial"/>
          <w:sz w:val="16"/>
          <w:lang w:val="es-CO" w:eastAsia="x-none"/>
        </w:rPr>
        <w:t>7</w:t>
      </w:r>
    </w:p>
    <w:p w14:paraId="5F4AA7FC" w14:textId="77777777" w:rsidR="00BA56AD" w:rsidRPr="001A6FCA" w:rsidRDefault="00BA56AD" w:rsidP="00BA56AD">
      <w:pPr>
        <w:widowControl w:val="0"/>
        <w:adjustRightInd w:val="0"/>
        <w:ind w:left="426" w:right="20"/>
        <w:rPr>
          <w:rFonts w:cs="Arial"/>
          <w:i/>
          <w:sz w:val="18"/>
          <w:lang w:val="es-CO" w:eastAsia="x-none"/>
        </w:rPr>
      </w:pPr>
    </w:p>
    <w:p w14:paraId="4E1B54AC" w14:textId="77777777" w:rsidR="00BA56AD" w:rsidRDefault="00BA56AD" w:rsidP="00BA56AD">
      <w:pPr>
        <w:widowControl w:val="0"/>
        <w:adjustRightInd w:val="0"/>
        <w:ind w:left="426" w:right="20"/>
        <w:rPr>
          <w:rFonts w:cs="Arial"/>
          <w:i/>
          <w:sz w:val="22"/>
        </w:rPr>
      </w:pPr>
      <w:r w:rsidRPr="001A6FCA">
        <w:rPr>
          <w:rFonts w:cs="Arial"/>
          <w:b/>
          <w:bCs/>
          <w:i/>
          <w:sz w:val="22"/>
        </w:rPr>
        <w:t>Parágrafo</w:t>
      </w:r>
      <w:r>
        <w:rPr>
          <w:rFonts w:cs="Arial"/>
          <w:b/>
          <w:bCs/>
          <w:i/>
          <w:sz w:val="22"/>
        </w:rPr>
        <w:t xml:space="preserve"> 1</w:t>
      </w:r>
      <w:r w:rsidRPr="001A6FCA">
        <w:rPr>
          <w:rFonts w:cs="Arial"/>
          <w:b/>
          <w:bCs/>
          <w:i/>
          <w:sz w:val="22"/>
        </w:rPr>
        <w:t xml:space="preserve">. </w:t>
      </w:r>
      <w:r w:rsidRPr="001A6FCA">
        <w:rPr>
          <w:rFonts w:cs="Arial"/>
          <w:i/>
          <w:sz w:val="22"/>
        </w:rPr>
        <w:t xml:space="preserve"> Estos Cargos de Distribución se actualizarán de conformidad con lo establecido en el artículo 12 de la Resolución CREG 202 de 2013 y aquellas que la adicionan y modifican.</w:t>
      </w:r>
    </w:p>
    <w:p w14:paraId="098C3A6E" w14:textId="77777777" w:rsidR="00BA56AD" w:rsidRDefault="00BA56AD" w:rsidP="00BA56AD">
      <w:pPr>
        <w:widowControl w:val="0"/>
        <w:adjustRightInd w:val="0"/>
        <w:ind w:left="426" w:right="20"/>
        <w:rPr>
          <w:rFonts w:cs="Arial"/>
          <w:i/>
          <w:sz w:val="22"/>
        </w:rPr>
      </w:pPr>
    </w:p>
    <w:p w14:paraId="63AA4FAC" w14:textId="77777777" w:rsidR="00BA56AD" w:rsidRDefault="00BA56AD" w:rsidP="00BA56AD">
      <w:pPr>
        <w:widowControl w:val="0"/>
        <w:adjustRightInd w:val="0"/>
        <w:ind w:left="426" w:right="20"/>
        <w:rPr>
          <w:rFonts w:cs="Arial"/>
          <w:i/>
          <w:sz w:val="22"/>
        </w:rPr>
      </w:pPr>
      <w:r w:rsidRPr="00BA5DDF">
        <w:rPr>
          <w:rFonts w:cs="Arial"/>
          <w:b/>
          <w:bCs/>
          <w:i/>
          <w:sz w:val="22"/>
        </w:rPr>
        <w:t>Parágrafo</w:t>
      </w:r>
      <w:r>
        <w:rPr>
          <w:rFonts w:cs="Arial"/>
          <w:b/>
          <w:bCs/>
          <w:i/>
          <w:sz w:val="22"/>
        </w:rPr>
        <w:t xml:space="preserve"> 2</w:t>
      </w:r>
      <w:r w:rsidRPr="00BA5DDF">
        <w:rPr>
          <w:rFonts w:cs="Arial"/>
          <w:b/>
          <w:bCs/>
          <w:i/>
          <w:sz w:val="22"/>
        </w:rPr>
        <w:t>.</w:t>
      </w:r>
      <w:r w:rsidRPr="00BA5DDF">
        <w:rPr>
          <w:rFonts w:cs="Arial"/>
          <w:i/>
          <w:sz w:val="22"/>
        </w:rPr>
        <w:t xml:space="preserve"> </w:t>
      </w:r>
      <w:r>
        <w:rPr>
          <w:rFonts w:cs="Arial"/>
          <w:i/>
          <w:sz w:val="22"/>
        </w:rPr>
        <w:t>Para la distribución domiciliaria de GLP por redes, el cargo de distribución se fija de la siguiente manera:</w:t>
      </w:r>
    </w:p>
    <w:p w14:paraId="17BF5ECA" w14:textId="77777777" w:rsidR="00BA56AD" w:rsidRDefault="00BA56AD" w:rsidP="00BA56AD">
      <w:pPr>
        <w:widowControl w:val="0"/>
        <w:adjustRightInd w:val="0"/>
        <w:ind w:left="567" w:right="20"/>
        <w:rPr>
          <w:rFonts w:cs="Arial"/>
          <w:i/>
          <w:sz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767"/>
        <w:gridCol w:w="2111"/>
      </w:tblGrid>
      <w:tr w:rsidR="00BA56AD" w:rsidRPr="00202111" w14:paraId="6D938950" w14:textId="77777777" w:rsidTr="00FB5615">
        <w:trPr>
          <w:trHeight w:val="468"/>
        </w:trPr>
        <w:tc>
          <w:tcPr>
            <w:tcW w:w="7972" w:type="dxa"/>
            <w:gridSpan w:val="3"/>
            <w:shd w:val="clear" w:color="auto" w:fill="D9D9D9" w:themeFill="background1" w:themeFillShade="D9"/>
            <w:vAlign w:val="center"/>
          </w:tcPr>
          <w:p w14:paraId="23A4350A" w14:textId="77777777" w:rsidR="00BA56AD" w:rsidRPr="00BA5DDF" w:rsidRDefault="00BA56AD" w:rsidP="00FB5615">
            <w:pPr>
              <w:widowControl w:val="0"/>
              <w:adjustRightInd w:val="0"/>
              <w:ind w:right="20"/>
              <w:jc w:val="center"/>
              <w:rPr>
                <w:rFonts w:cs="Arial"/>
                <w:i/>
                <w:sz w:val="20"/>
              </w:rPr>
            </w:pPr>
            <w:r w:rsidRPr="00BA5DDF">
              <w:rPr>
                <w:b/>
                <w:bCs/>
                <w:i/>
                <w:color w:val="000000"/>
                <w:sz w:val="20"/>
                <w:szCs w:val="22"/>
                <w:lang w:eastAsia="es-CO"/>
              </w:rPr>
              <w:t xml:space="preserve">Usuarios </w:t>
            </w:r>
            <w:r>
              <w:rPr>
                <w:b/>
                <w:bCs/>
                <w:i/>
                <w:color w:val="000000"/>
                <w:sz w:val="20"/>
                <w:szCs w:val="22"/>
                <w:lang w:eastAsia="es-CO"/>
              </w:rPr>
              <w:t>Diferentes a los de</w:t>
            </w:r>
            <w:r w:rsidRPr="00BA5DDF">
              <w:rPr>
                <w:b/>
                <w:bCs/>
                <w:i/>
                <w:color w:val="000000"/>
                <w:sz w:val="20"/>
                <w:szCs w:val="22"/>
                <w:lang w:eastAsia="es-CO"/>
              </w:rPr>
              <w:t xml:space="preserve"> Uso Residencial</w:t>
            </w:r>
          </w:p>
        </w:tc>
      </w:tr>
      <w:tr w:rsidR="00BA56AD" w:rsidRPr="00202111" w14:paraId="5D01DCDF" w14:textId="77777777" w:rsidTr="00FB5615">
        <w:trPr>
          <w:trHeight w:val="345"/>
        </w:trPr>
        <w:tc>
          <w:tcPr>
            <w:tcW w:w="5094" w:type="dxa"/>
            <w:shd w:val="clear" w:color="auto" w:fill="D9D9D9" w:themeFill="background1" w:themeFillShade="D9"/>
            <w:vAlign w:val="center"/>
          </w:tcPr>
          <w:p w14:paraId="5007A33E" w14:textId="77777777" w:rsidR="00BA56AD" w:rsidRPr="00BA5DDF" w:rsidRDefault="00BA56AD" w:rsidP="00FB5615">
            <w:pPr>
              <w:widowControl w:val="0"/>
              <w:adjustRightInd w:val="0"/>
              <w:ind w:right="20"/>
              <w:jc w:val="center"/>
              <w:rPr>
                <w:rFonts w:cs="Arial"/>
                <w:i/>
                <w:sz w:val="20"/>
                <w:szCs w:val="22"/>
              </w:rPr>
            </w:pPr>
            <w:r w:rsidRPr="00BA5DDF">
              <w:rPr>
                <w:b/>
                <w:bCs/>
                <w:i/>
                <w:color w:val="000000"/>
                <w:sz w:val="20"/>
                <w:szCs w:val="22"/>
                <w:lang w:val="es-ES_tradnl" w:eastAsia="es-CO"/>
              </w:rPr>
              <w:t>Componente</w:t>
            </w:r>
          </w:p>
        </w:tc>
        <w:tc>
          <w:tcPr>
            <w:tcW w:w="767" w:type="dxa"/>
            <w:shd w:val="clear" w:color="auto" w:fill="D9D9D9" w:themeFill="background1" w:themeFillShade="D9"/>
            <w:vAlign w:val="center"/>
          </w:tcPr>
          <w:p w14:paraId="500E71FD" w14:textId="77777777" w:rsidR="00BA56AD" w:rsidRPr="00BA5DDF" w:rsidRDefault="00BA56AD" w:rsidP="00FB5615">
            <w:pPr>
              <w:widowControl w:val="0"/>
              <w:adjustRightInd w:val="0"/>
              <w:ind w:right="20"/>
              <w:jc w:val="center"/>
              <w:rPr>
                <w:rFonts w:cs="Arial"/>
                <w:i/>
                <w:sz w:val="20"/>
                <w:szCs w:val="22"/>
              </w:rPr>
            </w:pPr>
          </w:p>
        </w:tc>
        <w:tc>
          <w:tcPr>
            <w:tcW w:w="2111" w:type="dxa"/>
            <w:shd w:val="clear" w:color="auto" w:fill="D9D9D9" w:themeFill="background1" w:themeFillShade="D9"/>
            <w:vAlign w:val="center"/>
          </w:tcPr>
          <w:p w14:paraId="5537E966" w14:textId="5B2E3CD9" w:rsidR="00BA56AD" w:rsidRPr="00BA5DDF" w:rsidRDefault="003A2916" w:rsidP="00FB5615">
            <w:pPr>
              <w:widowControl w:val="0"/>
              <w:adjustRightInd w:val="0"/>
              <w:ind w:right="20"/>
              <w:jc w:val="center"/>
              <w:rPr>
                <w:rFonts w:cs="Arial"/>
                <w:i/>
                <w:sz w:val="20"/>
                <w:szCs w:val="22"/>
              </w:rPr>
            </w:pPr>
            <w:r>
              <w:rPr>
                <w:rFonts w:cs="Arial"/>
                <w:b/>
                <w:bCs/>
                <w:i/>
                <w:color w:val="000000"/>
                <w:sz w:val="20"/>
                <w:szCs w:val="22"/>
                <w:lang w:eastAsia="es-CO"/>
              </w:rPr>
              <w:t xml:space="preserve">Año </w:t>
            </w:r>
            <w:r w:rsidR="00BA56AD" w:rsidRPr="00BA5DDF">
              <w:rPr>
                <w:rFonts w:cs="Arial"/>
                <w:b/>
                <w:bCs/>
                <w:i/>
                <w:color w:val="000000"/>
                <w:sz w:val="20"/>
                <w:szCs w:val="22"/>
                <w:lang w:eastAsia="es-CO"/>
              </w:rPr>
              <w:t>2019 en adelante</w:t>
            </w:r>
          </w:p>
        </w:tc>
      </w:tr>
      <w:tr w:rsidR="00BA56AD" w:rsidRPr="00202111" w14:paraId="6D4132F9" w14:textId="77777777" w:rsidTr="00FB5615">
        <w:trPr>
          <w:trHeight w:val="438"/>
        </w:trPr>
        <w:tc>
          <w:tcPr>
            <w:tcW w:w="5094" w:type="dxa"/>
            <w:shd w:val="clear" w:color="auto" w:fill="auto"/>
            <w:vAlign w:val="center"/>
          </w:tcPr>
          <w:p w14:paraId="2B8349A7" w14:textId="77777777" w:rsidR="00BA56AD" w:rsidRPr="00BA5DDF" w:rsidRDefault="00BA56AD" w:rsidP="00FB5615">
            <w:pPr>
              <w:widowControl w:val="0"/>
              <w:adjustRightInd w:val="0"/>
              <w:ind w:right="20"/>
              <w:rPr>
                <w:rFonts w:cs="Arial"/>
                <w:i/>
                <w:sz w:val="20"/>
                <w:szCs w:val="22"/>
              </w:rPr>
            </w:pPr>
            <w:r w:rsidRPr="00BA5DDF">
              <w:rPr>
                <w:b/>
                <w:bCs/>
                <w:i/>
                <w:color w:val="000000"/>
                <w:sz w:val="20"/>
                <w:szCs w:val="22"/>
                <w:lang w:val="es-ES_tradnl" w:eastAsia="es-CO"/>
              </w:rPr>
              <w:lastRenderedPageBreak/>
              <w:t>Cargo de distribución Total</w:t>
            </w:r>
          </w:p>
        </w:tc>
        <w:tc>
          <w:tcPr>
            <w:tcW w:w="767" w:type="dxa"/>
            <w:shd w:val="clear" w:color="auto" w:fill="auto"/>
            <w:vAlign w:val="center"/>
          </w:tcPr>
          <w:p w14:paraId="66AD620F" w14:textId="77777777" w:rsidR="00BA56AD" w:rsidRPr="00BA5DDF" w:rsidRDefault="00BA56AD" w:rsidP="00FB5615">
            <w:pPr>
              <w:widowControl w:val="0"/>
              <w:adjustRightInd w:val="0"/>
              <w:ind w:right="20"/>
              <w:jc w:val="center"/>
              <w:rPr>
                <w:rFonts w:cs="Arial"/>
                <w:i/>
                <w:sz w:val="20"/>
                <w:szCs w:val="22"/>
              </w:rPr>
            </w:pPr>
            <w:r w:rsidRPr="00BA5DDF">
              <w:rPr>
                <w:b/>
                <w:bCs/>
                <w:i/>
                <w:color w:val="000000"/>
                <w:sz w:val="20"/>
                <w:szCs w:val="22"/>
                <w:lang w:val="es-ES_tradnl" w:eastAsia="es-CO"/>
              </w:rPr>
              <w:t>$/m</w:t>
            </w:r>
            <w:r w:rsidRPr="00BA5DDF">
              <w:rPr>
                <w:b/>
                <w:bCs/>
                <w:i/>
                <w:color w:val="000000"/>
                <w:sz w:val="20"/>
                <w:szCs w:val="22"/>
                <w:vertAlign w:val="superscript"/>
                <w:lang w:val="es-ES_tradnl" w:eastAsia="es-CO"/>
              </w:rPr>
              <w:t>3</w:t>
            </w:r>
          </w:p>
        </w:tc>
        <w:tc>
          <w:tcPr>
            <w:tcW w:w="2111" w:type="dxa"/>
            <w:shd w:val="clear" w:color="auto" w:fill="auto"/>
            <w:vAlign w:val="center"/>
          </w:tcPr>
          <w:p w14:paraId="2497C3D9" w14:textId="77777777" w:rsidR="00BA56AD" w:rsidRPr="00BA5DDF" w:rsidRDefault="00BA56AD" w:rsidP="00FB5615">
            <w:pPr>
              <w:widowControl w:val="0"/>
              <w:adjustRightInd w:val="0"/>
              <w:ind w:right="20"/>
              <w:jc w:val="center"/>
              <w:rPr>
                <w:rFonts w:cs="Arial"/>
                <w:b/>
                <w:i/>
                <w:sz w:val="20"/>
                <w:szCs w:val="22"/>
              </w:rPr>
            </w:pPr>
            <w:r>
              <w:rPr>
                <w:rFonts w:cs="Arial"/>
                <w:b/>
                <w:i/>
                <w:sz w:val="20"/>
                <w:szCs w:val="22"/>
              </w:rPr>
              <w:t>1.409,61</w:t>
            </w:r>
          </w:p>
        </w:tc>
      </w:tr>
      <w:tr w:rsidR="00BA56AD" w:rsidRPr="00202111" w14:paraId="289ABE7D" w14:textId="77777777" w:rsidTr="00FB5615">
        <w:trPr>
          <w:trHeight w:val="438"/>
        </w:trPr>
        <w:tc>
          <w:tcPr>
            <w:tcW w:w="5094" w:type="dxa"/>
            <w:shd w:val="clear" w:color="auto" w:fill="auto"/>
            <w:vAlign w:val="center"/>
          </w:tcPr>
          <w:p w14:paraId="794D5DCF" w14:textId="77777777" w:rsidR="00BA56AD" w:rsidRPr="00BA5DDF" w:rsidRDefault="00BA56AD" w:rsidP="00FB5615">
            <w:pPr>
              <w:widowControl w:val="0"/>
              <w:adjustRightInd w:val="0"/>
              <w:ind w:right="20"/>
              <w:rPr>
                <w:rFonts w:cs="Arial"/>
                <w:i/>
                <w:sz w:val="20"/>
                <w:szCs w:val="22"/>
              </w:rPr>
            </w:pPr>
            <w:r w:rsidRPr="00BA5DDF">
              <w:rPr>
                <w:i/>
                <w:color w:val="000000"/>
                <w:sz w:val="20"/>
                <w:szCs w:val="22"/>
                <w:lang w:val="es-CO" w:eastAsia="es-CO"/>
              </w:rPr>
              <w:t xml:space="preserve">Componente de inversión </w:t>
            </w:r>
          </w:p>
        </w:tc>
        <w:tc>
          <w:tcPr>
            <w:tcW w:w="767" w:type="dxa"/>
            <w:shd w:val="clear" w:color="auto" w:fill="auto"/>
            <w:vAlign w:val="center"/>
          </w:tcPr>
          <w:p w14:paraId="2814C902" w14:textId="77777777" w:rsidR="00BA56AD" w:rsidRPr="00BA5DDF" w:rsidRDefault="00BA56AD" w:rsidP="00FB5615">
            <w:pPr>
              <w:widowControl w:val="0"/>
              <w:adjustRightInd w:val="0"/>
              <w:ind w:right="20"/>
              <w:jc w:val="center"/>
              <w:rPr>
                <w:rFonts w:cs="Arial"/>
                <w:i/>
                <w:sz w:val="20"/>
                <w:szCs w:val="22"/>
              </w:rPr>
            </w:pPr>
            <w:r w:rsidRPr="00BA5DDF">
              <w:rPr>
                <w:i/>
                <w:color w:val="000000"/>
                <w:sz w:val="20"/>
                <w:szCs w:val="22"/>
                <w:lang w:val="es-ES_tradnl" w:eastAsia="es-CO"/>
              </w:rPr>
              <w:t>$/m</w:t>
            </w:r>
            <w:r w:rsidRPr="00BA5DDF">
              <w:rPr>
                <w:i/>
                <w:color w:val="000000"/>
                <w:sz w:val="20"/>
                <w:szCs w:val="22"/>
                <w:vertAlign w:val="superscript"/>
                <w:lang w:val="es-ES_tradnl" w:eastAsia="es-CO"/>
              </w:rPr>
              <w:t>3</w:t>
            </w:r>
          </w:p>
        </w:tc>
        <w:tc>
          <w:tcPr>
            <w:tcW w:w="2111" w:type="dxa"/>
            <w:shd w:val="clear" w:color="auto" w:fill="auto"/>
            <w:vAlign w:val="center"/>
          </w:tcPr>
          <w:p w14:paraId="4070207A" w14:textId="77777777" w:rsidR="00BA56AD" w:rsidRPr="00BA5DDF" w:rsidRDefault="00BA56AD" w:rsidP="00FB5615">
            <w:pPr>
              <w:widowControl w:val="0"/>
              <w:adjustRightInd w:val="0"/>
              <w:ind w:right="20"/>
              <w:jc w:val="center"/>
              <w:rPr>
                <w:rFonts w:cs="Arial"/>
                <w:i/>
                <w:sz w:val="20"/>
                <w:szCs w:val="22"/>
              </w:rPr>
            </w:pPr>
            <w:r>
              <w:rPr>
                <w:rFonts w:cs="Arial"/>
                <w:i/>
                <w:sz w:val="20"/>
                <w:szCs w:val="22"/>
              </w:rPr>
              <w:t>1.043,79</w:t>
            </w:r>
          </w:p>
        </w:tc>
      </w:tr>
      <w:tr w:rsidR="00BA56AD" w:rsidRPr="00202111" w14:paraId="77A21816" w14:textId="77777777" w:rsidTr="00FB5615">
        <w:trPr>
          <w:trHeight w:val="439"/>
        </w:trPr>
        <w:tc>
          <w:tcPr>
            <w:tcW w:w="5094" w:type="dxa"/>
            <w:shd w:val="clear" w:color="auto" w:fill="auto"/>
            <w:vAlign w:val="center"/>
          </w:tcPr>
          <w:p w14:paraId="538A96E7" w14:textId="77777777" w:rsidR="00BA56AD" w:rsidRPr="00BA5DDF" w:rsidRDefault="00BA56AD" w:rsidP="00FB5615">
            <w:pPr>
              <w:widowControl w:val="0"/>
              <w:adjustRightInd w:val="0"/>
              <w:ind w:right="20"/>
              <w:rPr>
                <w:i/>
                <w:color w:val="000000"/>
                <w:sz w:val="20"/>
                <w:szCs w:val="22"/>
                <w:lang w:val="es-CO" w:eastAsia="es-CO"/>
              </w:rPr>
            </w:pPr>
            <w:r w:rsidRPr="00BA5DDF">
              <w:rPr>
                <w:i/>
                <w:color w:val="000000"/>
                <w:sz w:val="20"/>
                <w:szCs w:val="22"/>
                <w:lang w:val="es-CO" w:eastAsia="es-CO"/>
              </w:rPr>
              <w:t>Componente Gastos AOM</w:t>
            </w:r>
          </w:p>
        </w:tc>
        <w:tc>
          <w:tcPr>
            <w:tcW w:w="767" w:type="dxa"/>
            <w:shd w:val="clear" w:color="auto" w:fill="auto"/>
            <w:vAlign w:val="center"/>
          </w:tcPr>
          <w:p w14:paraId="06CBFF6D" w14:textId="77777777" w:rsidR="00BA56AD" w:rsidRPr="00BA5DDF" w:rsidRDefault="00BA56AD" w:rsidP="00FB5615">
            <w:pPr>
              <w:widowControl w:val="0"/>
              <w:adjustRightInd w:val="0"/>
              <w:ind w:right="20"/>
              <w:jc w:val="center"/>
              <w:rPr>
                <w:rFonts w:cs="Arial"/>
                <w:i/>
                <w:sz w:val="20"/>
                <w:szCs w:val="22"/>
              </w:rPr>
            </w:pPr>
            <w:r w:rsidRPr="00BA5DDF">
              <w:rPr>
                <w:i/>
                <w:color w:val="000000"/>
                <w:sz w:val="20"/>
                <w:szCs w:val="22"/>
                <w:lang w:val="es-ES_tradnl" w:eastAsia="es-CO"/>
              </w:rPr>
              <w:t>$/m</w:t>
            </w:r>
            <w:r w:rsidRPr="00BA5DDF">
              <w:rPr>
                <w:i/>
                <w:color w:val="000000"/>
                <w:sz w:val="20"/>
                <w:szCs w:val="22"/>
                <w:vertAlign w:val="superscript"/>
                <w:lang w:val="es-ES_tradnl" w:eastAsia="es-CO"/>
              </w:rPr>
              <w:t>3</w:t>
            </w:r>
          </w:p>
        </w:tc>
        <w:tc>
          <w:tcPr>
            <w:tcW w:w="2111" w:type="dxa"/>
            <w:shd w:val="clear" w:color="auto" w:fill="auto"/>
            <w:vAlign w:val="center"/>
          </w:tcPr>
          <w:p w14:paraId="5B12B477" w14:textId="77777777" w:rsidR="00BA56AD" w:rsidRPr="00BA5DDF" w:rsidRDefault="00BA56AD" w:rsidP="00FB5615">
            <w:pPr>
              <w:widowControl w:val="0"/>
              <w:adjustRightInd w:val="0"/>
              <w:ind w:right="20"/>
              <w:jc w:val="center"/>
              <w:rPr>
                <w:rFonts w:cs="Arial"/>
                <w:i/>
                <w:sz w:val="20"/>
                <w:szCs w:val="22"/>
              </w:rPr>
            </w:pPr>
            <w:r>
              <w:rPr>
                <w:rFonts w:cs="Arial"/>
                <w:i/>
                <w:sz w:val="20"/>
                <w:szCs w:val="22"/>
              </w:rPr>
              <w:t>365,82</w:t>
            </w:r>
          </w:p>
        </w:tc>
      </w:tr>
    </w:tbl>
    <w:p w14:paraId="2083028C" w14:textId="77777777" w:rsidR="00BA56AD" w:rsidRDefault="00BA56AD" w:rsidP="00BA56AD">
      <w:pPr>
        <w:widowControl w:val="0"/>
        <w:adjustRightInd w:val="0"/>
        <w:ind w:right="20"/>
        <w:jc w:val="center"/>
        <w:rPr>
          <w:rFonts w:cs="Arial"/>
          <w:sz w:val="16"/>
          <w:lang w:val="es-CO" w:eastAsia="x-none"/>
        </w:rPr>
      </w:pPr>
      <w:r w:rsidRPr="007B0D3E">
        <w:rPr>
          <w:rFonts w:cs="Arial"/>
          <w:sz w:val="16"/>
          <w:lang w:val="x-none" w:eastAsia="x-none"/>
        </w:rPr>
        <w:t>Cifras en pesos del 31 de diciembre de 20</w:t>
      </w:r>
      <w:r w:rsidRPr="007B0D3E">
        <w:rPr>
          <w:rFonts w:cs="Arial"/>
          <w:sz w:val="16"/>
          <w:lang w:val="es-CO" w:eastAsia="x-none"/>
        </w:rPr>
        <w:t>1</w:t>
      </w:r>
      <w:r>
        <w:rPr>
          <w:rFonts w:cs="Arial"/>
          <w:sz w:val="16"/>
          <w:lang w:val="es-CO" w:eastAsia="x-none"/>
        </w:rPr>
        <w:t>7</w:t>
      </w:r>
    </w:p>
    <w:p w14:paraId="5D0586C1" w14:textId="77777777" w:rsidR="00BA56AD" w:rsidRPr="001A6FCA" w:rsidRDefault="00BA56AD" w:rsidP="00BA56AD">
      <w:pPr>
        <w:widowControl w:val="0"/>
        <w:adjustRightInd w:val="0"/>
        <w:ind w:left="7788" w:right="20" w:firstLine="708"/>
        <w:jc w:val="center"/>
        <w:rPr>
          <w:rFonts w:cs="Arial"/>
          <w:i/>
          <w:sz w:val="22"/>
        </w:rPr>
      </w:pPr>
      <w:r>
        <w:rPr>
          <w:rFonts w:cs="Arial"/>
          <w:i/>
          <w:sz w:val="22"/>
        </w:rPr>
        <w:t>”</w:t>
      </w:r>
    </w:p>
    <w:p w14:paraId="380F8869" w14:textId="77777777" w:rsidR="00BA56AD" w:rsidRDefault="00BA56AD" w:rsidP="00BA56AD"/>
    <w:p w14:paraId="46F0E602" w14:textId="77777777" w:rsidR="00BA56AD" w:rsidRDefault="00BA56AD" w:rsidP="00BA56AD">
      <w:r w:rsidRPr="00F2436D">
        <w:rPr>
          <w:b/>
        </w:rPr>
        <w:t xml:space="preserve">ARTÍCULO </w:t>
      </w:r>
      <w:r>
        <w:rPr>
          <w:b/>
        </w:rPr>
        <w:t>7</w:t>
      </w:r>
      <w:r w:rsidRPr="00F2436D">
        <w:rPr>
          <w:b/>
        </w:rPr>
        <w:t>.</w:t>
      </w:r>
      <w:r w:rsidRPr="00F2436D">
        <w:t xml:space="preserve"> Modificar el </w:t>
      </w:r>
      <w:r>
        <w:t>Anexo</w:t>
      </w:r>
      <w:r w:rsidRPr="00F2436D">
        <w:t xml:space="preserve"> </w:t>
      </w:r>
      <w:r>
        <w:t>1</w:t>
      </w:r>
      <w:r w:rsidRPr="00F2436D">
        <w:t xml:space="preserve"> “</w:t>
      </w:r>
      <w:r>
        <w:t>Programa de nuevas inversiones</w:t>
      </w:r>
      <w:r w:rsidRPr="00F2436D">
        <w:t xml:space="preserve">” de la Resolución CREG </w:t>
      </w:r>
      <w:r>
        <w:t>005 de 2019</w:t>
      </w:r>
      <w:r w:rsidRPr="00F2436D">
        <w:t xml:space="preserve">, </w:t>
      </w:r>
      <w:r>
        <w:t xml:space="preserve">de acuerdo con lo manifestado en el recurso de reposición interpuesto por ALCANOS S.A. E.S.P., </w:t>
      </w:r>
      <w:r w:rsidRPr="00F2436D">
        <w:t>el cual quedará así:</w:t>
      </w:r>
    </w:p>
    <w:p w14:paraId="22B4A79B" w14:textId="77777777" w:rsidR="00BA56AD" w:rsidRPr="00F2436D" w:rsidRDefault="00BA56AD" w:rsidP="00BA56AD"/>
    <w:p w14:paraId="078EA6BA" w14:textId="77777777" w:rsidR="00BA56AD" w:rsidRPr="00C24D85" w:rsidRDefault="00BA56AD" w:rsidP="00BA56AD">
      <w:pPr>
        <w:widowControl w:val="0"/>
        <w:adjustRightInd w:val="0"/>
        <w:jc w:val="center"/>
        <w:rPr>
          <w:rFonts w:cs="Arial"/>
          <w:b/>
          <w:bCs/>
          <w:i/>
          <w:sz w:val="22"/>
        </w:rPr>
      </w:pPr>
      <w:r>
        <w:rPr>
          <w:rFonts w:cs="Arial"/>
          <w:b/>
          <w:bCs/>
          <w:i/>
          <w:sz w:val="22"/>
        </w:rPr>
        <w:t>“</w:t>
      </w:r>
      <w:r w:rsidRPr="00C24D85">
        <w:rPr>
          <w:rFonts w:cs="Arial"/>
          <w:b/>
          <w:bCs/>
          <w:i/>
          <w:sz w:val="22"/>
        </w:rPr>
        <w:t>ANEXO 1</w:t>
      </w:r>
    </w:p>
    <w:p w14:paraId="069ED0A4" w14:textId="77777777" w:rsidR="00BA56AD" w:rsidRPr="00C24D85" w:rsidRDefault="00BA56AD" w:rsidP="00BA56AD">
      <w:pPr>
        <w:keepNext/>
        <w:widowControl w:val="0"/>
        <w:adjustRightInd w:val="0"/>
        <w:jc w:val="center"/>
        <w:outlineLvl w:val="0"/>
        <w:rPr>
          <w:b/>
          <w:bCs/>
          <w:i/>
          <w:sz w:val="22"/>
        </w:rPr>
      </w:pPr>
    </w:p>
    <w:p w14:paraId="15B6D75B" w14:textId="77777777" w:rsidR="00BA56AD" w:rsidRPr="00C24D85" w:rsidRDefault="00BA56AD" w:rsidP="00BA56AD">
      <w:pPr>
        <w:keepNext/>
        <w:widowControl w:val="0"/>
        <w:adjustRightInd w:val="0"/>
        <w:jc w:val="center"/>
        <w:outlineLvl w:val="0"/>
        <w:rPr>
          <w:b/>
          <w:bCs/>
          <w:i/>
          <w:sz w:val="22"/>
        </w:rPr>
      </w:pPr>
      <w:r w:rsidRPr="00C24D85">
        <w:rPr>
          <w:b/>
          <w:bCs/>
          <w:i/>
          <w:sz w:val="22"/>
        </w:rPr>
        <w:t>PROGRAMA DE NUEVAS INVERSIONES</w:t>
      </w:r>
    </w:p>
    <w:p w14:paraId="2270853E" w14:textId="77777777" w:rsidR="00BA56AD" w:rsidRDefault="00BA56AD" w:rsidP="00BA56AD">
      <w:pPr>
        <w:rPr>
          <w:b/>
        </w:rPr>
      </w:pPr>
    </w:p>
    <w:tbl>
      <w:tblPr>
        <w:tblW w:w="0" w:type="auto"/>
        <w:tblLayout w:type="fixed"/>
        <w:tblCellMar>
          <w:left w:w="70" w:type="dxa"/>
          <w:right w:w="70" w:type="dxa"/>
        </w:tblCellMar>
        <w:tblLook w:val="04A0" w:firstRow="1" w:lastRow="0" w:firstColumn="1" w:lastColumn="0" w:noHBand="0" w:noVBand="1"/>
      </w:tblPr>
      <w:tblGrid>
        <w:gridCol w:w="846"/>
        <w:gridCol w:w="1417"/>
        <w:gridCol w:w="851"/>
        <w:gridCol w:w="992"/>
        <w:gridCol w:w="992"/>
        <w:gridCol w:w="851"/>
        <w:gridCol w:w="567"/>
        <w:gridCol w:w="425"/>
        <w:gridCol w:w="425"/>
        <w:gridCol w:w="426"/>
        <w:gridCol w:w="425"/>
        <w:gridCol w:w="1129"/>
      </w:tblGrid>
      <w:tr w:rsidR="00BA56AD" w:rsidRPr="00F2046C" w14:paraId="21E40D7A" w14:textId="77777777" w:rsidTr="00FB5615">
        <w:trPr>
          <w:trHeight w:val="375"/>
          <w:tblHead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B4646E" w14:textId="77777777" w:rsidR="00BA56AD" w:rsidRPr="00F2046C" w:rsidRDefault="00BA56AD" w:rsidP="00FB5615">
            <w:pPr>
              <w:jc w:val="center"/>
              <w:rPr>
                <w:b/>
                <w:i/>
                <w:color w:val="000000"/>
                <w:sz w:val="12"/>
                <w:szCs w:val="16"/>
                <w:lang w:val="es-CO" w:eastAsia="es-CO"/>
              </w:rPr>
            </w:pPr>
            <w:r w:rsidRPr="00F2046C">
              <w:rPr>
                <w:b/>
                <w:i/>
                <w:color w:val="000000"/>
                <w:sz w:val="12"/>
                <w:szCs w:val="16"/>
                <w:lang w:val="es-CO" w:eastAsia="es-CO"/>
              </w:rPr>
              <w:t>Municipio</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07D9FB0" w14:textId="77777777" w:rsidR="00BA56AD" w:rsidRPr="00F2046C" w:rsidRDefault="00BA56AD" w:rsidP="00FB5615">
            <w:pPr>
              <w:jc w:val="center"/>
              <w:rPr>
                <w:b/>
                <w:i/>
                <w:color w:val="000000"/>
                <w:sz w:val="12"/>
                <w:szCs w:val="16"/>
                <w:lang w:val="es-CO" w:eastAsia="es-CO"/>
              </w:rPr>
            </w:pPr>
            <w:r w:rsidRPr="00F2046C">
              <w:rPr>
                <w:b/>
                <w:i/>
                <w:color w:val="000000"/>
                <w:sz w:val="12"/>
                <w:szCs w:val="16"/>
                <w:lang w:val="es-CO" w:eastAsia="es-CO"/>
              </w:rPr>
              <w:t>Unidad Constructiva</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E63E09B" w14:textId="77777777" w:rsidR="00BA56AD" w:rsidRPr="00F2046C" w:rsidRDefault="00BA56AD" w:rsidP="00FB5615">
            <w:pPr>
              <w:jc w:val="center"/>
              <w:rPr>
                <w:b/>
                <w:i/>
                <w:color w:val="000000"/>
                <w:sz w:val="12"/>
                <w:szCs w:val="16"/>
                <w:lang w:val="es-CO" w:eastAsia="es-CO"/>
              </w:rPr>
            </w:pPr>
            <w:r>
              <w:rPr>
                <w:b/>
                <w:i/>
                <w:color w:val="000000"/>
                <w:sz w:val="12"/>
                <w:szCs w:val="16"/>
                <w:lang w:val="es-CO" w:eastAsia="es-CO"/>
              </w:rPr>
              <w:t>Código UC</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8AC6098" w14:textId="77777777" w:rsidR="00BA56AD" w:rsidRPr="00F2046C" w:rsidRDefault="00BA56AD" w:rsidP="00FB5615">
            <w:pPr>
              <w:jc w:val="center"/>
              <w:rPr>
                <w:b/>
                <w:i/>
                <w:color w:val="000000"/>
                <w:sz w:val="12"/>
                <w:szCs w:val="16"/>
                <w:lang w:val="es-CO" w:eastAsia="es-CO"/>
              </w:rPr>
            </w:pPr>
            <w:r w:rsidRPr="00F2046C">
              <w:rPr>
                <w:b/>
                <w:i/>
                <w:color w:val="000000"/>
                <w:sz w:val="12"/>
                <w:szCs w:val="16"/>
                <w:lang w:val="es-CO" w:eastAsia="es-CO"/>
              </w:rPr>
              <w:t>Costo</w:t>
            </w:r>
            <w:r>
              <w:rPr>
                <w:b/>
                <w:i/>
                <w:color w:val="000000"/>
                <w:sz w:val="12"/>
                <w:szCs w:val="16"/>
                <w:lang w:val="es-CO" w:eastAsia="es-CO"/>
              </w:rPr>
              <w:t xml:space="preserve"> Unitario</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802693B" w14:textId="77777777" w:rsidR="00BA56AD" w:rsidRPr="00F2046C" w:rsidRDefault="00BA56AD" w:rsidP="00FB5615">
            <w:pPr>
              <w:jc w:val="center"/>
              <w:rPr>
                <w:b/>
                <w:i/>
                <w:color w:val="000000"/>
                <w:sz w:val="12"/>
                <w:szCs w:val="16"/>
                <w:lang w:val="es-CO" w:eastAsia="es-CO"/>
              </w:rPr>
            </w:pPr>
            <w:r w:rsidRPr="00F2046C">
              <w:rPr>
                <w:b/>
                <w:i/>
                <w:color w:val="000000"/>
                <w:sz w:val="12"/>
                <w:szCs w:val="16"/>
                <w:lang w:val="es-CO" w:eastAsia="es-CO"/>
              </w:rPr>
              <w:t>Tipo de Inversión</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F8BD73E" w14:textId="77777777" w:rsidR="00BA56AD" w:rsidRPr="00F2046C" w:rsidRDefault="00BA56AD" w:rsidP="00FB5615">
            <w:pPr>
              <w:jc w:val="center"/>
              <w:rPr>
                <w:b/>
                <w:i/>
                <w:color w:val="000000"/>
                <w:sz w:val="12"/>
                <w:szCs w:val="16"/>
                <w:lang w:val="es-CO" w:eastAsia="es-CO"/>
              </w:rPr>
            </w:pPr>
            <w:r w:rsidRPr="00F2046C">
              <w:rPr>
                <w:b/>
                <w:i/>
                <w:color w:val="000000"/>
                <w:sz w:val="12"/>
                <w:szCs w:val="16"/>
                <w:lang w:val="es-CO" w:eastAsia="es-CO"/>
              </w:rPr>
              <w:t>Red</w:t>
            </w:r>
          </w:p>
        </w:tc>
        <w:tc>
          <w:tcPr>
            <w:tcW w:w="2268" w:type="dxa"/>
            <w:gridSpan w:val="5"/>
            <w:tcBorders>
              <w:top w:val="single" w:sz="4" w:space="0" w:color="auto"/>
              <w:left w:val="nil"/>
              <w:bottom w:val="single" w:sz="4" w:space="0" w:color="auto"/>
              <w:right w:val="single" w:sz="4" w:space="0" w:color="auto"/>
            </w:tcBorders>
            <w:shd w:val="clear" w:color="000000" w:fill="D9D9D9"/>
            <w:vAlign w:val="center"/>
            <w:hideMark/>
          </w:tcPr>
          <w:p w14:paraId="32CD6B6C" w14:textId="77777777" w:rsidR="00BA56AD" w:rsidRPr="00F2046C" w:rsidRDefault="00BA56AD" w:rsidP="00FB5615">
            <w:pPr>
              <w:jc w:val="center"/>
              <w:rPr>
                <w:b/>
                <w:i/>
                <w:color w:val="000000"/>
                <w:sz w:val="12"/>
                <w:szCs w:val="16"/>
                <w:lang w:val="es-CO" w:eastAsia="es-CO"/>
              </w:rPr>
            </w:pPr>
            <w:r w:rsidRPr="00F2046C">
              <w:rPr>
                <w:b/>
                <w:i/>
                <w:color w:val="000000"/>
                <w:sz w:val="12"/>
                <w:szCs w:val="16"/>
                <w:lang w:val="es-CO" w:eastAsia="es-CO"/>
              </w:rPr>
              <w:t>Cantidad</w:t>
            </w:r>
          </w:p>
        </w:tc>
        <w:tc>
          <w:tcPr>
            <w:tcW w:w="112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D9ED87E" w14:textId="77777777" w:rsidR="00BA56AD" w:rsidRPr="00F2046C" w:rsidRDefault="00BA56AD" w:rsidP="00FB5615">
            <w:pPr>
              <w:jc w:val="center"/>
              <w:rPr>
                <w:b/>
                <w:i/>
                <w:color w:val="000000"/>
                <w:sz w:val="12"/>
                <w:szCs w:val="16"/>
                <w:lang w:val="es-CO" w:eastAsia="es-CO"/>
              </w:rPr>
            </w:pPr>
            <w:r w:rsidRPr="00F2046C">
              <w:rPr>
                <w:b/>
                <w:i/>
                <w:color w:val="000000"/>
                <w:sz w:val="12"/>
                <w:szCs w:val="16"/>
                <w:lang w:val="es-CO" w:eastAsia="es-CO"/>
              </w:rPr>
              <w:t>Costo Total</w:t>
            </w:r>
          </w:p>
        </w:tc>
      </w:tr>
      <w:tr w:rsidR="00BA56AD" w:rsidRPr="00F2046C" w14:paraId="3D76E2A5" w14:textId="77777777" w:rsidTr="00FB5615">
        <w:trPr>
          <w:trHeight w:val="27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4E5C189" w14:textId="77777777" w:rsidR="00BA56AD" w:rsidRPr="00F2046C" w:rsidRDefault="00BA56AD" w:rsidP="00FB5615">
            <w:pPr>
              <w:jc w:val="left"/>
              <w:rPr>
                <w:i/>
                <w:color w:val="000000"/>
                <w:sz w:val="12"/>
                <w:szCs w:val="16"/>
                <w:lang w:val="es-CO" w:eastAsia="es-C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D3E71CC" w14:textId="77777777" w:rsidR="00BA56AD" w:rsidRPr="00F2046C" w:rsidRDefault="00BA56AD" w:rsidP="00FB5615">
            <w:pPr>
              <w:jc w:val="left"/>
              <w:rPr>
                <w:i/>
                <w:color w:val="000000"/>
                <w:sz w:val="12"/>
                <w:szCs w:val="16"/>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A06E76" w14:textId="77777777" w:rsidR="00BA56AD" w:rsidRPr="00F2046C" w:rsidRDefault="00BA56AD" w:rsidP="00FB5615">
            <w:pPr>
              <w:jc w:val="left"/>
              <w:rPr>
                <w:i/>
                <w:color w:val="000000"/>
                <w:sz w:val="12"/>
                <w:szCs w:val="16"/>
                <w:lang w:val="es-CO"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BA660D" w14:textId="77777777" w:rsidR="00BA56AD" w:rsidRPr="00F2046C" w:rsidRDefault="00BA56AD" w:rsidP="00FB5615">
            <w:pPr>
              <w:jc w:val="left"/>
              <w:rPr>
                <w:i/>
                <w:color w:val="000000"/>
                <w:sz w:val="12"/>
                <w:szCs w:val="16"/>
                <w:lang w:val="es-CO"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EA01F9" w14:textId="77777777" w:rsidR="00BA56AD" w:rsidRPr="00F2046C" w:rsidRDefault="00BA56AD" w:rsidP="00FB5615">
            <w:pPr>
              <w:jc w:val="left"/>
              <w:rPr>
                <w:i/>
                <w:color w:val="000000"/>
                <w:sz w:val="12"/>
                <w:szCs w:val="16"/>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5A93F6" w14:textId="77777777" w:rsidR="00BA56AD" w:rsidRPr="00F2046C" w:rsidRDefault="00BA56AD" w:rsidP="00FB5615">
            <w:pPr>
              <w:jc w:val="left"/>
              <w:rPr>
                <w:i/>
                <w:color w:val="000000"/>
                <w:sz w:val="12"/>
                <w:szCs w:val="16"/>
                <w:lang w:val="es-CO" w:eastAsia="es-CO"/>
              </w:rPr>
            </w:pPr>
          </w:p>
        </w:tc>
        <w:tc>
          <w:tcPr>
            <w:tcW w:w="567" w:type="dxa"/>
            <w:tcBorders>
              <w:top w:val="nil"/>
              <w:left w:val="nil"/>
              <w:bottom w:val="single" w:sz="4" w:space="0" w:color="auto"/>
              <w:right w:val="single" w:sz="4" w:space="0" w:color="auto"/>
            </w:tcBorders>
            <w:shd w:val="clear" w:color="000000" w:fill="D9D9D9"/>
            <w:vAlign w:val="center"/>
            <w:hideMark/>
          </w:tcPr>
          <w:p w14:paraId="42EB0A6D" w14:textId="77777777" w:rsidR="00BA56AD" w:rsidRPr="00F2046C" w:rsidRDefault="00BA56AD" w:rsidP="00FB5615">
            <w:pPr>
              <w:jc w:val="center"/>
              <w:rPr>
                <w:b/>
                <w:i/>
                <w:color w:val="000000"/>
                <w:sz w:val="12"/>
                <w:szCs w:val="16"/>
                <w:lang w:val="es-CO" w:eastAsia="es-CO"/>
              </w:rPr>
            </w:pPr>
            <w:r w:rsidRPr="00F2046C">
              <w:rPr>
                <w:b/>
                <w:i/>
                <w:color w:val="000000"/>
                <w:sz w:val="12"/>
                <w:szCs w:val="16"/>
                <w:lang w:val="es-CO" w:eastAsia="es-CO"/>
              </w:rPr>
              <w:t>Año 1</w:t>
            </w:r>
          </w:p>
        </w:tc>
        <w:tc>
          <w:tcPr>
            <w:tcW w:w="425" w:type="dxa"/>
            <w:tcBorders>
              <w:top w:val="nil"/>
              <w:left w:val="nil"/>
              <w:bottom w:val="single" w:sz="4" w:space="0" w:color="auto"/>
              <w:right w:val="single" w:sz="4" w:space="0" w:color="auto"/>
            </w:tcBorders>
            <w:shd w:val="clear" w:color="000000" w:fill="D9D9D9"/>
            <w:vAlign w:val="center"/>
            <w:hideMark/>
          </w:tcPr>
          <w:p w14:paraId="4DFBCB11" w14:textId="77777777" w:rsidR="00BA56AD" w:rsidRPr="00F2046C" w:rsidRDefault="00BA56AD" w:rsidP="00FB5615">
            <w:pPr>
              <w:jc w:val="center"/>
              <w:rPr>
                <w:b/>
                <w:i/>
                <w:color w:val="000000"/>
                <w:sz w:val="12"/>
                <w:szCs w:val="16"/>
                <w:lang w:val="es-CO" w:eastAsia="es-CO"/>
              </w:rPr>
            </w:pPr>
            <w:r w:rsidRPr="00F2046C">
              <w:rPr>
                <w:b/>
                <w:i/>
                <w:color w:val="000000"/>
                <w:sz w:val="12"/>
                <w:szCs w:val="16"/>
                <w:lang w:val="es-CO" w:eastAsia="es-CO"/>
              </w:rPr>
              <w:t>Año 2</w:t>
            </w:r>
          </w:p>
        </w:tc>
        <w:tc>
          <w:tcPr>
            <w:tcW w:w="425" w:type="dxa"/>
            <w:tcBorders>
              <w:top w:val="nil"/>
              <w:left w:val="nil"/>
              <w:bottom w:val="single" w:sz="4" w:space="0" w:color="auto"/>
              <w:right w:val="single" w:sz="4" w:space="0" w:color="auto"/>
            </w:tcBorders>
            <w:shd w:val="clear" w:color="000000" w:fill="D9D9D9"/>
            <w:vAlign w:val="center"/>
            <w:hideMark/>
          </w:tcPr>
          <w:p w14:paraId="4FAA325A" w14:textId="77777777" w:rsidR="00BA56AD" w:rsidRPr="00F2046C" w:rsidRDefault="00BA56AD" w:rsidP="00FB5615">
            <w:pPr>
              <w:jc w:val="center"/>
              <w:rPr>
                <w:b/>
                <w:i/>
                <w:color w:val="000000"/>
                <w:sz w:val="12"/>
                <w:szCs w:val="16"/>
                <w:lang w:val="es-CO" w:eastAsia="es-CO"/>
              </w:rPr>
            </w:pPr>
            <w:r w:rsidRPr="00F2046C">
              <w:rPr>
                <w:b/>
                <w:i/>
                <w:color w:val="000000"/>
                <w:sz w:val="12"/>
                <w:szCs w:val="16"/>
                <w:lang w:val="es-CO" w:eastAsia="es-CO"/>
              </w:rPr>
              <w:t>Año 3</w:t>
            </w:r>
          </w:p>
        </w:tc>
        <w:tc>
          <w:tcPr>
            <w:tcW w:w="426" w:type="dxa"/>
            <w:tcBorders>
              <w:top w:val="nil"/>
              <w:left w:val="nil"/>
              <w:bottom w:val="single" w:sz="4" w:space="0" w:color="auto"/>
              <w:right w:val="single" w:sz="4" w:space="0" w:color="auto"/>
            </w:tcBorders>
            <w:shd w:val="clear" w:color="000000" w:fill="D9D9D9"/>
            <w:vAlign w:val="center"/>
            <w:hideMark/>
          </w:tcPr>
          <w:p w14:paraId="4F5A851B" w14:textId="77777777" w:rsidR="00BA56AD" w:rsidRPr="00F2046C" w:rsidRDefault="00BA56AD" w:rsidP="00FB5615">
            <w:pPr>
              <w:jc w:val="center"/>
              <w:rPr>
                <w:b/>
                <w:i/>
                <w:color w:val="000000"/>
                <w:sz w:val="12"/>
                <w:szCs w:val="16"/>
                <w:lang w:val="es-CO" w:eastAsia="es-CO"/>
              </w:rPr>
            </w:pPr>
            <w:r w:rsidRPr="00F2046C">
              <w:rPr>
                <w:b/>
                <w:i/>
                <w:color w:val="000000"/>
                <w:sz w:val="12"/>
                <w:szCs w:val="16"/>
                <w:lang w:val="es-CO" w:eastAsia="es-CO"/>
              </w:rPr>
              <w:t>Año 4</w:t>
            </w:r>
          </w:p>
        </w:tc>
        <w:tc>
          <w:tcPr>
            <w:tcW w:w="425" w:type="dxa"/>
            <w:tcBorders>
              <w:top w:val="nil"/>
              <w:left w:val="nil"/>
              <w:bottom w:val="single" w:sz="4" w:space="0" w:color="auto"/>
              <w:right w:val="single" w:sz="4" w:space="0" w:color="auto"/>
            </w:tcBorders>
            <w:shd w:val="clear" w:color="000000" w:fill="D9D9D9"/>
            <w:vAlign w:val="center"/>
            <w:hideMark/>
          </w:tcPr>
          <w:p w14:paraId="5EB1318D" w14:textId="77777777" w:rsidR="00BA56AD" w:rsidRPr="00F2046C" w:rsidRDefault="00BA56AD" w:rsidP="00FB5615">
            <w:pPr>
              <w:jc w:val="center"/>
              <w:rPr>
                <w:b/>
                <w:i/>
                <w:color w:val="000000"/>
                <w:sz w:val="12"/>
                <w:szCs w:val="16"/>
                <w:lang w:val="es-CO" w:eastAsia="es-CO"/>
              </w:rPr>
            </w:pPr>
            <w:r w:rsidRPr="00F2046C">
              <w:rPr>
                <w:b/>
                <w:i/>
                <w:color w:val="000000"/>
                <w:sz w:val="12"/>
                <w:szCs w:val="16"/>
                <w:lang w:val="es-CO" w:eastAsia="es-CO"/>
              </w:rPr>
              <w:t>Año 5</w:t>
            </w: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4EC6D8C5" w14:textId="77777777" w:rsidR="00BA56AD" w:rsidRPr="00F2046C" w:rsidRDefault="00BA56AD" w:rsidP="00FB5615">
            <w:pPr>
              <w:jc w:val="left"/>
              <w:rPr>
                <w:i/>
                <w:color w:val="000000"/>
                <w:sz w:val="12"/>
                <w:szCs w:val="16"/>
                <w:lang w:val="es-CO" w:eastAsia="es-CO"/>
              </w:rPr>
            </w:pPr>
          </w:p>
        </w:tc>
      </w:tr>
      <w:tr w:rsidR="00BA56AD" w:rsidRPr="00F2046C" w14:paraId="7B3EA14C"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4E1AF0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nil"/>
              <w:bottom w:val="single" w:sz="4" w:space="0" w:color="auto"/>
              <w:right w:val="single" w:sz="4" w:space="0" w:color="auto"/>
            </w:tcBorders>
            <w:shd w:val="clear" w:color="auto" w:fill="auto"/>
            <w:noWrap/>
            <w:vAlign w:val="bottom"/>
            <w:hideMark/>
          </w:tcPr>
          <w:p w14:paraId="3105812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Calzada Asfalto</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B37AF0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TPE1/2AS</w:t>
            </w:r>
          </w:p>
        </w:tc>
        <w:tc>
          <w:tcPr>
            <w:tcW w:w="992" w:type="dxa"/>
            <w:tcBorders>
              <w:top w:val="nil"/>
              <w:left w:val="nil"/>
              <w:bottom w:val="single" w:sz="4" w:space="0" w:color="auto"/>
              <w:right w:val="single" w:sz="4" w:space="0" w:color="auto"/>
            </w:tcBorders>
            <w:shd w:val="clear" w:color="auto" w:fill="auto"/>
            <w:noWrap/>
            <w:vAlign w:val="bottom"/>
            <w:hideMark/>
          </w:tcPr>
          <w:p w14:paraId="624333F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75</w:t>
            </w:r>
            <w:r>
              <w:rPr>
                <w:i/>
                <w:color w:val="000000"/>
                <w:sz w:val="12"/>
                <w:szCs w:val="16"/>
                <w:lang w:val="es-CO" w:eastAsia="es-CO"/>
              </w:rPr>
              <w:t>.</w:t>
            </w:r>
            <w:r w:rsidRPr="00F2046C">
              <w:rPr>
                <w:i/>
                <w:color w:val="000000"/>
                <w:sz w:val="12"/>
                <w:szCs w:val="16"/>
                <w:lang w:val="es-CO" w:eastAsia="es-CO"/>
              </w:rPr>
              <w:t>816</w:t>
            </w:r>
            <w:r>
              <w:rPr>
                <w:i/>
                <w:color w:val="000000"/>
                <w:sz w:val="12"/>
                <w:szCs w:val="16"/>
                <w:lang w:val="es-CO" w:eastAsia="es-CO"/>
              </w:rPr>
              <w:t>.</w:t>
            </w:r>
            <w:r w:rsidRPr="00F2046C">
              <w:rPr>
                <w:i/>
                <w:color w:val="000000"/>
                <w:sz w:val="12"/>
                <w:szCs w:val="16"/>
                <w:lang w:val="es-CO" w:eastAsia="es-CO"/>
              </w:rPr>
              <w:t>559</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72CF44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22A32893"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bottom"/>
            <w:hideMark/>
          </w:tcPr>
          <w:p w14:paraId="6858436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07</w:t>
            </w:r>
          </w:p>
        </w:tc>
        <w:tc>
          <w:tcPr>
            <w:tcW w:w="425" w:type="dxa"/>
            <w:tcBorders>
              <w:top w:val="nil"/>
              <w:left w:val="nil"/>
              <w:bottom w:val="single" w:sz="4" w:space="0" w:color="auto"/>
              <w:right w:val="single" w:sz="4" w:space="0" w:color="auto"/>
            </w:tcBorders>
            <w:shd w:val="clear" w:color="auto" w:fill="auto"/>
            <w:noWrap/>
            <w:vAlign w:val="bottom"/>
            <w:hideMark/>
          </w:tcPr>
          <w:p w14:paraId="1D1EA28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B4D11C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16AF836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65152F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8E8EFA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w:t>
            </w:r>
            <w:r>
              <w:rPr>
                <w:i/>
                <w:color w:val="000000"/>
                <w:sz w:val="12"/>
                <w:szCs w:val="16"/>
                <w:lang w:val="es-CO" w:eastAsia="es-CO"/>
              </w:rPr>
              <w:t>.</w:t>
            </w:r>
            <w:r w:rsidRPr="00F2046C">
              <w:rPr>
                <w:i/>
                <w:color w:val="000000"/>
                <w:sz w:val="12"/>
                <w:szCs w:val="16"/>
                <w:lang w:val="es-CO" w:eastAsia="es-CO"/>
              </w:rPr>
              <w:t>928</w:t>
            </w:r>
            <w:r>
              <w:rPr>
                <w:i/>
                <w:color w:val="000000"/>
                <w:sz w:val="12"/>
                <w:szCs w:val="16"/>
                <w:lang w:val="es-CO" w:eastAsia="es-CO"/>
              </w:rPr>
              <w:t>.</w:t>
            </w:r>
            <w:r w:rsidRPr="00F2046C">
              <w:rPr>
                <w:i/>
                <w:color w:val="000000"/>
                <w:sz w:val="12"/>
                <w:szCs w:val="16"/>
                <w:lang w:val="es-CO" w:eastAsia="es-CO"/>
              </w:rPr>
              <w:t>076</w:t>
            </w:r>
          </w:p>
        </w:tc>
      </w:tr>
      <w:tr w:rsidR="00BA56AD" w:rsidRPr="00F2046C" w14:paraId="5489B8A9" w14:textId="77777777" w:rsidTr="00FB5615">
        <w:trPr>
          <w:trHeight w:val="2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ED35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F49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255D0BB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TPE3/4AS</w:t>
            </w:r>
          </w:p>
        </w:tc>
        <w:tc>
          <w:tcPr>
            <w:tcW w:w="992" w:type="dxa"/>
            <w:tcBorders>
              <w:top w:val="nil"/>
              <w:left w:val="nil"/>
              <w:bottom w:val="single" w:sz="4" w:space="0" w:color="auto"/>
              <w:right w:val="single" w:sz="4" w:space="0" w:color="auto"/>
            </w:tcBorders>
            <w:shd w:val="clear" w:color="auto" w:fill="auto"/>
            <w:noWrap/>
            <w:vAlign w:val="bottom"/>
            <w:hideMark/>
          </w:tcPr>
          <w:p w14:paraId="7D98250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76</w:t>
            </w:r>
            <w:r>
              <w:rPr>
                <w:i/>
                <w:color w:val="000000"/>
                <w:sz w:val="12"/>
                <w:szCs w:val="16"/>
                <w:lang w:val="es-CO" w:eastAsia="es-CO"/>
              </w:rPr>
              <w:t>.</w:t>
            </w:r>
            <w:r w:rsidRPr="00F2046C">
              <w:rPr>
                <w:i/>
                <w:color w:val="000000"/>
                <w:sz w:val="12"/>
                <w:szCs w:val="16"/>
                <w:lang w:val="es-CO" w:eastAsia="es-CO"/>
              </w:rPr>
              <w:t>715</w:t>
            </w:r>
            <w:r>
              <w:rPr>
                <w:i/>
                <w:color w:val="000000"/>
                <w:sz w:val="12"/>
                <w:szCs w:val="16"/>
                <w:lang w:val="es-CO" w:eastAsia="es-CO"/>
              </w:rPr>
              <w:t>.</w:t>
            </w:r>
            <w:r w:rsidRPr="00F2046C">
              <w:rPr>
                <w:i/>
                <w:color w:val="000000"/>
                <w:sz w:val="12"/>
                <w:szCs w:val="16"/>
                <w:lang w:val="es-CO" w:eastAsia="es-CO"/>
              </w:rPr>
              <w:t>959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0D26A4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3344A1C7"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F23A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34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07F87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D3C0A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919A5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DA916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43093D8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26</w:t>
            </w:r>
            <w:r>
              <w:rPr>
                <w:i/>
                <w:color w:val="000000"/>
                <w:sz w:val="12"/>
                <w:szCs w:val="16"/>
                <w:lang w:val="es-CO" w:eastAsia="es-CO"/>
              </w:rPr>
              <w:t>.</w:t>
            </w:r>
            <w:r w:rsidRPr="00F2046C">
              <w:rPr>
                <w:i/>
                <w:color w:val="000000"/>
                <w:sz w:val="12"/>
                <w:szCs w:val="16"/>
                <w:lang w:val="es-CO" w:eastAsia="es-CO"/>
              </w:rPr>
              <w:t>106</w:t>
            </w:r>
            <w:r>
              <w:rPr>
                <w:i/>
                <w:color w:val="000000"/>
                <w:sz w:val="12"/>
                <w:szCs w:val="16"/>
                <w:lang w:val="es-CO" w:eastAsia="es-CO"/>
              </w:rPr>
              <w:t>.</w:t>
            </w:r>
            <w:r w:rsidRPr="00F2046C">
              <w:rPr>
                <w:i/>
                <w:color w:val="000000"/>
                <w:sz w:val="12"/>
                <w:szCs w:val="16"/>
                <w:lang w:val="es-CO" w:eastAsia="es-CO"/>
              </w:rPr>
              <w:t>441</w:t>
            </w:r>
          </w:p>
        </w:tc>
      </w:tr>
      <w:tr w:rsidR="00BA56AD" w:rsidRPr="00F2046C" w14:paraId="1C2729EA" w14:textId="77777777" w:rsidTr="00FB5615">
        <w:trPr>
          <w:trHeight w:val="37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27DFEB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6A18BB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2E79F87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TPE2AS</w:t>
            </w:r>
          </w:p>
        </w:tc>
        <w:tc>
          <w:tcPr>
            <w:tcW w:w="992" w:type="dxa"/>
            <w:tcBorders>
              <w:top w:val="nil"/>
              <w:left w:val="nil"/>
              <w:bottom w:val="single" w:sz="4" w:space="0" w:color="auto"/>
              <w:right w:val="single" w:sz="4" w:space="0" w:color="auto"/>
            </w:tcBorders>
            <w:shd w:val="clear" w:color="auto" w:fill="auto"/>
            <w:noWrap/>
            <w:vAlign w:val="bottom"/>
            <w:hideMark/>
          </w:tcPr>
          <w:p w14:paraId="183EF44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87</w:t>
            </w:r>
            <w:r>
              <w:rPr>
                <w:i/>
                <w:color w:val="000000"/>
                <w:sz w:val="12"/>
                <w:szCs w:val="16"/>
                <w:lang w:val="es-CO" w:eastAsia="es-CO"/>
              </w:rPr>
              <w:t>.</w:t>
            </w:r>
            <w:r w:rsidRPr="00F2046C">
              <w:rPr>
                <w:i/>
                <w:color w:val="000000"/>
                <w:sz w:val="12"/>
                <w:szCs w:val="16"/>
                <w:lang w:val="es-CO" w:eastAsia="es-CO"/>
              </w:rPr>
              <w:t>082</w:t>
            </w:r>
            <w:r>
              <w:rPr>
                <w:i/>
                <w:color w:val="000000"/>
                <w:sz w:val="12"/>
                <w:szCs w:val="16"/>
                <w:lang w:val="es-CO" w:eastAsia="es-CO"/>
              </w:rPr>
              <w:t>.</w:t>
            </w:r>
            <w:r w:rsidRPr="00F2046C">
              <w:rPr>
                <w:i/>
                <w:color w:val="000000"/>
                <w:sz w:val="12"/>
                <w:szCs w:val="16"/>
                <w:lang w:val="es-CO" w:eastAsia="es-CO"/>
              </w:rPr>
              <w:t>705</w:t>
            </w:r>
          </w:p>
        </w:tc>
        <w:tc>
          <w:tcPr>
            <w:tcW w:w="992" w:type="dxa"/>
            <w:tcBorders>
              <w:top w:val="nil"/>
              <w:left w:val="nil"/>
              <w:bottom w:val="single" w:sz="4" w:space="0" w:color="auto"/>
              <w:right w:val="single" w:sz="4" w:space="0" w:color="auto"/>
            </w:tcBorders>
            <w:shd w:val="clear" w:color="auto" w:fill="auto"/>
            <w:noWrap/>
            <w:vAlign w:val="bottom"/>
            <w:hideMark/>
          </w:tcPr>
          <w:p w14:paraId="422E475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0472F47A"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199E1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15</w:t>
            </w:r>
          </w:p>
        </w:tc>
        <w:tc>
          <w:tcPr>
            <w:tcW w:w="425" w:type="dxa"/>
            <w:tcBorders>
              <w:top w:val="nil"/>
              <w:left w:val="nil"/>
              <w:bottom w:val="single" w:sz="4" w:space="0" w:color="auto"/>
              <w:right w:val="single" w:sz="4" w:space="0" w:color="auto"/>
            </w:tcBorders>
            <w:shd w:val="clear" w:color="auto" w:fill="auto"/>
            <w:noWrap/>
            <w:vAlign w:val="bottom"/>
            <w:hideMark/>
          </w:tcPr>
          <w:p w14:paraId="76D209C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2CD1C8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41CD861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49D3E9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F7665A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13</w:t>
            </w:r>
            <w:r>
              <w:rPr>
                <w:i/>
                <w:color w:val="000000"/>
                <w:sz w:val="12"/>
                <w:szCs w:val="16"/>
                <w:lang w:val="es-CO" w:eastAsia="es-CO"/>
              </w:rPr>
              <w:t>.</w:t>
            </w:r>
            <w:r w:rsidRPr="00F2046C">
              <w:rPr>
                <w:i/>
                <w:color w:val="000000"/>
                <w:sz w:val="12"/>
                <w:szCs w:val="16"/>
                <w:lang w:val="es-CO" w:eastAsia="es-CO"/>
              </w:rPr>
              <w:t>236</w:t>
            </w:r>
            <w:r>
              <w:rPr>
                <w:i/>
                <w:color w:val="000000"/>
                <w:sz w:val="12"/>
                <w:szCs w:val="16"/>
                <w:lang w:val="es-CO" w:eastAsia="es-CO"/>
              </w:rPr>
              <w:t>.</w:t>
            </w:r>
            <w:r w:rsidRPr="00F2046C">
              <w:rPr>
                <w:i/>
                <w:color w:val="000000"/>
                <w:sz w:val="12"/>
                <w:szCs w:val="16"/>
                <w:lang w:val="es-CO" w:eastAsia="es-CO"/>
              </w:rPr>
              <w:t>571</w:t>
            </w:r>
          </w:p>
        </w:tc>
      </w:tr>
      <w:tr w:rsidR="00BA56AD" w:rsidRPr="00F2046C" w14:paraId="3ADA242A"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57FB2D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EFD1B8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3F16DF9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TPE1/2CO</w:t>
            </w:r>
          </w:p>
        </w:tc>
        <w:tc>
          <w:tcPr>
            <w:tcW w:w="992" w:type="dxa"/>
            <w:tcBorders>
              <w:top w:val="nil"/>
              <w:left w:val="nil"/>
              <w:bottom w:val="single" w:sz="4" w:space="0" w:color="auto"/>
              <w:right w:val="single" w:sz="4" w:space="0" w:color="auto"/>
            </w:tcBorders>
            <w:shd w:val="clear" w:color="auto" w:fill="auto"/>
            <w:noWrap/>
            <w:vAlign w:val="bottom"/>
            <w:hideMark/>
          </w:tcPr>
          <w:p w14:paraId="6B8B945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74</w:t>
            </w:r>
            <w:r>
              <w:rPr>
                <w:i/>
                <w:color w:val="000000"/>
                <w:sz w:val="12"/>
                <w:szCs w:val="16"/>
                <w:lang w:val="es-CO" w:eastAsia="es-CO"/>
              </w:rPr>
              <w:t>.</w:t>
            </w:r>
            <w:r w:rsidRPr="00F2046C">
              <w:rPr>
                <w:i/>
                <w:color w:val="000000"/>
                <w:sz w:val="12"/>
                <w:szCs w:val="16"/>
                <w:lang w:val="es-CO" w:eastAsia="es-CO"/>
              </w:rPr>
              <w:t>429</w:t>
            </w:r>
            <w:r>
              <w:rPr>
                <w:i/>
                <w:color w:val="000000"/>
                <w:sz w:val="12"/>
                <w:szCs w:val="16"/>
                <w:lang w:val="es-CO" w:eastAsia="es-CO"/>
              </w:rPr>
              <w:t>.</w:t>
            </w:r>
            <w:r w:rsidRPr="00F2046C">
              <w:rPr>
                <w:i/>
                <w:color w:val="000000"/>
                <w:sz w:val="12"/>
                <w:szCs w:val="16"/>
                <w:lang w:val="es-CO" w:eastAsia="es-CO"/>
              </w:rPr>
              <w:t>578</w:t>
            </w:r>
          </w:p>
        </w:tc>
        <w:tc>
          <w:tcPr>
            <w:tcW w:w="992" w:type="dxa"/>
            <w:tcBorders>
              <w:top w:val="nil"/>
              <w:left w:val="nil"/>
              <w:bottom w:val="single" w:sz="4" w:space="0" w:color="auto"/>
              <w:right w:val="single" w:sz="4" w:space="0" w:color="auto"/>
            </w:tcBorders>
            <w:shd w:val="clear" w:color="auto" w:fill="auto"/>
            <w:noWrap/>
            <w:vAlign w:val="bottom"/>
            <w:hideMark/>
          </w:tcPr>
          <w:p w14:paraId="64C7BA0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D39981B"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58D28A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02</w:t>
            </w:r>
          </w:p>
        </w:tc>
        <w:tc>
          <w:tcPr>
            <w:tcW w:w="425" w:type="dxa"/>
            <w:tcBorders>
              <w:top w:val="nil"/>
              <w:left w:val="nil"/>
              <w:bottom w:val="single" w:sz="4" w:space="0" w:color="auto"/>
              <w:right w:val="single" w:sz="4" w:space="0" w:color="auto"/>
            </w:tcBorders>
            <w:shd w:val="clear" w:color="auto" w:fill="auto"/>
            <w:noWrap/>
            <w:vAlign w:val="bottom"/>
            <w:hideMark/>
          </w:tcPr>
          <w:p w14:paraId="135DC7F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FCD302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4DBC8DA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592F87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0252BAE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190</w:t>
            </w:r>
            <w:r>
              <w:rPr>
                <w:i/>
                <w:color w:val="000000"/>
                <w:sz w:val="12"/>
                <w:szCs w:val="16"/>
                <w:lang w:val="es-CO" w:eastAsia="es-CO"/>
              </w:rPr>
              <w:t>.</w:t>
            </w:r>
            <w:r w:rsidRPr="00F2046C">
              <w:rPr>
                <w:i/>
                <w:color w:val="000000"/>
                <w:sz w:val="12"/>
                <w:szCs w:val="16"/>
                <w:lang w:val="es-CO" w:eastAsia="es-CO"/>
              </w:rPr>
              <w:t>873</w:t>
            </w:r>
          </w:p>
        </w:tc>
      </w:tr>
      <w:tr w:rsidR="00BA56AD" w:rsidRPr="00F2046C" w14:paraId="1C81EBD4"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DAA21B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2DC851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40EB40E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TPE3/4CO</w:t>
            </w:r>
          </w:p>
        </w:tc>
        <w:tc>
          <w:tcPr>
            <w:tcW w:w="992" w:type="dxa"/>
            <w:tcBorders>
              <w:top w:val="nil"/>
              <w:left w:val="nil"/>
              <w:bottom w:val="single" w:sz="4" w:space="0" w:color="auto"/>
              <w:right w:val="single" w:sz="4" w:space="0" w:color="auto"/>
            </w:tcBorders>
            <w:shd w:val="clear" w:color="auto" w:fill="auto"/>
            <w:noWrap/>
            <w:vAlign w:val="bottom"/>
            <w:hideMark/>
          </w:tcPr>
          <w:p w14:paraId="1C261E4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75</w:t>
            </w:r>
            <w:r>
              <w:rPr>
                <w:i/>
                <w:color w:val="000000"/>
                <w:sz w:val="12"/>
                <w:szCs w:val="16"/>
                <w:lang w:val="es-CO" w:eastAsia="es-CO"/>
              </w:rPr>
              <w:t>.</w:t>
            </w:r>
            <w:r w:rsidRPr="00F2046C">
              <w:rPr>
                <w:i/>
                <w:color w:val="000000"/>
                <w:sz w:val="12"/>
                <w:szCs w:val="16"/>
                <w:lang w:val="es-CO" w:eastAsia="es-CO"/>
              </w:rPr>
              <w:t>269</w:t>
            </w:r>
            <w:r>
              <w:rPr>
                <w:i/>
                <w:color w:val="000000"/>
                <w:sz w:val="12"/>
                <w:szCs w:val="16"/>
                <w:lang w:val="es-CO" w:eastAsia="es-CO"/>
              </w:rPr>
              <w:t>.</w:t>
            </w:r>
            <w:r w:rsidRPr="00F2046C">
              <w:rPr>
                <w:i/>
                <w:color w:val="000000"/>
                <w:sz w:val="12"/>
                <w:szCs w:val="16"/>
                <w:lang w:val="es-CO" w:eastAsia="es-CO"/>
              </w:rPr>
              <w:t>785</w:t>
            </w:r>
          </w:p>
        </w:tc>
        <w:tc>
          <w:tcPr>
            <w:tcW w:w="992" w:type="dxa"/>
            <w:tcBorders>
              <w:top w:val="nil"/>
              <w:left w:val="nil"/>
              <w:bottom w:val="single" w:sz="4" w:space="0" w:color="auto"/>
              <w:right w:val="single" w:sz="4" w:space="0" w:color="auto"/>
            </w:tcBorders>
            <w:shd w:val="clear" w:color="auto" w:fill="auto"/>
            <w:noWrap/>
            <w:vAlign w:val="bottom"/>
            <w:hideMark/>
          </w:tcPr>
          <w:p w14:paraId="7D63AE3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741FE89E"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72BF7D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03</w:t>
            </w:r>
          </w:p>
        </w:tc>
        <w:tc>
          <w:tcPr>
            <w:tcW w:w="425" w:type="dxa"/>
            <w:tcBorders>
              <w:top w:val="nil"/>
              <w:left w:val="nil"/>
              <w:bottom w:val="single" w:sz="4" w:space="0" w:color="auto"/>
              <w:right w:val="single" w:sz="4" w:space="0" w:color="auto"/>
            </w:tcBorders>
            <w:shd w:val="clear" w:color="auto" w:fill="auto"/>
            <w:noWrap/>
            <w:vAlign w:val="bottom"/>
            <w:hideMark/>
          </w:tcPr>
          <w:p w14:paraId="3CD022D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7D45D6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490F279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56E54B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4B41B2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559</w:t>
            </w:r>
            <w:r>
              <w:rPr>
                <w:i/>
                <w:color w:val="000000"/>
                <w:sz w:val="12"/>
                <w:szCs w:val="16"/>
                <w:lang w:val="es-CO" w:eastAsia="es-CO"/>
              </w:rPr>
              <w:t>.</w:t>
            </w:r>
            <w:r w:rsidRPr="00F2046C">
              <w:rPr>
                <w:i/>
                <w:color w:val="000000"/>
                <w:sz w:val="12"/>
                <w:szCs w:val="16"/>
                <w:lang w:val="es-CO" w:eastAsia="es-CO"/>
              </w:rPr>
              <w:t>173</w:t>
            </w:r>
          </w:p>
        </w:tc>
      </w:tr>
      <w:tr w:rsidR="00BA56AD" w:rsidRPr="00F2046C" w14:paraId="2A0367E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F40DCE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666C52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1FA58CE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TPE1/2ACO</w:t>
            </w:r>
          </w:p>
        </w:tc>
        <w:tc>
          <w:tcPr>
            <w:tcW w:w="992" w:type="dxa"/>
            <w:tcBorders>
              <w:top w:val="nil"/>
              <w:left w:val="nil"/>
              <w:bottom w:val="single" w:sz="4" w:space="0" w:color="auto"/>
              <w:right w:val="single" w:sz="4" w:space="0" w:color="auto"/>
            </w:tcBorders>
            <w:shd w:val="clear" w:color="auto" w:fill="auto"/>
            <w:noWrap/>
            <w:vAlign w:val="bottom"/>
            <w:hideMark/>
          </w:tcPr>
          <w:p w14:paraId="2D1C6FA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52</w:t>
            </w:r>
            <w:r>
              <w:rPr>
                <w:i/>
                <w:color w:val="000000"/>
                <w:sz w:val="12"/>
                <w:szCs w:val="16"/>
                <w:lang w:val="es-CO" w:eastAsia="es-CO"/>
              </w:rPr>
              <w:t>.</w:t>
            </w:r>
            <w:r w:rsidRPr="00F2046C">
              <w:rPr>
                <w:i/>
                <w:color w:val="000000"/>
                <w:sz w:val="12"/>
                <w:szCs w:val="16"/>
                <w:lang w:val="es-CO" w:eastAsia="es-CO"/>
              </w:rPr>
              <w:t>202</w:t>
            </w:r>
            <w:r>
              <w:rPr>
                <w:i/>
                <w:color w:val="000000"/>
                <w:sz w:val="12"/>
                <w:szCs w:val="16"/>
                <w:lang w:val="es-CO" w:eastAsia="es-CO"/>
              </w:rPr>
              <w:t>.</w:t>
            </w:r>
            <w:r w:rsidRPr="00F2046C">
              <w:rPr>
                <w:i/>
                <w:color w:val="000000"/>
                <w:sz w:val="12"/>
                <w:szCs w:val="16"/>
                <w:lang w:val="es-CO" w:eastAsia="es-CO"/>
              </w:rPr>
              <w:t>790</w:t>
            </w:r>
          </w:p>
        </w:tc>
        <w:tc>
          <w:tcPr>
            <w:tcW w:w="992" w:type="dxa"/>
            <w:tcBorders>
              <w:top w:val="nil"/>
              <w:left w:val="nil"/>
              <w:bottom w:val="single" w:sz="4" w:space="0" w:color="auto"/>
              <w:right w:val="single" w:sz="4" w:space="0" w:color="auto"/>
            </w:tcBorders>
            <w:shd w:val="clear" w:color="auto" w:fill="auto"/>
            <w:noWrap/>
            <w:vAlign w:val="bottom"/>
            <w:hideMark/>
          </w:tcPr>
          <w:p w14:paraId="36F4812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D0ACDEA"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28A7EA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05</w:t>
            </w:r>
          </w:p>
        </w:tc>
        <w:tc>
          <w:tcPr>
            <w:tcW w:w="425" w:type="dxa"/>
            <w:tcBorders>
              <w:top w:val="nil"/>
              <w:left w:val="nil"/>
              <w:bottom w:val="single" w:sz="4" w:space="0" w:color="auto"/>
              <w:right w:val="single" w:sz="4" w:space="0" w:color="auto"/>
            </w:tcBorders>
            <w:shd w:val="clear" w:color="auto" w:fill="auto"/>
            <w:noWrap/>
            <w:vAlign w:val="bottom"/>
            <w:hideMark/>
          </w:tcPr>
          <w:p w14:paraId="162A5F3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2933C1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1575F66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97BC85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4CC12DB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106</w:t>
            </w:r>
            <w:r>
              <w:rPr>
                <w:i/>
                <w:color w:val="000000"/>
                <w:sz w:val="12"/>
                <w:szCs w:val="16"/>
                <w:lang w:val="es-CO" w:eastAsia="es-CO"/>
              </w:rPr>
              <w:t>.</w:t>
            </w:r>
            <w:r w:rsidRPr="00F2046C">
              <w:rPr>
                <w:i/>
                <w:color w:val="000000"/>
                <w:sz w:val="12"/>
                <w:szCs w:val="16"/>
                <w:lang w:val="es-CO" w:eastAsia="es-CO"/>
              </w:rPr>
              <w:t>911</w:t>
            </w:r>
            <w:r>
              <w:rPr>
                <w:i/>
                <w:color w:val="000000"/>
                <w:sz w:val="12"/>
                <w:szCs w:val="16"/>
                <w:lang w:val="es-CO" w:eastAsia="es-CO"/>
              </w:rPr>
              <w:t>.</w:t>
            </w:r>
            <w:r w:rsidRPr="00F2046C">
              <w:rPr>
                <w:i/>
                <w:color w:val="000000"/>
                <w:sz w:val="12"/>
                <w:szCs w:val="16"/>
                <w:lang w:val="es-CO" w:eastAsia="es-CO"/>
              </w:rPr>
              <w:t>314</w:t>
            </w:r>
          </w:p>
        </w:tc>
      </w:tr>
      <w:tr w:rsidR="00BA56AD" w:rsidRPr="00F2046C" w14:paraId="57007428"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FB4BE2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3F0172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1CB5922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TPE3/4ACO</w:t>
            </w:r>
          </w:p>
        </w:tc>
        <w:tc>
          <w:tcPr>
            <w:tcW w:w="992" w:type="dxa"/>
            <w:tcBorders>
              <w:top w:val="nil"/>
              <w:left w:val="nil"/>
              <w:bottom w:val="single" w:sz="4" w:space="0" w:color="auto"/>
              <w:right w:val="single" w:sz="4" w:space="0" w:color="auto"/>
            </w:tcBorders>
            <w:shd w:val="clear" w:color="auto" w:fill="auto"/>
            <w:noWrap/>
            <w:vAlign w:val="bottom"/>
            <w:hideMark/>
          </w:tcPr>
          <w:p w14:paraId="7CB4D19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53</w:t>
            </w:r>
            <w:r>
              <w:rPr>
                <w:i/>
                <w:color w:val="000000"/>
                <w:sz w:val="12"/>
                <w:szCs w:val="16"/>
                <w:lang w:val="es-CO" w:eastAsia="es-CO"/>
              </w:rPr>
              <w:t>.</w:t>
            </w:r>
            <w:r w:rsidRPr="00F2046C">
              <w:rPr>
                <w:i/>
                <w:color w:val="000000"/>
                <w:sz w:val="12"/>
                <w:szCs w:val="16"/>
                <w:lang w:val="es-CO" w:eastAsia="es-CO"/>
              </w:rPr>
              <w:t>098</w:t>
            </w:r>
            <w:r>
              <w:rPr>
                <w:i/>
                <w:color w:val="000000"/>
                <w:sz w:val="12"/>
                <w:szCs w:val="16"/>
                <w:lang w:val="es-CO" w:eastAsia="es-CO"/>
              </w:rPr>
              <w:t>.</w:t>
            </w:r>
            <w:r w:rsidRPr="00F2046C">
              <w:rPr>
                <w:i/>
                <w:color w:val="000000"/>
                <w:sz w:val="12"/>
                <w:szCs w:val="16"/>
                <w:lang w:val="es-CO" w:eastAsia="es-CO"/>
              </w:rPr>
              <w:t>574</w:t>
            </w:r>
          </w:p>
        </w:tc>
        <w:tc>
          <w:tcPr>
            <w:tcW w:w="992" w:type="dxa"/>
            <w:tcBorders>
              <w:top w:val="nil"/>
              <w:left w:val="nil"/>
              <w:bottom w:val="single" w:sz="4" w:space="0" w:color="auto"/>
              <w:right w:val="single" w:sz="4" w:space="0" w:color="auto"/>
            </w:tcBorders>
            <w:shd w:val="clear" w:color="auto" w:fill="auto"/>
            <w:noWrap/>
            <w:vAlign w:val="bottom"/>
            <w:hideMark/>
          </w:tcPr>
          <w:p w14:paraId="3FD9452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0D3EC51C"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1C71C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08</w:t>
            </w:r>
          </w:p>
        </w:tc>
        <w:tc>
          <w:tcPr>
            <w:tcW w:w="425" w:type="dxa"/>
            <w:tcBorders>
              <w:top w:val="nil"/>
              <w:left w:val="nil"/>
              <w:bottom w:val="single" w:sz="4" w:space="0" w:color="auto"/>
              <w:right w:val="single" w:sz="4" w:space="0" w:color="auto"/>
            </w:tcBorders>
            <w:shd w:val="clear" w:color="auto" w:fill="auto"/>
            <w:noWrap/>
            <w:vAlign w:val="bottom"/>
            <w:hideMark/>
          </w:tcPr>
          <w:p w14:paraId="2A45B86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FBF605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7BDEDFA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037473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3B4B7E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110</w:t>
            </w:r>
            <w:r>
              <w:rPr>
                <w:i/>
                <w:color w:val="000000"/>
                <w:sz w:val="12"/>
                <w:szCs w:val="16"/>
                <w:lang w:val="es-CO" w:eastAsia="es-CO"/>
              </w:rPr>
              <w:t>.</w:t>
            </w:r>
            <w:r w:rsidRPr="00F2046C">
              <w:rPr>
                <w:i/>
                <w:color w:val="000000"/>
                <w:sz w:val="12"/>
                <w:szCs w:val="16"/>
                <w:lang w:val="es-CO" w:eastAsia="es-CO"/>
              </w:rPr>
              <w:t>583</w:t>
            </w:r>
            <w:r>
              <w:rPr>
                <w:i/>
                <w:color w:val="000000"/>
                <w:sz w:val="12"/>
                <w:szCs w:val="16"/>
                <w:lang w:val="es-CO" w:eastAsia="es-CO"/>
              </w:rPr>
              <w:t>.</w:t>
            </w:r>
            <w:r w:rsidRPr="00F2046C">
              <w:rPr>
                <w:i/>
                <w:color w:val="000000"/>
                <w:sz w:val="12"/>
                <w:szCs w:val="16"/>
                <w:lang w:val="es-CO" w:eastAsia="es-CO"/>
              </w:rPr>
              <w:t>090</w:t>
            </w:r>
          </w:p>
        </w:tc>
      </w:tr>
      <w:tr w:rsidR="00BA56AD" w:rsidRPr="00F2046C" w14:paraId="2D7396A6"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7750EC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0C5BA5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6C8B979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TPE2ACO</w:t>
            </w:r>
          </w:p>
        </w:tc>
        <w:tc>
          <w:tcPr>
            <w:tcW w:w="992" w:type="dxa"/>
            <w:tcBorders>
              <w:top w:val="nil"/>
              <w:left w:val="nil"/>
              <w:bottom w:val="single" w:sz="4" w:space="0" w:color="auto"/>
              <w:right w:val="single" w:sz="4" w:space="0" w:color="auto"/>
            </w:tcBorders>
            <w:shd w:val="clear" w:color="auto" w:fill="auto"/>
            <w:noWrap/>
            <w:vAlign w:val="bottom"/>
            <w:hideMark/>
          </w:tcPr>
          <w:p w14:paraId="4242736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67</w:t>
            </w:r>
            <w:r>
              <w:rPr>
                <w:i/>
                <w:color w:val="000000"/>
                <w:sz w:val="12"/>
                <w:szCs w:val="16"/>
                <w:lang w:val="es-CO" w:eastAsia="es-CO"/>
              </w:rPr>
              <w:t>.</w:t>
            </w:r>
            <w:r w:rsidRPr="00F2046C">
              <w:rPr>
                <w:i/>
                <w:color w:val="000000"/>
                <w:sz w:val="12"/>
                <w:szCs w:val="16"/>
                <w:lang w:val="es-CO" w:eastAsia="es-CO"/>
              </w:rPr>
              <w:t>285</w:t>
            </w:r>
            <w:r>
              <w:rPr>
                <w:i/>
                <w:color w:val="000000"/>
                <w:sz w:val="12"/>
                <w:szCs w:val="16"/>
                <w:lang w:val="es-CO" w:eastAsia="es-CO"/>
              </w:rPr>
              <w:t>.</w:t>
            </w:r>
            <w:r w:rsidRPr="00F2046C">
              <w:rPr>
                <w:i/>
                <w:color w:val="000000"/>
                <w:sz w:val="12"/>
                <w:szCs w:val="16"/>
                <w:lang w:val="es-CO" w:eastAsia="es-CO"/>
              </w:rPr>
              <w:t>854</w:t>
            </w:r>
          </w:p>
        </w:tc>
        <w:tc>
          <w:tcPr>
            <w:tcW w:w="992" w:type="dxa"/>
            <w:tcBorders>
              <w:top w:val="nil"/>
              <w:left w:val="nil"/>
              <w:bottom w:val="single" w:sz="4" w:space="0" w:color="auto"/>
              <w:right w:val="single" w:sz="4" w:space="0" w:color="auto"/>
            </w:tcBorders>
            <w:shd w:val="clear" w:color="auto" w:fill="auto"/>
            <w:noWrap/>
            <w:vAlign w:val="bottom"/>
            <w:hideMark/>
          </w:tcPr>
          <w:p w14:paraId="0A5265F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161EF1B4"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2B3D9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91</w:t>
            </w:r>
          </w:p>
        </w:tc>
        <w:tc>
          <w:tcPr>
            <w:tcW w:w="425" w:type="dxa"/>
            <w:tcBorders>
              <w:top w:val="nil"/>
              <w:left w:val="nil"/>
              <w:bottom w:val="single" w:sz="4" w:space="0" w:color="auto"/>
              <w:right w:val="single" w:sz="4" w:space="0" w:color="auto"/>
            </w:tcBorders>
            <w:shd w:val="clear" w:color="auto" w:fill="auto"/>
            <w:noWrap/>
            <w:vAlign w:val="bottom"/>
            <w:hideMark/>
          </w:tcPr>
          <w:p w14:paraId="61E784D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9E090B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071C771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A10EF6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26BCA0D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61</w:t>
            </w:r>
            <w:r>
              <w:rPr>
                <w:i/>
                <w:color w:val="000000"/>
                <w:sz w:val="12"/>
                <w:szCs w:val="16"/>
                <w:lang w:val="es-CO" w:eastAsia="es-CO"/>
              </w:rPr>
              <w:t>.</w:t>
            </w:r>
            <w:r w:rsidRPr="00F2046C">
              <w:rPr>
                <w:i/>
                <w:color w:val="000000"/>
                <w:sz w:val="12"/>
                <w:szCs w:val="16"/>
                <w:lang w:val="es-CO" w:eastAsia="es-CO"/>
              </w:rPr>
              <w:t>499</w:t>
            </w:r>
            <w:r>
              <w:rPr>
                <w:i/>
                <w:color w:val="000000"/>
                <w:sz w:val="12"/>
                <w:szCs w:val="16"/>
                <w:lang w:val="es-CO" w:eastAsia="es-CO"/>
              </w:rPr>
              <w:t>.</w:t>
            </w:r>
            <w:r w:rsidRPr="00F2046C">
              <w:rPr>
                <w:i/>
                <w:color w:val="000000"/>
                <w:sz w:val="12"/>
                <w:szCs w:val="16"/>
                <w:lang w:val="es-CO" w:eastAsia="es-CO"/>
              </w:rPr>
              <w:t>271</w:t>
            </w:r>
          </w:p>
        </w:tc>
      </w:tr>
      <w:tr w:rsidR="00BA56AD" w:rsidRPr="00F2046C" w14:paraId="1ABDE29E"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66734C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0605AF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0B8D55D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TPE1/2TA</w:t>
            </w:r>
          </w:p>
        </w:tc>
        <w:tc>
          <w:tcPr>
            <w:tcW w:w="992" w:type="dxa"/>
            <w:tcBorders>
              <w:top w:val="nil"/>
              <w:left w:val="nil"/>
              <w:bottom w:val="single" w:sz="4" w:space="0" w:color="auto"/>
              <w:right w:val="single" w:sz="4" w:space="0" w:color="auto"/>
            </w:tcBorders>
            <w:shd w:val="clear" w:color="auto" w:fill="auto"/>
            <w:noWrap/>
            <w:vAlign w:val="bottom"/>
            <w:hideMark/>
          </w:tcPr>
          <w:p w14:paraId="4823233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55</w:t>
            </w:r>
            <w:r>
              <w:rPr>
                <w:i/>
                <w:color w:val="000000"/>
                <w:sz w:val="12"/>
                <w:szCs w:val="16"/>
                <w:lang w:val="es-CO" w:eastAsia="es-CO"/>
              </w:rPr>
              <w:t>.</w:t>
            </w:r>
            <w:r w:rsidRPr="00F2046C">
              <w:rPr>
                <w:i/>
                <w:color w:val="000000"/>
                <w:sz w:val="12"/>
                <w:szCs w:val="16"/>
                <w:lang w:val="es-CO" w:eastAsia="es-CO"/>
              </w:rPr>
              <w:t>278</w:t>
            </w:r>
            <w:r>
              <w:rPr>
                <w:i/>
                <w:color w:val="000000"/>
                <w:sz w:val="12"/>
                <w:szCs w:val="16"/>
                <w:lang w:val="es-CO" w:eastAsia="es-CO"/>
              </w:rPr>
              <w:t>.</w:t>
            </w:r>
            <w:r w:rsidRPr="00F2046C">
              <w:rPr>
                <w:i/>
                <w:color w:val="000000"/>
                <w:sz w:val="12"/>
                <w:szCs w:val="16"/>
                <w:lang w:val="es-CO" w:eastAsia="es-CO"/>
              </w:rPr>
              <w:t>936</w:t>
            </w:r>
          </w:p>
        </w:tc>
        <w:tc>
          <w:tcPr>
            <w:tcW w:w="992" w:type="dxa"/>
            <w:tcBorders>
              <w:top w:val="nil"/>
              <w:left w:val="nil"/>
              <w:bottom w:val="single" w:sz="4" w:space="0" w:color="auto"/>
              <w:right w:val="single" w:sz="4" w:space="0" w:color="auto"/>
            </w:tcBorders>
            <w:shd w:val="clear" w:color="auto" w:fill="auto"/>
            <w:noWrap/>
            <w:vAlign w:val="bottom"/>
            <w:hideMark/>
          </w:tcPr>
          <w:p w14:paraId="070A3AA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2E79E3A1"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51E56B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24</w:t>
            </w:r>
          </w:p>
        </w:tc>
        <w:tc>
          <w:tcPr>
            <w:tcW w:w="425" w:type="dxa"/>
            <w:tcBorders>
              <w:top w:val="nil"/>
              <w:left w:val="nil"/>
              <w:bottom w:val="single" w:sz="4" w:space="0" w:color="auto"/>
              <w:right w:val="single" w:sz="4" w:space="0" w:color="auto"/>
            </w:tcBorders>
            <w:shd w:val="clear" w:color="auto" w:fill="auto"/>
            <w:noWrap/>
            <w:vAlign w:val="bottom"/>
            <w:hideMark/>
          </w:tcPr>
          <w:p w14:paraId="47F2031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A6DB4A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4DB7DA4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13CF84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B0DC7F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13</w:t>
            </w:r>
            <w:r>
              <w:rPr>
                <w:i/>
                <w:color w:val="000000"/>
                <w:sz w:val="12"/>
                <w:szCs w:val="16"/>
                <w:lang w:val="es-CO" w:eastAsia="es-CO"/>
              </w:rPr>
              <w:t>.</w:t>
            </w:r>
            <w:r w:rsidRPr="00F2046C">
              <w:rPr>
                <w:i/>
                <w:color w:val="000000"/>
                <w:sz w:val="12"/>
                <w:szCs w:val="16"/>
                <w:lang w:val="es-CO" w:eastAsia="es-CO"/>
              </w:rPr>
              <w:t>460</w:t>
            </w:r>
            <w:r>
              <w:rPr>
                <w:i/>
                <w:color w:val="000000"/>
                <w:sz w:val="12"/>
                <w:szCs w:val="16"/>
                <w:lang w:val="es-CO" w:eastAsia="es-CO"/>
              </w:rPr>
              <w:t>.</w:t>
            </w:r>
            <w:r w:rsidRPr="00F2046C">
              <w:rPr>
                <w:i/>
                <w:color w:val="000000"/>
                <w:sz w:val="12"/>
                <w:szCs w:val="16"/>
                <w:lang w:val="es-CO" w:eastAsia="es-CO"/>
              </w:rPr>
              <w:t>421</w:t>
            </w:r>
          </w:p>
        </w:tc>
      </w:tr>
      <w:tr w:rsidR="00BA56AD" w:rsidRPr="00F2046C" w14:paraId="43020B7B"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1AB999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F30400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6914FDE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TPE3/4TA</w:t>
            </w:r>
          </w:p>
        </w:tc>
        <w:tc>
          <w:tcPr>
            <w:tcW w:w="992" w:type="dxa"/>
            <w:tcBorders>
              <w:top w:val="nil"/>
              <w:left w:val="nil"/>
              <w:bottom w:val="single" w:sz="4" w:space="0" w:color="auto"/>
              <w:right w:val="single" w:sz="4" w:space="0" w:color="auto"/>
            </w:tcBorders>
            <w:shd w:val="clear" w:color="auto" w:fill="auto"/>
            <w:noWrap/>
            <w:vAlign w:val="bottom"/>
            <w:hideMark/>
          </w:tcPr>
          <w:p w14:paraId="655E2C1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56</w:t>
            </w:r>
            <w:r>
              <w:rPr>
                <w:i/>
                <w:color w:val="000000"/>
                <w:sz w:val="12"/>
                <w:szCs w:val="16"/>
                <w:lang w:val="es-CO" w:eastAsia="es-CO"/>
              </w:rPr>
              <w:t>.</w:t>
            </w:r>
            <w:r w:rsidRPr="00F2046C">
              <w:rPr>
                <w:i/>
                <w:color w:val="000000"/>
                <w:sz w:val="12"/>
                <w:szCs w:val="16"/>
                <w:lang w:val="es-CO" w:eastAsia="es-CO"/>
              </w:rPr>
              <w:t>167</w:t>
            </w:r>
            <w:r>
              <w:rPr>
                <w:i/>
                <w:color w:val="000000"/>
                <w:sz w:val="12"/>
                <w:szCs w:val="16"/>
                <w:lang w:val="es-CO" w:eastAsia="es-CO"/>
              </w:rPr>
              <w:t>.</w:t>
            </w:r>
            <w:r w:rsidRPr="00F2046C">
              <w:rPr>
                <w:i/>
                <w:color w:val="000000"/>
                <w:sz w:val="12"/>
                <w:szCs w:val="16"/>
                <w:lang w:val="es-CO" w:eastAsia="es-CO"/>
              </w:rPr>
              <w:t>552</w:t>
            </w:r>
          </w:p>
        </w:tc>
        <w:tc>
          <w:tcPr>
            <w:tcW w:w="992" w:type="dxa"/>
            <w:tcBorders>
              <w:top w:val="nil"/>
              <w:left w:val="nil"/>
              <w:bottom w:val="single" w:sz="4" w:space="0" w:color="auto"/>
              <w:right w:val="single" w:sz="4" w:space="0" w:color="auto"/>
            </w:tcBorders>
            <w:shd w:val="clear" w:color="auto" w:fill="auto"/>
            <w:noWrap/>
            <w:vAlign w:val="bottom"/>
            <w:hideMark/>
          </w:tcPr>
          <w:p w14:paraId="68CF252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6DD15A74"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bottom"/>
            <w:hideMark/>
          </w:tcPr>
          <w:p w14:paraId="1387F5B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41</w:t>
            </w:r>
          </w:p>
        </w:tc>
        <w:tc>
          <w:tcPr>
            <w:tcW w:w="425" w:type="dxa"/>
            <w:tcBorders>
              <w:top w:val="nil"/>
              <w:left w:val="nil"/>
              <w:bottom w:val="single" w:sz="4" w:space="0" w:color="auto"/>
              <w:right w:val="single" w:sz="4" w:space="0" w:color="auto"/>
            </w:tcBorders>
            <w:shd w:val="clear" w:color="auto" w:fill="auto"/>
            <w:noWrap/>
            <w:vAlign w:val="bottom"/>
            <w:hideMark/>
          </w:tcPr>
          <w:p w14:paraId="61E99AA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9E0106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03E3122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93CDD0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EF8347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23</w:t>
            </w:r>
            <w:r>
              <w:rPr>
                <w:i/>
                <w:color w:val="000000"/>
                <w:sz w:val="12"/>
                <w:szCs w:val="16"/>
                <w:lang w:val="es-CO" w:eastAsia="es-CO"/>
              </w:rPr>
              <w:t>.</w:t>
            </w:r>
            <w:r w:rsidRPr="00F2046C">
              <w:rPr>
                <w:i/>
                <w:color w:val="000000"/>
                <w:sz w:val="12"/>
                <w:szCs w:val="16"/>
                <w:lang w:val="es-CO" w:eastAsia="es-CO"/>
              </w:rPr>
              <w:t>090</w:t>
            </w:r>
            <w:r>
              <w:rPr>
                <w:i/>
                <w:color w:val="000000"/>
                <w:sz w:val="12"/>
                <w:szCs w:val="16"/>
                <w:lang w:val="es-CO" w:eastAsia="es-CO"/>
              </w:rPr>
              <w:t>.</w:t>
            </w:r>
            <w:r w:rsidRPr="00F2046C">
              <w:rPr>
                <w:i/>
                <w:color w:val="000000"/>
                <w:sz w:val="12"/>
                <w:szCs w:val="16"/>
                <w:lang w:val="es-CO" w:eastAsia="es-CO"/>
              </w:rPr>
              <w:t>481</w:t>
            </w:r>
          </w:p>
        </w:tc>
      </w:tr>
      <w:tr w:rsidR="00BA56AD" w:rsidRPr="00F2046C" w14:paraId="50314D9E"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07F3B8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C1BC60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0089749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TPE2TA</w:t>
            </w:r>
          </w:p>
        </w:tc>
        <w:tc>
          <w:tcPr>
            <w:tcW w:w="992" w:type="dxa"/>
            <w:tcBorders>
              <w:top w:val="nil"/>
              <w:left w:val="nil"/>
              <w:bottom w:val="single" w:sz="4" w:space="0" w:color="auto"/>
              <w:right w:val="single" w:sz="4" w:space="0" w:color="auto"/>
            </w:tcBorders>
            <w:shd w:val="clear" w:color="auto" w:fill="auto"/>
            <w:noWrap/>
            <w:vAlign w:val="bottom"/>
            <w:hideMark/>
          </w:tcPr>
          <w:p w14:paraId="344A30D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70</w:t>
            </w:r>
            <w:r>
              <w:rPr>
                <w:i/>
                <w:color w:val="000000"/>
                <w:sz w:val="12"/>
                <w:szCs w:val="16"/>
                <w:lang w:val="es-CO" w:eastAsia="es-CO"/>
              </w:rPr>
              <w:t>.</w:t>
            </w:r>
            <w:r w:rsidRPr="00F2046C">
              <w:rPr>
                <w:i/>
                <w:color w:val="000000"/>
                <w:sz w:val="12"/>
                <w:szCs w:val="16"/>
                <w:lang w:val="es-CO" w:eastAsia="es-CO"/>
              </w:rPr>
              <w:t>281</w:t>
            </w:r>
            <w:r>
              <w:rPr>
                <w:i/>
                <w:color w:val="000000"/>
                <w:sz w:val="12"/>
                <w:szCs w:val="16"/>
                <w:lang w:val="es-CO" w:eastAsia="es-CO"/>
              </w:rPr>
              <w:t>.</w:t>
            </w:r>
            <w:r w:rsidRPr="00F2046C">
              <w:rPr>
                <w:i/>
                <w:color w:val="000000"/>
                <w:sz w:val="12"/>
                <w:szCs w:val="16"/>
                <w:lang w:val="es-CO" w:eastAsia="es-CO"/>
              </w:rPr>
              <w:t>222</w:t>
            </w:r>
          </w:p>
        </w:tc>
        <w:tc>
          <w:tcPr>
            <w:tcW w:w="992" w:type="dxa"/>
            <w:tcBorders>
              <w:top w:val="nil"/>
              <w:left w:val="nil"/>
              <w:bottom w:val="single" w:sz="4" w:space="0" w:color="auto"/>
              <w:right w:val="single" w:sz="4" w:space="0" w:color="auto"/>
            </w:tcBorders>
            <w:shd w:val="clear" w:color="auto" w:fill="auto"/>
            <w:noWrap/>
            <w:vAlign w:val="bottom"/>
            <w:hideMark/>
          </w:tcPr>
          <w:p w14:paraId="1D40E1E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D28386B"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957F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24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80A74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9D1A4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06732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7BA88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4CFE3B2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16</w:t>
            </w:r>
            <w:r>
              <w:rPr>
                <w:i/>
                <w:color w:val="000000"/>
                <w:sz w:val="12"/>
                <w:szCs w:val="16"/>
                <w:lang w:val="es-CO" w:eastAsia="es-CO"/>
              </w:rPr>
              <w:t>.</w:t>
            </w:r>
            <w:r w:rsidRPr="00F2046C">
              <w:rPr>
                <w:i/>
                <w:color w:val="000000"/>
                <w:sz w:val="12"/>
                <w:szCs w:val="16"/>
                <w:lang w:val="es-CO" w:eastAsia="es-CO"/>
              </w:rPr>
              <w:t>551</w:t>
            </w:r>
            <w:r>
              <w:rPr>
                <w:i/>
                <w:color w:val="000000"/>
                <w:sz w:val="12"/>
                <w:szCs w:val="16"/>
                <w:lang w:val="es-CO" w:eastAsia="es-CO"/>
              </w:rPr>
              <w:t>.</w:t>
            </w:r>
            <w:r w:rsidRPr="00F2046C">
              <w:rPr>
                <w:i/>
                <w:color w:val="000000"/>
                <w:sz w:val="12"/>
                <w:szCs w:val="16"/>
                <w:lang w:val="es-CO" w:eastAsia="es-CO"/>
              </w:rPr>
              <w:t>228</w:t>
            </w:r>
          </w:p>
        </w:tc>
      </w:tr>
      <w:tr w:rsidR="00BA56AD" w:rsidRPr="00F2046C" w14:paraId="029B34A1"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E7B948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5FE72C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7D865E2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TPE1/2ZV</w:t>
            </w:r>
          </w:p>
        </w:tc>
        <w:tc>
          <w:tcPr>
            <w:tcW w:w="992" w:type="dxa"/>
            <w:tcBorders>
              <w:top w:val="nil"/>
              <w:left w:val="nil"/>
              <w:bottom w:val="single" w:sz="4" w:space="0" w:color="auto"/>
              <w:right w:val="single" w:sz="4" w:space="0" w:color="auto"/>
            </w:tcBorders>
            <w:shd w:val="clear" w:color="auto" w:fill="auto"/>
            <w:noWrap/>
            <w:vAlign w:val="bottom"/>
            <w:hideMark/>
          </w:tcPr>
          <w:p w14:paraId="26D64BB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18</w:t>
            </w:r>
            <w:r>
              <w:rPr>
                <w:i/>
                <w:color w:val="000000"/>
                <w:sz w:val="12"/>
                <w:szCs w:val="16"/>
                <w:lang w:val="es-CO" w:eastAsia="es-CO"/>
              </w:rPr>
              <w:t>.</w:t>
            </w:r>
            <w:r w:rsidRPr="00F2046C">
              <w:rPr>
                <w:i/>
                <w:color w:val="000000"/>
                <w:sz w:val="12"/>
                <w:szCs w:val="16"/>
                <w:lang w:val="es-CO" w:eastAsia="es-CO"/>
              </w:rPr>
              <w:t>486</w:t>
            </w:r>
            <w:r>
              <w:rPr>
                <w:i/>
                <w:color w:val="000000"/>
                <w:sz w:val="12"/>
                <w:szCs w:val="16"/>
                <w:lang w:val="es-CO" w:eastAsia="es-CO"/>
              </w:rPr>
              <w:t>.</w:t>
            </w:r>
            <w:r w:rsidRPr="00F2046C">
              <w:rPr>
                <w:i/>
                <w:color w:val="000000"/>
                <w:sz w:val="12"/>
                <w:szCs w:val="16"/>
                <w:lang w:val="es-CO" w:eastAsia="es-CO"/>
              </w:rPr>
              <w:t>372</w:t>
            </w:r>
          </w:p>
        </w:tc>
        <w:tc>
          <w:tcPr>
            <w:tcW w:w="992" w:type="dxa"/>
            <w:tcBorders>
              <w:top w:val="nil"/>
              <w:left w:val="nil"/>
              <w:bottom w:val="single" w:sz="4" w:space="0" w:color="auto"/>
              <w:right w:val="single" w:sz="4" w:space="0" w:color="auto"/>
            </w:tcBorders>
            <w:shd w:val="clear" w:color="auto" w:fill="auto"/>
            <w:noWrap/>
            <w:vAlign w:val="bottom"/>
            <w:hideMark/>
          </w:tcPr>
          <w:p w14:paraId="0624889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42982CFE"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302F1F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66</w:t>
            </w:r>
          </w:p>
        </w:tc>
        <w:tc>
          <w:tcPr>
            <w:tcW w:w="425" w:type="dxa"/>
            <w:tcBorders>
              <w:top w:val="nil"/>
              <w:left w:val="nil"/>
              <w:bottom w:val="single" w:sz="4" w:space="0" w:color="auto"/>
              <w:right w:val="single" w:sz="4" w:space="0" w:color="auto"/>
            </w:tcBorders>
            <w:shd w:val="clear" w:color="auto" w:fill="auto"/>
            <w:noWrap/>
            <w:vAlign w:val="bottom"/>
            <w:hideMark/>
          </w:tcPr>
          <w:p w14:paraId="0308E3C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716FD5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1802E23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1ACDAA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F4DB16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30</w:t>
            </w:r>
            <w:r>
              <w:rPr>
                <w:i/>
                <w:color w:val="000000"/>
                <w:sz w:val="12"/>
                <w:szCs w:val="16"/>
                <w:lang w:val="es-CO" w:eastAsia="es-CO"/>
              </w:rPr>
              <w:t>.</w:t>
            </w:r>
            <w:r w:rsidRPr="00F2046C">
              <w:rPr>
                <w:i/>
                <w:color w:val="000000"/>
                <w:sz w:val="12"/>
                <w:szCs w:val="16"/>
                <w:lang w:val="es-CO" w:eastAsia="es-CO"/>
              </w:rPr>
              <w:t>776</w:t>
            </w:r>
            <w:r>
              <w:rPr>
                <w:i/>
                <w:color w:val="000000"/>
                <w:sz w:val="12"/>
                <w:szCs w:val="16"/>
                <w:lang w:val="es-CO" w:eastAsia="es-CO"/>
              </w:rPr>
              <w:t>.</w:t>
            </w:r>
            <w:r w:rsidRPr="00F2046C">
              <w:rPr>
                <w:i/>
                <w:color w:val="000000"/>
                <w:sz w:val="12"/>
                <w:szCs w:val="16"/>
                <w:lang w:val="es-CO" w:eastAsia="es-CO"/>
              </w:rPr>
              <w:t>113</w:t>
            </w:r>
          </w:p>
        </w:tc>
      </w:tr>
      <w:tr w:rsidR="00BA56AD" w:rsidRPr="00F2046C" w14:paraId="7AFDB13D"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73EBC2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CC5492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179499B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TPE3/4ZV</w:t>
            </w:r>
          </w:p>
        </w:tc>
        <w:tc>
          <w:tcPr>
            <w:tcW w:w="992" w:type="dxa"/>
            <w:tcBorders>
              <w:top w:val="nil"/>
              <w:left w:val="nil"/>
              <w:bottom w:val="single" w:sz="4" w:space="0" w:color="auto"/>
              <w:right w:val="single" w:sz="4" w:space="0" w:color="auto"/>
            </w:tcBorders>
            <w:shd w:val="clear" w:color="auto" w:fill="auto"/>
            <w:noWrap/>
            <w:vAlign w:val="bottom"/>
            <w:hideMark/>
          </w:tcPr>
          <w:p w14:paraId="3AD8CF1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19</w:t>
            </w:r>
            <w:r>
              <w:rPr>
                <w:i/>
                <w:color w:val="000000"/>
                <w:sz w:val="12"/>
                <w:szCs w:val="16"/>
                <w:lang w:val="es-CO" w:eastAsia="es-CO"/>
              </w:rPr>
              <w:t>.</w:t>
            </w:r>
            <w:r w:rsidRPr="00F2046C">
              <w:rPr>
                <w:i/>
                <w:color w:val="000000"/>
                <w:sz w:val="12"/>
                <w:szCs w:val="16"/>
                <w:lang w:val="es-CO" w:eastAsia="es-CO"/>
              </w:rPr>
              <w:t>417</w:t>
            </w:r>
            <w:r>
              <w:rPr>
                <w:i/>
                <w:color w:val="000000"/>
                <w:sz w:val="12"/>
                <w:szCs w:val="16"/>
                <w:lang w:val="es-CO" w:eastAsia="es-CO"/>
              </w:rPr>
              <w:t>.</w:t>
            </w:r>
            <w:r w:rsidRPr="00F2046C">
              <w:rPr>
                <w:i/>
                <w:color w:val="000000"/>
                <w:sz w:val="12"/>
                <w:szCs w:val="16"/>
                <w:lang w:val="es-CO" w:eastAsia="es-CO"/>
              </w:rPr>
              <w:t>002</w:t>
            </w:r>
          </w:p>
        </w:tc>
        <w:tc>
          <w:tcPr>
            <w:tcW w:w="992" w:type="dxa"/>
            <w:tcBorders>
              <w:top w:val="nil"/>
              <w:left w:val="nil"/>
              <w:bottom w:val="single" w:sz="4" w:space="0" w:color="auto"/>
              <w:right w:val="single" w:sz="4" w:space="0" w:color="auto"/>
            </w:tcBorders>
            <w:shd w:val="clear" w:color="auto" w:fill="auto"/>
            <w:noWrap/>
            <w:vAlign w:val="bottom"/>
            <w:hideMark/>
          </w:tcPr>
          <w:p w14:paraId="2A8CF97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7D4A79AE"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D2AFE4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28</w:t>
            </w:r>
          </w:p>
        </w:tc>
        <w:tc>
          <w:tcPr>
            <w:tcW w:w="425" w:type="dxa"/>
            <w:tcBorders>
              <w:top w:val="nil"/>
              <w:left w:val="nil"/>
              <w:bottom w:val="single" w:sz="4" w:space="0" w:color="auto"/>
              <w:right w:val="single" w:sz="4" w:space="0" w:color="auto"/>
            </w:tcBorders>
            <w:shd w:val="clear" w:color="auto" w:fill="auto"/>
            <w:noWrap/>
            <w:vAlign w:val="bottom"/>
            <w:hideMark/>
          </w:tcPr>
          <w:p w14:paraId="656A8DA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3C892D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00B6EA4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447406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C7F4EC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44</w:t>
            </w:r>
            <w:r>
              <w:rPr>
                <w:i/>
                <w:color w:val="000000"/>
                <w:sz w:val="12"/>
                <w:szCs w:val="16"/>
                <w:lang w:val="es-CO" w:eastAsia="es-CO"/>
              </w:rPr>
              <w:t>.</w:t>
            </w:r>
            <w:r w:rsidRPr="00F2046C">
              <w:rPr>
                <w:i/>
                <w:color w:val="000000"/>
                <w:sz w:val="12"/>
                <w:szCs w:val="16"/>
                <w:lang w:val="es-CO" w:eastAsia="es-CO"/>
              </w:rPr>
              <w:t>332</w:t>
            </w:r>
            <w:r>
              <w:rPr>
                <w:i/>
                <w:color w:val="000000"/>
                <w:sz w:val="12"/>
                <w:szCs w:val="16"/>
                <w:lang w:val="es-CO" w:eastAsia="es-CO"/>
              </w:rPr>
              <w:t>.</w:t>
            </w:r>
            <w:r w:rsidRPr="00F2046C">
              <w:rPr>
                <w:i/>
                <w:color w:val="000000"/>
                <w:sz w:val="12"/>
                <w:szCs w:val="16"/>
                <w:lang w:val="es-CO" w:eastAsia="es-CO"/>
              </w:rPr>
              <w:t>898</w:t>
            </w:r>
          </w:p>
        </w:tc>
      </w:tr>
      <w:tr w:rsidR="00BA56AD" w:rsidRPr="00F2046C" w14:paraId="355926CA"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18571A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7664E0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1ACBBF6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TPE2ZV</w:t>
            </w:r>
          </w:p>
        </w:tc>
        <w:tc>
          <w:tcPr>
            <w:tcW w:w="992" w:type="dxa"/>
            <w:tcBorders>
              <w:top w:val="nil"/>
              <w:left w:val="nil"/>
              <w:bottom w:val="single" w:sz="4" w:space="0" w:color="auto"/>
              <w:right w:val="single" w:sz="4" w:space="0" w:color="auto"/>
            </w:tcBorders>
            <w:shd w:val="clear" w:color="auto" w:fill="auto"/>
            <w:noWrap/>
            <w:vAlign w:val="bottom"/>
            <w:hideMark/>
          </w:tcPr>
          <w:p w14:paraId="157AA4F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33</w:t>
            </w:r>
            <w:r>
              <w:rPr>
                <w:i/>
                <w:color w:val="000000"/>
                <w:sz w:val="12"/>
                <w:szCs w:val="16"/>
                <w:lang w:val="es-CO" w:eastAsia="es-CO"/>
              </w:rPr>
              <w:t>.</w:t>
            </w:r>
            <w:r w:rsidRPr="00F2046C">
              <w:rPr>
                <w:i/>
                <w:color w:val="000000"/>
                <w:sz w:val="12"/>
                <w:szCs w:val="16"/>
                <w:lang w:val="es-CO" w:eastAsia="es-CO"/>
              </w:rPr>
              <w:t>719</w:t>
            </w:r>
            <w:r>
              <w:rPr>
                <w:i/>
                <w:color w:val="000000"/>
                <w:sz w:val="12"/>
                <w:szCs w:val="16"/>
                <w:lang w:val="es-CO" w:eastAsia="es-CO"/>
              </w:rPr>
              <w:t>.</w:t>
            </w:r>
            <w:r w:rsidRPr="00F2046C">
              <w:rPr>
                <w:i/>
                <w:color w:val="000000"/>
                <w:sz w:val="12"/>
                <w:szCs w:val="16"/>
                <w:lang w:val="es-CO" w:eastAsia="es-CO"/>
              </w:rPr>
              <w:t>985</w:t>
            </w:r>
          </w:p>
        </w:tc>
        <w:tc>
          <w:tcPr>
            <w:tcW w:w="992" w:type="dxa"/>
            <w:tcBorders>
              <w:top w:val="nil"/>
              <w:left w:val="nil"/>
              <w:bottom w:val="single" w:sz="4" w:space="0" w:color="auto"/>
              <w:right w:val="single" w:sz="4" w:space="0" w:color="auto"/>
            </w:tcBorders>
            <w:shd w:val="clear" w:color="auto" w:fill="auto"/>
            <w:noWrap/>
            <w:vAlign w:val="bottom"/>
            <w:hideMark/>
          </w:tcPr>
          <w:p w14:paraId="1D185E3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4AE2674D"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AA1C53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73</w:t>
            </w:r>
          </w:p>
        </w:tc>
        <w:tc>
          <w:tcPr>
            <w:tcW w:w="425" w:type="dxa"/>
            <w:tcBorders>
              <w:top w:val="nil"/>
              <w:left w:val="nil"/>
              <w:bottom w:val="single" w:sz="4" w:space="0" w:color="auto"/>
              <w:right w:val="single" w:sz="4" w:space="0" w:color="auto"/>
            </w:tcBorders>
            <w:shd w:val="clear" w:color="auto" w:fill="auto"/>
            <w:noWrap/>
            <w:vAlign w:val="bottom"/>
            <w:hideMark/>
          </w:tcPr>
          <w:p w14:paraId="5B17E3C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E8A8C2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6430ABB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A38274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747B78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24</w:t>
            </w:r>
            <w:r>
              <w:rPr>
                <w:i/>
                <w:color w:val="000000"/>
                <w:sz w:val="12"/>
                <w:szCs w:val="16"/>
                <w:lang w:val="es-CO" w:eastAsia="es-CO"/>
              </w:rPr>
              <w:t>.</w:t>
            </w:r>
            <w:r w:rsidRPr="00F2046C">
              <w:rPr>
                <w:i/>
                <w:color w:val="000000"/>
                <w:sz w:val="12"/>
                <w:szCs w:val="16"/>
                <w:lang w:val="es-CO" w:eastAsia="es-CO"/>
              </w:rPr>
              <w:t>460</w:t>
            </w:r>
            <w:r>
              <w:rPr>
                <w:i/>
                <w:color w:val="000000"/>
                <w:sz w:val="12"/>
                <w:szCs w:val="16"/>
                <w:lang w:val="es-CO" w:eastAsia="es-CO"/>
              </w:rPr>
              <w:t>.</w:t>
            </w:r>
            <w:r w:rsidRPr="00F2046C">
              <w:rPr>
                <w:i/>
                <w:color w:val="000000"/>
                <w:sz w:val="12"/>
                <w:szCs w:val="16"/>
                <w:lang w:val="es-CO" w:eastAsia="es-CO"/>
              </w:rPr>
              <w:t>477</w:t>
            </w:r>
          </w:p>
        </w:tc>
      </w:tr>
      <w:tr w:rsidR="00BA56AD" w:rsidRPr="00F2046C" w14:paraId="0C2ABC5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831DE5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C2A6F1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Estación GNC 200 m3/hora</w:t>
            </w:r>
          </w:p>
        </w:tc>
        <w:tc>
          <w:tcPr>
            <w:tcW w:w="851" w:type="dxa"/>
            <w:tcBorders>
              <w:top w:val="nil"/>
              <w:left w:val="nil"/>
              <w:bottom w:val="single" w:sz="4" w:space="0" w:color="auto"/>
              <w:right w:val="single" w:sz="4" w:space="0" w:color="auto"/>
            </w:tcBorders>
            <w:shd w:val="clear" w:color="auto" w:fill="auto"/>
            <w:noWrap/>
            <w:vAlign w:val="bottom"/>
            <w:hideMark/>
          </w:tcPr>
          <w:p w14:paraId="32F5936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RM200</w:t>
            </w:r>
          </w:p>
        </w:tc>
        <w:tc>
          <w:tcPr>
            <w:tcW w:w="992" w:type="dxa"/>
            <w:tcBorders>
              <w:top w:val="nil"/>
              <w:left w:val="nil"/>
              <w:bottom w:val="single" w:sz="4" w:space="0" w:color="auto"/>
              <w:right w:val="single" w:sz="4" w:space="0" w:color="auto"/>
            </w:tcBorders>
            <w:shd w:val="clear" w:color="auto" w:fill="auto"/>
            <w:noWrap/>
            <w:vAlign w:val="bottom"/>
            <w:hideMark/>
          </w:tcPr>
          <w:p w14:paraId="12240D8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372</w:t>
            </w:r>
            <w:r>
              <w:rPr>
                <w:i/>
                <w:color w:val="000000"/>
                <w:sz w:val="12"/>
                <w:szCs w:val="16"/>
                <w:lang w:val="es-CO" w:eastAsia="es-CO"/>
              </w:rPr>
              <w:t>.</w:t>
            </w:r>
            <w:r w:rsidRPr="00F2046C">
              <w:rPr>
                <w:i/>
                <w:color w:val="000000"/>
                <w:sz w:val="12"/>
                <w:szCs w:val="16"/>
                <w:lang w:val="es-CO" w:eastAsia="es-CO"/>
              </w:rPr>
              <w:t>885</w:t>
            </w:r>
            <w:r>
              <w:rPr>
                <w:i/>
                <w:color w:val="000000"/>
                <w:sz w:val="12"/>
                <w:szCs w:val="16"/>
                <w:lang w:val="es-CO" w:eastAsia="es-CO"/>
              </w:rPr>
              <w:t>.</w:t>
            </w:r>
            <w:r w:rsidRPr="00F2046C">
              <w:rPr>
                <w:i/>
                <w:color w:val="000000"/>
                <w:sz w:val="12"/>
                <w:szCs w:val="16"/>
                <w:lang w:val="es-CO" w:eastAsia="es-CO"/>
              </w:rPr>
              <w:t>901</w:t>
            </w:r>
          </w:p>
        </w:tc>
        <w:tc>
          <w:tcPr>
            <w:tcW w:w="992" w:type="dxa"/>
            <w:tcBorders>
              <w:top w:val="nil"/>
              <w:left w:val="nil"/>
              <w:bottom w:val="single" w:sz="4" w:space="0" w:color="auto"/>
              <w:right w:val="single" w:sz="4" w:space="0" w:color="auto"/>
            </w:tcBorders>
            <w:shd w:val="clear" w:color="auto" w:fill="auto"/>
            <w:noWrap/>
            <w:vAlign w:val="bottom"/>
            <w:hideMark/>
          </w:tcPr>
          <w:p w14:paraId="0C273E8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Especiales</w:t>
            </w:r>
          </w:p>
        </w:tc>
        <w:tc>
          <w:tcPr>
            <w:tcW w:w="851" w:type="dxa"/>
            <w:tcBorders>
              <w:top w:val="nil"/>
              <w:left w:val="nil"/>
              <w:bottom w:val="single" w:sz="4" w:space="0" w:color="auto"/>
              <w:right w:val="single" w:sz="4" w:space="0" w:color="auto"/>
            </w:tcBorders>
            <w:shd w:val="clear" w:color="auto" w:fill="auto"/>
            <w:noWrap/>
            <w:vAlign w:val="bottom"/>
            <w:hideMark/>
          </w:tcPr>
          <w:p w14:paraId="5897402C"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D85C47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FCF7D1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5FFF15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26D98F3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357DBD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C999D0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372</w:t>
            </w:r>
            <w:r>
              <w:rPr>
                <w:i/>
                <w:color w:val="000000"/>
                <w:sz w:val="12"/>
                <w:szCs w:val="16"/>
                <w:lang w:val="es-CO" w:eastAsia="es-CO"/>
              </w:rPr>
              <w:t>.</w:t>
            </w:r>
            <w:r w:rsidRPr="00F2046C">
              <w:rPr>
                <w:i/>
                <w:color w:val="000000"/>
                <w:sz w:val="12"/>
                <w:szCs w:val="16"/>
                <w:lang w:val="es-CO" w:eastAsia="es-CO"/>
              </w:rPr>
              <w:t>885</w:t>
            </w:r>
            <w:r>
              <w:rPr>
                <w:i/>
                <w:color w:val="000000"/>
                <w:sz w:val="12"/>
                <w:szCs w:val="16"/>
                <w:lang w:val="es-CO" w:eastAsia="es-CO"/>
              </w:rPr>
              <w:t>.</w:t>
            </w:r>
            <w:r w:rsidRPr="00F2046C">
              <w:rPr>
                <w:i/>
                <w:color w:val="000000"/>
                <w:sz w:val="12"/>
                <w:szCs w:val="16"/>
                <w:lang w:val="es-CO" w:eastAsia="es-CO"/>
              </w:rPr>
              <w:t>901</w:t>
            </w:r>
          </w:p>
        </w:tc>
      </w:tr>
      <w:tr w:rsidR="00BA56AD" w:rsidRPr="00F2046C" w14:paraId="285BEAA9"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E87129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Albania-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EE025C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Paso Especial 6 Metros</w:t>
            </w:r>
          </w:p>
        </w:tc>
        <w:tc>
          <w:tcPr>
            <w:tcW w:w="851" w:type="dxa"/>
            <w:tcBorders>
              <w:top w:val="nil"/>
              <w:left w:val="nil"/>
              <w:bottom w:val="single" w:sz="4" w:space="0" w:color="auto"/>
              <w:right w:val="single" w:sz="4" w:space="0" w:color="auto"/>
            </w:tcBorders>
            <w:shd w:val="clear" w:color="auto" w:fill="auto"/>
            <w:noWrap/>
            <w:vAlign w:val="bottom"/>
            <w:hideMark/>
          </w:tcPr>
          <w:p w14:paraId="7816531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TMP-1</w:t>
            </w:r>
          </w:p>
        </w:tc>
        <w:tc>
          <w:tcPr>
            <w:tcW w:w="992" w:type="dxa"/>
            <w:tcBorders>
              <w:top w:val="nil"/>
              <w:left w:val="nil"/>
              <w:bottom w:val="single" w:sz="4" w:space="0" w:color="auto"/>
              <w:right w:val="single" w:sz="4" w:space="0" w:color="auto"/>
            </w:tcBorders>
            <w:shd w:val="clear" w:color="auto" w:fill="auto"/>
            <w:noWrap/>
            <w:vAlign w:val="bottom"/>
            <w:hideMark/>
          </w:tcPr>
          <w:p w14:paraId="0B7E15F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974</w:t>
            </w:r>
            <w:r>
              <w:rPr>
                <w:i/>
                <w:color w:val="000000"/>
                <w:sz w:val="12"/>
                <w:szCs w:val="16"/>
                <w:lang w:val="es-CO" w:eastAsia="es-CO"/>
              </w:rPr>
              <w:t>.</w:t>
            </w:r>
            <w:r w:rsidRPr="00F2046C">
              <w:rPr>
                <w:i/>
                <w:color w:val="000000"/>
                <w:sz w:val="12"/>
                <w:szCs w:val="16"/>
                <w:lang w:val="es-CO" w:eastAsia="es-CO"/>
              </w:rPr>
              <w:t>125</w:t>
            </w:r>
          </w:p>
        </w:tc>
        <w:tc>
          <w:tcPr>
            <w:tcW w:w="992" w:type="dxa"/>
            <w:tcBorders>
              <w:top w:val="nil"/>
              <w:left w:val="nil"/>
              <w:bottom w:val="single" w:sz="4" w:space="0" w:color="auto"/>
              <w:right w:val="single" w:sz="4" w:space="0" w:color="auto"/>
            </w:tcBorders>
            <w:shd w:val="clear" w:color="auto" w:fill="auto"/>
            <w:noWrap/>
            <w:vAlign w:val="bottom"/>
            <w:hideMark/>
          </w:tcPr>
          <w:p w14:paraId="7F1E37C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Especiales</w:t>
            </w:r>
          </w:p>
        </w:tc>
        <w:tc>
          <w:tcPr>
            <w:tcW w:w="851" w:type="dxa"/>
            <w:tcBorders>
              <w:top w:val="nil"/>
              <w:left w:val="nil"/>
              <w:bottom w:val="single" w:sz="4" w:space="0" w:color="auto"/>
              <w:right w:val="single" w:sz="4" w:space="0" w:color="auto"/>
            </w:tcBorders>
            <w:shd w:val="clear" w:color="auto" w:fill="auto"/>
            <w:noWrap/>
            <w:vAlign w:val="bottom"/>
            <w:hideMark/>
          </w:tcPr>
          <w:p w14:paraId="454F3904"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B4B396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FE4F96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E41DDD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6FE80B4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406310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C94ED2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w:t>
            </w:r>
            <w:r>
              <w:rPr>
                <w:i/>
                <w:color w:val="000000"/>
                <w:sz w:val="12"/>
                <w:szCs w:val="16"/>
                <w:lang w:val="es-CO" w:eastAsia="es-CO"/>
              </w:rPr>
              <w:t>.</w:t>
            </w:r>
            <w:r w:rsidRPr="00F2046C">
              <w:rPr>
                <w:i/>
                <w:color w:val="000000"/>
                <w:sz w:val="12"/>
                <w:szCs w:val="16"/>
                <w:lang w:val="es-CO" w:eastAsia="es-CO"/>
              </w:rPr>
              <w:t>948</w:t>
            </w:r>
            <w:r>
              <w:rPr>
                <w:i/>
                <w:color w:val="000000"/>
                <w:sz w:val="12"/>
                <w:szCs w:val="16"/>
                <w:lang w:val="es-CO" w:eastAsia="es-CO"/>
              </w:rPr>
              <w:t>.</w:t>
            </w:r>
            <w:r w:rsidRPr="00F2046C">
              <w:rPr>
                <w:i/>
                <w:color w:val="000000"/>
                <w:sz w:val="12"/>
                <w:szCs w:val="16"/>
                <w:lang w:val="es-CO" w:eastAsia="es-CO"/>
              </w:rPr>
              <w:t>250</w:t>
            </w:r>
          </w:p>
        </w:tc>
      </w:tr>
      <w:tr w:rsidR="00BA56AD" w:rsidRPr="00F2046C" w14:paraId="05A76F45"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9460D10"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F701D7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4B2650D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TPE1/2AS</w:t>
            </w:r>
          </w:p>
        </w:tc>
        <w:tc>
          <w:tcPr>
            <w:tcW w:w="992" w:type="dxa"/>
            <w:tcBorders>
              <w:top w:val="nil"/>
              <w:left w:val="nil"/>
              <w:bottom w:val="single" w:sz="4" w:space="0" w:color="auto"/>
              <w:right w:val="single" w:sz="4" w:space="0" w:color="auto"/>
            </w:tcBorders>
            <w:shd w:val="clear" w:color="auto" w:fill="auto"/>
            <w:noWrap/>
            <w:vAlign w:val="bottom"/>
            <w:hideMark/>
          </w:tcPr>
          <w:p w14:paraId="17F82B5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75</w:t>
            </w:r>
            <w:r>
              <w:rPr>
                <w:i/>
                <w:color w:val="000000"/>
                <w:sz w:val="12"/>
                <w:szCs w:val="16"/>
                <w:lang w:val="es-CO" w:eastAsia="es-CO"/>
              </w:rPr>
              <w:t>.</w:t>
            </w:r>
            <w:r w:rsidRPr="00F2046C">
              <w:rPr>
                <w:i/>
                <w:color w:val="000000"/>
                <w:sz w:val="12"/>
                <w:szCs w:val="16"/>
                <w:lang w:val="es-CO" w:eastAsia="es-CO"/>
              </w:rPr>
              <w:t>816</w:t>
            </w:r>
            <w:r>
              <w:rPr>
                <w:i/>
                <w:color w:val="000000"/>
                <w:sz w:val="12"/>
                <w:szCs w:val="16"/>
                <w:lang w:val="es-CO" w:eastAsia="es-CO"/>
              </w:rPr>
              <w:t>.</w:t>
            </w:r>
            <w:r w:rsidRPr="00F2046C">
              <w:rPr>
                <w:i/>
                <w:color w:val="000000"/>
                <w:sz w:val="12"/>
                <w:szCs w:val="16"/>
                <w:lang w:val="es-CO" w:eastAsia="es-CO"/>
              </w:rPr>
              <w:t>559</w:t>
            </w:r>
          </w:p>
        </w:tc>
        <w:tc>
          <w:tcPr>
            <w:tcW w:w="992" w:type="dxa"/>
            <w:tcBorders>
              <w:top w:val="nil"/>
              <w:left w:val="nil"/>
              <w:bottom w:val="single" w:sz="4" w:space="0" w:color="auto"/>
              <w:right w:val="single" w:sz="4" w:space="0" w:color="auto"/>
            </w:tcBorders>
            <w:shd w:val="clear" w:color="auto" w:fill="auto"/>
            <w:noWrap/>
            <w:vAlign w:val="bottom"/>
            <w:hideMark/>
          </w:tcPr>
          <w:p w14:paraId="26A2626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3EA69237"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7441EA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37</w:t>
            </w:r>
          </w:p>
        </w:tc>
        <w:tc>
          <w:tcPr>
            <w:tcW w:w="425" w:type="dxa"/>
            <w:tcBorders>
              <w:top w:val="nil"/>
              <w:left w:val="nil"/>
              <w:bottom w:val="single" w:sz="4" w:space="0" w:color="auto"/>
              <w:right w:val="single" w:sz="4" w:space="0" w:color="auto"/>
            </w:tcBorders>
            <w:shd w:val="clear" w:color="auto" w:fill="auto"/>
            <w:noWrap/>
            <w:vAlign w:val="bottom"/>
            <w:hideMark/>
          </w:tcPr>
          <w:p w14:paraId="2B598C6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56BC55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327ECC3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56C13A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E3A825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28</w:t>
            </w:r>
            <w:r>
              <w:rPr>
                <w:i/>
                <w:color w:val="000000"/>
                <w:sz w:val="12"/>
                <w:szCs w:val="16"/>
                <w:lang w:val="es-CO" w:eastAsia="es-CO"/>
              </w:rPr>
              <w:t>.</w:t>
            </w:r>
            <w:r w:rsidRPr="00F2046C">
              <w:rPr>
                <w:i/>
                <w:color w:val="000000"/>
                <w:sz w:val="12"/>
                <w:szCs w:val="16"/>
                <w:lang w:val="es-CO" w:eastAsia="es-CO"/>
              </w:rPr>
              <w:t>264</w:t>
            </w:r>
            <w:r>
              <w:rPr>
                <w:i/>
                <w:color w:val="000000"/>
                <w:sz w:val="12"/>
                <w:szCs w:val="16"/>
                <w:lang w:val="es-CO" w:eastAsia="es-CO"/>
              </w:rPr>
              <w:t>.</w:t>
            </w:r>
            <w:r w:rsidRPr="00F2046C">
              <w:rPr>
                <w:i/>
                <w:color w:val="000000"/>
                <w:sz w:val="12"/>
                <w:szCs w:val="16"/>
                <w:lang w:val="es-CO" w:eastAsia="es-CO"/>
              </w:rPr>
              <w:t>413</w:t>
            </w:r>
          </w:p>
        </w:tc>
      </w:tr>
      <w:tr w:rsidR="00BA56AD" w:rsidRPr="00F2046C" w14:paraId="0903BCBB"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36462DE"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D3185F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2FEDFC4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TPE3/4AS</w:t>
            </w:r>
          </w:p>
        </w:tc>
        <w:tc>
          <w:tcPr>
            <w:tcW w:w="992" w:type="dxa"/>
            <w:tcBorders>
              <w:top w:val="nil"/>
              <w:left w:val="nil"/>
              <w:bottom w:val="single" w:sz="4" w:space="0" w:color="auto"/>
              <w:right w:val="single" w:sz="4" w:space="0" w:color="auto"/>
            </w:tcBorders>
            <w:shd w:val="clear" w:color="auto" w:fill="auto"/>
            <w:noWrap/>
            <w:vAlign w:val="bottom"/>
            <w:hideMark/>
          </w:tcPr>
          <w:p w14:paraId="57F2E5B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76</w:t>
            </w:r>
            <w:r>
              <w:rPr>
                <w:i/>
                <w:color w:val="000000"/>
                <w:sz w:val="12"/>
                <w:szCs w:val="16"/>
                <w:lang w:val="es-CO" w:eastAsia="es-CO"/>
              </w:rPr>
              <w:t>.</w:t>
            </w:r>
            <w:r w:rsidRPr="00F2046C">
              <w:rPr>
                <w:i/>
                <w:color w:val="000000"/>
                <w:sz w:val="12"/>
                <w:szCs w:val="16"/>
                <w:lang w:val="es-CO" w:eastAsia="es-CO"/>
              </w:rPr>
              <w:t>715</w:t>
            </w:r>
            <w:r>
              <w:rPr>
                <w:i/>
                <w:color w:val="000000"/>
                <w:sz w:val="12"/>
                <w:szCs w:val="16"/>
                <w:lang w:val="es-CO" w:eastAsia="es-CO"/>
              </w:rPr>
              <w:t>.</w:t>
            </w:r>
            <w:r w:rsidRPr="00F2046C">
              <w:rPr>
                <w:i/>
                <w:color w:val="000000"/>
                <w:sz w:val="12"/>
                <w:szCs w:val="16"/>
                <w:lang w:val="es-CO" w:eastAsia="es-CO"/>
              </w:rPr>
              <w:t>959</w:t>
            </w:r>
          </w:p>
        </w:tc>
        <w:tc>
          <w:tcPr>
            <w:tcW w:w="992" w:type="dxa"/>
            <w:tcBorders>
              <w:top w:val="nil"/>
              <w:left w:val="nil"/>
              <w:bottom w:val="single" w:sz="4" w:space="0" w:color="auto"/>
              <w:right w:val="single" w:sz="4" w:space="0" w:color="auto"/>
            </w:tcBorders>
            <w:shd w:val="clear" w:color="auto" w:fill="auto"/>
            <w:noWrap/>
            <w:vAlign w:val="bottom"/>
            <w:hideMark/>
          </w:tcPr>
          <w:p w14:paraId="1C63556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29CF310C"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C9965C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23</w:t>
            </w:r>
          </w:p>
        </w:tc>
        <w:tc>
          <w:tcPr>
            <w:tcW w:w="425" w:type="dxa"/>
            <w:tcBorders>
              <w:top w:val="nil"/>
              <w:left w:val="nil"/>
              <w:bottom w:val="single" w:sz="4" w:space="0" w:color="auto"/>
              <w:right w:val="single" w:sz="4" w:space="0" w:color="auto"/>
            </w:tcBorders>
            <w:shd w:val="clear" w:color="auto" w:fill="auto"/>
            <w:noWrap/>
            <w:vAlign w:val="bottom"/>
            <w:hideMark/>
          </w:tcPr>
          <w:p w14:paraId="73E2B45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B2D9C7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7FD93F7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C64090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4BB1AE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94</w:t>
            </w:r>
            <w:r>
              <w:rPr>
                <w:i/>
                <w:color w:val="000000"/>
                <w:sz w:val="12"/>
                <w:szCs w:val="16"/>
                <w:lang w:val="es-CO" w:eastAsia="es-CO"/>
              </w:rPr>
              <w:t>.</w:t>
            </w:r>
            <w:r w:rsidRPr="00F2046C">
              <w:rPr>
                <w:i/>
                <w:color w:val="000000"/>
                <w:sz w:val="12"/>
                <w:szCs w:val="16"/>
                <w:lang w:val="es-CO" w:eastAsia="es-CO"/>
              </w:rPr>
              <w:t>690</w:t>
            </w:r>
            <w:r>
              <w:rPr>
                <w:i/>
                <w:color w:val="000000"/>
                <w:sz w:val="12"/>
                <w:szCs w:val="16"/>
                <w:lang w:val="es-CO" w:eastAsia="es-CO"/>
              </w:rPr>
              <w:t>.</w:t>
            </w:r>
            <w:r w:rsidRPr="00F2046C">
              <w:rPr>
                <w:i/>
                <w:color w:val="000000"/>
                <w:sz w:val="12"/>
                <w:szCs w:val="16"/>
                <w:lang w:val="es-CO" w:eastAsia="es-CO"/>
              </w:rPr>
              <w:t>508</w:t>
            </w:r>
          </w:p>
        </w:tc>
      </w:tr>
      <w:tr w:rsidR="00BA56AD" w:rsidRPr="00F2046C" w14:paraId="5261BD36"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F6BF6DF"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BEAB7E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169E128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TPE2AS</w:t>
            </w:r>
          </w:p>
        </w:tc>
        <w:tc>
          <w:tcPr>
            <w:tcW w:w="992" w:type="dxa"/>
            <w:tcBorders>
              <w:top w:val="nil"/>
              <w:left w:val="nil"/>
              <w:bottom w:val="single" w:sz="4" w:space="0" w:color="auto"/>
              <w:right w:val="single" w:sz="4" w:space="0" w:color="auto"/>
            </w:tcBorders>
            <w:shd w:val="clear" w:color="auto" w:fill="auto"/>
            <w:noWrap/>
            <w:vAlign w:val="bottom"/>
            <w:hideMark/>
          </w:tcPr>
          <w:p w14:paraId="4939975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87</w:t>
            </w:r>
            <w:r>
              <w:rPr>
                <w:i/>
                <w:color w:val="000000"/>
                <w:sz w:val="12"/>
                <w:szCs w:val="16"/>
                <w:lang w:val="es-CO" w:eastAsia="es-CO"/>
              </w:rPr>
              <w:t>.</w:t>
            </w:r>
            <w:r w:rsidRPr="00F2046C">
              <w:rPr>
                <w:i/>
                <w:color w:val="000000"/>
                <w:sz w:val="12"/>
                <w:szCs w:val="16"/>
                <w:lang w:val="es-CO" w:eastAsia="es-CO"/>
              </w:rPr>
              <w:t>082</w:t>
            </w:r>
            <w:r>
              <w:rPr>
                <w:i/>
                <w:color w:val="000000"/>
                <w:sz w:val="12"/>
                <w:szCs w:val="16"/>
                <w:lang w:val="es-CO" w:eastAsia="es-CO"/>
              </w:rPr>
              <w:t>.</w:t>
            </w:r>
            <w:r w:rsidRPr="00F2046C">
              <w:rPr>
                <w:i/>
                <w:color w:val="000000"/>
                <w:sz w:val="12"/>
                <w:szCs w:val="16"/>
                <w:lang w:val="es-CO" w:eastAsia="es-CO"/>
              </w:rPr>
              <w:t>705</w:t>
            </w:r>
          </w:p>
        </w:tc>
        <w:tc>
          <w:tcPr>
            <w:tcW w:w="992" w:type="dxa"/>
            <w:tcBorders>
              <w:top w:val="nil"/>
              <w:left w:val="nil"/>
              <w:bottom w:val="single" w:sz="4" w:space="0" w:color="auto"/>
              <w:right w:val="single" w:sz="4" w:space="0" w:color="auto"/>
            </w:tcBorders>
            <w:shd w:val="clear" w:color="auto" w:fill="auto"/>
            <w:noWrap/>
            <w:vAlign w:val="bottom"/>
            <w:hideMark/>
          </w:tcPr>
          <w:p w14:paraId="416EC2D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1355F5D"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nil"/>
              <w:bottom w:val="single" w:sz="4" w:space="0" w:color="auto"/>
              <w:right w:val="single" w:sz="4" w:space="0" w:color="auto"/>
            </w:tcBorders>
            <w:shd w:val="clear" w:color="auto" w:fill="auto"/>
            <w:noWrap/>
            <w:vAlign w:val="bottom"/>
            <w:hideMark/>
          </w:tcPr>
          <w:p w14:paraId="0798418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20</w:t>
            </w:r>
          </w:p>
        </w:tc>
        <w:tc>
          <w:tcPr>
            <w:tcW w:w="425" w:type="dxa"/>
            <w:tcBorders>
              <w:top w:val="nil"/>
              <w:left w:val="nil"/>
              <w:bottom w:val="single" w:sz="4" w:space="0" w:color="auto"/>
              <w:right w:val="single" w:sz="4" w:space="0" w:color="auto"/>
            </w:tcBorders>
            <w:shd w:val="clear" w:color="auto" w:fill="auto"/>
            <w:noWrap/>
            <w:vAlign w:val="bottom"/>
            <w:hideMark/>
          </w:tcPr>
          <w:p w14:paraId="7716FAE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7A59EA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37C55CC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9859A9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058820D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17</w:t>
            </w:r>
            <w:r>
              <w:rPr>
                <w:i/>
                <w:color w:val="000000"/>
                <w:sz w:val="12"/>
                <w:szCs w:val="16"/>
                <w:lang w:val="es-CO" w:eastAsia="es-CO"/>
              </w:rPr>
              <w:t>.</w:t>
            </w:r>
            <w:r w:rsidRPr="00F2046C">
              <w:rPr>
                <w:i/>
                <w:color w:val="000000"/>
                <w:sz w:val="12"/>
                <w:szCs w:val="16"/>
                <w:lang w:val="es-CO" w:eastAsia="es-CO"/>
              </w:rPr>
              <w:t>216</w:t>
            </w:r>
            <w:r>
              <w:rPr>
                <w:i/>
                <w:color w:val="000000"/>
                <w:sz w:val="12"/>
                <w:szCs w:val="16"/>
                <w:lang w:val="es-CO" w:eastAsia="es-CO"/>
              </w:rPr>
              <w:t>.</w:t>
            </w:r>
            <w:r w:rsidRPr="00F2046C">
              <w:rPr>
                <w:i/>
                <w:color w:val="000000"/>
                <w:sz w:val="12"/>
                <w:szCs w:val="16"/>
                <w:lang w:val="es-CO" w:eastAsia="es-CO"/>
              </w:rPr>
              <w:t>251</w:t>
            </w:r>
          </w:p>
        </w:tc>
      </w:tr>
      <w:tr w:rsidR="00BA56AD" w:rsidRPr="00F2046C" w14:paraId="61B098D1"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AA4B549"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BCB5DE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73DD489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TPE1/2CO</w:t>
            </w:r>
          </w:p>
        </w:tc>
        <w:tc>
          <w:tcPr>
            <w:tcW w:w="992" w:type="dxa"/>
            <w:tcBorders>
              <w:top w:val="nil"/>
              <w:left w:val="nil"/>
              <w:bottom w:val="single" w:sz="4" w:space="0" w:color="auto"/>
              <w:right w:val="single" w:sz="4" w:space="0" w:color="auto"/>
            </w:tcBorders>
            <w:shd w:val="clear" w:color="auto" w:fill="auto"/>
            <w:noWrap/>
            <w:vAlign w:val="bottom"/>
            <w:hideMark/>
          </w:tcPr>
          <w:p w14:paraId="0B36D08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74</w:t>
            </w:r>
            <w:r>
              <w:rPr>
                <w:i/>
                <w:color w:val="000000"/>
                <w:sz w:val="12"/>
                <w:szCs w:val="16"/>
                <w:lang w:val="es-CO" w:eastAsia="es-CO"/>
              </w:rPr>
              <w:t>.</w:t>
            </w:r>
            <w:r w:rsidRPr="00F2046C">
              <w:rPr>
                <w:i/>
                <w:color w:val="000000"/>
                <w:sz w:val="12"/>
                <w:szCs w:val="16"/>
                <w:lang w:val="es-CO" w:eastAsia="es-CO"/>
              </w:rPr>
              <w:t>429</w:t>
            </w:r>
            <w:r>
              <w:rPr>
                <w:i/>
                <w:color w:val="000000"/>
                <w:sz w:val="12"/>
                <w:szCs w:val="16"/>
                <w:lang w:val="es-CO" w:eastAsia="es-CO"/>
              </w:rPr>
              <w:t>.</w:t>
            </w:r>
            <w:r w:rsidRPr="00F2046C">
              <w:rPr>
                <w:i/>
                <w:color w:val="000000"/>
                <w:sz w:val="12"/>
                <w:szCs w:val="16"/>
                <w:lang w:val="es-CO" w:eastAsia="es-CO"/>
              </w:rPr>
              <w:t>578</w:t>
            </w:r>
          </w:p>
        </w:tc>
        <w:tc>
          <w:tcPr>
            <w:tcW w:w="992" w:type="dxa"/>
            <w:tcBorders>
              <w:top w:val="nil"/>
              <w:left w:val="nil"/>
              <w:bottom w:val="single" w:sz="4" w:space="0" w:color="auto"/>
              <w:right w:val="single" w:sz="4" w:space="0" w:color="auto"/>
            </w:tcBorders>
            <w:shd w:val="clear" w:color="auto" w:fill="auto"/>
            <w:noWrap/>
            <w:vAlign w:val="bottom"/>
            <w:hideMark/>
          </w:tcPr>
          <w:p w14:paraId="50EB894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76FDB996"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59F0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3EE1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82F5D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1E76E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C4331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3E7E10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w:t>
            </w:r>
            <w:r>
              <w:rPr>
                <w:i/>
                <w:color w:val="000000"/>
                <w:sz w:val="12"/>
                <w:szCs w:val="16"/>
                <w:lang w:val="es-CO" w:eastAsia="es-CO"/>
              </w:rPr>
              <w:t>.</w:t>
            </w:r>
            <w:r w:rsidRPr="00F2046C">
              <w:rPr>
                <w:i/>
                <w:color w:val="000000"/>
                <w:sz w:val="12"/>
                <w:szCs w:val="16"/>
                <w:lang w:val="es-CO" w:eastAsia="es-CO"/>
              </w:rPr>
              <w:t>259</w:t>
            </w:r>
            <w:r>
              <w:rPr>
                <w:i/>
                <w:color w:val="000000"/>
                <w:sz w:val="12"/>
                <w:szCs w:val="16"/>
                <w:lang w:val="es-CO" w:eastAsia="es-CO"/>
              </w:rPr>
              <w:t>.</w:t>
            </w:r>
            <w:r w:rsidRPr="00F2046C">
              <w:rPr>
                <w:i/>
                <w:color w:val="000000"/>
                <w:sz w:val="12"/>
                <w:szCs w:val="16"/>
                <w:lang w:val="es-CO" w:eastAsia="es-CO"/>
              </w:rPr>
              <w:t>527</w:t>
            </w:r>
          </w:p>
        </w:tc>
      </w:tr>
      <w:tr w:rsidR="00BA56AD" w:rsidRPr="00F2046C" w14:paraId="1C67F571"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EE36A82"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579DC3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2F02CFE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TPE3/4CO</w:t>
            </w:r>
          </w:p>
        </w:tc>
        <w:tc>
          <w:tcPr>
            <w:tcW w:w="992" w:type="dxa"/>
            <w:tcBorders>
              <w:top w:val="nil"/>
              <w:left w:val="nil"/>
              <w:bottom w:val="single" w:sz="4" w:space="0" w:color="auto"/>
              <w:right w:val="single" w:sz="4" w:space="0" w:color="auto"/>
            </w:tcBorders>
            <w:shd w:val="clear" w:color="auto" w:fill="auto"/>
            <w:noWrap/>
            <w:vAlign w:val="bottom"/>
            <w:hideMark/>
          </w:tcPr>
          <w:p w14:paraId="19EF80A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75</w:t>
            </w:r>
            <w:r>
              <w:rPr>
                <w:i/>
                <w:color w:val="000000"/>
                <w:sz w:val="12"/>
                <w:szCs w:val="16"/>
                <w:lang w:val="es-CO" w:eastAsia="es-CO"/>
              </w:rPr>
              <w:t>.</w:t>
            </w:r>
            <w:r w:rsidRPr="00F2046C">
              <w:rPr>
                <w:i/>
                <w:color w:val="000000"/>
                <w:sz w:val="12"/>
                <w:szCs w:val="16"/>
                <w:lang w:val="es-CO" w:eastAsia="es-CO"/>
              </w:rPr>
              <w:t>269</w:t>
            </w:r>
            <w:r>
              <w:rPr>
                <w:i/>
                <w:color w:val="000000"/>
                <w:sz w:val="12"/>
                <w:szCs w:val="16"/>
                <w:lang w:val="es-CO" w:eastAsia="es-CO"/>
              </w:rPr>
              <w:t>.</w:t>
            </w:r>
            <w:r w:rsidRPr="00F2046C">
              <w:rPr>
                <w:i/>
                <w:color w:val="000000"/>
                <w:sz w:val="12"/>
                <w:szCs w:val="16"/>
                <w:lang w:val="es-CO" w:eastAsia="es-CO"/>
              </w:rPr>
              <w:t>785</w:t>
            </w:r>
          </w:p>
        </w:tc>
        <w:tc>
          <w:tcPr>
            <w:tcW w:w="992" w:type="dxa"/>
            <w:tcBorders>
              <w:top w:val="nil"/>
              <w:left w:val="nil"/>
              <w:bottom w:val="single" w:sz="4" w:space="0" w:color="auto"/>
              <w:right w:val="single" w:sz="4" w:space="0" w:color="auto"/>
            </w:tcBorders>
            <w:shd w:val="clear" w:color="auto" w:fill="auto"/>
            <w:noWrap/>
            <w:vAlign w:val="bottom"/>
            <w:hideMark/>
          </w:tcPr>
          <w:p w14:paraId="142854E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6A4EC709"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B36944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11</w:t>
            </w:r>
          </w:p>
        </w:tc>
        <w:tc>
          <w:tcPr>
            <w:tcW w:w="425" w:type="dxa"/>
            <w:tcBorders>
              <w:top w:val="nil"/>
              <w:left w:val="nil"/>
              <w:bottom w:val="single" w:sz="4" w:space="0" w:color="auto"/>
              <w:right w:val="single" w:sz="4" w:space="0" w:color="auto"/>
            </w:tcBorders>
            <w:shd w:val="clear" w:color="auto" w:fill="auto"/>
            <w:noWrap/>
            <w:vAlign w:val="bottom"/>
            <w:hideMark/>
          </w:tcPr>
          <w:p w14:paraId="27E3A39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306ACA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121A0DE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C94609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34941A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8</w:t>
            </w:r>
            <w:r>
              <w:rPr>
                <w:i/>
                <w:color w:val="000000"/>
                <w:sz w:val="12"/>
                <w:szCs w:val="16"/>
                <w:lang w:val="es-CO" w:eastAsia="es-CO"/>
              </w:rPr>
              <w:t>.</w:t>
            </w:r>
            <w:r w:rsidRPr="00F2046C">
              <w:rPr>
                <w:i/>
                <w:color w:val="000000"/>
                <w:sz w:val="12"/>
                <w:szCs w:val="16"/>
                <w:lang w:val="es-CO" w:eastAsia="es-CO"/>
              </w:rPr>
              <w:t>618</w:t>
            </w:r>
            <w:r>
              <w:rPr>
                <w:i/>
                <w:color w:val="000000"/>
                <w:sz w:val="12"/>
                <w:szCs w:val="16"/>
                <w:lang w:val="es-CO" w:eastAsia="es-CO"/>
              </w:rPr>
              <w:t>.</w:t>
            </w:r>
            <w:r w:rsidRPr="00F2046C">
              <w:rPr>
                <w:i/>
                <w:color w:val="000000"/>
                <w:sz w:val="12"/>
                <w:szCs w:val="16"/>
                <w:lang w:val="es-CO" w:eastAsia="es-CO"/>
              </w:rPr>
              <w:t>390</w:t>
            </w:r>
          </w:p>
        </w:tc>
      </w:tr>
      <w:tr w:rsidR="00BA56AD" w:rsidRPr="00F2046C" w14:paraId="7B60923F"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B3FA0C1"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lastRenderedPageBreak/>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306E88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2B124EE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TPE1/2ACO</w:t>
            </w:r>
          </w:p>
        </w:tc>
        <w:tc>
          <w:tcPr>
            <w:tcW w:w="992" w:type="dxa"/>
            <w:tcBorders>
              <w:top w:val="nil"/>
              <w:left w:val="nil"/>
              <w:bottom w:val="single" w:sz="4" w:space="0" w:color="auto"/>
              <w:right w:val="single" w:sz="4" w:space="0" w:color="auto"/>
            </w:tcBorders>
            <w:shd w:val="clear" w:color="auto" w:fill="auto"/>
            <w:noWrap/>
            <w:vAlign w:val="bottom"/>
            <w:hideMark/>
          </w:tcPr>
          <w:p w14:paraId="786A4DB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52</w:t>
            </w:r>
            <w:r>
              <w:rPr>
                <w:i/>
                <w:color w:val="000000"/>
                <w:sz w:val="12"/>
                <w:szCs w:val="16"/>
                <w:lang w:val="es-CO" w:eastAsia="es-CO"/>
              </w:rPr>
              <w:t>.</w:t>
            </w:r>
            <w:r w:rsidRPr="00F2046C">
              <w:rPr>
                <w:i/>
                <w:color w:val="000000"/>
                <w:sz w:val="12"/>
                <w:szCs w:val="16"/>
                <w:lang w:val="es-CO" w:eastAsia="es-CO"/>
              </w:rPr>
              <w:t>202</w:t>
            </w:r>
            <w:r>
              <w:rPr>
                <w:i/>
                <w:color w:val="000000"/>
                <w:sz w:val="12"/>
                <w:szCs w:val="16"/>
                <w:lang w:val="es-CO" w:eastAsia="es-CO"/>
              </w:rPr>
              <w:t>.</w:t>
            </w:r>
            <w:r w:rsidRPr="00F2046C">
              <w:rPr>
                <w:i/>
                <w:color w:val="000000"/>
                <w:sz w:val="12"/>
                <w:szCs w:val="16"/>
                <w:lang w:val="es-CO" w:eastAsia="es-CO"/>
              </w:rPr>
              <w:t>790</w:t>
            </w:r>
          </w:p>
        </w:tc>
        <w:tc>
          <w:tcPr>
            <w:tcW w:w="992" w:type="dxa"/>
            <w:tcBorders>
              <w:top w:val="nil"/>
              <w:left w:val="nil"/>
              <w:bottom w:val="single" w:sz="4" w:space="0" w:color="auto"/>
              <w:right w:val="single" w:sz="4" w:space="0" w:color="auto"/>
            </w:tcBorders>
            <w:shd w:val="clear" w:color="auto" w:fill="auto"/>
            <w:noWrap/>
            <w:vAlign w:val="bottom"/>
            <w:hideMark/>
          </w:tcPr>
          <w:p w14:paraId="2135004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0957D19A"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910AA7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16</w:t>
            </w:r>
          </w:p>
        </w:tc>
        <w:tc>
          <w:tcPr>
            <w:tcW w:w="425" w:type="dxa"/>
            <w:tcBorders>
              <w:top w:val="nil"/>
              <w:left w:val="nil"/>
              <w:bottom w:val="single" w:sz="4" w:space="0" w:color="auto"/>
              <w:right w:val="single" w:sz="4" w:space="0" w:color="auto"/>
            </w:tcBorders>
            <w:shd w:val="clear" w:color="auto" w:fill="auto"/>
            <w:noWrap/>
            <w:vAlign w:val="bottom"/>
            <w:hideMark/>
          </w:tcPr>
          <w:p w14:paraId="5F68161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724EE3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1ED376B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17F2AC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76998A6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112</w:t>
            </w:r>
            <w:r>
              <w:rPr>
                <w:i/>
                <w:color w:val="000000"/>
                <w:sz w:val="12"/>
                <w:szCs w:val="16"/>
                <w:lang w:val="es-CO" w:eastAsia="es-CO"/>
              </w:rPr>
              <w:t>.</w:t>
            </w:r>
            <w:r w:rsidRPr="00F2046C">
              <w:rPr>
                <w:i/>
                <w:color w:val="000000"/>
                <w:sz w:val="12"/>
                <w:szCs w:val="16"/>
                <w:lang w:val="es-CO" w:eastAsia="es-CO"/>
              </w:rPr>
              <w:t>669</w:t>
            </w:r>
            <w:r>
              <w:rPr>
                <w:i/>
                <w:color w:val="000000"/>
                <w:sz w:val="12"/>
                <w:szCs w:val="16"/>
                <w:lang w:val="es-CO" w:eastAsia="es-CO"/>
              </w:rPr>
              <w:t>.</w:t>
            </w:r>
            <w:r w:rsidRPr="00F2046C">
              <w:rPr>
                <w:i/>
                <w:color w:val="000000"/>
                <w:sz w:val="12"/>
                <w:szCs w:val="16"/>
                <w:lang w:val="es-CO" w:eastAsia="es-CO"/>
              </w:rPr>
              <w:t>281</w:t>
            </w:r>
          </w:p>
        </w:tc>
      </w:tr>
      <w:tr w:rsidR="00BA56AD" w:rsidRPr="00F2046C" w14:paraId="4F3260D6"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2D7777E"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F0FF94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02DC320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TPE3/4ACO</w:t>
            </w:r>
          </w:p>
        </w:tc>
        <w:tc>
          <w:tcPr>
            <w:tcW w:w="992" w:type="dxa"/>
            <w:tcBorders>
              <w:top w:val="nil"/>
              <w:left w:val="nil"/>
              <w:bottom w:val="single" w:sz="4" w:space="0" w:color="auto"/>
              <w:right w:val="single" w:sz="4" w:space="0" w:color="auto"/>
            </w:tcBorders>
            <w:shd w:val="clear" w:color="auto" w:fill="auto"/>
            <w:noWrap/>
            <w:vAlign w:val="bottom"/>
            <w:hideMark/>
          </w:tcPr>
          <w:p w14:paraId="5478FB3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53</w:t>
            </w:r>
            <w:r>
              <w:rPr>
                <w:i/>
                <w:color w:val="000000"/>
                <w:sz w:val="12"/>
                <w:szCs w:val="16"/>
                <w:lang w:val="es-CO" w:eastAsia="es-CO"/>
              </w:rPr>
              <w:t>.</w:t>
            </w:r>
            <w:r w:rsidRPr="00F2046C">
              <w:rPr>
                <w:i/>
                <w:color w:val="000000"/>
                <w:sz w:val="12"/>
                <w:szCs w:val="16"/>
                <w:lang w:val="es-CO" w:eastAsia="es-CO"/>
              </w:rPr>
              <w:t>098</w:t>
            </w:r>
            <w:r>
              <w:rPr>
                <w:i/>
                <w:color w:val="000000"/>
                <w:sz w:val="12"/>
                <w:szCs w:val="16"/>
                <w:lang w:val="es-CO" w:eastAsia="es-CO"/>
              </w:rPr>
              <w:t>.</w:t>
            </w:r>
            <w:r w:rsidRPr="00F2046C">
              <w:rPr>
                <w:i/>
                <w:color w:val="000000"/>
                <w:sz w:val="12"/>
                <w:szCs w:val="16"/>
                <w:lang w:val="es-CO" w:eastAsia="es-CO"/>
              </w:rPr>
              <w:t>574</w:t>
            </w:r>
          </w:p>
        </w:tc>
        <w:tc>
          <w:tcPr>
            <w:tcW w:w="992" w:type="dxa"/>
            <w:tcBorders>
              <w:top w:val="nil"/>
              <w:left w:val="nil"/>
              <w:bottom w:val="single" w:sz="4" w:space="0" w:color="auto"/>
              <w:right w:val="single" w:sz="4" w:space="0" w:color="auto"/>
            </w:tcBorders>
            <w:shd w:val="clear" w:color="auto" w:fill="auto"/>
            <w:noWrap/>
            <w:vAlign w:val="bottom"/>
            <w:hideMark/>
          </w:tcPr>
          <w:p w14:paraId="4049FBF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71543028"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5C8714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w:t>
            </w:r>
            <w:r>
              <w:rPr>
                <w:i/>
                <w:color w:val="000000"/>
                <w:sz w:val="12"/>
                <w:szCs w:val="16"/>
                <w:lang w:val="es-CO" w:eastAsia="es-CO"/>
              </w:rPr>
              <w:t>,</w:t>
            </w:r>
            <w:r w:rsidRPr="00F2046C">
              <w:rPr>
                <w:i/>
                <w:color w:val="000000"/>
                <w:sz w:val="12"/>
                <w:szCs w:val="16"/>
                <w:lang w:val="es-CO" w:eastAsia="es-CO"/>
              </w:rPr>
              <w:t>45</w:t>
            </w:r>
          </w:p>
        </w:tc>
        <w:tc>
          <w:tcPr>
            <w:tcW w:w="425" w:type="dxa"/>
            <w:tcBorders>
              <w:top w:val="nil"/>
              <w:left w:val="nil"/>
              <w:bottom w:val="single" w:sz="4" w:space="0" w:color="auto"/>
              <w:right w:val="single" w:sz="4" w:space="0" w:color="auto"/>
            </w:tcBorders>
            <w:shd w:val="clear" w:color="auto" w:fill="auto"/>
            <w:noWrap/>
            <w:vAlign w:val="bottom"/>
            <w:hideMark/>
          </w:tcPr>
          <w:p w14:paraId="35AEAFA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9953AA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3CF7560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7AD44E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4D3A433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183</w:t>
            </w:r>
            <w:r>
              <w:rPr>
                <w:i/>
                <w:color w:val="000000"/>
                <w:sz w:val="12"/>
                <w:szCs w:val="16"/>
                <w:lang w:val="es-CO" w:eastAsia="es-CO"/>
              </w:rPr>
              <w:t>.</w:t>
            </w:r>
            <w:r w:rsidRPr="00F2046C">
              <w:rPr>
                <w:i/>
                <w:color w:val="000000"/>
                <w:sz w:val="12"/>
                <w:szCs w:val="16"/>
                <w:lang w:val="es-CO" w:eastAsia="es-CO"/>
              </w:rPr>
              <w:t>423</w:t>
            </w:r>
            <w:r>
              <w:rPr>
                <w:i/>
                <w:color w:val="000000"/>
                <w:sz w:val="12"/>
                <w:szCs w:val="16"/>
                <w:lang w:val="es-CO" w:eastAsia="es-CO"/>
              </w:rPr>
              <w:t>.</w:t>
            </w:r>
            <w:r w:rsidRPr="00F2046C">
              <w:rPr>
                <w:i/>
                <w:color w:val="000000"/>
                <w:sz w:val="12"/>
                <w:szCs w:val="16"/>
                <w:lang w:val="es-CO" w:eastAsia="es-CO"/>
              </w:rPr>
              <w:t>714</w:t>
            </w:r>
          </w:p>
        </w:tc>
      </w:tr>
      <w:tr w:rsidR="00BA56AD" w:rsidRPr="00F2046C" w14:paraId="65E297C6"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AB9DE3D"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78FA49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4CAA64A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TPE2ACO</w:t>
            </w:r>
          </w:p>
        </w:tc>
        <w:tc>
          <w:tcPr>
            <w:tcW w:w="992" w:type="dxa"/>
            <w:tcBorders>
              <w:top w:val="nil"/>
              <w:left w:val="nil"/>
              <w:bottom w:val="single" w:sz="4" w:space="0" w:color="auto"/>
              <w:right w:val="single" w:sz="4" w:space="0" w:color="auto"/>
            </w:tcBorders>
            <w:shd w:val="clear" w:color="auto" w:fill="auto"/>
            <w:noWrap/>
            <w:vAlign w:val="bottom"/>
            <w:hideMark/>
          </w:tcPr>
          <w:p w14:paraId="3FE3A00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67</w:t>
            </w:r>
            <w:r>
              <w:rPr>
                <w:i/>
                <w:color w:val="000000"/>
                <w:sz w:val="12"/>
                <w:szCs w:val="16"/>
                <w:lang w:val="es-CO" w:eastAsia="es-CO"/>
              </w:rPr>
              <w:t>.</w:t>
            </w:r>
            <w:r w:rsidRPr="00F2046C">
              <w:rPr>
                <w:i/>
                <w:color w:val="000000"/>
                <w:sz w:val="12"/>
                <w:szCs w:val="16"/>
                <w:lang w:val="es-CO" w:eastAsia="es-CO"/>
              </w:rPr>
              <w:t>285</w:t>
            </w:r>
            <w:r>
              <w:rPr>
                <w:i/>
                <w:color w:val="000000"/>
                <w:sz w:val="12"/>
                <w:szCs w:val="16"/>
                <w:lang w:val="es-CO" w:eastAsia="es-CO"/>
              </w:rPr>
              <w:t>.</w:t>
            </w:r>
            <w:r w:rsidRPr="00F2046C">
              <w:rPr>
                <w:i/>
                <w:color w:val="000000"/>
                <w:sz w:val="12"/>
                <w:szCs w:val="16"/>
                <w:lang w:val="es-CO" w:eastAsia="es-CO"/>
              </w:rPr>
              <w:t>854</w:t>
            </w:r>
          </w:p>
        </w:tc>
        <w:tc>
          <w:tcPr>
            <w:tcW w:w="992" w:type="dxa"/>
            <w:tcBorders>
              <w:top w:val="nil"/>
              <w:left w:val="nil"/>
              <w:bottom w:val="single" w:sz="4" w:space="0" w:color="auto"/>
              <w:right w:val="single" w:sz="4" w:space="0" w:color="auto"/>
            </w:tcBorders>
            <w:shd w:val="clear" w:color="auto" w:fill="auto"/>
            <w:noWrap/>
            <w:vAlign w:val="bottom"/>
            <w:hideMark/>
          </w:tcPr>
          <w:p w14:paraId="1A7DF13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6C9BEDA6"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4F8E04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81</w:t>
            </w:r>
          </w:p>
        </w:tc>
        <w:tc>
          <w:tcPr>
            <w:tcW w:w="425" w:type="dxa"/>
            <w:tcBorders>
              <w:top w:val="nil"/>
              <w:left w:val="nil"/>
              <w:bottom w:val="single" w:sz="4" w:space="0" w:color="auto"/>
              <w:right w:val="single" w:sz="4" w:space="0" w:color="auto"/>
            </w:tcBorders>
            <w:shd w:val="clear" w:color="auto" w:fill="auto"/>
            <w:noWrap/>
            <w:vAlign w:val="bottom"/>
            <w:hideMark/>
          </w:tcPr>
          <w:p w14:paraId="4AC00DA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4D7C88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2534EA9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A186CE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61605A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54</w:t>
            </w:r>
            <w:r>
              <w:rPr>
                <w:i/>
                <w:color w:val="000000"/>
                <w:sz w:val="12"/>
                <w:szCs w:val="16"/>
                <w:lang w:val="es-CO" w:eastAsia="es-CO"/>
              </w:rPr>
              <w:t>.</w:t>
            </w:r>
            <w:r w:rsidRPr="00F2046C">
              <w:rPr>
                <w:i/>
                <w:color w:val="000000"/>
                <w:sz w:val="12"/>
                <w:szCs w:val="16"/>
                <w:lang w:val="es-CO" w:eastAsia="es-CO"/>
              </w:rPr>
              <w:t>279</w:t>
            </w:r>
            <w:r>
              <w:rPr>
                <w:i/>
                <w:color w:val="000000"/>
                <w:sz w:val="12"/>
                <w:szCs w:val="16"/>
                <w:lang w:val="es-CO" w:eastAsia="es-CO"/>
              </w:rPr>
              <w:t>.</w:t>
            </w:r>
            <w:r w:rsidRPr="00F2046C">
              <w:rPr>
                <w:i/>
                <w:color w:val="000000"/>
                <w:sz w:val="12"/>
                <w:szCs w:val="16"/>
                <w:lang w:val="es-CO" w:eastAsia="es-CO"/>
              </w:rPr>
              <w:t>499</w:t>
            </w:r>
          </w:p>
        </w:tc>
      </w:tr>
      <w:tr w:rsidR="00BA56AD" w:rsidRPr="00F2046C" w14:paraId="2DA153D5"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0E5802A"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F72A10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2B9948B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TPE1/2TA</w:t>
            </w:r>
          </w:p>
        </w:tc>
        <w:tc>
          <w:tcPr>
            <w:tcW w:w="992" w:type="dxa"/>
            <w:tcBorders>
              <w:top w:val="nil"/>
              <w:left w:val="nil"/>
              <w:bottom w:val="single" w:sz="4" w:space="0" w:color="auto"/>
              <w:right w:val="single" w:sz="4" w:space="0" w:color="auto"/>
            </w:tcBorders>
            <w:shd w:val="clear" w:color="auto" w:fill="auto"/>
            <w:noWrap/>
            <w:vAlign w:val="bottom"/>
            <w:hideMark/>
          </w:tcPr>
          <w:p w14:paraId="32884C6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55</w:t>
            </w:r>
            <w:r>
              <w:rPr>
                <w:i/>
                <w:color w:val="000000"/>
                <w:sz w:val="12"/>
                <w:szCs w:val="16"/>
                <w:lang w:val="es-CO" w:eastAsia="es-CO"/>
              </w:rPr>
              <w:t>.</w:t>
            </w:r>
            <w:r w:rsidRPr="00F2046C">
              <w:rPr>
                <w:i/>
                <w:color w:val="000000"/>
                <w:sz w:val="12"/>
                <w:szCs w:val="16"/>
                <w:lang w:val="es-CO" w:eastAsia="es-CO"/>
              </w:rPr>
              <w:t>278</w:t>
            </w:r>
            <w:r>
              <w:rPr>
                <w:i/>
                <w:color w:val="000000"/>
                <w:sz w:val="12"/>
                <w:szCs w:val="16"/>
                <w:lang w:val="es-CO" w:eastAsia="es-CO"/>
              </w:rPr>
              <w:t>.</w:t>
            </w:r>
            <w:r w:rsidRPr="00F2046C">
              <w:rPr>
                <w:i/>
                <w:color w:val="000000"/>
                <w:sz w:val="12"/>
                <w:szCs w:val="16"/>
                <w:lang w:val="es-CO" w:eastAsia="es-CO"/>
              </w:rPr>
              <w:t>936</w:t>
            </w:r>
          </w:p>
        </w:tc>
        <w:tc>
          <w:tcPr>
            <w:tcW w:w="992" w:type="dxa"/>
            <w:tcBorders>
              <w:top w:val="nil"/>
              <w:left w:val="nil"/>
              <w:bottom w:val="single" w:sz="4" w:space="0" w:color="auto"/>
              <w:right w:val="single" w:sz="4" w:space="0" w:color="auto"/>
            </w:tcBorders>
            <w:shd w:val="clear" w:color="auto" w:fill="auto"/>
            <w:noWrap/>
            <w:vAlign w:val="bottom"/>
            <w:hideMark/>
          </w:tcPr>
          <w:p w14:paraId="31E8122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2F0CB92F"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290C3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53</w:t>
            </w:r>
          </w:p>
        </w:tc>
        <w:tc>
          <w:tcPr>
            <w:tcW w:w="425" w:type="dxa"/>
            <w:tcBorders>
              <w:top w:val="nil"/>
              <w:left w:val="nil"/>
              <w:bottom w:val="single" w:sz="4" w:space="0" w:color="auto"/>
              <w:right w:val="single" w:sz="4" w:space="0" w:color="auto"/>
            </w:tcBorders>
            <w:shd w:val="clear" w:color="auto" w:fill="auto"/>
            <w:noWrap/>
            <w:vAlign w:val="bottom"/>
            <w:hideMark/>
          </w:tcPr>
          <w:p w14:paraId="3FC5EF5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77BF59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598A381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695A83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662F6C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29</w:t>
            </w:r>
            <w:r>
              <w:rPr>
                <w:i/>
                <w:color w:val="000000"/>
                <w:sz w:val="12"/>
                <w:szCs w:val="16"/>
                <w:lang w:val="es-CO" w:eastAsia="es-CO"/>
              </w:rPr>
              <w:t>.</w:t>
            </w:r>
            <w:r w:rsidRPr="00F2046C">
              <w:rPr>
                <w:i/>
                <w:color w:val="000000"/>
                <w:sz w:val="12"/>
                <w:szCs w:val="16"/>
                <w:lang w:val="es-CO" w:eastAsia="es-CO"/>
              </w:rPr>
              <w:t>436</w:t>
            </w:r>
            <w:r>
              <w:rPr>
                <w:i/>
                <w:color w:val="000000"/>
                <w:sz w:val="12"/>
                <w:szCs w:val="16"/>
                <w:lang w:val="es-CO" w:eastAsia="es-CO"/>
              </w:rPr>
              <w:t>.</w:t>
            </w:r>
            <w:r w:rsidRPr="00F2046C">
              <w:rPr>
                <w:i/>
                <w:color w:val="000000"/>
                <w:sz w:val="12"/>
                <w:szCs w:val="16"/>
                <w:lang w:val="es-CO" w:eastAsia="es-CO"/>
              </w:rPr>
              <w:t>033</w:t>
            </w:r>
          </w:p>
        </w:tc>
      </w:tr>
      <w:tr w:rsidR="00BA56AD" w:rsidRPr="00F2046C" w14:paraId="6C57F9FA"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119E6AD"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9B33B9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6C01C0E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TPE3/4TA</w:t>
            </w:r>
          </w:p>
        </w:tc>
        <w:tc>
          <w:tcPr>
            <w:tcW w:w="992" w:type="dxa"/>
            <w:tcBorders>
              <w:top w:val="nil"/>
              <w:left w:val="nil"/>
              <w:bottom w:val="single" w:sz="4" w:space="0" w:color="auto"/>
              <w:right w:val="single" w:sz="4" w:space="0" w:color="auto"/>
            </w:tcBorders>
            <w:shd w:val="clear" w:color="auto" w:fill="auto"/>
            <w:noWrap/>
            <w:vAlign w:val="bottom"/>
            <w:hideMark/>
          </w:tcPr>
          <w:p w14:paraId="1A5369C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56</w:t>
            </w:r>
            <w:r>
              <w:rPr>
                <w:i/>
                <w:color w:val="000000"/>
                <w:sz w:val="12"/>
                <w:szCs w:val="16"/>
                <w:lang w:val="es-CO" w:eastAsia="es-CO"/>
              </w:rPr>
              <w:t>.</w:t>
            </w:r>
            <w:r w:rsidRPr="00F2046C">
              <w:rPr>
                <w:i/>
                <w:color w:val="000000"/>
                <w:sz w:val="12"/>
                <w:szCs w:val="16"/>
                <w:lang w:val="es-CO" w:eastAsia="es-CO"/>
              </w:rPr>
              <w:t>167</w:t>
            </w:r>
            <w:r>
              <w:rPr>
                <w:i/>
                <w:color w:val="000000"/>
                <w:sz w:val="12"/>
                <w:szCs w:val="16"/>
                <w:lang w:val="es-CO" w:eastAsia="es-CO"/>
              </w:rPr>
              <w:t>.</w:t>
            </w:r>
            <w:r w:rsidRPr="00F2046C">
              <w:rPr>
                <w:i/>
                <w:color w:val="000000"/>
                <w:sz w:val="12"/>
                <w:szCs w:val="16"/>
                <w:lang w:val="es-CO" w:eastAsia="es-CO"/>
              </w:rPr>
              <w:t>552</w:t>
            </w:r>
          </w:p>
        </w:tc>
        <w:tc>
          <w:tcPr>
            <w:tcW w:w="992" w:type="dxa"/>
            <w:tcBorders>
              <w:top w:val="nil"/>
              <w:left w:val="nil"/>
              <w:bottom w:val="single" w:sz="4" w:space="0" w:color="auto"/>
              <w:right w:val="single" w:sz="4" w:space="0" w:color="auto"/>
            </w:tcBorders>
            <w:shd w:val="clear" w:color="auto" w:fill="auto"/>
            <w:noWrap/>
            <w:vAlign w:val="bottom"/>
            <w:hideMark/>
          </w:tcPr>
          <w:p w14:paraId="0D0D4F0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29EB788"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DF3C86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94</w:t>
            </w:r>
          </w:p>
        </w:tc>
        <w:tc>
          <w:tcPr>
            <w:tcW w:w="425" w:type="dxa"/>
            <w:tcBorders>
              <w:top w:val="nil"/>
              <w:left w:val="nil"/>
              <w:bottom w:val="single" w:sz="4" w:space="0" w:color="auto"/>
              <w:right w:val="single" w:sz="4" w:space="0" w:color="auto"/>
            </w:tcBorders>
            <w:shd w:val="clear" w:color="auto" w:fill="auto"/>
            <w:noWrap/>
            <w:vAlign w:val="bottom"/>
            <w:hideMark/>
          </w:tcPr>
          <w:p w14:paraId="7C5B014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A4C40E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6A61D3F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60DE84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E959A9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52</w:t>
            </w:r>
            <w:r>
              <w:rPr>
                <w:i/>
                <w:color w:val="000000"/>
                <w:sz w:val="12"/>
                <w:szCs w:val="16"/>
                <w:lang w:val="es-CO" w:eastAsia="es-CO"/>
              </w:rPr>
              <w:t>.</w:t>
            </w:r>
            <w:r w:rsidRPr="00F2046C">
              <w:rPr>
                <w:i/>
                <w:color w:val="000000"/>
                <w:sz w:val="12"/>
                <w:szCs w:val="16"/>
                <w:lang w:val="es-CO" w:eastAsia="es-CO"/>
              </w:rPr>
              <w:t>977</w:t>
            </w:r>
            <w:r>
              <w:rPr>
                <w:i/>
                <w:color w:val="000000"/>
                <w:sz w:val="12"/>
                <w:szCs w:val="16"/>
                <w:lang w:val="es-CO" w:eastAsia="es-CO"/>
              </w:rPr>
              <w:t>.</w:t>
            </w:r>
            <w:r w:rsidRPr="00F2046C">
              <w:rPr>
                <w:i/>
                <w:color w:val="000000"/>
                <w:sz w:val="12"/>
                <w:szCs w:val="16"/>
                <w:lang w:val="es-CO" w:eastAsia="es-CO"/>
              </w:rPr>
              <w:t>235</w:t>
            </w:r>
          </w:p>
        </w:tc>
      </w:tr>
      <w:tr w:rsidR="00BA56AD" w:rsidRPr="00F2046C" w14:paraId="569D55A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61DE056"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334081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3E27A48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TPE2TA</w:t>
            </w:r>
          </w:p>
        </w:tc>
        <w:tc>
          <w:tcPr>
            <w:tcW w:w="992" w:type="dxa"/>
            <w:tcBorders>
              <w:top w:val="nil"/>
              <w:left w:val="nil"/>
              <w:bottom w:val="single" w:sz="4" w:space="0" w:color="auto"/>
              <w:right w:val="single" w:sz="4" w:space="0" w:color="auto"/>
            </w:tcBorders>
            <w:shd w:val="clear" w:color="auto" w:fill="auto"/>
            <w:noWrap/>
            <w:vAlign w:val="bottom"/>
            <w:hideMark/>
          </w:tcPr>
          <w:p w14:paraId="11DF11F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70</w:t>
            </w:r>
            <w:r>
              <w:rPr>
                <w:i/>
                <w:color w:val="000000"/>
                <w:sz w:val="12"/>
                <w:szCs w:val="16"/>
                <w:lang w:val="es-CO" w:eastAsia="es-CO"/>
              </w:rPr>
              <w:t>.</w:t>
            </w:r>
            <w:r w:rsidRPr="00F2046C">
              <w:rPr>
                <w:i/>
                <w:color w:val="000000"/>
                <w:sz w:val="12"/>
                <w:szCs w:val="16"/>
                <w:lang w:val="es-CO" w:eastAsia="es-CO"/>
              </w:rPr>
              <w:t>281</w:t>
            </w:r>
            <w:r>
              <w:rPr>
                <w:i/>
                <w:color w:val="000000"/>
                <w:sz w:val="12"/>
                <w:szCs w:val="16"/>
                <w:lang w:val="es-CO" w:eastAsia="es-CO"/>
              </w:rPr>
              <w:t>.</w:t>
            </w:r>
            <w:r w:rsidRPr="00F2046C">
              <w:rPr>
                <w:i/>
                <w:color w:val="000000"/>
                <w:sz w:val="12"/>
                <w:szCs w:val="16"/>
                <w:lang w:val="es-CO" w:eastAsia="es-CO"/>
              </w:rPr>
              <w:t>222</w:t>
            </w:r>
          </w:p>
        </w:tc>
        <w:tc>
          <w:tcPr>
            <w:tcW w:w="992" w:type="dxa"/>
            <w:tcBorders>
              <w:top w:val="nil"/>
              <w:left w:val="nil"/>
              <w:bottom w:val="single" w:sz="4" w:space="0" w:color="auto"/>
              <w:right w:val="single" w:sz="4" w:space="0" w:color="auto"/>
            </w:tcBorders>
            <w:shd w:val="clear" w:color="auto" w:fill="auto"/>
            <w:noWrap/>
            <w:vAlign w:val="bottom"/>
            <w:hideMark/>
          </w:tcPr>
          <w:p w14:paraId="35C17C3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AC7F086"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3631FA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20</w:t>
            </w:r>
          </w:p>
        </w:tc>
        <w:tc>
          <w:tcPr>
            <w:tcW w:w="425" w:type="dxa"/>
            <w:tcBorders>
              <w:top w:val="nil"/>
              <w:left w:val="nil"/>
              <w:bottom w:val="single" w:sz="4" w:space="0" w:color="auto"/>
              <w:right w:val="single" w:sz="4" w:space="0" w:color="auto"/>
            </w:tcBorders>
            <w:shd w:val="clear" w:color="auto" w:fill="auto"/>
            <w:noWrap/>
            <w:vAlign w:val="bottom"/>
            <w:hideMark/>
          </w:tcPr>
          <w:p w14:paraId="4CC1C40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08AE8A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2C0C6F3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4145AD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4BECCDB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14</w:t>
            </w:r>
            <w:r>
              <w:rPr>
                <w:i/>
                <w:color w:val="000000"/>
                <w:sz w:val="12"/>
                <w:szCs w:val="16"/>
                <w:lang w:val="es-CO" w:eastAsia="es-CO"/>
              </w:rPr>
              <w:t>.</w:t>
            </w:r>
            <w:r w:rsidRPr="00F2046C">
              <w:rPr>
                <w:i/>
                <w:color w:val="000000"/>
                <w:sz w:val="12"/>
                <w:szCs w:val="16"/>
                <w:lang w:val="es-CO" w:eastAsia="es-CO"/>
              </w:rPr>
              <w:t>372</w:t>
            </w:r>
            <w:r>
              <w:rPr>
                <w:i/>
                <w:color w:val="000000"/>
                <w:sz w:val="12"/>
                <w:szCs w:val="16"/>
                <w:lang w:val="es-CO" w:eastAsia="es-CO"/>
              </w:rPr>
              <w:t>.</w:t>
            </w:r>
            <w:r w:rsidRPr="00F2046C">
              <w:rPr>
                <w:i/>
                <w:color w:val="000000"/>
                <w:sz w:val="12"/>
                <w:szCs w:val="16"/>
                <w:lang w:val="es-CO" w:eastAsia="es-CO"/>
              </w:rPr>
              <w:t>510</w:t>
            </w:r>
          </w:p>
        </w:tc>
      </w:tr>
      <w:tr w:rsidR="00BA56AD" w:rsidRPr="00F2046C" w14:paraId="022E1D3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CEABB08"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4160EE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5D477F0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TPE1/2ZV</w:t>
            </w:r>
          </w:p>
        </w:tc>
        <w:tc>
          <w:tcPr>
            <w:tcW w:w="992" w:type="dxa"/>
            <w:tcBorders>
              <w:top w:val="nil"/>
              <w:left w:val="nil"/>
              <w:bottom w:val="single" w:sz="4" w:space="0" w:color="auto"/>
              <w:right w:val="single" w:sz="4" w:space="0" w:color="auto"/>
            </w:tcBorders>
            <w:shd w:val="clear" w:color="auto" w:fill="auto"/>
            <w:noWrap/>
            <w:vAlign w:val="bottom"/>
            <w:hideMark/>
          </w:tcPr>
          <w:p w14:paraId="1AE0FCB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18</w:t>
            </w:r>
            <w:r>
              <w:rPr>
                <w:i/>
                <w:color w:val="000000"/>
                <w:sz w:val="12"/>
                <w:szCs w:val="16"/>
                <w:lang w:val="es-CO" w:eastAsia="es-CO"/>
              </w:rPr>
              <w:t>.</w:t>
            </w:r>
            <w:r w:rsidRPr="00F2046C">
              <w:rPr>
                <w:i/>
                <w:color w:val="000000"/>
                <w:sz w:val="12"/>
                <w:szCs w:val="16"/>
                <w:lang w:val="es-CO" w:eastAsia="es-CO"/>
              </w:rPr>
              <w:t>486</w:t>
            </w:r>
            <w:r>
              <w:rPr>
                <w:i/>
                <w:color w:val="000000"/>
                <w:sz w:val="12"/>
                <w:szCs w:val="16"/>
                <w:lang w:val="es-CO" w:eastAsia="es-CO"/>
              </w:rPr>
              <w:t>.</w:t>
            </w:r>
            <w:r w:rsidRPr="00F2046C">
              <w:rPr>
                <w:i/>
                <w:color w:val="000000"/>
                <w:sz w:val="12"/>
                <w:szCs w:val="16"/>
                <w:lang w:val="es-CO" w:eastAsia="es-CO"/>
              </w:rPr>
              <w:t>372</w:t>
            </w:r>
          </w:p>
        </w:tc>
        <w:tc>
          <w:tcPr>
            <w:tcW w:w="992" w:type="dxa"/>
            <w:tcBorders>
              <w:top w:val="nil"/>
              <w:left w:val="nil"/>
              <w:bottom w:val="single" w:sz="4" w:space="0" w:color="auto"/>
              <w:right w:val="single" w:sz="4" w:space="0" w:color="auto"/>
            </w:tcBorders>
            <w:shd w:val="clear" w:color="auto" w:fill="auto"/>
            <w:noWrap/>
            <w:vAlign w:val="bottom"/>
            <w:hideMark/>
          </w:tcPr>
          <w:p w14:paraId="444BFC2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32145D4C"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bottom"/>
            <w:hideMark/>
          </w:tcPr>
          <w:p w14:paraId="524C083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w:t>
            </w:r>
            <w:r>
              <w:rPr>
                <w:i/>
                <w:color w:val="000000"/>
                <w:sz w:val="12"/>
                <w:szCs w:val="16"/>
                <w:lang w:val="es-CO" w:eastAsia="es-CO"/>
              </w:rPr>
              <w:t>,</w:t>
            </w:r>
            <w:r w:rsidRPr="00F2046C">
              <w:rPr>
                <w:i/>
                <w:color w:val="000000"/>
                <w:sz w:val="12"/>
                <w:szCs w:val="16"/>
                <w:lang w:val="es-CO" w:eastAsia="es-CO"/>
              </w:rPr>
              <w:t>16</w:t>
            </w:r>
          </w:p>
        </w:tc>
        <w:tc>
          <w:tcPr>
            <w:tcW w:w="425" w:type="dxa"/>
            <w:tcBorders>
              <w:top w:val="nil"/>
              <w:left w:val="nil"/>
              <w:bottom w:val="single" w:sz="4" w:space="0" w:color="auto"/>
              <w:right w:val="single" w:sz="4" w:space="0" w:color="auto"/>
            </w:tcBorders>
            <w:shd w:val="clear" w:color="auto" w:fill="auto"/>
            <w:noWrap/>
            <w:vAlign w:val="bottom"/>
            <w:hideMark/>
          </w:tcPr>
          <w:p w14:paraId="49E5385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9AF718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5AA3B8B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5F2087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413AA73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132</w:t>
            </w:r>
            <w:r>
              <w:rPr>
                <w:i/>
                <w:color w:val="000000"/>
                <w:sz w:val="12"/>
                <w:szCs w:val="16"/>
                <w:lang w:val="es-CO" w:eastAsia="es-CO"/>
              </w:rPr>
              <w:t>.</w:t>
            </w:r>
            <w:r w:rsidRPr="00F2046C">
              <w:rPr>
                <w:i/>
                <w:color w:val="000000"/>
                <w:sz w:val="12"/>
                <w:szCs w:val="16"/>
                <w:lang w:val="es-CO" w:eastAsia="es-CO"/>
              </w:rPr>
              <w:t>271</w:t>
            </w:r>
            <w:r>
              <w:rPr>
                <w:i/>
                <w:color w:val="000000"/>
                <w:sz w:val="12"/>
                <w:szCs w:val="16"/>
                <w:lang w:val="es-CO" w:eastAsia="es-CO"/>
              </w:rPr>
              <w:t>.</w:t>
            </w:r>
            <w:r w:rsidRPr="00F2046C">
              <w:rPr>
                <w:i/>
                <w:color w:val="000000"/>
                <w:sz w:val="12"/>
                <w:szCs w:val="16"/>
                <w:lang w:val="es-CO" w:eastAsia="es-CO"/>
              </w:rPr>
              <w:t>843</w:t>
            </w:r>
          </w:p>
        </w:tc>
      </w:tr>
      <w:tr w:rsidR="00BA56AD" w:rsidRPr="00F2046C" w14:paraId="72B3B4A8"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E2267FF"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8FC65E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15DE053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TPE3/4ZV</w:t>
            </w:r>
          </w:p>
        </w:tc>
        <w:tc>
          <w:tcPr>
            <w:tcW w:w="992" w:type="dxa"/>
            <w:tcBorders>
              <w:top w:val="nil"/>
              <w:left w:val="nil"/>
              <w:bottom w:val="single" w:sz="4" w:space="0" w:color="auto"/>
              <w:right w:val="single" w:sz="4" w:space="0" w:color="auto"/>
            </w:tcBorders>
            <w:shd w:val="clear" w:color="auto" w:fill="auto"/>
            <w:noWrap/>
            <w:vAlign w:val="bottom"/>
            <w:hideMark/>
          </w:tcPr>
          <w:p w14:paraId="017BE97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19</w:t>
            </w:r>
            <w:r>
              <w:rPr>
                <w:i/>
                <w:color w:val="000000"/>
                <w:sz w:val="12"/>
                <w:szCs w:val="16"/>
                <w:lang w:val="es-CO" w:eastAsia="es-CO"/>
              </w:rPr>
              <w:t>.</w:t>
            </w:r>
            <w:r w:rsidRPr="00F2046C">
              <w:rPr>
                <w:i/>
                <w:color w:val="000000"/>
                <w:sz w:val="12"/>
                <w:szCs w:val="16"/>
                <w:lang w:val="es-CO" w:eastAsia="es-CO"/>
              </w:rPr>
              <w:t>417</w:t>
            </w:r>
            <w:r>
              <w:rPr>
                <w:i/>
                <w:color w:val="000000"/>
                <w:sz w:val="12"/>
                <w:szCs w:val="16"/>
                <w:lang w:val="es-CO" w:eastAsia="es-CO"/>
              </w:rPr>
              <w:t>.</w:t>
            </w:r>
            <w:r w:rsidRPr="00F2046C">
              <w:rPr>
                <w:i/>
                <w:color w:val="000000"/>
                <w:sz w:val="12"/>
                <w:szCs w:val="16"/>
                <w:lang w:val="es-CO" w:eastAsia="es-CO"/>
              </w:rPr>
              <w:t>002</w:t>
            </w:r>
          </w:p>
        </w:tc>
        <w:tc>
          <w:tcPr>
            <w:tcW w:w="992" w:type="dxa"/>
            <w:tcBorders>
              <w:top w:val="nil"/>
              <w:left w:val="nil"/>
              <w:bottom w:val="single" w:sz="4" w:space="0" w:color="auto"/>
              <w:right w:val="single" w:sz="4" w:space="0" w:color="auto"/>
            </w:tcBorders>
            <w:shd w:val="clear" w:color="auto" w:fill="auto"/>
            <w:noWrap/>
            <w:vAlign w:val="bottom"/>
            <w:hideMark/>
          </w:tcPr>
          <w:p w14:paraId="09B7B70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67F51747"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AE9A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12</w:t>
            </w:r>
            <w:r>
              <w:rPr>
                <w:i/>
                <w:color w:val="000000"/>
                <w:sz w:val="12"/>
                <w:szCs w:val="16"/>
                <w:lang w:val="es-CO" w:eastAsia="es-CO"/>
              </w:rPr>
              <w:t>,</w:t>
            </w:r>
            <w:r w:rsidRPr="00F2046C">
              <w:rPr>
                <w:i/>
                <w:color w:val="000000"/>
                <w:sz w:val="12"/>
                <w:szCs w:val="16"/>
                <w:lang w:val="es-CO" w:eastAsia="es-CO"/>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33832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AC82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1C81D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ADE58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4F4A5BE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234</w:t>
            </w:r>
            <w:r>
              <w:rPr>
                <w:i/>
                <w:color w:val="000000"/>
                <w:sz w:val="12"/>
                <w:szCs w:val="16"/>
                <w:lang w:val="es-CO" w:eastAsia="es-CO"/>
              </w:rPr>
              <w:t>.</w:t>
            </w:r>
            <w:r w:rsidRPr="00F2046C">
              <w:rPr>
                <w:i/>
                <w:color w:val="000000"/>
                <w:sz w:val="12"/>
                <w:szCs w:val="16"/>
                <w:lang w:val="es-CO" w:eastAsia="es-CO"/>
              </w:rPr>
              <w:t>528</w:t>
            </w:r>
            <w:r>
              <w:rPr>
                <w:i/>
                <w:color w:val="000000"/>
                <w:sz w:val="12"/>
                <w:szCs w:val="16"/>
                <w:lang w:val="es-CO" w:eastAsia="es-CO"/>
              </w:rPr>
              <w:t>.</w:t>
            </w:r>
            <w:r w:rsidRPr="00F2046C">
              <w:rPr>
                <w:i/>
                <w:color w:val="000000"/>
                <w:sz w:val="12"/>
                <w:szCs w:val="16"/>
                <w:lang w:val="es-CO" w:eastAsia="es-CO"/>
              </w:rPr>
              <w:t>254</w:t>
            </w:r>
          </w:p>
        </w:tc>
      </w:tr>
      <w:tr w:rsidR="00BA56AD" w:rsidRPr="00F2046C" w14:paraId="2FF93845"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3267CC6"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68DBFE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2708B4A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TPE2ZV</w:t>
            </w:r>
          </w:p>
        </w:tc>
        <w:tc>
          <w:tcPr>
            <w:tcW w:w="992" w:type="dxa"/>
            <w:tcBorders>
              <w:top w:val="nil"/>
              <w:left w:val="nil"/>
              <w:bottom w:val="single" w:sz="4" w:space="0" w:color="auto"/>
              <w:right w:val="single" w:sz="4" w:space="0" w:color="auto"/>
            </w:tcBorders>
            <w:shd w:val="clear" w:color="auto" w:fill="auto"/>
            <w:noWrap/>
            <w:vAlign w:val="bottom"/>
            <w:hideMark/>
          </w:tcPr>
          <w:p w14:paraId="14071E1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33</w:t>
            </w:r>
            <w:r>
              <w:rPr>
                <w:i/>
                <w:color w:val="000000"/>
                <w:sz w:val="12"/>
                <w:szCs w:val="16"/>
                <w:lang w:val="es-CO" w:eastAsia="es-CO"/>
              </w:rPr>
              <w:t>.</w:t>
            </w:r>
            <w:r w:rsidRPr="00F2046C">
              <w:rPr>
                <w:i/>
                <w:color w:val="000000"/>
                <w:sz w:val="12"/>
                <w:szCs w:val="16"/>
                <w:lang w:val="es-CO" w:eastAsia="es-CO"/>
              </w:rPr>
              <w:t>719</w:t>
            </w:r>
            <w:r>
              <w:rPr>
                <w:i/>
                <w:color w:val="000000"/>
                <w:sz w:val="12"/>
                <w:szCs w:val="16"/>
                <w:lang w:val="es-CO" w:eastAsia="es-CO"/>
              </w:rPr>
              <w:t>.</w:t>
            </w:r>
            <w:r w:rsidRPr="00F2046C">
              <w:rPr>
                <w:i/>
                <w:color w:val="000000"/>
                <w:sz w:val="12"/>
                <w:szCs w:val="16"/>
                <w:lang w:val="es-CO" w:eastAsia="es-CO"/>
              </w:rPr>
              <w:t>985</w:t>
            </w:r>
          </w:p>
        </w:tc>
        <w:tc>
          <w:tcPr>
            <w:tcW w:w="992" w:type="dxa"/>
            <w:tcBorders>
              <w:top w:val="nil"/>
              <w:left w:val="nil"/>
              <w:bottom w:val="single" w:sz="4" w:space="0" w:color="auto"/>
              <w:right w:val="single" w:sz="4" w:space="0" w:color="auto"/>
            </w:tcBorders>
            <w:shd w:val="clear" w:color="auto" w:fill="auto"/>
            <w:noWrap/>
            <w:vAlign w:val="bottom"/>
            <w:hideMark/>
          </w:tcPr>
          <w:p w14:paraId="7019633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19011F09"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B106A1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60</w:t>
            </w:r>
          </w:p>
        </w:tc>
        <w:tc>
          <w:tcPr>
            <w:tcW w:w="425" w:type="dxa"/>
            <w:tcBorders>
              <w:top w:val="nil"/>
              <w:left w:val="nil"/>
              <w:bottom w:val="single" w:sz="4" w:space="0" w:color="auto"/>
              <w:right w:val="single" w:sz="4" w:space="0" w:color="auto"/>
            </w:tcBorders>
            <w:shd w:val="clear" w:color="auto" w:fill="auto"/>
            <w:noWrap/>
            <w:vAlign w:val="bottom"/>
            <w:hideMark/>
          </w:tcPr>
          <w:p w14:paraId="1FC3F68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BD5C65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132749B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543648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5740BE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87</w:t>
            </w:r>
            <w:r>
              <w:rPr>
                <w:i/>
                <w:color w:val="000000"/>
                <w:sz w:val="12"/>
                <w:szCs w:val="16"/>
                <w:lang w:val="es-CO" w:eastAsia="es-CO"/>
              </w:rPr>
              <w:t>.</w:t>
            </w:r>
            <w:r w:rsidRPr="00F2046C">
              <w:rPr>
                <w:i/>
                <w:color w:val="000000"/>
                <w:sz w:val="12"/>
                <w:szCs w:val="16"/>
                <w:lang w:val="es-CO" w:eastAsia="es-CO"/>
              </w:rPr>
              <w:t>759</w:t>
            </w:r>
            <w:r>
              <w:rPr>
                <w:i/>
                <w:color w:val="000000"/>
                <w:sz w:val="12"/>
                <w:szCs w:val="16"/>
                <w:lang w:val="es-CO" w:eastAsia="es-CO"/>
              </w:rPr>
              <w:t>.</w:t>
            </w:r>
            <w:r w:rsidRPr="00F2046C">
              <w:rPr>
                <w:i/>
                <w:color w:val="000000"/>
                <w:sz w:val="12"/>
                <w:szCs w:val="16"/>
                <w:lang w:val="es-CO" w:eastAsia="es-CO"/>
              </w:rPr>
              <w:t>633</w:t>
            </w:r>
          </w:p>
        </w:tc>
      </w:tr>
      <w:tr w:rsidR="00BA56AD" w:rsidRPr="00F2046C" w14:paraId="1D710AC8"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6F06E03"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0B90C6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Estación GNC 500 m3/hora</w:t>
            </w:r>
          </w:p>
        </w:tc>
        <w:tc>
          <w:tcPr>
            <w:tcW w:w="851" w:type="dxa"/>
            <w:tcBorders>
              <w:top w:val="nil"/>
              <w:left w:val="nil"/>
              <w:bottom w:val="single" w:sz="4" w:space="0" w:color="auto"/>
              <w:right w:val="single" w:sz="4" w:space="0" w:color="auto"/>
            </w:tcBorders>
            <w:shd w:val="clear" w:color="auto" w:fill="auto"/>
            <w:noWrap/>
            <w:vAlign w:val="bottom"/>
            <w:hideMark/>
          </w:tcPr>
          <w:p w14:paraId="661CD44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RM500</w:t>
            </w:r>
          </w:p>
        </w:tc>
        <w:tc>
          <w:tcPr>
            <w:tcW w:w="992" w:type="dxa"/>
            <w:tcBorders>
              <w:top w:val="nil"/>
              <w:left w:val="nil"/>
              <w:bottom w:val="single" w:sz="4" w:space="0" w:color="auto"/>
              <w:right w:val="single" w:sz="4" w:space="0" w:color="auto"/>
            </w:tcBorders>
            <w:shd w:val="clear" w:color="auto" w:fill="auto"/>
            <w:noWrap/>
            <w:vAlign w:val="bottom"/>
            <w:hideMark/>
          </w:tcPr>
          <w:p w14:paraId="7B08AF5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402</w:t>
            </w:r>
            <w:r>
              <w:rPr>
                <w:i/>
                <w:color w:val="000000"/>
                <w:sz w:val="12"/>
                <w:szCs w:val="16"/>
                <w:lang w:val="es-CO" w:eastAsia="es-CO"/>
              </w:rPr>
              <w:t>.</w:t>
            </w:r>
            <w:r w:rsidRPr="00F2046C">
              <w:rPr>
                <w:i/>
                <w:color w:val="000000"/>
                <w:sz w:val="12"/>
                <w:szCs w:val="16"/>
                <w:lang w:val="es-CO" w:eastAsia="es-CO"/>
              </w:rPr>
              <w:t>161</w:t>
            </w:r>
            <w:r>
              <w:rPr>
                <w:i/>
                <w:color w:val="000000"/>
                <w:sz w:val="12"/>
                <w:szCs w:val="16"/>
                <w:lang w:val="es-CO" w:eastAsia="es-CO"/>
              </w:rPr>
              <w:t>.</w:t>
            </w:r>
            <w:r w:rsidRPr="00F2046C">
              <w:rPr>
                <w:i/>
                <w:color w:val="000000"/>
                <w:sz w:val="12"/>
                <w:szCs w:val="16"/>
                <w:lang w:val="es-CO" w:eastAsia="es-CO"/>
              </w:rPr>
              <w:t>331</w:t>
            </w:r>
          </w:p>
        </w:tc>
        <w:tc>
          <w:tcPr>
            <w:tcW w:w="992" w:type="dxa"/>
            <w:tcBorders>
              <w:top w:val="nil"/>
              <w:left w:val="nil"/>
              <w:bottom w:val="single" w:sz="4" w:space="0" w:color="auto"/>
              <w:right w:val="single" w:sz="4" w:space="0" w:color="auto"/>
            </w:tcBorders>
            <w:shd w:val="clear" w:color="auto" w:fill="auto"/>
            <w:noWrap/>
            <w:vAlign w:val="bottom"/>
            <w:hideMark/>
          </w:tcPr>
          <w:p w14:paraId="173B66A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CDD405F"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EFB6F7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EEF810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5365CE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51972F4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FFDD8C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8728BF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402</w:t>
            </w:r>
            <w:r>
              <w:rPr>
                <w:i/>
                <w:color w:val="000000"/>
                <w:sz w:val="12"/>
                <w:szCs w:val="16"/>
                <w:lang w:val="es-CO" w:eastAsia="es-CO"/>
              </w:rPr>
              <w:t>.</w:t>
            </w:r>
            <w:r w:rsidRPr="00F2046C">
              <w:rPr>
                <w:i/>
                <w:color w:val="000000"/>
                <w:sz w:val="12"/>
                <w:szCs w:val="16"/>
                <w:lang w:val="es-CO" w:eastAsia="es-CO"/>
              </w:rPr>
              <w:t>161</w:t>
            </w:r>
            <w:r>
              <w:rPr>
                <w:i/>
                <w:color w:val="000000"/>
                <w:sz w:val="12"/>
                <w:szCs w:val="16"/>
                <w:lang w:val="es-CO" w:eastAsia="es-CO"/>
              </w:rPr>
              <w:t>.</w:t>
            </w:r>
            <w:r w:rsidRPr="00F2046C">
              <w:rPr>
                <w:i/>
                <w:color w:val="000000"/>
                <w:sz w:val="12"/>
                <w:szCs w:val="16"/>
                <w:lang w:val="es-CO" w:eastAsia="es-CO"/>
              </w:rPr>
              <w:t>331</w:t>
            </w:r>
          </w:p>
        </w:tc>
      </w:tr>
      <w:tr w:rsidR="00BA56AD" w:rsidRPr="00F2046C" w14:paraId="0424E425"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4B75208"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7D2B94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Paso Especial 6 Metros</w:t>
            </w:r>
          </w:p>
        </w:tc>
        <w:tc>
          <w:tcPr>
            <w:tcW w:w="851" w:type="dxa"/>
            <w:tcBorders>
              <w:top w:val="nil"/>
              <w:left w:val="nil"/>
              <w:bottom w:val="single" w:sz="4" w:space="0" w:color="auto"/>
              <w:right w:val="single" w:sz="4" w:space="0" w:color="auto"/>
            </w:tcBorders>
            <w:shd w:val="clear" w:color="auto" w:fill="auto"/>
            <w:noWrap/>
            <w:vAlign w:val="bottom"/>
            <w:hideMark/>
          </w:tcPr>
          <w:p w14:paraId="4A1B81E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TMP-1</w:t>
            </w:r>
          </w:p>
        </w:tc>
        <w:tc>
          <w:tcPr>
            <w:tcW w:w="992" w:type="dxa"/>
            <w:tcBorders>
              <w:top w:val="nil"/>
              <w:left w:val="nil"/>
              <w:bottom w:val="single" w:sz="4" w:space="0" w:color="auto"/>
              <w:right w:val="single" w:sz="4" w:space="0" w:color="auto"/>
            </w:tcBorders>
            <w:shd w:val="clear" w:color="auto" w:fill="auto"/>
            <w:noWrap/>
            <w:vAlign w:val="bottom"/>
            <w:hideMark/>
          </w:tcPr>
          <w:p w14:paraId="1C529CD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974</w:t>
            </w:r>
            <w:r>
              <w:rPr>
                <w:i/>
                <w:color w:val="000000"/>
                <w:sz w:val="12"/>
                <w:szCs w:val="16"/>
                <w:lang w:val="es-CO" w:eastAsia="es-CO"/>
              </w:rPr>
              <w:t>.</w:t>
            </w:r>
            <w:r w:rsidRPr="00F2046C">
              <w:rPr>
                <w:i/>
                <w:color w:val="000000"/>
                <w:sz w:val="12"/>
                <w:szCs w:val="16"/>
                <w:lang w:val="es-CO" w:eastAsia="es-CO"/>
              </w:rPr>
              <w:t>125</w:t>
            </w:r>
          </w:p>
        </w:tc>
        <w:tc>
          <w:tcPr>
            <w:tcW w:w="992" w:type="dxa"/>
            <w:tcBorders>
              <w:top w:val="nil"/>
              <w:left w:val="nil"/>
              <w:bottom w:val="single" w:sz="4" w:space="0" w:color="auto"/>
              <w:right w:val="single" w:sz="4" w:space="0" w:color="auto"/>
            </w:tcBorders>
            <w:shd w:val="clear" w:color="auto" w:fill="auto"/>
            <w:noWrap/>
            <w:vAlign w:val="bottom"/>
            <w:hideMark/>
          </w:tcPr>
          <w:p w14:paraId="285685A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Especiales</w:t>
            </w:r>
          </w:p>
        </w:tc>
        <w:tc>
          <w:tcPr>
            <w:tcW w:w="851" w:type="dxa"/>
            <w:tcBorders>
              <w:top w:val="nil"/>
              <w:left w:val="nil"/>
              <w:bottom w:val="single" w:sz="4" w:space="0" w:color="auto"/>
              <w:right w:val="single" w:sz="4" w:space="0" w:color="auto"/>
            </w:tcBorders>
            <w:shd w:val="clear" w:color="auto" w:fill="auto"/>
            <w:noWrap/>
            <w:vAlign w:val="bottom"/>
            <w:hideMark/>
          </w:tcPr>
          <w:p w14:paraId="1A51D99E"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116519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045343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9F0454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719F33F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39AB11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08908D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974</w:t>
            </w:r>
            <w:r>
              <w:rPr>
                <w:i/>
                <w:color w:val="000000"/>
                <w:sz w:val="12"/>
                <w:szCs w:val="16"/>
                <w:lang w:val="es-CO" w:eastAsia="es-CO"/>
              </w:rPr>
              <w:t>.</w:t>
            </w:r>
            <w:r w:rsidRPr="00F2046C">
              <w:rPr>
                <w:i/>
                <w:color w:val="000000"/>
                <w:sz w:val="12"/>
                <w:szCs w:val="16"/>
                <w:lang w:val="es-CO" w:eastAsia="es-CO"/>
              </w:rPr>
              <w:t>125</w:t>
            </w:r>
          </w:p>
        </w:tc>
      </w:tr>
      <w:tr w:rsidR="00BA56AD" w:rsidRPr="00F2046C" w14:paraId="5A95FC72"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6511039"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Belén de los Andaquies</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EE817B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Paso Especial 14 Metros</w:t>
            </w:r>
          </w:p>
        </w:tc>
        <w:tc>
          <w:tcPr>
            <w:tcW w:w="851" w:type="dxa"/>
            <w:tcBorders>
              <w:top w:val="nil"/>
              <w:left w:val="nil"/>
              <w:bottom w:val="single" w:sz="4" w:space="0" w:color="auto"/>
              <w:right w:val="single" w:sz="4" w:space="0" w:color="auto"/>
            </w:tcBorders>
            <w:shd w:val="clear" w:color="auto" w:fill="auto"/>
            <w:noWrap/>
            <w:vAlign w:val="bottom"/>
            <w:hideMark/>
          </w:tcPr>
          <w:p w14:paraId="68E2025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TMP-3</w:t>
            </w:r>
          </w:p>
        </w:tc>
        <w:tc>
          <w:tcPr>
            <w:tcW w:w="992" w:type="dxa"/>
            <w:tcBorders>
              <w:top w:val="nil"/>
              <w:left w:val="nil"/>
              <w:bottom w:val="single" w:sz="4" w:space="0" w:color="auto"/>
              <w:right w:val="single" w:sz="4" w:space="0" w:color="auto"/>
            </w:tcBorders>
            <w:shd w:val="clear" w:color="auto" w:fill="auto"/>
            <w:noWrap/>
            <w:vAlign w:val="bottom"/>
            <w:hideMark/>
          </w:tcPr>
          <w:p w14:paraId="417FEAE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11</w:t>
            </w:r>
            <w:r>
              <w:rPr>
                <w:i/>
                <w:color w:val="000000"/>
                <w:sz w:val="12"/>
                <w:szCs w:val="16"/>
                <w:lang w:val="es-CO" w:eastAsia="es-CO"/>
              </w:rPr>
              <w:t>.</w:t>
            </w:r>
            <w:r w:rsidRPr="00F2046C">
              <w:rPr>
                <w:i/>
                <w:color w:val="000000"/>
                <w:sz w:val="12"/>
                <w:szCs w:val="16"/>
                <w:lang w:val="es-CO" w:eastAsia="es-CO"/>
              </w:rPr>
              <w:t>182</w:t>
            </w:r>
            <w:r>
              <w:rPr>
                <w:i/>
                <w:color w:val="000000"/>
                <w:sz w:val="12"/>
                <w:szCs w:val="16"/>
                <w:lang w:val="es-CO" w:eastAsia="es-CO"/>
              </w:rPr>
              <w:t>.</w:t>
            </w:r>
            <w:r w:rsidRPr="00F2046C">
              <w:rPr>
                <w:i/>
                <w:color w:val="000000"/>
                <w:sz w:val="12"/>
                <w:szCs w:val="16"/>
                <w:lang w:val="es-CO" w:eastAsia="es-CO"/>
              </w:rPr>
              <w:t>819</w:t>
            </w:r>
          </w:p>
        </w:tc>
        <w:tc>
          <w:tcPr>
            <w:tcW w:w="992" w:type="dxa"/>
            <w:tcBorders>
              <w:top w:val="nil"/>
              <w:left w:val="nil"/>
              <w:bottom w:val="single" w:sz="4" w:space="0" w:color="auto"/>
              <w:right w:val="single" w:sz="4" w:space="0" w:color="auto"/>
            </w:tcBorders>
            <w:shd w:val="clear" w:color="auto" w:fill="auto"/>
            <w:noWrap/>
            <w:vAlign w:val="bottom"/>
            <w:hideMark/>
          </w:tcPr>
          <w:p w14:paraId="6363044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Especiales</w:t>
            </w:r>
          </w:p>
        </w:tc>
        <w:tc>
          <w:tcPr>
            <w:tcW w:w="851" w:type="dxa"/>
            <w:tcBorders>
              <w:top w:val="nil"/>
              <w:left w:val="nil"/>
              <w:bottom w:val="single" w:sz="4" w:space="0" w:color="auto"/>
              <w:right w:val="single" w:sz="4" w:space="0" w:color="auto"/>
            </w:tcBorders>
            <w:shd w:val="clear" w:color="auto" w:fill="auto"/>
            <w:noWrap/>
            <w:vAlign w:val="bottom"/>
            <w:hideMark/>
          </w:tcPr>
          <w:p w14:paraId="68A7A3EE"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248CBA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DB8EE7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AA0A17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7F606F4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19B126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251CBD4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11</w:t>
            </w:r>
            <w:r>
              <w:rPr>
                <w:i/>
                <w:color w:val="000000"/>
                <w:sz w:val="12"/>
                <w:szCs w:val="16"/>
                <w:lang w:val="es-CO" w:eastAsia="es-CO"/>
              </w:rPr>
              <w:t>.</w:t>
            </w:r>
            <w:r w:rsidRPr="00F2046C">
              <w:rPr>
                <w:i/>
                <w:color w:val="000000"/>
                <w:sz w:val="12"/>
                <w:szCs w:val="16"/>
                <w:lang w:val="es-CO" w:eastAsia="es-CO"/>
              </w:rPr>
              <w:t>182</w:t>
            </w:r>
            <w:r>
              <w:rPr>
                <w:i/>
                <w:color w:val="000000"/>
                <w:sz w:val="12"/>
                <w:szCs w:val="16"/>
                <w:lang w:val="es-CO" w:eastAsia="es-CO"/>
              </w:rPr>
              <w:t>.</w:t>
            </w:r>
            <w:r w:rsidRPr="00F2046C">
              <w:rPr>
                <w:i/>
                <w:color w:val="000000"/>
                <w:sz w:val="12"/>
                <w:szCs w:val="16"/>
                <w:lang w:val="es-CO" w:eastAsia="es-CO"/>
              </w:rPr>
              <w:t>819</w:t>
            </w:r>
          </w:p>
        </w:tc>
      </w:tr>
      <w:tr w:rsidR="00BA56AD" w:rsidRPr="00F2046C" w14:paraId="42C1DC2E"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7028F55"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8419BA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17FC2A9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TPE1/2AS</w:t>
            </w:r>
          </w:p>
        </w:tc>
        <w:tc>
          <w:tcPr>
            <w:tcW w:w="992" w:type="dxa"/>
            <w:tcBorders>
              <w:top w:val="nil"/>
              <w:left w:val="nil"/>
              <w:bottom w:val="single" w:sz="4" w:space="0" w:color="auto"/>
              <w:right w:val="single" w:sz="4" w:space="0" w:color="auto"/>
            </w:tcBorders>
            <w:shd w:val="clear" w:color="auto" w:fill="auto"/>
            <w:noWrap/>
            <w:vAlign w:val="bottom"/>
            <w:hideMark/>
          </w:tcPr>
          <w:p w14:paraId="3FFB623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75</w:t>
            </w:r>
            <w:r>
              <w:rPr>
                <w:i/>
                <w:color w:val="000000"/>
                <w:sz w:val="12"/>
                <w:szCs w:val="16"/>
                <w:lang w:val="es-CO" w:eastAsia="es-CO"/>
              </w:rPr>
              <w:t>.</w:t>
            </w:r>
            <w:r w:rsidRPr="00F2046C">
              <w:rPr>
                <w:i/>
                <w:color w:val="000000"/>
                <w:sz w:val="12"/>
                <w:szCs w:val="16"/>
                <w:lang w:val="es-CO" w:eastAsia="es-CO"/>
              </w:rPr>
              <w:t>816</w:t>
            </w:r>
            <w:r>
              <w:rPr>
                <w:i/>
                <w:color w:val="000000"/>
                <w:sz w:val="12"/>
                <w:szCs w:val="16"/>
                <w:lang w:val="es-CO" w:eastAsia="es-CO"/>
              </w:rPr>
              <w:t>.</w:t>
            </w:r>
            <w:r w:rsidRPr="00F2046C">
              <w:rPr>
                <w:i/>
                <w:color w:val="000000"/>
                <w:sz w:val="12"/>
                <w:szCs w:val="16"/>
                <w:lang w:val="es-CO" w:eastAsia="es-CO"/>
              </w:rPr>
              <w:t>559</w:t>
            </w:r>
          </w:p>
        </w:tc>
        <w:tc>
          <w:tcPr>
            <w:tcW w:w="992" w:type="dxa"/>
            <w:tcBorders>
              <w:top w:val="nil"/>
              <w:left w:val="nil"/>
              <w:bottom w:val="single" w:sz="4" w:space="0" w:color="auto"/>
              <w:right w:val="single" w:sz="4" w:space="0" w:color="auto"/>
            </w:tcBorders>
            <w:shd w:val="clear" w:color="auto" w:fill="auto"/>
            <w:noWrap/>
            <w:vAlign w:val="bottom"/>
            <w:hideMark/>
          </w:tcPr>
          <w:p w14:paraId="29F38CA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7F67D71A"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DB40AF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08</w:t>
            </w:r>
          </w:p>
        </w:tc>
        <w:tc>
          <w:tcPr>
            <w:tcW w:w="425" w:type="dxa"/>
            <w:tcBorders>
              <w:top w:val="nil"/>
              <w:left w:val="nil"/>
              <w:bottom w:val="single" w:sz="4" w:space="0" w:color="auto"/>
              <w:right w:val="single" w:sz="4" w:space="0" w:color="auto"/>
            </w:tcBorders>
            <w:shd w:val="clear" w:color="auto" w:fill="auto"/>
            <w:noWrap/>
            <w:vAlign w:val="bottom"/>
            <w:hideMark/>
          </w:tcPr>
          <w:p w14:paraId="0F16603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87591F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016E94B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A4C095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220F5F2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w:t>
            </w:r>
            <w:r>
              <w:rPr>
                <w:i/>
                <w:color w:val="000000"/>
                <w:sz w:val="12"/>
                <w:szCs w:val="16"/>
                <w:lang w:val="es-CO" w:eastAsia="es-CO"/>
              </w:rPr>
              <w:t>.</w:t>
            </w:r>
            <w:r w:rsidRPr="00F2046C">
              <w:rPr>
                <w:i/>
                <w:color w:val="000000"/>
                <w:sz w:val="12"/>
                <w:szCs w:val="16"/>
                <w:lang w:val="es-CO" w:eastAsia="es-CO"/>
              </w:rPr>
              <w:t>330</w:t>
            </w:r>
            <w:r>
              <w:rPr>
                <w:i/>
                <w:color w:val="000000"/>
                <w:sz w:val="12"/>
                <w:szCs w:val="16"/>
                <w:lang w:val="es-CO" w:eastAsia="es-CO"/>
              </w:rPr>
              <w:t>.</w:t>
            </w:r>
            <w:r w:rsidRPr="00F2046C">
              <w:rPr>
                <w:i/>
                <w:color w:val="000000"/>
                <w:sz w:val="12"/>
                <w:szCs w:val="16"/>
                <w:lang w:val="es-CO" w:eastAsia="es-CO"/>
              </w:rPr>
              <w:t>683</w:t>
            </w:r>
          </w:p>
        </w:tc>
      </w:tr>
      <w:tr w:rsidR="00BA56AD" w:rsidRPr="00F2046C" w14:paraId="789014DE"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228A8B7"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CDD481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2023DC3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TPE3/4AS</w:t>
            </w:r>
          </w:p>
        </w:tc>
        <w:tc>
          <w:tcPr>
            <w:tcW w:w="992" w:type="dxa"/>
            <w:tcBorders>
              <w:top w:val="nil"/>
              <w:left w:val="nil"/>
              <w:bottom w:val="single" w:sz="4" w:space="0" w:color="auto"/>
              <w:right w:val="single" w:sz="4" w:space="0" w:color="auto"/>
            </w:tcBorders>
            <w:shd w:val="clear" w:color="auto" w:fill="auto"/>
            <w:noWrap/>
            <w:vAlign w:val="bottom"/>
            <w:hideMark/>
          </w:tcPr>
          <w:p w14:paraId="1AC3405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76</w:t>
            </w:r>
            <w:r>
              <w:rPr>
                <w:i/>
                <w:color w:val="000000"/>
                <w:sz w:val="12"/>
                <w:szCs w:val="16"/>
                <w:lang w:val="es-CO" w:eastAsia="es-CO"/>
              </w:rPr>
              <w:t>.</w:t>
            </w:r>
            <w:r w:rsidRPr="00F2046C">
              <w:rPr>
                <w:i/>
                <w:color w:val="000000"/>
                <w:sz w:val="12"/>
                <w:szCs w:val="16"/>
                <w:lang w:val="es-CO" w:eastAsia="es-CO"/>
              </w:rPr>
              <w:t>715</w:t>
            </w:r>
            <w:r>
              <w:rPr>
                <w:i/>
                <w:color w:val="000000"/>
                <w:sz w:val="12"/>
                <w:szCs w:val="16"/>
                <w:lang w:val="es-CO" w:eastAsia="es-CO"/>
              </w:rPr>
              <w:t>.</w:t>
            </w:r>
            <w:r w:rsidRPr="00F2046C">
              <w:rPr>
                <w:i/>
                <w:color w:val="000000"/>
                <w:sz w:val="12"/>
                <w:szCs w:val="16"/>
                <w:lang w:val="es-CO" w:eastAsia="es-CO"/>
              </w:rPr>
              <w:t>959</w:t>
            </w:r>
          </w:p>
        </w:tc>
        <w:tc>
          <w:tcPr>
            <w:tcW w:w="992" w:type="dxa"/>
            <w:tcBorders>
              <w:top w:val="nil"/>
              <w:left w:val="nil"/>
              <w:bottom w:val="single" w:sz="4" w:space="0" w:color="auto"/>
              <w:right w:val="single" w:sz="4" w:space="0" w:color="auto"/>
            </w:tcBorders>
            <w:shd w:val="clear" w:color="auto" w:fill="auto"/>
            <w:noWrap/>
            <w:vAlign w:val="bottom"/>
            <w:hideMark/>
          </w:tcPr>
          <w:p w14:paraId="4F87D25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289E6A05"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055FDA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46</w:t>
            </w:r>
          </w:p>
        </w:tc>
        <w:tc>
          <w:tcPr>
            <w:tcW w:w="425" w:type="dxa"/>
            <w:tcBorders>
              <w:top w:val="nil"/>
              <w:left w:val="nil"/>
              <w:bottom w:val="single" w:sz="4" w:space="0" w:color="auto"/>
              <w:right w:val="single" w:sz="4" w:space="0" w:color="auto"/>
            </w:tcBorders>
            <w:shd w:val="clear" w:color="auto" w:fill="auto"/>
            <w:noWrap/>
            <w:vAlign w:val="bottom"/>
            <w:hideMark/>
          </w:tcPr>
          <w:p w14:paraId="5DF2016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82DD78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01B1B4C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970F74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DCA64F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35</w:t>
            </w:r>
            <w:r>
              <w:rPr>
                <w:i/>
                <w:color w:val="000000"/>
                <w:sz w:val="12"/>
                <w:szCs w:val="16"/>
                <w:lang w:val="es-CO" w:eastAsia="es-CO"/>
              </w:rPr>
              <w:t>.</w:t>
            </w:r>
            <w:r w:rsidRPr="00F2046C">
              <w:rPr>
                <w:i/>
                <w:color w:val="000000"/>
                <w:sz w:val="12"/>
                <w:szCs w:val="16"/>
                <w:lang w:val="es-CO" w:eastAsia="es-CO"/>
              </w:rPr>
              <w:t>174</w:t>
            </w:r>
            <w:r>
              <w:rPr>
                <w:i/>
                <w:color w:val="000000"/>
                <w:sz w:val="12"/>
                <w:szCs w:val="16"/>
                <w:lang w:val="es-CO" w:eastAsia="es-CO"/>
              </w:rPr>
              <w:t>.</w:t>
            </w:r>
            <w:r w:rsidRPr="00F2046C">
              <w:rPr>
                <w:i/>
                <w:color w:val="000000"/>
                <w:sz w:val="12"/>
                <w:szCs w:val="16"/>
                <w:lang w:val="es-CO" w:eastAsia="es-CO"/>
              </w:rPr>
              <w:t>267</w:t>
            </w:r>
          </w:p>
        </w:tc>
      </w:tr>
      <w:tr w:rsidR="00BA56AD" w:rsidRPr="00F2046C" w14:paraId="46D4862F"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A7D913E"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E39D67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1BE525A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TPE2AS</w:t>
            </w:r>
          </w:p>
        </w:tc>
        <w:tc>
          <w:tcPr>
            <w:tcW w:w="992" w:type="dxa"/>
            <w:tcBorders>
              <w:top w:val="nil"/>
              <w:left w:val="nil"/>
              <w:bottom w:val="single" w:sz="4" w:space="0" w:color="auto"/>
              <w:right w:val="single" w:sz="4" w:space="0" w:color="auto"/>
            </w:tcBorders>
            <w:shd w:val="clear" w:color="auto" w:fill="auto"/>
            <w:noWrap/>
            <w:vAlign w:val="bottom"/>
            <w:hideMark/>
          </w:tcPr>
          <w:p w14:paraId="40E2B87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87</w:t>
            </w:r>
            <w:r>
              <w:rPr>
                <w:i/>
                <w:color w:val="000000"/>
                <w:sz w:val="12"/>
                <w:szCs w:val="16"/>
                <w:lang w:val="es-CO" w:eastAsia="es-CO"/>
              </w:rPr>
              <w:t>.</w:t>
            </w:r>
            <w:r w:rsidRPr="00F2046C">
              <w:rPr>
                <w:i/>
                <w:color w:val="000000"/>
                <w:sz w:val="12"/>
                <w:szCs w:val="16"/>
                <w:lang w:val="es-CO" w:eastAsia="es-CO"/>
              </w:rPr>
              <w:t>082</w:t>
            </w:r>
            <w:r>
              <w:rPr>
                <w:i/>
                <w:color w:val="000000"/>
                <w:sz w:val="12"/>
                <w:szCs w:val="16"/>
                <w:lang w:val="es-CO" w:eastAsia="es-CO"/>
              </w:rPr>
              <w:t>.</w:t>
            </w:r>
            <w:r w:rsidRPr="00F2046C">
              <w:rPr>
                <w:i/>
                <w:color w:val="000000"/>
                <w:sz w:val="12"/>
                <w:szCs w:val="16"/>
                <w:lang w:val="es-CO" w:eastAsia="es-CO"/>
              </w:rPr>
              <w:t>705</w:t>
            </w:r>
          </w:p>
        </w:tc>
        <w:tc>
          <w:tcPr>
            <w:tcW w:w="992" w:type="dxa"/>
            <w:tcBorders>
              <w:top w:val="nil"/>
              <w:left w:val="nil"/>
              <w:bottom w:val="single" w:sz="4" w:space="0" w:color="auto"/>
              <w:right w:val="single" w:sz="4" w:space="0" w:color="auto"/>
            </w:tcBorders>
            <w:shd w:val="clear" w:color="auto" w:fill="auto"/>
            <w:noWrap/>
            <w:vAlign w:val="bottom"/>
            <w:hideMark/>
          </w:tcPr>
          <w:p w14:paraId="54CB483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159DDBB8"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402D9B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30</w:t>
            </w:r>
          </w:p>
        </w:tc>
        <w:tc>
          <w:tcPr>
            <w:tcW w:w="425" w:type="dxa"/>
            <w:tcBorders>
              <w:top w:val="nil"/>
              <w:left w:val="nil"/>
              <w:bottom w:val="single" w:sz="4" w:space="0" w:color="auto"/>
              <w:right w:val="single" w:sz="4" w:space="0" w:color="auto"/>
            </w:tcBorders>
            <w:shd w:val="clear" w:color="auto" w:fill="auto"/>
            <w:noWrap/>
            <w:vAlign w:val="bottom"/>
            <w:hideMark/>
          </w:tcPr>
          <w:p w14:paraId="5C6814D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FF3FBC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6E0FF22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4CA176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07F1158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26</w:t>
            </w:r>
            <w:r>
              <w:rPr>
                <w:i/>
                <w:color w:val="000000"/>
                <w:sz w:val="12"/>
                <w:szCs w:val="16"/>
                <w:lang w:val="es-CO" w:eastAsia="es-CO"/>
              </w:rPr>
              <w:t>.</w:t>
            </w:r>
            <w:r w:rsidRPr="00F2046C">
              <w:rPr>
                <w:i/>
                <w:color w:val="000000"/>
                <w:sz w:val="12"/>
                <w:szCs w:val="16"/>
                <w:lang w:val="es-CO" w:eastAsia="es-CO"/>
              </w:rPr>
              <w:t>255</w:t>
            </w:r>
            <w:r>
              <w:rPr>
                <w:i/>
                <w:color w:val="000000"/>
                <w:sz w:val="12"/>
                <w:szCs w:val="16"/>
                <w:lang w:val="es-CO" w:eastAsia="es-CO"/>
              </w:rPr>
              <w:t>.</w:t>
            </w:r>
            <w:r w:rsidRPr="00F2046C">
              <w:rPr>
                <w:i/>
                <w:color w:val="000000"/>
                <w:sz w:val="12"/>
                <w:szCs w:val="16"/>
                <w:lang w:val="es-CO" w:eastAsia="es-CO"/>
              </w:rPr>
              <w:t>436</w:t>
            </w:r>
          </w:p>
        </w:tc>
      </w:tr>
      <w:tr w:rsidR="00BA56AD" w:rsidRPr="00F2046C" w14:paraId="4B7D7388"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22C893F"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19A1D5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70654CB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TPE1/2CO</w:t>
            </w:r>
          </w:p>
        </w:tc>
        <w:tc>
          <w:tcPr>
            <w:tcW w:w="992" w:type="dxa"/>
            <w:tcBorders>
              <w:top w:val="nil"/>
              <w:left w:val="nil"/>
              <w:bottom w:val="single" w:sz="4" w:space="0" w:color="auto"/>
              <w:right w:val="single" w:sz="4" w:space="0" w:color="auto"/>
            </w:tcBorders>
            <w:shd w:val="clear" w:color="auto" w:fill="auto"/>
            <w:noWrap/>
            <w:vAlign w:val="bottom"/>
            <w:hideMark/>
          </w:tcPr>
          <w:p w14:paraId="793C800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74</w:t>
            </w:r>
            <w:r>
              <w:rPr>
                <w:i/>
                <w:color w:val="000000"/>
                <w:sz w:val="12"/>
                <w:szCs w:val="16"/>
                <w:lang w:val="es-CO" w:eastAsia="es-CO"/>
              </w:rPr>
              <w:t>.</w:t>
            </w:r>
            <w:r w:rsidRPr="00F2046C">
              <w:rPr>
                <w:i/>
                <w:color w:val="000000"/>
                <w:sz w:val="12"/>
                <w:szCs w:val="16"/>
                <w:lang w:val="es-CO" w:eastAsia="es-CO"/>
              </w:rPr>
              <w:t>429</w:t>
            </w:r>
            <w:r>
              <w:rPr>
                <w:i/>
                <w:color w:val="000000"/>
                <w:sz w:val="12"/>
                <w:szCs w:val="16"/>
                <w:lang w:val="es-CO" w:eastAsia="es-CO"/>
              </w:rPr>
              <w:t>.</w:t>
            </w:r>
            <w:r w:rsidRPr="00F2046C">
              <w:rPr>
                <w:i/>
                <w:color w:val="000000"/>
                <w:sz w:val="12"/>
                <w:szCs w:val="16"/>
                <w:lang w:val="es-CO" w:eastAsia="es-CO"/>
              </w:rPr>
              <w:t>578</w:t>
            </w:r>
          </w:p>
        </w:tc>
        <w:tc>
          <w:tcPr>
            <w:tcW w:w="992" w:type="dxa"/>
            <w:tcBorders>
              <w:top w:val="nil"/>
              <w:left w:val="nil"/>
              <w:bottom w:val="single" w:sz="4" w:space="0" w:color="auto"/>
              <w:right w:val="single" w:sz="4" w:space="0" w:color="auto"/>
            </w:tcBorders>
            <w:shd w:val="clear" w:color="auto" w:fill="auto"/>
            <w:noWrap/>
            <w:vAlign w:val="bottom"/>
            <w:hideMark/>
          </w:tcPr>
          <w:p w14:paraId="2107DF3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460AF8A7"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bottom"/>
            <w:hideMark/>
          </w:tcPr>
          <w:p w14:paraId="2DF1F6E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05</w:t>
            </w:r>
          </w:p>
        </w:tc>
        <w:tc>
          <w:tcPr>
            <w:tcW w:w="425" w:type="dxa"/>
            <w:tcBorders>
              <w:top w:val="nil"/>
              <w:left w:val="nil"/>
              <w:bottom w:val="single" w:sz="4" w:space="0" w:color="auto"/>
              <w:right w:val="single" w:sz="4" w:space="0" w:color="auto"/>
            </w:tcBorders>
            <w:shd w:val="clear" w:color="auto" w:fill="auto"/>
            <w:noWrap/>
            <w:vAlign w:val="bottom"/>
            <w:hideMark/>
          </w:tcPr>
          <w:p w14:paraId="369B079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47FF53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6BF011E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3EAD42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2D9E04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w:t>
            </w:r>
            <w:r>
              <w:rPr>
                <w:i/>
                <w:color w:val="000000"/>
                <w:sz w:val="12"/>
                <w:szCs w:val="16"/>
                <w:lang w:val="es-CO" w:eastAsia="es-CO"/>
              </w:rPr>
              <w:t>.</w:t>
            </w:r>
            <w:r w:rsidRPr="00F2046C">
              <w:rPr>
                <w:i/>
                <w:color w:val="000000"/>
                <w:sz w:val="12"/>
                <w:szCs w:val="16"/>
                <w:lang w:val="es-CO" w:eastAsia="es-CO"/>
              </w:rPr>
              <w:t>498</w:t>
            </w:r>
            <w:r>
              <w:rPr>
                <w:i/>
                <w:color w:val="000000"/>
                <w:sz w:val="12"/>
                <w:szCs w:val="16"/>
                <w:lang w:val="es-CO" w:eastAsia="es-CO"/>
              </w:rPr>
              <w:t>.</w:t>
            </w:r>
            <w:r w:rsidRPr="00F2046C">
              <w:rPr>
                <w:i/>
                <w:color w:val="000000"/>
                <w:sz w:val="12"/>
                <w:szCs w:val="16"/>
                <w:lang w:val="es-CO" w:eastAsia="es-CO"/>
              </w:rPr>
              <w:t>190</w:t>
            </w:r>
          </w:p>
        </w:tc>
      </w:tr>
      <w:tr w:rsidR="00BA56AD" w:rsidRPr="00F2046C" w14:paraId="3E3082D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6C618A7"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8AC75E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2B3380A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TPE3/4CO</w:t>
            </w:r>
          </w:p>
        </w:tc>
        <w:tc>
          <w:tcPr>
            <w:tcW w:w="992" w:type="dxa"/>
            <w:tcBorders>
              <w:top w:val="nil"/>
              <w:left w:val="nil"/>
              <w:bottom w:val="single" w:sz="4" w:space="0" w:color="auto"/>
              <w:right w:val="single" w:sz="4" w:space="0" w:color="auto"/>
            </w:tcBorders>
            <w:shd w:val="clear" w:color="auto" w:fill="auto"/>
            <w:noWrap/>
            <w:vAlign w:val="bottom"/>
            <w:hideMark/>
          </w:tcPr>
          <w:p w14:paraId="71DB2B7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75</w:t>
            </w:r>
            <w:r>
              <w:rPr>
                <w:i/>
                <w:color w:val="000000"/>
                <w:sz w:val="12"/>
                <w:szCs w:val="16"/>
                <w:lang w:val="es-CO" w:eastAsia="es-CO"/>
              </w:rPr>
              <w:t>.</w:t>
            </w:r>
            <w:r w:rsidRPr="00F2046C">
              <w:rPr>
                <w:i/>
                <w:color w:val="000000"/>
                <w:sz w:val="12"/>
                <w:szCs w:val="16"/>
                <w:lang w:val="es-CO" w:eastAsia="es-CO"/>
              </w:rPr>
              <w:t>269</w:t>
            </w:r>
            <w:r>
              <w:rPr>
                <w:i/>
                <w:color w:val="000000"/>
                <w:sz w:val="12"/>
                <w:szCs w:val="16"/>
                <w:lang w:val="es-CO" w:eastAsia="es-CO"/>
              </w:rPr>
              <w:t>.</w:t>
            </w:r>
            <w:r w:rsidRPr="00F2046C">
              <w:rPr>
                <w:i/>
                <w:color w:val="000000"/>
                <w:sz w:val="12"/>
                <w:szCs w:val="16"/>
                <w:lang w:val="es-CO" w:eastAsia="es-CO"/>
              </w:rPr>
              <w:t>785</w:t>
            </w:r>
          </w:p>
        </w:tc>
        <w:tc>
          <w:tcPr>
            <w:tcW w:w="992" w:type="dxa"/>
            <w:tcBorders>
              <w:top w:val="nil"/>
              <w:left w:val="nil"/>
              <w:bottom w:val="single" w:sz="4" w:space="0" w:color="auto"/>
              <w:right w:val="single" w:sz="4" w:space="0" w:color="auto"/>
            </w:tcBorders>
            <w:shd w:val="clear" w:color="auto" w:fill="auto"/>
            <w:noWrap/>
            <w:vAlign w:val="bottom"/>
            <w:hideMark/>
          </w:tcPr>
          <w:p w14:paraId="001F087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41947281"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9E5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18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3BA7B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9F433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E3A13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AC0F2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7ECDF4A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13</w:t>
            </w:r>
            <w:r>
              <w:rPr>
                <w:i/>
                <w:color w:val="000000"/>
                <w:sz w:val="12"/>
                <w:szCs w:val="16"/>
                <w:lang w:val="es-CO" w:eastAsia="es-CO"/>
              </w:rPr>
              <w:t>.</w:t>
            </w:r>
            <w:r w:rsidRPr="00F2046C">
              <w:rPr>
                <w:i/>
                <w:color w:val="000000"/>
                <w:sz w:val="12"/>
                <w:szCs w:val="16"/>
                <w:lang w:val="es-CO" w:eastAsia="es-CO"/>
              </w:rPr>
              <w:t>435</w:t>
            </w:r>
            <w:r>
              <w:rPr>
                <w:i/>
                <w:color w:val="000000"/>
                <w:sz w:val="12"/>
                <w:szCs w:val="16"/>
                <w:lang w:val="es-CO" w:eastAsia="es-CO"/>
              </w:rPr>
              <w:t>.</w:t>
            </w:r>
            <w:r w:rsidRPr="00F2046C">
              <w:rPr>
                <w:i/>
                <w:color w:val="000000"/>
                <w:sz w:val="12"/>
                <w:szCs w:val="16"/>
                <w:lang w:val="es-CO" w:eastAsia="es-CO"/>
              </w:rPr>
              <w:t>657</w:t>
            </w:r>
          </w:p>
        </w:tc>
      </w:tr>
      <w:tr w:rsidR="00BA56AD" w:rsidRPr="00F2046C" w14:paraId="5DE84DF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6174A0A"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68051B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23CC1C3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TPE2CO</w:t>
            </w:r>
          </w:p>
        </w:tc>
        <w:tc>
          <w:tcPr>
            <w:tcW w:w="992" w:type="dxa"/>
            <w:tcBorders>
              <w:top w:val="nil"/>
              <w:left w:val="nil"/>
              <w:bottom w:val="single" w:sz="4" w:space="0" w:color="auto"/>
              <w:right w:val="single" w:sz="4" w:space="0" w:color="auto"/>
            </w:tcBorders>
            <w:shd w:val="clear" w:color="auto" w:fill="auto"/>
            <w:noWrap/>
            <w:vAlign w:val="bottom"/>
            <w:hideMark/>
          </w:tcPr>
          <w:p w14:paraId="68636D6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88</w:t>
            </w:r>
            <w:r>
              <w:rPr>
                <w:i/>
                <w:color w:val="000000"/>
                <w:sz w:val="12"/>
                <w:szCs w:val="16"/>
                <w:lang w:val="es-CO" w:eastAsia="es-CO"/>
              </w:rPr>
              <w:t>.</w:t>
            </w:r>
            <w:r w:rsidRPr="00F2046C">
              <w:rPr>
                <w:i/>
                <w:color w:val="000000"/>
                <w:sz w:val="12"/>
                <w:szCs w:val="16"/>
                <w:lang w:val="es-CO" w:eastAsia="es-CO"/>
              </w:rPr>
              <w:t>939</w:t>
            </w:r>
            <w:r>
              <w:rPr>
                <w:i/>
                <w:color w:val="000000"/>
                <w:sz w:val="12"/>
                <w:szCs w:val="16"/>
                <w:lang w:val="es-CO" w:eastAsia="es-CO"/>
              </w:rPr>
              <w:t>.</w:t>
            </w:r>
            <w:r w:rsidRPr="00F2046C">
              <w:rPr>
                <w:i/>
                <w:color w:val="000000"/>
                <w:sz w:val="12"/>
                <w:szCs w:val="16"/>
                <w:lang w:val="es-CO" w:eastAsia="es-CO"/>
              </w:rPr>
              <w:t>504</w:t>
            </w:r>
          </w:p>
        </w:tc>
        <w:tc>
          <w:tcPr>
            <w:tcW w:w="992" w:type="dxa"/>
            <w:tcBorders>
              <w:top w:val="nil"/>
              <w:left w:val="nil"/>
              <w:bottom w:val="single" w:sz="4" w:space="0" w:color="auto"/>
              <w:right w:val="single" w:sz="4" w:space="0" w:color="auto"/>
            </w:tcBorders>
            <w:shd w:val="clear" w:color="auto" w:fill="auto"/>
            <w:noWrap/>
            <w:vAlign w:val="bottom"/>
            <w:hideMark/>
          </w:tcPr>
          <w:p w14:paraId="4968F92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B2C6813"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1A17F3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05</w:t>
            </w:r>
          </w:p>
        </w:tc>
        <w:tc>
          <w:tcPr>
            <w:tcW w:w="425" w:type="dxa"/>
            <w:tcBorders>
              <w:top w:val="nil"/>
              <w:left w:val="nil"/>
              <w:bottom w:val="single" w:sz="4" w:space="0" w:color="auto"/>
              <w:right w:val="single" w:sz="4" w:space="0" w:color="auto"/>
            </w:tcBorders>
            <w:shd w:val="clear" w:color="auto" w:fill="auto"/>
            <w:noWrap/>
            <w:vAlign w:val="bottom"/>
            <w:hideMark/>
          </w:tcPr>
          <w:p w14:paraId="3B9B14F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77F037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6EB5DD7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1FE6FF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2919CD5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w:t>
            </w:r>
            <w:r>
              <w:rPr>
                <w:i/>
                <w:color w:val="000000"/>
                <w:sz w:val="12"/>
                <w:szCs w:val="16"/>
                <w:lang w:val="es-CO" w:eastAsia="es-CO"/>
              </w:rPr>
              <w:t>.</w:t>
            </w:r>
            <w:r w:rsidRPr="00F2046C">
              <w:rPr>
                <w:i/>
                <w:color w:val="000000"/>
                <w:sz w:val="12"/>
                <w:szCs w:val="16"/>
                <w:lang w:val="es-CO" w:eastAsia="es-CO"/>
              </w:rPr>
              <w:t>313</w:t>
            </w:r>
            <w:r>
              <w:rPr>
                <w:i/>
                <w:color w:val="000000"/>
                <w:sz w:val="12"/>
                <w:szCs w:val="16"/>
                <w:lang w:val="es-CO" w:eastAsia="es-CO"/>
              </w:rPr>
              <w:t>.</w:t>
            </w:r>
            <w:r w:rsidRPr="00F2046C">
              <w:rPr>
                <w:i/>
                <w:color w:val="000000"/>
                <w:sz w:val="12"/>
                <w:szCs w:val="16"/>
                <w:lang w:val="es-CO" w:eastAsia="es-CO"/>
              </w:rPr>
              <w:t>566</w:t>
            </w:r>
          </w:p>
        </w:tc>
      </w:tr>
      <w:tr w:rsidR="00BA56AD" w:rsidRPr="00F2046C" w14:paraId="4A3DF4DC"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402D245"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B4971F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7BA6D75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TPE1/2ACO</w:t>
            </w:r>
          </w:p>
        </w:tc>
        <w:tc>
          <w:tcPr>
            <w:tcW w:w="992" w:type="dxa"/>
            <w:tcBorders>
              <w:top w:val="nil"/>
              <w:left w:val="nil"/>
              <w:bottom w:val="single" w:sz="4" w:space="0" w:color="auto"/>
              <w:right w:val="single" w:sz="4" w:space="0" w:color="auto"/>
            </w:tcBorders>
            <w:shd w:val="clear" w:color="auto" w:fill="auto"/>
            <w:noWrap/>
            <w:vAlign w:val="bottom"/>
            <w:hideMark/>
          </w:tcPr>
          <w:p w14:paraId="4AA01C1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52</w:t>
            </w:r>
            <w:r>
              <w:rPr>
                <w:i/>
                <w:color w:val="000000"/>
                <w:sz w:val="12"/>
                <w:szCs w:val="16"/>
                <w:lang w:val="es-CO" w:eastAsia="es-CO"/>
              </w:rPr>
              <w:t>.</w:t>
            </w:r>
            <w:r w:rsidRPr="00F2046C">
              <w:rPr>
                <w:i/>
                <w:color w:val="000000"/>
                <w:sz w:val="12"/>
                <w:szCs w:val="16"/>
                <w:lang w:val="es-CO" w:eastAsia="es-CO"/>
              </w:rPr>
              <w:t>202</w:t>
            </w:r>
            <w:r>
              <w:rPr>
                <w:i/>
                <w:color w:val="000000"/>
                <w:sz w:val="12"/>
                <w:szCs w:val="16"/>
                <w:lang w:val="es-CO" w:eastAsia="es-CO"/>
              </w:rPr>
              <w:t>.</w:t>
            </w:r>
            <w:r w:rsidRPr="00F2046C">
              <w:rPr>
                <w:i/>
                <w:color w:val="000000"/>
                <w:sz w:val="12"/>
                <w:szCs w:val="16"/>
                <w:lang w:val="es-CO" w:eastAsia="es-CO"/>
              </w:rPr>
              <w:t>790</w:t>
            </w:r>
          </w:p>
        </w:tc>
        <w:tc>
          <w:tcPr>
            <w:tcW w:w="992" w:type="dxa"/>
            <w:tcBorders>
              <w:top w:val="nil"/>
              <w:left w:val="nil"/>
              <w:bottom w:val="single" w:sz="4" w:space="0" w:color="auto"/>
              <w:right w:val="single" w:sz="4" w:space="0" w:color="auto"/>
            </w:tcBorders>
            <w:shd w:val="clear" w:color="auto" w:fill="auto"/>
            <w:noWrap/>
            <w:vAlign w:val="bottom"/>
            <w:hideMark/>
          </w:tcPr>
          <w:p w14:paraId="7B6379F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324A2AF5"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25EBE2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51</w:t>
            </w:r>
          </w:p>
        </w:tc>
        <w:tc>
          <w:tcPr>
            <w:tcW w:w="425" w:type="dxa"/>
            <w:tcBorders>
              <w:top w:val="nil"/>
              <w:left w:val="nil"/>
              <w:bottom w:val="single" w:sz="4" w:space="0" w:color="auto"/>
              <w:right w:val="single" w:sz="4" w:space="0" w:color="auto"/>
            </w:tcBorders>
            <w:shd w:val="clear" w:color="auto" w:fill="auto"/>
            <w:noWrap/>
            <w:vAlign w:val="bottom"/>
            <w:hideMark/>
          </w:tcPr>
          <w:p w14:paraId="67B21DD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72F66A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3081A1D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82B273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2A8BA4C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78</w:t>
            </w:r>
            <w:r>
              <w:rPr>
                <w:i/>
                <w:color w:val="000000"/>
                <w:sz w:val="12"/>
                <w:szCs w:val="16"/>
                <w:lang w:val="es-CO" w:eastAsia="es-CO"/>
              </w:rPr>
              <w:t>.</w:t>
            </w:r>
            <w:r w:rsidRPr="00F2046C">
              <w:rPr>
                <w:i/>
                <w:color w:val="000000"/>
                <w:sz w:val="12"/>
                <w:szCs w:val="16"/>
                <w:lang w:val="es-CO" w:eastAsia="es-CO"/>
              </w:rPr>
              <w:t>617</w:t>
            </w:r>
            <w:r>
              <w:rPr>
                <w:i/>
                <w:color w:val="000000"/>
                <w:sz w:val="12"/>
                <w:szCs w:val="16"/>
                <w:lang w:val="es-CO" w:eastAsia="es-CO"/>
              </w:rPr>
              <w:t>.</w:t>
            </w:r>
            <w:r w:rsidRPr="00F2046C">
              <w:rPr>
                <w:i/>
                <w:color w:val="000000"/>
                <w:sz w:val="12"/>
                <w:szCs w:val="16"/>
                <w:lang w:val="es-CO" w:eastAsia="es-CO"/>
              </w:rPr>
              <w:t>401</w:t>
            </w:r>
          </w:p>
        </w:tc>
      </w:tr>
      <w:tr w:rsidR="00BA56AD" w:rsidRPr="00F2046C" w14:paraId="6A200AA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5E77217"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B10B1D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2A83B55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TPE3/4ACO</w:t>
            </w:r>
          </w:p>
        </w:tc>
        <w:tc>
          <w:tcPr>
            <w:tcW w:w="992" w:type="dxa"/>
            <w:tcBorders>
              <w:top w:val="nil"/>
              <w:left w:val="nil"/>
              <w:bottom w:val="single" w:sz="4" w:space="0" w:color="auto"/>
              <w:right w:val="single" w:sz="4" w:space="0" w:color="auto"/>
            </w:tcBorders>
            <w:shd w:val="clear" w:color="auto" w:fill="auto"/>
            <w:noWrap/>
            <w:vAlign w:val="bottom"/>
            <w:hideMark/>
          </w:tcPr>
          <w:p w14:paraId="19D0867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53</w:t>
            </w:r>
            <w:r>
              <w:rPr>
                <w:i/>
                <w:color w:val="000000"/>
                <w:sz w:val="12"/>
                <w:szCs w:val="16"/>
                <w:lang w:val="es-CO" w:eastAsia="es-CO"/>
              </w:rPr>
              <w:t>.</w:t>
            </w:r>
            <w:r w:rsidRPr="00F2046C">
              <w:rPr>
                <w:i/>
                <w:color w:val="000000"/>
                <w:sz w:val="12"/>
                <w:szCs w:val="16"/>
                <w:lang w:val="es-CO" w:eastAsia="es-CO"/>
              </w:rPr>
              <w:t>098</w:t>
            </w:r>
            <w:r>
              <w:rPr>
                <w:i/>
                <w:color w:val="000000"/>
                <w:sz w:val="12"/>
                <w:szCs w:val="16"/>
                <w:lang w:val="es-CO" w:eastAsia="es-CO"/>
              </w:rPr>
              <w:t>.</w:t>
            </w:r>
            <w:r w:rsidRPr="00F2046C">
              <w:rPr>
                <w:i/>
                <w:color w:val="000000"/>
                <w:sz w:val="12"/>
                <w:szCs w:val="16"/>
                <w:lang w:val="es-CO" w:eastAsia="es-CO"/>
              </w:rPr>
              <w:t>574</w:t>
            </w:r>
          </w:p>
        </w:tc>
        <w:tc>
          <w:tcPr>
            <w:tcW w:w="992" w:type="dxa"/>
            <w:tcBorders>
              <w:top w:val="nil"/>
              <w:left w:val="nil"/>
              <w:bottom w:val="single" w:sz="4" w:space="0" w:color="auto"/>
              <w:right w:val="single" w:sz="4" w:space="0" w:color="auto"/>
            </w:tcBorders>
            <w:shd w:val="clear" w:color="auto" w:fill="auto"/>
            <w:noWrap/>
            <w:vAlign w:val="bottom"/>
            <w:hideMark/>
          </w:tcPr>
          <w:p w14:paraId="6FC3AED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4116601E"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27230C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38</w:t>
            </w:r>
          </w:p>
        </w:tc>
        <w:tc>
          <w:tcPr>
            <w:tcW w:w="425" w:type="dxa"/>
            <w:tcBorders>
              <w:top w:val="nil"/>
              <w:left w:val="nil"/>
              <w:bottom w:val="single" w:sz="4" w:space="0" w:color="auto"/>
              <w:right w:val="single" w:sz="4" w:space="0" w:color="auto"/>
            </w:tcBorders>
            <w:shd w:val="clear" w:color="auto" w:fill="auto"/>
            <w:noWrap/>
            <w:vAlign w:val="bottom"/>
            <w:hideMark/>
          </w:tcPr>
          <w:p w14:paraId="41C6CA0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241C9D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30E9C9C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3EF7EE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5E3AAE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73</w:t>
            </w:r>
            <w:r>
              <w:rPr>
                <w:i/>
                <w:color w:val="000000"/>
                <w:sz w:val="12"/>
                <w:szCs w:val="16"/>
                <w:lang w:val="es-CO" w:eastAsia="es-CO"/>
              </w:rPr>
              <w:t>.</w:t>
            </w:r>
            <w:r w:rsidRPr="00F2046C">
              <w:rPr>
                <w:i/>
                <w:color w:val="000000"/>
                <w:sz w:val="12"/>
                <w:szCs w:val="16"/>
                <w:lang w:val="es-CO" w:eastAsia="es-CO"/>
              </w:rPr>
              <w:t>329</w:t>
            </w:r>
            <w:r>
              <w:rPr>
                <w:i/>
                <w:color w:val="000000"/>
                <w:sz w:val="12"/>
                <w:szCs w:val="16"/>
                <w:lang w:val="es-CO" w:eastAsia="es-CO"/>
              </w:rPr>
              <w:t>.</w:t>
            </w:r>
            <w:r w:rsidRPr="00F2046C">
              <w:rPr>
                <w:i/>
                <w:color w:val="000000"/>
                <w:sz w:val="12"/>
                <w:szCs w:val="16"/>
                <w:lang w:val="es-CO" w:eastAsia="es-CO"/>
              </w:rPr>
              <w:t>131</w:t>
            </w:r>
          </w:p>
        </w:tc>
      </w:tr>
      <w:tr w:rsidR="00BA56AD" w:rsidRPr="00F2046C" w14:paraId="49AD799D"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A448A7E"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281F2F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2E52DCD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TPE2ACO</w:t>
            </w:r>
          </w:p>
        </w:tc>
        <w:tc>
          <w:tcPr>
            <w:tcW w:w="992" w:type="dxa"/>
            <w:tcBorders>
              <w:top w:val="nil"/>
              <w:left w:val="nil"/>
              <w:bottom w:val="single" w:sz="4" w:space="0" w:color="auto"/>
              <w:right w:val="single" w:sz="4" w:space="0" w:color="auto"/>
            </w:tcBorders>
            <w:shd w:val="clear" w:color="auto" w:fill="auto"/>
            <w:noWrap/>
            <w:vAlign w:val="bottom"/>
            <w:hideMark/>
          </w:tcPr>
          <w:p w14:paraId="3BEF58F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67</w:t>
            </w:r>
            <w:r>
              <w:rPr>
                <w:i/>
                <w:color w:val="000000"/>
                <w:sz w:val="12"/>
                <w:szCs w:val="16"/>
                <w:lang w:val="es-CO" w:eastAsia="es-CO"/>
              </w:rPr>
              <w:t>.</w:t>
            </w:r>
            <w:r w:rsidRPr="00F2046C">
              <w:rPr>
                <w:i/>
                <w:color w:val="000000"/>
                <w:sz w:val="12"/>
                <w:szCs w:val="16"/>
                <w:lang w:val="es-CO" w:eastAsia="es-CO"/>
              </w:rPr>
              <w:t>285</w:t>
            </w:r>
            <w:r>
              <w:rPr>
                <w:i/>
                <w:color w:val="000000"/>
                <w:sz w:val="12"/>
                <w:szCs w:val="16"/>
                <w:lang w:val="es-CO" w:eastAsia="es-CO"/>
              </w:rPr>
              <w:t>.</w:t>
            </w:r>
            <w:r w:rsidRPr="00F2046C">
              <w:rPr>
                <w:i/>
                <w:color w:val="000000"/>
                <w:sz w:val="12"/>
                <w:szCs w:val="16"/>
                <w:lang w:val="es-CO" w:eastAsia="es-CO"/>
              </w:rPr>
              <w:t>854</w:t>
            </w:r>
          </w:p>
        </w:tc>
        <w:tc>
          <w:tcPr>
            <w:tcW w:w="992" w:type="dxa"/>
            <w:tcBorders>
              <w:top w:val="nil"/>
              <w:left w:val="nil"/>
              <w:bottom w:val="single" w:sz="4" w:space="0" w:color="auto"/>
              <w:right w:val="single" w:sz="4" w:space="0" w:color="auto"/>
            </w:tcBorders>
            <w:shd w:val="clear" w:color="auto" w:fill="auto"/>
            <w:noWrap/>
            <w:vAlign w:val="bottom"/>
            <w:hideMark/>
          </w:tcPr>
          <w:p w14:paraId="6835817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67B42B09"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5E3E7B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50</w:t>
            </w:r>
          </w:p>
        </w:tc>
        <w:tc>
          <w:tcPr>
            <w:tcW w:w="425" w:type="dxa"/>
            <w:tcBorders>
              <w:top w:val="nil"/>
              <w:left w:val="nil"/>
              <w:bottom w:val="single" w:sz="4" w:space="0" w:color="auto"/>
              <w:right w:val="single" w:sz="4" w:space="0" w:color="auto"/>
            </w:tcBorders>
            <w:shd w:val="clear" w:color="auto" w:fill="auto"/>
            <w:noWrap/>
            <w:vAlign w:val="bottom"/>
            <w:hideMark/>
          </w:tcPr>
          <w:p w14:paraId="133C289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5EE516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22B4708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F4E65D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7DA54DF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33</w:t>
            </w:r>
            <w:r>
              <w:rPr>
                <w:i/>
                <w:color w:val="000000"/>
                <w:sz w:val="12"/>
                <w:szCs w:val="16"/>
                <w:lang w:val="es-CO" w:eastAsia="es-CO"/>
              </w:rPr>
              <w:t>.</w:t>
            </w:r>
            <w:r w:rsidRPr="00F2046C">
              <w:rPr>
                <w:i/>
                <w:color w:val="000000"/>
                <w:sz w:val="12"/>
                <w:szCs w:val="16"/>
                <w:lang w:val="es-CO" w:eastAsia="es-CO"/>
              </w:rPr>
              <w:t>575</w:t>
            </w:r>
            <w:r>
              <w:rPr>
                <w:i/>
                <w:color w:val="000000"/>
                <w:sz w:val="12"/>
                <w:szCs w:val="16"/>
                <w:lang w:val="es-CO" w:eastAsia="es-CO"/>
              </w:rPr>
              <w:t>.</w:t>
            </w:r>
            <w:r w:rsidRPr="00F2046C">
              <w:rPr>
                <w:i/>
                <w:color w:val="000000"/>
                <w:sz w:val="12"/>
                <w:szCs w:val="16"/>
                <w:lang w:val="es-CO" w:eastAsia="es-CO"/>
              </w:rPr>
              <w:t>641</w:t>
            </w:r>
          </w:p>
        </w:tc>
      </w:tr>
      <w:tr w:rsidR="00BA56AD" w:rsidRPr="00F2046C" w14:paraId="0B443B7F"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F1F5760"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067C17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77759F8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TPE1/2TA</w:t>
            </w:r>
          </w:p>
        </w:tc>
        <w:tc>
          <w:tcPr>
            <w:tcW w:w="992" w:type="dxa"/>
            <w:tcBorders>
              <w:top w:val="nil"/>
              <w:left w:val="nil"/>
              <w:bottom w:val="single" w:sz="4" w:space="0" w:color="auto"/>
              <w:right w:val="single" w:sz="4" w:space="0" w:color="auto"/>
            </w:tcBorders>
            <w:shd w:val="clear" w:color="auto" w:fill="auto"/>
            <w:noWrap/>
            <w:vAlign w:val="bottom"/>
            <w:hideMark/>
          </w:tcPr>
          <w:p w14:paraId="76772D0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55</w:t>
            </w:r>
            <w:r>
              <w:rPr>
                <w:i/>
                <w:color w:val="000000"/>
                <w:sz w:val="12"/>
                <w:szCs w:val="16"/>
                <w:lang w:val="es-CO" w:eastAsia="es-CO"/>
              </w:rPr>
              <w:t>.</w:t>
            </w:r>
            <w:r w:rsidRPr="00F2046C">
              <w:rPr>
                <w:i/>
                <w:color w:val="000000"/>
                <w:sz w:val="12"/>
                <w:szCs w:val="16"/>
                <w:lang w:val="es-CO" w:eastAsia="es-CO"/>
              </w:rPr>
              <w:t>278</w:t>
            </w:r>
            <w:r>
              <w:rPr>
                <w:i/>
                <w:color w:val="000000"/>
                <w:sz w:val="12"/>
                <w:szCs w:val="16"/>
                <w:lang w:val="es-CO" w:eastAsia="es-CO"/>
              </w:rPr>
              <w:t>.</w:t>
            </w:r>
            <w:r w:rsidRPr="00F2046C">
              <w:rPr>
                <w:i/>
                <w:color w:val="000000"/>
                <w:sz w:val="12"/>
                <w:szCs w:val="16"/>
                <w:lang w:val="es-CO" w:eastAsia="es-CO"/>
              </w:rPr>
              <w:t>936</w:t>
            </w:r>
          </w:p>
        </w:tc>
        <w:tc>
          <w:tcPr>
            <w:tcW w:w="992" w:type="dxa"/>
            <w:tcBorders>
              <w:top w:val="nil"/>
              <w:left w:val="nil"/>
              <w:bottom w:val="single" w:sz="4" w:space="0" w:color="auto"/>
              <w:right w:val="single" w:sz="4" w:space="0" w:color="auto"/>
            </w:tcBorders>
            <w:shd w:val="clear" w:color="auto" w:fill="auto"/>
            <w:noWrap/>
            <w:vAlign w:val="bottom"/>
            <w:hideMark/>
          </w:tcPr>
          <w:p w14:paraId="55075DF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16AC2F96"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6AA4E1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24</w:t>
            </w:r>
          </w:p>
        </w:tc>
        <w:tc>
          <w:tcPr>
            <w:tcW w:w="425" w:type="dxa"/>
            <w:tcBorders>
              <w:top w:val="nil"/>
              <w:left w:val="nil"/>
              <w:bottom w:val="single" w:sz="4" w:space="0" w:color="auto"/>
              <w:right w:val="single" w:sz="4" w:space="0" w:color="auto"/>
            </w:tcBorders>
            <w:shd w:val="clear" w:color="auto" w:fill="auto"/>
            <w:noWrap/>
            <w:vAlign w:val="bottom"/>
            <w:hideMark/>
          </w:tcPr>
          <w:p w14:paraId="2E82452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6A30A7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47D513E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46A5AB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0F27F73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13</w:t>
            </w:r>
            <w:r>
              <w:rPr>
                <w:i/>
                <w:color w:val="000000"/>
                <w:sz w:val="12"/>
                <w:szCs w:val="16"/>
                <w:lang w:val="es-CO" w:eastAsia="es-CO"/>
              </w:rPr>
              <w:t>.</w:t>
            </w:r>
            <w:r w:rsidRPr="00F2046C">
              <w:rPr>
                <w:i/>
                <w:color w:val="000000"/>
                <w:sz w:val="12"/>
                <w:szCs w:val="16"/>
                <w:lang w:val="es-CO" w:eastAsia="es-CO"/>
              </w:rPr>
              <w:t>410</w:t>
            </w:r>
            <w:r>
              <w:rPr>
                <w:i/>
                <w:color w:val="000000"/>
                <w:sz w:val="12"/>
                <w:szCs w:val="16"/>
                <w:lang w:val="es-CO" w:eastAsia="es-CO"/>
              </w:rPr>
              <w:t>.</w:t>
            </w:r>
            <w:r w:rsidRPr="00F2046C">
              <w:rPr>
                <w:i/>
                <w:color w:val="000000"/>
                <w:sz w:val="12"/>
                <w:szCs w:val="16"/>
                <w:lang w:val="es-CO" w:eastAsia="es-CO"/>
              </w:rPr>
              <w:t>670</w:t>
            </w:r>
          </w:p>
        </w:tc>
      </w:tr>
      <w:tr w:rsidR="00BA56AD" w:rsidRPr="00F2046C" w14:paraId="725BC0FF"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3AB3F4B"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BA7F70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25BC14F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TPE3/4TA</w:t>
            </w:r>
          </w:p>
        </w:tc>
        <w:tc>
          <w:tcPr>
            <w:tcW w:w="992" w:type="dxa"/>
            <w:tcBorders>
              <w:top w:val="nil"/>
              <w:left w:val="nil"/>
              <w:bottom w:val="single" w:sz="4" w:space="0" w:color="auto"/>
              <w:right w:val="single" w:sz="4" w:space="0" w:color="auto"/>
            </w:tcBorders>
            <w:shd w:val="clear" w:color="auto" w:fill="auto"/>
            <w:noWrap/>
            <w:vAlign w:val="bottom"/>
            <w:hideMark/>
          </w:tcPr>
          <w:p w14:paraId="3B7D30B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56</w:t>
            </w:r>
            <w:r>
              <w:rPr>
                <w:i/>
                <w:color w:val="000000"/>
                <w:sz w:val="12"/>
                <w:szCs w:val="16"/>
                <w:lang w:val="es-CO" w:eastAsia="es-CO"/>
              </w:rPr>
              <w:t>.</w:t>
            </w:r>
            <w:r w:rsidRPr="00F2046C">
              <w:rPr>
                <w:i/>
                <w:color w:val="000000"/>
                <w:sz w:val="12"/>
                <w:szCs w:val="16"/>
                <w:lang w:val="es-CO" w:eastAsia="es-CO"/>
              </w:rPr>
              <w:t>167</w:t>
            </w:r>
            <w:r>
              <w:rPr>
                <w:i/>
                <w:color w:val="000000"/>
                <w:sz w:val="12"/>
                <w:szCs w:val="16"/>
                <w:lang w:val="es-CO" w:eastAsia="es-CO"/>
              </w:rPr>
              <w:t>.</w:t>
            </w:r>
            <w:r w:rsidRPr="00F2046C">
              <w:rPr>
                <w:i/>
                <w:color w:val="000000"/>
                <w:sz w:val="12"/>
                <w:szCs w:val="16"/>
                <w:lang w:val="es-CO" w:eastAsia="es-CO"/>
              </w:rPr>
              <w:t>552</w:t>
            </w:r>
          </w:p>
        </w:tc>
        <w:tc>
          <w:tcPr>
            <w:tcW w:w="992" w:type="dxa"/>
            <w:tcBorders>
              <w:top w:val="nil"/>
              <w:left w:val="nil"/>
              <w:bottom w:val="single" w:sz="4" w:space="0" w:color="auto"/>
              <w:right w:val="single" w:sz="4" w:space="0" w:color="auto"/>
            </w:tcBorders>
            <w:shd w:val="clear" w:color="auto" w:fill="auto"/>
            <w:noWrap/>
            <w:vAlign w:val="bottom"/>
            <w:hideMark/>
          </w:tcPr>
          <w:p w14:paraId="4CC2559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65A406B"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663C6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30</w:t>
            </w:r>
          </w:p>
        </w:tc>
        <w:tc>
          <w:tcPr>
            <w:tcW w:w="425" w:type="dxa"/>
            <w:tcBorders>
              <w:top w:val="nil"/>
              <w:left w:val="nil"/>
              <w:bottom w:val="single" w:sz="4" w:space="0" w:color="auto"/>
              <w:right w:val="single" w:sz="4" w:space="0" w:color="auto"/>
            </w:tcBorders>
            <w:shd w:val="clear" w:color="auto" w:fill="auto"/>
            <w:noWrap/>
            <w:vAlign w:val="bottom"/>
            <w:hideMark/>
          </w:tcPr>
          <w:p w14:paraId="7028656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8C80C4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0D8B8EB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DEE6ED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7F1F646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16</w:t>
            </w:r>
            <w:r>
              <w:rPr>
                <w:i/>
                <w:color w:val="000000"/>
                <w:sz w:val="12"/>
                <w:szCs w:val="16"/>
                <w:lang w:val="es-CO" w:eastAsia="es-CO"/>
              </w:rPr>
              <w:t>.</w:t>
            </w:r>
            <w:r w:rsidRPr="00F2046C">
              <w:rPr>
                <w:i/>
                <w:color w:val="000000"/>
                <w:sz w:val="12"/>
                <w:szCs w:val="16"/>
                <w:lang w:val="es-CO" w:eastAsia="es-CO"/>
              </w:rPr>
              <w:t>766</w:t>
            </w:r>
            <w:r>
              <w:rPr>
                <w:i/>
                <w:color w:val="000000"/>
                <w:sz w:val="12"/>
                <w:szCs w:val="16"/>
                <w:lang w:val="es-CO" w:eastAsia="es-CO"/>
              </w:rPr>
              <w:t>.</w:t>
            </w:r>
            <w:r w:rsidRPr="00F2046C">
              <w:rPr>
                <w:i/>
                <w:color w:val="000000"/>
                <w:sz w:val="12"/>
                <w:szCs w:val="16"/>
                <w:lang w:val="es-CO" w:eastAsia="es-CO"/>
              </w:rPr>
              <w:t>014</w:t>
            </w:r>
          </w:p>
        </w:tc>
      </w:tr>
      <w:tr w:rsidR="00BA56AD" w:rsidRPr="00F2046C" w14:paraId="1824B70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507E0F6"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A4E0D9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7F6D2E7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TPE2TA</w:t>
            </w:r>
          </w:p>
        </w:tc>
        <w:tc>
          <w:tcPr>
            <w:tcW w:w="992" w:type="dxa"/>
            <w:tcBorders>
              <w:top w:val="nil"/>
              <w:left w:val="nil"/>
              <w:bottom w:val="single" w:sz="4" w:space="0" w:color="auto"/>
              <w:right w:val="single" w:sz="4" w:space="0" w:color="auto"/>
            </w:tcBorders>
            <w:shd w:val="clear" w:color="auto" w:fill="auto"/>
            <w:noWrap/>
            <w:vAlign w:val="bottom"/>
            <w:hideMark/>
          </w:tcPr>
          <w:p w14:paraId="1A9CF47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70</w:t>
            </w:r>
            <w:r>
              <w:rPr>
                <w:i/>
                <w:color w:val="000000"/>
                <w:sz w:val="12"/>
                <w:szCs w:val="16"/>
                <w:lang w:val="es-CO" w:eastAsia="es-CO"/>
              </w:rPr>
              <w:t>.</w:t>
            </w:r>
            <w:r w:rsidRPr="00F2046C">
              <w:rPr>
                <w:i/>
                <w:color w:val="000000"/>
                <w:sz w:val="12"/>
                <w:szCs w:val="16"/>
                <w:lang w:val="es-CO" w:eastAsia="es-CO"/>
              </w:rPr>
              <w:t>281</w:t>
            </w:r>
            <w:r>
              <w:rPr>
                <w:i/>
                <w:color w:val="000000"/>
                <w:sz w:val="12"/>
                <w:szCs w:val="16"/>
                <w:lang w:val="es-CO" w:eastAsia="es-CO"/>
              </w:rPr>
              <w:t>.</w:t>
            </w:r>
            <w:r w:rsidRPr="00F2046C">
              <w:rPr>
                <w:i/>
                <w:color w:val="000000"/>
                <w:sz w:val="12"/>
                <w:szCs w:val="16"/>
                <w:lang w:val="es-CO" w:eastAsia="es-CO"/>
              </w:rPr>
              <w:t>222</w:t>
            </w:r>
          </w:p>
        </w:tc>
        <w:tc>
          <w:tcPr>
            <w:tcW w:w="992" w:type="dxa"/>
            <w:tcBorders>
              <w:top w:val="nil"/>
              <w:left w:val="nil"/>
              <w:bottom w:val="single" w:sz="4" w:space="0" w:color="auto"/>
              <w:right w:val="single" w:sz="4" w:space="0" w:color="auto"/>
            </w:tcBorders>
            <w:shd w:val="clear" w:color="auto" w:fill="auto"/>
            <w:noWrap/>
            <w:vAlign w:val="bottom"/>
            <w:hideMark/>
          </w:tcPr>
          <w:p w14:paraId="125BFDC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6E22C49B"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6DD52F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10</w:t>
            </w:r>
          </w:p>
        </w:tc>
        <w:tc>
          <w:tcPr>
            <w:tcW w:w="425" w:type="dxa"/>
            <w:tcBorders>
              <w:top w:val="nil"/>
              <w:left w:val="nil"/>
              <w:bottom w:val="single" w:sz="4" w:space="0" w:color="auto"/>
              <w:right w:val="single" w:sz="4" w:space="0" w:color="auto"/>
            </w:tcBorders>
            <w:shd w:val="clear" w:color="auto" w:fill="auto"/>
            <w:noWrap/>
            <w:vAlign w:val="bottom"/>
            <w:hideMark/>
          </w:tcPr>
          <w:p w14:paraId="33C398E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1CEB0D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2162DB6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888F52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93101F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w:t>
            </w:r>
            <w:r>
              <w:rPr>
                <w:i/>
                <w:color w:val="000000"/>
                <w:sz w:val="12"/>
                <w:szCs w:val="16"/>
                <w:lang w:val="es-CO" w:eastAsia="es-CO"/>
              </w:rPr>
              <w:t>.</w:t>
            </w:r>
            <w:r w:rsidRPr="00F2046C">
              <w:rPr>
                <w:i/>
                <w:color w:val="000000"/>
                <w:sz w:val="12"/>
                <w:szCs w:val="16"/>
                <w:lang w:val="es-CO" w:eastAsia="es-CO"/>
              </w:rPr>
              <w:t>817</w:t>
            </w:r>
            <w:r>
              <w:rPr>
                <w:i/>
                <w:color w:val="000000"/>
                <w:sz w:val="12"/>
                <w:szCs w:val="16"/>
                <w:lang w:val="es-CO" w:eastAsia="es-CO"/>
              </w:rPr>
              <w:t>.</w:t>
            </w:r>
            <w:r w:rsidRPr="00F2046C">
              <w:rPr>
                <w:i/>
                <w:color w:val="000000"/>
                <w:sz w:val="12"/>
                <w:szCs w:val="16"/>
                <w:lang w:val="es-CO" w:eastAsia="es-CO"/>
              </w:rPr>
              <w:t>279</w:t>
            </w:r>
          </w:p>
        </w:tc>
      </w:tr>
      <w:tr w:rsidR="00BA56AD" w:rsidRPr="00F2046C" w14:paraId="0A0FE5A8"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38D27CE"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93CFB8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63894C6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TPE1/2ZV</w:t>
            </w:r>
          </w:p>
        </w:tc>
        <w:tc>
          <w:tcPr>
            <w:tcW w:w="992" w:type="dxa"/>
            <w:tcBorders>
              <w:top w:val="nil"/>
              <w:left w:val="nil"/>
              <w:bottom w:val="single" w:sz="4" w:space="0" w:color="auto"/>
              <w:right w:val="single" w:sz="4" w:space="0" w:color="auto"/>
            </w:tcBorders>
            <w:shd w:val="clear" w:color="auto" w:fill="auto"/>
            <w:noWrap/>
            <w:vAlign w:val="bottom"/>
            <w:hideMark/>
          </w:tcPr>
          <w:p w14:paraId="254491F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18</w:t>
            </w:r>
            <w:r>
              <w:rPr>
                <w:i/>
                <w:color w:val="000000"/>
                <w:sz w:val="12"/>
                <w:szCs w:val="16"/>
                <w:lang w:val="es-CO" w:eastAsia="es-CO"/>
              </w:rPr>
              <w:t>.</w:t>
            </w:r>
            <w:r w:rsidRPr="00F2046C">
              <w:rPr>
                <w:i/>
                <w:color w:val="000000"/>
                <w:sz w:val="12"/>
                <w:szCs w:val="16"/>
                <w:lang w:val="es-CO" w:eastAsia="es-CO"/>
              </w:rPr>
              <w:t>486</w:t>
            </w:r>
            <w:r>
              <w:rPr>
                <w:i/>
                <w:color w:val="000000"/>
                <w:sz w:val="12"/>
                <w:szCs w:val="16"/>
                <w:lang w:val="es-CO" w:eastAsia="es-CO"/>
              </w:rPr>
              <w:t>.</w:t>
            </w:r>
            <w:r w:rsidRPr="00F2046C">
              <w:rPr>
                <w:i/>
                <w:color w:val="000000"/>
                <w:sz w:val="12"/>
                <w:szCs w:val="16"/>
                <w:lang w:val="es-CO" w:eastAsia="es-CO"/>
              </w:rPr>
              <w:t>372</w:t>
            </w:r>
          </w:p>
        </w:tc>
        <w:tc>
          <w:tcPr>
            <w:tcW w:w="992" w:type="dxa"/>
            <w:tcBorders>
              <w:top w:val="nil"/>
              <w:left w:val="nil"/>
              <w:bottom w:val="single" w:sz="4" w:space="0" w:color="auto"/>
              <w:right w:val="single" w:sz="4" w:space="0" w:color="auto"/>
            </w:tcBorders>
            <w:shd w:val="clear" w:color="auto" w:fill="auto"/>
            <w:noWrap/>
            <w:vAlign w:val="bottom"/>
            <w:hideMark/>
          </w:tcPr>
          <w:p w14:paraId="529F767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4A905147"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bottom"/>
            <w:hideMark/>
          </w:tcPr>
          <w:p w14:paraId="1D8AE46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19</w:t>
            </w:r>
          </w:p>
        </w:tc>
        <w:tc>
          <w:tcPr>
            <w:tcW w:w="425" w:type="dxa"/>
            <w:tcBorders>
              <w:top w:val="nil"/>
              <w:left w:val="nil"/>
              <w:bottom w:val="single" w:sz="4" w:space="0" w:color="auto"/>
              <w:right w:val="single" w:sz="4" w:space="0" w:color="auto"/>
            </w:tcBorders>
            <w:shd w:val="clear" w:color="auto" w:fill="auto"/>
            <w:noWrap/>
            <w:vAlign w:val="bottom"/>
            <w:hideMark/>
          </w:tcPr>
          <w:p w14:paraId="7469854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F2A0B2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5AFA601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244F71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AC7478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40</w:t>
            </w:r>
            <w:r>
              <w:rPr>
                <w:i/>
                <w:color w:val="000000"/>
                <w:sz w:val="12"/>
                <w:szCs w:val="16"/>
                <w:lang w:val="es-CO" w:eastAsia="es-CO"/>
              </w:rPr>
              <w:t>.</w:t>
            </w:r>
            <w:r w:rsidRPr="00F2046C">
              <w:rPr>
                <w:i/>
                <w:color w:val="000000"/>
                <w:sz w:val="12"/>
                <w:szCs w:val="16"/>
                <w:lang w:val="es-CO" w:eastAsia="es-CO"/>
              </w:rPr>
              <w:t>475</w:t>
            </w:r>
            <w:r>
              <w:rPr>
                <w:i/>
                <w:color w:val="000000"/>
                <w:sz w:val="12"/>
                <w:szCs w:val="16"/>
                <w:lang w:val="es-CO" w:eastAsia="es-CO"/>
              </w:rPr>
              <w:t>.</w:t>
            </w:r>
            <w:r w:rsidRPr="00F2046C">
              <w:rPr>
                <w:i/>
                <w:color w:val="000000"/>
                <w:sz w:val="12"/>
                <w:szCs w:val="16"/>
                <w:lang w:val="es-CO" w:eastAsia="es-CO"/>
              </w:rPr>
              <w:t>912</w:t>
            </w:r>
          </w:p>
        </w:tc>
      </w:tr>
      <w:tr w:rsidR="00BA56AD" w:rsidRPr="00F2046C" w14:paraId="74ECEE94"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EA08D1"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36108E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0C9F4AA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TPE3/4ZV</w:t>
            </w:r>
          </w:p>
        </w:tc>
        <w:tc>
          <w:tcPr>
            <w:tcW w:w="992" w:type="dxa"/>
            <w:tcBorders>
              <w:top w:val="nil"/>
              <w:left w:val="nil"/>
              <w:bottom w:val="single" w:sz="4" w:space="0" w:color="auto"/>
              <w:right w:val="single" w:sz="4" w:space="0" w:color="auto"/>
            </w:tcBorders>
            <w:shd w:val="clear" w:color="auto" w:fill="auto"/>
            <w:noWrap/>
            <w:vAlign w:val="bottom"/>
            <w:hideMark/>
          </w:tcPr>
          <w:p w14:paraId="55FECB9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19</w:t>
            </w:r>
            <w:r>
              <w:rPr>
                <w:i/>
                <w:color w:val="000000"/>
                <w:sz w:val="12"/>
                <w:szCs w:val="16"/>
                <w:lang w:val="es-CO" w:eastAsia="es-CO"/>
              </w:rPr>
              <w:t>.</w:t>
            </w:r>
            <w:r w:rsidRPr="00F2046C">
              <w:rPr>
                <w:i/>
                <w:color w:val="000000"/>
                <w:sz w:val="12"/>
                <w:szCs w:val="16"/>
                <w:lang w:val="es-CO" w:eastAsia="es-CO"/>
              </w:rPr>
              <w:t>417</w:t>
            </w:r>
            <w:r>
              <w:rPr>
                <w:i/>
                <w:color w:val="000000"/>
                <w:sz w:val="12"/>
                <w:szCs w:val="16"/>
                <w:lang w:val="es-CO" w:eastAsia="es-CO"/>
              </w:rPr>
              <w:t>.</w:t>
            </w:r>
            <w:r w:rsidRPr="00F2046C">
              <w:rPr>
                <w:i/>
                <w:color w:val="000000"/>
                <w:sz w:val="12"/>
                <w:szCs w:val="16"/>
                <w:lang w:val="es-CO" w:eastAsia="es-CO"/>
              </w:rPr>
              <w:t>002</w:t>
            </w:r>
          </w:p>
        </w:tc>
        <w:tc>
          <w:tcPr>
            <w:tcW w:w="992" w:type="dxa"/>
            <w:tcBorders>
              <w:top w:val="nil"/>
              <w:left w:val="nil"/>
              <w:bottom w:val="single" w:sz="4" w:space="0" w:color="auto"/>
              <w:right w:val="single" w:sz="4" w:space="0" w:color="auto"/>
            </w:tcBorders>
            <w:shd w:val="clear" w:color="auto" w:fill="auto"/>
            <w:noWrap/>
            <w:vAlign w:val="bottom"/>
            <w:hideMark/>
          </w:tcPr>
          <w:p w14:paraId="2AD6510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7AEF5135"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B4C0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70601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2368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91D3E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7ADAA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2022DFB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54</w:t>
            </w:r>
            <w:r>
              <w:rPr>
                <w:i/>
                <w:color w:val="000000"/>
                <w:sz w:val="12"/>
                <w:szCs w:val="16"/>
                <w:lang w:val="es-CO" w:eastAsia="es-CO"/>
              </w:rPr>
              <w:t>.</w:t>
            </w:r>
            <w:r w:rsidRPr="00F2046C">
              <w:rPr>
                <w:i/>
                <w:color w:val="000000"/>
                <w:sz w:val="12"/>
                <w:szCs w:val="16"/>
                <w:lang w:val="es-CO" w:eastAsia="es-CO"/>
              </w:rPr>
              <w:t>371</w:t>
            </w:r>
            <w:r>
              <w:rPr>
                <w:i/>
                <w:color w:val="000000"/>
                <w:sz w:val="12"/>
                <w:szCs w:val="16"/>
                <w:lang w:val="es-CO" w:eastAsia="es-CO"/>
              </w:rPr>
              <w:t>.</w:t>
            </w:r>
            <w:r w:rsidRPr="00F2046C">
              <w:rPr>
                <w:i/>
                <w:color w:val="000000"/>
                <w:sz w:val="12"/>
                <w:szCs w:val="16"/>
                <w:lang w:val="es-CO" w:eastAsia="es-CO"/>
              </w:rPr>
              <w:t>488</w:t>
            </w:r>
          </w:p>
        </w:tc>
      </w:tr>
      <w:tr w:rsidR="00BA56AD" w:rsidRPr="00F2046C" w14:paraId="4A627D74"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0899D13"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A5BBEB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2CB1348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TPE2ZV</w:t>
            </w:r>
          </w:p>
        </w:tc>
        <w:tc>
          <w:tcPr>
            <w:tcW w:w="992" w:type="dxa"/>
            <w:tcBorders>
              <w:top w:val="nil"/>
              <w:left w:val="nil"/>
              <w:bottom w:val="single" w:sz="4" w:space="0" w:color="auto"/>
              <w:right w:val="single" w:sz="4" w:space="0" w:color="auto"/>
            </w:tcBorders>
            <w:shd w:val="clear" w:color="auto" w:fill="auto"/>
            <w:noWrap/>
            <w:vAlign w:val="bottom"/>
            <w:hideMark/>
          </w:tcPr>
          <w:p w14:paraId="2538C6D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33</w:t>
            </w:r>
            <w:r>
              <w:rPr>
                <w:i/>
                <w:color w:val="000000"/>
                <w:sz w:val="12"/>
                <w:szCs w:val="16"/>
                <w:lang w:val="es-CO" w:eastAsia="es-CO"/>
              </w:rPr>
              <w:t>.</w:t>
            </w:r>
            <w:r w:rsidRPr="00F2046C">
              <w:rPr>
                <w:i/>
                <w:color w:val="000000"/>
                <w:sz w:val="12"/>
                <w:szCs w:val="16"/>
                <w:lang w:val="es-CO" w:eastAsia="es-CO"/>
              </w:rPr>
              <w:t>719</w:t>
            </w:r>
            <w:r>
              <w:rPr>
                <w:i/>
                <w:color w:val="000000"/>
                <w:sz w:val="12"/>
                <w:szCs w:val="16"/>
                <w:lang w:val="es-CO" w:eastAsia="es-CO"/>
              </w:rPr>
              <w:t>.</w:t>
            </w:r>
            <w:r w:rsidRPr="00F2046C">
              <w:rPr>
                <w:i/>
                <w:color w:val="000000"/>
                <w:sz w:val="12"/>
                <w:szCs w:val="16"/>
                <w:lang w:val="es-CO" w:eastAsia="es-CO"/>
              </w:rPr>
              <w:t>985</w:t>
            </w:r>
          </w:p>
        </w:tc>
        <w:tc>
          <w:tcPr>
            <w:tcW w:w="992" w:type="dxa"/>
            <w:tcBorders>
              <w:top w:val="nil"/>
              <w:left w:val="nil"/>
              <w:bottom w:val="single" w:sz="4" w:space="0" w:color="auto"/>
              <w:right w:val="single" w:sz="4" w:space="0" w:color="auto"/>
            </w:tcBorders>
            <w:shd w:val="clear" w:color="auto" w:fill="auto"/>
            <w:noWrap/>
            <w:vAlign w:val="bottom"/>
            <w:hideMark/>
          </w:tcPr>
          <w:p w14:paraId="0E309E2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7A30815A"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1DF609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83</w:t>
            </w:r>
          </w:p>
        </w:tc>
        <w:tc>
          <w:tcPr>
            <w:tcW w:w="425" w:type="dxa"/>
            <w:tcBorders>
              <w:top w:val="nil"/>
              <w:left w:val="nil"/>
              <w:bottom w:val="single" w:sz="4" w:space="0" w:color="auto"/>
              <w:right w:val="single" w:sz="4" w:space="0" w:color="auto"/>
            </w:tcBorders>
            <w:shd w:val="clear" w:color="auto" w:fill="auto"/>
            <w:noWrap/>
            <w:vAlign w:val="bottom"/>
            <w:hideMark/>
          </w:tcPr>
          <w:p w14:paraId="618872B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AA5C0B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53DF8F2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2831D5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B08599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27</w:t>
            </w:r>
            <w:r>
              <w:rPr>
                <w:i/>
                <w:color w:val="000000"/>
                <w:sz w:val="12"/>
                <w:szCs w:val="16"/>
                <w:lang w:val="es-CO" w:eastAsia="es-CO"/>
              </w:rPr>
              <w:t>.</w:t>
            </w:r>
            <w:r w:rsidRPr="00F2046C">
              <w:rPr>
                <w:i/>
                <w:color w:val="000000"/>
                <w:sz w:val="12"/>
                <w:szCs w:val="16"/>
                <w:lang w:val="es-CO" w:eastAsia="es-CO"/>
              </w:rPr>
              <w:t>835</w:t>
            </w:r>
            <w:r>
              <w:rPr>
                <w:i/>
                <w:color w:val="000000"/>
                <w:sz w:val="12"/>
                <w:szCs w:val="16"/>
                <w:lang w:val="es-CO" w:eastAsia="es-CO"/>
              </w:rPr>
              <w:t>.</w:t>
            </w:r>
            <w:r w:rsidRPr="00F2046C">
              <w:rPr>
                <w:i/>
                <w:color w:val="000000"/>
                <w:sz w:val="12"/>
                <w:szCs w:val="16"/>
                <w:lang w:val="es-CO" w:eastAsia="es-CO"/>
              </w:rPr>
              <w:t>848</w:t>
            </w:r>
          </w:p>
        </w:tc>
      </w:tr>
      <w:tr w:rsidR="00BA56AD" w:rsidRPr="00F2046C" w14:paraId="667461BA"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F73A56E"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29E421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Estación GNC 200 m3/hora</w:t>
            </w:r>
          </w:p>
        </w:tc>
        <w:tc>
          <w:tcPr>
            <w:tcW w:w="851" w:type="dxa"/>
            <w:tcBorders>
              <w:top w:val="nil"/>
              <w:left w:val="nil"/>
              <w:bottom w:val="single" w:sz="4" w:space="0" w:color="auto"/>
              <w:right w:val="single" w:sz="4" w:space="0" w:color="auto"/>
            </w:tcBorders>
            <w:shd w:val="clear" w:color="auto" w:fill="auto"/>
            <w:noWrap/>
            <w:vAlign w:val="bottom"/>
            <w:hideMark/>
          </w:tcPr>
          <w:p w14:paraId="1C59E04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RM200</w:t>
            </w:r>
          </w:p>
        </w:tc>
        <w:tc>
          <w:tcPr>
            <w:tcW w:w="992" w:type="dxa"/>
            <w:tcBorders>
              <w:top w:val="nil"/>
              <w:left w:val="nil"/>
              <w:bottom w:val="single" w:sz="4" w:space="0" w:color="auto"/>
              <w:right w:val="single" w:sz="4" w:space="0" w:color="auto"/>
            </w:tcBorders>
            <w:shd w:val="clear" w:color="auto" w:fill="auto"/>
            <w:noWrap/>
            <w:vAlign w:val="bottom"/>
            <w:hideMark/>
          </w:tcPr>
          <w:p w14:paraId="3EFE6DB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372</w:t>
            </w:r>
            <w:r>
              <w:rPr>
                <w:i/>
                <w:color w:val="000000"/>
                <w:sz w:val="12"/>
                <w:szCs w:val="16"/>
                <w:lang w:val="es-CO" w:eastAsia="es-CO"/>
              </w:rPr>
              <w:t>.</w:t>
            </w:r>
            <w:r w:rsidRPr="00F2046C">
              <w:rPr>
                <w:i/>
                <w:color w:val="000000"/>
                <w:sz w:val="12"/>
                <w:szCs w:val="16"/>
                <w:lang w:val="es-CO" w:eastAsia="es-CO"/>
              </w:rPr>
              <w:t>885</w:t>
            </w:r>
            <w:r>
              <w:rPr>
                <w:i/>
                <w:color w:val="000000"/>
                <w:sz w:val="12"/>
                <w:szCs w:val="16"/>
                <w:lang w:val="es-CO" w:eastAsia="es-CO"/>
              </w:rPr>
              <w:t>.</w:t>
            </w:r>
            <w:r w:rsidRPr="00F2046C">
              <w:rPr>
                <w:i/>
                <w:color w:val="000000"/>
                <w:sz w:val="12"/>
                <w:szCs w:val="16"/>
                <w:lang w:val="es-CO" w:eastAsia="es-CO"/>
              </w:rPr>
              <w:t>901</w:t>
            </w:r>
          </w:p>
        </w:tc>
        <w:tc>
          <w:tcPr>
            <w:tcW w:w="992" w:type="dxa"/>
            <w:tcBorders>
              <w:top w:val="nil"/>
              <w:left w:val="nil"/>
              <w:bottom w:val="single" w:sz="4" w:space="0" w:color="auto"/>
              <w:right w:val="single" w:sz="4" w:space="0" w:color="auto"/>
            </w:tcBorders>
            <w:shd w:val="clear" w:color="auto" w:fill="auto"/>
            <w:noWrap/>
            <w:vAlign w:val="bottom"/>
            <w:hideMark/>
          </w:tcPr>
          <w:p w14:paraId="41C408D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189396D1"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0D95A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134388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B69B13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60C075D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275209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7270A4E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372</w:t>
            </w:r>
            <w:r>
              <w:rPr>
                <w:i/>
                <w:color w:val="000000"/>
                <w:sz w:val="12"/>
                <w:szCs w:val="16"/>
                <w:lang w:val="es-CO" w:eastAsia="es-CO"/>
              </w:rPr>
              <w:t>.</w:t>
            </w:r>
            <w:r w:rsidRPr="00F2046C">
              <w:rPr>
                <w:i/>
                <w:color w:val="000000"/>
                <w:sz w:val="12"/>
                <w:szCs w:val="16"/>
                <w:lang w:val="es-CO" w:eastAsia="es-CO"/>
              </w:rPr>
              <w:t>885</w:t>
            </w:r>
            <w:r>
              <w:rPr>
                <w:i/>
                <w:color w:val="000000"/>
                <w:sz w:val="12"/>
                <w:szCs w:val="16"/>
                <w:lang w:val="es-CO" w:eastAsia="es-CO"/>
              </w:rPr>
              <w:t>.</w:t>
            </w:r>
            <w:r w:rsidRPr="00F2046C">
              <w:rPr>
                <w:i/>
                <w:color w:val="000000"/>
                <w:sz w:val="12"/>
                <w:szCs w:val="16"/>
                <w:lang w:val="es-CO" w:eastAsia="es-CO"/>
              </w:rPr>
              <w:t>901</w:t>
            </w:r>
          </w:p>
        </w:tc>
      </w:tr>
      <w:tr w:rsidR="00BA56AD" w:rsidRPr="00F2046C" w14:paraId="304B8433"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9D614FC"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La Montañita</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4EFB70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Paso Especial 5 Metros</w:t>
            </w:r>
          </w:p>
        </w:tc>
        <w:tc>
          <w:tcPr>
            <w:tcW w:w="851" w:type="dxa"/>
            <w:tcBorders>
              <w:top w:val="nil"/>
              <w:left w:val="nil"/>
              <w:bottom w:val="single" w:sz="4" w:space="0" w:color="auto"/>
              <w:right w:val="single" w:sz="4" w:space="0" w:color="auto"/>
            </w:tcBorders>
            <w:shd w:val="clear" w:color="auto" w:fill="auto"/>
            <w:noWrap/>
            <w:vAlign w:val="bottom"/>
            <w:hideMark/>
          </w:tcPr>
          <w:p w14:paraId="3B4E4DB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TMP-4</w:t>
            </w:r>
          </w:p>
        </w:tc>
        <w:tc>
          <w:tcPr>
            <w:tcW w:w="992" w:type="dxa"/>
            <w:tcBorders>
              <w:top w:val="nil"/>
              <w:left w:val="nil"/>
              <w:bottom w:val="single" w:sz="4" w:space="0" w:color="auto"/>
              <w:right w:val="single" w:sz="4" w:space="0" w:color="auto"/>
            </w:tcBorders>
            <w:shd w:val="clear" w:color="auto" w:fill="auto"/>
            <w:noWrap/>
            <w:vAlign w:val="bottom"/>
            <w:hideMark/>
          </w:tcPr>
          <w:p w14:paraId="4607E66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783</w:t>
            </w:r>
            <w:r>
              <w:rPr>
                <w:i/>
                <w:color w:val="000000"/>
                <w:sz w:val="12"/>
                <w:szCs w:val="16"/>
                <w:lang w:val="es-CO" w:eastAsia="es-CO"/>
              </w:rPr>
              <w:t>.</w:t>
            </w:r>
            <w:r w:rsidRPr="00F2046C">
              <w:rPr>
                <w:i/>
                <w:color w:val="000000"/>
                <w:sz w:val="12"/>
                <w:szCs w:val="16"/>
                <w:lang w:val="es-CO" w:eastAsia="es-CO"/>
              </w:rPr>
              <w:t>177</w:t>
            </w:r>
          </w:p>
        </w:tc>
        <w:tc>
          <w:tcPr>
            <w:tcW w:w="992" w:type="dxa"/>
            <w:tcBorders>
              <w:top w:val="nil"/>
              <w:left w:val="nil"/>
              <w:bottom w:val="single" w:sz="4" w:space="0" w:color="auto"/>
              <w:right w:val="single" w:sz="4" w:space="0" w:color="auto"/>
            </w:tcBorders>
            <w:shd w:val="clear" w:color="auto" w:fill="auto"/>
            <w:noWrap/>
            <w:vAlign w:val="bottom"/>
            <w:hideMark/>
          </w:tcPr>
          <w:p w14:paraId="381DF7F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Especiales</w:t>
            </w:r>
          </w:p>
        </w:tc>
        <w:tc>
          <w:tcPr>
            <w:tcW w:w="851" w:type="dxa"/>
            <w:tcBorders>
              <w:top w:val="nil"/>
              <w:left w:val="nil"/>
              <w:bottom w:val="single" w:sz="4" w:space="0" w:color="auto"/>
              <w:right w:val="single" w:sz="4" w:space="0" w:color="auto"/>
            </w:tcBorders>
            <w:shd w:val="clear" w:color="auto" w:fill="auto"/>
            <w:noWrap/>
            <w:vAlign w:val="bottom"/>
            <w:hideMark/>
          </w:tcPr>
          <w:p w14:paraId="70BED209"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38CA78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60363B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B1571D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30BD49C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8C531A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700FFC3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783</w:t>
            </w:r>
            <w:r>
              <w:rPr>
                <w:i/>
                <w:color w:val="000000"/>
                <w:sz w:val="12"/>
                <w:szCs w:val="16"/>
                <w:lang w:val="es-CO" w:eastAsia="es-CO"/>
              </w:rPr>
              <w:t>.</w:t>
            </w:r>
            <w:r w:rsidRPr="00F2046C">
              <w:rPr>
                <w:i/>
                <w:color w:val="000000"/>
                <w:sz w:val="12"/>
                <w:szCs w:val="16"/>
                <w:lang w:val="es-CO" w:eastAsia="es-CO"/>
              </w:rPr>
              <w:t>177</w:t>
            </w:r>
          </w:p>
        </w:tc>
      </w:tr>
      <w:tr w:rsidR="00BA56AD" w:rsidRPr="00F2046C" w14:paraId="589AE98F"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C1B779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lastRenderedPageBreak/>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4C888C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3C33B30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TPE1/2AS</w:t>
            </w:r>
          </w:p>
        </w:tc>
        <w:tc>
          <w:tcPr>
            <w:tcW w:w="992" w:type="dxa"/>
            <w:tcBorders>
              <w:top w:val="nil"/>
              <w:left w:val="nil"/>
              <w:bottom w:val="single" w:sz="4" w:space="0" w:color="auto"/>
              <w:right w:val="single" w:sz="4" w:space="0" w:color="auto"/>
            </w:tcBorders>
            <w:shd w:val="clear" w:color="auto" w:fill="auto"/>
            <w:noWrap/>
            <w:vAlign w:val="bottom"/>
            <w:hideMark/>
          </w:tcPr>
          <w:p w14:paraId="2667D5A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75</w:t>
            </w:r>
            <w:r>
              <w:rPr>
                <w:i/>
                <w:color w:val="000000"/>
                <w:sz w:val="12"/>
                <w:szCs w:val="16"/>
                <w:lang w:val="es-CO" w:eastAsia="es-CO"/>
              </w:rPr>
              <w:t>.</w:t>
            </w:r>
            <w:r w:rsidRPr="00F2046C">
              <w:rPr>
                <w:i/>
                <w:color w:val="000000"/>
                <w:sz w:val="12"/>
                <w:szCs w:val="16"/>
                <w:lang w:val="es-CO" w:eastAsia="es-CO"/>
              </w:rPr>
              <w:t>816</w:t>
            </w:r>
            <w:r>
              <w:rPr>
                <w:i/>
                <w:color w:val="000000"/>
                <w:sz w:val="12"/>
                <w:szCs w:val="16"/>
                <w:lang w:val="es-CO" w:eastAsia="es-CO"/>
              </w:rPr>
              <w:t>.</w:t>
            </w:r>
            <w:r w:rsidRPr="00F2046C">
              <w:rPr>
                <w:i/>
                <w:color w:val="000000"/>
                <w:sz w:val="12"/>
                <w:szCs w:val="16"/>
                <w:lang w:val="es-CO" w:eastAsia="es-CO"/>
              </w:rPr>
              <w:t>559</w:t>
            </w:r>
          </w:p>
        </w:tc>
        <w:tc>
          <w:tcPr>
            <w:tcW w:w="992" w:type="dxa"/>
            <w:tcBorders>
              <w:top w:val="nil"/>
              <w:left w:val="nil"/>
              <w:bottom w:val="single" w:sz="4" w:space="0" w:color="auto"/>
              <w:right w:val="single" w:sz="4" w:space="0" w:color="auto"/>
            </w:tcBorders>
            <w:shd w:val="clear" w:color="auto" w:fill="auto"/>
            <w:noWrap/>
            <w:vAlign w:val="bottom"/>
            <w:hideMark/>
          </w:tcPr>
          <w:p w14:paraId="787B634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309C297B"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F01E3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02</w:t>
            </w:r>
          </w:p>
        </w:tc>
        <w:tc>
          <w:tcPr>
            <w:tcW w:w="425" w:type="dxa"/>
            <w:tcBorders>
              <w:top w:val="nil"/>
              <w:left w:val="nil"/>
              <w:bottom w:val="single" w:sz="4" w:space="0" w:color="auto"/>
              <w:right w:val="single" w:sz="4" w:space="0" w:color="auto"/>
            </w:tcBorders>
            <w:shd w:val="clear" w:color="auto" w:fill="auto"/>
            <w:noWrap/>
            <w:vAlign w:val="bottom"/>
            <w:hideMark/>
          </w:tcPr>
          <w:p w14:paraId="23C4D9B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1E1D78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6016A59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FDB979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0653D18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508</w:t>
            </w:r>
            <w:r>
              <w:rPr>
                <w:i/>
                <w:color w:val="000000"/>
                <w:sz w:val="12"/>
                <w:szCs w:val="16"/>
                <w:lang w:val="es-CO" w:eastAsia="es-CO"/>
              </w:rPr>
              <w:t>.</w:t>
            </w:r>
            <w:r w:rsidRPr="00F2046C">
              <w:rPr>
                <w:i/>
                <w:color w:val="000000"/>
                <w:sz w:val="12"/>
                <w:szCs w:val="16"/>
                <w:lang w:val="es-CO" w:eastAsia="es-CO"/>
              </w:rPr>
              <w:t>750</w:t>
            </w:r>
          </w:p>
        </w:tc>
      </w:tr>
      <w:tr w:rsidR="00BA56AD" w:rsidRPr="00F2046C" w14:paraId="0F8C75F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9FEFCE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638D74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5DA687F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TPE3/4AS</w:t>
            </w:r>
          </w:p>
        </w:tc>
        <w:tc>
          <w:tcPr>
            <w:tcW w:w="992" w:type="dxa"/>
            <w:tcBorders>
              <w:top w:val="nil"/>
              <w:left w:val="nil"/>
              <w:bottom w:val="single" w:sz="4" w:space="0" w:color="auto"/>
              <w:right w:val="single" w:sz="4" w:space="0" w:color="auto"/>
            </w:tcBorders>
            <w:shd w:val="clear" w:color="auto" w:fill="auto"/>
            <w:noWrap/>
            <w:vAlign w:val="bottom"/>
            <w:hideMark/>
          </w:tcPr>
          <w:p w14:paraId="58BB072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76</w:t>
            </w:r>
            <w:r>
              <w:rPr>
                <w:i/>
                <w:color w:val="000000"/>
                <w:sz w:val="12"/>
                <w:szCs w:val="16"/>
                <w:lang w:val="es-CO" w:eastAsia="es-CO"/>
              </w:rPr>
              <w:t>.</w:t>
            </w:r>
            <w:r w:rsidRPr="00F2046C">
              <w:rPr>
                <w:i/>
                <w:color w:val="000000"/>
                <w:sz w:val="12"/>
                <w:szCs w:val="16"/>
                <w:lang w:val="es-CO" w:eastAsia="es-CO"/>
              </w:rPr>
              <w:t>715</w:t>
            </w:r>
            <w:r>
              <w:rPr>
                <w:i/>
                <w:color w:val="000000"/>
                <w:sz w:val="12"/>
                <w:szCs w:val="16"/>
                <w:lang w:val="es-CO" w:eastAsia="es-CO"/>
              </w:rPr>
              <w:t>.</w:t>
            </w:r>
            <w:r w:rsidRPr="00F2046C">
              <w:rPr>
                <w:i/>
                <w:color w:val="000000"/>
                <w:sz w:val="12"/>
                <w:szCs w:val="16"/>
                <w:lang w:val="es-CO" w:eastAsia="es-CO"/>
              </w:rPr>
              <w:t>959</w:t>
            </w:r>
          </w:p>
        </w:tc>
        <w:tc>
          <w:tcPr>
            <w:tcW w:w="992" w:type="dxa"/>
            <w:tcBorders>
              <w:top w:val="nil"/>
              <w:left w:val="nil"/>
              <w:bottom w:val="single" w:sz="4" w:space="0" w:color="auto"/>
              <w:right w:val="single" w:sz="4" w:space="0" w:color="auto"/>
            </w:tcBorders>
            <w:shd w:val="clear" w:color="auto" w:fill="auto"/>
            <w:noWrap/>
            <w:vAlign w:val="bottom"/>
            <w:hideMark/>
          </w:tcPr>
          <w:p w14:paraId="1A0DC5F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1D6FB4E6"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17BA92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19</w:t>
            </w:r>
          </w:p>
        </w:tc>
        <w:tc>
          <w:tcPr>
            <w:tcW w:w="425" w:type="dxa"/>
            <w:tcBorders>
              <w:top w:val="nil"/>
              <w:left w:val="nil"/>
              <w:bottom w:val="single" w:sz="4" w:space="0" w:color="auto"/>
              <w:right w:val="single" w:sz="4" w:space="0" w:color="auto"/>
            </w:tcBorders>
            <w:shd w:val="clear" w:color="auto" w:fill="auto"/>
            <w:noWrap/>
            <w:vAlign w:val="bottom"/>
            <w:hideMark/>
          </w:tcPr>
          <w:p w14:paraId="60162A7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D671DF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07F69D8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B05E80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4CA275C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14</w:t>
            </w:r>
            <w:r>
              <w:rPr>
                <w:i/>
                <w:color w:val="000000"/>
                <w:sz w:val="12"/>
                <w:szCs w:val="16"/>
                <w:lang w:val="es-CO" w:eastAsia="es-CO"/>
              </w:rPr>
              <w:t>.</w:t>
            </w:r>
            <w:r w:rsidRPr="00F2046C">
              <w:rPr>
                <w:i/>
                <w:color w:val="000000"/>
                <w:sz w:val="12"/>
                <w:szCs w:val="16"/>
                <w:lang w:val="es-CO" w:eastAsia="es-CO"/>
              </w:rPr>
              <w:t>852</w:t>
            </w:r>
            <w:r>
              <w:rPr>
                <w:i/>
                <w:color w:val="000000"/>
                <w:sz w:val="12"/>
                <w:szCs w:val="16"/>
                <w:lang w:val="es-CO" w:eastAsia="es-CO"/>
              </w:rPr>
              <w:t>.</w:t>
            </w:r>
            <w:r w:rsidRPr="00F2046C">
              <w:rPr>
                <w:i/>
                <w:color w:val="000000"/>
                <w:sz w:val="12"/>
                <w:szCs w:val="16"/>
                <w:lang w:val="es-CO" w:eastAsia="es-CO"/>
              </w:rPr>
              <w:t>210</w:t>
            </w:r>
          </w:p>
        </w:tc>
      </w:tr>
      <w:tr w:rsidR="00BA56AD" w:rsidRPr="00F2046C" w14:paraId="6967C4A9"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A951F3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5DBBFE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3A5DAD8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TPE2AS</w:t>
            </w:r>
          </w:p>
        </w:tc>
        <w:tc>
          <w:tcPr>
            <w:tcW w:w="992" w:type="dxa"/>
            <w:tcBorders>
              <w:top w:val="nil"/>
              <w:left w:val="nil"/>
              <w:bottom w:val="single" w:sz="4" w:space="0" w:color="auto"/>
              <w:right w:val="single" w:sz="4" w:space="0" w:color="auto"/>
            </w:tcBorders>
            <w:shd w:val="clear" w:color="auto" w:fill="auto"/>
            <w:noWrap/>
            <w:vAlign w:val="bottom"/>
            <w:hideMark/>
          </w:tcPr>
          <w:p w14:paraId="36D5E44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87</w:t>
            </w:r>
            <w:r>
              <w:rPr>
                <w:i/>
                <w:color w:val="000000"/>
                <w:sz w:val="12"/>
                <w:szCs w:val="16"/>
                <w:lang w:val="es-CO" w:eastAsia="es-CO"/>
              </w:rPr>
              <w:t>.</w:t>
            </w:r>
            <w:r w:rsidRPr="00F2046C">
              <w:rPr>
                <w:i/>
                <w:color w:val="000000"/>
                <w:sz w:val="12"/>
                <w:szCs w:val="16"/>
                <w:lang w:val="es-CO" w:eastAsia="es-CO"/>
              </w:rPr>
              <w:t>082</w:t>
            </w:r>
            <w:r>
              <w:rPr>
                <w:i/>
                <w:color w:val="000000"/>
                <w:sz w:val="12"/>
                <w:szCs w:val="16"/>
                <w:lang w:val="es-CO" w:eastAsia="es-CO"/>
              </w:rPr>
              <w:t>.</w:t>
            </w:r>
            <w:r w:rsidRPr="00F2046C">
              <w:rPr>
                <w:i/>
                <w:color w:val="000000"/>
                <w:sz w:val="12"/>
                <w:szCs w:val="16"/>
                <w:lang w:val="es-CO" w:eastAsia="es-CO"/>
              </w:rPr>
              <w:t>705</w:t>
            </w:r>
          </w:p>
        </w:tc>
        <w:tc>
          <w:tcPr>
            <w:tcW w:w="992" w:type="dxa"/>
            <w:tcBorders>
              <w:top w:val="nil"/>
              <w:left w:val="nil"/>
              <w:bottom w:val="single" w:sz="4" w:space="0" w:color="auto"/>
              <w:right w:val="single" w:sz="4" w:space="0" w:color="auto"/>
            </w:tcBorders>
            <w:shd w:val="clear" w:color="auto" w:fill="auto"/>
            <w:noWrap/>
            <w:vAlign w:val="bottom"/>
            <w:hideMark/>
          </w:tcPr>
          <w:p w14:paraId="46A2B33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6AC2D6EA"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FBBD23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23</w:t>
            </w:r>
          </w:p>
        </w:tc>
        <w:tc>
          <w:tcPr>
            <w:tcW w:w="425" w:type="dxa"/>
            <w:tcBorders>
              <w:top w:val="nil"/>
              <w:left w:val="nil"/>
              <w:bottom w:val="single" w:sz="4" w:space="0" w:color="auto"/>
              <w:right w:val="single" w:sz="4" w:space="0" w:color="auto"/>
            </w:tcBorders>
            <w:shd w:val="clear" w:color="auto" w:fill="auto"/>
            <w:noWrap/>
            <w:vAlign w:val="bottom"/>
            <w:hideMark/>
          </w:tcPr>
          <w:p w14:paraId="737C171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A8FA7E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7428FFD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3EBBA7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55E301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20</w:t>
            </w:r>
            <w:r>
              <w:rPr>
                <w:i/>
                <w:color w:val="000000"/>
                <w:sz w:val="12"/>
                <w:szCs w:val="16"/>
                <w:lang w:val="es-CO" w:eastAsia="es-CO"/>
              </w:rPr>
              <w:t>.</w:t>
            </w:r>
            <w:r w:rsidRPr="00F2046C">
              <w:rPr>
                <w:i/>
                <w:color w:val="000000"/>
                <w:sz w:val="12"/>
                <w:szCs w:val="16"/>
                <w:lang w:val="es-CO" w:eastAsia="es-CO"/>
              </w:rPr>
              <w:t>046</w:t>
            </w:r>
            <w:r>
              <w:rPr>
                <w:i/>
                <w:color w:val="000000"/>
                <w:sz w:val="12"/>
                <w:szCs w:val="16"/>
                <w:lang w:val="es-CO" w:eastAsia="es-CO"/>
              </w:rPr>
              <w:t>.</w:t>
            </w:r>
            <w:r w:rsidRPr="00F2046C">
              <w:rPr>
                <w:i/>
                <w:color w:val="000000"/>
                <w:sz w:val="12"/>
                <w:szCs w:val="16"/>
                <w:lang w:val="es-CO" w:eastAsia="es-CO"/>
              </w:rPr>
              <w:t>439</w:t>
            </w:r>
          </w:p>
        </w:tc>
      </w:tr>
      <w:tr w:rsidR="00BA56AD" w:rsidRPr="00F2046C" w14:paraId="7320213F"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CF06D3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E9AF7C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5A205F7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TPE1/2CO</w:t>
            </w:r>
          </w:p>
        </w:tc>
        <w:tc>
          <w:tcPr>
            <w:tcW w:w="992" w:type="dxa"/>
            <w:tcBorders>
              <w:top w:val="nil"/>
              <w:left w:val="nil"/>
              <w:bottom w:val="single" w:sz="4" w:space="0" w:color="auto"/>
              <w:right w:val="single" w:sz="4" w:space="0" w:color="auto"/>
            </w:tcBorders>
            <w:shd w:val="clear" w:color="auto" w:fill="auto"/>
            <w:noWrap/>
            <w:vAlign w:val="bottom"/>
            <w:hideMark/>
          </w:tcPr>
          <w:p w14:paraId="26FC223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74</w:t>
            </w:r>
            <w:r>
              <w:rPr>
                <w:i/>
                <w:color w:val="000000"/>
                <w:sz w:val="12"/>
                <w:szCs w:val="16"/>
                <w:lang w:val="es-CO" w:eastAsia="es-CO"/>
              </w:rPr>
              <w:t>.</w:t>
            </w:r>
            <w:r w:rsidRPr="00F2046C">
              <w:rPr>
                <w:i/>
                <w:color w:val="000000"/>
                <w:sz w:val="12"/>
                <w:szCs w:val="16"/>
                <w:lang w:val="es-CO" w:eastAsia="es-CO"/>
              </w:rPr>
              <w:t>429</w:t>
            </w:r>
            <w:r>
              <w:rPr>
                <w:i/>
                <w:color w:val="000000"/>
                <w:sz w:val="12"/>
                <w:szCs w:val="16"/>
                <w:lang w:val="es-CO" w:eastAsia="es-CO"/>
              </w:rPr>
              <w:t>.</w:t>
            </w:r>
            <w:r w:rsidRPr="00F2046C">
              <w:rPr>
                <w:i/>
                <w:color w:val="000000"/>
                <w:sz w:val="12"/>
                <w:szCs w:val="16"/>
                <w:lang w:val="es-CO" w:eastAsia="es-CO"/>
              </w:rPr>
              <w:t>578</w:t>
            </w:r>
          </w:p>
        </w:tc>
        <w:tc>
          <w:tcPr>
            <w:tcW w:w="992" w:type="dxa"/>
            <w:tcBorders>
              <w:top w:val="nil"/>
              <w:left w:val="nil"/>
              <w:bottom w:val="single" w:sz="4" w:space="0" w:color="auto"/>
              <w:right w:val="single" w:sz="4" w:space="0" w:color="auto"/>
            </w:tcBorders>
            <w:shd w:val="clear" w:color="auto" w:fill="auto"/>
            <w:noWrap/>
            <w:vAlign w:val="bottom"/>
            <w:hideMark/>
          </w:tcPr>
          <w:p w14:paraId="31B96FB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31FFDA95"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F715FD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13</w:t>
            </w:r>
          </w:p>
        </w:tc>
        <w:tc>
          <w:tcPr>
            <w:tcW w:w="425" w:type="dxa"/>
            <w:tcBorders>
              <w:top w:val="nil"/>
              <w:left w:val="nil"/>
              <w:bottom w:val="single" w:sz="4" w:space="0" w:color="auto"/>
              <w:right w:val="single" w:sz="4" w:space="0" w:color="auto"/>
            </w:tcBorders>
            <w:shd w:val="clear" w:color="auto" w:fill="auto"/>
            <w:noWrap/>
            <w:vAlign w:val="bottom"/>
            <w:hideMark/>
          </w:tcPr>
          <w:p w14:paraId="7B75BF0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F2E2AC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592D3B1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741A16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BD8B18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9</w:t>
            </w:r>
            <w:r>
              <w:rPr>
                <w:i/>
                <w:color w:val="000000"/>
                <w:sz w:val="12"/>
                <w:szCs w:val="16"/>
                <w:lang w:val="es-CO" w:eastAsia="es-CO"/>
              </w:rPr>
              <w:t>.</w:t>
            </w:r>
            <w:r w:rsidRPr="00F2046C">
              <w:rPr>
                <w:i/>
                <w:color w:val="000000"/>
                <w:sz w:val="12"/>
                <w:szCs w:val="16"/>
                <w:lang w:val="es-CO" w:eastAsia="es-CO"/>
              </w:rPr>
              <w:t>750</w:t>
            </w:r>
            <w:r>
              <w:rPr>
                <w:i/>
                <w:color w:val="000000"/>
                <w:sz w:val="12"/>
                <w:szCs w:val="16"/>
                <w:lang w:val="es-CO" w:eastAsia="es-CO"/>
              </w:rPr>
              <w:t>.</w:t>
            </w:r>
            <w:r w:rsidRPr="00F2046C">
              <w:rPr>
                <w:i/>
                <w:color w:val="000000"/>
                <w:sz w:val="12"/>
                <w:szCs w:val="16"/>
                <w:lang w:val="es-CO" w:eastAsia="es-CO"/>
              </w:rPr>
              <w:t>275</w:t>
            </w:r>
          </w:p>
        </w:tc>
      </w:tr>
      <w:tr w:rsidR="00BA56AD" w:rsidRPr="00F2046C" w14:paraId="70AF5CE2"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2A8628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0D98E0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352A24A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TPE3/4CO</w:t>
            </w:r>
          </w:p>
        </w:tc>
        <w:tc>
          <w:tcPr>
            <w:tcW w:w="992" w:type="dxa"/>
            <w:tcBorders>
              <w:top w:val="nil"/>
              <w:left w:val="nil"/>
              <w:bottom w:val="single" w:sz="4" w:space="0" w:color="auto"/>
              <w:right w:val="single" w:sz="4" w:space="0" w:color="auto"/>
            </w:tcBorders>
            <w:shd w:val="clear" w:color="auto" w:fill="auto"/>
            <w:noWrap/>
            <w:vAlign w:val="bottom"/>
            <w:hideMark/>
          </w:tcPr>
          <w:p w14:paraId="2CCC84B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75</w:t>
            </w:r>
            <w:r>
              <w:rPr>
                <w:i/>
                <w:color w:val="000000"/>
                <w:sz w:val="12"/>
                <w:szCs w:val="16"/>
                <w:lang w:val="es-CO" w:eastAsia="es-CO"/>
              </w:rPr>
              <w:t>.</w:t>
            </w:r>
            <w:r w:rsidRPr="00F2046C">
              <w:rPr>
                <w:i/>
                <w:color w:val="000000"/>
                <w:sz w:val="12"/>
                <w:szCs w:val="16"/>
                <w:lang w:val="es-CO" w:eastAsia="es-CO"/>
              </w:rPr>
              <w:t>269</w:t>
            </w:r>
            <w:r>
              <w:rPr>
                <w:i/>
                <w:color w:val="000000"/>
                <w:sz w:val="12"/>
                <w:szCs w:val="16"/>
                <w:lang w:val="es-CO" w:eastAsia="es-CO"/>
              </w:rPr>
              <w:t>.</w:t>
            </w:r>
            <w:r w:rsidRPr="00F2046C">
              <w:rPr>
                <w:i/>
                <w:color w:val="000000"/>
                <w:sz w:val="12"/>
                <w:szCs w:val="16"/>
                <w:lang w:val="es-CO" w:eastAsia="es-CO"/>
              </w:rPr>
              <w:t>785</w:t>
            </w:r>
          </w:p>
        </w:tc>
        <w:tc>
          <w:tcPr>
            <w:tcW w:w="992" w:type="dxa"/>
            <w:tcBorders>
              <w:top w:val="nil"/>
              <w:left w:val="nil"/>
              <w:bottom w:val="single" w:sz="4" w:space="0" w:color="auto"/>
              <w:right w:val="single" w:sz="4" w:space="0" w:color="auto"/>
            </w:tcBorders>
            <w:shd w:val="clear" w:color="auto" w:fill="auto"/>
            <w:noWrap/>
            <w:vAlign w:val="bottom"/>
            <w:hideMark/>
          </w:tcPr>
          <w:p w14:paraId="3D0C3D5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199A983A"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bottom"/>
            <w:hideMark/>
          </w:tcPr>
          <w:p w14:paraId="5ACEA1D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4248F5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99C310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0811E8B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21A2C3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11E40F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75</w:t>
            </w:r>
            <w:r>
              <w:rPr>
                <w:i/>
                <w:color w:val="000000"/>
                <w:sz w:val="12"/>
                <w:szCs w:val="16"/>
                <w:lang w:val="es-CO" w:eastAsia="es-CO"/>
              </w:rPr>
              <w:t>.</w:t>
            </w:r>
            <w:r w:rsidRPr="00F2046C">
              <w:rPr>
                <w:i/>
                <w:color w:val="000000"/>
                <w:sz w:val="12"/>
                <w:szCs w:val="16"/>
                <w:lang w:val="es-CO" w:eastAsia="es-CO"/>
              </w:rPr>
              <w:t>270</w:t>
            </w:r>
          </w:p>
        </w:tc>
      </w:tr>
      <w:tr w:rsidR="00BA56AD" w:rsidRPr="00F2046C" w14:paraId="178D7F66"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28B2E6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081143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72F07AA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TPE1/2ACO</w:t>
            </w:r>
          </w:p>
        </w:tc>
        <w:tc>
          <w:tcPr>
            <w:tcW w:w="992" w:type="dxa"/>
            <w:tcBorders>
              <w:top w:val="nil"/>
              <w:left w:val="nil"/>
              <w:bottom w:val="single" w:sz="4" w:space="0" w:color="auto"/>
              <w:right w:val="single" w:sz="4" w:space="0" w:color="auto"/>
            </w:tcBorders>
            <w:shd w:val="clear" w:color="auto" w:fill="auto"/>
            <w:noWrap/>
            <w:vAlign w:val="bottom"/>
            <w:hideMark/>
          </w:tcPr>
          <w:p w14:paraId="0E9E7D9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52</w:t>
            </w:r>
            <w:r>
              <w:rPr>
                <w:i/>
                <w:color w:val="000000"/>
                <w:sz w:val="12"/>
                <w:szCs w:val="16"/>
                <w:lang w:val="es-CO" w:eastAsia="es-CO"/>
              </w:rPr>
              <w:t>.</w:t>
            </w:r>
            <w:r w:rsidRPr="00F2046C">
              <w:rPr>
                <w:i/>
                <w:color w:val="000000"/>
                <w:sz w:val="12"/>
                <w:szCs w:val="16"/>
                <w:lang w:val="es-CO" w:eastAsia="es-CO"/>
              </w:rPr>
              <w:t>202</w:t>
            </w:r>
            <w:r>
              <w:rPr>
                <w:i/>
                <w:color w:val="000000"/>
                <w:sz w:val="12"/>
                <w:szCs w:val="16"/>
                <w:lang w:val="es-CO" w:eastAsia="es-CO"/>
              </w:rPr>
              <w:t>.</w:t>
            </w:r>
            <w:r w:rsidRPr="00F2046C">
              <w:rPr>
                <w:i/>
                <w:color w:val="000000"/>
                <w:sz w:val="12"/>
                <w:szCs w:val="16"/>
                <w:lang w:val="es-CO" w:eastAsia="es-CO"/>
              </w:rPr>
              <w:t>790</w:t>
            </w:r>
          </w:p>
        </w:tc>
        <w:tc>
          <w:tcPr>
            <w:tcW w:w="992" w:type="dxa"/>
            <w:tcBorders>
              <w:top w:val="nil"/>
              <w:left w:val="nil"/>
              <w:bottom w:val="single" w:sz="4" w:space="0" w:color="auto"/>
              <w:right w:val="single" w:sz="4" w:space="0" w:color="auto"/>
            </w:tcBorders>
            <w:shd w:val="clear" w:color="auto" w:fill="auto"/>
            <w:noWrap/>
            <w:vAlign w:val="bottom"/>
            <w:hideMark/>
          </w:tcPr>
          <w:p w14:paraId="7144C0E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75AA3157"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3D08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D31FC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8297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DB3E8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F99BE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4CDEB9D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52</w:t>
            </w:r>
            <w:r>
              <w:rPr>
                <w:i/>
                <w:color w:val="000000"/>
                <w:sz w:val="12"/>
                <w:szCs w:val="16"/>
                <w:lang w:val="es-CO" w:eastAsia="es-CO"/>
              </w:rPr>
              <w:t>.</w:t>
            </w:r>
            <w:r w:rsidRPr="00F2046C">
              <w:rPr>
                <w:i/>
                <w:color w:val="000000"/>
                <w:sz w:val="12"/>
                <w:szCs w:val="16"/>
                <w:lang w:val="es-CO" w:eastAsia="es-CO"/>
              </w:rPr>
              <w:t>860</w:t>
            </w:r>
            <w:r>
              <w:rPr>
                <w:i/>
                <w:color w:val="000000"/>
                <w:sz w:val="12"/>
                <w:szCs w:val="16"/>
                <w:lang w:val="es-CO" w:eastAsia="es-CO"/>
              </w:rPr>
              <w:t>.</w:t>
            </w:r>
            <w:r w:rsidRPr="00F2046C">
              <w:rPr>
                <w:i/>
                <w:color w:val="000000"/>
                <w:sz w:val="12"/>
                <w:szCs w:val="16"/>
                <w:lang w:val="es-CO" w:eastAsia="es-CO"/>
              </w:rPr>
              <w:t>545</w:t>
            </w:r>
          </w:p>
        </w:tc>
      </w:tr>
      <w:tr w:rsidR="00BA56AD" w:rsidRPr="00F2046C" w14:paraId="12114665"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A5D284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2DFC6F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6DE01BD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TPE3/4ACO</w:t>
            </w:r>
          </w:p>
        </w:tc>
        <w:tc>
          <w:tcPr>
            <w:tcW w:w="992" w:type="dxa"/>
            <w:tcBorders>
              <w:top w:val="nil"/>
              <w:left w:val="nil"/>
              <w:bottom w:val="single" w:sz="4" w:space="0" w:color="auto"/>
              <w:right w:val="single" w:sz="4" w:space="0" w:color="auto"/>
            </w:tcBorders>
            <w:shd w:val="clear" w:color="auto" w:fill="auto"/>
            <w:noWrap/>
            <w:vAlign w:val="bottom"/>
            <w:hideMark/>
          </w:tcPr>
          <w:p w14:paraId="4999C0F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53</w:t>
            </w:r>
            <w:r>
              <w:rPr>
                <w:i/>
                <w:color w:val="000000"/>
                <w:sz w:val="12"/>
                <w:szCs w:val="16"/>
                <w:lang w:val="es-CO" w:eastAsia="es-CO"/>
              </w:rPr>
              <w:t>.</w:t>
            </w:r>
            <w:r w:rsidRPr="00F2046C">
              <w:rPr>
                <w:i/>
                <w:color w:val="000000"/>
                <w:sz w:val="12"/>
                <w:szCs w:val="16"/>
                <w:lang w:val="es-CO" w:eastAsia="es-CO"/>
              </w:rPr>
              <w:t>098</w:t>
            </w:r>
            <w:r>
              <w:rPr>
                <w:i/>
                <w:color w:val="000000"/>
                <w:sz w:val="12"/>
                <w:szCs w:val="16"/>
                <w:lang w:val="es-CO" w:eastAsia="es-CO"/>
              </w:rPr>
              <w:t>.</w:t>
            </w:r>
            <w:r w:rsidRPr="00F2046C">
              <w:rPr>
                <w:i/>
                <w:color w:val="000000"/>
                <w:sz w:val="12"/>
                <w:szCs w:val="16"/>
                <w:lang w:val="es-CO" w:eastAsia="es-CO"/>
              </w:rPr>
              <w:t>574</w:t>
            </w:r>
          </w:p>
        </w:tc>
        <w:tc>
          <w:tcPr>
            <w:tcW w:w="992" w:type="dxa"/>
            <w:tcBorders>
              <w:top w:val="nil"/>
              <w:left w:val="nil"/>
              <w:bottom w:val="single" w:sz="4" w:space="0" w:color="auto"/>
              <w:right w:val="single" w:sz="4" w:space="0" w:color="auto"/>
            </w:tcBorders>
            <w:shd w:val="clear" w:color="auto" w:fill="auto"/>
            <w:noWrap/>
            <w:vAlign w:val="bottom"/>
            <w:hideMark/>
          </w:tcPr>
          <w:p w14:paraId="2A8D32F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05E979D7"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8F3D87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21</w:t>
            </w:r>
          </w:p>
        </w:tc>
        <w:tc>
          <w:tcPr>
            <w:tcW w:w="425" w:type="dxa"/>
            <w:tcBorders>
              <w:top w:val="nil"/>
              <w:left w:val="nil"/>
              <w:bottom w:val="single" w:sz="4" w:space="0" w:color="auto"/>
              <w:right w:val="single" w:sz="4" w:space="0" w:color="auto"/>
            </w:tcBorders>
            <w:shd w:val="clear" w:color="auto" w:fill="auto"/>
            <w:noWrap/>
            <w:vAlign w:val="bottom"/>
            <w:hideMark/>
          </w:tcPr>
          <w:p w14:paraId="6DC513C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C9436A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1D0230B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8129F5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7D787AF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64</w:t>
            </w:r>
            <w:r>
              <w:rPr>
                <w:i/>
                <w:color w:val="000000"/>
                <w:sz w:val="12"/>
                <w:szCs w:val="16"/>
                <w:lang w:val="es-CO" w:eastAsia="es-CO"/>
              </w:rPr>
              <w:t>.</w:t>
            </w:r>
            <w:r w:rsidRPr="00F2046C">
              <w:rPr>
                <w:i/>
                <w:color w:val="000000"/>
                <w:sz w:val="12"/>
                <w:szCs w:val="16"/>
                <w:lang w:val="es-CO" w:eastAsia="es-CO"/>
              </w:rPr>
              <w:t>302</w:t>
            </w:r>
            <w:r>
              <w:rPr>
                <w:i/>
                <w:color w:val="000000"/>
                <w:sz w:val="12"/>
                <w:szCs w:val="16"/>
                <w:lang w:val="es-CO" w:eastAsia="es-CO"/>
              </w:rPr>
              <w:t>.</w:t>
            </w:r>
            <w:r w:rsidRPr="00F2046C">
              <w:rPr>
                <w:i/>
                <w:color w:val="000000"/>
                <w:sz w:val="12"/>
                <w:szCs w:val="16"/>
                <w:lang w:val="es-CO" w:eastAsia="es-CO"/>
              </w:rPr>
              <w:t>373</w:t>
            </w:r>
          </w:p>
        </w:tc>
      </w:tr>
      <w:tr w:rsidR="00BA56AD" w:rsidRPr="00F2046C" w14:paraId="0A4BA144"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BC6584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33454A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499FAC5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TPE2ACO</w:t>
            </w:r>
          </w:p>
        </w:tc>
        <w:tc>
          <w:tcPr>
            <w:tcW w:w="992" w:type="dxa"/>
            <w:tcBorders>
              <w:top w:val="nil"/>
              <w:left w:val="nil"/>
              <w:bottom w:val="single" w:sz="4" w:space="0" w:color="auto"/>
              <w:right w:val="single" w:sz="4" w:space="0" w:color="auto"/>
            </w:tcBorders>
            <w:shd w:val="clear" w:color="auto" w:fill="auto"/>
            <w:noWrap/>
            <w:vAlign w:val="bottom"/>
            <w:hideMark/>
          </w:tcPr>
          <w:p w14:paraId="0DA31EC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67</w:t>
            </w:r>
            <w:r>
              <w:rPr>
                <w:i/>
                <w:color w:val="000000"/>
                <w:sz w:val="12"/>
                <w:szCs w:val="16"/>
                <w:lang w:val="es-CO" w:eastAsia="es-CO"/>
              </w:rPr>
              <w:t>.</w:t>
            </w:r>
            <w:r w:rsidRPr="00F2046C">
              <w:rPr>
                <w:i/>
                <w:color w:val="000000"/>
                <w:sz w:val="12"/>
                <w:szCs w:val="16"/>
                <w:lang w:val="es-CO" w:eastAsia="es-CO"/>
              </w:rPr>
              <w:t>285</w:t>
            </w:r>
            <w:r>
              <w:rPr>
                <w:i/>
                <w:color w:val="000000"/>
                <w:sz w:val="12"/>
                <w:szCs w:val="16"/>
                <w:lang w:val="es-CO" w:eastAsia="es-CO"/>
              </w:rPr>
              <w:t>.</w:t>
            </w:r>
            <w:r w:rsidRPr="00F2046C">
              <w:rPr>
                <w:i/>
                <w:color w:val="000000"/>
                <w:sz w:val="12"/>
                <w:szCs w:val="16"/>
                <w:lang w:val="es-CO" w:eastAsia="es-CO"/>
              </w:rPr>
              <w:t>854</w:t>
            </w:r>
          </w:p>
        </w:tc>
        <w:tc>
          <w:tcPr>
            <w:tcW w:w="992" w:type="dxa"/>
            <w:tcBorders>
              <w:top w:val="nil"/>
              <w:left w:val="nil"/>
              <w:bottom w:val="single" w:sz="4" w:space="0" w:color="auto"/>
              <w:right w:val="single" w:sz="4" w:space="0" w:color="auto"/>
            </w:tcBorders>
            <w:shd w:val="clear" w:color="auto" w:fill="auto"/>
            <w:noWrap/>
            <w:vAlign w:val="bottom"/>
            <w:hideMark/>
          </w:tcPr>
          <w:p w14:paraId="45E0B9B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940AFBD"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1A2C9D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51</w:t>
            </w:r>
          </w:p>
        </w:tc>
        <w:tc>
          <w:tcPr>
            <w:tcW w:w="425" w:type="dxa"/>
            <w:tcBorders>
              <w:top w:val="nil"/>
              <w:left w:val="nil"/>
              <w:bottom w:val="single" w:sz="4" w:space="0" w:color="auto"/>
              <w:right w:val="single" w:sz="4" w:space="0" w:color="auto"/>
            </w:tcBorders>
            <w:shd w:val="clear" w:color="auto" w:fill="auto"/>
            <w:noWrap/>
            <w:vAlign w:val="bottom"/>
            <w:hideMark/>
          </w:tcPr>
          <w:p w14:paraId="7D26115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8737D4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419A352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3F61EF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240FB97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33</w:t>
            </w:r>
            <w:r>
              <w:rPr>
                <w:i/>
                <w:color w:val="000000"/>
                <w:sz w:val="12"/>
                <w:szCs w:val="16"/>
                <w:lang w:val="es-CO" w:eastAsia="es-CO"/>
              </w:rPr>
              <w:t>.</w:t>
            </w:r>
            <w:r w:rsidRPr="00F2046C">
              <w:rPr>
                <w:i/>
                <w:color w:val="000000"/>
                <w:sz w:val="12"/>
                <w:szCs w:val="16"/>
                <w:lang w:val="es-CO" w:eastAsia="es-CO"/>
              </w:rPr>
              <w:t>999</w:t>
            </w:r>
            <w:r>
              <w:rPr>
                <w:i/>
                <w:color w:val="000000"/>
                <w:sz w:val="12"/>
                <w:szCs w:val="16"/>
                <w:lang w:val="es-CO" w:eastAsia="es-CO"/>
              </w:rPr>
              <w:t>.</w:t>
            </w:r>
            <w:r w:rsidRPr="00F2046C">
              <w:rPr>
                <w:i/>
                <w:color w:val="000000"/>
                <w:sz w:val="12"/>
                <w:szCs w:val="16"/>
                <w:lang w:val="es-CO" w:eastAsia="es-CO"/>
              </w:rPr>
              <w:t>542</w:t>
            </w:r>
          </w:p>
        </w:tc>
      </w:tr>
      <w:tr w:rsidR="00BA56AD" w:rsidRPr="00F2046C" w14:paraId="45855A89"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27671A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4F356E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665ACFE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TPE1/2TA</w:t>
            </w:r>
          </w:p>
        </w:tc>
        <w:tc>
          <w:tcPr>
            <w:tcW w:w="992" w:type="dxa"/>
            <w:tcBorders>
              <w:top w:val="nil"/>
              <w:left w:val="nil"/>
              <w:bottom w:val="single" w:sz="4" w:space="0" w:color="auto"/>
              <w:right w:val="single" w:sz="4" w:space="0" w:color="auto"/>
            </w:tcBorders>
            <w:shd w:val="clear" w:color="auto" w:fill="auto"/>
            <w:noWrap/>
            <w:vAlign w:val="bottom"/>
            <w:hideMark/>
          </w:tcPr>
          <w:p w14:paraId="44E7FE1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55</w:t>
            </w:r>
            <w:r>
              <w:rPr>
                <w:i/>
                <w:color w:val="000000"/>
                <w:sz w:val="12"/>
                <w:szCs w:val="16"/>
                <w:lang w:val="es-CO" w:eastAsia="es-CO"/>
              </w:rPr>
              <w:t>.</w:t>
            </w:r>
            <w:r w:rsidRPr="00F2046C">
              <w:rPr>
                <w:i/>
                <w:color w:val="000000"/>
                <w:sz w:val="12"/>
                <w:szCs w:val="16"/>
                <w:lang w:val="es-CO" w:eastAsia="es-CO"/>
              </w:rPr>
              <w:t>278</w:t>
            </w:r>
            <w:r>
              <w:rPr>
                <w:i/>
                <w:color w:val="000000"/>
                <w:sz w:val="12"/>
                <w:szCs w:val="16"/>
                <w:lang w:val="es-CO" w:eastAsia="es-CO"/>
              </w:rPr>
              <w:t>.</w:t>
            </w:r>
            <w:r w:rsidRPr="00F2046C">
              <w:rPr>
                <w:i/>
                <w:color w:val="000000"/>
                <w:sz w:val="12"/>
                <w:szCs w:val="16"/>
                <w:lang w:val="es-CO" w:eastAsia="es-CO"/>
              </w:rPr>
              <w:t>936</w:t>
            </w:r>
          </w:p>
        </w:tc>
        <w:tc>
          <w:tcPr>
            <w:tcW w:w="992" w:type="dxa"/>
            <w:tcBorders>
              <w:top w:val="nil"/>
              <w:left w:val="nil"/>
              <w:bottom w:val="single" w:sz="4" w:space="0" w:color="auto"/>
              <w:right w:val="single" w:sz="4" w:space="0" w:color="auto"/>
            </w:tcBorders>
            <w:shd w:val="clear" w:color="auto" w:fill="auto"/>
            <w:noWrap/>
            <w:vAlign w:val="bottom"/>
            <w:hideMark/>
          </w:tcPr>
          <w:p w14:paraId="130C3C6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7773402"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31307B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13</w:t>
            </w:r>
          </w:p>
        </w:tc>
        <w:tc>
          <w:tcPr>
            <w:tcW w:w="425" w:type="dxa"/>
            <w:tcBorders>
              <w:top w:val="nil"/>
              <w:left w:val="nil"/>
              <w:bottom w:val="single" w:sz="4" w:space="0" w:color="auto"/>
              <w:right w:val="single" w:sz="4" w:space="0" w:color="auto"/>
            </w:tcBorders>
            <w:shd w:val="clear" w:color="auto" w:fill="auto"/>
            <w:noWrap/>
            <w:vAlign w:val="bottom"/>
            <w:hideMark/>
          </w:tcPr>
          <w:p w14:paraId="5C1BF34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7502DE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19FCD0B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2E04E0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421F4AC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w:t>
            </w:r>
            <w:r>
              <w:rPr>
                <w:i/>
                <w:color w:val="000000"/>
                <w:sz w:val="12"/>
                <w:szCs w:val="16"/>
                <w:lang w:val="es-CO" w:eastAsia="es-CO"/>
              </w:rPr>
              <w:t>.</w:t>
            </w:r>
            <w:r w:rsidRPr="00F2046C">
              <w:rPr>
                <w:i/>
                <w:color w:val="000000"/>
                <w:sz w:val="12"/>
                <w:szCs w:val="16"/>
                <w:lang w:val="es-CO" w:eastAsia="es-CO"/>
              </w:rPr>
              <w:t>241</w:t>
            </w:r>
            <w:r>
              <w:rPr>
                <w:i/>
                <w:color w:val="000000"/>
                <w:sz w:val="12"/>
                <w:szCs w:val="16"/>
                <w:lang w:val="es-CO" w:eastAsia="es-CO"/>
              </w:rPr>
              <w:t>.</w:t>
            </w:r>
            <w:r w:rsidRPr="00F2046C">
              <w:rPr>
                <w:i/>
                <w:color w:val="000000"/>
                <w:sz w:val="12"/>
                <w:szCs w:val="16"/>
                <w:lang w:val="es-CO" w:eastAsia="es-CO"/>
              </w:rPr>
              <w:t>541</w:t>
            </w:r>
          </w:p>
        </w:tc>
      </w:tr>
      <w:tr w:rsidR="00BA56AD" w:rsidRPr="00F2046C" w14:paraId="094BA712"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7EF1F3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B8DA54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240B3B6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TPE3/4TA</w:t>
            </w:r>
          </w:p>
        </w:tc>
        <w:tc>
          <w:tcPr>
            <w:tcW w:w="992" w:type="dxa"/>
            <w:tcBorders>
              <w:top w:val="nil"/>
              <w:left w:val="nil"/>
              <w:bottom w:val="single" w:sz="4" w:space="0" w:color="auto"/>
              <w:right w:val="single" w:sz="4" w:space="0" w:color="auto"/>
            </w:tcBorders>
            <w:shd w:val="clear" w:color="auto" w:fill="auto"/>
            <w:noWrap/>
            <w:vAlign w:val="bottom"/>
            <w:hideMark/>
          </w:tcPr>
          <w:p w14:paraId="5DF30D1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56</w:t>
            </w:r>
            <w:r>
              <w:rPr>
                <w:i/>
                <w:color w:val="000000"/>
                <w:sz w:val="12"/>
                <w:szCs w:val="16"/>
                <w:lang w:val="es-CO" w:eastAsia="es-CO"/>
              </w:rPr>
              <w:t>.</w:t>
            </w:r>
            <w:r w:rsidRPr="00F2046C">
              <w:rPr>
                <w:i/>
                <w:color w:val="000000"/>
                <w:sz w:val="12"/>
                <w:szCs w:val="16"/>
                <w:lang w:val="es-CO" w:eastAsia="es-CO"/>
              </w:rPr>
              <w:t>167</w:t>
            </w:r>
            <w:r>
              <w:rPr>
                <w:i/>
                <w:color w:val="000000"/>
                <w:sz w:val="12"/>
                <w:szCs w:val="16"/>
                <w:lang w:val="es-CO" w:eastAsia="es-CO"/>
              </w:rPr>
              <w:t>.</w:t>
            </w:r>
            <w:r w:rsidRPr="00F2046C">
              <w:rPr>
                <w:i/>
                <w:color w:val="000000"/>
                <w:sz w:val="12"/>
                <w:szCs w:val="16"/>
                <w:lang w:val="es-CO" w:eastAsia="es-CO"/>
              </w:rPr>
              <w:t>552</w:t>
            </w:r>
          </w:p>
        </w:tc>
        <w:tc>
          <w:tcPr>
            <w:tcW w:w="992" w:type="dxa"/>
            <w:tcBorders>
              <w:top w:val="nil"/>
              <w:left w:val="nil"/>
              <w:bottom w:val="single" w:sz="4" w:space="0" w:color="auto"/>
              <w:right w:val="single" w:sz="4" w:space="0" w:color="auto"/>
            </w:tcBorders>
            <w:shd w:val="clear" w:color="auto" w:fill="auto"/>
            <w:noWrap/>
            <w:vAlign w:val="bottom"/>
            <w:hideMark/>
          </w:tcPr>
          <w:p w14:paraId="50497B4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2E0A2EED"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7B70A6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24</w:t>
            </w:r>
          </w:p>
        </w:tc>
        <w:tc>
          <w:tcPr>
            <w:tcW w:w="425" w:type="dxa"/>
            <w:tcBorders>
              <w:top w:val="nil"/>
              <w:left w:val="nil"/>
              <w:bottom w:val="single" w:sz="4" w:space="0" w:color="auto"/>
              <w:right w:val="single" w:sz="4" w:space="0" w:color="auto"/>
            </w:tcBorders>
            <w:shd w:val="clear" w:color="auto" w:fill="auto"/>
            <w:noWrap/>
            <w:vAlign w:val="bottom"/>
            <w:hideMark/>
          </w:tcPr>
          <w:p w14:paraId="2417A04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96CDC3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2048558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2064DC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6E2791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13</w:t>
            </w:r>
            <w:r>
              <w:rPr>
                <w:i/>
                <w:color w:val="000000"/>
                <w:sz w:val="12"/>
                <w:szCs w:val="16"/>
                <w:lang w:val="es-CO" w:eastAsia="es-CO"/>
              </w:rPr>
              <w:t>.</w:t>
            </w:r>
            <w:r w:rsidRPr="00F2046C">
              <w:rPr>
                <w:i/>
                <w:color w:val="000000"/>
                <w:sz w:val="12"/>
                <w:szCs w:val="16"/>
                <w:lang w:val="es-CO" w:eastAsia="es-CO"/>
              </w:rPr>
              <w:t>732</w:t>
            </w:r>
            <w:r>
              <w:rPr>
                <w:i/>
                <w:color w:val="000000"/>
                <w:sz w:val="12"/>
                <w:szCs w:val="16"/>
                <w:lang w:val="es-CO" w:eastAsia="es-CO"/>
              </w:rPr>
              <w:t>.</w:t>
            </w:r>
            <w:r w:rsidRPr="00F2046C">
              <w:rPr>
                <w:i/>
                <w:color w:val="000000"/>
                <w:sz w:val="12"/>
                <w:szCs w:val="16"/>
                <w:lang w:val="es-CO" w:eastAsia="es-CO"/>
              </w:rPr>
              <w:t>967</w:t>
            </w:r>
          </w:p>
        </w:tc>
      </w:tr>
      <w:tr w:rsidR="00BA56AD" w:rsidRPr="00F2046C" w14:paraId="7BDA629A"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65516D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95ACE0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2B9F207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TPE2TA</w:t>
            </w:r>
          </w:p>
        </w:tc>
        <w:tc>
          <w:tcPr>
            <w:tcW w:w="992" w:type="dxa"/>
            <w:tcBorders>
              <w:top w:val="nil"/>
              <w:left w:val="nil"/>
              <w:bottom w:val="single" w:sz="4" w:space="0" w:color="auto"/>
              <w:right w:val="single" w:sz="4" w:space="0" w:color="auto"/>
            </w:tcBorders>
            <w:shd w:val="clear" w:color="auto" w:fill="auto"/>
            <w:noWrap/>
            <w:vAlign w:val="bottom"/>
            <w:hideMark/>
          </w:tcPr>
          <w:p w14:paraId="12AE209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70</w:t>
            </w:r>
            <w:r>
              <w:rPr>
                <w:i/>
                <w:color w:val="000000"/>
                <w:sz w:val="12"/>
                <w:szCs w:val="16"/>
                <w:lang w:val="es-CO" w:eastAsia="es-CO"/>
              </w:rPr>
              <w:t>.</w:t>
            </w:r>
            <w:r w:rsidRPr="00F2046C">
              <w:rPr>
                <w:i/>
                <w:color w:val="000000"/>
                <w:sz w:val="12"/>
                <w:szCs w:val="16"/>
                <w:lang w:val="es-CO" w:eastAsia="es-CO"/>
              </w:rPr>
              <w:t>281</w:t>
            </w:r>
            <w:r>
              <w:rPr>
                <w:i/>
                <w:color w:val="000000"/>
                <w:sz w:val="12"/>
                <w:szCs w:val="16"/>
                <w:lang w:val="es-CO" w:eastAsia="es-CO"/>
              </w:rPr>
              <w:t>.</w:t>
            </w:r>
            <w:r w:rsidRPr="00F2046C">
              <w:rPr>
                <w:i/>
                <w:color w:val="000000"/>
                <w:sz w:val="12"/>
                <w:szCs w:val="16"/>
                <w:lang w:val="es-CO" w:eastAsia="es-CO"/>
              </w:rPr>
              <w:t>222</w:t>
            </w:r>
          </w:p>
        </w:tc>
        <w:tc>
          <w:tcPr>
            <w:tcW w:w="992" w:type="dxa"/>
            <w:tcBorders>
              <w:top w:val="nil"/>
              <w:left w:val="nil"/>
              <w:bottom w:val="single" w:sz="4" w:space="0" w:color="auto"/>
              <w:right w:val="single" w:sz="4" w:space="0" w:color="auto"/>
            </w:tcBorders>
            <w:shd w:val="clear" w:color="auto" w:fill="auto"/>
            <w:noWrap/>
            <w:vAlign w:val="bottom"/>
            <w:hideMark/>
          </w:tcPr>
          <w:p w14:paraId="3D244D9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34C2724D"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2A7CDE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14</w:t>
            </w:r>
          </w:p>
        </w:tc>
        <w:tc>
          <w:tcPr>
            <w:tcW w:w="425" w:type="dxa"/>
            <w:tcBorders>
              <w:top w:val="nil"/>
              <w:left w:val="nil"/>
              <w:bottom w:val="single" w:sz="4" w:space="0" w:color="auto"/>
              <w:right w:val="single" w:sz="4" w:space="0" w:color="auto"/>
            </w:tcBorders>
            <w:shd w:val="clear" w:color="auto" w:fill="auto"/>
            <w:noWrap/>
            <w:vAlign w:val="bottom"/>
            <w:hideMark/>
          </w:tcPr>
          <w:p w14:paraId="1A92561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AFE1F1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01FB10D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7C2DCF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29A3615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9</w:t>
            </w:r>
            <w:r>
              <w:rPr>
                <w:i/>
                <w:color w:val="000000"/>
                <w:sz w:val="12"/>
                <w:szCs w:val="16"/>
                <w:lang w:val="es-CO" w:eastAsia="es-CO"/>
              </w:rPr>
              <w:t>.</w:t>
            </w:r>
            <w:r w:rsidRPr="00F2046C">
              <w:rPr>
                <w:i/>
                <w:color w:val="000000"/>
                <w:sz w:val="12"/>
                <w:szCs w:val="16"/>
                <w:lang w:val="es-CO" w:eastAsia="es-CO"/>
              </w:rPr>
              <w:t>537</w:t>
            </w:r>
            <w:r>
              <w:rPr>
                <w:i/>
                <w:color w:val="000000"/>
                <w:sz w:val="12"/>
                <w:szCs w:val="16"/>
                <w:lang w:val="es-CO" w:eastAsia="es-CO"/>
              </w:rPr>
              <w:t>.</w:t>
            </w:r>
            <w:r w:rsidRPr="00F2046C">
              <w:rPr>
                <w:i/>
                <w:color w:val="000000"/>
                <w:sz w:val="12"/>
                <w:szCs w:val="16"/>
                <w:lang w:val="es-CO" w:eastAsia="es-CO"/>
              </w:rPr>
              <w:t>162</w:t>
            </w:r>
          </w:p>
        </w:tc>
      </w:tr>
      <w:tr w:rsidR="00BA56AD" w:rsidRPr="00F2046C" w14:paraId="089DC1A3"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405B4E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9F96DE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20FA70B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TPE1/2ZV</w:t>
            </w:r>
          </w:p>
        </w:tc>
        <w:tc>
          <w:tcPr>
            <w:tcW w:w="992" w:type="dxa"/>
            <w:tcBorders>
              <w:top w:val="nil"/>
              <w:left w:val="nil"/>
              <w:bottom w:val="single" w:sz="4" w:space="0" w:color="auto"/>
              <w:right w:val="single" w:sz="4" w:space="0" w:color="auto"/>
            </w:tcBorders>
            <w:shd w:val="clear" w:color="auto" w:fill="auto"/>
            <w:noWrap/>
            <w:vAlign w:val="bottom"/>
            <w:hideMark/>
          </w:tcPr>
          <w:p w14:paraId="42C3EE7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18</w:t>
            </w:r>
            <w:r>
              <w:rPr>
                <w:i/>
                <w:color w:val="000000"/>
                <w:sz w:val="12"/>
                <w:szCs w:val="16"/>
                <w:lang w:val="es-CO" w:eastAsia="es-CO"/>
              </w:rPr>
              <w:t>.</w:t>
            </w:r>
            <w:r w:rsidRPr="00F2046C">
              <w:rPr>
                <w:i/>
                <w:color w:val="000000"/>
                <w:sz w:val="12"/>
                <w:szCs w:val="16"/>
                <w:lang w:val="es-CO" w:eastAsia="es-CO"/>
              </w:rPr>
              <w:t>486</w:t>
            </w:r>
            <w:r>
              <w:rPr>
                <w:i/>
                <w:color w:val="000000"/>
                <w:sz w:val="12"/>
                <w:szCs w:val="16"/>
                <w:lang w:val="es-CO" w:eastAsia="es-CO"/>
              </w:rPr>
              <w:t>.</w:t>
            </w:r>
            <w:r w:rsidRPr="00F2046C">
              <w:rPr>
                <w:i/>
                <w:color w:val="000000"/>
                <w:sz w:val="12"/>
                <w:szCs w:val="16"/>
                <w:lang w:val="es-CO" w:eastAsia="es-CO"/>
              </w:rPr>
              <w:t>372</w:t>
            </w:r>
          </w:p>
        </w:tc>
        <w:tc>
          <w:tcPr>
            <w:tcW w:w="992" w:type="dxa"/>
            <w:tcBorders>
              <w:top w:val="nil"/>
              <w:left w:val="nil"/>
              <w:bottom w:val="single" w:sz="4" w:space="0" w:color="auto"/>
              <w:right w:val="single" w:sz="4" w:space="0" w:color="auto"/>
            </w:tcBorders>
            <w:shd w:val="clear" w:color="auto" w:fill="auto"/>
            <w:noWrap/>
            <w:vAlign w:val="bottom"/>
            <w:hideMark/>
          </w:tcPr>
          <w:p w14:paraId="71A0CD2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40EA7322"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D4FBAD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67</w:t>
            </w:r>
          </w:p>
        </w:tc>
        <w:tc>
          <w:tcPr>
            <w:tcW w:w="425" w:type="dxa"/>
            <w:tcBorders>
              <w:top w:val="nil"/>
              <w:left w:val="nil"/>
              <w:bottom w:val="single" w:sz="4" w:space="0" w:color="auto"/>
              <w:right w:val="single" w:sz="4" w:space="0" w:color="auto"/>
            </w:tcBorders>
            <w:shd w:val="clear" w:color="auto" w:fill="auto"/>
            <w:noWrap/>
            <w:vAlign w:val="bottom"/>
            <w:hideMark/>
          </w:tcPr>
          <w:p w14:paraId="76BF9BA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FC23AF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495C061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A6298B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3888D3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49</w:t>
            </w:r>
            <w:r>
              <w:rPr>
                <w:i/>
                <w:color w:val="000000"/>
                <w:sz w:val="12"/>
                <w:szCs w:val="16"/>
                <w:lang w:val="es-CO" w:eastAsia="es-CO"/>
              </w:rPr>
              <w:t>.</w:t>
            </w:r>
            <w:r w:rsidRPr="00F2046C">
              <w:rPr>
                <w:i/>
                <w:color w:val="000000"/>
                <w:sz w:val="12"/>
                <w:szCs w:val="16"/>
                <w:lang w:val="es-CO" w:eastAsia="es-CO"/>
              </w:rPr>
              <w:t>314</w:t>
            </w:r>
            <w:r>
              <w:rPr>
                <w:i/>
                <w:color w:val="000000"/>
                <w:sz w:val="12"/>
                <w:szCs w:val="16"/>
                <w:lang w:val="es-CO" w:eastAsia="es-CO"/>
              </w:rPr>
              <w:t>.</w:t>
            </w:r>
            <w:r w:rsidRPr="00F2046C">
              <w:rPr>
                <w:i/>
                <w:color w:val="000000"/>
                <w:sz w:val="12"/>
                <w:szCs w:val="16"/>
                <w:lang w:val="es-CO" w:eastAsia="es-CO"/>
              </w:rPr>
              <w:t>247</w:t>
            </w:r>
          </w:p>
        </w:tc>
      </w:tr>
      <w:tr w:rsidR="00BA56AD" w:rsidRPr="00F2046C" w14:paraId="75C5DC0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71A311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2DA96B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06D42C3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TPE3/4ZV</w:t>
            </w:r>
          </w:p>
        </w:tc>
        <w:tc>
          <w:tcPr>
            <w:tcW w:w="992" w:type="dxa"/>
            <w:tcBorders>
              <w:top w:val="nil"/>
              <w:left w:val="nil"/>
              <w:bottom w:val="single" w:sz="4" w:space="0" w:color="auto"/>
              <w:right w:val="single" w:sz="4" w:space="0" w:color="auto"/>
            </w:tcBorders>
            <w:shd w:val="clear" w:color="auto" w:fill="auto"/>
            <w:noWrap/>
            <w:vAlign w:val="bottom"/>
            <w:hideMark/>
          </w:tcPr>
          <w:p w14:paraId="14B115F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19</w:t>
            </w:r>
            <w:r>
              <w:rPr>
                <w:i/>
                <w:color w:val="000000"/>
                <w:sz w:val="12"/>
                <w:szCs w:val="16"/>
                <w:lang w:val="es-CO" w:eastAsia="es-CO"/>
              </w:rPr>
              <w:t>.</w:t>
            </w:r>
            <w:r w:rsidRPr="00F2046C">
              <w:rPr>
                <w:i/>
                <w:color w:val="000000"/>
                <w:sz w:val="12"/>
                <w:szCs w:val="16"/>
                <w:lang w:val="es-CO" w:eastAsia="es-CO"/>
              </w:rPr>
              <w:t>417</w:t>
            </w:r>
            <w:r>
              <w:rPr>
                <w:i/>
                <w:color w:val="000000"/>
                <w:sz w:val="12"/>
                <w:szCs w:val="16"/>
                <w:lang w:val="es-CO" w:eastAsia="es-CO"/>
              </w:rPr>
              <w:t>.</w:t>
            </w:r>
            <w:r w:rsidRPr="00F2046C">
              <w:rPr>
                <w:i/>
                <w:color w:val="000000"/>
                <w:sz w:val="12"/>
                <w:szCs w:val="16"/>
                <w:lang w:val="es-CO" w:eastAsia="es-CO"/>
              </w:rPr>
              <w:t>002</w:t>
            </w:r>
          </w:p>
        </w:tc>
        <w:tc>
          <w:tcPr>
            <w:tcW w:w="992" w:type="dxa"/>
            <w:tcBorders>
              <w:top w:val="nil"/>
              <w:left w:val="nil"/>
              <w:bottom w:val="single" w:sz="4" w:space="0" w:color="auto"/>
              <w:right w:val="single" w:sz="4" w:space="0" w:color="auto"/>
            </w:tcBorders>
            <w:shd w:val="clear" w:color="auto" w:fill="auto"/>
            <w:noWrap/>
            <w:vAlign w:val="bottom"/>
            <w:hideMark/>
          </w:tcPr>
          <w:p w14:paraId="68A58D3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32272596"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2D9C49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w:t>
            </w:r>
            <w:r>
              <w:rPr>
                <w:i/>
                <w:color w:val="000000"/>
                <w:sz w:val="12"/>
                <w:szCs w:val="16"/>
                <w:lang w:val="es-CO" w:eastAsia="es-CO"/>
              </w:rPr>
              <w:t>,</w:t>
            </w:r>
            <w:r w:rsidRPr="00F2046C">
              <w:rPr>
                <w:i/>
                <w:color w:val="000000"/>
                <w:sz w:val="12"/>
                <w:szCs w:val="16"/>
                <w:lang w:val="es-CO" w:eastAsia="es-CO"/>
              </w:rPr>
              <w:t>06</w:t>
            </w:r>
          </w:p>
        </w:tc>
        <w:tc>
          <w:tcPr>
            <w:tcW w:w="425" w:type="dxa"/>
            <w:tcBorders>
              <w:top w:val="nil"/>
              <w:left w:val="nil"/>
              <w:bottom w:val="single" w:sz="4" w:space="0" w:color="auto"/>
              <w:right w:val="single" w:sz="4" w:space="0" w:color="auto"/>
            </w:tcBorders>
            <w:shd w:val="clear" w:color="auto" w:fill="auto"/>
            <w:noWrap/>
            <w:vAlign w:val="bottom"/>
            <w:hideMark/>
          </w:tcPr>
          <w:p w14:paraId="175760D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E2B1AB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26AC5C3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D5B326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EA973A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98</w:t>
            </w:r>
            <w:r>
              <w:rPr>
                <w:i/>
                <w:color w:val="000000"/>
                <w:sz w:val="12"/>
                <w:szCs w:val="16"/>
                <w:lang w:val="es-CO" w:eastAsia="es-CO"/>
              </w:rPr>
              <w:t>.</w:t>
            </w:r>
            <w:r w:rsidRPr="00F2046C">
              <w:rPr>
                <w:i/>
                <w:color w:val="000000"/>
                <w:sz w:val="12"/>
                <w:szCs w:val="16"/>
                <w:lang w:val="es-CO" w:eastAsia="es-CO"/>
              </w:rPr>
              <w:t>170</w:t>
            </w:r>
            <w:r>
              <w:rPr>
                <w:i/>
                <w:color w:val="000000"/>
                <w:sz w:val="12"/>
                <w:szCs w:val="16"/>
                <w:lang w:val="es-CO" w:eastAsia="es-CO"/>
              </w:rPr>
              <w:t>.</w:t>
            </w:r>
            <w:r w:rsidRPr="00F2046C">
              <w:rPr>
                <w:i/>
                <w:color w:val="000000"/>
                <w:sz w:val="12"/>
                <w:szCs w:val="16"/>
                <w:lang w:val="es-CO" w:eastAsia="es-CO"/>
              </w:rPr>
              <w:t>418</w:t>
            </w:r>
          </w:p>
        </w:tc>
      </w:tr>
      <w:tr w:rsidR="00BA56AD" w:rsidRPr="00F2046C" w14:paraId="287E5CF7"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295D73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96E7CD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6EB8742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TPE2ZV</w:t>
            </w:r>
          </w:p>
        </w:tc>
        <w:tc>
          <w:tcPr>
            <w:tcW w:w="992" w:type="dxa"/>
            <w:tcBorders>
              <w:top w:val="nil"/>
              <w:left w:val="nil"/>
              <w:bottom w:val="single" w:sz="4" w:space="0" w:color="auto"/>
              <w:right w:val="single" w:sz="4" w:space="0" w:color="auto"/>
            </w:tcBorders>
            <w:shd w:val="clear" w:color="auto" w:fill="auto"/>
            <w:noWrap/>
            <w:vAlign w:val="bottom"/>
            <w:hideMark/>
          </w:tcPr>
          <w:p w14:paraId="354E29B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33</w:t>
            </w:r>
            <w:r>
              <w:rPr>
                <w:i/>
                <w:color w:val="000000"/>
                <w:sz w:val="12"/>
                <w:szCs w:val="16"/>
                <w:lang w:val="es-CO" w:eastAsia="es-CO"/>
              </w:rPr>
              <w:t>.</w:t>
            </w:r>
            <w:r w:rsidRPr="00F2046C">
              <w:rPr>
                <w:i/>
                <w:color w:val="000000"/>
                <w:sz w:val="12"/>
                <w:szCs w:val="16"/>
                <w:lang w:val="es-CO" w:eastAsia="es-CO"/>
              </w:rPr>
              <w:t>719</w:t>
            </w:r>
            <w:r>
              <w:rPr>
                <w:i/>
                <w:color w:val="000000"/>
                <w:sz w:val="12"/>
                <w:szCs w:val="16"/>
                <w:lang w:val="es-CO" w:eastAsia="es-CO"/>
              </w:rPr>
              <w:t>.</w:t>
            </w:r>
            <w:r w:rsidRPr="00F2046C">
              <w:rPr>
                <w:i/>
                <w:color w:val="000000"/>
                <w:sz w:val="12"/>
                <w:szCs w:val="16"/>
                <w:lang w:val="es-CO" w:eastAsia="es-CO"/>
              </w:rPr>
              <w:t>985</w:t>
            </w:r>
          </w:p>
        </w:tc>
        <w:tc>
          <w:tcPr>
            <w:tcW w:w="992" w:type="dxa"/>
            <w:tcBorders>
              <w:top w:val="nil"/>
              <w:left w:val="nil"/>
              <w:bottom w:val="single" w:sz="4" w:space="0" w:color="auto"/>
              <w:right w:val="single" w:sz="4" w:space="0" w:color="auto"/>
            </w:tcBorders>
            <w:shd w:val="clear" w:color="auto" w:fill="auto"/>
            <w:noWrap/>
            <w:vAlign w:val="bottom"/>
            <w:hideMark/>
          </w:tcPr>
          <w:p w14:paraId="12A3D21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31C05A95"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nil"/>
              <w:bottom w:val="single" w:sz="4" w:space="0" w:color="auto"/>
              <w:right w:val="single" w:sz="4" w:space="0" w:color="auto"/>
            </w:tcBorders>
            <w:shd w:val="clear" w:color="auto" w:fill="auto"/>
            <w:noWrap/>
            <w:vAlign w:val="bottom"/>
            <w:hideMark/>
          </w:tcPr>
          <w:p w14:paraId="3B5FDAE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90</w:t>
            </w:r>
          </w:p>
        </w:tc>
        <w:tc>
          <w:tcPr>
            <w:tcW w:w="425" w:type="dxa"/>
            <w:tcBorders>
              <w:top w:val="nil"/>
              <w:left w:val="nil"/>
              <w:bottom w:val="single" w:sz="4" w:space="0" w:color="auto"/>
              <w:right w:val="single" w:sz="4" w:space="0" w:color="auto"/>
            </w:tcBorders>
            <w:shd w:val="clear" w:color="auto" w:fill="auto"/>
            <w:noWrap/>
            <w:vAlign w:val="bottom"/>
            <w:hideMark/>
          </w:tcPr>
          <w:p w14:paraId="675C878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3C95E0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3F290DA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4FDBB1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4FEA7F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63</w:t>
            </w:r>
            <w:r>
              <w:rPr>
                <w:i/>
                <w:color w:val="000000"/>
                <w:sz w:val="12"/>
                <w:szCs w:val="16"/>
                <w:lang w:val="es-CO" w:eastAsia="es-CO"/>
              </w:rPr>
              <w:t>.</w:t>
            </w:r>
            <w:r w:rsidRPr="00F2046C">
              <w:rPr>
                <w:i/>
                <w:color w:val="000000"/>
                <w:sz w:val="12"/>
                <w:szCs w:val="16"/>
                <w:lang w:val="es-CO" w:eastAsia="es-CO"/>
              </w:rPr>
              <w:t>899</w:t>
            </w:r>
            <w:r>
              <w:rPr>
                <w:i/>
                <w:color w:val="000000"/>
                <w:sz w:val="12"/>
                <w:szCs w:val="16"/>
                <w:lang w:val="es-CO" w:eastAsia="es-CO"/>
              </w:rPr>
              <w:t>.</w:t>
            </w:r>
            <w:r w:rsidRPr="00F2046C">
              <w:rPr>
                <w:i/>
                <w:color w:val="000000"/>
                <w:sz w:val="12"/>
                <w:szCs w:val="16"/>
                <w:lang w:val="es-CO" w:eastAsia="es-CO"/>
              </w:rPr>
              <w:t>371</w:t>
            </w:r>
          </w:p>
        </w:tc>
      </w:tr>
      <w:tr w:rsidR="00BA56AD" w:rsidRPr="00F2046C" w14:paraId="2BE76245"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2C125F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6DAD52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Estación GNC 200 m3/hora</w:t>
            </w:r>
          </w:p>
        </w:tc>
        <w:tc>
          <w:tcPr>
            <w:tcW w:w="851" w:type="dxa"/>
            <w:tcBorders>
              <w:top w:val="nil"/>
              <w:left w:val="nil"/>
              <w:bottom w:val="single" w:sz="4" w:space="0" w:color="auto"/>
              <w:right w:val="single" w:sz="4" w:space="0" w:color="auto"/>
            </w:tcBorders>
            <w:shd w:val="clear" w:color="auto" w:fill="auto"/>
            <w:noWrap/>
            <w:vAlign w:val="bottom"/>
            <w:hideMark/>
          </w:tcPr>
          <w:p w14:paraId="642FA07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RM200</w:t>
            </w:r>
          </w:p>
        </w:tc>
        <w:tc>
          <w:tcPr>
            <w:tcW w:w="992" w:type="dxa"/>
            <w:tcBorders>
              <w:top w:val="nil"/>
              <w:left w:val="nil"/>
              <w:bottom w:val="single" w:sz="4" w:space="0" w:color="auto"/>
              <w:right w:val="single" w:sz="4" w:space="0" w:color="auto"/>
            </w:tcBorders>
            <w:shd w:val="clear" w:color="auto" w:fill="auto"/>
            <w:noWrap/>
            <w:vAlign w:val="bottom"/>
            <w:hideMark/>
          </w:tcPr>
          <w:p w14:paraId="122AEB2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372</w:t>
            </w:r>
            <w:r>
              <w:rPr>
                <w:i/>
                <w:color w:val="000000"/>
                <w:sz w:val="12"/>
                <w:szCs w:val="16"/>
                <w:lang w:val="es-CO" w:eastAsia="es-CO"/>
              </w:rPr>
              <w:t>.</w:t>
            </w:r>
            <w:r w:rsidRPr="00F2046C">
              <w:rPr>
                <w:i/>
                <w:color w:val="000000"/>
                <w:sz w:val="12"/>
                <w:szCs w:val="16"/>
                <w:lang w:val="es-CO" w:eastAsia="es-CO"/>
              </w:rPr>
              <w:t>885</w:t>
            </w:r>
            <w:r>
              <w:rPr>
                <w:i/>
                <w:color w:val="000000"/>
                <w:sz w:val="12"/>
                <w:szCs w:val="16"/>
                <w:lang w:val="es-CO" w:eastAsia="es-CO"/>
              </w:rPr>
              <w:t>.</w:t>
            </w:r>
            <w:r w:rsidRPr="00F2046C">
              <w:rPr>
                <w:i/>
                <w:color w:val="000000"/>
                <w:sz w:val="12"/>
                <w:szCs w:val="16"/>
                <w:lang w:val="es-CO" w:eastAsia="es-CO"/>
              </w:rPr>
              <w:t>901</w:t>
            </w:r>
          </w:p>
        </w:tc>
        <w:tc>
          <w:tcPr>
            <w:tcW w:w="992" w:type="dxa"/>
            <w:tcBorders>
              <w:top w:val="nil"/>
              <w:left w:val="nil"/>
              <w:bottom w:val="single" w:sz="4" w:space="0" w:color="auto"/>
              <w:right w:val="single" w:sz="4" w:space="0" w:color="auto"/>
            </w:tcBorders>
            <w:shd w:val="clear" w:color="auto" w:fill="auto"/>
            <w:noWrap/>
            <w:vAlign w:val="bottom"/>
            <w:hideMark/>
          </w:tcPr>
          <w:p w14:paraId="138B80A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69D2249B"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34E2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6969E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10D74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1F8B2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9E7C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7DAE89B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372</w:t>
            </w:r>
            <w:r>
              <w:rPr>
                <w:i/>
                <w:color w:val="000000"/>
                <w:sz w:val="12"/>
                <w:szCs w:val="16"/>
                <w:lang w:val="es-CO" w:eastAsia="es-CO"/>
              </w:rPr>
              <w:t>.</w:t>
            </w:r>
            <w:r w:rsidRPr="00F2046C">
              <w:rPr>
                <w:i/>
                <w:color w:val="000000"/>
                <w:sz w:val="12"/>
                <w:szCs w:val="16"/>
                <w:lang w:val="es-CO" w:eastAsia="es-CO"/>
              </w:rPr>
              <w:t>885</w:t>
            </w:r>
            <w:r>
              <w:rPr>
                <w:i/>
                <w:color w:val="000000"/>
                <w:sz w:val="12"/>
                <w:szCs w:val="16"/>
                <w:lang w:val="es-CO" w:eastAsia="es-CO"/>
              </w:rPr>
              <w:t>.</w:t>
            </w:r>
            <w:r w:rsidRPr="00F2046C">
              <w:rPr>
                <w:i/>
                <w:color w:val="000000"/>
                <w:sz w:val="12"/>
                <w:szCs w:val="16"/>
                <w:lang w:val="es-CO" w:eastAsia="es-CO"/>
              </w:rPr>
              <w:t>901</w:t>
            </w:r>
          </w:p>
        </w:tc>
      </w:tr>
      <w:tr w:rsidR="00BA56AD" w:rsidRPr="00F2046C" w14:paraId="4D01337C"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6B1AA8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8E82FD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Paso Especial 14 Metros</w:t>
            </w:r>
          </w:p>
        </w:tc>
        <w:tc>
          <w:tcPr>
            <w:tcW w:w="851" w:type="dxa"/>
            <w:tcBorders>
              <w:top w:val="nil"/>
              <w:left w:val="nil"/>
              <w:bottom w:val="single" w:sz="4" w:space="0" w:color="auto"/>
              <w:right w:val="single" w:sz="4" w:space="0" w:color="auto"/>
            </w:tcBorders>
            <w:shd w:val="clear" w:color="auto" w:fill="auto"/>
            <w:noWrap/>
            <w:vAlign w:val="bottom"/>
            <w:hideMark/>
          </w:tcPr>
          <w:p w14:paraId="0E7F744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TMP-3</w:t>
            </w:r>
          </w:p>
        </w:tc>
        <w:tc>
          <w:tcPr>
            <w:tcW w:w="992" w:type="dxa"/>
            <w:tcBorders>
              <w:top w:val="nil"/>
              <w:left w:val="nil"/>
              <w:bottom w:val="single" w:sz="4" w:space="0" w:color="auto"/>
              <w:right w:val="single" w:sz="4" w:space="0" w:color="auto"/>
            </w:tcBorders>
            <w:shd w:val="clear" w:color="auto" w:fill="auto"/>
            <w:noWrap/>
            <w:vAlign w:val="bottom"/>
            <w:hideMark/>
          </w:tcPr>
          <w:p w14:paraId="4A9C1A8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11</w:t>
            </w:r>
            <w:r>
              <w:rPr>
                <w:i/>
                <w:color w:val="000000"/>
                <w:sz w:val="12"/>
                <w:szCs w:val="16"/>
                <w:lang w:val="es-CO" w:eastAsia="es-CO"/>
              </w:rPr>
              <w:t>.</w:t>
            </w:r>
            <w:r w:rsidRPr="00F2046C">
              <w:rPr>
                <w:i/>
                <w:color w:val="000000"/>
                <w:sz w:val="12"/>
                <w:szCs w:val="16"/>
                <w:lang w:val="es-CO" w:eastAsia="es-CO"/>
              </w:rPr>
              <w:t>182</w:t>
            </w:r>
            <w:r>
              <w:rPr>
                <w:i/>
                <w:color w:val="000000"/>
                <w:sz w:val="12"/>
                <w:szCs w:val="16"/>
                <w:lang w:val="es-CO" w:eastAsia="es-CO"/>
              </w:rPr>
              <w:t>.</w:t>
            </w:r>
            <w:r w:rsidRPr="00F2046C">
              <w:rPr>
                <w:i/>
                <w:color w:val="000000"/>
                <w:sz w:val="12"/>
                <w:szCs w:val="16"/>
                <w:lang w:val="es-CO" w:eastAsia="es-CO"/>
              </w:rPr>
              <w:t>819</w:t>
            </w:r>
          </w:p>
        </w:tc>
        <w:tc>
          <w:tcPr>
            <w:tcW w:w="992" w:type="dxa"/>
            <w:tcBorders>
              <w:top w:val="nil"/>
              <w:left w:val="nil"/>
              <w:bottom w:val="single" w:sz="4" w:space="0" w:color="auto"/>
              <w:right w:val="single" w:sz="4" w:space="0" w:color="auto"/>
            </w:tcBorders>
            <w:shd w:val="clear" w:color="auto" w:fill="auto"/>
            <w:noWrap/>
            <w:vAlign w:val="bottom"/>
            <w:hideMark/>
          </w:tcPr>
          <w:p w14:paraId="61B2DEB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Especiales</w:t>
            </w:r>
          </w:p>
        </w:tc>
        <w:tc>
          <w:tcPr>
            <w:tcW w:w="851" w:type="dxa"/>
            <w:tcBorders>
              <w:top w:val="nil"/>
              <w:left w:val="nil"/>
              <w:bottom w:val="single" w:sz="4" w:space="0" w:color="auto"/>
              <w:right w:val="single" w:sz="4" w:space="0" w:color="auto"/>
            </w:tcBorders>
            <w:shd w:val="clear" w:color="auto" w:fill="auto"/>
            <w:noWrap/>
            <w:vAlign w:val="bottom"/>
            <w:hideMark/>
          </w:tcPr>
          <w:p w14:paraId="26164635"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F90162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5AF9BA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CF357A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6E771A9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A43895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BF8A5E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11</w:t>
            </w:r>
            <w:r>
              <w:rPr>
                <w:i/>
                <w:color w:val="000000"/>
                <w:sz w:val="12"/>
                <w:szCs w:val="16"/>
                <w:lang w:val="es-CO" w:eastAsia="es-CO"/>
              </w:rPr>
              <w:t>.</w:t>
            </w:r>
            <w:r w:rsidRPr="00F2046C">
              <w:rPr>
                <w:i/>
                <w:color w:val="000000"/>
                <w:sz w:val="12"/>
                <w:szCs w:val="16"/>
                <w:lang w:val="es-CO" w:eastAsia="es-CO"/>
              </w:rPr>
              <w:t>182</w:t>
            </w:r>
            <w:r>
              <w:rPr>
                <w:i/>
                <w:color w:val="000000"/>
                <w:sz w:val="12"/>
                <w:szCs w:val="16"/>
                <w:lang w:val="es-CO" w:eastAsia="es-CO"/>
              </w:rPr>
              <w:t>.</w:t>
            </w:r>
            <w:r w:rsidRPr="00F2046C">
              <w:rPr>
                <w:i/>
                <w:color w:val="000000"/>
                <w:sz w:val="12"/>
                <w:szCs w:val="16"/>
                <w:lang w:val="es-CO" w:eastAsia="es-CO"/>
              </w:rPr>
              <w:t>819</w:t>
            </w:r>
          </w:p>
        </w:tc>
      </w:tr>
      <w:tr w:rsidR="00BA56AD" w:rsidRPr="00F2046C" w14:paraId="1FF33FCB"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220E81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Morelia-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374EEF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Paso Especial 4 Metros</w:t>
            </w:r>
          </w:p>
        </w:tc>
        <w:tc>
          <w:tcPr>
            <w:tcW w:w="851" w:type="dxa"/>
            <w:tcBorders>
              <w:top w:val="nil"/>
              <w:left w:val="nil"/>
              <w:bottom w:val="single" w:sz="4" w:space="0" w:color="auto"/>
              <w:right w:val="single" w:sz="4" w:space="0" w:color="auto"/>
            </w:tcBorders>
            <w:shd w:val="clear" w:color="auto" w:fill="auto"/>
            <w:noWrap/>
            <w:vAlign w:val="bottom"/>
            <w:hideMark/>
          </w:tcPr>
          <w:p w14:paraId="37FF173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TMP-6</w:t>
            </w:r>
          </w:p>
        </w:tc>
        <w:tc>
          <w:tcPr>
            <w:tcW w:w="992" w:type="dxa"/>
            <w:tcBorders>
              <w:top w:val="nil"/>
              <w:left w:val="nil"/>
              <w:bottom w:val="single" w:sz="4" w:space="0" w:color="auto"/>
              <w:right w:val="single" w:sz="4" w:space="0" w:color="auto"/>
            </w:tcBorders>
            <w:shd w:val="clear" w:color="auto" w:fill="auto"/>
            <w:noWrap/>
            <w:vAlign w:val="bottom"/>
            <w:hideMark/>
          </w:tcPr>
          <w:p w14:paraId="502ABBB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592</w:t>
            </w:r>
            <w:r>
              <w:rPr>
                <w:i/>
                <w:color w:val="000000"/>
                <w:sz w:val="12"/>
                <w:szCs w:val="16"/>
                <w:lang w:val="es-CO" w:eastAsia="es-CO"/>
              </w:rPr>
              <w:t>.</w:t>
            </w:r>
            <w:r w:rsidRPr="00F2046C">
              <w:rPr>
                <w:i/>
                <w:color w:val="000000"/>
                <w:sz w:val="12"/>
                <w:szCs w:val="16"/>
                <w:lang w:val="es-CO" w:eastAsia="es-CO"/>
              </w:rPr>
              <w:t>228</w:t>
            </w:r>
          </w:p>
        </w:tc>
        <w:tc>
          <w:tcPr>
            <w:tcW w:w="992" w:type="dxa"/>
            <w:tcBorders>
              <w:top w:val="nil"/>
              <w:left w:val="nil"/>
              <w:bottom w:val="single" w:sz="4" w:space="0" w:color="auto"/>
              <w:right w:val="single" w:sz="4" w:space="0" w:color="auto"/>
            </w:tcBorders>
            <w:shd w:val="clear" w:color="auto" w:fill="auto"/>
            <w:noWrap/>
            <w:vAlign w:val="bottom"/>
            <w:hideMark/>
          </w:tcPr>
          <w:p w14:paraId="1270962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Especiales</w:t>
            </w:r>
          </w:p>
        </w:tc>
        <w:tc>
          <w:tcPr>
            <w:tcW w:w="851" w:type="dxa"/>
            <w:tcBorders>
              <w:top w:val="nil"/>
              <w:left w:val="nil"/>
              <w:bottom w:val="single" w:sz="4" w:space="0" w:color="auto"/>
              <w:right w:val="single" w:sz="4" w:space="0" w:color="auto"/>
            </w:tcBorders>
            <w:shd w:val="clear" w:color="auto" w:fill="auto"/>
            <w:noWrap/>
            <w:vAlign w:val="bottom"/>
            <w:hideMark/>
          </w:tcPr>
          <w:p w14:paraId="043C3560"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D85EF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BC11C2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A62C56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4A3B350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C6EA4C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BB593C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w:t>
            </w:r>
            <w:r>
              <w:rPr>
                <w:i/>
                <w:color w:val="000000"/>
                <w:sz w:val="12"/>
                <w:szCs w:val="16"/>
                <w:lang w:val="es-CO" w:eastAsia="es-CO"/>
              </w:rPr>
              <w:t>.</w:t>
            </w:r>
            <w:r w:rsidRPr="00F2046C">
              <w:rPr>
                <w:i/>
                <w:color w:val="000000"/>
                <w:sz w:val="12"/>
                <w:szCs w:val="16"/>
                <w:lang w:val="es-CO" w:eastAsia="es-CO"/>
              </w:rPr>
              <w:t>184</w:t>
            </w:r>
            <w:r>
              <w:rPr>
                <w:i/>
                <w:color w:val="000000"/>
                <w:sz w:val="12"/>
                <w:szCs w:val="16"/>
                <w:lang w:val="es-CO" w:eastAsia="es-CO"/>
              </w:rPr>
              <w:t>.</w:t>
            </w:r>
            <w:r w:rsidRPr="00F2046C">
              <w:rPr>
                <w:i/>
                <w:color w:val="000000"/>
                <w:sz w:val="12"/>
                <w:szCs w:val="16"/>
                <w:lang w:val="es-CO" w:eastAsia="es-CO"/>
              </w:rPr>
              <w:t>456</w:t>
            </w:r>
          </w:p>
        </w:tc>
      </w:tr>
      <w:tr w:rsidR="00BA56AD" w:rsidRPr="00F2046C" w14:paraId="42A57E89"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1E303F2"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D1B336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678FE41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TPE1/2AS</w:t>
            </w:r>
          </w:p>
        </w:tc>
        <w:tc>
          <w:tcPr>
            <w:tcW w:w="992" w:type="dxa"/>
            <w:tcBorders>
              <w:top w:val="nil"/>
              <w:left w:val="nil"/>
              <w:bottom w:val="single" w:sz="4" w:space="0" w:color="auto"/>
              <w:right w:val="single" w:sz="4" w:space="0" w:color="auto"/>
            </w:tcBorders>
            <w:shd w:val="clear" w:color="auto" w:fill="auto"/>
            <w:noWrap/>
            <w:vAlign w:val="bottom"/>
            <w:hideMark/>
          </w:tcPr>
          <w:p w14:paraId="162F036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75</w:t>
            </w:r>
            <w:r>
              <w:rPr>
                <w:i/>
                <w:color w:val="000000"/>
                <w:sz w:val="12"/>
                <w:szCs w:val="16"/>
                <w:lang w:val="es-CO" w:eastAsia="es-CO"/>
              </w:rPr>
              <w:t>.</w:t>
            </w:r>
            <w:r w:rsidRPr="00F2046C">
              <w:rPr>
                <w:i/>
                <w:color w:val="000000"/>
                <w:sz w:val="12"/>
                <w:szCs w:val="16"/>
                <w:lang w:val="es-CO" w:eastAsia="es-CO"/>
              </w:rPr>
              <w:t>816</w:t>
            </w:r>
            <w:r>
              <w:rPr>
                <w:i/>
                <w:color w:val="000000"/>
                <w:sz w:val="12"/>
                <w:szCs w:val="16"/>
                <w:lang w:val="es-CO" w:eastAsia="es-CO"/>
              </w:rPr>
              <w:t>.</w:t>
            </w:r>
            <w:r w:rsidRPr="00F2046C">
              <w:rPr>
                <w:i/>
                <w:color w:val="000000"/>
                <w:sz w:val="12"/>
                <w:szCs w:val="16"/>
                <w:lang w:val="es-CO" w:eastAsia="es-CO"/>
              </w:rPr>
              <w:t>559</w:t>
            </w:r>
          </w:p>
        </w:tc>
        <w:tc>
          <w:tcPr>
            <w:tcW w:w="992" w:type="dxa"/>
            <w:tcBorders>
              <w:top w:val="nil"/>
              <w:left w:val="nil"/>
              <w:bottom w:val="single" w:sz="4" w:space="0" w:color="auto"/>
              <w:right w:val="single" w:sz="4" w:space="0" w:color="auto"/>
            </w:tcBorders>
            <w:shd w:val="clear" w:color="auto" w:fill="auto"/>
            <w:noWrap/>
            <w:vAlign w:val="bottom"/>
            <w:hideMark/>
          </w:tcPr>
          <w:p w14:paraId="24A167B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F14E29F"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F46D35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01</w:t>
            </w:r>
          </w:p>
        </w:tc>
        <w:tc>
          <w:tcPr>
            <w:tcW w:w="425" w:type="dxa"/>
            <w:tcBorders>
              <w:top w:val="nil"/>
              <w:left w:val="nil"/>
              <w:bottom w:val="single" w:sz="4" w:space="0" w:color="auto"/>
              <w:right w:val="single" w:sz="4" w:space="0" w:color="auto"/>
            </w:tcBorders>
            <w:shd w:val="clear" w:color="auto" w:fill="auto"/>
            <w:noWrap/>
            <w:vAlign w:val="bottom"/>
            <w:hideMark/>
          </w:tcPr>
          <w:p w14:paraId="1B277C5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4D8E79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203AA17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4504E5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7DADEE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492</w:t>
            </w:r>
            <w:r>
              <w:rPr>
                <w:i/>
                <w:color w:val="000000"/>
                <w:sz w:val="12"/>
                <w:szCs w:val="16"/>
                <w:lang w:val="es-CO" w:eastAsia="es-CO"/>
              </w:rPr>
              <w:t>.</w:t>
            </w:r>
            <w:r w:rsidRPr="00F2046C">
              <w:rPr>
                <w:i/>
                <w:color w:val="000000"/>
                <w:sz w:val="12"/>
                <w:szCs w:val="16"/>
                <w:lang w:val="es-CO" w:eastAsia="es-CO"/>
              </w:rPr>
              <w:t>808</w:t>
            </w:r>
          </w:p>
        </w:tc>
      </w:tr>
      <w:tr w:rsidR="00BA56AD" w:rsidRPr="00F2046C" w14:paraId="7EC5617D"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1F41FF7"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D7B2A8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291BA18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TPE3/4AS</w:t>
            </w:r>
          </w:p>
        </w:tc>
        <w:tc>
          <w:tcPr>
            <w:tcW w:w="992" w:type="dxa"/>
            <w:tcBorders>
              <w:top w:val="nil"/>
              <w:left w:val="nil"/>
              <w:bottom w:val="single" w:sz="4" w:space="0" w:color="auto"/>
              <w:right w:val="single" w:sz="4" w:space="0" w:color="auto"/>
            </w:tcBorders>
            <w:shd w:val="clear" w:color="auto" w:fill="auto"/>
            <w:noWrap/>
            <w:vAlign w:val="bottom"/>
            <w:hideMark/>
          </w:tcPr>
          <w:p w14:paraId="240FED0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76</w:t>
            </w:r>
            <w:r>
              <w:rPr>
                <w:i/>
                <w:color w:val="000000"/>
                <w:sz w:val="12"/>
                <w:szCs w:val="16"/>
                <w:lang w:val="es-CO" w:eastAsia="es-CO"/>
              </w:rPr>
              <w:t>.</w:t>
            </w:r>
            <w:r w:rsidRPr="00F2046C">
              <w:rPr>
                <w:i/>
                <w:color w:val="000000"/>
                <w:sz w:val="12"/>
                <w:szCs w:val="16"/>
                <w:lang w:val="es-CO" w:eastAsia="es-CO"/>
              </w:rPr>
              <w:t>715</w:t>
            </w:r>
            <w:r>
              <w:rPr>
                <w:i/>
                <w:color w:val="000000"/>
                <w:sz w:val="12"/>
                <w:szCs w:val="16"/>
                <w:lang w:val="es-CO" w:eastAsia="es-CO"/>
              </w:rPr>
              <w:t>.</w:t>
            </w:r>
            <w:r w:rsidRPr="00F2046C">
              <w:rPr>
                <w:i/>
                <w:color w:val="000000"/>
                <w:sz w:val="12"/>
                <w:szCs w:val="16"/>
                <w:lang w:val="es-CO" w:eastAsia="es-CO"/>
              </w:rPr>
              <w:t>959</w:t>
            </w:r>
          </w:p>
        </w:tc>
        <w:tc>
          <w:tcPr>
            <w:tcW w:w="992" w:type="dxa"/>
            <w:tcBorders>
              <w:top w:val="nil"/>
              <w:left w:val="nil"/>
              <w:bottom w:val="single" w:sz="4" w:space="0" w:color="auto"/>
              <w:right w:val="single" w:sz="4" w:space="0" w:color="auto"/>
            </w:tcBorders>
            <w:shd w:val="clear" w:color="auto" w:fill="auto"/>
            <w:noWrap/>
            <w:vAlign w:val="bottom"/>
            <w:hideMark/>
          </w:tcPr>
          <w:p w14:paraId="1205794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770AF1DB"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9ED66E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21</w:t>
            </w:r>
          </w:p>
        </w:tc>
        <w:tc>
          <w:tcPr>
            <w:tcW w:w="425" w:type="dxa"/>
            <w:tcBorders>
              <w:top w:val="nil"/>
              <w:left w:val="nil"/>
              <w:bottom w:val="single" w:sz="4" w:space="0" w:color="auto"/>
              <w:right w:val="single" w:sz="4" w:space="0" w:color="auto"/>
            </w:tcBorders>
            <w:shd w:val="clear" w:color="auto" w:fill="auto"/>
            <w:noWrap/>
            <w:vAlign w:val="bottom"/>
            <w:hideMark/>
          </w:tcPr>
          <w:p w14:paraId="2392826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6A2012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5012736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EE13E0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214B08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16</w:t>
            </w:r>
            <w:r>
              <w:rPr>
                <w:i/>
                <w:color w:val="000000"/>
                <w:sz w:val="12"/>
                <w:szCs w:val="16"/>
                <w:lang w:val="es-CO" w:eastAsia="es-CO"/>
              </w:rPr>
              <w:t>.</w:t>
            </w:r>
            <w:r w:rsidRPr="00F2046C">
              <w:rPr>
                <w:i/>
                <w:color w:val="000000"/>
                <w:sz w:val="12"/>
                <w:szCs w:val="16"/>
                <w:lang w:val="es-CO" w:eastAsia="es-CO"/>
              </w:rPr>
              <w:t>417</w:t>
            </w:r>
            <w:r>
              <w:rPr>
                <w:i/>
                <w:color w:val="000000"/>
                <w:sz w:val="12"/>
                <w:szCs w:val="16"/>
                <w:lang w:val="es-CO" w:eastAsia="es-CO"/>
              </w:rPr>
              <w:t>.</w:t>
            </w:r>
            <w:r w:rsidRPr="00F2046C">
              <w:rPr>
                <w:i/>
                <w:color w:val="000000"/>
                <w:sz w:val="12"/>
                <w:szCs w:val="16"/>
                <w:lang w:val="es-CO" w:eastAsia="es-CO"/>
              </w:rPr>
              <w:t>215</w:t>
            </w:r>
          </w:p>
        </w:tc>
      </w:tr>
      <w:tr w:rsidR="00BA56AD" w:rsidRPr="00F2046C" w14:paraId="4B6C8D64"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53A03EC"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DB57D5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4695DE7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TPE1AS</w:t>
            </w:r>
          </w:p>
        </w:tc>
        <w:tc>
          <w:tcPr>
            <w:tcW w:w="992" w:type="dxa"/>
            <w:tcBorders>
              <w:top w:val="nil"/>
              <w:left w:val="nil"/>
              <w:bottom w:val="single" w:sz="4" w:space="0" w:color="auto"/>
              <w:right w:val="single" w:sz="4" w:space="0" w:color="auto"/>
            </w:tcBorders>
            <w:shd w:val="clear" w:color="auto" w:fill="auto"/>
            <w:noWrap/>
            <w:vAlign w:val="bottom"/>
            <w:hideMark/>
          </w:tcPr>
          <w:p w14:paraId="7E83C0E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79</w:t>
            </w:r>
            <w:r>
              <w:rPr>
                <w:i/>
                <w:color w:val="000000"/>
                <w:sz w:val="12"/>
                <w:szCs w:val="16"/>
                <w:lang w:val="es-CO" w:eastAsia="es-CO"/>
              </w:rPr>
              <w:t>.</w:t>
            </w:r>
            <w:r w:rsidRPr="00F2046C">
              <w:rPr>
                <w:i/>
                <w:color w:val="000000"/>
                <w:sz w:val="12"/>
                <w:szCs w:val="16"/>
                <w:lang w:val="es-CO" w:eastAsia="es-CO"/>
              </w:rPr>
              <w:t>392</w:t>
            </w:r>
            <w:r>
              <w:rPr>
                <w:i/>
                <w:color w:val="000000"/>
                <w:sz w:val="12"/>
                <w:szCs w:val="16"/>
                <w:lang w:val="es-CO" w:eastAsia="es-CO"/>
              </w:rPr>
              <w:t>.</w:t>
            </w:r>
            <w:r w:rsidRPr="00F2046C">
              <w:rPr>
                <w:i/>
                <w:color w:val="000000"/>
                <w:sz w:val="12"/>
                <w:szCs w:val="16"/>
                <w:lang w:val="es-CO" w:eastAsia="es-CO"/>
              </w:rPr>
              <w:t>979</w:t>
            </w:r>
          </w:p>
        </w:tc>
        <w:tc>
          <w:tcPr>
            <w:tcW w:w="992" w:type="dxa"/>
            <w:tcBorders>
              <w:top w:val="nil"/>
              <w:left w:val="nil"/>
              <w:bottom w:val="single" w:sz="4" w:space="0" w:color="auto"/>
              <w:right w:val="single" w:sz="4" w:space="0" w:color="auto"/>
            </w:tcBorders>
            <w:shd w:val="clear" w:color="auto" w:fill="auto"/>
            <w:noWrap/>
            <w:vAlign w:val="bottom"/>
            <w:hideMark/>
          </w:tcPr>
          <w:p w14:paraId="1F8D84E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132FE03E"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EBA73F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04</w:t>
            </w:r>
          </w:p>
        </w:tc>
        <w:tc>
          <w:tcPr>
            <w:tcW w:w="425" w:type="dxa"/>
            <w:tcBorders>
              <w:top w:val="nil"/>
              <w:left w:val="nil"/>
              <w:bottom w:val="single" w:sz="4" w:space="0" w:color="auto"/>
              <w:right w:val="single" w:sz="4" w:space="0" w:color="auto"/>
            </w:tcBorders>
            <w:shd w:val="clear" w:color="auto" w:fill="auto"/>
            <w:noWrap/>
            <w:vAlign w:val="bottom"/>
            <w:hideMark/>
          </w:tcPr>
          <w:p w14:paraId="41FF31C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6258CD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1998DD0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8638BE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DFA6E7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778</w:t>
            </w:r>
            <w:r>
              <w:rPr>
                <w:i/>
                <w:color w:val="000000"/>
                <w:sz w:val="12"/>
                <w:szCs w:val="16"/>
                <w:lang w:val="es-CO" w:eastAsia="es-CO"/>
              </w:rPr>
              <w:t>.</w:t>
            </w:r>
            <w:r w:rsidRPr="00F2046C">
              <w:rPr>
                <w:i/>
                <w:color w:val="000000"/>
                <w:sz w:val="12"/>
                <w:szCs w:val="16"/>
                <w:lang w:val="es-CO" w:eastAsia="es-CO"/>
              </w:rPr>
              <w:t>754</w:t>
            </w:r>
          </w:p>
        </w:tc>
      </w:tr>
      <w:tr w:rsidR="00BA56AD" w:rsidRPr="00F2046C" w14:paraId="0E1B768B"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791E15"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783BC8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03E584E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TPE2AS</w:t>
            </w:r>
          </w:p>
        </w:tc>
        <w:tc>
          <w:tcPr>
            <w:tcW w:w="992" w:type="dxa"/>
            <w:tcBorders>
              <w:top w:val="nil"/>
              <w:left w:val="nil"/>
              <w:bottom w:val="single" w:sz="4" w:space="0" w:color="auto"/>
              <w:right w:val="single" w:sz="4" w:space="0" w:color="auto"/>
            </w:tcBorders>
            <w:shd w:val="clear" w:color="auto" w:fill="auto"/>
            <w:noWrap/>
            <w:vAlign w:val="bottom"/>
            <w:hideMark/>
          </w:tcPr>
          <w:p w14:paraId="172777C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87</w:t>
            </w:r>
            <w:r>
              <w:rPr>
                <w:i/>
                <w:color w:val="000000"/>
                <w:sz w:val="12"/>
                <w:szCs w:val="16"/>
                <w:lang w:val="es-CO" w:eastAsia="es-CO"/>
              </w:rPr>
              <w:t>.</w:t>
            </w:r>
            <w:r w:rsidRPr="00F2046C">
              <w:rPr>
                <w:i/>
                <w:color w:val="000000"/>
                <w:sz w:val="12"/>
                <w:szCs w:val="16"/>
                <w:lang w:val="es-CO" w:eastAsia="es-CO"/>
              </w:rPr>
              <w:t>082</w:t>
            </w:r>
            <w:r>
              <w:rPr>
                <w:i/>
                <w:color w:val="000000"/>
                <w:sz w:val="12"/>
                <w:szCs w:val="16"/>
                <w:lang w:val="es-CO" w:eastAsia="es-CO"/>
              </w:rPr>
              <w:t>.</w:t>
            </w:r>
            <w:r w:rsidRPr="00F2046C">
              <w:rPr>
                <w:i/>
                <w:color w:val="000000"/>
                <w:sz w:val="12"/>
                <w:szCs w:val="16"/>
                <w:lang w:val="es-CO" w:eastAsia="es-CO"/>
              </w:rPr>
              <w:t>705</w:t>
            </w:r>
          </w:p>
        </w:tc>
        <w:tc>
          <w:tcPr>
            <w:tcW w:w="992" w:type="dxa"/>
            <w:tcBorders>
              <w:top w:val="nil"/>
              <w:left w:val="nil"/>
              <w:bottom w:val="single" w:sz="4" w:space="0" w:color="auto"/>
              <w:right w:val="single" w:sz="4" w:space="0" w:color="auto"/>
            </w:tcBorders>
            <w:shd w:val="clear" w:color="auto" w:fill="auto"/>
            <w:noWrap/>
            <w:vAlign w:val="bottom"/>
            <w:hideMark/>
          </w:tcPr>
          <w:p w14:paraId="602B683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7C4A9631"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470D22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07</w:t>
            </w:r>
          </w:p>
        </w:tc>
        <w:tc>
          <w:tcPr>
            <w:tcW w:w="425" w:type="dxa"/>
            <w:tcBorders>
              <w:top w:val="nil"/>
              <w:left w:val="nil"/>
              <w:bottom w:val="single" w:sz="4" w:space="0" w:color="auto"/>
              <w:right w:val="single" w:sz="4" w:space="0" w:color="auto"/>
            </w:tcBorders>
            <w:shd w:val="clear" w:color="auto" w:fill="auto"/>
            <w:noWrap/>
            <w:vAlign w:val="bottom"/>
            <w:hideMark/>
          </w:tcPr>
          <w:p w14:paraId="073C1CA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823383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6A31374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D2284B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0497BB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w:t>
            </w:r>
            <w:r>
              <w:rPr>
                <w:i/>
                <w:color w:val="000000"/>
                <w:sz w:val="12"/>
                <w:szCs w:val="16"/>
                <w:lang w:val="es-CO" w:eastAsia="es-CO"/>
              </w:rPr>
              <w:t>.</w:t>
            </w:r>
            <w:r w:rsidRPr="00F2046C">
              <w:rPr>
                <w:i/>
                <w:color w:val="000000"/>
                <w:sz w:val="12"/>
                <w:szCs w:val="16"/>
                <w:lang w:val="es-CO" w:eastAsia="es-CO"/>
              </w:rPr>
              <w:t>313</w:t>
            </w:r>
            <w:r>
              <w:rPr>
                <w:i/>
                <w:color w:val="000000"/>
                <w:sz w:val="12"/>
                <w:szCs w:val="16"/>
                <w:lang w:val="es-CO" w:eastAsia="es-CO"/>
              </w:rPr>
              <w:t>.</w:t>
            </w:r>
            <w:r w:rsidRPr="00F2046C">
              <w:rPr>
                <w:i/>
                <w:color w:val="000000"/>
                <w:sz w:val="12"/>
                <w:szCs w:val="16"/>
                <w:lang w:val="es-CO" w:eastAsia="es-CO"/>
              </w:rPr>
              <w:t>496</w:t>
            </w:r>
          </w:p>
        </w:tc>
      </w:tr>
      <w:tr w:rsidR="00BA56AD" w:rsidRPr="00F2046C" w14:paraId="7038138B"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E9F7748"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6AFD54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3294FF1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TPE3/4CO</w:t>
            </w:r>
          </w:p>
        </w:tc>
        <w:tc>
          <w:tcPr>
            <w:tcW w:w="992" w:type="dxa"/>
            <w:tcBorders>
              <w:top w:val="nil"/>
              <w:left w:val="nil"/>
              <w:bottom w:val="single" w:sz="4" w:space="0" w:color="auto"/>
              <w:right w:val="single" w:sz="4" w:space="0" w:color="auto"/>
            </w:tcBorders>
            <w:shd w:val="clear" w:color="auto" w:fill="auto"/>
            <w:noWrap/>
            <w:vAlign w:val="bottom"/>
            <w:hideMark/>
          </w:tcPr>
          <w:p w14:paraId="190C204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75</w:t>
            </w:r>
            <w:r>
              <w:rPr>
                <w:i/>
                <w:color w:val="000000"/>
                <w:sz w:val="12"/>
                <w:szCs w:val="16"/>
                <w:lang w:val="es-CO" w:eastAsia="es-CO"/>
              </w:rPr>
              <w:t>.</w:t>
            </w:r>
            <w:r w:rsidRPr="00F2046C">
              <w:rPr>
                <w:i/>
                <w:color w:val="000000"/>
                <w:sz w:val="12"/>
                <w:szCs w:val="16"/>
                <w:lang w:val="es-CO" w:eastAsia="es-CO"/>
              </w:rPr>
              <w:t>269</w:t>
            </w:r>
            <w:r>
              <w:rPr>
                <w:i/>
                <w:color w:val="000000"/>
                <w:sz w:val="12"/>
                <w:szCs w:val="16"/>
                <w:lang w:val="es-CO" w:eastAsia="es-CO"/>
              </w:rPr>
              <w:t>.</w:t>
            </w:r>
            <w:r w:rsidRPr="00F2046C">
              <w:rPr>
                <w:i/>
                <w:color w:val="000000"/>
                <w:sz w:val="12"/>
                <w:szCs w:val="16"/>
                <w:lang w:val="es-CO" w:eastAsia="es-CO"/>
              </w:rPr>
              <w:t>785</w:t>
            </w:r>
          </w:p>
        </w:tc>
        <w:tc>
          <w:tcPr>
            <w:tcW w:w="992" w:type="dxa"/>
            <w:tcBorders>
              <w:top w:val="nil"/>
              <w:left w:val="nil"/>
              <w:bottom w:val="single" w:sz="4" w:space="0" w:color="auto"/>
              <w:right w:val="single" w:sz="4" w:space="0" w:color="auto"/>
            </w:tcBorders>
            <w:shd w:val="clear" w:color="auto" w:fill="auto"/>
            <w:noWrap/>
            <w:vAlign w:val="bottom"/>
            <w:hideMark/>
          </w:tcPr>
          <w:p w14:paraId="0140143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125497EA"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54B13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77</w:t>
            </w:r>
          </w:p>
        </w:tc>
        <w:tc>
          <w:tcPr>
            <w:tcW w:w="425" w:type="dxa"/>
            <w:tcBorders>
              <w:top w:val="nil"/>
              <w:left w:val="nil"/>
              <w:bottom w:val="single" w:sz="4" w:space="0" w:color="auto"/>
              <w:right w:val="single" w:sz="4" w:space="0" w:color="auto"/>
            </w:tcBorders>
            <w:shd w:val="clear" w:color="auto" w:fill="auto"/>
            <w:noWrap/>
            <w:vAlign w:val="bottom"/>
            <w:hideMark/>
          </w:tcPr>
          <w:p w14:paraId="1620769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671958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7E81673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562158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EE0C6D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57</w:t>
            </w:r>
            <w:r>
              <w:rPr>
                <w:i/>
                <w:color w:val="000000"/>
                <w:sz w:val="12"/>
                <w:szCs w:val="16"/>
                <w:lang w:val="es-CO" w:eastAsia="es-CO"/>
              </w:rPr>
              <w:t>.</w:t>
            </w:r>
            <w:r w:rsidRPr="00F2046C">
              <w:rPr>
                <w:i/>
                <w:color w:val="000000"/>
                <w:sz w:val="12"/>
                <w:szCs w:val="16"/>
                <w:lang w:val="es-CO" w:eastAsia="es-CO"/>
              </w:rPr>
              <w:t>920</w:t>
            </w:r>
            <w:r>
              <w:rPr>
                <w:i/>
                <w:color w:val="000000"/>
                <w:sz w:val="12"/>
                <w:szCs w:val="16"/>
                <w:lang w:val="es-CO" w:eastAsia="es-CO"/>
              </w:rPr>
              <w:t>.</w:t>
            </w:r>
            <w:r w:rsidRPr="00F2046C">
              <w:rPr>
                <w:i/>
                <w:color w:val="000000"/>
                <w:sz w:val="12"/>
                <w:szCs w:val="16"/>
                <w:lang w:val="es-CO" w:eastAsia="es-CO"/>
              </w:rPr>
              <w:t>100</w:t>
            </w:r>
          </w:p>
        </w:tc>
      </w:tr>
      <w:tr w:rsidR="00BA56AD" w:rsidRPr="00F2046C" w14:paraId="39D701CC"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252B09C"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94E26E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3637BB7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TPE1CO</w:t>
            </w:r>
          </w:p>
        </w:tc>
        <w:tc>
          <w:tcPr>
            <w:tcW w:w="992" w:type="dxa"/>
            <w:tcBorders>
              <w:top w:val="nil"/>
              <w:left w:val="nil"/>
              <w:bottom w:val="single" w:sz="4" w:space="0" w:color="auto"/>
              <w:right w:val="single" w:sz="4" w:space="0" w:color="auto"/>
            </w:tcBorders>
            <w:shd w:val="clear" w:color="auto" w:fill="auto"/>
            <w:noWrap/>
            <w:vAlign w:val="bottom"/>
            <w:hideMark/>
          </w:tcPr>
          <w:p w14:paraId="131FC9F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77</w:t>
            </w:r>
            <w:r>
              <w:rPr>
                <w:i/>
                <w:color w:val="000000"/>
                <w:sz w:val="12"/>
                <w:szCs w:val="16"/>
                <w:lang w:val="es-CO" w:eastAsia="es-CO"/>
              </w:rPr>
              <w:t>.</w:t>
            </w:r>
            <w:r w:rsidRPr="00F2046C">
              <w:rPr>
                <w:i/>
                <w:color w:val="000000"/>
                <w:sz w:val="12"/>
                <w:szCs w:val="16"/>
                <w:lang w:val="es-CO" w:eastAsia="es-CO"/>
              </w:rPr>
              <w:t>820</w:t>
            </w:r>
            <w:r>
              <w:rPr>
                <w:i/>
                <w:color w:val="000000"/>
                <w:sz w:val="12"/>
                <w:szCs w:val="16"/>
                <w:lang w:val="es-CO" w:eastAsia="es-CO"/>
              </w:rPr>
              <w:t>.</w:t>
            </w:r>
            <w:r w:rsidRPr="00F2046C">
              <w:rPr>
                <w:i/>
                <w:color w:val="000000"/>
                <w:sz w:val="12"/>
                <w:szCs w:val="16"/>
                <w:lang w:val="es-CO" w:eastAsia="es-CO"/>
              </w:rPr>
              <w:t>464</w:t>
            </w:r>
          </w:p>
        </w:tc>
        <w:tc>
          <w:tcPr>
            <w:tcW w:w="992" w:type="dxa"/>
            <w:tcBorders>
              <w:top w:val="nil"/>
              <w:left w:val="nil"/>
              <w:bottom w:val="single" w:sz="4" w:space="0" w:color="auto"/>
              <w:right w:val="single" w:sz="4" w:space="0" w:color="auto"/>
            </w:tcBorders>
            <w:shd w:val="clear" w:color="auto" w:fill="auto"/>
            <w:noWrap/>
            <w:vAlign w:val="bottom"/>
            <w:hideMark/>
          </w:tcPr>
          <w:p w14:paraId="45945E6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67F756EF"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bottom"/>
            <w:hideMark/>
          </w:tcPr>
          <w:p w14:paraId="16CEF8C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05</w:t>
            </w:r>
          </w:p>
        </w:tc>
        <w:tc>
          <w:tcPr>
            <w:tcW w:w="425" w:type="dxa"/>
            <w:tcBorders>
              <w:top w:val="nil"/>
              <w:left w:val="nil"/>
              <w:bottom w:val="single" w:sz="4" w:space="0" w:color="auto"/>
              <w:right w:val="single" w:sz="4" w:space="0" w:color="auto"/>
            </w:tcBorders>
            <w:shd w:val="clear" w:color="auto" w:fill="auto"/>
            <w:noWrap/>
            <w:vAlign w:val="bottom"/>
            <w:hideMark/>
          </w:tcPr>
          <w:p w14:paraId="1D2A97A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607AAD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6F31F28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A3187D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0934636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w:t>
            </w:r>
            <w:r>
              <w:rPr>
                <w:i/>
                <w:color w:val="000000"/>
                <w:sz w:val="12"/>
                <w:szCs w:val="16"/>
                <w:lang w:val="es-CO" w:eastAsia="es-CO"/>
              </w:rPr>
              <w:t>.</w:t>
            </w:r>
            <w:r w:rsidRPr="00F2046C">
              <w:rPr>
                <w:i/>
                <w:color w:val="000000"/>
                <w:sz w:val="12"/>
                <w:szCs w:val="16"/>
                <w:lang w:val="es-CO" w:eastAsia="es-CO"/>
              </w:rPr>
              <w:t>774</w:t>
            </w:r>
            <w:r>
              <w:rPr>
                <w:i/>
                <w:color w:val="000000"/>
                <w:sz w:val="12"/>
                <w:szCs w:val="16"/>
                <w:lang w:val="es-CO" w:eastAsia="es-CO"/>
              </w:rPr>
              <w:t>.</w:t>
            </w:r>
            <w:r w:rsidRPr="00F2046C">
              <w:rPr>
                <w:i/>
                <w:color w:val="000000"/>
                <w:sz w:val="12"/>
                <w:szCs w:val="16"/>
                <w:lang w:val="es-CO" w:eastAsia="es-CO"/>
              </w:rPr>
              <w:t>292</w:t>
            </w:r>
          </w:p>
        </w:tc>
      </w:tr>
      <w:tr w:rsidR="00BA56AD" w:rsidRPr="00F2046C" w14:paraId="25622E0A"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86CC79A"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032264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2EF348A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TPE2CO</w:t>
            </w:r>
          </w:p>
        </w:tc>
        <w:tc>
          <w:tcPr>
            <w:tcW w:w="992" w:type="dxa"/>
            <w:tcBorders>
              <w:top w:val="nil"/>
              <w:left w:val="nil"/>
              <w:bottom w:val="single" w:sz="4" w:space="0" w:color="auto"/>
              <w:right w:val="single" w:sz="4" w:space="0" w:color="auto"/>
            </w:tcBorders>
            <w:shd w:val="clear" w:color="auto" w:fill="auto"/>
            <w:noWrap/>
            <w:vAlign w:val="bottom"/>
            <w:hideMark/>
          </w:tcPr>
          <w:p w14:paraId="46365CB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88</w:t>
            </w:r>
            <w:r>
              <w:rPr>
                <w:i/>
                <w:color w:val="000000"/>
                <w:sz w:val="12"/>
                <w:szCs w:val="16"/>
                <w:lang w:val="es-CO" w:eastAsia="es-CO"/>
              </w:rPr>
              <w:t>.</w:t>
            </w:r>
            <w:r w:rsidRPr="00F2046C">
              <w:rPr>
                <w:i/>
                <w:color w:val="000000"/>
                <w:sz w:val="12"/>
                <w:szCs w:val="16"/>
                <w:lang w:val="es-CO" w:eastAsia="es-CO"/>
              </w:rPr>
              <w:t>939</w:t>
            </w:r>
            <w:r>
              <w:rPr>
                <w:i/>
                <w:color w:val="000000"/>
                <w:sz w:val="12"/>
                <w:szCs w:val="16"/>
                <w:lang w:val="es-CO" w:eastAsia="es-CO"/>
              </w:rPr>
              <w:t>.</w:t>
            </w:r>
            <w:r w:rsidRPr="00F2046C">
              <w:rPr>
                <w:i/>
                <w:color w:val="000000"/>
                <w:sz w:val="12"/>
                <w:szCs w:val="16"/>
                <w:lang w:val="es-CO" w:eastAsia="es-CO"/>
              </w:rPr>
              <w:t>504</w:t>
            </w:r>
          </w:p>
        </w:tc>
        <w:tc>
          <w:tcPr>
            <w:tcW w:w="992" w:type="dxa"/>
            <w:tcBorders>
              <w:top w:val="nil"/>
              <w:left w:val="nil"/>
              <w:bottom w:val="single" w:sz="4" w:space="0" w:color="auto"/>
              <w:right w:val="single" w:sz="4" w:space="0" w:color="auto"/>
            </w:tcBorders>
            <w:shd w:val="clear" w:color="auto" w:fill="auto"/>
            <w:noWrap/>
            <w:vAlign w:val="bottom"/>
            <w:hideMark/>
          </w:tcPr>
          <w:p w14:paraId="2E8EFD7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3E9DBDA7"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1953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457DB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F504E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C95AC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AC1D6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00F07FC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401</w:t>
            </w:r>
            <w:r>
              <w:rPr>
                <w:i/>
                <w:color w:val="000000"/>
                <w:sz w:val="12"/>
                <w:szCs w:val="16"/>
                <w:lang w:val="es-CO" w:eastAsia="es-CO"/>
              </w:rPr>
              <w:t>.</w:t>
            </w:r>
            <w:r w:rsidRPr="00F2046C">
              <w:rPr>
                <w:i/>
                <w:color w:val="000000"/>
                <w:sz w:val="12"/>
                <w:szCs w:val="16"/>
                <w:lang w:val="es-CO" w:eastAsia="es-CO"/>
              </w:rPr>
              <w:t>367</w:t>
            </w:r>
          </w:p>
        </w:tc>
      </w:tr>
      <w:tr w:rsidR="00BA56AD" w:rsidRPr="00F2046C" w14:paraId="62D2160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28CF313"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456032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62C37F8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TPE1/2ACO</w:t>
            </w:r>
          </w:p>
        </w:tc>
        <w:tc>
          <w:tcPr>
            <w:tcW w:w="992" w:type="dxa"/>
            <w:tcBorders>
              <w:top w:val="nil"/>
              <w:left w:val="nil"/>
              <w:bottom w:val="single" w:sz="4" w:space="0" w:color="auto"/>
              <w:right w:val="single" w:sz="4" w:space="0" w:color="auto"/>
            </w:tcBorders>
            <w:shd w:val="clear" w:color="auto" w:fill="auto"/>
            <w:noWrap/>
            <w:vAlign w:val="bottom"/>
            <w:hideMark/>
          </w:tcPr>
          <w:p w14:paraId="00FF424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52</w:t>
            </w:r>
            <w:r>
              <w:rPr>
                <w:i/>
                <w:color w:val="000000"/>
                <w:sz w:val="12"/>
                <w:szCs w:val="16"/>
                <w:lang w:val="es-CO" w:eastAsia="es-CO"/>
              </w:rPr>
              <w:t>.</w:t>
            </w:r>
            <w:r w:rsidRPr="00F2046C">
              <w:rPr>
                <w:i/>
                <w:color w:val="000000"/>
                <w:sz w:val="12"/>
                <w:szCs w:val="16"/>
                <w:lang w:val="es-CO" w:eastAsia="es-CO"/>
              </w:rPr>
              <w:t>202</w:t>
            </w:r>
            <w:r>
              <w:rPr>
                <w:i/>
                <w:color w:val="000000"/>
                <w:sz w:val="12"/>
                <w:szCs w:val="16"/>
                <w:lang w:val="es-CO" w:eastAsia="es-CO"/>
              </w:rPr>
              <w:t>.</w:t>
            </w:r>
            <w:r w:rsidRPr="00F2046C">
              <w:rPr>
                <w:i/>
                <w:color w:val="000000"/>
                <w:sz w:val="12"/>
                <w:szCs w:val="16"/>
                <w:lang w:val="es-CO" w:eastAsia="es-CO"/>
              </w:rPr>
              <w:t>790</w:t>
            </w:r>
          </w:p>
        </w:tc>
        <w:tc>
          <w:tcPr>
            <w:tcW w:w="992" w:type="dxa"/>
            <w:tcBorders>
              <w:top w:val="nil"/>
              <w:left w:val="nil"/>
              <w:bottom w:val="single" w:sz="4" w:space="0" w:color="auto"/>
              <w:right w:val="single" w:sz="4" w:space="0" w:color="auto"/>
            </w:tcBorders>
            <w:shd w:val="clear" w:color="auto" w:fill="auto"/>
            <w:noWrap/>
            <w:vAlign w:val="bottom"/>
            <w:hideMark/>
          </w:tcPr>
          <w:p w14:paraId="5B9E12B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A4061BA"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2F1F5C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08</w:t>
            </w:r>
          </w:p>
        </w:tc>
        <w:tc>
          <w:tcPr>
            <w:tcW w:w="425" w:type="dxa"/>
            <w:tcBorders>
              <w:top w:val="nil"/>
              <w:left w:val="nil"/>
              <w:bottom w:val="single" w:sz="4" w:space="0" w:color="auto"/>
              <w:right w:val="single" w:sz="4" w:space="0" w:color="auto"/>
            </w:tcBorders>
            <w:shd w:val="clear" w:color="auto" w:fill="auto"/>
            <w:noWrap/>
            <w:vAlign w:val="bottom"/>
            <w:hideMark/>
          </w:tcPr>
          <w:p w14:paraId="476FECD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BDE3B5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079751C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328D24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016B95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w:t>
            </w:r>
            <w:r>
              <w:rPr>
                <w:i/>
                <w:color w:val="000000"/>
                <w:sz w:val="12"/>
                <w:szCs w:val="16"/>
                <w:lang w:val="es-CO" w:eastAsia="es-CO"/>
              </w:rPr>
              <w:t>.</w:t>
            </w:r>
            <w:r w:rsidRPr="00F2046C">
              <w:rPr>
                <w:i/>
                <w:color w:val="000000"/>
                <w:sz w:val="12"/>
                <w:szCs w:val="16"/>
                <w:lang w:val="es-CO" w:eastAsia="es-CO"/>
              </w:rPr>
              <w:t>280</w:t>
            </w:r>
            <w:r>
              <w:rPr>
                <w:i/>
                <w:color w:val="000000"/>
                <w:sz w:val="12"/>
                <w:szCs w:val="16"/>
                <w:lang w:val="es-CO" w:eastAsia="es-CO"/>
              </w:rPr>
              <w:t>.</w:t>
            </w:r>
            <w:r w:rsidRPr="00F2046C">
              <w:rPr>
                <w:i/>
                <w:color w:val="000000"/>
                <w:sz w:val="12"/>
                <w:szCs w:val="16"/>
                <w:lang w:val="es-CO" w:eastAsia="es-CO"/>
              </w:rPr>
              <w:t>629</w:t>
            </w:r>
          </w:p>
        </w:tc>
      </w:tr>
      <w:tr w:rsidR="00BA56AD" w:rsidRPr="00F2046C" w14:paraId="6A7ED1F1"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0A2E973"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4E2A66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3615F3F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TPE3/4ACO</w:t>
            </w:r>
          </w:p>
        </w:tc>
        <w:tc>
          <w:tcPr>
            <w:tcW w:w="992" w:type="dxa"/>
            <w:tcBorders>
              <w:top w:val="nil"/>
              <w:left w:val="nil"/>
              <w:bottom w:val="single" w:sz="4" w:space="0" w:color="auto"/>
              <w:right w:val="single" w:sz="4" w:space="0" w:color="auto"/>
            </w:tcBorders>
            <w:shd w:val="clear" w:color="auto" w:fill="auto"/>
            <w:noWrap/>
            <w:vAlign w:val="bottom"/>
            <w:hideMark/>
          </w:tcPr>
          <w:p w14:paraId="033E0A7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53</w:t>
            </w:r>
            <w:r>
              <w:rPr>
                <w:i/>
                <w:color w:val="000000"/>
                <w:sz w:val="12"/>
                <w:szCs w:val="16"/>
                <w:lang w:val="es-CO" w:eastAsia="es-CO"/>
              </w:rPr>
              <w:t>.</w:t>
            </w:r>
            <w:r w:rsidRPr="00F2046C">
              <w:rPr>
                <w:i/>
                <w:color w:val="000000"/>
                <w:sz w:val="12"/>
                <w:szCs w:val="16"/>
                <w:lang w:val="es-CO" w:eastAsia="es-CO"/>
              </w:rPr>
              <w:t>098</w:t>
            </w:r>
            <w:r>
              <w:rPr>
                <w:i/>
                <w:color w:val="000000"/>
                <w:sz w:val="12"/>
                <w:szCs w:val="16"/>
                <w:lang w:val="es-CO" w:eastAsia="es-CO"/>
              </w:rPr>
              <w:t>.</w:t>
            </w:r>
            <w:r w:rsidRPr="00F2046C">
              <w:rPr>
                <w:i/>
                <w:color w:val="000000"/>
                <w:sz w:val="12"/>
                <w:szCs w:val="16"/>
                <w:lang w:val="es-CO" w:eastAsia="es-CO"/>
              </w:rPr>
              <w:t>574</w:t>
            </w:r>
          </w:p>
        </w:tc>
        <w:tc>
          <w:tcPr>
            <w:tcW w:w="992" w:type="dxa"/>
            <w:tcBorders>
              <w:top w:val="nil"/>
              <w:left w:val="nil"/>
              <w:bottom w:val="single" w:sz="4" w:space="0" w:color="auto"/>
              <w:right w:val="single" w:sz="4" w:space="0" w:color="auto"/>
            </w:tcBorders>
            <w:shd w:val="clear" w:color="auto" w:fill="auto"/>
            <w:noWrap/>
            <w:vAlign w:val="bottom"/>
            <w:hideMark/>
          </w:tcPr>
          <w:p w14:paraId="7E23B9F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3BA11610"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DD8478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16</w:t>
            </w:r>
          </w:p>
        </w:tc>
        <w:tc>
          <w:tcPr>
            <w:tcW w:w="425" w:type="dxa"/>
            <w:tcBorders>
              <w:top w:val="nil"/>
              <w:left w:val="nil"/>
              <w:bottom w:val="single" w:sz="4" w:space="0" w:color="auto"/>
              <w:right w:val="single" w:sz="4" w:space="0" w:color="auto"/>
            </w:tcBorders>
            <w:shd w:val="clear" w:color="auto" w:fill="auto"/>
            <w:noWrap/>
            <w:vAlign w:val="bottom"/>
            <w:hideMark/>
          </w:tcPr>
          <w:p w14:paraId="5D3D704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908D99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038F42A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9FBE1B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F102C4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114</w:t>
            </w:r>
            <w:r>
              <w:rPr>
                <w:i/>
                <w:color w:val="000000"/>
                <w:sz w:val="12"/>
                <w:szCs w:val="16"/>
                <w:lang w:val="es-CO" w:eastAsia="es-CO"/>
              </w:rPr>
              <w:t>.</w:t>
            </w:r>
            <w:r w:rsidRPr="00F2046C">
              <w:rPr>
                <w:i/>
                <w:color w:val="000000"/>
                <w:sz w:val="12"/>
                <w:szCs w:val="16"/>
                <w:lang w:val="es-CO" w:eastAsia="es-CO"/>
              </w:rPr>
              <w:t>432</w:t>
            </w:r>
            <w:r>
              <w:rPr>
                <w:i/>
                <w:color w:val="000000"/>
                <w:sz w:val="12"/>
                <w:szCs w:val="16"/>
                <w:lang w:val="es-CO" w:eastAsia="es-CO"/>
              </w:rPr>
              <w:t>.</w:t>
            </w:r>
            <w:r w:rsidRPr="00F2046C">
              <w:rPr>
                <w:i/>
                <w:color w:val="000000"/>
                <w:sz w:val="12"/>
                <w:szCs w:val="16"/>
                <w:lang w:val="es-CO" w:eastAsia="es-CO"/>
              </w:rPr>
              <w:t>737</w:t>
            </w:r>
          </w:p>
        </w:tc>
      </w:tr>
      <w:tr w:rsidR="00BA56AD" w:rsidRPr="00F2046C" w14:paraId="74DA2C28"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E48EEF5"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F03EFC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051205F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TPE1ACO</w:t>
            </w:r>
          </w:p>
        </w:tc>
        <w:tc>
          <w:tcPr>
            <w:tcW w:w="992" w:type="dxa"/>
            <w:tcBorders>
              <w:top w:val="nil"/>
              <w:left w:val="nil"/>
              <w:bottom w:val="single" w:sz="4" w:space="0" w:color="auto"/>
              <w:right w:val="single" w:sz="4" w:space="0" w:color="auto"/>
            </w:tcBorders>
            <w:shd w:val="clear" w:color="auto" w:fill="auto"/>
            <w:noWrap/>
            <w:vAlign w:val="bottom"/>
            <w:hideMark/>
          </w:tcPr>
          <w:p w14:paraId="1F7BFE4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55</w:t>
            </w:r>
            <w:r>
              <w:rPr>
                <w:i/>
                <w:color w:val="000000"/>
                <w:sz w:val="12"/>
                <w:szCs w:val="16"/>
                <w:lang w:val="es-CO" w:eastAsia="es-CO"/>
              </w:rPr>
              <w:t>.</w:t>
            </w:r>
            <w:r w:rsidRPr="00F2046C">
              <w:rPr>
                <w:i/>
                <w:color w:val="000000"/>
                <w:sz w:val="12"/>
                <w:szCs w:val="16"/>
                <w:lang w:val="es-CO" w:eastAsia="es-CO"/>
              </w:rPr>
              <w:t>772</w:t>
            </w:r>
            <w:r>
              <w:rPr>
                <w:i/>
                <w:color w:val="000000"/>
                <w:sz w:val="12"/>
                <w:szCs w:val="16"/>
                <w:lang w:val="es-CO" w:eastAsia="es-CO"/>
              </w:rPr>
              <w:t>.</w:t>
            </w:r>
            <w:r w:rsidRPr="00F2046C">
              <w:rPr>
                <w:i/>
                <w:color w:val="000000"/>
                <w:sz w:val="12"/>
                <w:szCs w:val="16"/>
                <w:lang w:val="es-CO" w:eastAsia="es-CO"/>
              </w:rPr>
              <w:t>649</w:t>
            </w:r>
          </w:p>
        </w:tc>
        <w:tc>
          <w:tcPr>
            <w:tcW w:w="992" w:type="dxa"/>
            <w:tcBorders>
              <w:top w:val="nil"/>
              <w:left w:val="nil"/>
              <w:bottom w:val="single" w:sz="4" w:space="0" w:color="auto"/>
              <w:right w:val="single" w:sz="4" w:space="0" w:color="auto"/>
            </w:tcBorders>
            <w:shd w:val="clear" w:color="auto" w:fill="auto"/>
            <w:noWrap/>
            <w:vAlign w:val="bottom"/>
            <w:hideMark/>
          </w:tcPr>
          <w:p w14:paraId="72D75F1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4B68832C"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37D0C4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30</w:t>
            </w:r>
          </w:p>
        </w:tc>
        <w:tc>
          <w:tcPr>
            <w:tcW w:w="425" w:type="dxa"/>
            <w:tcBorders>
              <w:top w:val="nil"/>
              <w:left w:val="nil"/>
              <w:bottom w:val="single" w:sz="4" w:space="0" w:color="auto"/>
              <w:right w:val="single" w:sz="4" w:space="0" w:color="auto"/>
            </w:tcBorders>
            <w:shd w:val="clear" w:color="auto" w:fill="auto"/>
            <w:noWrap/>
            <w:vAlign w:val="bottom"/>
            <w:hideMark/>
          </w:tcPr>
          <w:p w14:paraId="6F4C925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798488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5822A91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4BEFAC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DA883E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16</w:t>
            </w:r>
            <w:r>
              <w:rPr>
                <w:i/>
                <w:color w:val="000000"/>
                <w:sz w:val="12"/>
                <w:szCs w:val="16"/>
                <w:lang w:val="es-CO" w:eastAsia="es-CO"/>
              </w:rPr>
              <w:t>.</w:t>
            </w:r>
            <w:r w:rsidRPr="00F2046C">
              <w:rPr>
                <w:i/>
                <w:color w:val="000000"/>
                <w:sz w:val="12"/>
                <w:szCs w:val="16"/>
                <w:lang w:val="es-CO" w:eastAsia="es-CO"/>
              </w:rPr>
              <w:t>564</w:t>
            </w:r>
            <w:r>
              <w:rPr>
                <w:i/>
                <w:color w:val="000000"/>
                <w:sz w:val="12"/>
                <w:szCs w:val="16"/>
                <w:lang w:val="es-CO" w:eastAsia="es-CO"/>
              </w:rPr>
              <w:t>.</w:t>
            </w:r>
            <w:r w:rsidRPr="00F2046C">
              <w:rPr>
                <w:i/>
                <w:color w:val="000000"/>
                <w:sz w:val="12"/>
                <w:szCs w:val="16"/>
                <w:lang w:val="es-CO" w:eastAsia="es-CO"/>
              </w:rPr>
              <w:t>477</w:t>
            </w:r>
          </w:p>
        </w:tc>
      </w:tr>
      <w:tr w:rsidR="00BA56AD" w:rsidRPr="00F2046C" w14:paraId="6798F68A"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0DCED8B"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691E6C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065049A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TPE2ACO</w:t>
            </w:r>
          </w:p>
        </w:tc>
        <w:tc>
          <w:tcPr>
            <w:tcW w:w="992" w:type="dxa"/>
            <w:tcBorders>
              <w:top w:val="nil"/>
              <w:left w:val="nil"/>
              <w:bottom w:val="single" w:sz="4" w:space="0" w:color="auto"/>
              <w:right w:val="single" w:sz="4" w:space="0" w:color="auto"/>
            </w:tcBorders>
            <w:shd w:val="clear" w:color="auto" w:fill="auto"/>
            <w:noWrap/>
            <w:vAlign w:val="bottom"/>
            <w:hideMark/>
          </w:tcPr>
          <w:p w14:paraId="5127275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67</w:t>
            </w:r>
            <w:r>
              <w:rPr>
                <w:i/>
                <w:color w:val="000000"/>
                <w:sz w:val="12"/>
                <w:szCs w:val="16"/>
                <w:lang w:val="es-CO" w:eastAsia="es-CO"/>
              </w:rPr>
              <w:t>.</w:t>
            </w:r>
            <w:r w:rsidRPr="00F2046C">
              <w:rPr>
                <w:i/>
                <w:color w:val="000000"/>
                <w:sz w:val="12"/>
                <w:szCs w:val="16"/>
                <w:lang w:val="es-CO" w:eastAsia="es-CO"/>
              </w:rPr>
              <w:t>285</w:t>
            </w:r>
            <w:r>
              <w:rPr>
                <w:i/>
                <w:color w:val="000000"/>
                <w:sz w:val="12"/>
                <w:szCs w:val="16"/>
                <w:lang w:val="es-CO" w:eastAsia="es-CO"/>
              </w:rPr>
              <w:t>.</w:t>
            </w:r>
            <w:r w:rsidRPr="00F2046C">
              <w:rPr>
                <w:i/>
                <w:color w:val="000000"/>
                <w:sz w:val="12"/>
                <w:szCs w:val="16"/>
                <w:lang w:val="es-CO" w:eastAsia="es-CO"/>
              </w:rPr>
              <w:t>854</w:t>
            </w:r>
          </w:p>
        </w:tc>
        <w:tc>
          <w:tcPr>
            <w:tcW w:w="992" w:type="dxa"/>
            <w:tcBorders>
              <w:top w:val="nil"/>
              <w:left w:val="nil"/>
              <w:bottom w:val="single" w:sz="4" w:space="0" w:color="auto"/>
              <w:right w:val="single" w:sz="4" w:space="0" w:color="auto"/>
            </w:tcBorders>
            <w:shd w:val="clear" w:color="auto" w:fill="auto"/>
            <w:noWrap/>
            <w:vAlign w:val="bottom"/>
            <w:hideMark/>
          </w:tcPr>
          <w:p w14:paraId="661D4F5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0D794D18"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18F43B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01</w:t>
            </w:r>
          </w:p>
        </w:tc>
        <w:tc>
          <w:tcPr>
            <w:tcW w:w="425" w:type="dxa"/>
            <w:tcBorders>
              <w:top w:val="nil"/>
              <w:left w:val="nil"/>
              <w:bottom w:val="single" w:sz="4" w:space="0" w:color="auto"/>
              <w:right w:val="single" w:sz="4" w:space="0" w:color="auto"/>
            </w:tcBorders>
            <w:shd w:val="clear" w:color="auto" w:fill="auto"/>
            <w:noWrap/>
            <w:vAlign w:val="bottom"/>
            <w:hideMark/>
          </w:tcPr>
          <w:p w14:paraId="7024E36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235855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6A486D2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78FA31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C709F3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773</w:t>
            </w:r>
            <w:r>
              <w:rPr>
                <w:i/>
                <w:color w:val="000000"/>
                <w:sz w:val="12"/>
                <w:szCs w:val="16"/>
                <w:lang w:val="es-CO" w:eastAsia="es-CO"/>
              </w:rPr>
              <w:t>.</w:t>
            </w:r>
            <w:r w:rsidRPr="00F2046C">
              <w:rPr>
                <w:i/>
                <w:color w:val="000000"/>
                <w:sz w:val="12"/>
                <w:szCs w:val="16"/>
                <w:lang w:val="es-CO" w:eastAsia="es-CO"/>
              </w:rPr>
              <w:t>787</w:t>
            </w:r>
          </w:p>
        </w:tc>
      </w:tr>
      <w:tr w:rsidR="00BA56AD" w:rsidRPr="00F2046C" w14:paraId="22988101"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2370C1C"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4D8714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3E7F7CC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TPE3/4TA</w:t>
            </w:r>
          </w:p>
        </w:tc>
        <w:tc>
          <w:tcPr>
            <w:tcW w:w="992" w:type="dxa"/>
            <w:tcBorders>
              <w:top w:val="nil"/>
              <w:left w:val="nil"/>
              <w:bottom w:val="single" w:sz="4" w:space="0" w:color="auto"/>
              <w:right w:val="single" w:sz="4" w:space="0" w:color="auto"/>
            </w:tcBorders>
            <w:shd w:val="clear" w:color="auto" w:fill="auto"/>
            <w:noWrap/>
            <w:vAlign w:val="bottom"/>
            <w:hideMark/>
          </w:tcPr>
          <w:p w14:paraId="3BE3988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56</w:t>
            </w:r>
            <w:r>
              <w:rPr>
                <w:i/>
                <w:color w:val="000000"/>
                <w:sz w:val="12"/>
                <w:szCs w:val="16"/>
                <w:lang w:val="es-CO" w:eastAsia="es-CO"/>
              </w:rPr>
              <w:t>.</w:t>
            </w:r>
            <w:r w:rsidRPr="00F2046C">
              <w:rPr>
                <w:i/>
                <w:color w:val="000000"/>
                <w:sz w:val="12"/>
                <w:szCs w:val="16"/>
                <w:lang w:val="es-CO" w:eastAsia="es-CO"/>
              </w:rPr>
              <w:t>167</w:t>
            </w:r>
            <w:r>
              <w:rPr>
                <w:i/>
                <w:color w:val="000000"/>
                <w:sz w:val="12"/>
                <w:szCs w:val="16"/>
                <w:lang w:val="es-CO" w:eastAsia="es-CO"/>
              </w:rPr>
              <w:t>.</w:t>
            </w:r>
            <w:r w:rsidRPr="00F2046C">
              <w:rPr>
                <w:i/>
                <w:color w:val="000000"/>
                <w:sz w:val="12"/>
                <w:szCs w:val="16"/>
                <w:lang w:val="es-CO" w:eastAsia="es-CO"/>
              </w:rPr>
              <w:t>552</w:t>
            </w:r>
          </w:p>
        </w:tc>
        <w:tc>
          <w:tcPr>
            <w:tcW w:w="992" w:type="dxa"/>
            <w:tcBorders>
              <w:top w:val="nil"/>
              <w:left w:val="nil"/>
              <w:bottom w:val="single" w:sz="4" w:space="0" w:color="auto"/>
              <w:right w:val="single" w:sz="4" w:space="0" w:color="auto"/>
            </w:tcBorders>
            <w:shd w:val="clear" w:color="auto" w:fill="auto"/>
            <w:noWrap/>
            <w:vAlign w:val="bottom"/>
            <w:hideMark/>
          </w:tcPr>
          <w:p w14:paraId="255FDEB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69EF101A"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349B38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09</w:t>
            </w:r>
          </w:p>
        </w:tc>
        <w:tc>
          <w:tcPr>
            <w:tcW w:w="425" w:type="dxa"/>
            <w:tcBorders>
              <w:top w:val="nil"/>
              <w:left w:val="nil"/>
              <w:bottom w:val="single" w:sz="4" w:space="0" w:color="auto"/>
              <w:right w:val="single" w:sz="4" w:space="0" w:color="auto"/>
            </w:tcBorders>
            <w:shd w:val="clear" w:color="auto" w:fill="auto"/>
            <w:noWrap/>
            <w:vAlign w:val="bottom"/>
            <w:hideMark/>
          </w:tcPr>
          <w:p w14:paraId="0D79F69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AF6254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7000B22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5BFD6E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0BA3B66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w:t>
            </w:r>
            <w:r>
              <w:rPr>
                <w:i/>
                <w:color w:val="000000"/>
                <w:sz w:val="12"/>
                <w:szCs w:val="16"/>
                <w:lang w:val="es-CO" w:eastAsia="es-CO"/>
              </w:rPr>
              <w:t>.</w:t>
            </w:r>
            <w:r w:rsidRPr="00F2046C">
              <w:rPr>
                <w:i/>
                <w:color w:val="000000"/>
                <w:sz w:val="12"/>
                <w:szCs w:val="16"/>
                <w:lang w:val="es-CO" w:eastAsia="es-CO"/>
              </w:rPr>
              <w:t>942</w:t>
            </w:r>
            <w:r>
              <w:rPr>
                <w:i/>
                <w:color w:val="000000"/>
                <w:sz w:val="12"/>
                <w:szCs w:val="16"/>
                <w:lang w:val="es-CO" w:eastAsia="es-CO"/>
              </w:rPr>
              <w:t>.</w:t>
            </w:r>
            <w:r w:rsidRPr="00F2046C">
              <w:rPr>
                <w:i/>
                <w:color w:val="000000"/>
                <w:sz w:val="12"/>
                <w:szCs w:val="16"/>
                <w:lang w:val="es-CO" w:eastAsia="es-CO"/>
              </w:rPr>
              <w:t>745</w:t>
            </w:r>
          </w:p>
        </w:tc>
      </w:tr>
      <w:tr w:rsidR="00BA56AD" w:rsidRPr="00F2046C" w14:paraId="30776AFA"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F99CE11"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A833FA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782F10C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TPE1TA</w:t>
            </w:r>
          </w:p>
        </w:tc>
        <w:tc>
          <w:tcPr>
            <w:tcW w:w="992" w:type="dxa"/>
            <w:tcBorders>
              <w:top w:val="nil"/>
              <w:left w:val="nil"/>
              <w:bottom w:val="single" w:sz="4" w:space="0" w:color="auto"/>
              <w:right w:val="single" w:sz="4" w:space="0" w:color="auto"/>
            </w:tcBorders>
            <w:shd w:val="clear" w:color="auto" w:fill="auto"/>
            <w:noWrap/>
            <w:vAlign w:val="bottom"/>
            <w:hideMark/>
          </w:tcPr>
          <w:p w14:paraId="40A3E4A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58</w:t>
            </w:r>
            <w:r>
              <w:rPr>
                <w:i/>
                <w:color w:val="000000"/>
                <w:sz w:val="12"/>
                <w:szCs w:val="16"/>
                <w:lang w:val="es-CO" w:eastAsia="es-CO"/>
              </w:rPr>
              <w:t>.</w:t>
            </w:r>
            <w:r w:rsidRPr="00F2046C">
              <w:rPr>
                <w:i/>
                <w:color w:val="000000"/>
                <w:sz w:val="12"/>
                <w:szCs w:val="16"/>
                <w:lang w:val="es-CO" w:eastAsia="es-CO"/>
              </w:rPr>
              <w:t>831</w:t>
            </w:r>
            <w:r>
              <w:rPr>
                <w:i/>
                <w:color w:val="000000"/>
                <w:sz w:val="12"/>
                <w:szCs w:val="16"/>
                <w:lang w:val="es-CO" w:eastAsia="es-CO"/>
              </w:rPr>
              <w:t>.</w:t>
            </w:r>
            <w:r w:rsidRPr="00F2046C">
              <w:rPr>
                <w:i/>
                <w:color w:val="000000"/>
                <w:sz w:val="12"/>
                <w:szCs w:val="16"/>
                <w:lang w:val="es-CO" w:eastAsia="es-CO"/>
              </w:rPr>
              <w:t>786</w:t>
            </w:r>
          </w:p>
        </w:tc>
        <w:tc>
          <w:tcPr>
            <w:tcW w:w="992" w:type="dxa"/>
            <w:tcBorders>
              <w:top w:val="nil"/>
              <w:left w:val="nil"/>
              <w:bottom w:val="single" w:sz="4" w:space="0" w:color="auto"/>
              <w:right w:val="single" w:sz="4" w:space="0" w:color="auto"/>
            </w:tcBorders>
            <w:shd w:val="clear" w:color="auto" w:fill="auto"/>
            <w:noWrap/>
            <w:vAlign w:val="bottom"/>
            <w:hideMark/>
          </w:tcPr>
          <w:p w14:paraId="6A87E1C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79ECE2C8"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C516E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03</w:t>
            </w:r>
          </w:p>
        </w:tc>
        <w:tc>
          <w:tcPr>
            <w:tcW w:w="425" w:type="dxa"/>
            <w:tcBorders>
              <w:top w:val="nil"/>
              <w:left w:val="nil"/>
              <w:bottom w:val="single" w:sz="4" w:space="0" w:color="auto"/>
              <w:right w:val="single" w:sz="4" w:space="0" w:color="auto"/>
            </w:tcBorders>
            <w:shd w:val="clear" w:color="auto" w:fill="auto"/>
            <w:noWrap/>
            <w:vAlign w:val="bottom"/>
            <w:hideMark/>
          </w:tcPr>
          <w:p w14:paraId="170C8CB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77DFD9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1775CEB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D88F67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2A62EEF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470</w:t>
            </w:r>
            <w:r>
              <w:rPr>
                <w:i/>
                <w:color w:val="000000"/>
                <w:sz w:val="12"/>
                <w:szCs w:val="16"/>
                <w:lang w:val="es-CO" w:eastAsia="es-CO"/>
              </w:rPr>
              <w:t>.</w:t>
            </w:r>
            <w:r w:rsidRPr="00F2046C">
              <w:rPr>
                <w:i/>
                <w:color w:val="000000"/>
                <w:sz w:val="12"/>
                <w:szCs w:val="16"/>
                <w:lang w:val="es-CO" w:eastAsia="es-CO"/>
              </w:rPr>
              <w:t>795</w:t>
            </w:r>
          </w:p>
        </w:tc>
      </w:tr>
      <w:tr w:rsidR="00BA56AD" w:rsidRPr="00F2046C" w14:paraId="26946AB1"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04FD774"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lastRenderedPageBreak/>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20966C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7DB931B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TPE1/2ZV</w:t>
            </w:r>
          </w:p>
        </w:tc>
        <w:tc>
          <w:tcPr>
            <w:tcW w:w="992" w:type="dxa"/>
            <w:tcBorders>
              <w:top w:val="nil"/>
              <w:left w:val="nil"/>
              <w:bottom w:val="single" w:sz="4" w:space="0" w:color="auto"/>
              <w:right w:val="single" w:sz="4" w:space="0" w:color="auto"/>
            </w:tcBorders>
            <w:shd w:val="clear" w:color="auto" w:fill="auto"/>
            <w:noWrap/>
            <w:vAlign w:val="bottom"/>
            <w:hideMark/>
          </w:tcPr>
          <w:p w14:paraId="44B52D9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18</w:t>
            </w:r>
            <w:r>
              <w:rPr>
                <w:i/>
                <w:color w:val="000000"/>
                <w:sz w:val="12"/>
                <w:szCs w:val="16"/>
                <w:lang w:val="es-CO" w:eastAsia="es-CO"/>
              </w:rPr>
              <w:t>.</w:t>
            </w:r>
            <w:r w:rsidRPr="00F2046C">
              <w:rPr>
                <w:i/>
                <w:color w:val="000000"/>
                <w:sz w:val="12"/>
                <w:szCs w:val="16"/>
                <w:lang w:val="es-CO" w:eastAsia="es-CO"/>
              </w:rPr>
              <w:t>486</w:t>
            </w:r>
            <w:r>
              <w:rPr>
                <w:i/>
                <w:color w:val="000000"/>
                <w:sz w:val="12"/>
                <w:szCs w:val="16"/>
                <w:lang w:val="es-CO" w:eastAsia="es-CO"/>
              </w:rPr>
              <w:t>.</w:t>
            </w:r>
            <w:r w:rsidRPr="00F2046C">
              <w:rPr>
                <w:i/>
                <w:color w:val="000000"/>
                <w:sz w:val="12"/>
                <w:szCs w:val="16"/>
                <w:lang w:val="es-CO" w:eastAsia="es-CO"/>
              </w:rPr>
              <w:t>372</w:t>
            </w:r>
          </w:p>
        </w:tc>
        <w:tc>
          <w:tcPr>
            <w:tcW w:w="992" w:type="dxa"/>
            <w:tcBorders>
              <w:top w:val="nil"/>
              <w:left w:val="nil"/>
              <w:bottom w:val="single" w:sz="4" w:space="0" w:color="auto"/>
              <w:right w:val="single" w:sz="4" w:space="0" w:color="auto"/>
            </w:tcBorders>
            <w:shd w:val="clear" w:color="auto" w:fill="auto"/>
            <w:noWrap/>
            <w:vAlign w:val="bottom"/>
            <w:hideMark/>
          </w:tcPr>
          <w:p w14:paraId="75A3F53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2E03319F"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B93774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80</w:t>
            </w:r>
          </w:p>
        </w:tc>
        <w:tc>
          <w:tcPr>
            <w:tcW w:w="425" w:type="dxa"/>
            <w:tcBorders>
              <w:top w:val="nil"/>
              <w:left w:val="nil"/>
              <w:bottom w:val="single" w:sz="4" w:space="0" w:color="auto"/>
              <w:right w:val="single" w:sz="4" w:space="0" w:color="auto"/>
            </w:tcBorders>
            <w:shd w:val="clear" w:color="auto" w:fill="auto"/>
            <w:noWrap/>
            <w:vAlign w:val="bottom"/>
            <w:hideMark/>
          </w:tcPr>
          <w:p w14:paraId="7354BD4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4EF4E9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3BA727C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6AD381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0E4C779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14</w:t>
            </w:r>
            <w:r>
              <w:rPr>
                <w:i/>
                <w:color w:val="000000"/>
                <w:sz w:val="12"/>
                <w:szCs w:val="16"/>
                <w:lang w:val="es-CO" w:eastAsia="es-CO"/>
              </w:rPr>
              <w:t>.</w:t>
            </w:r>
            <w:r w:rsidRPr="00F2046C">
              <w:rPr>
                <w:i/>
                <w:color w:val="000000"/>
                <w:sz w:val="12"/>
                <w:szCs w:val="16"/>
                <w:lang w:val="es-CO" w:eastAsia="es-CO"/>
              </w:rPr>
              <w:t>761</w:t>
            </w:r>
            <w:r>
              <w:rPr>
                <w:i/>
                <w:color w:val="000000"/>
                <w:sz w:val="12"/>
                <w:szCs w:val="16"/>
                <w:lang w:val="es-CO" w:eastAsia="es-CO"/>
              </w:rPr>
              <w:t>.</w:t>
            </w:r>
            <w:r w:rsidRPr="00F2046C">
              <w:rPr>
                <w:i/>
                <w:color w:val="000000"/>
                <w:sz w:val="12"/>
                <w:szCs w:val="16"/>
                <w:lang w:val="es-CO" w:eastAsia="es-CO"/>
              </w:rPr>
              <w:t>368</w:t>
            </w:r>
          </w:p>
        </w:tc>
      </w:tr>
      <w:tr w:rsidR="00BA56AD" w:rsidRPr="00F2046C" w14:paraId="546B1A43"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6CDE0CB"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335931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79583D1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TPE3/4ZV</w:t>
            </w:r>
          </w:p>
        </w:tc>
        <w:tc>
          <w:tcPr>
            <w:tcW w:w="992" w:type="dxa"/>
            <w:tcBorders>
              <w:top w:val="nil"/>
              <w:left w:val="nil"/>
              <w:bottom w:val="single" w:sz="4" w:space="0" w:color="auto"/>
              <w:right w:val="single" w:sz="4" w:space="0" w:color="auto"/>
            </w:tcBorders>
            <w:shd w:val="clear" w:color="auto" w:fill="auto"/>
            <w:noWrap/>
            <w:vAlign w:val="bottom"/>
            <w:hideMark/>
          </w:tcPr>
          <w:p w14:paraId="492D22A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19</w:t>
            </w:r>
            <w:r>
              <w:rPr>
                <w:i/>
                <w:color w:val="000000"/>
                <w:sz w:val="12"/>
                <w:szCs w:val="16"/>
                <w:lang w:val="es-CO" w:eastAsia="es-CO"/>
              </w:rPr>
              <w:t>.</w:t>
            </w:r>
            <w:r w:rsidRPr="00F2046C">
              <w:rPr>
                <w:i/>
                <w:color w:val="000000"/>
                <w:sz w:val="12"/>
                <w:szCs w:val="16"/>
                <w:lang w:val="es-CO" w:eastAsia="es-CO"/>
              </w:rPr>
              <w:t>417</w:t>
            </w:r>
            <w:r>
              <w:rPr>
                <w:i/>
                <w:color w:val="000000"/>
                <w:sz w:val="12"/>
                <w:szCs w:val="16"/>
                <w:lang w:val="es-CO" w:eastAsia="es-CO"/>
              </w:rPr>
              <w:t>.</w:t>
            </w:r>
            <w:r w:rsidRPr="00F2046C">
              <w:rPr>
                <w:i/>
                <w:color w:val="000000"/>
                <w:sz w:val="12"/>
                <w:szCs w:val="16"/>
                <w:lang w:val="es-CO" w:eastAsia="es-CO"/>
              </w:rPr>
              <w:t>002</w:t>
            </w:r>
          </w:p>
        </w:tc>
        <w:tc>
          <w:tcPr>
            <w:tcW w:w="992" w:type="dxa"/>
            <w:tcBorders>
              <w:top w:val="nil"/>
              <w:left w:val="nil"/>
              <w:bottom w:val="single" w:sz="4" w:space="0" w:color="auto"/>
              <w:right w:val="single" w:sz="4" w:space="0" w:color="auto"/>
            </w:tcBorders>
            <w:shd w:val="clear" w:color="auto" w:fill="auto"/>
            <w:noWrap/>
            <w:vAlign w:val="bottom"/>
            <w:hideMark/>
          </w:tcPr>
          <w:p w14:paraId="6397459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3D55CBC2"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bottom"/>
            <w:hideMark/>
          </w:tcPr>
          <w:p w14:paraId="1F76AEC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w:t>
            </w:r>
            <w:r>
              <w:rPr>
                <w:i/>
                <w:color w:val="000000"/>
                <w:sz w:val="12"/>
                <w:szCs w:val="16"/>
                <w:lang w:val="es-CO" w:eastAsia="es-CO"/>
              </w:rPr>
              <w:t>,</w:t>
            </w:r>
            <w:r w:rsidRPr="00F2046C">
              <w:rPr>
                <w:i/>
                <w:color w:val="000000"/>
                <w:sz w:val="12"/>
                <w:szCs w:val="16"/>
                <w:lang w:val="es-CO" w:eastAsia="es-CO"/>
              </w:rPr>
              <w:t>66</w:t>
            </w:r>
          </w:p>
        </w:tc>
        <w:tc>
          <w:tcPr>
            <w:tcW w:w="425" w:type="dxa"/>
            <w:tcBorders>
              <w:top w:val="nil"/>
              <w:left w:val="nil"/>
              <w:bottom w:val="single" w:sz="4" w:space="0" w:color="auto"/>
              <w:right w:val="single" w:sz="4" w:space="0" w:color="auto"/>
            </w:tcBorders>
            <w:shd w:val="clear" w:color="auto" w:fill="auto"/>
            <w:noWrap/>
            <w:vAlign w:val="bottom"/>
            <w:hideMark/>
          </w:tcPr>
          <w:p w14:paraId="271B4E2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D91E37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40CF458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AAA75C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287610B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148</w:t>
            </w:r>
            <w:r>
              <w:rPr>
                <w:i/>
                <w:color w:val="000000"/>
                <w:sz w:val="12"/>
                <w:szCs w:val="16"/>
                <w:lang w:val="es-CO" w:eastAsia="es-CO"/>
              </w:rPr>
              <w:t>.</w:t>
            </w:r>
            <w:r w:rsidRPr="00F2046C">
              <w:rPr>
                <w:i/>
                <w:color w:val="000000"/>
                <w:sz w:val="12"/>
                <w:szCs w:val="16"/>
                <w:lang w:val="es-CO" w:eastAsia="es-CO"/>
              </w:rPr>
              <w:t>695</w:t>
            </w:r>
            <w:r>
              <w:rPr>
                <w:i/>
                <w:color w:val="000000"/>
                <w:sz w:val="12"/>
                <w:szCs w:val="16"/>
                <w:lang w:val="es-CO" w:eastAsia="es-CO"/>
              </w:rPr>
              <w:t>.</w:t>
            </w:r>
            <w:r w:rsidRPr="00F2046C">
              <w:rPr>
                <w:i/>
                <w:color w:val="000000"/>
                <w:sz w:val="12"/>
                <w:szCs w:val="16"/>
                <w:lang w:val="es-CO" w:eastAsia="es-CO"/>
              </w:rPr>
              <w:t>398</w:t>
            </w:r>
          </w:p>
        </w:tc>
      </w:tr>
      <w:tr w:rsidR="00BA56AD" w:rsidRPr="00F2046C" w14:paraId="3284CFFE"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BDB4C84"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713251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5481D11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TPE1ZV</w:t>
            </w:r>
          </w:p>
        </w:tc>
        <w:tc>
          <w:tcPr>
            <w:tcW w:w="992" w:type="dxa"/>
            <w:tcBorders>
              <w:top w:val="nil"/>
              <w:left w:val="nil"/>
              <w:bottom w:val="single" w:sz="4" w:space="0" w:color="auto"/>
              <w:right w:val="single" w:sz="4" w:space="0" w:color="auto"/>
            </w:tcBorders>
            <w:shd w:val="clear" w:color="auto" w:fill="auto"/>
            <w:noWrap/>
            <w:vAlign w:val="bottom"/>
            <w:hideMark/>
          </w:tcPr>
          <w:p w14:paraId="133F705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22</w:t>
            </w:r>
            <w:r>
              <w:rPr>
                <w:i/>
                <w:color w:val="000000"/>
                <w:sz w:val="12"/>
                <w:szCs w:val="16"/>
                <w:lang w:val="es-CO" w:eastAsia="es-CO"/>
              </w:rPr>
              <w:t>.</w:t>
            </w:r>
            <w:r w:rsidRPr="00F2046C">
              <w:rPr>
                <w:i/>
                <w:color w:val="000000"/>
                <w:sz w:val="12"/>
                <w:szCs w:val="16"/>
                <w:lang w:val="es-CO" w:eastAsia="es-CO"/>
              </w:rPr>
              <w:t>118</w:t>
            </w:r>
            <w:r>
              <w:rPr>
                <w:i/>
                <w:color w:val="000000"/>
                <w:sz w:val="12"/>
                <w:szCs w:val="16"/>
                <w:lang w:val="es-CO" w:eastAsia="es-CO"/>
              </w:rPr>
              <w:t>.</w:t>
            </w:r>
            <w:r w:rsidRPr="00F2046C">
              <w:rPr>
                <w:i/>
                <w:color w:val="000000"/>
                <w:sz w:val="12"/>
                <w:szCs w:val="16"/>
                <w:lang w:val="es-CO" w:eastAsia="es-CO"/>
              </w:rPr>
              <w:t>200</w:t>
            </w:r>
          </w:p>
        </w:tc>
        <w:tc>
          <w:tcPr>
            <w:tcW w:w="992" w:type="dxa"/>
            <w:tcBorders>
              <w:top w:val="nil"/>
              <w:left w:val="nil"/>
              <w:bottom w:val="single" w:sz="4" w:space="0" w:color="auto"/>
              <w:right w:val="single" w:sz="4" w:space="0" w:color="auto"/>
            </w:tcBorders>
            <w:shd w:val="clear" w:color="auto" w:fill="auto"/>
            <w:noWrap/>
            <w:vAlign w:val="bottom"/>
            <w:hideMark/>
          </w:tcPr>
          <w:p w14:paraId="03C5A5A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070CEA9"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4FED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75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A04E1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E0FB6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1AAFC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D773E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C86981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16</w:t>
            </w:r>
            <w:r>
              <w:rPr>
                <w:i/>
                <w:color w:val="000000"/>
                <w:sz w:val="12"/>
                <w:szCs w:val="16"/>
                <w:lang w:val="es-CO" w:eastAsia="es-CO"/>
              </w:rPr>
              <w:t>.</w:t>
            </w:r>
            <w:r w:rsidRPr="00F2046C">
              <w:rPr>
                <w:i/>
                <w:color w:val="000000"/>
                <w:sz w:val="12"/>
                <w:szCs w:val="16"/>
                <w:lang w:val="es-CO" w:eastAsia="es-CO"/>
              </w:rPr>
              <w:t>500</w:t>
            </w:r>
            <w:r>
              <w:rPr>
                <w:i/>
                <w:color w:val="000000"/>
                <w:sz w:val="12"/>
                <w:szCs w:val="16"/>
                <w:lang w:val="es-CO" w:eastAsia="es-CO"/>
              </w:rPr>
              <w:t>.</w:t>
            </w:r>
            <w:r w:rsidRPr="00F2046C">
              <w:rPr>
                <w:i/>
                <w:color w:val="000000"/>
                <w:sz w:val="12"/>
                <w:szCs w:val="16"/>
                <w:lang w:val="es-CO" w:eastAsia="es-CO"/>
              </w:rPr>
              <w:t>177</w:t>
            </w:r>
          </w:p>
        </w:tc>
      </w:tr>
      <w:tr w:rsidR="00BA56AD" w:rsidRPr="00F2046C" w14:paraId="0BA88976"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C2C1ADE"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30F771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735868E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TPE2ZV</w:t>
            </w:r>
          </w:p>
        </w:tc>
        <w:tc>
          <w:tcPr>
            <w:tcW w:w="992" w:type="dxa"/>
            <w:tcBorders>
              <w:top w:val="nil"/>
              <w:left w:val="nil"/>
              <w:bottom w:val="single" w:sz="4" w:space="0" w:color="auto"/>
              <w:right w:val="single" w:sz="4" w:space="0" w:color="auto"/>
            </w:tcBorders>
            <w:shd w:val="clear" w:color="auto" w:fill="auto"/>
            <w:noWrap/>
            <w:vAlign w:val="bottom"/>
            <w:hideMark/>
          </w:tcPr>
          <w:p w14:paraId="21BE0F1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33</w:t>
            </w:r>
            <w:r>
              <w:rPr>
                <w:i/>
                <w:color w:val="000000"/>
                <w:sz w:val="12"/>
                <w:szCs w:val="16"/>
                <w:lang w:val="es-CO" w:eastAsia="es-CO"/>
              </w:rPr>
              <w:t>.</w:t>
            </w:r>
            <w:r w:rsidRPr="00F2046C">
              <w:rPr>
                <w:i/>
                <w:color w:val="000000"/>
                <w:sz w:val="12"/>
                <w:szCs w:val="16"/>
                <w:lang w:val="es-CO" w:eastAsia="es-CO"/>
              </w:rPr>
              <w:t>719</w:t>
            </w:r>
            <w:r>
              <w:rPr>
                <w:i/>
                <w:color w:val="000000"/>
                <w:sz w:val="12"/>
                <w:szCs w:val="16"/>
                <w:lang w:val="es-CO" w:eastAsia="es-CO"/>
              </w:rPr>
              <w:t>.</w:t>
            </w:r>
            <w:r w:rsidRPr="00F2046C">
              <w:rPr>
                <w:i/>
                <w:color w:val="000000"/>
                <w:sz w:val="12"/>
                <w:szCs w:val="16"/>
                <w:lang w:val="es-CO" w:eastAsia="es-CO"/>
              </w:rPr>
              <w:t>985</w:t>
            </w:r>
          </w:p>
        </w:tc>
        <w:tc>
          <w:tcPr>
            <w:tcW w:w="992" w:type="dxa"/>
            <w:tcBorders>
              <w:top w:val="nil"/>
              <w:left w:val="nil"/>
              <w:bottom w:val="single" w:sz="4" w:space="0" w:color="auto"/>
              <w:right w:val="single" w:sz="4" w:space="0" w:color="auto"/>
            </w:tcBorders>
            <w:shd w:val="clear" w:color="auto" w:fill="auto"/>
            <w:noWrap/>
            <w:vAlign w:val="bottom"/>
            <w:hideMark/>
          </w:tcPr>
          <w:p w14:paraId="13558175"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2541D66"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FF8BF3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97</w:t>
            </w:r>
          </w:p>
        </w:tc>
        <w:tc>
          <w:tcPr>
            <w:tcW w:w="425" w:type="dxa"/>
            <w:tcBorders>
              <w:top w:val="nil"/>
              <w:left w:val="nil"/>
              <w:bottom w:val="single" w:sz="4" w:space="0" w:color="auto"/>
              <w:right w:val="single" w:sz="4" w:space="0" w:color="auto"/>
            </w:tcBorders>
            <w:shd w:val="clear" w:color="auto" w:fill="auto"/>
            <w:noWrap/>
            <w:vAlign w:val="bottom"/>
            <w:hideMark/>
          </w:tcPr>
          <w:p w14:paraId="04CCE08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2CD4C7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58FB536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CBAD4D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684B1D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32</w:t>
            </w:r>
            <w:r>
              <w:rPr>
                <w:i/>
                <w:color w:val="000000"/>
                <w:sz w:val="12"/>
                <w:szCs w:val="16"/>
                <w:lang w:val="es-CO" w:eastAsia="es-CO"/>
              </w:rPr>
              <w:t>.</w:t>
            </w:r>
            <w:r w:rsidRPr="00F2046C">
              <w:rPr>
                <w:i/>
                <w:color w:val="000000"/>
                <w:sz w:val="12"/>
                <w:szCs w:val="16"/>
                <w:lang w:val="es-CO" w:eastAsia="es-CO"/>
              </w:rPr>
              <w:t>691</w:t>
            </w:r>
            <w:r>
              <w:rPr>
                <w:i/>
                <w:color w:val="000000"/>
                <w:sz w:val="12"/>
                <w:szCs w:val="16"/>
                <w:lang w:val="es-CO" w:eastAsia="es-CO"/>
              </w:rPr>
              <w:t>.</w:t>
            </w:r>
            <w:r w:rsidRPr="00F2046C">
              <w:rPr>
                <w:i/>
                <w:color w:val="000000"/>
                <w:sz w:val="12"/>
                <w:szCs w:val="16"/>
                <w:lang w:val="es-CO" w:eastAsia="es-CO"/>
              </w:rPr>
              <w:t>525</w:t>
            </w:r>
          </w:p>
        </w:tc>
      </w:tr>
      <w:tr w:rsidR="00BA56AD" w:rsidRPr="00F2046C" w14:paraId="376F3F7E"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BAE385A"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5B4AF4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Estación GNC 500 m3/hora</w:t>
            </w:r>
          </w:p>
        </w:tc>
        <w:tc>
          <w:tcPr>
            <w:tcW w:w="851" w:type="dxa"/>
            <w:tcBorders>
              <w:top w:val="nil"/>
              <w:left w:val="nil"/>
              <w:bottom w:val="single" w:sz="4" w:space="0" w:color="auto"/>
              <w:right w:val="single" w:sz="4" w:space="0" w:color="auto"/>
            </w:tcBorders>
            <w:shd w:val="clear" w:color="auto" w:fill="auto"/>
            <w:noWrap/>
            <w:vAlign w:val="bottom"/>
            <w:hideMark/>
          </w:tcPr>
          <w:p w14:paraId="3FB54E2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RM500</w:t>
            </w:r>
          </w:p>
        </w:tc>
        <w:tc>
          <w:tcPr>
            <w:tcW w:w="992" w:type="dxa"/>
            <w:tcBorders>
              <w:top w:val="nil"/>
              <w:left w:val="nil"/>
              <w:bottom w:val="single" w:sz="4" w:space="0" w:color="auto"/>
              <w:right w:val="single" w:sz="4" w:space="0" w:color="auto"/>
            </w:tcBorders>
            <w:shd w:val="clear" w:color="auto" w:fill="auto"/>
            <w:noWrap/>
            <w:vAlign w:val="bottom"/>
            <w:hideMark/>
          </w:tcPr>
          <w:p w14:paraId="2983DE5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402</w:t>
            </w:r>
            <w:r>
              <w:rPr>
                <w:i/>
                <w:color w:val="000000"/>
                <w:sz w:val="12"/>
                <w:szCs w:val="16"/>
                <w:lang w:val="es-CO" w:eastAsia="es-CO"/>
              </w:rPr>
              <w:t>.</w:t>
            </w:r>
            <w:r w:rsidRPr="00F2046C">
              <w:rPr>
                <w:i/>
                <w:color w:val="000000"/>
                <w:sz w:val="12"/>
                <w:szCs w:val="16"/>
                <w:lang w:val="es-CO" w:eastAsia="es-CO"/>
              </w:rPr>
              <w:t>161</w:t>
            </w:r>
            <w:r>
              <w:rPr>
                <w:i/>
                <w:color w:val="000000"/>
                <w:sz w:val="12"/>
                <w:szCs w:val="16"/>
                <w:lang w:val="es-CO" w:eastAsia="es-CO"/>
              </w:rPr>
              <w:t>.</w:t>
            </w:r>
            <w:r w:rsidRPr="00F2046C">
              <w:rPr>
                <w:i/>
                <w:color w:val="000000"/>
                <w:sz w:val="12"/>
                <w:szCs w:val="16"/>
                <w:lang w:val="es-CO" w:eastAsia="es-CO"/>
              </w:rPr>
              <w:t>331</w:t>
            </w:r>
          </w:p>
        </w:tc>
        <w:tc>
          <w:tcPr>
            <w:tcW w:w="992" w:type="dxa"/>
            <w:tcBorders>
              <w:top w:val="nil"/>
              <w:left w:val="nil"/>
              <w:bottom w:val="single" w:sz="4" w:space="0" w:color="auto"/>
              <w:right w:val="single" w:sz="4" w:space="0" w:color="auto"/>
            </w:tcBorders>
            <w:shd w:val="clear" w:color="auto" w:fill="auto"/>
            <w:noWrap/>
            <w:vAlign w:val="bottom"/>
            <w:hideMark/>
          </w:tcPr>
          <w:p w14:paraId="42F5CE4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6AF8553C"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3EAC2E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043E52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7BB86D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70321AB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D37A22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A5419D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402</w:t>
            </w:r>
            <w:r>
              <w:rPr>
                <w:i/>
                <w:color w:val="000000"/>
                <w:sz w:val="12"/>
                <w:szCs w:val="16"/>
                <w:lang w:val="es-CO" w:eastAsia="es-CO"/>
              </w:rPr>
              <w:t>.</w:t>
            </w:r>
            <w:r w:rsidRPr="00F2046C">
              <w:rPr>
                <w:i/>
                <w:color w:val="000000"/>
                <w:sz w:val="12"/>
                <w:szCs w:val="16"/>
                <w:lang w:val="es-CO" w:eastAsia="es-CO"/>
              </w:rPr>
              <w:t>161</w:t>
            </w:r>
            <w:r>
              <w:rPr>
                <w:i/>
                <w:color w:val="000000"/>
                <w:sz w:val="12"/>
                <w:szCs w:val="16"/>
                <w:lang w:val="es-CO" w:eastAsia="es-CO"/>
              </w:rPr>
              <w:t>.</w:t>
            </w:r>
            <w:r w:rsidRPr="00F2046C">
              <w:rPr>
                <w:i/>
                <w:color w:val="000000"/>
                <w:sz w:val="12"/>
                <w:szCs w:val="16"/>
                <w:lang w:val="es-CO" w:eastAsia="es-CO"/>
              </w:rPr>
              <w:t>331</w:t>
            </w:r>
          </w:p>
        </w:tc>
      </w:tr>
      <w:tr w:rsidR="00BA56AD" w:rsidRPr="00F2046C" w14:paraId="3C34D8AC"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1E39313"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28E129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Paso Especial 7 Metros</w:t>
            </w:r>
          </w:p>
        </w:tc>
        <w:tc>
          <w:tcPr>
            <w:tcW w:w="851" w:type="dxa"/>
            <w:tcBorders>
              <w:top w:val="nil"/>
              <w:left w:val="nil"/>
              <w:bottom w:val="single" w:sz="4" w:space="0" w:color="auto"/>
              <w:right w:val="single" w:sz="4" w:space="0" w:color="auto"/>
            </w:tcBorders>
            <w:shd w:val="clear" w:color="auto" w:fill="auto"/>
            <w:noWrap/>
            <w:vAlign w:val="bottom"/>
            <w:hideMark/>
          </w:tcPr>
          <w:p w14:paraId="2F6D4BF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TMP-9</w:t>
            </w:r>
          </w:p>
        </w:tc>
        <w:tc>
          <w:tcPr>
            <w:tcW w:w="992" w:type="dxa"/>
            <w:tcBorders>
              <w:top w:val="nil"/>
              <w:left w:val="nil"/>
              <w:bottom w:val="single" w:sz="4" w:space="0" w:color="auto"/>
              <w:right w:val="single" w:sz="4" w:space="0" w:color="auto"/>
            </w:tcBorders>
            <w:shd w:val="clear" w:color="auto" w:fill="auto"/>
            <w:noWrap/>
            <w:vAlign w:val="bottom"/>
            <w:hideMark/>
          </w:tcPr>
          <w:p w14:paraId="0F08BD7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w:t>
            </w:r>
            <w:r>
              <w:rPr>
                <w:i/>
                <w:color w:val="000000"/>
                <w:sz w:val="12"/>
                <w:szCs w:val="16"/>
                <w:lang w:val="es-CO" w:eastAsia="es-CO"/>
              </w:rPr>
              <w:t>.</w:t>
            </w:r>
            <w:r w:rsidRPr="00F2046C">
              <w:rPr>
                <w:i/>
                <w:color w:val="000000"/>
                <w:sz w:val="12"/>
                <w:szCs w:val="16"/>
                <w:lang w:val="es-CO" w:eastAsia="es-CO"/>
              </w:rPr>
              <w:t>165</w:t>
            </w:r>
            <w:r>
              <w:rPr>
                <w:i/>
                <w:color w:val="000000"/>
                <w:sz w:val="12"/>
                <w:szCs w:val="16"/>
                <w:lang w:val="es-CO" w:eastAsia="es-CO"/>
              </w:rPr>
              <w:t>.</w:t>
            </w:r>
            <w:r w:rsidRPr="00F2046C">
              <w:rPr>
                <w:i/>
                <w:color w:val="000000"/>
                <w:sz w:val="12"/>
                <w:szCs w:val="16"/>
                <w:lang w:val="es-CO" w:eastAsia="es-CO"/>
              </w:rPr>
              <w:t>073</w:t>
            </w:r>
          </w:p>
        </w:tc>
        <w:tc>
          <w:tcPr>
            <w:tcW w:w="992" w:type="dxa"/>
            <w:tcBorders>
              <w:top w:val="nil"/>
              <w:left w:val="nil"/>
              <w:bottom w:val="single" w:sz="4" w:space="0" w:color="auto"/>
              <w:right w:val="single" w:sz="4" w:space="0" w:color="auto"/>
            </w:tcBorders>
            <w:shd w:val="clear" w:color="auto" w:fill="auto"/>
            <w:noWrap/>
            <w:vAlign w:val="bottom"/>
            <w:hideMark/>
          </w:tcPr>
          <w:p w14:paraId="5D58690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Especiales</w:t>
            </w:r>
          </w:p>
        </w:tc>
        <w:tc>
          <w:tcPr>
            <w:tcW w:w="851" w:type="dxa"/>
            <w:tcBorders>
              <w:top w:val="nil"/>
              <w:left w:val="nil"/>
              <w:bottom w:val="single" w:sz="4" w:space="0" w:color="auto"/>
              <w:right w:val="single" w:sz="4" w:space="0" w:color="auto"/>
            </w:tcBorders>
            <w:shd w:val="clear" w:color="auto" w:fill="auto"/>
            <w:noWrap/>
            <w:vAlign w:val="bottom"/>
            <w:hideMark/>
          </w:tcPr>
          <w:p w14:paraId="23C2D8C3"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5027DC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BA09D2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6BB8C04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29B5FE2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5E2D54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2A1D2C2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w:t>
            </w:r>
            <w:r>
              <w:rPr>
                <w:i/>
                <w:color w:val="000000"/>
                <w:sz w:val="12"/>
                <w:szCs w:val="16"/>
                <w:lang w:val="es-CO" w:eastAsia="es-CO"/>
              </w:rPr>
              <w:t>.</w:t>
            </w:r>
            <w:r w:rsidRPr="00F2046C">
              <w:rPr>
                <w:i/>
                <w:color w:val="000000"/>
                <w:sz w:val="12"/>
                <w:szCs w:val="16"/>
                <w:lang w:val="es-CO" w:eastAsia="es-CO"/>
              </w:rPr>
              <w:t>165</w:t>
            </w:r>
            <w:r>
              <w:rPr>
                <w:i/>
                <w:color w:val="000000"/>
                <w:sz w:val="12"/>
                <w:szCs w:val="16"/>
                <w:lang w:val="es-CO" w:eastAsia="es-CO"/>
              </w:rPr>
              <w:t>.</w:t>
            </w:r>
            <w:r w:rsidRPr="00F2046C">
              <w:rPr>
                <w:i/>
                <w:color w:val="000000"/>
                <w:sz w:val="12"/>
                <w:szCs w:val="16"/>
                <w:lang w:val="es-CO" w:eastAsia="es-CO"/>
              </w:rPr>
              <w:t>073</w:t>
            </w:r>
          </w:p>
        </w:tc>
      </w:tr>
      <w:tr w:rsidR="00BA56AD" w:rsidRPr="00F2046C" w14:paraId="151D7D53"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26910E8"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3BA66A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Dirigido o Subfluvial</w:t>
            </w:r>
          </w:p>
        </w:tc>
        <w:tc>
          <w:tcPr>
            <w:tcW w:w="851" w:type="dxa"/>
            <w:tcBorders>
              <w:top w:val="nil"/>
              <w:left w:val="nil"/>
              <w:bottom w:val="single" w:sz="4" w:space="0" w:color="auto"/>
              <w:right w:val="single" w:sz="4" w:space="0" w:color="auto"/>
            </w:tcBorders>
            <w:shd w:val="clear" w:color="auto" w:fill="auto"/>
            <w:noWrap/>
            <w:vAlign w:val="bottom"/>
            <w:hideMark/>
          </w:tcPr>
          <w:p w14:paraId="40FFF9D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TMP-8</w:t>
            </w:r>
          </w:p>
        </w:tc>
        <w:tc>
          <w:tcPr>
            <w:tcW w:w="992" w:type="dxa"/>
            <w:tcBorders>
              <w:top w:val="nil"/>
              <w:left w:val="nil"/>
              <w:bottom w:val="single" w:sz="4" w:space="0" w:color="auto"/>
              <w:right w:val="single" w:sz="4" w:space="0" w:color="auto"/>
            </w:tcBorders>
            <w:shd w:val="clear" w:color="auto" w:fill="auto"/>
            <w:noWrap/>
            <w:vAlign w:val="bottom"/>
            <w:hideMark/>
          </w:tcPr>
          <w:p w14:paraId="3721892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430</w:t>
            </w:r>
            <w:r>
              <w:rPr>
                <w:i/>
                <w:color w:val="000000"/>
                <w:sz w:val="12"/>
                <w:szCs w:val="16"/>
                <w:lang w:val="es-CO" w:eastAsia="es-CO"/>
              </w:rPr>
              <w:t>.</w:t>
            </w:r>
            <w:r w:rsidRPr="00F2046C">
              <w:rPr>
                <w:i/>
                <w:color w:val="000000"/>
                <w:sz w:val="12"/>
                <w:szCs w:val="16"/>
                <w:lang w:val="es-CO" w:eastAsia="es-CO"/>
              </w:rPr>
              <w:t>108</w:t>
            </w:r>
          </w:p>
        </w:tc>
        <w:tc>
          <w:tcPr>
            <w:tcW w:w="992" w:type="dxa"/>
            <w:tcBorders>
              <w:top w:val="nil"/>
              <w:left w:val="nil"/>
              <w:bottom w:val="single" w:sz="4" w:space="0" w:color="auto"/>
              <w:right w:val="single" w:sz="4" w:space="0" w:color="auto"/>
            </w:tcBorders>
            <w:shd w:val="clear" w:color="auto" w:fill="auto"/>
            <w:noWrap/>
            <w:vAlign w:val="bottom"/>
            <w:hideMark/>
          </w:tcPr>
          <w:p w14:paraId="1C9745E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Especiales</w:t>
            </w:r>
          </w:p>
        </w:tc>
        <w:tc>
          <w:tcPr>
            <w:tcW w:w="851" w:type="dxa"/>
            <w:tcBorders>
              <w:top w:val="nil"/>
              <w:left w:val="nil"/>
              <w:bottom w:val="single" w:sz="4" w:space="0" w:color="auto"/>
              <w:right w:val="single" w:sz="4" w:space="0" w:color="auto"/>
            </w:tcBorders>
            <w:shd w:val="clear" w:color="auto" w:fill="auto"/>
            <w:noWrap/>
            <w:vAlign w:val="bottom"/>
            <w:hideMark/>
          </w:tcPr>
          <w:p w14:paraId="72628E1B"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F2890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12</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880E9F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49CFA6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153E3E1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FE0026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FC9A07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w:t>
            </w:r>
            <w:r>
              <w:rPr>
                <w:i/>
                <w:color w:val="000000"/>
                <w:sz w:val="12"/>
                <w:szCs w:val="16"/>
                <w:lang w:val="es-CO" w:eastAsia="es-CO"/>
              </w:rPr>
              <w:t>.</w:t>
            </w:r>
            <w:r w:rsidRPr="00F2046C">
              <w:rPr>
                <w:i/>
                <w:color w:val="000000"/>
                <w:sz w:val="12"/>
                <w:szCs w:val="16"/>
                <w:lang w:val="es-CO" w:eastAsia="es-CO"/>
              </w:rPr>
              <w:t>161</w:t>
            </w:r>
            <w:r>
              <w:rPr>
                <w:i/>
                <w:color w:val="000000"/>
                <w:sz w:val="12"/>
                <w:szCs w:val="16"/>
                <w:lang w:val="es-CO" w:eastAsia="es-CO"/>
              </w:rPr>
              <w:t>.</w:t>
            </w:r>
            <w:r w:rsidRPr="00F2046C">
              <w:rPr>
                <w:i/>
                <w:color w:val="000000"/>
                <w:sz w:val="12"/>
                <w:szCs w:val="16"/>
                <w:lang w:val="es-CO" w:eastAsia="es-CO"/>
              </w:rPr>
              <w:t>296</w:t>
            </w:r>
          </w:p>
        </w:tc>
      </w:tr>
      <w:tr w:rsidR="00BA56AD" w:rsidRPr="00F2046C" w14:paraId="1545A3FF"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75DA44F" w14:textId="77777777" w:rsidR="00BA56AD" w:rsidRPr="00F2046C" w:rsidRDefault="00BA56AD" w:rsidP="00FB5615">
            <w:pPr>
              <w:jc w:val="left"/>
              <w:rPr>
                <w:i/>
                <w:color w:val="000000"/>
                <w:sz w:val="12"/>
                <w:szCs w:val="16"/>
                <w:lang w:val="es-CO" w:eastAsia="es-CO"/>
              </w:rPr>
            </w:pPr>
            <w:r>
              <w:rPr>
                <w:i/>
                <w:color w:val="000000"/>
                <w:sz w:val="12"/>
                <w:szCs w:val="16"/>
                <w:lang w:val="es-CO" w:eastAsia="es-CO"/>
              </w:rPr>
              <w:t>Valparaíso</w:t>
            </w:r>
            <w:r w:rsidRPr="00F2046C">
              <w:rPr>
                <w:i/>
                <w:color w:val="000000"/>
                <w:sz w:val="12"/>
                <w:szCs w:val="16"/>
                <w:lang w:val="es-CO" w:eastAsia="es-CO"/>
              </w:rPr>
              <w:t>-</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E75254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Paso Especial 10 Metros</w:t>
            </w:r>
          </w:p>
        </w:tc>
        <w:tc>
          <w:tcPr>
            <w:tcW w:w="851" w:type="dxa"/>
            <w:tcBorders>
              <w:top w:val="nil"/>
              <w:left w:val="nil"/>
              <w:bottom w:val="single" w:sz="4" w:space="0" w:color="auto"/>
              <w:right w:val="single" w:sz="4" w:space="0" w:color="auto"/>
            </w:tcBorders>
            <w:shd w:val="clear" w:color="auto" w:fill="auto"/>
            <w:noWrap/>
            <w:vAlign w:val="bottom"/>
            <w:hideMark/>
          </w:tcPr>
          <w:p w14:paraId="7F2489B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TMP-7</w:t>
            </w:r>
          </w:p>
        </w:tc>
        <w:tc>
          <w:tcPr>
            <w:tcW w:w="992" w:type="dxa"/>
            <w:tcBorders>
              <w:top w:val="nil"/>
              <w:left w:val="nil"/>
              <w:bottom w:val="single" w:sz="4" w:space="0" w:color="auto"/>
              <w:right w:val="single" w:sz="4" w:space="0" w:color="auto"/>
            </w:tcBorders>
            <w:shd w:val="clear" w:color="auto" w:fill="auto"/>
            <w:noWrap/>
            <w:vAlign w:val="bottom"/>
            <w:hideMark/>
          </w:tcPr>
          <w:p w14:paraId="37C4C2D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9</w:t>
            </w:r>
            <w:r>
              <w:rPr>
                <w:i/>
                <w:color w:val="000000"/>
                <w:sz w:val="12"/>
                <w:szCs w:val="16"/>
                <w:lang w:val="es-CO" w:eastAsia="es-CO"/>
              </w:rPr>
              <w:t>.</w:t>
            </w:r>
            <w:r w:rsidRPr="00F2046C">
              <w:rPr>
                <w:i/>
                <w:color w:val="000000"/>
                <w:sz w:val="12"/>
                <w:szCs w:val="16"/>
                <w:lang w:val="es-CO" w:eastAsia="es-CO"/>
              </w:rPr>
              <w:t>187</w:t>
            </w:r>
            <w:r>
              <w:rPr>
                <w:i/>
                <w:color w:val="000000"/>
                <w:sz w:val="12"/>
                <w:szCs w:val="16"/>
                <w:lang w:val="es-CO" w:eastAsia="es-CO"/>
              </w:rPr>
              <w:t>.</w:t>
            </w:r>
            <w:r w:rsidRPr="00F2046C">
              <w:rPr>
                <w:i/>
                <w:color w:val="000000"/>
                <w:sz w:val="12"/>
                <w:szCs w:val="16"/>
                <w:lang w:val="es-CO" w:eastAsia="es-CO"/>
              </w:rPr>
              <w:t>046</w:t>
            </w:r>
          </w:p>
        </w:tc>
        <w:tc>
          <w:tcPr>
            <w:tcW w:w="992" w:type="dxa"/>
            <w:tcBorders>
              <w:top w:val="nil"/>
              <w:left w:val="nil"/>
              <w:bottom w:val="single" w:sz="4" w:space="0" w:color="auto"/>
              <w:right w:val="single" w:sz="4" w:space="0" w:color="auto"/>
            </w:tcBorders>
            <w:shd w:val="clear" w:color="auto" w:fill="auto"/>
            <w:noWrap/>
            <w:vAlign w:val="bottom"/>
            <w:hideMark/>
          </w:tcPr>
          <w:p w14:paraId="1272BDB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Especiales</w:t>
            </w:r>
          </w:p>
        </w:tc>
        <w:tc>
          <w:tcPr>
            <w:tcW w:w="851" w:type="dxa"/>
            <w:tcBorders>
              <w:top w:val="nil"/>
              <w:left w:val="nil"/>
              <w:bottom w:val="single" w:sz="4" w:space="0" w:color="auto"/>
              <w:right w:val="single" w:sz="4" w:space="0" w:color="auto"/>
            </w:tcBorders>
            <w:shd w:val="clear" w:color="auto" w:fill="auto"/>
            <w:noWrap/>
            <w:vAlign w:val="bottom"/>
            <w:hideMark/>
          </w:tcPr>
          <w:p w14:paraId="56E5F87D"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F7AC4C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3DBD95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42CB5C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1246FD8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878A9D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81769E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9</w:t>
            </w:r>
            <w:r>
              <w:rPr>
                <w:i/>
                <w:color w:val="000000"/>
                <w:sz w:val="12"/>
                <w:szCs w:val="16"/>
                <w:lang w:val="es-CO" w:eastAsia="es-CO"/>
              </w:rPr>
              <w:t>.</w:t>
            </w:r>
            <w:r w:rsidRPr="00F2046C">
              <w:rPr>
                <w:i/>
                <w:color w:val="000000"/>
                <w:sz w:val="12"/>
                <w:szCs w:val="16"/>
                <w:lang w:val="es-CO" w:eastAsia="es-CO"/>
              </w:rPr>
              <w:t>187</w:t>
            </w:r>
            <w:r>
              <w:rPr>
                <w:i/>
                <w:color w:val="000000"/>
                <w:sz w:val="12"/>
                <w:szCs w:val="16"/>
                <w:lang w:val="es-CO" w:eastAsia="es-CO"/>
              </w:rPr>
              <w:t>.</w:t>
            </w:r>
            <w:r w:rsidRPr="00F2046C">
              <w:rPr>
                <w:i/>
                <w:color w:val="000000"/>
                <w:sz w:val="12"/>
                <w:szCs w:val="16"/>
                <w:lang w:val="es-CO" w:eastAsia="es-CO"/>
              </w:rPr>
              <w:t>046</w:t>
            </w:r>
          </w:p>
        </w:tc>
      </w:tr>
      <w:tr w:rsidR="00BA56AD" w:rsidRPr="00F2046C" w14:paraId="6188999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BB13D8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991963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713BBA3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TPE3/4AS</w:t>
            </w:r>
          </w:p>
        </w:tc>
        <w:tc>
          <w:tcPr>
            <w:tcW w:w="992" w:type="dxa"/>
            <w:tcBorders>
              <w:top w:val="nil"/>
              <w:left w:val="nil"/>
              <w:bottom w:val="single" w:sz="4" w:space="0" w:color="auto"/>
              <w:right w:val="single" w:sz="4" w:space="0" w:color="auto"/>
            </w:tcBorders>
            <w:shd w:val="clear" w:color="auto" w:fill="auto"/>
            <w:noWrap/>
            <w:vAlign w:val="bottom"/>
            <w:hideMark/>
          </w:tcPr>
          <w:p w14:paraId="1B63460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76</w:t>
            </w:r>
            <w:r>
              <w:rPr>
                <w:i/>
                <w:color w:val="000000"/>
                <w:sz w:val="12"/>
                <w:szCs w:val="16"/>
                <w:lang w:val="es-CO" w:eastAsia="es-CO"/>
              </w:rPr>
              <w:t>.</w:t>
            </w:r>
            <w:r w:rsidRPr="00F2046C">
              <w:rPr>
                <w:i/>
                <w:color w:val="000000"/>
                <w:sz w:val="12"/>
                <w:szCs w:val="16"/>
                <w:lang w:val="es-CO" w:eastAsia="es-CO"/>
              </w:rPr>
              <w:t>715</w:t>
            </w:r>
            <w:r>
              <w:rPr>
                <w:i/>
                <w:color w:val="000000"/>
                <w:sz w:val="12"/>
                <w:szCs w:val="16"/>
                <w:lang w:val="es-CO" w:eastAsia="es-CO"/>
              </w:rPr>
              <w:t>.</w:t>
            </w:r>
            <w:r w:rsidRPr="00F2046C">
              <w:rPr>
                <w:i/>
                <w:color w:val="000000"/>
                <w:sz w:val="12"/>
                <w:szCs w:val="16"/>
                <w:lang w:val="es-CO" w:eastAsia="es-CO"/>
              </w:rPr>
              <w:t>959</w:t>
            </w:r>
          </w:p>
        </w:tc>
        <w:tc>
          <w:tcPr>
            <w:tcW w:w="992" w:type="dxa"/>
            <w:tcBorders>
              <w:top w:val="nil"/>
              <w:left w:val="nil"/>
              <w:bottom w:val="single" w:sz="4" w:space="0" w:color="auto"/>
              <w:right w:val="single" w:sz="4" w:space="0" w:color="auto"/>
            </w:tcBorders>
            <w:shd w:val="clear" w:color="auto" w:fill="auto"/>
            <w:noWrap/>
            <w:vAlign w:val="bottom"/>
            <w:hideMark/>
          </w:tcPr>
          <w:p w14:paraId="4A81DB4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72C6D643"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116B88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09</w:t>
            </w:r>
          </w:p>
        </w:tc>
        <w:tc>
          <w:tcPr>
            <w:tcW w:w="425" w:type="dxa"/>
            <w:tcBorders>
              <w:top w:val="nil"/>
              <w:left w:val="nil"/>
              <w:bottom w:val="single" w:sz="4" w:space="0" w:color="auto"/>
              <w:right w:val="single" w:sz="4" w:space="0" w:color="auto"/>
            </w:tcBorders>
            <w:shd w:val="clear" w:color="auto" w:fill="auto"/>
            <w:noWrap/>
            <w:vAlign w:val="bottom"/>
            <w:hideMark/>
          </w:tcPr>
          <w:p w14:paraId="6FB129E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AA1FC4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33581CD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6563C7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455B7AF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w:t>
            </w:r>
            <w:r>
              <w:rPr>
                <w:i/>
                <w:color w:val="000000"/>
                <w:sz w:val="12"/>
                <w:szCs w:val="16"/>
                <w:lang w:val="es-CO" w:eastAsia="es-CO"/>
              </w:rPr>
              <w:t>.</w:t>
            </w:r>
            <w:r w:rsidRPr="00F2046C">
              <w:rPr>
                <w:i/>
                <w:color w:val="000000"/>
                <w:sz w:val="12"/>
                <w:szCs w:val="16"/>
                <w:lang w:val="es-CO" w:eastAsia="es-CO"/>
              </w:rPr>
              <w:t>635</w:t>
            </w:r>
            <w:r>
              <w:rPr>
                <w:i/>
                <w:color w:val="000000"/>
                <w:sz w:val="12"/>
                <w:szCs w:val="16"/>
                <w:lang w:val="es-CO" w:eastAsia="es-CO"/>
              </w:rPr>
              <w:t>.</w:t>
            </w:r>
            <w:r w:rsidRPr="00F2046C">
              <w:rPr>
                <w:i/>
                <w:color w:val="000000"/>
                <w:sz w:val="12"/>
                <w:szCs w:val="16"/>
                <w:lang w:val="es-CO" w:eastAsia="es-CO"/>
              </w:rPr>
              <w:t>930</w:t>
            </w:r>
          </w:p>
        </w:tc>
      </w:tr>
      <w:tr w:rsidR="00BA56AD" w:rsidRPr="00F2046C" w14:paraId="29B5E03A"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078089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7EF976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2D90038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TPE1AS</w:t>
            </w:r>
          </w:p>
        </w:tc>
        <w:tc>
          <w:tcPr>
            <w:tcW w:w="992" w:type="dxa"/>
            <w:tcBorders>
              <w:top w:val="nil"/>
              <w:left w:val="nil"/>
              <w:bottom w:val="single" w:sz="4" w:space="0" w:color="auto"/>
              <w:right w:val="single" w:sz="4" w:space="0" w:color="auto"/>
            </w:tcBorders>
            <w:shd w:val="clear" w:color="auto" w:fill="auto"/>
            <w:noWrap/>
            <w:vAlign w:val="bottom"/>
            <w:hideMark/>
          </w:tcPr>
          <w:p w14:paraId="08E3A22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79</w:t>
            </w:r>
            <w:r>
              <w:rPr>
                <w:i/>
                <w:color w:val="000000"/>
                <w:sz w:val="12"/>
                <w:szCs w:val="16"/>
                <w:lang w:val="es-CO" w:eastAsia="es-CO"/>
              </w:rPr>
              <w:t>.</w:t>
            </w:r>
            <w:r w:rsidRPr="00F2046C">
              <w:rPr>
                <w:i/>
                <w:color w:val="000000"/>
                <w:sz w:val="12"/>
                <w:szCs w:val="16"/>
                <w:lang w:val="es-CO" w:eastAsia="es-CO"/>
              </w:rPr>
              <w:t>392</w:t>
            </w:r>
            <w:r>
              <w:rPr>
                <w:i/>
                <w:color w:val="000000"/>
                <w:sz w:val="12"/>
                <w:szCs w:val="16"/>
                <w:lang w:val="es-CO" w:eastAsia="es-CO"/>
              </w:rPr>
              <w:t>.</w:t>
            </w:r>
            <w:r w:rsidRPr="00F2046C">
              <w:rPr>
                <w:i/>
                <w:color w:val="000000"/>
                <w:sz w:val="12"/>
                <w:szCs w:val="16"/>
                <w:lang w:val="es-CO" w:eastAsia="es-CO"/>
              </w:rPr>
              <w:t>979</w:t>
            </w:r>
          </w:p>
        </w:tc>
        <w:tc>
          <w:tcPr>
            <w:tcW w:w="992" w:type="dxa"/>
            <w:tcBorders>
              <w:top w:val="nil"/>
              <w:left w:val="nil"/>
              <w:bottom w:val="single" w:sz="4" w:space="0" w:color="auto"/>
              <w:right w:val="single" w:sz="4" w:space="0" w:color="auto"/>
            </w:tcBorders>
            <w:shd w:val="clear" w:color="auto" w:fill="auto"/>
            <w:noWrap/>
            <w:vAlign w:val="bottom"/>
            <w:hideMark/>
          </w:tcPr>
          <w:p w14:paraId="1FD0FC7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2F729848"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A48D25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02</w:t>
            </w:r>
          </w:p>
        </w:tc>
        <w:tc>
          <w:tcPr>
            <w:tcW w:w="425" w:type="dxa"/>
            <w:tcBorders>
              <w:top w:val="nil"/>
              <w:left w:val="nil"/>
              <w:bottom w:val="single" w:sz="4" w:space="0" w:color="auto"/>
              <w:right w:val="single" w:sz="4" w:space="0" w:color="auto"/>
            </w:tcBorders>
            <w:shd w:val="clear" w:color="auto" w:fill="auto"/>
            <w:noWrap/>
            <w:vAlign w:val="bottom"/>
            <w:hideMark/>
          </w:tcPr>
          <w:p w14:paraId="36B9C7F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03A2F3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2331556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6A6FC4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F292D2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270</w:t>
            </w:r>
            <w:r>
              <w:rPr>
                <w:i/>
                <w:color w:val="000000"/>
                <w:sz w:val="12"/>
                <w:szCs w:val="16"/>
                <w:lang w:val="es-CO" w:eastAsia="es-CO"/>
              </w:rPr>
              <w:t>.</w:t>
            </w:r>
            <w:r w:rsidRPr="00F2046C">
              <w:rPr>
                <w:i/>
                <w:color w:val="000000"/>
                <w:sz w:val="12"/>
                <w:szCs w:val="16"/>
                <w:lang w:val="es-CO" w:eastAsia="es-CO"/>
              </w:rPr>
              <w:t>288</w:t>
            </w:r>
          </w:p>
        </w:tc>
      </w:tr>
      <w:tr w:rsidR="00BA56AD" w:rsidRPr="00F2046C" w14:paraId="587211C2"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167C73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5537BE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Calzada Asfalto</w:t>
            </w:r>
          </w:p>
        </w:tc>
        <w:tc>
          <w:tcPr>
            <w:tcW w:w="851" w:type="dxa"/>
            <w:tcBorders>
              <w:top w:val="nil"/>
              <w:left w:val="nil"/>
              <w:bottom w:val="single" w:sz="4" w:space="0" w:color="auto"/>
              <w:right w:val="single" w:sz="4" w:space="0" w:color="auto"/>
            </w:tcBorders>
            <w:shd w:val="clear" w:color="auto" w:fill="auto"/>
            <w:noWrap/>
            <w:vAlign w:val="bottom"/>
            <w:hideMark/>
          </w:tcPr>
          <w:p w14:paraId="2EC41ED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TPE2AS</w:t>
            </w:r>
          </w:p>
        </w:tc>
        <w:tc>
          <w:tcPr>
            <w:tcW w:w="992" w:type="dxa"/>
            <w:tcBorders>
              <w:top w:val="nil"/>
              <w:left w:val="nil"/>
              <w:bottom w:val="single" w:sz="4" w:space="0" w:color="auto"/>
              <w:right w:val="single" w:sz="4" w:space="0" w:color="auto"/>
            </w:tcBorders>
            <w:shd w:val="clear" w:color="auto" w:fill="auto"/>
            <w:noWrap/>
            <w:vAlign w:val="bottom"/>
            <w:hideMark/>
          </w:tcPr>
          <w:p w14:paraId="34E0B9A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87</w:t>
            </w:r>
            <w:r>
              <w:rPr>
                <w:i/>
                <w:color w:val="000000"/>
                <w:sz w:val="12"/>
                <w:szCs w:val="16"/>
                <w:lang w:val="es-CO" w:eastAsia="es-CO"/>
              </w:rPr>
              <w:t>.</w:t>
            </w:r>
            <w:r w:rsidRPr="00F2046C">
              <w:rPr>
                <w:i/>
                <w:color w:val="000000"/>
                <w:sz w:val="12"/>
                <w:szCs w:val="16"/>
                <w:lang w:val="es-CO" w:eastAsia="es-CO"/>
              </w:rPr>
              <w:t>082</w:t>
            </w:r>
            <w:r>
              <w:rPr>
                <w:i/>
                <w:color w:val="000000"/>
                <w:sz w:val="12"/>
                <w:szCs w:val="16"/>
                <w:lang w:val="es-CO" w:eastAsia="es-CO"/>
              </w:rPr>
              <w:t>.</w:t>
            </w:r>
            <w:r w:rsidRPr="00F2046C">
              <w:rPr>
                <w:i/>
                <w:color w:val="000000"/>
                <w:sz w:val="12"/>
                <w:szCs w:val="16"/>
                <w:lang w:val="es-CO" w:eastAsia="es-CO"/>
              </w:rPr>
              <w:t>705</w:t>
            </w:r>
          </w:p>
        </w:tc>
        <w:tc>
          <w:tcPr>
            <w:tcW w:w="992" w:type="dxa"/>
            <w:tcBorders>
              <w:top w:val="nil"/>
              <w:left w:val="nil"/>
              <w:bottom w:val="single" w:sz="4" w:space="0" w:color="auto"/>
              <w:right w:val="single" w:sz="4" w:space="0" w:color="auto"/>
            </w:tcBorders>
            <w:shd w:val="clear" w:color="auto" w:fill="auto"/>
            <w:noWrap/>
            <w:vAlign w:val="bottom"/>
            <w:hideMark/>
          </w:tcPr>
          <w:p w14:paraId="2C3E624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704D233E"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nil"/>
              <w:bottom w:val="single" w:sz="4" w:space="0" w:color="auto"/>
              <w:right w:val="single" w:sz="4" w:space="0" w:color="auto"/>
            </w:tcBorders>
            <w:shd w:val="clear" w:color="auto" w:fill="auto"/>
            <w:noWrap/>
            <w:vAlign w:val="bottom"/>
            <w:hideMark/>
          </w:tcPr>
          <w:p w14:paraId="5A4DFF7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05</w:t>
            </w:r>
          </w:p>
        </w:tc>
        <w:tc>
          <w:tcPr>
            <w:tcW w:w="425" w:type="dxa"/>
            <w:tcBorders>
              <w:top w:val="nil"/>
              <w:left w:val="nil"/>
              <w:bottom w:val="single" w:sz="4" w:space="0" w:color="auto"/>
              <w:right w:val="single" w:sz="4" w:space="0" w:color="auto"/>
            </w:tcBorders>
            <w:shd w:val="clear" w:color="auto" w:fill="auto"/>
            <w:noWrap/>
            <w:vAlign w:val="bottom"/>
            <w:hideMark/>
          </w:tcPr>
          <w:p w14:paraId="7D4ED23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3E2B11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3AAF980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D68A0A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1E9266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w:t>
            </w:r>
            <w:r>
              <w:rPr>
                <w:i/>
                <w:color w:val="000000"/>
                <w:sz w:val="12"/>
                <w:szCs w:val="16"/>
                <w:lang w:val="es-CO" w:eastAsia="es-CO"/>
              </w:rPr>
              <w:t>.</w:t>
            </w:r>
            <w:r w:rsidRPr="00F2046C">
              <w:rPr>
                <w:i/>
                <w:color w:val="000000"/>
                <w:sz w:val="12"/>
                <w:szCs w:val="16"/>
                <w:lang w:val="es-CO" w:eastAsia="es-CO"/>
              </w:rPr>
              <w:t>441</w:t>
            </w:r>
            <w:r>
              <w:rPr>
                <w:i/>
                <w:color w:val="000000"/>
                <w:sz w:val="12"/>
                <w:szCs w:val="16"/>
                <w:lang w:val="es-CO" w:eastAsia="es-CO"/>
              </w:rPr>
              <w:t>.</w:t>
            </w:r>
            <w:r w:rsidRPr="00F2046C">
              <w:rPr>
                <w:i/>
                <w:color w:val="000000"/>
                <w:sz w:val="12"/>
                <w:szCs w:val="16"/>
                <w:lang w:val="es-CO" w:eastAsia="es-CO"/>
              </w:rPr>
              <w:t>218</w:t>
            </w:r>
          </w:p>
        </w:tc>
      </w:tr>
      <w:tr w:rsidR="00BA56AD" w:rsidRPr="00F2046C" w14:paraId="3201F3B8"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B2013F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8ABF34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47A0DC3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TPE3/4CO</w:t>
            </w:r>
          </w:p>
        </w:tc>
        <w:tc>
          <w:tcPr>
            <w:tcW w:w="992" w:type="dxa"/>
            <w:tcBorders>
              <w:top w:val="nil"/>
              <w:left w:val="nil"/>
              <w:bottom w:val="single" w:sz="4" w:space="0" w:color="auto"/>
              <w:right w:val="single" w:sz="4" w:space="0" w:color="auto"/>
            </w:tcBorders>
            <w:shd w:val="clear" w:color="auto" w:fill="auto"/>
            <w:noWrap/>
            <w:vAlign w:val="bottom"/>
            <w:hideMark/>
          </w:tcPr>
          <w:p w14:paraId="012DC3C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75</w:t>
            </w:r>
            <w:r>
              <w:rPr>
                <w:i/>
                <w:color w:val="000000"/>
                <w:sz w:val="12"/>
                <w:szCs w:val="16"/>
                <w:lang w:val="es-CO" w:eastAsia="es-CO"/>
              </w:rPr>
              <w:t>.</w:t>
            </w:r>
            <w:r w:rsidRPr="00F2046C">
              <w:rPr>
                <w:i/>
                <w:color w:val="000000"/>
                <w:sz w:val="12"/>
                <w:szCs w:val="16"/>
                <w:lang w:val="es-CO" w:eastAsia="es-CO"/>
              </w:rPr>
              <w:t>269</w:t>
            </w:r>
            <w:r>
              <w:rPr>
                <w:i/>
                <w:color w:val="000000"/>
                <w:sz w:val="12"/>
                <w:szCs w:val="16"/>
                <w:lang w:val="es-CO" w:eastAsia="es-CO"/>
              </w:rPr>
              <w:t>.</w:t>
            </w:r>
            <w:r w:rsidRPr="00F2046C">
              <w:rPr>
                <w:i/>
                <w:color w:val="000000"/>
                <w:sz w:val="12"/>
                <w:szCs w:val="16"/>
                <w:lang w:val="es-CO" w:eastAsia="es-CO"/>
              </w:rPr>
              <w:t>785</w:t>
            </w:r>
          </w:p>
        </w:tc>
        <w:tc>
          <w:tcPr>
            <w:tcW w:w="992" w:type="dxa"/>
            <w:tcBorders>
              <w:top w:val="nil"/>
              <w:left w:val="nil"/>
              <w:bottom w:val="single" w:sz="4" w:space="0" w:color="auto"/>
              <w:right w:val="single" w:sz="4" w:space="0" w:color="auto"/>
            </w:tcBorders>
            <w:shd w:val="clear" w:color="auto" w:fill="auto"/>
            <w:noWrap/>
            <w:vAlign w:val="bottom"/>
            <w:hideMark/>
          </w:tcPr>
          <w:p w14:paraId="53BCD5A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0E5C52A4"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B11A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4116B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1195F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B4027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D0981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7F671E4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45</w:t>
            </w:r>
            <w:r>
              <w:rPr>
                <w:i/>
                <w:color w:val="000000"/>
                <w:sz w:val="12"/>
                <w:szCs w:val="16"/>
                <w:lang w:val="es-CO" w:eastAsia="es-CO"/>
              </w:rPr>
              <w:t>.</w:t>
            </w:r>
            <w:r w:rsidRPr="00F2046C">
              <w:rPr>
                <w:i/>
                <w:color w:val="000000"/>
                <w:sz w:val="12"/>
                <w:szCs w:val="16"/>
                <w:lang w:val="es-CO" w:eastAsia="es-CO"/>
              </w:rPr>
              <w:t>312</w:t>
            </w:r>
            <w:r>
              <w:rPr>
                <w:i/>
                <w:color w:val="000000"/>
                <w:sz w:val="12"/>
                <w:szCs w:val="16"/>
                <w:lang w:val="es-CO" w:eastAsia="es-CO"/>
              </w:rPr>
              <w:t>.</w:t>
            </w:r>
            <w:r w:rsidRPr="00F2046C">
              <w:rPr>
                <w:i/>
                <w:color w:val="000000"/>
                <w:sz w:val="12"/>
                <w:szCs w:val="16"/>
                <w:lang w:val="es-CO" w:eastAsia="es-CO"/>
              </w:rPr>
              <w:t>411</w:t>
            </w:r>
          </w:p>
        </w:tc>
      </w:tr>
      <w:tr w:rsidR="00BA56AD" w:rsidRPr="00F2046C" w14:paraId="4303D5F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FEFB6F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A4B8C8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3F5C077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TPE1CO</w:t>
            </w:r>
          </w:p>
        </w:tc>
        <w:tc>
          <w:tcPr>
            <w:tcW w:w="992" w:type="dxa"/>
            <w:tcBorders>
              <w:top w:val="nil"/>
              <w:left w:val="nil"/>
              <w:bottom w:val="single" w:sz="4" w:space="0" w:color="auto"/>
              <w:right w:val="single" w:sz="4" w:space="0" w:color="auto"/>
            </w:tcBorders>
            <w:shd w:val="clear" w:color="auto" w:fill="auto"/>
            <w:noWrap/>
            <w:vAlign w:val="bottom"/>
            <w:hideMark/>
          </w:tcPr>
          <w:p w14:paraId="48973F0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77</w:t>
            </w:r>
            <w:r>
              <w:rPr>
                <w:i/>
                <w:color w:val="000000"/>
                <w:sz w:val="12"/>
                <w:szCs w:val="16"/>
                <w:lang w:val="es-CO" w:eastAsia="es-CO"/>
              </w:rPr>
              <w:t>.</w:t>
            </w:r>
            <w:r w:rsidRPr="00F2046C">
              <w:rPr>
                <w:i/>
                <w:color w:val="000000"/>
                <w:sz w:val="12"/>
                <w:szCs w:val="16"/>
                <w:lang w:val="es-CO" w:eastAsia="es-CO"/>
              </w:rPr>
              <w:t>820</w:t>
            </w:r>
            <w:r>
              <w:rPr>
                <w:i/>
                <w:color w:val="000000"/>
                <w:sz w:val="12"/>
                <w:szCs w:val="16"/>
                <w:lang w:val="es-CO" w:eastAsia="es-CO"/>
              </w:rPr>
              <w:t>.</w:t>
            </w:r>
            <w:r w:rsidRPr="00F2046C">
              <w:rPr>
                <w:i/>
                <w:color w:val="000000"/>
                <w:sz w:val="12"/>
                <w:szCs w:val="16"/>
                <w:lang w:val="es-CO" w:eastAsia="es-CO"/>
              </w:rPr>
              <w:t>464</w:t>
            </w:r>
          </w:p>
        </w:tc>
        <w:tc>
          <w:tcPr>
            <w:tcW w:w="992" w:type="dxa"/>
            <w:tcBorders>
              <w:top w:val="nil"/>
              <w:left w:val="nil"/>
              <w:bottom w:val="single" w:sz="4" w:space="0" w:color="auto"/>
              <w:right w:val="single" w:sz="4" w:space="0" w:color="auto"/>
            </w:tcBorders>
            <w:shd w:val="clear" w:color="auto" w:fill="auto"/>
            <w:noWrap/>
            <w:vAlign w:val="bottom"/>
            <w:hideMark/>
          </w:tcPr>
          <w:p w14:paraId="6D594DA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1605BBCB"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5021B6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06</w:t>
            </w:r>
          </w:p>
        </w:tc>
        <w:tc>
          <w:tcPr>
            <w:tcW w:w="425" w:type="dxa"/>
            <w:tcBorders>
              <w:top w:val="nil"/>
              <w:left w:val="nil"/>
              <w:bottom w:val="single" w:sz="4" w:space="0" w:color="auto"/>
              <w:right w:val="single" w:sz="4" w:space="0" w:color="auto"/>
            </w:tcBorders>
            <w:shd w:val="clear" w:color="auto" w:fill="auto"/>
            <w:noWrap/>
            <w:vAlign w:val="bottom"/>
            <w:hideMark/>
          </w:tcPr>
          <w:p w14:paraId="6CE25B9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2E1998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63CBEE3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17E9ED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1A0059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w:t>
            </w:r>
            <w:r>
              <w:rPr>
                <w:i/>
                <w:color w:val="000000"/>
                <w:sz w:val="12"/>
                <w:szCs w:val="16"/>
                <w:lang w:val="es-CO" w:eastAsia="es-CO"/>
              </w:rPr>
              <w:t>.</w:t>
            </w:r>
            <w:r w:rsidRPr="00F2046C">
              <w:rPr>
                <w:i/>
                <w:color w:val="000000"/>
                <w:sz w:val="12"/>
                <w:szCs w:val="16"/>
                <w:lang w:val="es-CO" w:eastAsia="es-CO"/>
              </w:rPr>
              <w:t>669</w:t>
            </w:r>
            <w:r>
              <w:rPr>
                <w:i/>
                <w:color w:val="000000"/>
                <w:sz w:val="12"/>
                <w:szCs w:val="16"/>
                <w:lang w:val="es-CO" w:eastAsia="es-CO"/>
              </w:rPr>
              <w:t>.</w:t>
            </w:r>
            <w:r w:rsidRPr="00F2046C">
              <w:rPr>
                <w:i/>
                <w:color w:val="000000"/>
                <w:sz w:val="12"/>
                <w:szCs w:val="16"/>
                <w:lang w:val="es-CO" w:eastAsia="es-CO"/>
              </w:rPr>
              <w:t>228</w:t>
            </w:r>
          </w:p>
        </w:tc>
      </w:tr>
      <w:tr w:rsidR="00BA56AD" w:rsidRPr="00F2046C" w14:paraId="4FD74778"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5332EB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7948DE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Calzada Concreto</w:t>
            </w:r>
          </w:p>
        </w:tc>
        <w:tc>
          <w:tcPr>
            <w:tcW w:w="851" w:type="dxa"/>
            <w:tcBorders>
              <w:top w:val="nil"/>
              <w:left w:val="nil"/>
              <w:bottom w:val="single" w:sz="4" w:space="0" w:color="auto"/>
              <w:right w:val="single" w:sz="4" w:space="0" w:color="auto"/>
            </w:tcBorders>
            <w:shd w:val="clear" w:color="auto" w:fill="auto"/>
            <w:noWrap/>
            <w:vAlign w:val="bottom"/>
            <w:hideMark/>
          </w:tcPr>
          <w:p w14:paraId="3914CC2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TPE2CO</w:t>
            </w:r>
          </w:p>
        </w:tc>
        <w:tc>
          <w:tcPr>
            <w:tcW w:w="992" w:type="dxa"/>
            <w:tcBorders>
              <w:top w:val="nil"/>
              <w:left w:val="nil"/>
              <w:bottom w:val="single" w:sz="4" w:space="0" w:color="auto"/>
              <w:right w:val="single" w:sz="4" w:space="0" w:color="auto"/>
            </w:tcBorders>
            <w:shd w:val="clear" w:color="auto" w:fill="auto"/>
            <w:noWrap/>
            <w:vAlign w:val="bottom"/>
            <w:hideMark/>
          </w:tcPr>
          <w:p w14:paraId="6DE9E4D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88</w:t>
            </w:r>
            <w:r>
              <w:rPr>
                <w:i/>
                <w:color w:val="000000"/>
                <w:sz w:val="12"/>
                <w:szCs w:val="16"/>
                <w:lang w:val="es-CO" w:eastAsia="es-CO"/>
              </w:rPr>
              <w:t>.</w:t>
            </w:r>
            <w:r w:rsidRPr="00F2046C">
              <w:rPr>
                <w:i/>
                <w:color w:val="000000"/>
                <w:sz w:val="12"/>
                <w:szCs w:val="16"/>
                <w:lang w:val="es-CO" w:eastAsia="es-CO"/>
              </w:rPr>
              <w:t>939</w:t>
            </w:r>
            <w:r>
              <w:rPr>
                <w:i/>
                <w:color w:val="000000"/>
                <w:sz w:val="12"/>
                <w:szCs w:val="16"/>
                <w:lang w:val="es-CO" w:eastAsia="es-CO"/>
              </w:rPr>
              <w:t>.</w:t>
            </w:r>
            <w:r w:rsidRPr="00F2046C">
              <w:rPr>
                <w:i/>
                <w:color w:val="000000"/>
                <w:sz w:val="12"/>
                <w:szCs w:val="16"/>
                <w:lang w:val="es-CO" w:eastAsia="es-CO"/>
              </w:rPr>
              <w:t>504</w:t>
            </w:r>
          </w:p>
        </w:tc>
        <w:tc>
          <w:tcPr>
            <w:tcW w:w="992" w:type="dxa"/>
            <w:tcBorders>
              <w:top w:val="nil"/>
              <w:left w:val="nil"/>
              <w:bottom w:val="single" w:sz="4" w:space="0" w:color="auto"/>
              <w:right w:val="single" w:sz="4" w:space="0" w:color="auto"/>
            </w:tcBorders>
            <w:shd w:val="clear" w:color="auto" w:fill="auto"/>
            <w:noWrap/>
            <w:vAlign w:val="bottom"/>
            <w:hideMark/>
          </w:tcPr>
          <w:p w14:paraId="40FBF32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1CACE9AE"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08D740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04</w:t>
            </w:r>
          </w:p>
        </w:tc>
        <w:tc>
          <w:tcPr>
            <w:tcW w:w="425" w:type="dxa"/>
            <w:tcBorders>
              <w:top w:val="nil"/>
              <w:left w:val="nil"/>
              <w:bottom w:val="single" w:sz="4" w:space="0" w:color="auto"/>
              <w:right w:val="single" w:sz="4" w:space="0" w:color="auto"/>
            </w:tcBorders>
            <w:shd w:val="clear" w:color="auto" w:fill="auto"/>
            <w:noWrap/>
            <w:vAlign w:val="bottom"/>
            <w:hideMark/>
          </w:tcPr>
          <w:p w14:paraId="3DA8224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636F3E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35389C8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7DA6B6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7157C96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w:t>
            </w:r>
            <w:r>
              <w:rPr>
                <w:i/>
                <w:color w:val="000000"/>
                <w:sz w:val="12"/>
                <w:szCs w:val="16"/>
                <w:lang w:val="es-CO" w:eastAsia="es-CO"/>
              </w:rPr>
              <w:t>.</w:t>
            </w:r>
            <w:r w:rsidRPr="00F2046C">
              <w:rPr>
                <w:i/>
                <w:color w:val="000000"/>
                <w:sz w:val="12"/>
                <w:szCs w:val="16"/>
                <w:lang w:val="es-CO" w:eastAsia="es-CO"/>
              </w:rPr>
              <w:t>824</w:t>
            </w:r>
            <w:r>
              <w:rPr>
                <w:i/>
                <w:color w:val="000000"/>
                <w:sz w:val="12"/>
                <w:szCs w:val="16"/>
                <w:lang w:val="es-CO" w:eastAsia="es-CO"/>
              </w:rPr>
              <w:t>.</w:t>
            </w:r>
            <w:r w:rsidRPr="00F2046C">
              <w:rPr>
                <w:i/>
                <w:color w:val="000000"/>
                <w:sz w:val="12"/>
                <w:szCs w:val="16"/>
                <w:lang w:val="es-CO" w:eastAsia="es-CO"/>
              </w:rPr>
              <w:t>399</w:t>
            </w:r>
          </w:p>
        </w:tc>
      </w:tr>
      <w:tr w:rsidR="00BA56AD" w:rsidRPr="00F2046C" w14:paraId="0956D0DD"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0DD9D9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0F358E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32A6BF2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TPE1/2ACO</w:t>
            </w:r>
          </w:p>
        </w:tc>
        <w:tc>
          <w:tcPr>
            <w:tcW w:w="992" w:type="dxa"/>
            <w:tcBorders>
              <w:top w:val="nil"/>
              <w:left w:val="nil"/>
              <w:bottom w:val="single" w:sz="4" w:space="0" w:color="auto"/>
              <w:right w:val="single" w:sz="4" w:space="0" w:color="auto"/>
            </w:tcBorders>
            <w:shd w:val="clear" w:color="auto" w:fill="auto"/>
            <w:noWrap/>
            <w:vAlign w:val="bottom"/>
            <w:hideMark/>
          </w:tcPr>
          <w:p w14:paraId="42012E1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52</w:t>
            </w:r>
            <w:r>
              <w:rPr>
                <w:i/>
                <w:color w:val="000000"/>
                <w:sz w:val="12"/>
                <w:szCs w:val="16"/>
                <w:lang w:val="es-CO" w:eastAsia="es-CO"/>
              </w:rPr>
              <w:t>.</w:t>
            </w:r>
            <w:r w:rsidRPr="00F2046C">
              <w:rPr>
                <w:i/>
                <w:color w:val="000000"/>
                <w:sz w:val="12"/>
                <w:szCs w:val="16"/>
                <w:lang w:val="es-CO" w:eastAsia="es-CO"/>
              </w:rPr>
              <w:t>202</w:t>
            </w:r>
            <w:r>
              <w:rPr>
                <w:i/>
                <w:color w:val="000000"/>
                <w:sz w:val="12"/>
                <w:szCs w:val="16"/>
                <w:lang w:val="es-CO" w:eastAsia="es-CO"/>
              </w:rPr>
              <w:t>.</w:t>
            </w:r>
            <w:r w:rsidRPr="00F2046C">
              <w:rPr>
                <w:i/>
                <w:color w:val="000000"/>
                <w:sz w:val="12"/>
                <w:szCs w:val="16"/>
                <w:lang w:val="es-CO" w:eastAsia="es-CO"/>
              </w:rPr>
              <w:t>790</w:t>
            </w:r>
          </w:p>
        </w:tc>
        <w:tc>
          <w:tcPr>
            <w:tcW w:w="992" w:type="dxa"/>
            <w:tcBorders>
              <w:top w:val="nil"/>
              <w:left w:val="nil"/>
              <w:bottom w:val="single" w:sz="4" w:space="0" w:color="auto"/>
              <w:right w:val="single" w:sz="4" w:space="0" w:color="auto"/>
            </w:tcBorders>
            <w:shd w:val="clear" w:color="auto" w:fill="auto"/>
            <w:noWrap/>
            <w:vAlign w:val="bottom"/>
            <w:hideMark/>
          </w:tcPr>
          <w:p w14:paraId="4250FA4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379F1153"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C685D3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02</w:t>
            </w:r>
          </w:p>
        </w:tc>
        <w:tc>
          <w:tcPr>
            <w:tcW w:w="425" w:type="dxa"/>
            <w:tcBorders>
              <w:top w:val="nil"/>
              <w:left w:val="nil"/>
              <w:bottom w:val="single" w:sz="4" w:space="0" w:color="auto"/>
              <w:right w:val="single" w:sz="4" w:space="0" w:color="auto"/>
            </w:tcBorders>
            <w:shd w:val="clear" w:color="auto" w:fill="auto"/>
            <w:noWrap/>
            <w:vAlign w:val="bottom"/>
            <w:hideMark/>
          </w:tcPr>
          <w:p w14:paraId="7ACCEC6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297361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1E01F8A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CABF2C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7B8DC8A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835</w:t>
            </w:r>
            <w:r>
              <w:rPr>
                <w:i/>
                <w:color w:val="000000"/>
                <w:sz w:val="12"/>
                <w:szCs w:val="16"/>
                <w:lang w:val="es-CO" w:eastAsia="es-CO"/>
              </w:rPr>
              <w:t>.</w:t>
            </w:r>
            <w:r w:rsidRPr="00F2046C">
              <w:rPr>
                <w:i/>
                <w:color w:val="000000"/>
                <w:sz w:val="12"/>
                <w:szCs w:val="16"/>
                <w:lang w:val="es-CO" w:eastAsia="es-CO"/>
              </w:rPr>
              <w:t>245</w:t>
            </w:r>
          </w:p>
        </w:tc>
      </w:tr>
      <w:tr w:rsidR="00BA56AD" w:rsidRPr="00F2046C" w14:paraId="4CAD44D9"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29751E0"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22CE2E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6F0A952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TPE3/4ACO</w:t>
            </w:r>
          </w:p>
        </w:tc>
        <w:tc>
          <w:tcPr>
            <w:tcW w:w="992" w:type="dxa"/>
            <w:tcBorders>
              <w:top w:val="nil"/>
              <w:left w:val="nil"/>
              <w:bottom w:val="single" w:sz="4" w:space="0" w:color="auto"/>
              <w:right w:val="single" w:sz="4" w:space="0" w:color="auto"/>
            </w:tcBorders>
            <w:shd w:val="clear" w:color="auto" w:fill="auto"/>
            <w:noWrap/>
            <w:vAlign w:val="bottom"/>
            <w:hideMark/>
          </w:tcPr>
          <w:p w14:paraId="0409116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53</w:t>
            </w:r>
            <w:r>
              <w:rPr>
                <w:i/>
                <w:color w:val="000000"/>
                <w:sz w:val="12"/>
                <w:szCs w:val="16"/>
                <w:lang w:val="es-CO" w:eastAsia="es-CO"/>
              </w:rPr>
              <w:t>.</w:t>
            </w:r>
            <w:r w:rsidRPr="00F2046C">
              <w:rPr>
                <w:i/>
                <w:color w:val="000000"/>
                <w:sz w:val="12"/>
                <w:szCs w:val="16"/>
                <w:lang w:val="es-CO" w:eastAsia="es-CO"/>
              </w:rPr>
              <w:t>098</w:t>
            </w:r>
            <w:r>
              <w:rPr>
                <w:i/>
                <w:color w:val="000000"/>
                <w:sz w:val="12"/>
                <w:szCs w:val="16"/>
                <w:lang w:val="es-CO" w:eastAsia="es-CO"/>
              </w:rPr>
              <w:t>.</w:t>
            </w:r>
            <w:r w:rsidRPr="00F2046C">
              <w:rPr>
                <w:i/>
                <w:color w:val="000000"/>
                <w:sz w:val="12"/>
                <w:szCs w:val="16"/>
                <w:lang w:val="es-CO" w:eastAsia="es-CO"/>
              </w:rPr>
              <w:t>574</w:t>
            </w:r>
          </w:p>
        </w:tc>
        <w:tc>
          <w:tcPr>
            <w:tcW w:w="992" w:type="dxa"/>
            <w:tcBorders>
              <w:top w:val="nil"/>
              <w:left w:val="nil"/>
              <w:bottom w:val="single" w:sz="4" w:space="0" w:color="auto"/>
              <w:right w:val="single" w:sz="4" w:space="0" w:color="auto"/>
            </w:tcBorders>
            <w:shd w:val="clear" w:color="auto" w:fill="auto"/>
            <w:noWrap/>
            <w:vAlign w:val="bottom"/>
            <w:hideMark/>
          </w:tcPr>
          <w:p w14:paraId="6AEE39A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027425E"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D29E3B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18</w:t>
            </w:r>
          </w:p>
        </w:tc>
        <w:tc>
          <w:tcPr>
            <w:tcW w:w="425" w:type="dxa"/>
            <w:tcBorders>
              <w:top w:val="nil"/>
              <w:left w:val="nil"/>
              <w:bottom w:val="single" w:sz="4" w:space="0" w:color="auto"/>
              <w:right w:val="single" w:sz="4" w:space="0" w:color="auto"/>
            </w:tcBorders>
            <w:shd w:val="clear" w:color="auto" w:fill="auto"/>
            <w:noWrap/>
            <w:vAlign w:val="bottom"/>
            <w:hideMark/>
          </w:tcPr>
          <w:p w14:paraId="1B10EB7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3254EB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7949248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60A764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A676C2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62</w:t>
            </w:r>
            <w:r>
              <w:rPr>
                <w:i/>
                <w:color w:val="000000"/>
                <w:sz w:val="12"/>
                <w:szCs w:val="16"/>
                <w:lang w:val="es-CO" w:eastAsia="es-CO"/>
              </w:rPr>
              <w:t>.</w:t>
            </w:r>
            <w:r w:rsidRPr="00F2046C">
              <w:rPr>
                <w:i/>
                <w:color w:val="000000"/>
                <w:sz w:val="12"/>
                <w:szCs w:val="16"/>
                <w:lang w:val="es-CO" w:eastAsia="es-CO"/>
              </w:rPr>
              <w:t>576</w:t>
            </w:r>
            <w:r>
              <w:rPr>
                <w:i/>
                <w:color w:val="000000"/>
                <w:sz w:val="12"/>
                <w:szCs w:val="16"/>
                <w:lang w:val="es-CO" w:eastAsia="es-CO"/>
              </w:rPr>
              <w:t>.</w:t>
            </w:r>
            <w:r w:rsidRPr="00F2046C">
              <w:rPr>
                <w:i/>
                <w:color w:val="000000"/>
                <w:sz w:val="12"/>
                <w:szCs w:val="16"/>
                <w:lang w:val="es-CO" w:eastAsia="es-CO"/>
              </w:rPr>
              <w:t>669</w:t>
            </w:r>
          </w:p>
        </w:tc>
      </w:tr>
      <w:tr w:rsidR="00BA56AD" w:rsidRPr="00F2046C" w14:paraId="4ECAE7CF"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E371E8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39A4DB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21A48CA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TPE1ACO</w:t>
            </w:r>
          </w:p>
        </w:tc>
        <w:tc>
          <w:tcPr>
            <w:tcW w:w="992" w:type="dxa"/>
            <w:tcBorders>
              <w:top w:val="nil"/>
              <w:left w:val="nil"/>
              <w:bottom w:val="single" w:sz="4" w:space="0" w:color="auto"/>
              <w:right w:val="single" w:sz="4" w:space="0" w:color="auto"/>
            </w:tcBorders>
            <w:shd w:val="clear" w:color="auto" w:fill="auto"/>
            <w:noWrap/>
            <w:vAlign w:val="bottom"/>
            <w:hideMark/>
          </w:tcPr>
          <w:p w14:paraId="40B478F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55</w:t>
            </w:r>
            <w:r>
              <w:rPr>
                <w:i/>
                <w:color w:val="000000"/>
                <w:sz w:val="12"/>
                <w:szCs w:val="16"/>
                <w:lang w:val="es-CO" w:eastAsia="es-CO"/>
              </w:rPr>
              <w:t>.</w:t>
            </w:r>
            <w:r w:rsidRPr="00F2046C">
              <w:rPr>
                <w:i/>
                <w:color w:val="000000"/>
                <w:sz w:val="12"/>
                <w:szCs w:val="16"/>
                <w:lang w:val="es-CO" w:eastAsia="es-CO"/>
              </w:rPr>
              <w:t>772</w:t>
            </w:r>
            <w:r>
              <w:rPr>
                <w:i/>
                <w:color w:val="000000"/>
                <w:sz w:val="12"/>
                <w:szCs w:val="16"/>
                <w:lang w:val="es-CO" w:eastAsia="es-CO"/>
              </w:rPr>
              <w:t>.</w:t>
            </w:r>
            <w:r w:rsidRPr="00F2046C">
              <w:rPr>
                <w:i/>
                <w:color w:val="000000"/>
                <w:sz w:val="12"/>
                <w:szCs w:val="16"/>
                <w:lang w:val="es-CO" w:eastAsia="es-CO"/>
              </w:rPr>
              <w:t>649</w:t>
            </w:r>
          </w:p>
        </w:tc>
        <w:tc>
          <w:tcPr>
            <w:tcW w:w="992" w:type="dxa"/>
            <w:tcBorders>
              <w:top w:val="nil"/>
              <w:left w:val="nil"/>
              <w:bottom w:val="single" w:sz="4" w:space="0" w:color="auto"/>
              <w:right w:val="single" w:sz="4" w:space="0" w:color="auto"/>
            </w:tcBorders>
            <w:shd w:val="clear" w:color="auto" w:fill="auto"/>
            <w:noWrap/>
            <w:vAlign w:val="bottom"/>
            <w:hideMark/>
          </w:tcPr>
          <w:p w14:paraId="6692AD6B"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2413D975"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88A337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12</w:t>
            </w:r>
          </w:p>
        </w:tc>
        <w:tc>
          <w:tcPr>
            <w:tcW w:w="425" w:type="dxa"/>
            <w:tcBorders>
              <w:top w:val="nil"/>
              <w:left w:val="nil"/>
              <w:bottom w:val="single" w:sz="4" w:space="0" w:color="auto"/>
              <w:right w:val="single" w:sz="4" w:space="0" w:color="auto"/>
            </w:tcBorders>
            <w:shd w:val="clear" w:color="auto" w:fill="auto"/>
            <w:noWrap/>
            <w:vAlign w:val="bottom"/>
            <w:hideMark/>
          </w:tcPr>
          <w:p w14:paraId="58E4835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19076A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2E24C5C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3C4265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27003A5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w:t>
            </w:r>
            <w:r>
              <w:rPr>
                <w:i/>
                <w:color w:val="000000"/>
                <w:sz w:val="12"/>
                <w:szCs w:val="16"/>
                <w:lang w:val="es-CO" w:eastAsia="es-CO"/>
              </w:rPr>
              <w:t>.</w:t>
            </w:r>
            <w:r w:rsidRPr="00F2046C">
              <w:rPr>
                <w:i/>
                <w:color w:val="000000"/>
                <w:sz w:val="12"/>
                <w:szCs w:val="16"/>
                <w:lang w:val="es-CO" w:eastAsia="es-CO"/>
              </w:rPr>
              <w:t>525</w:t>
            </w:r>
            <w:r>
              <w:rPr>
                <w:i/>
                <w:color w:val="000000"/>
                <w:sz w:val="12"/>
                <w:szCs w:val="16"/>
                <w:lang w:val="es-CO" w:eastAsia="es-CO"/>
              </w:rPr>
              <w:t>.</w:t>
            </w:r>
            <w:r w:rsidRPr="00F2046C">
              <w:rPr>
                <w:i/>
                <w:color w:val="000000"/>
                <w:sz w:val="12"/>
                <w:szCs w:val="16"/>
                <w:lang w:val="es-CO" w:eastAsia="es-CO"/>
              </w:rPr>
              <w:t>400</w:t>
            </w:r>
          </w:p>
        </w:tc>
      </w:tr>
      <w:tr w:rsidR="00BA56AD" w:rsidRPr="00F2046C" w14:paraId="682ECC3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92BBF9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E63254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Anden Concreto</w:t>
            </w:r>
          </w:p>
        </w:tc>
        <w:tc>
          <w:tcPr>
            <w:tcW w:w="851" w:type="dxa"/>
            <w:tcBorders>
              <w:top w:val="nil"/>
              <w:left w:val="nil"/>
              <w:bottom w:val="single" w:sz="4" w:space="0" w:color="auto"/>
              <w:right w:val="single" w:sz="4" w:space="0" w:color="auto"/>
            </w:tcBorders>
            <w:shd w:val="clear" w:color="auto" w:fill="auto"/>
            <w:noWrap/>
            <w:vAlign w:val="bottom"/>
            <w:hideMark/>
          </w:tcPr>
          <w:p w14:paraId="3C9A11E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TPE2ACO</w:t>
            </w:r>
          </w:p>
        </w:tc>
        <w:tc>
          <w:tcPr>
            <w:tcW w:w="992" w:type="dxa"/>
            <w:tcBorders>
              <w:top w:val="nil"/>
              <w:left w:val="nil"/>
              <w:bottom w:val="single" w:sz="4" w:space="0" w:color="auto"/>
              <w:right w:val="single" w:sz="4" w:space="0" w:color="auto"/>
            </w:tcBorders>
            <w:shd w:val="clear" w:color="auto" w:fill="auto"/>
            <w:noWrap/>
            <w:vAlign w:val="bottom"/>
            <w:hideMark/>
          </w:tcPr>
          <w:p w14:paraId="7DAE71C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67</w:t>
            </w:r>
            <w:r>
              <w:rPr>
                <w:i/>
                <w:color w:val="000000"/>
                <w:sz w:val="12"/>
                <w:szCs w:val="16"/>
                <w:lang w:val="es-CO" w:eastAsia="es-CO"/>
              </w:rPr>
              <w:t>.</w:t>
            </w:r>
            <w:r w:rsidRPr="00F2046C">
              <w:rPr>
                <w:i/>
                <w:color w:val="000000"/>
                <w:sz w:val="12"/>
                <w:szCs w:val="16"/>
                <w:lang w:val="es-CO" w:eastAsia="es-CO"/>
              </w:rPr>
              <w:t>285</w:t>
            </w:r>
            <w:r>
              <w:rPr>
                <w:i/>
                <w:color w:val="000000"/>
                <w:sz w:val="12"/>
                <w:szCs w:val="16"/>
                <w:lang w:val="es-CO" w:eastAsia="es-CO"/>
              </w:rPr>
              <w:t>.</w:t>
            </w:r>
            <w:r w:rsidRPr="00F2046C">
              <w:rPr>
                <w:i/>
                <w:color w:val="000000"/>
                <w:sz w:val="12"/>
                <w:szCs w:val="16"/>
                <w:lang w:val="es-CO" w:eastAsia="es-CO"/>
              </w:rPr>
              <w:t>854</w:t>
            </w:r>
          </w:p>
        </w:tc>
        <w:tc>
          <w:tcPr>
            <w:tcW w:w="992" w:type="dxa"/>
            <w:tcBorders>
              <w:top w:val="nil"/>
              <w:left w:val="nil"/>
              <w:bottom w:val="single" w:sz="4" w:space="0" w:color="auto"/>
              <w:right w:val="single" w:sz="4" w:space="0" w:color="auto"/>
            </w:tcBorders>
            <w:shd w:val="clear" w:color="auto" w:fill="auto"/>
            <w:noWrap/>
            <w:vAlign w:val="bottom"/>
            <w:hideMark/>
          </w:tcPr>
          <w:p w14:paraId="284F165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7D17D832"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CDEDE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10</w:t>
            </w:r>
          </w:p>
        </w:tc>
        <w:tc>
          <w:tcPr>
            <w:tcW w:w="425" w:type="dxa"/>
            <w:tcBorders>
              <w:top w:val="nil"/>
              <w:left w:val="nil"/>
              <w:bottom w:val="single" w:sz="4" w:space="0" w:color="auto"/>
              <w:right w:val="single" w:sz="4" w:space="0" w:color="auto"/>
            </w:tcBorders>
            <w:shd w:val="clear" w:color="auto" w:fill="auto"/>
            <w:noWrap/>
            <w:vAlign w:val="bottom"/>
            <w:hideMark/>
          </w:tcPr>
          <w:p w14:paraId="752C749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58164C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1003E87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0F992E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01850C2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w:t>
            </w:r>
            <w:r>
              <w:rPr>
                <w:i/>
                <w:color w:val="000000"/>
                <w:sz w:val="12"/>
                <w:szCs w:val="16"/>
                <w:lang w:val="es-CO" w:eastAsia="es-CO"/>
              </w:rPr>
              <w:t>.</w:t>
            </w:r>
            <w:r w:rsidRPr="00F2046C">
              <w:rPr>
                <w:i/>
                <w:color w:val="000000"/>
                <w:sz w:val="12"/>
                <w:szCs w:val="16"/>
                <w:lang w:val="es-CO" w:eastAsia="es-CO"/>
              </w:rPr>
              <w:t>594</w:t>
            </w:r>
            <w:r>
              <w:rPr>
                <w:i/>
                <w:color w:val="000000"/>
                <w:sz w:val="12"/>
                <w:szCs w:val="16"/>
                <w:lang w:val="es-CO" w:eastAsia="es-CO"/>
              </w:rPr>
              <w:t>.</w:t>
            </w:r>
            <w:r w:rsidRPr="00F2046C">
              <w:rPr>
                <w:i/>
                <w:color w:val="000000"/>
                <w:sz w:val="12"/>
                <w:szCs w:val="16"/>
                <w:lang w:val="es-CO" w:eastAsia="es-CO"/>
              </w:rPr>
              <w:t>014</w:t>
            </w:r>
          </w:p>
        </w:tc>
      </w:tr>
      <w:tr w:rsidR="00BA56AD" w:rsidRPr="00F2046C" w14:paraId="7660220F"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65C4B5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DC39B3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5426F09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TPE3/4TA</w:t>
            </w:r>
          </w:p>
        </w:tc>
        <w:tc>
          <w:tcPr>
            <w:tcW w:w="992" w:type="dxa"/>
            <w:tcBorders>
              <w:top w:val="nil"/>
              <w:left w:val="nil"/>
              <w:bottom w:val="single" w:sz="4" w:space="0" w:color="auto"/>
              <w:right w:val="single" w:sz="4" w:space="0" w:color="auto"/>
            </w:tcBorders>
            <w:shd w:val="clear" w:color="auto" w:fill="auto"/>
            <w:noWrap/>
            <w:vAlign w:val="bottom"/>
            <w:hideMark/>
          </w:tcPr>
          <w:p w14:paraId="74E98A4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56</w:t>
            </w:r>
            <w:r>
              <w:rPr>
                <w:i/>
                <w:color w:val="000000"/>
                <w:sz w:val="12"/>
                <w:szCs w:val="16"/>
                <w:lang w:val="es-CO" w:eastAsia="es-CO"/>
              </w:rPr>
              <w:t>.</w:t>
            </w:r>
            <w:r w:rsidRPr="00F2046C">
              <w:rPr>
                <w:i/>
                <w:color w:val="000000"/>
                <w:sz w:val="12"/>
                <w:szCs w:val="16"/>
                <w:lang w:val="es-CO" w:eastAsia="es-CO"/>
              </w:rPr>
              <w:t>167</w:t>
            </w:r>
            <w:r>
              <w:rPr>
                <w:i/>
                <w:color w:val="000000"/>
                <w:sz w:val="12"/>
                <w:szCs w:val="16"/>
                <w:lang w:val="es-CO" w:eastAsia="es-CO"/>
              </w:rPr>
              <w:t>.</w:t>
            </w:r>
            <w:r w:rsidRPr="00F2046C">
              <w:rPr>
                <w:i/>
                <w:color w:val="000000"/>
                <w:sz w:val="12"/>
                <w:szCs w:val="16"/>
                <w:lang w:val="es-CO" w:eastAsia="es-CO"/>
              </w:rPr>
              <w:t>552</w:t>
            </w:r>
          </w:p>
        </w:tc>
        <w:tc>
          <w:tcPr>
            <w:tcW w:w="992" w:type="dxa"/>
            <w:tcBorders>
              <w:top w:val="nil"/>
              <w:left w:val="nil"/>
              <w:bottom w:val="single" w:sz="4" w:space="0" w:color="auto"/>
              <w:right w:val="single" w:sz="4" w:space="0" w:color="auto"/>
            </w:tcBorders>
            <w:shd w:val="clear" w:color="auto" w:fill="auto"/>
            <w:noWrap/>
            <w:vAlign w:val="bottom"/>
            <w:hideMark/>
          </w:tcPr>
          <w:p w14:paraId="3E6ABE6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20184686"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E563DD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05</w:t>
            </w:r>
          </w:p>
        </w:tc>
        <w:tc>
          <w:tcPr>
            <w:tcW w:w="425" w:type="dxa"/>
            <w:tcBorders>
              <w:top w:val="nil"/>
              <w:left w:val="nil"/>
              <w:bottom w:val="single" w:sz="4" w:space="0" w:color="auto"/>
              <w:right w:val="single" w:sz="4" w:space="0" w:color="auto"/>
            </w:tcBorders>
            <w:shd w:val="clear" w:color="auto" w:fill="auto"/>
            <w:noWrap/>
            <w:vAlign w:val="bottom"/>
            <w:hideMark/>
          </w:tcPr>
          <w:p w14:paraId="2D9080E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BAD350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5ED7CF44"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1837445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B46636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w:t>
            </w:r>
            <w:r>
              <w:rPr>
                <w:i/>
                <w:color w:val="000000"/>
                <w:sz w:val="12"/>
                <w:szCs w:val="16"/>
                <w:lang w:val="es-CO" w:eastAsia="es-CO"/>
              </w:rPr>
              <w:t>.</w:t>
            </w:r>
            <w:r w:rsidRPr="00F2046C">
              <w:rPr>
                <w:i/>
                <w:color w:val="000000"/>
                <w:sz w:val="12"/>
                <w:szCs w:val="16"/>
                <w:lang w:val="es-CO" w:eastAsia="es-CO"/>
              </w:rPr>
              <w:t>004</w:t>
            </w:r>
            <w:r>
              <w:rPr>
                <w:i/>
                <w:color w:val="000000"/>
                <w:sz w:val="12"/>
                <w:szCs w:val="16"/>
                <w:lang w:val="es-CO" w:eastAsia="es-CO"/>
              </w:rPr>
              <w:t>.</w:t>
            </w:r>
            <w:r w:rsidRPr="00F2046C">
              <w:rPr>
                <w:i/>
                <w:color w:val="000000"/>
                <w:sz w:val="12"/>
                <w:szCs w:val="16"/>
                <w:lang w:val="es-CO" w:eastAsia="es-CO"/>
              </w:rPr>
              <w:t>964</w:t>
            </w:r>
          </w:p>
        </w:tc>
      </w:tr>
      <w:tr w:rsidR="00BA56AD" w:rsidRPr="00F2046C" w14:paraId="46450294"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10789C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93D08D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Andén Tableta, Baldosín, Gravilla</w:t>
            </w:r>
          </w:p>
        </w:tc>
        <w:tc>
          <w:tcPr>
            <w:tcW w:w="851" w:type="dxa"/>
            <w:tcBorders>
              <w:top w:val="nil"/>
              <w:left w:val="nil"/>
              <w:bottom w:val="single" w:sz="4" w:space="0" w:color="auto"/>
              <w:right w:val="single" w:sz="4" w:space="0" w:color="auto"/>
            </w:tcBorders>
            <w:shd w:val="clear" w:color="auto" w:fill="auto"/>
            <w:noWrap/>
            <w:vAlign w:val="bottom"/>
            <w:hideMark/>
          </w:tcPr>
          <w:p w14:paraId="3588AB0C"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TPE2TA</w:t>
            </w:r>
          </w:p>
        </w:tc>
        <w:tc>
          <w:tcPr>
            <w:tcW w:w="992" w:type="dxa"/>
            <w:tcBorders>
              <w:top w:val="nil"/>
              <w:left w:val="nil"/>
              <w:bottom w:val="single" w:sz="4" w:space="0" w:color="auto"/>
              <w:right w:val="single" w:sz="4" w:space="0" w:color="auto"/>
            </w:tcBorders>
            <w:shd w:val="clear" w:color="auto" w:fill="auto"/>
            <w:noWrap/>
            <w:vAlign w:val="bottom"/>
            <w:hideMark/>
          </w:tcPr>
          <w:p w14:paraId="5716B2E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70</w:t>
            </w:r>
            <w:r>
              <w:rPr>
                <w:i/>
                <w:color w:val="000000"/>
                <w:sz w:val="12"/>
                <w:szCs w:val="16"/>
                <w:lang w:val="es-CO" w:eastAsia="es-CO"/>
              </w:rPr>
              <w:t>.</w:t>
            </w:r>
            <w:r w:rsidRPr="00F2046C">
              <w:rPr>
                <w:i/>
                <w:color w:val="000000"/>
                <w:sz w:val="12"/>
                <w:szCs w:val="16"/>
                <w:lang w:val="es-CO" w:eastAsia="es-CO"/>
              </w:rPr>
              <w:t>281</w:t>
            </w:r>
            <w:r>
              <w:rPr>
                <w:i/>
                <w:color w:val="000000"/>
                <w:sz w:val="12"/>
                <w:szCs w:val="16"/>
                <w:lang w:val="es-CO" w:eastAsia="es-CO"/>
              </w:rPr>
              <w:t>.</w:t>
            </w:r>
            <w:r w:rsidRPr="00F2046C">
              <w:rPr>
                <w:i/>
                <w:color w:val="000000"/>
                <w:sz w:val="12"/>
                <w:szCs w:val="16"/>
                <w:lang w:val="es-CO" w:eastAsia="es-CO"/>
              </w:rPr>
              <w:t>222</w:t>
            </w:r>
          </w:p>
        </w:tc>
        <w:tc>
          <w:tcPr>
            <w:tcW w:w="992" w:type="dxa"/>
            <w:tcBorders>
              <w:top w:val="nil"/>
              <w:left w:val="nil"/>
              <w:bottom w:val="single" w:sz="4" w:space="0" w:color="auto"/>
              <w:right w:val="single" w:sz="4" w:space="0" w:color="auto"/>
            </w:tcBorders>
            <w:shd w:val="clear" w:color="auto" w:fill="auto"/>
            <w:noWrap/>
            <w:vAlign w:val="bottom"/>
            <w:hideMark/>
          </w:tcPr>
          <w:p w14:paraId="1CDAA6C2"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0B3C1B99"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nil"/>
              <w:bottom w:val="single" w:sz="4" w:space="0" w:color="auto"/>
              <w:right w:val="single" w:sz="4" w:space="0" w:color="auto"/>
            </w:tcBorders>
            <w:shd w:val="clear" w:color="auto" w:fill="auto"/>
            <w:noWrap/>
            <w:vAlign w:val="bottom"/>
            <w:hideMark/>
          </w:tcPr>
          <w:p w14:paraId="1BFB7C2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04</w:t>
            </w:r>
          </w:p>
        </w:tc>
        <w:tc>
          <w:tcPr>
            <w:tcW w:w="425" w:type="dxa"/>
            <w:tcBorders>
              <w:top w:val="nil"/>
              <w:left w:val="nil"/>
              <w:bottom w:val="single" w:sz="4" w:space="0" w:color="auto"/>
              <w:right w:val="single" w:sz="4" w:space="0" w:color="auto"/>
            </w:tcBorders>
            <w:shd w:val="clear" w:color="auto" w:fill="auto"/>
            <w:noWrap/>
            <w:vAlign w:val="bottom"/>
            <w:hideMark/>
          </w:tcPr>
          <w:p w14:paraId="19D58C4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074340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74FD948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F38465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CEFCAD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w:t>
            </w:r>
            <w:r>
              <w:rPr>
                <w:i/>
                <w:color w:val="000000"/>
                <w:sz w:val="12"/>
                <w:szCs w:val="16"/>
                <w:lang w:val="es-CO" w:eastAsia="es-CO"/>
              </w:rPr>
              <w:t>.</w:t>
            </w:r>
            <w:r w:rsidRPr="00F2046C">
              <w:rPr>
                <w:i/>
                <w:color w:val="000000"/>
                <w:sz w:val="12"/>
                <w:szCs w:val="16"/>
                <w:lang w:val="es-CO" w:eastAsia="es-CO"/>
              </w:rPr>
              <w:t>776</w:t>
            </w:r>
            <w:r>
              <w:rPr>
                <w:i/>
                <w:color w:val="000000"/>
                <w:sz w:val="12"/>
                <w:szCs w:val="16"/>
                <w:lang w:val="es-CO" w:eastAsia="es-CO"/>
              </w:rPr>
              <w:t>.</w:t>
            </w:r>
            <w:r w:rsidRPr="00F2046C">
              <w:rPr>
                <w:i/>
                <w:color w:val="000000"/>
                <w:sz w:val="12"/>
                <w:szCs w:val="16"/>
                <w:lang w:val="es-CO" w:eastAsia="es-CO"/>
              </w:rPr>
              <w:t>108</w:t>
            </w:r>
          </w:p>
        </w:tc>
      </w:tr>
      <w:tr w:rsidR="00BA56AD" w:rsidRPr="00F2046C" w14:paraId="730C9EE6"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080C06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6622B0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1/2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3F1A605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TPE1/2ZV</w:t>
            </w:r>
          </w:p>
        </w:tc>
        <w:tc>
          <w:tcPr>
            <w:tcW w:w="992" w:type="dxa"/>
            <w:tcBorders>
              <w:top w:val="nil"/>
              <w:left w:val="nil"/>
              <w:bottom w:val="single" w:sz="4" w:space="0" w:color="auto"/>
              <w:right w:val="single" w:sz="4" w:space="0" w:color="auto"/>
            </w:tcBorders>
            <w:shd w:val="clear" w:color="auto" w:fill="auto"/>
            <w:noWrap/>
            <w:vAlign w:val="bottom"/>
            <w:hideMark/>
          </w:tcPr>
          <w:p w14:paraId="71EE186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18</w:t>
            </w:r>
            <w:r>
              <w:rPr>
                <w:i/>
                <w:color w:val="000000"/>
                <w:sz w:val="12"/>
                <w:szCs w:val="16"/>
                <w:lang w:val="es-CO" w:eastAsia="es-CO"/>
              </w:rPr>
              <w:t>.</w:t>
            </w:r>
            <w:r w:rsidRPr="00F2046C">
              <w:rPr>
                <w:i/>
                <w:color w:val="000000"/>
                <w:sz w:val="12"/>
                <w:szCs w:val="16"/>
                <w:lang w:val="es-CO" w:eastAsia="es-CO"/>
              </w:rPr>
              <w:t>486</w:t>
            </w:r>
            <w:r>
              <w:rPr>
                <w:i/>
                <w:color w:val="000000"/>
                <w:sz w:val="12"/>
                <w:szCs w:val="16"/>
                <w:lang w:val="es-CO" w:eastAsia="es-CO"/>
              </w:rPr>
              <w:t>.</w:t>
            </w:r>
            <w:r w:rsidRPr="00F2046C">
              <w:rPr>
                <w:i/>
                <w:color w:val="000000"/>
                <w:sz w:val="12"/>
                <w:szCs w:val="16"/>
                <w:lang w:val="es-CO" w:eastAsia="es-CO"/>
              </w:rPr>
              <w:t>372</w:t>
            </w:r>
          </w:p>
        </w:tc>
        <w:tc>
          <w:tcPr>
            <w:tcW w:w="992" w:type="dxa"/>
            <w:tcBorders>
              <w:top w:val="nil"/>
              <w:left w:val="nil"/>
              <w:bottom w:val="single" w:sz="4" w:space="0" w:color="auto"/>
              <w:right w:val="single" w:sz="4" w:space="0" w:color="auto"/>
            </w:tcBorders>
            <w:shd w:val="clear" w:color="auto" w:fill="auto"/>
            <w:noWrap/>
            <w:vAlign w:val="bottom"/>
            <w:hideMark/>
          </w:tcPr>
          <w:p w14:paraId="562A4556"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2EB2D713"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1BDC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w:t>
            </w:r>
            <w:r>
              <w:rPr>
                <w:i/>
                <w:color w:val="000000"/>
                <w:sz w:val="12"/>
                <w:szCs w:val="16"/>
                <w:lang w:val="es-CO" w:eastAsia="es-CO"/>
              </w:rPr>
              <w:t>,</w:t>
            </w:r>
            <w:r w:rsidRPr="00F2046C">
              <w:rPr>
                <w:i/>
                <w:color w:val="000000"/>
                <w:sz w:val="12"/>
                <w:szCs w:val="16"/>
                <w:lang w:val="es-CO" w:eastAsia="es-CO"/>
              </w:rPr>
              <w:t>78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0A7F3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C0425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BDF520"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71873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015D4AD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69</w:t>
            </w:r>
            <w:r>
              <w:rPr>
                <w:i/>
                <w:color w:val="000000"/>
                <w:sz w:val="12"/>
                <w:szCs w:val="16"/>
                <w:lang w:val="es-CO" w:eastAsia="es-CO"/>
              </w:rPr>
              <w:t>.</w:t>
            </w:r>
            <w:r w:rsidRPr="00F2046C">
              <w:rPr>
                <w:i/>
                <w:color w:val="000000"/>
                <w:sz w:val="12"/>
                <w:szCs w:val="16"/>
                <w:lang w:val="es-CO" w:eastAsia="es-CO"/>
              </w:rPr>
              <w:t>878</w:t>
            </w:r>
            <w:r>
              <w:rPr>
                <w:i/>
                <w:color w:val="000000"/>
                <w:sz w:val="12"/>
                <w:szCs w:val="16"/>
                <w:lang w:val="es-CO" w:eastAsia="es-CO"/>
              </w:rPr>
              <w:t>.</w:t>
            </w:r>
            <w:r w:rsidRPr="00F2046C">
              <w:rPr>
                <w:i/>
                <w:color w:val="000000"/>
                <w:sz w:val="12"/>
                <w:szCs w:val="16"/>
                <w:lang w:val="es-CO" w:eastAsia="es-CO"/>
              </w:rPr>
              <w:t>488</w:t>
            </w:r>
          </w:p>
        </w:tc>
      </w:tr>
      <w:tr w:rsidR="00BA56AD" w:rsidRPr="00F2046C" w14:paraId="11DED20F"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638CF5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C78519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3/4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7EDF052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TPE3/4ZV</w:t>
            </w:r>
          </w:p>
        </w:tc>
        <w:tc>
          <w:tcPr>
            <w:tcW w:w="992" w:type="dxa"/>
            <w:tcBorders>
              <w:top w:val="nil"/>
              <w:left w:val="nil"/>
              <w:bottom w:val="single" w:sz="4" w:space="0" w:color="auto"/>
              <w:right w:val="single" w:sz="4" w:space="0" w:color="auto"/>
            </w:tcBorders>
            <w:shd w:val="clear" w:color="auto" w:fill="auto"/>
            <w:noWrap/>
            <w:vAlign w:val="bottom"/>
            <w:hideMark/>
          </w:tcPr>
          <w:p w14:paraId="4CD5168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19</w:t>
            </w:r>
            <w:r>
              <w:rPr>
                <w:i/>
                <w:color w:val="000000"/>
                <w:sz w:val="12"/>
                <w:szCs w:val="16"/>
                <w:lang w:val="es-CO" w:eastAsia="es-CO"/>
              </w:rPr>
              <w:t>.</w:t>
            </w:r>
            <w:r w:rsidRPr="00F2046C">
              <w:rPr>
                <w:i/>
                <w:color w:val="000000"/>
                <w:sz w:val="12"/>
                <w:szCs w:val="16"/>
                <w:lang w:val="es-CO" w:eastAsia="es-CO"/>
              </w:rPr>
              <w:t>417</w:t>
            </w:r>
            <w:r>
              <w:rPr>
                <w:i/>
                <w:color w:val="000000"/>
                <w:sz w:val="12"/>
                <w:szCs w:val="16"/>
                <w:lang w:val="es-CO" w:eastAsia="es-CO"/>
              </w:rPr>
              <w:t>.</w:t>
            </w:r>
            <w:r w:rsidRPr="00F2046C">
              <w:rPr>
                <w:i/>
                <w:color w:val="000000"/>
                <w:sz w:val="12"/>
                <w:szCs w:val="16"/>
                <w:lang w:val="es-CO" w:eastAsia="es-CO"/>
              </w:rPr>
              <w:t>002</w:t>
            </w:r>
          </w:p>
        </w:tc>
        <w:tc>
          <w:tcPr>
            <w:tcW w:w="992" w:type="dxa"/>
            <w:tcBorders>
              <w:top w:val="nil"/>
              <w:left w:val="nil"/>
              <w:bottom w:val="single" w:sz="4" w:space="0" w:color="auto"/>
              <w:right w:val="single" w:sz="4" w:space="0" w:color="auto"/>
            </w:tcBorders>
            <w:shd w:val="clear" w:color="auto" w:fill="auto"/>
            <w:noWrap/>
            <w:vAlign w:val="bottom"/>
            <w:hideMark/>
          </w:tcPr>
          <w:p w14:paraId="25CD70B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56AD1A2"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DF91EEC"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16</w:t>
            </w:r>
            <w:r>
              <w:rPr>
                <w:i/>
                <w:color w:val="000000"/>
                <w:sz w:val="12"/>
                <w:szCs w:val="16"/>
                <w:lang w:val="es-CO" w:eastAsia="es-CO"/>
              </w:rPr>
              <w:t>,</w:t>
            </w:r>
            <w:r w:rsidRPr="00F2046C">
              <w:rPr>
                <w:i/>
                <w:color w:val="000000"/>
                <w:sz w:val="12"/>
                <w:szCs w:val="16"/>
                <w:lang w:val="es-CO" w:eastAsia="es-CO"/>
              </w:rPr>
              <w:t>04</w:t>
            </w:r>
          </w:p>
        </w:tc>
        <w:tc>
          <w:tcPr>
            <w:tcW w:w="425" w:type="dxa"/>
            <w:tcBorders>
              <w:top w:val="nil"/>
              <w:left w:val="nil"/>
              <w:bottom w:val="single" w:sz="4" w:space="0" w:color="auto"/>
              <w:right w:val="single" w:sz="4" w:space="0" w:color="auto"/>
            </w:tcBorders>
            <w:shd w:val="clear" w:color="auto" w:fill="auto"/>
            <w:noWrap/>
            <w:vAlign w:val="bottom"/>
            <w:hideMark/>
          </w:tcPr>
          <w:p w14:paraId="5924333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CCE1CB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6A2FD6B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484C321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2E29BA5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311</w:t>
            </w:r>
            <w:r>
              <w:rPr>
                <w:i/>
                <w:color w:val="000000"/>
                <w:sz w:val="12"/>
                <w:szCs w:val="16"/>
                <w:lang w:val="es-CO" w:eastAsia="es-CO"/>
              </w:rPr>
              <w:t>.</w:t>
            </w:r>
            <w:r w:rsidRPr="00F2046C">
              <w:rPr>
                <w:i/>
                <w:color w:val="000000"/>
                <w:sz w:val="12"/>
                <w:szCs w:val="16"/>
                <w:lang w:val="es-CO" w:eastAsia="es-CO"/>
              </w:rPr>
              <w:t>487</w:t>
            </w:r>
            <w:r>
              <w:rPr>
                <w:i/>
                <w:color w:val="000000"/>
                <w:sz w:val="12"/>
                <w:szCs w:val="16"/>
                <w:lang w:val="es-CO" w:eastAsia="es-CO"/>
              </w:rPr>
              <w:t>.</w:t>
            </w:r>
            <w:r w:rsidRPr="00F2046C">
              <w:rPr>
                <w:i/>
                <w:color w:val="000000"/>
                <w:sz w:val="12"/>
                <w:szCs w:val="16"/>
                <w:lang w:val="es-CO" w:eastAsia="es-CO"/>
              </w:rPr>
              <w:t>539</w:t>
            </w:r>
          </w:p>
        </w:tc>
      </w:tr>
      <w:tr w:rsidR="00BA56AD" w:rsidRPr="00F2046C" w14:paraId="6663C240"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C2D483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0392E3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1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0CAFD173"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TPE1ZV</w:t>
            </w:r>
          </w:p>
        </w:tc>
        <w:tc>
          <w:tcPr>
            <w:tcW w:w="992" w:type="dxa"/>
            <w:tcBorders>
              <w:top w:val="nil"/>
              <w:left w:val="nil"/>
              <w:bottom w:val="single" w:sz="4" w:space="0" w:color="auto"/>
              <w:right w:val="single" w:sz="4" w:space="0" w:color="auto"/>
            </w:tcBorders>
            <w:shd w:val="clear" w:color="auto" w:fill="auto"/>
            <w:noWrap/>
            <w:vAlign w:val="bottom"/>
            <w:hideMark/>
          </w:tcPr>
          <w:p w14:paraId="5002E2D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22</w:t>
            </w:r>
            <w:r>
              <w:rPr>
                <w:i/>
                <w:color w:val="000000"/>
                <w:sz w:val="12"/>
                <w:szCs w:val="16"/>
                <w:lang w:val="es-CO" w:eastAsia="es-CO"/>
              </w:rPr>
              <w:t>.</w:t>
            </w:r>
            <w:r w:rsidRPr="00F2046C">
              <w:rPr>
                <w:i/>
                <w:color w:val="000000"/>
                <w:sz w:val="12"/>
                <w:szCs w:val="16"/>
                <w:lang w:val="es-CO" w:eastAsia="es-CO"/>
              </w:rPr>
              <w:t>118</w:t>
            </w:r>
            <w:r>
              <w:rPr>
                <w:i/>
                <w:color w:val="000000"/>
                <w:sz w:val="12"/>
                <w:szCs w:val="16"/>
                <w:lang w:val="es-CO" w:eastAsia="es-CO"/>
              </w:rPr>
              <w:t>.</w:t>
            </w:r>
            <w:r w:rsidRPr="00F2046C">
              <w:rPr>
                <w:i/>
                <w:color w:val="000000"/>
                <w:sz w:val="12"/>
                <w:szCs w:val="16"/>
                <w:lang w:val="es-CO" w:eastAsia="es-CO"/>
              </w:rPr>
              <w:t>200</w:t>
            </w:r>
          </w:p>
        </w:tc>
        <w:tc>
          <w:tcPr>
            <w:tcW w:w="992" w:type="dxa"/>
            <w:tcBorders>
              <w:top w:val="nil"/>
              <w:left w:val="nil"/>
              <w:bottom w:val="single" w:sz="4" w:space="0" w:color="auto"/>
              <w:right w:val="single" w:sz="4" w:space="0" w:color="auto"/>
            </w:tcBorders>
            <w:shd w:val="clear" w:color="auto" w:fill="auto"/>
            <w:noWrap/>
            <w:vAlign w:val="bottom"/>
            <w:hideMark/>
          </w:tcPr>
          <w:p w14:paraId="19C56FE8"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4662DF4A"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Secundaria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A1CE2B6"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08</w:t>
            </w:r>
          </w:p>
        </w:tc>
        <w:tc>
          <w:tcPr>
            <w:tcW w:w="425" w:type="dxa"/>
            <w:tcBorders>
              <w:top w:val="nil"/>
              <w:left w:val="nil"/>
              <w:bottom w:val="single" w:sz="4" w:space="0" w:color="auto"/>
              <w:right w:val="single" w:sz="4" w:space="0" w:color="auto"/>
            </w:tcBorders>
            <w:shd w:val="clear" w:color="auto" w:fill="auto"/>
            <w:noWrap/>
            <w:vAlign w:val="bottom"/>
            <w:hideMark/>
          </w:tcPr>
          <w:p w14:paraId="21324F3D"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21698F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57F6682F"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2307BEF9"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7B361F8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824</w:t>
            </w:r>
            <w:r>
              <w:rPr>
                <w:i/>
                <w:color w:val="000000"/>
                <w:sz w:val="12"/>
                <w:szCs w:val="16"/>
                <w:lang w:val="es-CO" w:eastAsia="es-CO"/>
              </w:rPr>
              <w:t>.</w:t>
            </w:r>
            <w:r w:rsidRPr="00F2046C">
              <w:rPr>
                <w:i/>
                <w:color w:val="000000"/>
                <w:sz w:val="12"/>
                <w:szCs w:val="16"/>
                <w:lang w:val="es-CO" w:eastAsia="es-CO"/>
              </w:rPr>
              <w:t>751</w:t>
            </w:r>
          </w:p>
        </w:tc>
      </w:tr>
      <w:tr w:rsidR="00BA56AD" w:rsidRPr="00F2046C" w14:paraId="4DFC5132"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C1FED31"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FDB1F69"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Tubería de Polietileno de 2 pulg. en Zona Verde</w:t>
            </w:r>
          </w:p>
        </w:tc>
        <w:tc>
          <w:tcPr>
            <w:tcW w:w="851" w:type="dxa"/>
            <w:tcBorders>
              <w:top w:val="nil"/>
              <w:left w:val="nil"/>
              <w:bottom w:val="single" w:sz="4" w:space="0" w:color="auto"/>
              <w:right w:val="single" w:sz="4" w:space="0" w:color="auto"/>
            </w:tcBorders>
            <w:shd w:val="clear" w:color="auto" w:fill="auto"/>
            <w:noWrap/>
            <w:vAlign w:val="bottom"/>
            <w:hideMark/>
          </w:tcPr>
          <w:p w14:paraId="6450B1DE"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TPE2ZV</w:t>
            </w:r>
          </w:p>
        </w:tc>
        <w:tc>
          <w:tcPr>
            <w:tcW w:w="992" w:type="dxa"/>
            <w:tcBorders>
              <w:top w:val="nil"/>
              <w:left w:val="nil"/>
              <w:bottom w:val="single" w:sz="4" w:space="0" w:color="auto"/>
              <w:right w:val="single" w:sz="4" w:space="0" w:color="auto"/>
            </w:tcBorders>
            <w:shd w:val="clear" w:color="auto" w:fill="auto"/>
            <w:noWrap/>
            <w:vAlign w:val="bottom"/>
            <w:hideMark/>
          </w:tcPr>
          <w:p w14:paraId="06C490B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33</w:t>
            </w:r>
            <w:r>
              <w:rPr>
                <w:i/>
                <w:color w:val="000000"/>
                <w:sz w:val="12"/>
                <w:szCs w:val="16"/>
                <w:lang w:val="es-CO" w:eastAsia="es-CO"/>
              </w:rPr>
              <w:t>.</w:t>
            </w:r>
            <w:r w:rsidRPr="00F2046C">
              <w:rPr>
                <w:i/>
                <w:color w:val="000000"/>
                <w:sz w:val="12"/>
                <w:szCs w:val="16"/>
                <w:lang w:val="es-CO" w:eastAsia="es-CO"/>
              </w:rPr>
              <w:t>719</w:t>
            </w:r>
            <w:r>
              <w:rPr>
                <w:i/>
                <w:color w:val="000000"/>
                <w:sz w:val="12"/>
                <w:szCs w:val="16"/>
                <w:lang w:val="es-CO" w:eastAsia="es-CO"/>
              </w:rPr>
              <w:t>.</w:t>
            </w:r>
            <w:r w:rsidRPr="00F2046C">
              <w:rPr>
                <w:i/>
                <w:color w:val="000000"/>
                <w:sz w:val="12"/>
                <w:szCs w:val="16"/>
                <w:lang w:val="es-CO" w:eastAsia="es-CO"/>
              </w:rPr>
              <w:t>985</w:t>
            </w:r>
          </w:p>
        </w:tc>
        <w:tc>
          <w:tcPr>
            <w:tcW w:w="992" w:type="dxa"/>
            <w:tcBorders>
              <w:top w:val="nil"/>
              <w:left w:val="nil"/>
              <w:bottom w:val="single" w:sz="4" w:space="0" w:color="auto"/>
              <w:right w:val="single" w:sz="4" w:space="0" w:color="auto"/>
            </w:tcBorders>
            <w:shd w:val="clear" w:color="auto" w:fill="auto"/>
            <w:noWrap/>
            <w:vAlign w:val="bottom"/>
            <w:hideMark/>
          </w:tcPr>
          <w:p w14:paraId="3DF10BCF"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635ECEAD"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72BB1D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71</w:t>
            </w:r>
          </w:p>
        </w:tc>
        <w:tc>
          <w:tcPr>
            <w:tcW w:w="425" w:type="dxa"/>
            <w:tcBorders>
              <w:top w:val="nil"/>
              <w:left w:val="nil"/>
              <w:bottom w:val="single" w:sz="4" w:space="0" w:color="auto"/>
              <w:right w:val="single" w:sz="4" w:space="0" w:color="auto"/>
            </w:tcBorders>
            <w:shd w:val="clear" w:color="auto" w:fill="auto"/>
            <w:noWrap/>
            <w:vAlign w:val="bottom"/>
            <w:hideMark/>
          </w:tcPr>
          <w:p w14:paraId="7251792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AA1283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5391244B"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022A2851"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2659617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57</w:t>
            </w:r>
            <w:r>
              <w:rPr>
                <w:i/>
                <w:color w:val="000000"/>
                <w:sz w:val="12"/>
                <w:szCs w:val="16"/>
                <w:lang w:val="es-CO" w:eastAsia="es-CO"/>
              </w:rPr>
              <w:t>.</w:t>
            </w:r>
            <w:r w:rsidRPr="00F2046C">
              <w:rPr>
                <w:i/>
                <w:color w:val="000000"/>
                <w:sz w:val="12"/>
                <w:szCs w:val="16"/>
                <w:lang w:val="es-CO" w:eastAsia="es-CO"/>
              </w:rPr>
              <w:t>509</w:t>
            </w:r>
            <w:r>
              <w:rPr>
                <w:i/>
                <w:color w:val="000000"/>
                <w:sz w:val="12"/>
                <w:szCs w:val="16"/>
                <w:lang w:val="es-CO" w:eastAsia="es-CO"/>
              </w:rPr>
              <w:t>.</w:t>
            </w:r>
            <w:r w:rsidRPr="00F2046C">
              <w:rPr>
                <w:i/>
                <w:color w:val="000000"/>
                <w:sz w:val="12"/>
                <w:szCs w:val="16"/>
                <w:lang w:val="es-CO" w:eastAsia="es-CO"/>
              </w:rPr>
              <w:t>434</w:t>
            </w:r>
          </w:p>
        </w:tc>
      </w:tr>
      <w:tr w:rsidR="00BA56AD" w:rsidRPr="00F2046C" w14:paraId="70DFCCD3" w14:textId="77777777" w:rsidTr="00FB5615">
        <w:trPr>
          <w:trHeight w:val="2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3C3C287"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Solita-</w:t>
            </w:r>
            <w:r>
              <w:rPr>
                <w:i/>
                <w:color w:val="000000"/>
                <w:sz w:val="12"/>
                <w:szCs w:val="16"/>
                <w:lang w:val="es-CO" w:eastAsia="es-CO"/>
              </w:rPr>
              <w:t>Caquetá</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80AAD4D"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Estación GNC 500 m3/hora</w:t>
            </w:r>
          </w:p>
        </w:tc>
        <w:tc>
          <w:tcPr>
            <w:tcW w:w="851" w:type="dxa"/>
            <w:tcBorders>
              <w:top w:val="nil"/>
              <w:left w:val="nil"/>
              <w:bottom w:val="single" w:sz="4" w:space="0" w:color="auto"/>
              <w:right w:val="single" w:sz="4" w:space="0" w:color="auto"/>
            </w:tcBorders>
            <w:shd w:val="clear" w:color="auto" w:fill="auto"/>
            <w:noWrap/>
            <w:vAlign w:val="bottom"/>
            <w:hideMark/>
          </w:tcPr>
          <w:p w14:paraId="7CA75144"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RM500</w:t>
            </w:r>
          </w:p>
        </w:tc>
        <w:tc>
          <w:tcPr>
            <w:tcW w:w="992" w:type="dxa"/>
            <w:tcBorders>
              <w:top w:val="nil"/>
              <w:left w:val="nil"/>
              <w:bottom w:val="single" w:sz="4" w:space="0" w:color="auto"/>
              <w:right w:val="single" w:sz="4" w:space="0" w:color="auto"/>
            </w:tcBorders>
            <w:shd w:val="clear" w:color="auto" w:fill="auto"/>
            <w:noWrap/>
            <w:vAlign w:val="bottom"/>
            <w:hideMark/>
          </w:tcPr>
          <w:p w14:paraId="39E585EE"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402</w:t>
            </w:r>
            <w:r>
              <w:rPr>
                <w:i/>
                <w:color w:val="000000"/>
                <w:sz w:val="12"/>
                <w:szCs w:val="16"/>
                <w:lang w:val="es-CO" w:eastAsia="es-CO"/>
              </w:rPr>
              <w:t>.</w:t>
            </w:r>
            <w:r w:rsidRPr="00F2046C">
              <w:rPr>
                <w:i/>
                <w:color w:val="000000"/>
                <w:sz w:val="12"/>
                <w:szCs w:val="16"/>
                <w:lang w:val="es-CO" w:eastAsia="es-CO"/>
              </w:rPr>
              <w:t>161</w:t>
            </w:r>
            <w:r>
              <w:rPr>
                <w:i/>
                <w:color w:val="000000"/>
                <w:sz w:val="12"/>
                <w:szCs w:val="16"/>
                <w:lang w:val="es-CO" w:eastAsia="es-CO"/>
              </w:rPr>
              <w:t>.</w:t>
            </w:r>
            <w:r w:rsidRPr="00F2046C">
              <w:rPr>
                <w:i/>
                <w:color w:val="000000"/>
                <w:sz w:val="12"/>
                <w:szCs w:val="16"/>
                <w:lang w:val="es-CO" w:eastAsia="es-CO"/>
              </w:rPr>
              <w:t>331</w:t>
            </w:r>
          </w:p>
        </w:tc>
        <w:tc>
          <w:tcPr>
            <w:tcW w:w="992" w:type="dxa"/>
            <w:tcBorders>
              <w:top w:val="nil"/>
              <w:left w:val="nil"/>
              <w:bottom w:val="single" w:sz="4" w:space="0" w:color="auto"/>
              <w:right w:val="single" w:sz="4" w:space="0" w:color="auto"/>
            </w:tcBorders>
            <w:shd w:val="clear" w:color="auto" w:fill="auto"/>
            <w:noWrap/>
            <w:vAlign w:val="bottom"/>
            <w:hideMark/>
          </w:tcPr>
          <w:p w14:paraId="354FC86A" w14:textId="77777777" w:rsidR="00BA56AD" w:rsidRPr="00F2046C" w:rsidRDefault="00BA56AD" w:rsidP="00FB5615">
            <w:pPr>
              <w:jc w:val="left"/>
              <w:rPr>
                <w:i/>
                <w:color w:val="000000"/>
                <w:sz w:val="12"/>
                <w:szCs w:val="16"/>
                <w:lang w:val="es-CO" w:eastAsia="es-CO"/>
              </w:rPr>
            </w:pPr>
            <w:r w:rsidRPr="00F2046C">
              <w:rPr>
                <w:i/>
                <w:color w:val="000000"/>
                <w:sz w:val="12"/>
                <w:szCs w:val="16"/>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50C852E3" w14:textId="77777777" w:rsidR="00BA56AD" w:rsidRPr="00F2046C" w:rsidRDefault="00BA56AD" w:rsidP="00FB5615">
            <w:pPr>
              <w:jc w:val="center"/>
              <w:rPr>
                <w:i/>
                <w:color w:val="000000"/>
                <w:sz w:val="12"/>
                <w:szCs w:val="16"/>
                <w:lang w:val="es-CO" w:eastAsia="es-CO"/>
              </w:rPr>
            </w:pPr>
            <w:r w:rsidRPr="00F2046C">
              <w:rPr>
                <w:i/>
                <w:color w:val="000000"/>
                <w:sz w:val="12"/>
                <w:szCs w:val="16"/>
                <w:lang w:val="es-CO" w:eastAsia="es-CO"/>
              </w:rPr>
              <w:t>Primaria</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020BA23"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1</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7291AB3A"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5962BA18"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6" w:type="dxa"/>
            <w:tcBorders>
              <w:top w:val="nil"/>
              <w:left w:val="nil"/>
              <w:bottom w:val="single" w:sz="4" w:space="0" w:color="auto"/>
              <w:right w:val="single" w:sz="4" w:space="0" w:color="auto"/>
            </w:tcBorders>
            <w:shd w:val="clear" w:color="auto" w:fill="auto"/>
            <w:noWrap/>
            <w:vAlign w:val="bottom"/>
            <w:hideMark/>
          </w:tcPr>
          <w:p w14:paraId="3B8A0575"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425" w:type="dxa"/>
            <w:tcBorders>
              <w:top w:val="nil"/>
              <w:left w:val="nil"/>
              <w:bottom w:val="single" w:sz="4" w:space="0" w:color="auto"/>
              <w:right w:val="single" w:sz="4" w:space="0" w:color="auto"/>
            </w:tcBorders>
            <w:shd w:val="clear" w:color="auto" w:fill="auto"/>
            <w:noWrap/>
            <w:vAlign w:val="bottom"/>
            <w:hideMark/>
          </w:tcPr>
          <w:p w14:paraId="39003212"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0</w:t>
            </w:r>
            <w:r>
              <w:rPr>
                <w:i/>
                <w:color w:val="000000"/>
                <w:sz w:val="12"/>
                <w:szCs w:val="16"/>
                <w:lang w:val="es-CO" w:eastAsia="es-CO"/>
              </w:rPr>
              <w:t>.</w:t>
            </w:r>
            <w:r w:rsidRPr="00F2046C">
              <w:rPr>
                <w:i/>
                <w:color w:val="000000"/>
                <w:sz w:val="12"/>
                <w:szCs w:val="16"/>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78DAAD7" w14:textId="77777777" w:rsidR="00BA56AD" w:rsidRPr="00F2046C" w:rsidRDefault="00BA56AD" w:rsidP="00FB5615">
            <w:pPr>
              <w:jc w:val="right"/>
              <w:rPr>
                <w:i/>
                <w:color w:val="000000"/>
                <w:sz w:val="12"/>
                <w:szCs w:val="16"/>
                <w:lang w:val="es-CO" w:eastAsia="es-CO"/>
              </w:rPr>
            </w:pPr>
            <w:r w:rsidRPr="00F2046C">
              <w:rPr>
                <w:i/>
                <w:color w:val="000000"/>
                <w:sz w:val="12"/>
                <w:szCs w:val="16"/>
                <w:lang w:val="es-CO" w:eastAsia="es-CO"/>
              </w:rPr>
              <w:t>402</w:t>
            </w:r>
            <w:r>
              <w:rPr>
                <w:i/>
                <w:color w:val="000000"/>
                <w:sz w:val="12"/>
                <w:szCs w:val="16"/>
                <w:lang w:val="es-CO" w:eastAsia="es-CO"/>
              </w:rPr>
              <w:t>.</w:t>
            </w:r>
            <w:r w:rsidRPr="00F2046C">
              <w:rPr>
                <w:i/>
                <w:color w:val="000000"/>
                <w:sz w:val="12"/>
                <w:szCs w:val="16"/>
                <w:lang w:val="es-CO" w:eastAsia="es-CO"/>
              </w:rPr>
              <w:t>161</w:t>
            </w:r>
            <w:r>
              <w:rPr>
                <w:i/>
                <w:color w:val="000000"/>
                <w:sz w:val="12"/>
                <w:szCs w:val="16"/>
                <w:lang w:val="es-CO" w:eastAsia="es-CO"/>
              </w:rPr>
              <w:t>.</w:t>
            </w:r>
            <w:r w:rsidRPr="00F2046C">
              <w:rPr>
                <w:i/>
                <w:color w:val="000000"/>
                <w:sz w:val="12"/>
                <w:szCs w:val="16"/>
                <w:lang w:val="es-CO" w:eastAsia="es-CO"/>
              </w:rPr>
              <w:t>331</w:t>
            </w:r>
          </w:p>
        </w:tc>
      </w:tr>
      <w:tr w:rsidR="00BA56AD" w:rsidRPr="00F2046C" w14:paraId="4A6C82DE" w14:textId="77777777" w:rsidTr="00FB5615">
        <w:trPr>
          <w:trHeight w:val="270"/>
        </w:trPr>
        <w:tc>
          <w:tcPr>
            <w:tcW w:w="846" w:type="dxa"/>
            <w:tcBorders>
              <w:top w:val="nil"/>
              <w:left w:val="nil"/>
              <w:bottom w:val="nil"/>
              <w:right w:val="nil"/>
            </w:tcBorders>
            <w:shd w:val="clear" w:color="auto" w:fill="auto"/>
            <w:noWrap/>
            <w:vAlign w:val="bottom"/>
            <w:hideMark/>
          </w:tcPr>
          <w:p w14:paraId="54C1A8DF" w14:textId="77777777" w:rsidR="00BA56AD" w:rsidRPr="00F2046C" w:rsidRDefault="00BA56AD" w:rsidP="00FB5615">
            <w:pPr>
              <w:jc w:val="right"/>
              <w:rPr>
                <w:i/>
                <w:color w:val="000000"/>
                <w:sz w:val="12"/>
                <w:szCs w:val="16"/>
                <w:lang w:val="es-CO" w:eastAsia="es-CO"/>
              </w:rPr>
            </w:pPr>
          </w:p>
        </w:tc>
        <w:tc>
          <w:tcPr>
            <w:tcW w:w="1417" w:type="dxa"/>
            <w:tcBorders>
              <w:top w:val="nil"/>
              <w:left w:val="nil"/>
              <w:bottom w:val="nil"/>
              <w:right w:val="nil"/>
            </w:tcBorders>
            <w:shd w:val="clear" w:color="auto" w:fill="auto"/>
            <w:noWrap/>
            <w:vAlign w:val="bottom"/>
            <w:hideMark/>
          </w:tcPr>
          <w:p w14:paraId="24785458" w14:textId="77777777" w:rsidR="00BA56AD" w:rsidRPr="00F2046C" w:rsidRDefault="00BA56AD" w:rsidP="00FB5615">
            <w:pPr>
              <w:jc w:val="left"/>
              <w:rPr>
                <w:i/>
                <w:sz w:val="12"/>
                <w:szCs w:val="16"/>
                <w:lang w:val="es-CO" w:eastAsia="es-CO"/>
              </w:rPr>
            </w:pPr>
          </w:p>
        </w:tc>
        <w:tc>
          <w:tcPr>
            <w:tcW w:w="851" w:type="dxa"/>
            <w:tcBorders>
              <w:top w:val="nil"/>
              <w:left w:val="nil"/>
              <w:bottom w:val="nil"/>
              <w:right w:val="nil"/>
            </w:tcBorders>
            <w:shd w:val="clear" w:color="auto" w:fill="auto"/>
            <w:noWrap/>
            <w:vAlign w:val="bottom"/>
            <w:hideMark/>
          </w:tcPr>
          <w:p w14:paraId="37488BEF" w14:textId="77777777" w:rsidR="00BA56AD" w:rsidRPr="00F2046C" w:rsidRDefault="00BA56AD" w:rsidP="00FB5615">
            <w:pPr>
              <w:jc w:val="left"/>
              <w:rPr>
                <w:i/>
                <w:sz w:val="12"/>
                <w:szCs w:val="16"/>
                <w:lang w:val="es-CO" w:eastAsia="es-CO"/>
              </w:rPr>
            </w:pPr>
          </w:p>
        </w:tc>
        <w:tc>
          <w:tcPr>
            <w:tcW w:w="992" w:type="dxa"/>
            <w:tcBorders>
              <w:top w:val="nil"/>
              <w:left w:val="nil"/>
              <w:bottom w:val="nil"/>
              <w:right w:val="nil"/>
            </w:tcBorders>
            <w:shd w:val="clear" w:color="auto" w:fill="auto"/>
            <w:noWrap/>
            <w:vAlign w:val="bottom"/>
            <w:hideMark/>
          </w:tcPr>
          <w:p w14:paraId="752D331A" w14:textId="77777777" w:rsidR="00BA56AD" w:rsidRPr="00F2046C" w:rsidRDefault="00BA56AD" w:rsidP="00FB5615">
            <w:pPr>
              <w:jc w:val="left"/>
              <w:rPr>
                <w:i/>
                <w:sz w:val="12"/>
                <w:szCs w:val="16"/>
                <w:lang w:val="es-CO" w:eastAsia="es-CO"/>
              </w:rPr>
            </w:pPr>
          </w:p>
        </w:tc>
        <w:tc>
          <w:tcPr>
            <w:tcW w:w="992" w:type="dxa"/>
            <w:tcBorders>
              <w:top w:val="nil"/>
              <w:left w:val="nil"/>
              <w:bottom w:val="nil"/>
              <w:right w:val="nil"/>
            </w:tcBorders>
            <w:shd w:val="clear" w:color="auto" w:fill="auto"/>
            <w:noWrap/>
            <w:vAlign w:val="bottom"/>
            <w:hideMark/>
          </w:tcPr>
          <w:p w14:paraId="620E6022" w14:textId="77777777" w:rsidR="00BA56AD" w:rsidRPr="00F2046C" w:rsidRDefault="00BA56AD" w:rsidP="00FB5615">
            <w:pPr>
              <w:jc w:val="left"/>
              <w:rPr>
                <w:i/>
                <w:sz w:val="12"/>
                <w:szCs w:val="16"/>
                <w:lang w:val="es-CO" w:eastAsia="es-CO"/>
              </w:rPr>
            </w:pPr>
          </w:p>
        </w:tc>
        <w:tc>
          <w:tcPr>
            <w:tcW w:w="851" w:type="dxa"/>
            <w:tcBorders>
              <w:top w:val="nil"/>
              <w:left w:val="nil"/>
              <w:bottom w:val="nil"/>
              <w:right w:val="nil"/>
            </w:tcBorders>
            <w:shd w:val="clear" w:color="auto" w:fill="auto"/>
            <w:noWrap/>
            <w:vAlign w:val="bottom"/>
            <w:hideMark/>
          </w:tcPr>
          <w:p w14:paraId="5C8AE393" w14:textId="77777777" w:rsidR="00BA56AD" w:rsidRPr="00F2046C" w:rsidRDefault="00BA56AD" w:rsidP="00FB5615">
            <w:pPr>
              <w:jc w:val="left"/>
              <w:rPr>
                <w:i/>
                <w:sz w:val="12"/>
                <w:szCs w:val="16"/>
                <w:lang w:val="es-CO" w:eastAsia="es-CO"/>
              </w:rPr>
            </w:pPr>
          </w:p>
        </w:tc>
        <w:tc>
          <w:tcPr>
            <w:tcW w:w="567" w:type="dxa"/>
            <w:tcBorders>
              <w:top w:val="nil"/>
              <w:left w:val="nil"/>
              <w:bottom w:val="nil"/>
              <w:right w:val="nil"/>
            </w:tcBorders>
            <w:shd w:val="clear" w:color="auto" w:fill="auto"/>
            <w:noWrap/>
            <w:vAlign w:val="bottom"/>
            <w:hideMark/>
          </w:tcPr>
          <w:p w14:paraId="57495578" w14:textId="77777777" w:rsidR="00BA56AD" w:rsidRPr="00F2046C" w:rsidRDefault="00BA56AD" w:rsidP="00FB5615">
            <w:pPr>
              <w:jc w:val="center"/>
              <w:rPr>
                <w:i/>
                <w:sz w:val="12"/>
                <w:szCs w:val="16"/>
                <w:lang w:val="es-CO" w:eastAsia="es-CO"/>
              </w:rPr>
            </w:pPr>
          </w:p>
        </w:tc>
        <w:tc>
          <w:tcPr>
            <w:tcW w:w="425" w:type="dxa"/>
            <w:tcBorders>
              <w:top w:val="nil"/>
              <w:left w:val="nil"/>
              <w:bottom w:val="nil"/>
              <w:right w:val="nil"/>
            </w:tcBorders>
            <w:shd w:val="clear" w:color="auto" w:fill="auto"/>
            <w:noWrap/>
            <w:vAlign w:val="bottom"/>
            <w:hideMark/>
          </w:tcPr>
          <w:p w14:paraId="3360B8FB" w14:textId="77777777" w:rsidR="00BA56AD" w:rsidRPr="00F2046C" w:rsidRDefault="00BA56AD" w:rsidP="00FB5615">
            <w:pPr>
              <w:jc w:val="left"/>
              <w:rPr>
                <w:i/>
                <w:sz w:val="12"/>
                <w:szCs w:val="16"/>
                <w:lang w:val="es-CO" w:eastAsia="es-CO"/>
              </w:rPr>
            </w:pPr>
          </w:p>
        </w:tc>
        <w:tc>
          <w:tcPr>
            <w:tcW w:w="425" w:type="dxa"/>
            <w:tcBorders>
              <w:top w:val="nil"/>
              <w:left w:val="nil"/>
              <w:bottom w:val="nil"/>
              <w:right w:val="single" w:sz="4" w:space="0" w:color="auto"/>
            </w:tcBorders>
            <w:shd w:val="clear" w:color="auto" w:fill="auto"/>
            <w:noWrap/>
            <w:vAlign w:val="bottom"/>
            <w:hideMark/>
          </w:tcPr>
          <w:p w14:paraId="20A54D9A" w14:textId="77777777" w:rsidR="00BA56AD" w:rsidRPr="00F2046C" w:rsidRDefault="00BA56AD" w:rsidP="00FB5615">
            <w:pPr>
              <w:jc w:val="left"/>
              <w:rPr>
                <w:i/>
                <w:sz w:val="12"/>
                <w:szCs w:val="16"/>
                <w:lang w:val="es-CO" w:eastAsia="es-CO"/>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9ECD50" w14:textId="77777777" w:rsidR="00BA56AD" w:rsidRPr="00F2046C" w:rsidRDefault="00BA56AD" w:rsidP="00FB5615">
            <w:pPr>
              <w:jc w:val="center"/>
              <w:rPr>
                <w:b/>
                <w:bCs/>
                <w:i/>
                <w:color w:val="000000"/>
                <w:sz w:val="12"/>
                <w:szCs w:val="16"/>
                <w:lang w:val="es-CO" w:eastAsia="es-CO"/>
              </w:rPr>
            </w:pPr>
            <w:r w:rsidRPr="00F2046C">
              <w:rPr>
                <w:b/>
                <w:bCs/>
                <w:i/>
                <w:color w:val="000000"/>
                <w:sz w:val="12"/>
                <w:szCs w:val="16"/>
                <w:lang w:val="es-CO" w:eastAsia="es-CO"/>
              </w:rPr>
              <w:t>TOTAL</w:t>
            </w:r>
          </w:p>
        </w:tc>
        <w:tc>
          <w:tcPr>
            <w:tcW w:w="112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7372AA9" w14:textId="77777777" w:rsidR="00BA56AD" w:rsidRPr="00F2046C" w:rsidRDefault="00BA56AD" w:rsidP="00FB5615">
            <w:pPr>
              <w:jc w:val="center"/>
              <w:rPr>
                <w:b/>
                <w:bCs/>
                <w:i/>
                <w:color w:val="000000"/>
                <w:sz w:val="12"/>
                <w:szCs w:val="16"/>
                <w:lang w:val="es-CO" w:eastAsia="es-CO"/>
              </w:rPr>
            </w:pPr>
            <w:r w:rsidRPr="00F2046C">
              <w:rPr>
                <w:b/>
                <w:bCs/>
                <w:i/>
                <w:color w:val="000000"/>
                <w:sz w:val="12"/>
                <w:szCs w:val="16"/>
                <w:lang w:val="es-CO" w:eastAsia="es-CO"/>
              </w:rPr>
              <w:t>5</w:t>
            </w:r>
            <w:r>
              <w:rPr>
                <w:b/>
                <w:bCs/>
                <w:i/>
                <w:color w:val="000000"/>
                <w:sz w:val="12"/>
                <w:szCs w:val="16"/>
                <w:lang w:val="es-CO" w:eastAsia="es-CO"/>
              </w:rPr>
              <w:t>.</w:t>
            </w:r>
            <w:r w:rsidRPr="00F2046C">
              <w:rPr>
                <w:b/>
                <w:bCs/>
                <w:i/>
                <w:color w:val="000000"/>
                <w:sz w:val="12"/>
                <w:szCs w:val="16"/>
                <w:lang w:val="es-CO" w:eastAsia="es-CO"/>
              </w:rPr>
              <w:t>826</w:t>
            </w:r>
            <w:r>
              <w:rPr>
                <w:b/>
                <w:bCs/>
                <w:i/>
                <w:color w:val="000000"/>
                <w:sz w:val="12"/>
                <w:szCs w:val="16"/>
                <w:lang w:val="es-CO" w:eastAsia="es-CO"/>
              </w:rPr>
              <w:t>.</w:t>
            </w:r>
            <w:r w:rsidRPr="00F2046C">
              <w:rPr>
                <w:b/>
                <w:bCs/>
                <w:i/>
                <w:color w:val="000000"/>
                <w:sz w:val="12"/>
                <w:szCs w:val="16"/>
                <w:lang w:val="es-CO" w:eastAsia="es-CO"/>
              </w:rPr>
              <w:t>240</w:t>
            </w:r>
            <w:r>
              <w:rPr>
                <w:b/>
                <w:bCs/>
                <w:i/>
                <w:color w:val="000000"/>
                <w:sz w:val="12"/>
                <w:szCs w:val="16"/>
                <w:lang w:val="es-CO" w:eastAsia="es-CO"/>
              </w:rPr>
              <w:t>.</w:t>
            </w:r>
            <w:r w:rsidRPr="00F2046C">
              <w:rPr>
                <w:b/>
                <w:bCs/>
                <w:i/>
                <w:color w:val="000000"/>
                <w:sz w:val="12"/>
                <w:szCs w:val="16"/>
                <w:lang w:val="es-CO" w:eastAsia="es-CO"/>
              </w:rPr>
              <w:t>322</w:t>
            </w:r>
          </w:p>
        </w:tc>
      </w:tr>
    </w:tbl>
    <w:p w14:paraId="3FE54C0D" w14:textId="77777777" w:rsidR="00BA56AD" w:rsidRPr="00011D38" w:rsidRDefault="00BA56AD" w:rsidP="00BA56AD">
      <w:pPr>
        <w:ind w:left="9204"/>
      </w:pPr>
      <w:r w:rsidRPr="00011D38">
        <w:t>”</w:t>
      </w:r>
    </w:p>
    <w:p w14:paraId="05EA9442" w14:textId="77777777" w:rsidR="007C296C" w:rsidRDefault="007C296C" w:rsidP="00BA56AD">
      <w:pPr>
        <w:rPr>
          <w:b/>
        </w:rPr>
      </w:pPr>
    </w:p>
    <w:p w14:paraId="5AA35A8C" w14:textId="66BD441A" w:rsidR="00BA56AD" w:rsidRDefault="00BA56AD" w:rsidP="00BA56AD">
      <w:r w:rsidRPr="00F2436D">
        <w:rPr>
          <w:b/>
        </w:rPr>
        <w:t xml:space="preserve">ARTÍCULO </w:t>
      </w:r>
      <w:r>
        <w:rPr>
          <w:b/>
        </w:rPr>
        <w:t>8</w:t>
      </w:r>
      <w:r w:rsidRPr="00F2436D">
        <w:rPr>
          <w:b/>
        </w:rPr>
        <w:t>.</w:t>
      </w:r>
      <w:r w:rsidRPr="00F2436D">
        <w:t xml:space="preserve"> Modificar el </w:t>
      </w:r>
      <w:r>
        <w:t>Anexo</w:t>
      </w:r>
      <w:r w:rsidRPr="00F2436D">
        <w:t xml:space="preserve"> </w:t>
      </w:r>
      <w:r>
        <w:t>3</w:t>
      </w:r>
      <w:r w:rsidRPr="00F2436D">
        <w:t xml:space="preserve"> “</w:t>
      </w:r>
      <w:r>
        <w:t>Proyección de Gastos de AOM – Administración, Operación y Mantenimiento</w:t>
      </w:r>
      <w:r w:rsidRPr="00F2436D">
        <w:t xml:space="preserve">” de la Resolución CREG </w:t>
      </w:r>
      <w:r>
        <w:t>005 de 2019</w:t>
      </w:r>
      <w:r w:rsidRPr="00F2436D">
        <w:t xml:space="preserve">, </w:t>
      </w:r>
      <w:r>
        <w:t xml:space="preserve">de acuerdo con lo manifestado en el recurso de reposición interpuesto por ALCANOS S.A. E.S.P., </w:t>
      </w:r>
      <w:r w:rsidRPr="00F2436D">
        <w:t>el cual quedará así:</w:t>
      </w:r>
    </w:p>
    <w:p w14:paraId="59D63DBB" w14:textId="77777777" w:rsidR="00BA56AD" w:rsidRDefault="00BA56AD" w:rsidP="00BA56AD"/>
    <w:p w14:paraId="47712051" w14:textId="77777777" w:rsidR="007C296C" w:rsidRDefault="007C296C" w:rsidP="00BA56AD">
      <w:pPr>
        <w:widowControl w:val="0"/>
        <w:adjustRightInd w:val="0"/>
        <w:jc w:val="center"/>
        <w:rPr>
          <w:rFonts w:cs="Arial"/>
          <w:b/>
          <w:i/>
          <w:sz w:val="22"/>
          <w:szCs w:val="22"/>
        </w:rPr>
      </w:pPr>
    </w:p>
    <w:p w14:paraId="13D96328" w14:textId="77777777" w:rsidR="007C296C" w:rsidRDefault="007C296C" w:rsidP="00BA56AD">
      <w:pPr>
        <w:widowControl w:val="0"/>
        <w:adjustRightInd w:val="0"/>
        <w:jc w:val="center"/>
        <w:rPr>
          <w:rFonts w:cs="Arial"/>
          <w:b/>
          <w:i/>
          <w:sz w:val="22"/>
          <w:szCs w:val="22"/>
        </w:rPr>
      </w:pPr>
    </w:p>
    <w:p w14:paraId="78151490" w14:textId="77777777" w:rsidR="007C296C" w:rsidRDefault="007C296C" w:rsidP="00BA56AD">
      <w:pPr>
        <w:widowControl w:val="0"/>
        <w:adjustRightInd w:val="0"/>
        <w:jc w:val="center"/>
        <w:rPr>
          <w:rFonts w:cs="Arial"/>
          <w:b/>
          <w:i/>
          <w:sz w:val="22"/>
          <w:szCs w:val="22"/>
        </w:rPr>
      </w:pPr>
    </w:p>
    <w:p w14:paraId="70B303A4" w14:textId="77777777" w:rsidR="007C296C" w:rsidRDefault="007C296C" w:rsidP="00BA56AD">
      <w:pPr>
        <w:widowControl w:val="0"/>
        <w:adjustRightInd w:val="0"/>
        <w:jc w:val="center"/>
        <w:rPr>
          <w:rFonts w:cs="Arial"/>
          <w:b/>
          <w:i/>
          <w:sz w:val="22"/>
          <w:szCs w:val="22"/>
        </w:rPr>
      </w:pPr>
    </w:p>
    <w:p w14:paraId="47D5A62B" w14:textId="590F468C" w:rsidR="00BA56AD" w:rsidRPr="006009A7" w:rsidRDefault="00BA56AD" w:rsidP="00BA56AD">
      <w:pPr>
        <w:widowControl w:val="0"/>
        <w:adjustRightInd w:val="0"/>
        <w:jc w:val="center"/>
        <w:rPr>
          <w:rFonts w:cs="Arial"/>
          <w:b/>
          <w:i/>
          <w:sz w:val="22"/>
          <w:szCs w:val="22"/>
        </w:rPr>
      </w:pPr>
      <w:r w:rsidRPr="006009A7">
        <w:rPr>
          <w:rFonts w:cs="Arial"/>
          <w:b/>
          <w:i/>
          <w:sz w:val="22"/>
          <w:szCs w:val="22"/>
        </w:rPr>
        <w:t>“ANEXO 3</w:t>
      </w:r>
    </w:p>
    <w:p w14:paraId="6A549C61" w14:textId="77777777" w:rsidR="00BA56AD" w:rsidRPr="006009A7" w:rsidRDefault="00BA56AD" w:rsidP="00BA56AD">
      <w:pPr>
        <w:widowControl w:val="0"/>
        <w:adjustRightInd w:val="0"/>
        <w:jc w:val="center"/>
        <w:rPr>
          <w:rFonts w:cs="Arial"/>
          <w:b/>
          <w:i/>
          <w:sz w:val="22"/>
          <w:szCs w:val="22"/>
        </w:rPr>
      </w:pPr>
    </w:p>
    <w:p w14:paraId="4B00307F" w14:textId="77777777" w:rsidR="00BA56AD" w:rsidRPr="006009A7" w:rsidRDefault="00BA56AD" w:rsidP="00BA56AD">
      <w:pPr>
        <w:widowControl w:val="0"/>
        <w:adjustRightInd w:val="0"/>
        <w:jc w:val="center"/>
        <w:rPr>
          <w:rFonts w:cs="Arial"/>
          <w:b/>
          <w:i/>
          <w:sz w:val="22"/>
          <w:szCs w:val="22"/>
        </w:rPr>
      </w:pPr>
      <w:r w:rsidRPr="006009A7">
        <w:rPr>
          <w:rFonts w:cs="Arial"/>
          <w:b/>
          <w:i/>
          <w:sz w:val="22"/>
          <w:szCs w:val="22"/>
        </w:rPr>
        <w:t>PROYECCIÓN DE GASTOS AOM-</w:t>
      </w:r>
    </w:p>
    <w:p w14:paraId="61514A42" w14:textId="77777777" w:rsidR="00BA56AD" w:rsidRPr="006009A7" w:rsidRDefault="00BA56AD" w:rsidP="00BA56AD">
      <w:pPr>
        <w:widowControl w:val="0"/>
        <w:adjustRightInd w:val="0"/>
        <w:jc w:val="center"/>
        <w:rPr>
          <w:rFonts w:cs="Arial"/>
          <w:b/>
          <w:i/>
          <w:sz w:val="22"/>
          <w:szCs w:val="22"/>
        </w:rPr>
      </w:pPr>
      <w:r w:rsidRPr="006009A7">
        <w:rPr>
          <w:rFonts w:cs="Arial"/>
          <w:b/>
          <w:i/>
          <w:sz w:val="22"/>
          <w:szCs w:val="22"/>
        </w:rPr>
        <w:t xml:space="preserve"> ADMINISTRACIÓN, OPERACIÓN Y MANTENIMIENTO </w:t>
      </w:r>
    </w:p>
    <w:p w14:paraId="069AA2D1" w14:textId="77777777" w:rsidR="00BA56AD" w:rsidRPr="006009A7" w:rsidRDefault="00BA56AD" w:rsidP="00BA56AD">
      <w:pPr>
        <w:widowControl w:val="0"/>
        <w:adjustRightInd w:val="0"/>
        <w:jc w:val="center"/>
        <w:rPr>
          <w:rFonts w:cs="Arial"/>
          <w:b/>
          <w:i/>
          <w:sz w:val="22"/>
          <w:szCs w:val="22"/>
        </w:rPr>
      </w:pPr>
    </w:p>
    <w:tbl>
      <w:tblPr>
        <w:tblW w:w="3707" w:type="dxa"/>
        <w:jc w:val="center"/>
        <w:tblCellMar>
          <w:left w:w="70" w:type="dxa"/>
          <w:right w:w="70" w:type="dxa"/>
        </w:tblCellMar>
        <w:tblLook w:val="04A0" w:firstRow="1" w:lastRow="0" w:firstColumn="1" w:lastColumn="0" w:noHBand="0" w:noVBand="1"/>
      </w:tblPr>
      <w:tblGrid>
        <w:gridCol w:w="1738"/>
        <w:gridCol w:w="1969"/>
      </w:tblGrid>
      <w:tr w:rsidR="00BA56AD" w:rsidRPr="006009A7" w14:paraId="3EA265F5" w14:textId="77777777" w:rsidTr="007C296C">
        <w:trPr>
          <w:trHeight w:val="476"/>
          <w:tblHeader/>
          <w:jc w:val="center"/>
        </w:trPr>
        <w:tc>
          <w:tcPr>
            <w:tcW w:w="17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64E16C"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AÑO</w:t>
            </w:r>
          </w:p>
        </w:tc>
        <w:tc>
          <w:tcPr>
            <w:tcW w:w="1969" w:type="dxa"/>
            <w:tcBorders>
              <w:top w:val="single" w:sz="4" w:space="0" w:color="auto"/>
              <w:left w:val="nil"/>
              <w:bottom w:val="single" w:sz="4" w:space="0" w:color="auto"/>
              <w:right w:val="single" w:sz="4" w:space="0" w:color="auto"/>
            </w:tcBorders>
            <w:shd w:val="clear" w:color="auto" w:fill="D9D9D9"/>
            <w:vAlign w:val="center"/>
            <w:hideMark/>
          </w:tcPr>
          <w:p w14:paraId="3A28E099"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GASTOS AOM</w:t>
            </w:r>
          </w:p>
          <w:p w14:paraId="4D3D2ADE"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 dic 2017)</w:t>
            </w:r>
          </w:p>
        </w:tc>
      </w:tr>
      <w:tr w:rsidR="00BA56AD" w:rsidRPr="006009A7" w14:paraId="3E84A4FE" w14:textId="77777777" w:rsidTr="007C296C">
        <w:trPr>
          <w:trHeight w:val="250"/>
          <w:jc w:val="center"/>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E43A3"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1</w:t>
            </w:r>
          </w:p>
        </w:tc>
        <w:tc>
          <w:tcPr>
            <w:tcW w:w="1969" w:type="dxa"/>
            <w:tcBorders>
              <w:top w:val="single" w:sz="4" w:space="0" w:color="auto"/>
              <w:left w:val="nil"/>
              <w:bottom w:val="single" w:sz="4" w:space="0" w:color="auto"/>
              <w:right w:val="single" w:sz="4" w:space="0" w:color="auto"/>
            </w:tcBorders>
            <w:shd w:val="clear" w:color="auto" w:fill="auto"/>
            <w:noWrap/>
            <w:vAlign w:val="bottom"/>
          </w:tcPr>
          <w:p w14:paraId="44E5CA09" w14:textId="77777777" w:rsidR="00BA56AD" w:rsidRPr="007C296C" w:rsidRDefault="00BA56AD" w:rsidP="00FB5615">
            <w:pPr>
              <w:jc w:val="center"/>
              <w:rPr>
                <w:i/>
                <w:sz w:val="20"/>
                <w:szCs w:val="22"/>
                <w:lang w:val="es-CO" w:eastAsia="es-CO"/>
              </w:rPr>
            </w:pPr>
            <w:r w:rsidRPr="007C296C">
              <w:rPr>
                <w:i/>
                <w:color w:val="000000"/>
                <w:sz w:val="20"/>
                <w:szCs w:val="22"/>
              </w:rPr>
              <w:t>335.870.605</w:t>
            </w:r>
          </w:p>
        </w:tc>
      </w:tr>
      <w:tr w:rsidR="00BA56AD" w:rsidRPr="006009A7" w14:paraId="14887024" w14:textId="77777777" w:rsidTr="007C296C">
        <w:trPr>
          <w:trHeight w:val="135"/>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01BA896E"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2</w:t>
            </w:r>
          </w:p>
        </w:tc>
        <w:tc>
          <w:tcPr>
            <w:tcW w:w="1969" w:type="dxa"/>
            <w:tcBorders>
              <w:top w:val="nil"/>
              <w:left w:val="nil"/>
              <w:bottom w:val="single" w:sz="4" w:space="0" w:color="auto"/>
              <w:right w:val="single" w:sz="4" w:space="0" w:color="auto"/>
            </w:tcBorders>
            <w:shd w:val="clear" w:color="auto" w:fill="auto"/>
            <w:noWrap/>
            <w:vAlign w:val="bottom"/>
          </w:tcPr>
          <w:p w14:paraId="6C36FCAD" w14:textId="77777777" w:rsidR="00BA56AD" w:rsidRPr="007C296C" w:rsidRDefault="00BA56AD" w:rsidP="00FB5615">
            <w:pPr>
              <w:ind w:left="-73"/>
              <w:jc w:val="center"/>
              <w:rPr>
                <w:i/>
                <w:sz w:val="20"/>
                <w:szCs w:val="22"/>
              </w:rPr>
            </w:pPr>
            <w:r w:rsidRPr="007C296C">
              <w:rPr>
                <w:i/>
                <w:color w:val="000000"/>
                <w:sz w:val="20"/>
                <w:szCs w:val="22"/>
              </w:rPr>
              <w:t>341.714.288</w:t>
            </w:r>
          </w:p>
        </w:tc>
      </w:tr>
      <w:tr w:rsidR="00BA56AD" w:rsidRPr="006009A7" w14:paraId="615EDF0C"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5142BFDD"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3</w:t>
            </w:r>
          </w:p>
        </w:tc>
        <w:tc>
          <w:tcPr>
            <w:tcW w:w="1969" w:type="dxa"/>
            <w:tcBorders>
              <w:top w:val="nil"/>
              <w:left w:val="nil"/>
              <w:bottom w:val="single" w:sz="4" w:space="0" w:color="auto"/>
              <w:right w:val="single" w:sz="4" w:space="0" w:color="auto"/>
            </w:tcBorders>
            <w:shd w:val="clear" w:color="auto" w:fill="auto"/>
            <w:noWrap/>
            <w:vAlign w:val="bottom"/>
          </w:tcPr>
          <w:p w14:paraId="08C75043" w14:textId="77777777" w:rsidR="00BA56AD" w:rsidRPr="007C296C" w:rsidRDefault="00BA56AD" w:rsidP="00FB5615">
            <w:pPr>
              <w:ind w:left="-73"/>
              <w:jc w:val="center"/>
              <w:rPr>
                <w:i/>
                <w:sz w:val="20"/>
                <w:szCs w:val="22"/>
              </w:rPr>
            </w:pPr>
            <w:r w:rsidRPr="007C296C">
              <w:rPr>
                <w:i/>
                <w:color w:val="000000"/>
                <w:sz w:val="20"/>
                <w:szCs w:val="22"/>
              </w:rPr>
              <w:t>346.382.688</w:t>
            </w:r>
          </w:p>
        </w:tc>
      </w:tr>
      <w:tr w:rsidR="00BA56AD" w:rsidRPr="006009A7" w14:paraId="33A59752"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0F9FBEDB"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4</w:t>
            </w:r>
          </w:p>
        </w:tc>
        <w:tc>
          <w:tcPr>
            <w:tcW w:w="1969" w:type="dxa"/>
            <w:tcBorders>
              <w:top w:val="nil"/>
              <w:left w:val="nil"/>
              <w:bottom w:val="single" w:sz="4" w:space="0" w:color="auto"/>
              <w:right w:val="single" w:sz="4" w:space="0" w:color="auto"/>
            </w:tcBorders>
            <w:shd w:val="clear" w:color="auto" w:fill="auto"/>
            <w:noWrap/>
            <w:vAlign w:val="bottom"/>
          </w:tcPr>
          <w:p w14:paraId="7E6995D2" w14:textId="77777777" w:rsidR="00BA56AD" w:rsidRPr="007C296C" w:rsidRDefault="00BA56AD" w:rsidP="00FB5615">
            <w:pPr>
              <w:ind w:left="-73"/>
              <w:jc w:val="center"/>
              <w:rPr>
                <w:i/>
                <w:sz w:val="20"/>
                <w:szCs w:val="22"/>
              </w:rPr>
            </w:pPr>
            <w:r w:rsidRPr="007C296C">
              <w:rPr>
                <w:i/>
                <w:color w:val="000000"/>
                <w:sz w:val="20"/>
                <w:szCs w:val="22"/>
              </w:rPr>
              <w:t>352.274.300</w:t>
            </w:r>
          </w:p>
        </w:tc>
      </w:tr>
      <w:tr w:rsidR="00BA56AD" w:rsidRPr="006009A7" w14:paraId="2015691D"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72AAEC58"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5</w:t>
            </w:r>
          </w:p>
        </w:tc>
        <w:tc>
          <w:tcPr>
            <w:tcW w:w="1969" w:type="dxa"/>
            <w:tcBorders>
              <w:top w:val="nil"/>
              <w:left w:val="nil"/>
              <w:bottom w:val="single" w:sz="4" w:space="0" w:color="auto"/>
              <w:right w:val="single" w:sz="4" w:space="0" w:color="auto"/>
            </w:tcBorders>
            <w:shd w:val="clear" w:color="auto" w:fill="auto"/>
            <w:noWrap/>
            <w:vAlign w:val="bottom"/>
          </w:tcPr>
          <w:p w14:paraId="2239D7B8" w14:textId="77777777" w:rsidR="00BA56AD" w:rsidRPr="007C296C" w:rsidRDefault="00BA56AD" w:rsidP="00FB5615">
            <w:pPr>
              <w:ind w:left="-73"/>
              <w:jc w:val="center"/>
              <w:rPr>
                <w:i/>
                <w:sz w:val="20"/>
                <w:szCs w:val="22"/>
              </w:rPr>
            </w:pPr>
            <w:r w:rsidRPr="007C296C">
              <w:rPr>
                <w:i/>
                <w:color w:val="000000"/>
                <w:sz w:val="20"/>
                <w:szCs w:val="22"/>
              </w:rPr>
              <w:t>358.443.023</w:t>
            </w:r>
          </w:p>
        </w:tc>
      </w:tr>
      <w:tr w:rsidR="00BA56AD" w:rsidRPr="006009A7" w14:paraId="1036C75E"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706E4B02"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6</w:t>
            </w:r>
          </w:p>
        </w:tc>
        <w:tc>
          <w:tcPr>
            <w:tcW w:w="1969" w:type="dxa"/>
            <w:tcBorders>
              <w:top w:val="nil"/>
              <w:left w:val="nil"/>
              <w:bottom w:val="single" w:sz="4" w:space="0" w:color="auto"/>
              <w:right w:val="single" w:sz="4" w:space="0" w:color="auto"/>
            </w:tcBorders>
            <w:shd w:val="clear" w:color="auto" w:fill="auto"/>
            <w:noWrap/>
            <w:vAlign w:val="bottom"/>
          </w:tcPr>
          <w:p w14:paraId="524084E3" w14:textId="77777777" w:rsidR="00BA56AD" w:rsidRPr="007C296C" w:rsidRDefault="00BA56AD" w:rsidP="00FB5615">
            <w:pPr>
              <w:ind w:left="-73"/>
              <w:jc w:val="center"/>
              <w:rPr>
                <w:i/>
                <w:sz w:val="20"/>
                <w:szCs w:val="22"/>
              </w:rPr>
            </w:pPr>
            <w:r w:rsidRPr="007C296C">
              <w:rPr>
                <w:i/>
                <w:color w:val="000000"/>
                <w:sz w:val="20"/>
                <w:szCs w:val="22"/>
              </w:rPr>
              <w:t>364.673.488</w:t>
            </w:r>
          </w:p>
        </w:tc>
      </w:tr>
      <w:tr w:rsidR="00BA56AD" w:rsidRPr="006009A7" w14:paraId="18508986"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208B1EE4"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7</w:t>
            </w:r>
          </w:p>
        </w:tc>
        <w:tc>
          <w:tcPr>
            <w:tcW w:w="1969" w:type="dxa"/>
            <w:tcBorders>
              <w:top w:val="nil"/>
              <w:left w:val="nil"/>
              <w:bottom w:val="single" w:sz="4" w:space="0" w:color="auto"/>
              <w:right w:val="single" w:sz="4" w:space="0" w:color="auto"/>
            </w:tcBorders>
            <w:shd w:val="clear" w:color="auto" w:fill="auto"/>
            <w:noWrap/>
            <w:vAlign w:val="bottom"/>
          </w:tcPr>
          <w:p w14:paraId="142CDE15" w14:textId="77777777" w:rsidR="00BA56AD" w:rsidRPr="007C296C" w:rsidRDefault="00BA56AD" w:rsidP="00FB5615">
            <w:pPr>
              <w:ind w:left="-73"/>
              <w:jc w:val="center"/>
              <w:rPr>
                <w:i/>
                <w:sz w:val="20"/>
                <w:szCs w:val="22"/>
              </w:rPr>
            </w:pPr>
            <w:r w:rsidRPr="007C296C">
              <w:rPr>
                <w:i/>
                <w:color w:val="000000"/>
                <w:sz w:val="20"/>
                <w:szCs w:val="22"/>
              </w:rPr>
              <w:t>371.021.625</w:t>
            </w:r>
          </w:p>
        </w:tc>
      </w:tr>
      <w:tr w:rsidR="00BA56AD" w:rsidRPr="006009A7" w14:paraId="04BD5B51"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4B88E81"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8</w:t>
            </w:r>
          </w:p>
        </w:tc>
        <w:tc>
          <w:tcPr>
            <w:tcW w:w="1969" w:type="dxa"/>
            <w:tcBorders>
              <w:top w:val="nil"/>
              <w:left w:val="nil"/>
              <w:bottom w:val="single" w:sz="4" w:space="0" w:color="auto"/>
              <w:right w:val="single" w:sz="4" w:space="0" w:color="auto"/>
            </w:tcBorders>
            <w:shd w:val="clear" w:color="auto" w:fill="auto"/>
            <w:noWrap/>
            <w:vAlign w:val="bottom"/>
          </w:tcPr>
          <w:p w14:paraId="173FC6E1" w14:textId="77777777" w:rsidR="00BA56AD" w:rsidRPr="007C296C" w:rsidRDefault="00BA56AD" w:rsidP="00FB5615">
            <w:pPr>
              <w:ind w:left="-73"/>
              <w:jc w:val="center"/>
              <w:rPr>
                <w:i/>
                <w:sz w:val="20"/>
                <w:szCs w:val="22"/>
              </w:rPr>
            </w:pPr>
            <w:r w:rsidRPr="007C296C">
              <w:rPr>
                <w:i/>
                <w:color w:val="000000"/>
                <w:sz w:val="20"/>
                <w:szCs w:val="22"/>
              </w:rPr>
              <w:t>377.596.754</w:t>
            </w:r>
          </w:p>
        </w:tc>
      </w:tr>
      <w:tr w:rsidR="00BA56AD" w:rsidRPr="006009A7" w14:paraId="5440B76D"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F64E107"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9</w:t>
            </w:r>
          </w:p>
        </w:tc>
        <w:tc>
          <w:tcPr>
            <w:tcW w:w="1969" w:type="dxa"/>
            <w:tcBorders>
              <w:top w:val="nil"/>
              <w:left w:val="nil"/>
              <w:bottom w:val="single" w:sz="4" w:space="0" w:color="auto"/>
              <w:right w:val="single" w:sz="4" w:space="0" w:color="auto"/>
            </w:tcBorders>
            <w:shd w:val="clear" w:color="auto" w:fill="auto"/>
            <w:noWrap/>
            <w:vAlign w:val="bottom"/>
          </w:tcPr>
          <w:p w14:paraId="0C19C900" w14:textId="77777777" w:rsidR="00BA56AD" w:rsidRPr="007C296C" w:rsidRDefault="00BA56AD" w:rsidP="00FB5615">
            <w:pPr>
              <w:ind w:left="-73"/>
              <w:jc w:val="center"/>
              <w:rPr>
                <w:i/>
                <w:sz w:val="20"/>
                <w:szCs w:val="22"/>
              </w:rPr>
            </w:pPr>
            <w:r w:rsidRPr="007C296C">
              <w:rPr>
                <w:i/>
                <w:color w:val="000000"/>
                <w:sz w:val="20"/>
                <w:szCs w:val="22"/>
              </w:rPr>
              <w:t>384.277.207</w:t>
            </w:r>
          </w:p>
        </w:tc>
      </w:tr>
      <w:tr w:rsidR="00BA56AD" w:rsidRPr="006009A7" w14:paraId="21F1C325"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51C9B3CD"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10</w:t>
            </w:r>
          </w:p>
        </w:tc>
        <w:tc>
          <w:tcPr>
            <w:tcW w:w="1969" w:type="dxa"/>
            <w:tcBorders>
              <w:top w:val="nil"/>
              <w:left w:val="nil"/>
              <w:bottom w:val="single" w:sz="4" w:space="0" w:color="auto"/>
              <w:right w:val="single" w:sz="4" w:space="0" w:color="auto"/>
            </w:tcBorders>
            <w:shd w:val="clear" w:color="auto" w:fill="auto"/>
            <w:noWrap/>
            <w:vAlign w:val="bottom"/>
          </w:tcPr>
          <w:p w14:paraId="4203AC32" w14:textId="77777777" w:rsidR="00BA56AD" w:rsidRPr="007C296C" w:rsidRDefault="00BA56AD" w:rsidP="00FB5615">
            <w:pPr>
              <w:ind w:left="-73"/>
              <w:jc w:val="center"/>
              <w:rPr>
                <w:i/>
                <w:sz w:val="20"/>
                <w:szCs w:val="22"/>
              </w:rPr>
            </w:pPr>
            <w:r w:rsidRPr="007C296C">
              <w:rPr>
                <w:i/>
                <w:color w:val="000000"/>
                <w:sz w:val="20"/>
                <w:szCs w:val="22"/>
              </w:rPr>
              <w:t>391.069.159</w:t>
            </w:r>
          </w:p>
        </w:tc>
      </w:tr>
      <w:tr w:rsidR="00BA56AD" w:rsidRPr="006009A7" w14:paraId="5047A9FF"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52D83922"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11</w:t>
            </w:r>
          </w:p>
        </w:tc>
        <w:tc>
          <w:tcPr>
            <w:tcW w:w="1969" w:type="dxa"/>
            <w:tcBorders>
              <w:top w:val="nil"/>
              <w:left w:val="nil"/>
              <w:bottom w:val="single" w:sz="4" w:space="0" w:color="auto"/>
              <w:right w:val="single" w:sz="4" w:space="0" w:color="auto"/>
            </w:tcBorders>
            <w:shd w:val="clear" w:color="auto" w:fill="auto"/>
            <w:noWrap/>
            <w:vAlign w:val="bottom"/>
          </w:tcPr>
          <w:p w14:paraId="4C14AD42" w14:textId="77777777" w:rsidR="00BA56AD" w:rsidRPr="007C296C" w:rsidRDefault="00BA56AD" w:rsidP="00FB5615">
            <w:pPr>
              <w:ind w:left="-73"/>
              <w:jc w:val="center"/>
              <w:rPr>
                <w:i/>
                <w:sz w:val="20"/>
                <w:szCs w:val="22"/>
              </w:rPr>
            </w:pPr>
            <w:r w:rsidRPr="007C296C">
              <w:rPr>
                <w:i/>
                <w:color w:val="000000"/>
                <w:sz w:val="20"/>
                <w:szCs w:val="22"/>
              </w:rPr>
              <w:t>398.014.375</w:t>
            </w:r>
          </w:p>
        </w:tc>
      </w:tr>
      <w:tr w:rsidR="00BA56AD" w:rsidRPr="006009A7" w14:paraId="3BF9A997"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851807D"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12</w:t>
            </w:r>
          </w:p>
        </w:tc>
        <w:tc>
          <w:tcPr>
            <w:tcW w:w="1969" w:type="dxa"/>
            <w:tcBorders>
              <w:top w:val="nil"/>
              <w:left w:val="nil"/>
              <w:bottom w:val="single" w:sz="4" w:space="0" w:color="auto"/>
              <w:right w:val="single" w:sz="4" w:space="0" w:color="auto"/>
            </w:tcBorders>
            <w:shd w:val="clear" w:color="auto" w:fill="auto"/>
            <w:noWrap/>
            <w:vAlign w:val="bottom"/>
          </w:tcPr>
          <w:p w14:paraId="19BB27FC" w14:textId="77777777" w:rsidR="00BA56AD" w:rsidRPr="007C296C" w:rsidRDefault="00BA56AD" w:rsidP="00FB5615">
            <w:pPr>
              <w:ind w:left="-73"/>
              <w:jc w:val="center"/>
              <w:rPr>
                <w:i/>
                <w:sz w:val="20"/>
                <w:szCs w:val="22"/>
              </w:rPr>
            </w:pPr>
            <w:r w:rsidRPr="007C296C">
              <w:rPr>
                <w:i/>
                <w:color w:val="000000"/>
                <w:sz w:val="20"/>
                <w:szCs w:val="22"/>
              </w:rPr>
              <w:t>405.150.990</w:t>
            </w:r>
          </w:p>
        </w:tc>
      </w:tr>
      <w:tr w:rsidR="00BA56AD" w:rsidRPr="006009A7" w14:paraId="28AFBA59"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73EBE4C9"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13</w:t>
            </w:r>
          </w:p>
        </w:tc>
        <w:tc>
          <w:tcPr>
            <w:tcW w:w="1969" w:type="dxa"/>
            <w:tcBorders>
              <w:top w:val="nil"/>
              <w:left w:val="nil"/>
              <w:bottom w:val="single" w:sz="4" w:space="0" w:color="auto"/>
              <w:right w:val="single" w:sz="4" w:space="0" w:color="auto"/>
            </w:tcBorders>
            <w:shd w:val="clear" w:color="auto" w:fill="auto"/>
            <w:noWrap/>
            <w:vAlign w:val="bottom"/>
          </w:tcPr>
          <w:p w14:paraId="3BB4F88B" w14:textId="77777777" w:rsidR="00BA56AD" w:rsidRPr="007C296C" w:rsidRDefault="00BA56AD" w:rsidP="00FB5615">
            <w:pPr>
              <w:ind w:left="-73"/>
              <w:jc w:val="center"/>
              <w:rPr>
                <w:i/>
                <w:sz w:val="20"/>
                <w:szCs w:val="22"/>
              </w:rPr>
            </w:pPr>
            <w:r w:rsidRPr="007C296C">
              <w:rPr>
                <w:i/>
                <w:color w:val="000000"/>
                <w:sz w:val="20"/>
                <w:szCs w:val="22"/>
              </w:rPr>
              <w:t>412.436.875</w:t>
            </w:r>
          </w:p>
        </w:tc>
      </w:tr>
      <w:tr w:rsidR="00BA56AD" w:rsidRPr="006009A7" w14:paraId="65BF2AE9"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788CB79A"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14</w:t>
            </w:r>
          </w:p>
        </w:tc>
        <w:tc>
          <w:tcPr>
            <w:tcW w:w="1969" w:type="dxa"/>
            <w:tcBorders>
              <w:top w:val="nil"/>
              <w:left w:val="nil"/>
              <w:bottom w:val="single" w:sz="4" w:space="0" w:color="auto"/>
              <w:right w:val="single" w:sz="4" w:space="0" w:color="auto"/>
            </w:tcBorders>
            <w:shd w:val="clear" w:color="auto" w:fill="auto"/>
            <w:noWrap/>
            <w:vAlign w:val="bottom"/>
          </w:tcPr>
          <w:p w14:paraId="496C95E4" w14:textId="77777777" w:rsidR="00BA56AD" w:rsidRPr="007C296C" w:rsidRDefault="00BA56AD" w:rsidP="00FB5615">
            <w:pPr>
              <w:ind w:left="-73"/>
              <w:jc w:val="center"/>
              <w:rPr>
                <w:i/>
                <w:sz w:val="20"/>
                <w:szCs w:val="22"/>
              </w:rPr>
            </w:pPr>
            <w:r w:rsidRPr="007C296C">
              <w:rPr>
                <w:i/>
                <w:color w:val="000000"/>
                <w:sz w:val="20"/>
                <w:szCs w:val="22"/>
              </w:rPr>
              <w:t>419.837.164</w:t>
            </w:r>
          </w:p>
        </w:tc>
      </w:tr>
      <w:tr w:rsidR="00BA56AD" w:rsidRPr="006009A7" w14:paraId="1F257E36"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71DE19BD"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15</w:t>
            </w:r>
          </w:p>
        </w:tc>
        <w:tc>
          <w:tcPr>
            <w:tcW w:w="1969" w:type="dxa"/>
            <w:tcBorders>
              <w:top w:val="nil"/>
              <w:left w:val="nil"/>
              <w:bottom w:val="single" w:sz="4" w:space="0" w:color="auto"/>
              <w:right w:val="single" w:sz="4" w:space="0" w:color="auto"/>
            </w:tcBorders>
            <w:shd w:val="clear" w:color="auto" w:fill="auto"/>
            <w:noWrap/>
            <w:vAlign w:val="bottom"/>
          </w:tcPr>
          <w:p w14:paraId="708E537B" w14:textId="77777777" w:rsidR="00BA56AD" w:rsidRPr="007C296C" w:rsidRDefault="00BA56AD" w:rsidP="00FB5615">
            <w:pPr>
              <w:ind w:left="-73"/>
              <w:jc w:val="center"/>
              <w:rPr>
                <w:i/>
                <w:sz w:val="20"/>
                <w:szCs w:val="22"/>
              </w:rPr>
            </w:pPr>
            <w:r w:rsidRPr="007C296C">
              <w:rPr>
                <w:i/>
                <w:color w:val="000000"/>
                <w:sz w:val="20"/>
                <w:szCs w:val="22"/>
              </w:rPr>
              <w:t>427.394.713</w:t>
            </w:r>
          </w:p>
        </w:tc>
      </w:tr>
      <w:tr w:rsidR="00BA56AD" w:rsidRPr="006009A7" w14:paraId="592EEB00"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7C67A013"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16</w:t>
            </w:r>
          </w:p>
        </w:tc>
        <w:tc>
          <w:tcPr>
            <w:tcW w:w="1969" w:type="dxa"/>
            <w:tcBorders>
              <w:top w:val="nil"/>
              <w:left w:val="nil"/>
              <w:bottom w:val="single" w:sz="4" w:space="0" w:color="auto"/>
              <w:right w:val="single" w:sz="4" w:space="0" w:color="auto"/>
            </w:tcBorders>
            <w:shd w:val="clear" w:color="auto" w:fill="auto"/>
            <w:noWrap/>
            <w:vAlign w:val="bottom"/>
          </w:tcPr>
          <w:p w14:paraId="2E74FD87" w14:textId="77777777" w:rsidR="00BA56AD" w:rsidRPr="007C296C" w:rsidRDefault="00BA56AD" w:rsidP="00FB5615">
            <w:pPr>
              <w:ind w:left="-73"/>
              <w:jc w:val="center"/>
              <w:rPr>
                <w:i/>
                <w:sz w:val="20"/>
                <w:szCs w:val="22"/>
              </w:rPr>
            </w:pPr>
            <w:r w:rsidRPr="007C296C">
              <w:rPr>
                <w:i/>
                <w:color w:val="000000"/>
                <w:sz w:val="20"/>
                <w:szCs w:val="22"/>
              </w:rPr>
              <w:t>435.141.481</w:t>
            </w:r>
          </w:p>
        </w:tc>
      </w:tr>
      <w:tr w:rsidR="00BA56AD" w:rsidRPr="006009A7" w14:paraId="6497CDFD"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77FA395C"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17</w:t>
            </w:r>
          </w:p>
        </w:tc>
        <w:tc>
          <w:tcPr>
            <w:tcW w:w="1969" w:type="dxa"/>
            <w:tcBorders>
              <w:top w:val="nil"/>
              <w:left w:val="nil"/>
              <w:bottom w:val="single" w:sz="4" w:space="0" w:color="auto"/>
              <w:right w:val="single" w:sz="4" w:space="0" w:color="auto"/>
            </w:tcBorders>
            <w:shd w:val="clear" w:color="auto" w:fill="auto"/>
            <w:noWrap/>
            <w:vAlign w:val="bottom"/>
          </w:tcPr>
          <w:p w14:paraId="557780DF" w14:textId="77777777" w:rsidR="00BA56AD" w:rsidRPr="007C296C" w:rsidRDefault="00BA56AD" w:rsidP="00FB5615">
            <w:pPr>
              <w:ind w:left="-73"/>
              <w:jc w:val="center"/>
              <w:rPr>
                <w:i/>
                <w:sz w:val="20"/>
                <w:szCs w:val="22"/>
              </w:rPr>
            </w:pPr>
            <w:r w:rsidRPr="007C296C">
              <w:rPr>
                <w:i/>
                <w:color w:val="000000"/>
                <w:sz w:val="20"/>
                <w:szCs w:val="22"/>
              </w:rPr>
              <w:t>443.051.684</w:t>
            </w:r>
          </w:p>
        </w:tc>
      </w:tr>
      <w:tr w:rsidR="00BA56AD" w:rsidRPr="006009A7" w14:paraId="68FA9C98"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2EC66117"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18</w:t>
            </w:r>
          </w:p>
        </w:tc>
        <w:tc>
          <w:tcPr>
            <w:tcW w:w="1969" w:type="dxa"/>
            <w:tcBorders>
              <w:top w:val="nil"/>
              <w:left w:val="nil"/>
              <w:bottom w:val="single" w:sz="4" w:space="0" w:color="auto"/>
              <w:right w:val="single" w:sz="4" w:space="0" w:color="auto"/>
            </w:tcBorders>
            <w:shd w:val="clear" w:color="auto" w:fill="auto"/>
            <w:noWrap/>
            <w:vAlign w:val="bottom"/>
          </w:tcPr>
          <w:p w14:paraId="0B8784B4" w14:textId="77777777" w:rsidR="00BA56AD" w:rsidRPr="007C296C" w:rsidRDefault="00BA56AD" w:rsidP="00FB5615">
            <w:pPr>
              <w:ind w:left="-73"/>
              <w:jc w:val="center"/>
              <w:rPr>
                <w:i/>
                <w:sz w:val="20"/>
                <w:szCs w:val="22"/>
              </w:rPr>
            </w:pPr>
            <w:r w:rsidRPr="007C296C">
              <w:rPr>
                <w:i/>
                <w:color w:val="000000"/>
                <w:sz w:val="20"/>
                <w:szCs w:val="22"/>
              </w:rPr>
              <w:t>451.146.170</w:t>
            </w:r>
          </w:p>
        </w:tc>
      </w:tr>
      <w:tr w:rsidR="00BA56AD" w:rsidRPr="006009A7" w14:paraId="73BBF460"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71565DB0"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19</w:t>
            </w:r>
          </w:p>
        </w:tc>
        <w:tc>
          <w:tcPr>
            <w:tcW w:w="1969" w:type="dxa"/>
            <w:tcBorders>
              <w:top w:val="nil"/>
              <w:left w:val="nil"/>
              <w:bottom w:val="single" w:sz="4" w:space="0" w:color="auto"/>
              <w:right w:val="single" w:sz="4" w:space="0" w:color="auto"/>
            </w:tcBorders>
            <w:shd w:val="clear" w:color="auto" w:fill="auto"/>
            <w:noWrap/>
            <w:vAlign w:val="bottom"/>
          </w:tcPr>
          <w:p w14:paraId="19552D6A" w14:textId="77777777" w:rsidR="00BA56AD" w:rsidRPr="007C296C" w:rsidRDefault="00BA56AD" w:rsidP="00FB5615">
            <w:pPr>
              <w:ind w:left="-73"/>
              <w:jc w:val="center"/>
              <w:rPr>
                <w:i/>
                <w:sz w:val="20"/>
                <w:szCs w:val="22"/>
              </w:rPr>
            </w:pPr>
            <w:r w:rsidRPr="007C296C">
              <w:rPr>
                <w:i/>
                <w:color w:val="000000"/>
                <w:sz w:val="20"/>
                <w:szCs w:val="22"/>
              </w:rPr>
              <w:t>459.406.570</w:t>
            </w:r>
          </w:p>
        </w:tc>
      </w:tr>
      <w:tr w:rsidR="00BA56AD" w:rsidRPr="006009A7" w14:paraId="22BE14DD" w14:textId="77777777" w:rsidTr="007C296C">
        <w:trPr>
          <w:trHeight w:val="250"/>
          <w:jc w:val="center"/>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0C9B01E9" w14:textId="77777777" w:rsidR="00BA56AD" w:rsidRPr="007C296C" w:rsidRDefault="00BA56AD" w:rsidP="00FB5615">
            <w:pPr>
              <w:jc w:val="center"/>
              <w:rPr>
                <w:rFonts w:cs="Arial"/>
                <w:b/>
                <w:bCs/>
                <w:i/>
                <w:sz w:val="20"/>
                <w:szCs w:val="22"/>
                <w:lang w:val="es-CO" w:eastAsia="es-CO"/>
              </w:rPr>
            </w:pPr>
            <w:r w:rsidRPr="007C296C">
              <w:rPr>
                <w:rFonts w:cs="Arial"/>
                <w:b/>
                <w:bCs/>
                <w:i/>
                <w:sz w:val="20"/>
                <w:szCs w:val="22"/>
                <w:lang w:val="es-CO" w:eastAsia="es-CO"/>
              </w:rPr>
              <w:t>20</w:t>
            </w:r>
          </w:p>
        </w:tc>
        <w:tc>
          <w:tcPr>
            <w:tcW w:w="1969" w:type="dxa"/>
            <w:tcBorders>
              <w:top w:val="nil"/>
              <w:left w:val="nil"/>
              <w:bottom w:val="single" w:sz="4" w:space="0" w:color="auto"/>
              <w:right w:val="single" w:sz="4" w:space="0" w:color="auto"/>
            </w:tcBorders>
            <w:shd w:val="clear" w:color="auto" w:fill="auto"/>
            <w:noWrap/>
            <w:vAlign w:val="bottom"/>
          </w:tcPr>
          <w:p w14:paraId="31A50503" w14:textId="77777777" w:rsidR="00BA56AD" w:rsidRPr="007C296C" w:rsidRDefault="00BA56AD" w:rsidP="00FB5615">
            <w:pPr>
              <w:ind w:left="-73"/>
              <w:jc w:val="center"/>
              <w:rPr>
                <w:i/>
                <w:sz w:val="20"/>
                <w:szCs w:val="22"/>
              </w:rPr>
            </w:pPr>
            <w:r w:rsidRPr="007C296C">
              <w:rPr>
                <w:i/>
                <w:color w:val="000000"/>
                <w:sz w:val="20"/>
                <w:szCs w:val="22"/>
              </w:rPr>
              <w:t>467.844.508</w:t>
            </w:r>
          </w:p>
        </w:tc>
      </w:tr>
      <w:tr w:rsidR="00BA56AD" w:rsidRPr="006009A7" w14:paraId="4F5DD8B7" w14:textId="77777777" w:rsidTr="007C296C">
        <w:trPr>
          <w:trHeight w:val="238"/>
          <w:jc w:val="center"/>
        </w:trPr>
        <w:tc>
          <w:tcPr>
            <w:tcW w:w="1738" w:type="dxa"/>
            <w:tcBorders>
              <w:top w:val="single" w:sz="4" w:space="0" w:color="auto"/>
              <w:left w:val="single" w:sz="4" w:space="0" w:color="auto"/>
              <w:bottom w:val="single" w:sz="4" w:space="0" w:color="auto"/>
              <w:right w:val="single" w:sz="4" w:space="0" w:color="auto"/>
            </w:tcBorders>
            <w:shd w:val="clear" w:color="auto" w:fill="auto"/>
            <w:noWrap/>
          </w:tcPr>
          <w:p w14:paraId="713334C7" w14:textId="77777777" w:rsidR="00BA56AD" w:rsidRPr="007C296C" w:rsidRDefault="00BA56AD" w:rsidP="00FB5615">
            <w:pPr>
              <w:ind w:left="-31"/>
              <w:jc w:val="center"/>
              <w:rPr>
                <w:i/>
                <w:sz w:val="20"/>
                <w:szCs w:val="22"/>
              </w:rPr>
            </w:pPr>
            <w:r w:rsidRPr="007C296C">
              <w:rPr>
                <w:rFonts w:cs="Arial"/>
                <w:b/>
                <w:bCs/>
                <w:i/>
                <w:sz w:val="20"/>
                <w:szCs w:val="22"/>
                <w:lang w:val="es-CO" w:eastAsia="es-CO"/>
              </w:rPr>
              <w:t xml:space="preserve">VPN(2019 </w:t>
            </w:r>
            <w:r w:rsidRPr="007C296C">
              <w:rPr>
                <w:rFonts w:cs="Arial"/>
                <w:b/>
                <w:bCs/>
                <w:i/>
                <w:color w:val="000000"/>
                <w:sz w:val="20"/>
                <w:szCs w:val="22"/>
                <w:lang w:eastAsia="es-CO"/>
              </w:rPr>
              <w:t>en adelante</w:t>
            </w:r>
            <w:r w:rsidRPr="007C296C">
              <w:rPr>
                <w:rFonts w:cs="Arial"/>
                <w:b/>
                <w:bCs/>
                <w:i/>
                <w:sz w:val="20"/>
                <w:szCs w:val="22"/>
                <w:lang w:val="es-CO" w:eastAsia="es-CO"/>
              </w:rPr>
              <w:t>)</w:t>
            </w: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547CB5F8" w14:textId="77777777" w:rsidR="00BA56AD" w:rsidRPr="007C296C" w:rsidRDefault="00BA56AD" w:rsidP="00FB5615">
            <w:pPr>
              <w:jc w:val="center"/>
              <w:rPr>
                <w:b/>
                <w:i/>
                <w:sz w:val="20"/>
                <w:szCs w:val="22"/>
              </w:rPr>
            </w:pPr>
            <w:r w:rsidRPr="007C296C">
              <w:rPr>
                <w:rFonts w:cs="Arial"/>
                <w:b/>
                <w:i/>
                <w:color w:val="000000"/>
                <w:sz w:val="20"/>
                <w:lang w:eastAsia="es-CO"/>
              </w:rPr>
              <w:t>2.733.583.326</w:t>
            </w:r>
          </w:p>
        </w:tc>
      </w:tr>
    </w:tbl>
    <w:p w14:paraId="5E4FB45A" w14:textId="77777777" w:rsidR="00BA56AD" w:rsidRPr="00102569" w:rsidRDefault="00BA56AD" w:rsidP="00BA56AD">
      <w:pPr>
        <w:ind w:left="6372" w:firstLine="708"/>
      </w:pPr>
      <w:r w:rsidRPr="00102569">
        <w:t>”</w:t>
      </w:r>
    </w:p>
    <w:p w14:paraId="32C6D2AA" w14:textId="77777777" w:rsidR="00BA56AD" w:rsidRDefault="00BA56AD" w:rsidP="00BA56AD">
      <w:pPr>
        <w:rPr>
          <w:b/>
        </w:rPr>
      </w:pPr>
    </w:p>
    <w:p w14:paraId="108C81CD" w14:textId="77777777" w:rsidR="00BA56AD" w:rsidRPr="00F2436D" w:rsidRDefault="00BA56AD" w:rsidP="00BA56AD">
      <w:r w:rsidRPr="00F2436D">
        <w:rPr>
          <w:b/>
        </w:rPr>
        <w:t xml:space="preserve">ARTÍCULO </w:t>
      </w:r>
      <w:r>
        <w:rPr>
          <w:b/>
        </w:rPr>
        <w:t>9</w:t>
      </w:r>
      <w:r w:rsidRPr="00F2436D">
        <w:rPr>
          <w:b/>
        </w:rPr>
        <w:t>.</w:t>
      </w:r>
      <w:r w:rsidRPr="00F2436D">
        <w:t xml:space="preserve"> La presente Resolución deberá notificarse a las empresas </w:t>
      </w:r>
      <w:r>
        <w:t>C.S.P. SOSTENIBLES</w:t>
      </w:r>
      <w:r w:rsidRPr="00F2436D">
        <w:t xml:space="preserve"> S.A. E.S.P. y </w:t>
      </w:r>
      <w:r>
        <w:t>ALCANOS DE COLOMBIA</w:t>
      </w:r>
      <w:r w:rsidRPr="00F2436D">
        <w:t xml:space="preserve"> S.A. E.S.P. y publicarse en el </w:t>
      </w:r>
      <w:r w:rsidRPr="00055B68">
        <w:rPr>
          <w:i/>
        </w:rPr>
        <w:t>Diario Oficial</w:t>
      </w:r>
      <w:r w:rsidRPr="00F2436D">
        <w:t>. Contra las disposiciones contenidas en esta Resolución no procede recurso alguno.</w:t>
      </w:r>
    </w:p>
    <w:p w14:paraId="795C583B" w14:textId="77777777" w:rsidR="00BA56AD" w:rsidRDefault="00BA56AD" w:rsidP="00BA56AD">
      <w:pPr>
        <w:rPr>
          <w:rFonts w:cs="Arial"/>
          <w:b/>
        </w:rPr>
      </w:pPr>
    </w:p>
    <w:p w14:paraId="66B1C991" w14:textId="77777777" w:rsidR="00BA56AD" w:rsidRPr="008221A6" w:rsidRDefault="00BA56AD" w:rsidP="00BA56AD">
      <w:pPr>
        <w:jc w:val="center"/>
        <w:rPr>
          <w:rFonts w:cs="Arial"/>
          <w:b/>
        </w:rPr>
      </w:pPr>
      <w:r w:rsidRPr="008221A6">
        <w:rPr>
          <w:rFonts w:cs="Arial"/>
          <w:b/>
        </w:rPr>
        <w:t>NOTIFÍQUESE, PUBLÍQUESE Y CÚMPLASE,</w:t>
      </w:r>
    </w:p>
    <w:p w14:paraId="4D8E9C83" w14:textId="77777777" w:rsidR="00BA56AD" w:rsidRDefault="00BA56AD" w:rsidP="00BA56AD">
      <w:pPr>
        <w:rPr>
          <w:rFonts w:cs="Arial"/>
        </w:rPr>
      </w:pPr>
    </w:p>
    <w:p w14:paraId="73172973" w14:textId="084357FF" w:rsidR="00BA56AD" w:rsidRDefault="00BA56AD" w:rsidP="00BA56AD">
      <w:pPr>
        <w:rPr>
          <w:rFonts w:cs="Arial"/>
        </w:rPr>
      </w:pPr>
      <w:r>
        <w:rPr>
          <w:rFonts w:cs="Arial"/>
        </w:rPr>
        <w:t xml:space="preserve">Dada en Bogotá, </w:t>
      </w:r>
      <w:r w:rsidRPr="008221A6">
        <w:rPr>
          <w:rFonts w:cs="Arial"/>
        </w:rPr>
        <w:t xml:space="preserve"> </w:t>
      </w:r>
    </w:p>
    <w:p w14:paraId="1A938E8E" w14:textId="53B1D682" w:rsidR="00055B68" w:rsidRDefault="00055B68" w:rsidP="00BA56AD">
      <w:pPr>
        <w:rPr>
          <w:rFonts w:cs="Arial"/>
        </w:rPr>
      </w:pPr>
    </w:p>
    <w:p w14:paraId="687F0DE5" w14:textId="406F347D" w:rsidR="00055B68" w:rsidRDefault="00055B68" w:rsidP="00BA56AD">
      <w:pPr>
        <w:rPr>
          <w:rFonts w:cs="Arial"/>
        </w:rPr>
      </w:pPr>
    </w:p>
    <w:p w14:paraId="053D6C37" w14:textId="77777777" w:rsidR="00055B68" w:rsidRDefault="00055B68" w:rsidP="00BA56AD">
      <w:pPr>
        <w:rPr>
          <w:rFonts w:cs="Arial"/>
        </w:rPr>
      </w:pPr>
    </w:p>
    <w:tbl>
      <w:tblPr>
        <w:tblW w:w="9532" w:type="dxa"/>
        <w:jc w:val="center"/>
        <w:tblCellSpacing w:w="0" w:type="dxa"/>
        <w:tblCellMar>
          <w:left w:w="0" w:type="dxa"/>
          <w:right w:w="0" w:type="dxa"/>
        </w:tblCellMar>
        <w:tblLook w:val="04A0" w:firstRow="1" w:lastRow="0" w:firstColumn="1" w:lastColumn="0" w:noHBand="0" w:noVBand="1"/>
      </w:tblPr>
      <w:tblGrid>
        <w:gridCol w:w="9495"/>
        <w:gridCol w:w="37"/>
      </w:tblGrid>
      <w:tr w:rsidR="00BA56AD" w:rsidRPr="00517096" w14:paraId="1412DFFF" w14:textId="77777777" w:rsidTr="00055B68">
        <w:trPr>
          <w:trHeight w:val="1384"/>
          <w:tblCellSpacing w:w="0" w:type="dxa"/>
          <w:jc w:val="center"/>
        </w:trPr>
        <w:tc>
          <w:tcPr>
            <w:tcW w:w="9495" w:type="dxa"/>
            <w:hideMark/>
          </w:tcPr>
          <w:p w14:paraId="5A9E1524" w14:textId="77777777" w:rsidR="00BA56AD" w:rsidRDefault="00BA56AD" w:rsidP="00FB5615">
            <w:pPr>
              <w:ind w:left="-6"/>
              <w:contextualSpacing/>
              <w:jc w:val="center"/>
              <w:rPr>
                <w:b/>
                <w:bCs/>
              </w:rPr>
            </w:pPr>
          </w:p>
          <w:tbl>
            <w:tblPr>
              <w:tblW w:w="9495" w:type="dxa"/>
              <w:tblCellMar>
                <w:left w:w="0" w:type="dxa"/>
                <w:right w:w="0" w:type="dxa"/>
              </w:tblCellMar>
              <w:tblLook w:val="04A0" w:firstRow="1" w:lastRow="0" w:firstColumn="1" w:lastColumn="0" w:noHBand="0" w:noVBand="1"/>
            </w:tblPr>
            <w:tblGrid>
              <w:gridCol w:w="4962"/>
              <w:gridCol w:w="4533"/>
            </w:tblGrid>
            <w:tr w:rsidR="00055B68" w14:paraId="5AB350CD" w14:textId="77777777" w:rsidTr="00055B68">
              <w:tc>
                <w:tcPr>
                  <w:tcW w:w="4964" w:type="dxa"/>
                  <w:hideMark/>
                </w:tcPr>
                <w:p w14:paraId="0424E46D" w14:textId="77777777" w:rsidR="00055B68" w:rsidRDefault="00055B68" w:rsidP="00055B68">
                  <w:pPr>
                    <w:snapToGrid w:val="0"/>
                    <w:jc w:val="center"/>
                    <w:rPr>
                      <w:rFonts w:cs="Arial"/>
                      <w:b/>
                      <w:bCs/>
                    </w:rPr>
                  </w:pPr>
                  <w:r>
                    <w:rPr>
                      <w:rFonts w:cs="Arial"/>
                      <w:b/>
                      <w:bCs/>
                    </w:rPr>
                    <w:t>DIEGO MESA PUYO</w:t>
                  </w:r>
                </w:p>
              </w:tc>
              <w:tc>
                <w:tcPr>
                  <w:tcW w:w="4534" w:type="dxa"/>
                  <w:hideMark/>
                </w:tcPr>
                <w:p w14:paraId="165BCC24" w14:textId="77777777" w:rsidR="00055B68" w:rsidRDefault="00055B68" w:rsidP="00055B68">
                  <w:pPr>
                    <w:snapToGrid w:val="0"/>
                    <w:ind w:left="141"/>
                    <w:jc w:val="center"/>
                    <w:rPr>
                      <w:rFonts w:cs="Arial"/>
                      <w:b/>
                      <w:bCs/>
                    </w:rPr>
                  </w:pPr>
                  <w:r>
                    <w:rPr>
                      <w:rFonts w:cs="Arial"/>
                      <w:b/>
                      <w:bCs/>
                    </w:rPr>
                    <w:t>CHRISTIAN JARAMILLO HERRERA</w:t>
                  </w:r>
                </w:p>
              </w:tc>
            </w:tr>
            <w:tr w:rsidR="00055B68" w14:paraId="54F86C31" w14:textId="77777777" w:rsidTr="00055B68">
              <w:tc>
                <w:tcPr>
                  <w:tcW w:w="4964" w:type="dxa"/>
                  <w:hideMark/>
                </w:tcPr>
                <w:p w14:paraId="2C2FAC81" w14:textId="77777777" w:rsidR="00055B68" w:rsidRDefault="00055B68" w:rsidP="00055B68">
                  <w:pPr>
                    <w:snapToGrid w:val="0"/>
                    <w:jc w:val="center"/>
                    <w:rPr>
                      <w:rFonts w:cs="Arial"/>
                    </w:rPr>
                  </w:pPr>
                  <w:r>
                    <w:rPr>
                      <w:rFonts w:cs="Arial"/>
                    </w:rPr>
                    <w:t>Viceministro de Energía</w:t>
                  </w:r>
                </w:p>
                <w:p w14:paraId="3BF99726" w14:textId="77777777" w:rsidR="00055B68" w:rsidRDefault="00055B68" w:rsidP="00055B68">
                  <w:pPr>
                    <w:snapToGrid w:val="0"/>
                    <w:jc w:val="center"/>
                    <w:rPr>
                      <w:rFonts w:cs="Arial"/>
                    </w:rPr>
                  </w:pPr>
                  <w:r>
                    <w:rPr>
                      <w:rFonts w:cs="Arial"/>
                      <w:spacing w:val="-3"/>
                    </w:rPr>
                    <w:t>Delegado de la Ministra de Minas y Energía</w:t>
                  </w:r>
                </w:p>
                <w:p w14:paraId="71284ED0" w14:textId="77777777" w:rsidR="00055B68" w:rsidRDefault="00055B68" w:rsidP="00055B68">
                  <w:pPr>
                    <w:snapToGrid w:val="0"/>
                    <w:jc w:val="center"/>
                    <w:rPr>
                      <w:rFonts w:cs="Arial"/>
                    </w:rPr>
                  </w:pPr>
                  <w:r>
                    <w:rPr>
                      <w:rFonts w:cs="Arial"/>
                    </w:rPr>
                    <w:t>Presidente</w:t>
                  </w:r>
                </w:p>
              </w:tc>
              <w:tc>
                <w:tcPr>
                  <w:tcW w:w="4534" w:type="dxa"/>
                  <w:hideMark/>
                </w:tcPr>
                <w:p w14:paraId="326482BD" w14:textId="77777777" w:rsidR="00055B68" w:rsidRDefault="00055B68" w:rsidP="00055B68">
                  <w:pPr>
                    <w:snapToGrid w:val="0"/>
                    <w:ind w:left="567"/>
                    <w:jc w:val="center"/>
                    <w:rPr>
                      <w:rFonts w:cs="Arial"/>
                    </w:rPr>
                  </w:pPr>
                  <w:r>
                    <w:rPr>
                      <w:rFonts w:cs="Arial"/>
                    </w:rPr>
                    <w:t>Director Ejecutivo</w:t>
                  </w:r>
                </w:p>
              </w:tc>
            </w:tr>
          </w:tbl>
          <w:p w14:paraId="7D9DE35C" w14:textId="77777777" w:rsidR="00BA56AD" w:rsidRDefault="00BA56AD" w:rsidP="00FB5615">
            <w:pPr>
              <w:ind w:left="-6"/>
              <w:contextualSpacing/>
              <w:jc w:val="center"/>
              <w:rPr>
                <w:b/>
                <w:bCs/>
              </w:rPr>
            </w:pPr>
          </w:p>
          <w:p w14:paraId="4B999C84" w14:textId="56C284DC" w:rsidR="00BA56AD" w:rsidRPr="00517096" w:rsidRDefault="00BA56AD" w:rsidP="00055B68">
            <w:pPr>
              <w:tabs>
                <w:tab w:val="left" w:pos="-720"/>
              </w:tabs>
              <w:suppressAutoHyphens/>
              <w:jc w:val="center"/>
              <w:rPr>
                <w:rFonts w:eastAsia="Arial Unicode MS"/>
                <w:b/>
                <w:bCs/>
                <w:color w:val="000000"/>
              </w:rPr>
            </w:pPr>
          </w:p>
        </w:tc>
        <w:tc>
          <w:tcPr>
            <w:tcW w:w="37" w:type="dxa"/>
          </w:tcPr>
          <w:p w14:paraId="5EEBB886" w14:textId="10E0A3E3" w:rsidR="00BA56AD" w:rsidRPr="00517096" w:rsidRDefault="00BA56AD" w:rsidP="00FB5615">
            <w:pPr>
              <w:ind w:right="-26"/>
              <w:contextualSpacing/>
              <w:jc w:val="center"/>
              <w:rPr>
                <w:rFonts w:eastAsia="Arial Unicode MS"/>
                <w:b/>
                <w:bCs/>
              </w:rPr>
            </w:pPr>
          </w:p>
        </w:tc>
      </w:tr>
    </w:tbl>
    <w:p w14:paraId="654F6E65" w14:textId="77777777" w:rsidR="000074D5" w:rsidRPr="00D70A0B" w:rsidRDefault="000074D5" w:rsidP="00055B68">
      <w:pPr>
        <w:pStyle w:val="Ttulo5"/>
        <w:numPr>
          <w:ilvl w:val="0"/>
          <w:numId w:val="0"/>
        </w:numPr>
        <w:jc w:val="left"/>
        <w:rPr>
          <w:sz w:val="22"/>
          <w:szCs w:val="22"/>
          <w:lang w:val="es-ES_tradnl"/>
        </w:rPr>
      </w:pPr>
    </w:p>
    <w:sectPr w:rsidR="000074D5" w:rsidRPr="00D70A0B" w:rsidSect="00EC2ABD">
      <w:headerReference w:type="default" r:id="rId29"/>
      <w:headerReference w:type="first" r:id="rId30"/>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B0D20" w14:textId="77777777" w:rsidR="001535FB" w:rsidRDefault="001535FB" w:rsidP="00262CBF">
      <w:r>
        <w:separator/>
      </w:r>
    </w:p>
  </w:endnote>
  <w:endnote w:type="continuationSeparator" w:id="0">
    <w:p w14:paraId="3E4D3C0A" w14:textId="77777777" w:rsidR="001535FB" w:rsidRDefault="001535FB" w:rsidP="0026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1766B" w14:textId="77777777" w:rsidR="001535FB" w:rsidRDefault="001535FB" w:rsidP="00262CBF">
      <w:r>
        <w:separator/>
      </w:r>
    </w:p>
  </w:footnote>
  <w:footnote w:type="continuationSeparator" w:id="0">
    <w:p w14:paraId="7FBCC1F2" w14:textId="77777777" w:rsidR="001535FB" w:rsidRDefault="001535FB" w:rsidP="00262C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4C7A4" w14:textId="77777777" w:rsidR="005C297F" w:rsidRDefault="005C297F" w:rsidP="00262CBF">
    <w:pPr>
      <w:pStyle w:val="Ttulo1"/>
    </w:pPr>
  </w:p>
  <w:p w14:paraId="65FB8DDB" w14:textId="0FE2177A" w:rsidR="005C297F" w:rsidRPr="00A157E2" w:rsidRDefault="005C297F" w:rsidP="00262CBF">
    <w:pPr>
      <w:pStyle w:val="Ttulo1"/>
      <w:rPr>
        <w:rFonts w:ascii="Bookman Old Style" w:hAnsi="Bookman Old Style"/>
        <w:b w:val="0"/>
        <w:sz w:val="22"/>
      </w:rPr>
    </w:pPr>
    <w:r w:rsidRPr="00A157E2">
      <w:rPr>
        <w:rFonts w:ascii="Bookman Old Style" w:hAnsi="Bookman Old Style"/>
        <w:b w:val="0"/>
        <w:sz w:val="22"/>
      </w:rPr>
      <w:t>RESOLUCIÓN No.  __________________</w:t>
    </w:r>
    <w:r w:rsidRPr="00A157E2">
      <w:rPr>
        <w:rFonts w:ascii="Bookman Old Style" w:hAnsi="Bookman Old Style"/>
        <w:b w:val="0"/>
        <w:sz w:val="22"/>
      </w:rPr>
      <w:tab/>
      <w:t>DE ______________________</w:t>
    </w:r>
    <w:r w:rsidRPr="00A157E2">
      <w:rPr>
        <w:rFonts w:ascii="Bookman Old Style" w:hAnsi="Bookman Old Style"/>
        <w:b w:val="0"/>
        <w:sz w:val="22"/>
      </w:rPr>
      <w:tab/>
      <w:t xml:space="preserve">HOJA No. </w:t>
    </w:r>
    <w:r w:rsidRPr="00A157E2">
      <w:rPr>
        <w:rFonts w:ascii="Bookman Old Style" w:hAnsi="Bookman Old Style"/>
        <w:b w:val="0"/>
        <w:sz w:val="22"/>
      </w:rPr>
      <w:fldChar w:fldCharType="begin"/>
    </w:r>
    <w:r w:rsidRPr="00A157E2">
      <w:rPr>
        <w:rFonts w:ascii="Bookman Old Style" w:hAnsi="Bookman Old Style"/>
        <w:b w:val="0"/>
        <w:sz w:val="22"/>
      </w:rPr>
      <w:instrText xml:space="preserve"> PAGE   \* MERGEFORMAT </w:instrText>
    </w:r>
    <w:r w:rsidRPr="00A157E2">
      <w:rPr>
        <w:rFonts w:ascii="Bookman Old Style" w:hAnsi="Bookman Old Style"/>
        <w:b w:val="0"/>
        <w:sz w:val="22"/>
      </w:rPr>
      <w:fldChar w:fldCharType="separate"/>
    </w:r>
    <w:r w:rsidR="004A7CE3">
      <w:rPr>
        <w:rFonts w:ascii="Bookman Old Style" w:hAnsi="Bookman Old Style"/>
        <w:b w:val="0"/>
        <w:noProof/>
        <w:sz w:val="22"/>
      </w:rPr>
      <w:t>21</w:t>
    </w:r>
    <w:r w:rsidRPr="00A157E2">
      <w:rPr>
        <w:rFonts w:ascii="Bookman Old Style" w:hAnsi="Bookman Old Style"/>
        <w:b w:val="0"/>
        <w:sz w:val="22"/>
      </w:rPr>
      <w:fldChar w:fldCharType="end"/>
    </w:r>
    <w:r w:rsidRPr="00A157E2">
      <w:rPr>
        <w:rFonts w:ascii="Bookman Old Style" w:hAnsi="Bookman Old Style"/>
        <w:b w:val="0"/>
        <w:sz w:val="22"/>
      </w:rPr>
      <w:t>/</w:t>
    </w:r>
    <w:r w:rsidRPr="00A157E2">
      <w:rPr>
        <w:rFonts w:ascii="Bookman Old Style" w:hAnsi="Bookman Old Style"/>
        <w:b w:val="0"/>
        <w:sz w:val="22"/>
      </w:rPr>
      <w:fldChar w:fldCharType="begin"/>
    </w:r>
    <w:r w:rsidRPr="00A157E2">
      <w:rPr>
        <w:rFonts w:ascii="Bookman Old Style" w:hAnsi="Bookman Old Style"/>
        <w:b w:val="0"/>
        <w:sz w:val="22"/>
      </w:rPr>
      <w:instrText xml:space="preserve"> NUMPAGES  \* MERGEFORMAT </w:instrText>
    </w:r>
    <w:r w:rsidRPr="00A157E2">
      <w:rPr>
        <w:rFonts w:ascii="Bookman Old Style" w:hAnsi="Bookman Old Style"/>
        <w:b w:val="0"/>
        <w:sz w:val="22"/>
      </w:rPr>
      <w:fldChar w:fldCharType="separate"/>
    </w:r>
    <w:r w:rsidR="004A7CE3">
      <w:rPr>
        <w:rFonts w:ascii="Bookman Old Style" w:hAnsi="Bookman Old Style"/>
        <w:b w:val="0"/>
        <w:noProof/>
        <w:sz w:val="22"/>
      </w:rPr>
      <w:t>27</w:t>
    </w:r>
    <w:r w:rsidRPr="00A157E2">
      <w:rPr>
        <w:rFonts w:ascii="Bookman Old Style" w:hAnsi="Bookman Old Style"/>
        <w:b w:val="0"/>
        <w:noProof/>
        <w:sz w:val="22"/>
      </w:rPr>
      <w:fldChar w:fldCharType="end"/>
    </w:r>
  </w:p>
  <w:p w14:paraId="7E7DFBFF" w14:textId="77777777" w:rsidR="005C297F" w:rsidRDefault="005C297F" w:rsidP="00262CBF">
    <w:pPr>
      <w:rPr>
        <w:rFonts w:cs="Arial"/>
      </w:rPr>
    </w:pPr>
    <w:r>
      <w:rPr>
        <w:noProof/>
        <w:lang w:val="es-CO" w:eastAsia="es-CO"/>
      </w:rPr>
      <mc:AlternateContent>
        <mc:Choice Requires="wps">
          <w:drawing>
            <wp:anchor distT="0" distB="0" distL="114300" distR="114300" simplePos="0" relativeHeight="251657216" behindDoc="0" locked="0" layoutInCell="1" allowOverlap="1" wp14:anchorId="7532518F" wp14:editId="266FE425">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1="http://schemas.microsoft.com/office/drawing/2015/9/8/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C4D5567"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" filled="f" strokeweight="1.5pt"/>
          </w:pict>
        </mc:Fallback>
      </mc:AlternateContent>
    </w:r>
  </w:p>
  <w:p w14:paraId="41F47162" w14:textId="654EDE06" w:rsidR="005C297F" w:rsidRPr="009149C0" w:rsidRDefault="005C297F" w:rsidP="00A82C4A">
    <w:pPr>
      <w:widowControl w:val="0"/>
      <w:adjustRightInd w:val="0"/>
      <w:ind w:right="20"/>
      <w:rPr>
        <w:rFonts w:cs="Arial"/>
        <w:sz w:val="22"/>
        <w:szCs w:val="22"/>
        <w:lang w:val="es-ES_tradnl"/>
      </w:rPr>
    </w:pPr>
    <w:r w:rsidRPr="009149C0">
      <w:rPr>
        <w:rFonts w:cs="Arial"/>
        <w:sz w:val="22"/>
        <w:szCs w:val="22"/>
      </w:rPr>
      <w:t>Por la cual se resuelve el recurso de reposición interpuesto por las empresas ALCANOS DE COLOMBIA S.A. E.S.P. y C.S.P. SOSTENIBLES S.A. E.S.P.  contra la Resolución CREG 005 de 2019</w:t>
    </w:r>
    <w:r w:rsidRPr="009149C0">
      <w:rPr>
        <w:rFonts w:cs="Arial"/>
        <w:sz w:val="22"/>
        <w:szCs w:val="22"/>
        <w:lang w:val="es-ES_tradnl"/>
      </w:rPr>
      <w:t>.”</w:t>
    </w:r>
  </w:p>
  <w:p w14:paraId="034A73B0" w14:textId="77777777" w:rsidR="005C297F" w:rsidRPr="005F5476" w:rsidRDefault="005C297F" w:rsidP="005F5476">
    <w:pPr>
      <w:pBdr>
        <w:bottom w:val="single" w:sz="4" w:space="1" w:color="auto"/>
      </w:pBdr>
      <w:rPr>
        <w:rFonts w:cs="Arial"/>
        <w:sz w:val="20"/>
        <w:szCs w:val="20"/>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3B18" w14:textId="7B76049D" w:rsidR="005C297F" w:rsidRPr="00262CBF" w:rsidRDefault="005C297F" w:rsidP="00217B06">
    <w:pPr>
      <w:pStyle w:val="Encabezado"/>
      <w:jc w:val="center"/>
      <w:rPr>
        <w:rFonts w:ascii="Arial" w:hAnsi="Arial" w:cs="Arial"/>
        <w:sz w:val="22"/>
      </w:rPr>
    </w:pPr>
    <w:r w:rsidRPr="00262CBF">
      <w:rPr>
        <w:rFonts w:ascii="Arial" w:hAnsi="Arial" w:cs="Arial"/>
        <w:sz w:val="22"/>
      </w:rPr>
      <w:t>República de Colombia</w:t>
    </w:r>
  </w:p>
  <w:p w14:paraId="2817F32B" w14:textId="77777777" w:rsidR="005C297F" w:rsidRDefault="005C297F" w:rsidP="00262CBF">
    <w:pPr>
      <w:pStyle w:val="Encabezado"/>
    </w:pPr>
  </w:p>
  <w:p w14:paraId="39D87E61" w14:textId="77777777" w:rsidR="005C297F" w:rsidRDefault="005C297F" w:rsidP="00262CBF">
    <w:pPr>
      <w:pStyle w:val="Encabezado"/>
    </w:pPr>
    <w:r>
      <w:rPr>
        <w:noProof/>
        <w:lang w:eastAsia="es-CO"/>
      </w:rPr>
      <mc:AlternateContent>
        <mc:Choice Requires="wps">
          <w:drawing>
            <wp:anchor distT="0" distB="0" distL="114300" distR="114300" simplePos="0" relativeHeight="251658240" behindDoc="0" locked="0" layoutInCell="1" allowOverlap="1" wp14:anchorId="2D902966" wp14:editId="0E90EC40">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1="http://schemas.microsoft.com/office/drawing/2015/9/8/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03C7D40"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E812"/>
    <w:lvl w:ilvl="0">
      <w:start w:val="1"/>
      <w:numFmt w:val="decimal"/>
      <w:lvlText w:val="%1."/>
      <w:lvlJc w:val="left"/>
      <w:rPr>
        <w:rFonts w:cs="Times New Roman"/>
        <w:b/>
        <w:bCs w:val="0"/>
        <w:i w:val="0"/>
        <w:iCs w:val="0"/>
        <w:smallCaps w:val="0"/>
        <w:strike w:val="0"/>
        <w:color w:val="000000"/>
        <w:spacing w:val="0"/>
        <w:w w:val="100"/>
        <w:position w:val="0"/>
        <w:sz w:val="22"/>
        <w:szCs w:val="23"/>
        <w:u w:val="none"/>
      </w:rPr>
    </w:lvl>
    <w:lvl w:ilvl="1">
      <w:start w:val="1"/>
      <w:numFmt w:val="decimal"/>
      <w:lvlText w:val="%1.%2."/>
      <w:lvlJc w:val="left"/>
      <w:rPr>
        <w:rFonts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67"/>
      <w:numFmt w:val="decimal"/>
      <w:lvlText w:val="1.141,%1"/>
      <w:lvlJc w:val="left"/>
      <w:rPr>
        <w:rFonts w:cs="Times New Roman"/>
        <w:b/>
        <w:bCs/>
        <w:i w:val="0"/>
        <w:iCs w:val="0"/>
        <w:smallCaps w:val="0"/>
        <w:strike w:val="0"/>
        <w:color w:val="000000"/>
        <w:spacing w:val="0"/>
        <w:w w:val="100"/>
        <w:position w:val="0"/>
        <w:sz w:val="23"/>
        <w:szCs w:val="23"/>
        <w:u w:val="none"/>
      </w:rPr>
    </w:lvl>
    <w:lvl w:ilvl="1">
      <w:start w:val="67"/>
      <w:numFmt w:val="decimal"/>
      <w:lvlText w:val="1.141,%1"/>
      <w:lvlJc w:val="left"/>
      <w:rPr>
        <w:rFonts w:cs="Times New Roman"/>
        <w:b/>
        <w:bCs/>
        <w:i w:val="0"/>
        <w:iCs w:val="0"/>
        <w:smallCaps w:val="0"/>
        <w:strike w:val="0"/>
        <w:color w:val="000000"/>
        <w:spacing w:val="0"/>
        <w:w w:val="100"/>
        <w:position w:val="0"/>
        <w:sz w:val="23"/>
        <w:szCs w:val="23"/>
        <w:u w:val="none"/>
      </w:rPr>
    </w:lvl>
    <w:lvl w:ilvl="2">
      <w:start w:val="67"/>
      <w:numFmt w:val="decimal"/>
      <w:lvlText w:val="1.141,%1"/>
      <w:lvlJc w:val="left"/>
      <w:rPr>
        <w:rFonts w:cs="Times New Roman"/>
        <w:b/>
        <w:bCs/>
        <w:i w:val="0"/>
        <w:iCs w:val="0"/>
        <w:smallCaps w:val="0"/>
        <w:strike w:val="0"/>
        <w:color w:val="000000"/>
        <w:spacing w:val="0"/>
        <w:w w:val="100"/>
        <w:position w:val="0"/>
        <w:sz w:val="23"/>
        <w:szCs w:val="23"/>
        <w:u w:val="none"/>
      </w:rPr>
    </w:lvl>
    <w:lvl w:ilvl="3">
      <w:start w:val="67"/>
      <w:numFmt w:val="decimal"/>
      <w:lvlText w:val="1.141,%1"/>
      <w:lvlJc w:val="left"/>
      <w:rPr>
        <w:rFonts w:cs="Times New Roman"/>
        <w:b/>
        <w:bCs/>
        <w:i w:val="0"/>
        <w:iCs w:val="0"/>
        <w:smallCaps w:val="0"/>
        <w:strike w:val="0"/>
        <w:color w:val="000000"/>
        <w:spacing w:val="0"/>
        <w:w w:val="100"/>
        <w:position w:val="0"/>
        <w:sz w:val="23"/>
        <w:szCs w:val="23"/>
        <w:u w:val="none"/>
      </w:rPr>
    </w:lvl>
    <w:lvl w:ilvl="4">
      <w:start w:val="67"/>
      <w:numFmt w:val="decimal"/>
      <w:lvlText w:val="1.141,%1"/>
      <w:lvlJc w:val="left"/>
      <w:rPr>
        <w:rFonts w:cs="Times New Roman"/>
        <w:b/>
        <w:bCs/>
        <w:i w:val="0"/>
        <w:iCs w:val="0"/>
        <w:smallCaps w:val="0"/>
        <w:strike w:val="0"/>
        <w:color w:val="000000"/>
        <w:spacing w:val="0"/>
        <w:w w:val="100"/>
        <w:position w:val="0"/>
        <w:sz w:val="23"/>
        <w:szCs w:val="23"/>
        <w:u w:val="none"/>
      </w:rPr>
    </w:lvl>
    <w:lvl w:ilvl="5">
      <w:start w:val="67"/>
      <w:numFmt w:val="decimal"/>
      <w:lvlText w:val="1.141,%1"/>
      <w:lvlJc w:val="left"/>
      <w:rPr>
        <w:rFonts w:cs="Times New Roman"/>
        <w:b/>
        <w:bCs/>
        <w:i w:val="0"/>
        <w:iCs w:val="0"/>
        <w:smallCaps w:val="0"/>
        <w:strike w:val="0"/>
        <w:color w:val="000000"/>
        <w:spacing w:val="0"/>
        <w:w w:val="100"/>
        <w:position w:val="0"/>
        <w:sz w:val="23"/>
        <w:szCs w:val="23"/>
        <w:u w:val="none"/>
      </w:rPr>
    </w:lvl>
    <w:lvl w:ilvl="6">
      <w:start w:val="67"/>
      <w:numFmt w:val="decimal"/>
      <w:lvlText w:val="1.141,%1"/>
      <w:lvlJc w:val="left"/>
      <w:rPr>
        <w:rFonts w:cs="Times New Roman"/>
        <w:b/>
        <w:bCs/>
        <w:i w:val="0"/>
        <w:iCs w:val="0"/>
        <w:smallCaps w:val="0"/>
        <w:strike w:val="0"/>
        <w:color w:val="000000"/>
        <w:spacing w:val="0"/>
        <w:w w:val="100"/>
        <w:position w:val="0"/>
        <w:sz w:val="23"/>
        <w:szCs w:val="23"/>
        <w:u w:val="none"/>
      </w:rPr>
    </w:lvl>
    <w:lvl w:ilvl="7">
      <w:start w:val="67"/>
      <w:numFmt w:val="decimal"/>
      <w:lvlText w:val="1.141,%1"/>
      <w:lvlJc w:val="left"/>
      <w:rPr>
        <w:rFonts w:cs="Times New Roman"/>
        <w:b/>
        <w:bCs/>
        <w:i w:val="0"/>
        <w:iCs w:val="0"/>
        <w:smallCaps w:val="0"/>
        <w:strike w:val="0"/>
        <w:color w:val="000000"/>
        <w:spacing w:val="0"/>
        <w:w w:val="100"/>
        <w:position w:val="0"/>
        <w:sz w:val="23"/>
        <w:szCs w:val="23"/>
        <w:u w:val="none"/>
      </w:rPr>
    </w:lvl>
    <w:lvl w:ilvl="8">
      <w:start w:val="67"/>
      <w:numFmt w:val="decimal"/>
      <w:lvlText w:val="1.141,%1"/>
      <w:lvlJc w:val="left"/>
      <w:rPr>
        <w:rFonts w:cs="Times New Roman"/>
        <w:b/>
        <w:bCs/>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1">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2">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3">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4">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5">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6">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7">
      <w:start w:val="4"/>
      <w:numFmt w:val="decimal"/>
      <w:lvlText w:val="1.%1"/>
      <w:lvlJc w:val="left"/>
      <w:rPr>
        <w:rFonts w:cs="Times New Roman"/>
        <w:b w:val="0"/>
        <w:bCs w:val="0"/>
        <w:i w:val="0"/>
        <w:iCs w:val="0"/>
        <w:smallCaps w:val="0"/>
        <w:strike w:val="0"/>
        <w:color w:val="000000"/>
        <w:spacing w:val="0"/>
        <w:w w:val="100"/>
        <w:position w:val="0"/>
        <w:sz w:val="23"/>
        <w:szCs w:val="23"/>
        <w:u w:val="none"/>
      </w:rPr>
    </w:lvl>
    <w:lvl w:ilvl="8">
      <w:start w:val="4"/>
      <w:numFmt w:val="decimal"/>
      <w:lvlText w:val="1.%1"/>
      <w:lvlJc w:val="left"/>
      <w:rPr>
        <w:rFonts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5248EC28"/>
    <w:lvl w:ilvl="0">
      <w:start w:val="1"/>
      <w:numFmt w:val="decimal"/>
      <w:lvlText w:val="%1."/>
      <w:lvlJc w:val="left"/>
      <w:rPr>
        <w:rFonts w:ascii="Bookman Old Style" w:hAnsi="Bookman Old Style" w:cs="Times New Roman" w:hint="default"/>
        <w:b w:val="0"/>
        <w:bCs w:val="0"/>
        <w:i/>
        <w:iCs/>
        <w:smallCaps w:val="0"/>
        <w:strike w:val="0"/>
        <w:color w:val="000000"/>
        <w:spacing w:val="0"/>
        <w:w w:val="100"/>
        <w:position w:val="0"/>
        <w:sz w:val="22"/>
        <w:szCs w:val="22"/>
        <w:u w:val="none"/>
      </w:rPr>
    </w:lvl>
    <w:lvl w:ilvl="1">
      <w:start w:val="1"/>
      <w:numFmt w:val="decimal"/>
      <w:lvlText w:val="%1."/>
      <w:lvlJc w:val="left"/>
      <w:rPr>
        <w:rFonts w:cs="Times New Roman"/>
        <w:b w:val="0"/>
        <w:bCs w:val="0"/>
        <w:i/>
        <w:iCs/>
        <w:smallCaps w:val="0"/>
        <w:strike w:val="0"/>
        <w:color w:val="000000"/>
        <w:spacing w:val="0"/>
        <w:w w:val="100"/>
        <w:position w:val="0"/>
        <w:sz w:val="23"/>
        <w:szCs w:val="23"/>
        <w:u w:val="none"/>
      </w:rPr>
    </w:lvl>
    <w:lvl w:ilvl="2">
      <w:start w:val="1"/>
      <w:numFmt w:val="decimal"/>
      <w:lvlText w:val="%1."/>
      <w:lvlJc w:val="left"/>
      <w:rPr>
        <w:rFonts w:cs="Times New Roman"/>
        <w:b w:val="0"/>
        <w:bCs w:val="0"/>
        <w:i/>
        <w:iCs/>
        <w:smallCaps w:val="0"/>
        <w:strike w:val="0"/>
        <w:color w:val="000000"/>
        <w:spacing w:val="0"/>
        <w:w w:val="100"/>
        <w:position w:val="0"/>
        <w:sz w:val="23"/>
        <w:szCs w:val="23"/>
        <w:u w:val="none"/>
      </w:rPr>
    </w:lvl>
    <w:lvl w:ilvl="3">
      <w:start w:val="1"/>
      <w:numFmt w:val="decimal"/>
      <w:lvlText w:val="%1."/>
      <w:lvlJc w:val="left"/>
      <w:rPr>
        <w:rFonts w:cs="Times New Roman"/>
        <w:b w:val="0"/>
        <w:bCs w:val="0"/>
        <w:i/>
        <w:iCs/>
        <w:smallCaps w:val="0"/>
        <w:strike w:val="0"/>
        <w:color w:val="000000"/>
        <w:spacing w:val="0"/>
        <w:w w:val="100"/>
        <w:position w:val="0"/>
        <w:sz w:val="23"/>
        <w:szCs w:val="23"/>
        <w:u w:val="none"/>
      </w:rPr>
    </w:lvl>
    <w:lvl w:ilvl="4">
      <w:start w:val="1"/>
      <w:numFmt w:val="decimal"/>
      <w:lvlText w:val="%1."/>
      <w:lvlJc w:val="left"/>
      <w:rPr>
        <w:rFonts w:cs="Times New Roman"/>
        <w:b w:val="0"/>
        <w:bCs w:val="0"/>
        <w:i/>
        <w:iCs/>
        <w:smallCaps w:val="0"/>
        <w:strike w:val="0"/>
        <w:color w:val="000000"/>
        <w:spacing w:val="0"/>
        <w:w w:val="100"/>
        <w:position w:val="0"/>
        <w:sz w:val="23"/>
        <w:szCs w:val="23"/>
        <w:u w:val="none"/>
      </w:rPr>
    </w:lvl>
    <w:lvl w:ilvl="5">
      <w:start w:val="1"/>
      <w:numFmt w:val="decimal"/>
      <w:lvlText w:val="%1."/>
      <w:lvlJc w:val="left"/>
      <w:rPr>
        <w:rFonts w:cs="Times New Roman"/>
        <w:b w:val="0"/>
        <w:bCs w:val="0"/>
        <w:i/>
        <w:iCs/>
        <w:smallCaps w:val="0"/>
        <w:strike w:val="0"/>
        <w:color w:val="000000"/>
        <w:spacing w:val="0"/>
        <w:w w:val="100"/>
        <w:position w:val="0"/>
        <w:sz w:val="23"/>
        <w:szCs w:val="23"/>
        <w:u w:val="none"/>
      </w:rPr>
    </w:lvl>
    <w:lvl w:ilvl="6">
      <w:start w:val="1"/>
      <w:numFmt w:val="decimal"/>
      <w:lvlText w:val="%1."/>
      <w:lvlJc w:val="left"/>
      <w:rPr>
        <w:rFonts w:cs="Times New Roman"/>
        <w:b w:val="0"/>
        <w:bCs w:val="0"/>
        <w:i/>
        <w:iCs/>
        <w:smallCaps w:val="0"/>
        <w:strike w:val="0"/>
        <w:color w:val="000000"/>
        <w:spacing w:val="0"/>
        <w:w w:val="100"/>
        <w:position w:val="0"/>
        <w:sz w:val="23"/>
        <w:szCs w:val="23"/>
        <w:u w:val="none"/>
      </w:rPr>
    </w:lvl>
    <w:lvl w:ilvl="7">
      <w:start w:val="1"/>
      <w:numFmt w:val="decimal"/>
      <w:lvlText w:val="%1."/>
      <w:lvlJc w:val="left"/>
      <w:rPr>
        <w:rFonts w:cs="Times New Roman"/>
        <w:b w:val="0"/>
        <w:bCs w:val="0"/>
        <w:i/>
        <w:iCs/>
        <w:smallCaps w:val="0"/>
        <w:strike w:val="0"/>
        <w:color w:val="000000"/>
        <w:spacing w:val="0"/>
        <w:w w:val="100"/>
        <w:position w:val="0"/>
        <w:sz w:val="23"/>
        <w:szCs w:val="23"/>
        <w:u w:val="none"/>
      </w:rPr>
    </w:lvl>
    <w:lvl w:ilvl="8">
      <w:start w:val="1"/>
      <w:numFmt w:val="decimal"/>
      <w:lvlText w:val="%1."/>
      <w:lvlJc w:val="left"/>
      <w:rPr>
        <w:rFonts w:cs="Times New Roman"/>
        <w:b w:val="0"/>
        <w:bCs w:val="0"/>
        <w:i/>
        <w:iCs/>
        <w:smallCaps w:val="0"/>
        <w:strike w:val="0"/>
        <w:color w:val="000000"/>
        <w:spacing w:val="0"/>
        <w:w w:val="100"/>
        <w:position w:val="0"/>
        <w:sz w:val="23"/>
        <w:szCs w:val="23"/>
        <w:u w:val="none"/>
      </w:rPr>
    </w:lvl>
  </w:abstractNum>
  <w:abstractNum w:abstractNumId="4" w15:restartNumberingAfterBreak="0">
    <w:nsid w:val="00000009"/>
    <w:multiLevelType w:val="multilevel"/>
    <w:tmpl w:val="C0FC2E04"/>
    <w:lvl w:ilvl="0">
      <w:start w:val="1"/>
      <w:numFmt w:val="decimal"/>
      <w:lvlText w:val="%1."/>
      <w:lvlJc w:val="left"/>
      <w:rPr>
        <w:rFonts w:cs="Times New Roman"/>
        <w:b w:val="0"/>
        <w:bCs/>
        <w:i/>
        <w:iCs w:val="0"/>
        <w:smallCaps w:val="0"/>
        <w:strike w:val="0"/>
        <w:color w:val="000000"/>
        <w:spacing w:val="0"/>
        <w:w w:val="100"/>
        <w:position w:val="0"/>
        <w:sz w:val="22"/>
        <w:szCs w:val="23"/>
        <w:u w:val="none"/>
      </w:rPr>
    </w:lvl>
    <w:lvl w:ilvl="1">
      <w:start w:val="1"/>
      <w:numFmt w:val="decimal"/>
      <w:lvlText w:val="%1."/>
      <w:lvlJc w:val="left"/>
      <w:rPr>
        <w:rFonts w:cs="Times New Roman"/>
        <w:b/>
        <w:bCs/>
        <w:i w:val="0"/>
        <w:iCs w:val="0"/>
        <w:smallCaps w:val="0"/>
        <w:strike w:val="0"/>
        <w:color w:val="000000"/>
        <w:spacing w:val="0"/>
        <w:w w:val="100"/>
        <w:position w:val="0"/>
        <w:sz w:val="23"/>
        <w:szCs w:val="23"/>
        <w:u w:val="none"/>
      </w:rPr>
    </w:lvl>
    <w:lvl w:ilvl="2">
      <w:start w:val="1"/>
      <w:numFmt w:val="decimal"/>
      <w:lvlText w:val="%1."/>
      <w:lvlJc w:val="left"/>
      <w:rPr>
        <w:rFonts w:cs="Times New Roman"/>
        <w:b/>
        <w:bCs/>
        <w:i w:val="0"/>
        <w:iCs w:val="0"/>
        <w:smallCaps w:val="0"/>
        <w:strike w:val="0"/>
        <w:color w:val="000000"/>
        <w:spacing w:val="0"/>
        <w:w w:val="100"/>
        <w:position w:val="0"/>
        <w:sz w:val="23"/>
        <w:szCs w:val="23"/>
        <w:u w:val="none"/>
      </w:rPr>
    </w:lvl>
    <w:lvl w:ilvl="3">
      <w:start w:val="1"/>
      <w:numFmt w:val="decimal"/>
      <w:lvlText w:val="%1."/>
      <w:lvlJc w:val="left"/>
      <w:rPr>
        <w:rFonts w:cs="Times New Roman"/>
        <w:b/>
        <w:bCs/>
        <w:i w:val="0"/>
        <w:iCs w:val="0"/>
        <w:smallCaps w:val="0"/>
        <w:strike w:val="0"/>
        <w:color w:val="000000"/>
        <w:spacing w:val="0"/>
        <w:w w:val="100"/>
        <w:position w:val="0"/>
        <w:sz w:val="23"/>
        <w:szCs w:val="23"/>
        <w:u w:val="none"/>
      </w:rPr>
    </w:lvl>
    <w:lvl w:ilvl="4">
      <w:start w:val="1"/>
      <w:numFmt w:val="decimal"/>
      <w:lvlText w:val="%1."/>
      <w:lvlJc w:val="left"/>
      <w:rPr>
        <w:rFonts w:cs="Times New Roman"/>
        <w:b/>
        <w:bCs/>
        <w:i w:val="0"/>
        <w:iCs w:val="0"/>
        <w:smallCaps w:val="0"/>
        <w:strike w:val="0"/>
        <w:color w:val="000000"/>
        <w:spacing w:val="0"/>
        <w:w w:val="100"/>
        <w:position w:val="0"/>
        <w:sz w:val="23"/>
        <w:szCs w:val="23"/>
        <w:u w:val="none"/>
      </w:rPr>
    </w:lvl>
    <w:lvl w:ilvl="5">
      <w:start w:val="1"/>
      <w:numFmt w:val="decimal"/>
      <w:lvlText w:val="%1."/>
      <w:lvlJc w:val="left"/>
      <w:rPr>
        <w:rFonts w:cs="Times New Roman"/>
        <w:b/>
        <w:bCs/>
        <w:i w:val="0"/>
        <w:iCs w:val="0"/>
        <w:smallCaps w:val="0"/>
        <w:strike w:val="0"/>
        <w:color w:val="000000"/>
        <w:spacing w:val="0"/>
        <w:w w:val="100"/>
        <w:position w:val="0"/>
        <w:sz w:val="23"/>
        <w:szCs w:val="23"/>
        <w:u w:val="none"/>
      </w:rPr>
    </w:lvl>
    <w:lvl w:ilvl="6">
      <w:start w:val="1"/>
      <w:numFmt w:val="decimal"/>
      <w:lvlText w:val="%1."/>
      <w:lvlJc w:val="left"/>
      <w:rPr>
        <w:rFonts w:cs="Times New Roman"/>
        <w:b/>
        <w:bCs/>
        <w:i w:val="0"/>
        <w:iCs w:val="0"/>
        <w:smallCaps w:val="0"/>
        <w:strike w:val="0"/>
        <w:color w:val="000000"/>
        <w:spacing w:val="0"/>
        <w:w w:val="100"/>
        <w:position w:val="0"/>
        <w:sz w:val="23"/>
        <w:szCs w:val="23"/>
        <w:u w:val="none"/>
      </w:rPr>
    </w:lvl>
    <w:lvl w:ilvl="7">
      <w:start w:val="1"/>
      <w:numFmt w:val="decimal"/>
      <w:lvlText w:val="%1."/>
      <w:lvlJc w:val="left"/>
      <w:rPr>
        <w:rFonts w:cs="Times New Roman"/>
        <w:b/>
        <w:bCs/>
        <w:i w:val="0"/>
        <w:iCs w:val="0"/>
        <w:smallCaps w:val="0"/>
        <w:strike w:val="0"/>
        <w:color w:val="000000"/>
        <w:spacing w:val="0"/>
        <w:w w:val="100"/>
        <w:position w:val="0"/>
        <w:sz w:val="23"/>
        <w:szCs w:val="23"/>
        <w:u w:val="none"/>
      </w:rPr>
    </w:lvl>
    <w:lvl w:ilvl="8">
      <w:start w:val="1"/>
      <w:numFmt w:val="decimal"/>
      <w:lvlText w:val="%1."/>
      <w:lvlJc w:val="left"/>
      <w:rPr>
        <w:rFonts w:cs="Times New Roman"/>
        <w:b/>
        <w:bCs/>
        <w:i w:val="0"/>
        <w:iCs w:val="0"/>
        <w:smallCaps w:val="0"/>
        <w:strike w:val="0"/>
        <w:color w:val="000000"/>
        <w:spacing w:val="0"/>
        <w:w w:val="100"/>
        <w:position w:val="0"/>
        <w:sz w:val="23"/>
        <w:szCs w:val="23"/>
        <w:u w:val="none"/>
      </w:rPr>
    </w:lvl>
  </w:abstractNum>
  <w:abstractNum w:abstractNumId="5" w15:restartNumberingAfterBreak="0">
    <w:nsid w:val="0000000B"/>
    <w:multiLevelType w:val="multilevel"/>
    <w:tmpl w:val="0000000A"/>
    <w:lvl w:ilvl="0">
      <w:start w:val="1"/>
      <w:numFmt w:val="lowerLetter"/>
      <w:lvlText w:val="%1)"/>
      <w:lvlJc w:val="left"/>
      <w:rPr>
        <w:rFonts w:cs="Times New Roman"/>
        <w:b/>
        <w:bCs/>
        <w:i w:val="0"/>
        <w:iCs w:val="0"/>
        <w:smallCaps w:val="0"/>
        <w:strike w:val="0"/>
        <w:color w:val="000000"/>
        <w:spacing w:val="0"/>
        <w:w w:val="100"/>
        <w:position w:val="0"/>
        <w:sz w:val="24"/>
        <w:szCs w:val="24"/>
        <w:u w:val="none"/>
      </w:rPr>
    </w:lvl>
    <w:lvl w:ilvl="1">
      <w:start w:val="1"/>
      <w:numFmt w:val="lowerLetter"/>
      <w:lvlText w:val="%1)"/>
      <w:lvlJc w:val="left"/>
      <w:rPr>
        <w:rFonts w:cs="Times New Roman"/>
        <w:b/>
        <w:bCs/>
        <w:i w:val="0"/>
        <w:iCs w:val="0"/>
        <w:smallCaps w:val="0"/>
        <w:strike w:val="0"/>
        <w:color w:val="000000"/>
        <w:spacing w:val="0"/>
        <w:w w:val="100"/>
        <w:position w:val="0"/>
        <w:sz w:val="24"/>
        <w:szCs w:val="24"/>
        <w:u w:val="none"/>
      </w:rPr>
    </w:lvl>
    <w:lvl w:ilvl="2">
      <w:start w:val="1"/>
      <w:numFmt w:val="lowerLetter"/>
      <w:lvlText w:val="%1)"/>
      <w:lvlJc w:val="left"/>
      <w:rPr>
        <w:rFonts w:cs="Times New Roman"/>
        <w:b/>
        <w:bCs/>
        <w:i w:val="0"/>
        <w:iCs w:val="0"/>
        <w:smallCaps w:val="0"/>
        <w:strike w:val="0"/>
        <w:color w:val="000000"/>
        <w:spacing w:val="0"/>
        <w:w w:val="100"/>
        <w:position w:val="0"/>
        <w:sz w:val="24"/>
        <w:szCs w:val="24"/>
        <w:u w:val="none"/>
      </w:rPr>
    </w:lvl>
    <w:lvl w:ilvl="3">
      <w:start w:val="1"/>
      <w:numFmt w:val="lowerLetter"/>
      <w:lvlText w:val="%1)"/>
      <w:lvlJc w:val="left"/>
      <w:rPr>
        <w:rFonts w:cs="Times New Roman"/>
        <w:b/>
        <w:bCs/>
        <w:i w:val="0"/>
        <w:iCs w:val="0"/>
        <w:smallCaps w:val="0"/>
        <w:strike w:val="0"/>
        <w:color w:val="000000"/>
        <w:spacing w:val="0"/>
        <w:w w:val="100"/>
        <w:position w:val="0"/>
        <w:sz w:val="24"/>
        <w:szCs w:val="24"/>
        <w:u w:val="none"/>
      </w:rPr>
    </w:lvl>
    <w:lvl w:ilvl="4">
      <w:start w:val="1"/>
      <w:numFmt w:val="lowerLetter"/>
      <w:lvlText w:val="%1)"/>
      <w:lvlJc w:val="left"/>
      <w:rPr>
        <w:rFonts w:cs="Times New Roman"/>
        <w:b/>
        <w:bCs/>
        <w:i w:val="0"/>
        <w:iCs w:val="0"/>
        <w:smallCaps w:val="0"/>
        <w:strike w:val="0"/>
        <w:color w:val="000000"/>
        <w:spacing w:val="0"/>
        <w:w w:val="100"/>
        <w:position w:val="0"/>
        <w:sz w:val="24"/>
        <w:szCs w:val="24"/>
        <w:u w:val="none"/>
      </w:rPr>
    </w:lvl>
    <w:lvl w:ilvl="5">
      <w:start w:val="1"/>
      <w:numFmt w:val="lowerLetter"/>
      <w:lvlText w:val="%1)"/>
      <w:lvlJc w:val="left"/>
      <w:rPr>
        <w:rFonts w:cs="Times New Roman"/>
        <w:b/>
        <w:bCs/>
        <w:i w:val="0"/>
        <w:iCs w:val="0"/>
        <w:smallCaps w:val="0"/>
        <w:strike w:val="0"/>
        <w:color w:val="000000"/>
        <w:spacing w:val="0"/>
        <w:w w:val="100"/>
        <w:position w:val="0"/>
        <w:sz w:val="24"/>
        <w:szCs w:val="24"/>
        <w:u w:val="none"/>
      </w:rPr>
    </w:lvl>
    <w:lvl w:ilvl="6">
      <w:start w:val="1"/>
      <w:numFmt w:val="lowerLetter"/>
      <w:lvlText w:val="%1)"/>
      <w:lvlJc w:val="left"/>
      <w:rPr>
        <w:rFonts w:cs="Times New Roman"/>
        <w:b/>
        <w:bCs/>
        <w:i w:val="0"/>
        <w:iCs w:val="0"/>
        <w:smallCaps w:val="0"/>
        <w:strike w:val="0"/>
        <w:color w:val="000000"/>
        <w:spacing w:val="0"/>
        <w:w w:val="100"/>
        <w:position w:val="0"/>
        <w:sz w:val="24"/>
        <w:szCs w:val="24"/>
        <w:u w:val="none"/>
      </w:rPr>
    </w:lvl>
    <w:lvl w:ilvl="7">
      <w:start w:val="1"/>
      <w:numFmt w:val="lowerLetter"/>
      <w:lvlText w:val="%1)"/>
      <w:lvlJc w:val="left"/>
      <w:rPr>
        <w:rFonts w:cs="Times New Roman"/>
        <w:b/>
        <w:bCs/>
        <w:i w:val="0"/>
        <w:iCs w:val="0"/>
        <w:smallCaps w:val="0"/>
        <w:strike w:val="0"/>
        <w:color w:val="000000"/>
        <w:spacing w:val="0"/>
        <w:w w:val="100"/>
        <w:position w:val="0"/>
        <w:sz w:val="24"/>
        <w:szCs w:val="24"/>
        <w:u w:val="none"/>
      </w:rPr>
    </w:lvl>
    <w:lvl w:ilvl="8">
      <w:start w:val="1"/>
      <w:numFmt w:val="lowerLetter"/>
      <w:lvlText w:val="%1)"/>
      <w:lvlJc w:val="left"/>
      <w:rPr>
        <w:rFonts w:cs="Times New Roman"/>
        <w:b/>
        <w:bCs/>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1"/>
      <w:numFmt w:val="decimal"/>
      <w:lvlText w:val="%1."/>
      <w:lvlJc w:val="left"/>
      <w:rPr>
        <w:rFonts w:cs="Times New Roman"/>
        <w:b/>
        <w:bCs/>
        <w:i w:val="0"/>
        <w:iCs w:val="0"/>
        <w:smallCaps w:val="0"/>
        <w:strike w:val="0"/>
        <w:color w:val="000000"/>
        <w:spacing w:val="0"/>
        <w:w w:val="100"/>
        <w:position w:val="0"/>
        <w:sz w:val="23"/>
        <w:szCs w:val="23"/>
        <w:u w:val="none"/>
      </w:rPr>
    </w:lvl>
    <w:lvl w:ilvl="1">
      <w:start w:val="1"/>
      <w:numFmt w:val="decimal"/>
      <w:lvlText w:val="%1."/>
      <w:lvlJc w:val="left"/>
      <w:rPr>
        <w:rFonts w:cs="Times New Roman"/>
        <w:b/>
        <w:bCs/>
        <w:i w:val="0"/>
        <w:iCs w:val="0"/>
        <w:smallCaps w:val="0"/>
        <w:strike w:val="0"/>
        <w:color w:val="000000"/>
        <w:spacing w:val="0"/>
        <w:w w:val="100"/>
        <w:position w:val="0"/>
        <w:sz w:val="23"/>
        <w:szCs w:val="23"/>
        <w:u w:val="none"/>
      </w:rPr>
    </w:lvl>
    <w:lvl w:ilvl="2">
      <w:start w:val="1"/>
      <w:numFmt w:val="decimal"/>
      <w:lvlText w:val="%1."/>
      <w:lvlJc w:val="left"/>
      <w:rPr>
        <w:rFonts w:cs="Times New Roman"/>
        <w:b/>
        <w:bCs/>
        <w:i w:val="0"/>
        <w:iCs w:val="0"/>
        <w:smallCaps w:val="0"/>
        <w:strike w:val="0"/>
        <w:color w:val="000000"/>
        <w:spacing w:val="0"/>
        <w:w w:val="100"/>
        <w:position w:val="0"/>
        <w:sz w:val="23"/>
        <w:szCs w:val="23"/>
        <w:u w:val="none"/>
      </w:rPr>
    </w:lvl>
    <w:lvl w:ilvl="3">
      <w:start w:val="1"/>
      <w:numFmt w:val="decimal"/>
      <w:lvlText w:val="%1."/>
      <w:lvlJc w:val="left"/>
      <w:rPr>
        <w:rFonts w:cs="Times New Roman"/>
        <w:b/>
        <w:bCs/>
        <w:i w:val="0"/>
        <w:iCs w:val="0"/>
        <w:smallCaps w:val="0"/>
        <w:strike w:val="0"/>
        <w:color w:val="000000"/>
        <w:spacing w:val="0"/>
        <w:w w:val="100"/>
        <w:position w:val="0"/>
        <w:sz w:val="23"/>
        <w:szCs w:val="23"/>
        <w:u w:val="none"/>
      </w:rPr>
    </w:lvl>
    <w:lvl w:ilvl="4">
      <w:start w:val="1"/>
      <w:numFmt w:val="decimal"/>
      <w:lvlText w:val="%1."/>
      <w:lvlJc w:val="left"/>
      <w:rPr>
        <w:rFonts w:cs="Times New Roman"/>
        <w:b/>
        <w:bCs/>
        <w:i w:val="0"/>
        <w:iCs w:val="0"/>
        <w:smallCaps w:val="0"/>
        <w:strike w:val="0"/>
        <w:color w:val="000000"/>
        <w:spacing w:val="0"/>
        <w:w w:val="100"/>
        <w:position w:val="0"/>
        <w:sz w:val="23"/>
        <w:szCs w:val="23"/>
        <w:u w:val="none"/>
      </w:rPr>
    </w:lvl>
    <w:lvl w:ilvl="5">
      <w:start w:val="1"/>
      <w:numFmt w:val="decimal"/>
      <w:lvlText w:val="%1."/>
      <w:lvlJc w:val="left"/>
      <w:rPr>
        <w:rFonts w:cs="Times New Roman"/>
        <w:b/>
        <w:bCs/>
        <w:i w:val="0"/>
        <w:iCs w:val="0"/>
        <w:smallCaps w:val="0"/>
        <w:strike w:val="0"/>
        <w:color w:val="000000"/>
        <w:spacing w:val="0"/>
        <w:w w:val="100"/>
        <w:position w:val="0"/>
        <w:sz w:val="23"/>
        <w:szCs w:val="23"/>
        <w:u w:val="none"/>
      </w:rPr>
    </w:lvl>
    <w:lvl w:ilvl="6">
      <w:start w:val="1"/>
      <w:numFmt w:val="decimal"/>
      <w:lvlText w:val="%1."/>
      <w:lvlJc w:val="left"/>
      <w:rPr>
        <w:rFonts w:cs="Times New Roman"/>
        <w:b/>
        <w:bCs/>
        <w:i w:val="0"/>
        <w:iCs w:val="0"/>
        <w:smallCaps w:val="0"/>
        <w:strike w:val="0"/>
        <w:color w:val="000000"/>
        <w:spacing w:val="0"/>
        <w:w w:val="100"/>
        <w:position w:val="0"/>
        <w:sz w:val="23"/>
        <w:szCs w:val="23"/>
        <w:u w:val="none"/>
      </w:rPr>
    </w:lvl>
    <w:lvl w:ilvl="7">
      <w:start w:val="1"/>
      <w:numFmt w:val="decimal"/>
      <w:lvlText w:val="%1."/>
      <w:lvlJc w:val="left"/>
      <w:rPr>
        <w:rFonts w:cs="Times New Roman"/>
        <w:b/>
        <w:bCs/>
        <w:i w:val="0"/>
        <w:iCs w:val="0"/>
        <w:smallCaps w:val="0"/>
        <w:strike w:val="0"/>
        <w:color w:val="000000"/>
        <w:spacing w:val="0"/>
        <w:w w:val="100"/>
        <w:position w:val="0"/>
        <w:sz w:val="23"/>
        <w:szCs w:val="23"/>
        <w:u w:val="none"/>
      </w:rPr>
    </w:lvl>
    <w:lvl w:ilvl="8">
      <w:start w:val="1"/>
      <w:numFmt w:val="decimal"/>
      <w:lvlText w:val="%1."/>
      <w:lvlJc w:val="left"/>
      <w:rPr>
        <w:rFonts w:cs="Times New Roman"/>
        <w:b/>
        <w:bCs/>
        <w:i w:val="0"/>
        <w:iCs w:val="0"/>
        <w:smallCaps w:val="0"/>
        <w:strike w:val="0"/>
        <w:color w:val="000000"/>
        <w:spacing w:val="0"/>
        <w:w w:val="100"/>
        <w:position w:val="0"/>
        <w:sz w:val="23"/>
        <w:szCs w:val="23"/>
        <w:u w:val="none"/>
      </w:rPr>
    </w:lvl>
  </w:abstractNum>
  <w:abstractNum w:abstractNumId="7" w15:restartNumberingAfterBreak="0">
    <w:nsid w:val="0000000F"/>
    <w:multiLevelType w:val="multilevel"/>
    <w:tmpl w:val="0000000E"/>
    <w:lvl w:ilvl="0">
      <w:start w:val="2"/>
      <w:numFmt w:val="decimal"/>
      <w:lvlText w:val="2.%1."/>
      <w:lvlJc w:val="left"/>
      <w:rPr>
        <w:rFonts w:ascii="Courier New" w:hAnsi="Courier New" w:cs="Courier New"/>
        <w:b w:val="0"/>
        <w:bCs w:val="0"/>
        <w:i w:val="0"/>
        <w:iCs w:val="0"/>
        <w:smallCaps w:val="0"/>
        <w:strike w:val="0"/>
        <w:color w:val="000000"/>
        <w:spacing w:val="0"/>
        <w:w w:val="100"/>
        <w:position w:val="0"/>
        <w:sz w:val="17"/>
        <w:szCs w:val="17"/>
        <w:u w:val="none"/>
      </w:rPr>
    </w:lvl>
    <w:lvl w:ilvl="1">
      <w:start w:val="3"/>
      <w:numFmt w:val="decimal"/>
      <w:lvlText w:val="%1.%2"/>
      <w:lvlJc w:val="left"/>
      <w:rPr>
        <w:rFonts w:cs="Times New Roman"/>
        <w:b w:val="0"/>
        <w:bCs w:val="0"/>
        <w:i w:val="0"/>
        <w:iCs w:val="0"/>
        <w:smallCaps w:val="0"/>
        <w:strike w:val="0"/>
        <w:color w:val="000000"/>
        <w:spacing w:val="0"/>
        <w:w w:val="100"/>
        <w:position w:val="0"/>
        <w:sz w:val="23"/>
        <w:szCs w:val="23"/>
        <w:u w:val="none"/>
      </w:rPr>
    </w:lvl>
    <w:lvl w:ilvl="2">
      <w:start w:val="3"/>
      <w:numFmt w:val="decimal"/>
      <w:lvlText w:val="%1.%2"/>
      <w:lvlJc w:val="left"/>
      <w:rPr>
        <w:rFonts w:cs="Times New Roman"/>
        <w:b w:val="0"/>
        <w:bCs w:val="0"/>
        <w:i w:val="0"/>
        <w:iCs w:val="0"/>
        <w:smallCaps w:val="0"/>
        <w:strike w:val="0"/>
        <w:color w:val="000000"/>
        <w:spacing w:val="0"/>
        <w:w w:val="100"/>
        <w:position w:val="0"/>
        <w:sz w:val="23"/>
        <w:szCs w:val="23"/>
        <w:u w:val="none"/>
      </w:rPr>
    </w:lvl>
    <w:lvl w:ilvl="3">
      <w:start w:val="3"/>
      <w:numFmt w:val="decimal"/>
      <w:lvlText w:val="%1.%2"/>
      <w:lvlJc w:val="left"/>
      <w:rPr>
        <w:rFonts w:cs="Times New Roman"/>
        <w:b w:val="0"/>
        <w:bCs w:val="0"/>
        <w:i w:val="0"/>
        <w:iCs w:val="0"/>
        <w:smallCaps w:val="0"/>
        <w:strike w:val="0"/>
        <w:color w:val="000000"/>
        <w:spacing w:val="0"/>
        <w:w w:val="100"/>
        <w:position w:val="0"/>
        <w:sz w:val="23"/>
        <w:szCs w:val="23"/>
        <w:u w:val="none"/>
      </w:rPr>
    </w:lvl>
    <w:lvl w:ilvl="4">
      <w:start w:val="3"/>
      <w:numFmt w:val="decimal"/>
      <w:lvlText w:val="%1.%2"/>
      <w:lvlJc w:val="left"/>
      <w:rPr>
        <w:rFonts w:cs="Times New Roman"/>
        <w:b w:val="0"/>
        <w:bCs w:val="0"/>
        <w:i w:val="0"/>
        <w:iCs w:val="0"/>
        <w:smallCaps w:val="0"/>
        <w:strike w:val="0"/>
        <w:color w:val="000000"/>
        <w:spacing w:val="0"/>
        <w:w w:val="100"/>
        <w:position w:val="0"/>
        <w:sz w:val="23"/>
        <w:szCs w:val="23"/>
        <w:u w:val="none"/>
      </w:rPr>
    </w:lvl>
    <w:lvl w:ilvl="5">
      <w:start w:val="3"/>
      <w:numFmt w:val="decimal"/>
      <w:lvlText w:val="%1.%2"/>
      <w:lvlJc w:val="left"/>
      <w:rPr>
        <w:rFonts w:cs="Times New Roman"/>
        <w:b w:val="0"/>
        <w:bCs w:val="0"/>
        <w:i w:val="0"/>
        <w:iCs w:val="0"/>
        <w:smallCaps w:val="0"/>
        <w:strike w:val="0"/>
        <w:color w:val="000000"/>
        <w:spacing w:val="0"/>
        <w:w w:val="100"/>
        <w:position w:val="0"/>
        <w:sz w:val="23"/>
        <w:szCs w:val="23"/>
        <w:u w:val="none"/>
      </w:rPr>
    </w:lvl>
    <w:lvl w:ilvl="6">
      <w:start w:val="3"/>
      <w:numFmt w:val="decimal"/>
      <w:lvlText w:val="%1.%2"/>
      <w:lvlJc w:val="left"/>
      <w:rPr>
        <w:rFonts w:cs="Times New Roman"/>
        <w:b w:val="0"/>
        <w:bCs w:val="0"/>
        <w:i w:val="0"/>
        <w:iCs w:val="0"/>
        <w:smallCaps w:val="0"/>
        <w:strike w:val="0"/>
        <w:color w:val="000000"/>
        <w:spacing w:val="0"/>
        <w:w w:val="100"/>
        <w:position w:val="0"/>
        <w:sz w:val="23"/>
        <w:szCs w:val="23"/>
        <w:u w:val="none"/>
      </w:rPr>
    </w:lvl>
    <w:lvl w:ilvl="7">
      <w:start w:val="3"/>
      <w:numFmt w:val="decimal"/>
      <w:lvlText w:val="%1.%2"/>
      <w:lvlJc w:val="left"/>
      <w:rPr>
        <w:rFonts w:cs="Times New Roman"/>
        <w:b w:val="0"/>
        <w:bCs w:val="0"/>
        <w:i w:val="0"/>
        <w:iCs w:val="0"/>
        <w:smallCaps w:val="0"/>
        <w:strike w:val="0"/>
        <w:color w:val="000000"/>
        <w:spacing w:val="0"/>
        <w:w w:val="100"/>
        <w:position w:val="0"/>
        <w:sz w:val="23"/>
        <w:szCs w:val="23"/>
        <w:u w:val="none"/>
      </w:rPr>
    </w:lvl>
    <w:lvl w:ilvl="8">
      <w:start w:val="3"/>
      <w:numFmt w:val="decimal"/>
      <w:lvlText w:val="%1.%2"/>
      <w:lvlJc w:val="left"/>
      <w:rPr>
        <w:rFonts w:cs="Times New Roman"/>
        <w:b w:val="0"/>
        <w:bCs w:val="0"/>
        <w:i w:val="0"/>
        <w:iCs w:val="0"/>
        <w:smallCaps w:val="0"/>
        <w:strike w:val="0"/>
        <w:color w:val="000000"/>
        <w:spacing w:val="0"/>
        <w:w w:val="100"/>
        <w:position w:val="0"/>
        <w:sz w:val="23"/>
        <w:szCs w:val="23"/>
        <w:u w:val="none"/>
      </w:rPr>
    </w:lvl>
  </w:abstractNum>
  <w:abstractNum w:abstractNumId="8" w15:restartNumberingAfterBreak="0">
    <w:nsid w:val="00000011"/>
    <w:multiLevelType w:val="multilevel"/>
    <w:tmpl w:val="874ABE88"/>
    <w:lvl w:ilvl="0">
      <w:start w:val="1"/>
      <w:numFmt w:val="decimal"/>
      <w:lvlText w:val="%1"/>
      <w:lvlJc w:val="left"/>
      <w:rPr>
        <w:rFonts w:ascii="Calibri" w:eastAsia="Calibri" w:hAnsi="Calibri" w:cs="Times New Roman"/>
        <w:b/>
        <w:bCs/>
        <w:i w:val="0"/>
        <w:iCs w:val="0"/>
        <w:smallCaps w:val="0"/>
        <w:strike w:val="0"/>
        <w:color w:val="000000"/>
        <w:spacing w:val="0"/>
        <w:w w:val="100"/>
        <w:position w:val="0"/>
        <w:sz w:val="23"/>
        <w:szCs w:val="23"/>
        <w:u w:val="none"/>
      </w:rPr>
    </w:lvl>
    <w:lvl w:ilvl="1">
      <w:start w:val="67"/>
      <w:numFmt w:val="decimal"/>
      <w:lvlText w:val="1.141,%1"/>
      <w:lvlJc w:val="left"/>
      <w:rPr>
        <w:rFonts w:cs="Times New Roman"/>
        <w:b/>
        <w:bCs/>
        <w:i w:val="0"/>
        <w:iCs w:val="0"/>
        <w:smallCaps w:val="0"/>
        <w:strike w:val="0"/>
        <w:color w:val="000000"/>
        <w:spacing w:val="0"/>
        <w:w w:val="100"/>
        <w:position w:val="0"/>
        <w:sz w:val="23"/>
        <w:szCs w:val="23"/>
        <w:u w:val="none"/>
      </w:rPr>
    </w:lvl>
    <w:lvl w:ilvl="2">
      <w:start w:val="67"/>
      <w:numFmt w:val="decimal"/>
      <w:lvlText w:val="1.141,%1"/>
      <w:lvlJc w:val="left"/>
      <w:rPr>
        <w:rFonts w:cs="Times New Roman"/>
        <w:b/>
        <w:bCs/>
        <w:i w:val="0"/>
        <w:iCs w:val="0"/>
        <w:smallCaps w:val="0"/>
        <w:strike w:val="0"/>
        <w:color w:val="000000"/>
        <w:spacing w:val="0"/>
        <w:w w:val="100"/>
        <w:position w:val="0"/>
        <w:sz w:val="23"/>
        <w:szCs w:val="23"/>
        <w:u w:val="none"/>
      </w:rPr>
    </w:lvl>
    <w:lvl w:ilvl="3">
      <w:start w:val="67"/>
      <w:numFmt w:val="decimal"/>
      <w:lvlText w:val="1.141,%1"/>
      <w:lvlJc w:val="left"/>
      <w:rPr>
        <w:rFonts w:cs="Times New Roman"/>
        <w:b/>
        <w:bCs/>
        <w:i w:val="0"/>
        <w:iCs w:val="0"/>
        <w:smallCaps w:val="0"/>
        <w:strike w:val="0"/>
        <w:color w:val="000000"/>
        <w:spacing w:val="0"/>
        <w:w w:val="100"/>
        <w:position w:val="0"/>
        <w:sz w:val="23"/>
        <w:szCs w:val="23"/>
        <w:u w:val="none"/>
      </w:rPr>
    </w:lvl>
    <w:lvl w:ilvl="4">
      <w:start w:val="67"/>
      <w:numFmt w:val="decimal"/>
      <w:lvlText w:val="1.141,%1"/>
      <w:lvlJc w:val="left"/>
      <w:rPr>
        <w:rFonts w:cs="Times New Roman"/>
        <w:b/>
        <w:bCs/>
        <w:i w:val="0"/>
        <w:iCs w:val="0"/>
        <w:smallCaps w:val="0"/>
        <w:strike w:val="0"/>
        <w:color w:val="000000"/>
        <w:spacing w:val="0"/>
        <w:w w:val="100"/>
        <w:position w:val="0"/>
        <w:sz w:val="23"/>
        <w:szCs w:val="23"/>
        <w:u w:val="none"/>
      </w:rPr>
    </w:lvl>
    <w:lvl w:ilvl="5">
      <w:start w:val="67"/>
      <w:numFmt w:val="decimal"/>
      <w:lvlText w:val="1.141,%1"/>
      <w:lvlJc w:val="left"/>
      <w:rPr>
        <w:rFonts w:cs="Times New Roman"/>
        <w:b/>
        <w:bCs/>
        <w:i w:val="0"/>
        <w:iCs w:val="0"/>
        <w:smallCaps w:val="0"/>
        <w:strike w:val="0"/>
        <w:color w:val="000000"/>
        <w:spacing w:val="0"/>
        <w:w w:val="100"/>
        <w:position w:val="0"/>
        <w:sz w:val="23"/>
        <w:szCs w:val="23"/>
        <w:u w:val="none"/>
      </w:rPr>
    </w:lvl>
    <w:lvl w:ilvl="6">
      <w:start w:val="67"/>
      <w:numFmt w:val="decimal"/>
      <w:lvlText w:val="1.141,%1"/>
      <w:lvlJc w:val="left"/>
      <w:rPr>
        <w:rFonts w:cs="Times New Roman"/>
        <w:b/>
        <w:bCs/>
        <w:i w:val="0"/>
        <w:iCs w:val="0"/>
        <w:smallCaps w:val="0"/>
        <w:strike w:val="0"/>
        <w:color w:val="000000"/>
        <w:spacing w:val="0"/>
        <w:w w:val="100"/>
        <w:position w:val="0"/>
        <w:sz w:val="23"/>
        <w:szCs w:val="23"/>
        <w:u w:val="none"/>
      </w:rPr>
    </w:lvl>
    <w:lvl w:ilvl="7">
      <w:start w:val="67"/>
      <w:numFmt w:val="decimal"/>
      <w:lvlText w:val="1.141,%1"/>
      <w:lvlJc w:val="left"/>
      <w:rPr>
        <w:rFonts w:cs="Times New Roman"/>
        <w:b/>
        <w:bCs/>
        <w:i w:val="0"/>
        <w:iCs w:val="0"/>
        <w:smallCaps w:val="0"/>
        <w:strike w:val="0"/>
        <w:color w:val="000000"/>
        <w:spacing w:val="0"/>
        <w:w w:val="100"/>
        <w:position w:val="0"/>
        <w:sz w:val="23"/>
        <w:szCs w:val="23"/>
        <w:u w:val="none"/>
      </w:rPr>
    </w:lvl>
    <w:lvl w:ilvl="8">
      <w:start w:val="67"/>
      <w:numFmt w:val="decimal"/>
      <w:lvlText w:val="1.141,%1"/>
      <w:lvlJc w:val="left"/>
      <w:rPr>
        <w:rFonts w:cs="Times New Roman"/>
        <w:b/>
        <w:bCs/>
        <w:i w:val="0"/>
        <w:iCs w:val="0"/>
        <w:smallCaps w:val="0"/>
        <w:strike w:val="0"/>
        <w:color w:val="000000"/>
        <w:spacing w:val="0"/>
        <w:w w:val="100"/>
        <w:position w:val="0"/>
        <w:sz w:val="23"/>
        <w:szCs w:val="23"/>
        <w:u w:val="none"/>
      </w:rPr>
    </w:lvl>
  </w:abstractNum>
  <w:abstractNum w:abstractNumId="9" w15:restartNumberingAfterBreak="0">
    <w:nsid w:val="03061BFF"/>
    <w:multiLevelType w:val="multilevel"/>
    <w:tmpl w:val="D16E102A"/>
    <w:lvl w:ilvl="0">
      <w:start w:val="1"/>
      <w:numFmt w:val="decimal"/>
      <w:pStyle w:val="Estilo2"/>
      <w:lvlText w:val="Artículo %1."/>
      <w:lvlJc w:val="left"/>
      <w:pPr>
        <w:tabs>
          <w:tab w:val="num" w:pos="2357"/>
        </w:tabs>
        <w:ind w:left="917" w:firstLine="0"/>
      </w:pPr>
      <w:rPr>
        <w:rFonts w:hint="default"/>
        <w:b/>
        <w:i w:val="0"/>
      </w:rPr>
    </w:lvl>
    <w:lvl w:ilvl="1">
      <w:start w:val="1"/>
      <w:numFmt w:val="lowerLetter"/>
      <w:lvlText w:val="%2)"/>
      <w:lvlJc w:val="left"/>
      <w:pPr>
        <w:ind w:left="-1314" w:hanging="375"/>
      </w:pPr>
      <w:rPr>
        <w:rFonts w:hint="default"/>
      </w:rPr>
    </w:lvl>
    <w:lvl w:ilvl="2">
      <w:start w:val="1"/>
      <w:numFmt w:val="lowerRoman"/>
      <w:lvlText w:val="%3."/>
      <w:lvlJc w:val="right"/>
      <w:pPr>
        <w:tabs>
          <w:tab w:val="num" w:pos="-609"/>
        </w:tabs>
        <w:ind w:left="-609" w:hanging="180"/>
      </w:pPr>
    </w:lvl>
    <w:lvl w:ilvl="3">
      <w:start w:val="1"/>
      <w:numFmt w:val="decimal"/>
      <w:lvlText w:val="%4."/>
      <w:lvlJc w:val="left"/>
      <w:pPr>
        <w:tabs>
          <w:tab w:val="num" w:pos="111"/>
        </w:tabs>
        <w:ind w:left="111" w:hanging="360"/>
      </w:pPr>
    </w:lvl>
    <w:lvl w:ilvl="4">
      <w:start w:val="1"/>
      <w:numFmt w:val="lowerLetter"/>
      <w:lvlText w:val="%5."/>
      <w:lvlJc w:val="left"/>
      <w:pPr>
        <w:tabs>
          <w:tab w:val="num" w:pos="831"/>
        </w:tabs>
        <w:ind w:left="831" w:hanging="360"/>
      </w:pPr>
    </w:lvl>
    <w:lvl w:ilvl="5">
      <w:start w:val="1"/>
      <w:numFmt w:val="lowerRoman"/>
      <w:lvlText w:val="%6."/>
      <w:lvlJc w:val="right"/>
      <w:pPr>
        <w:tabs>
          <w:tab w:val="num" w:pos="1551"/>
        </w:tabs>
        <w:ind w:left="1551" w:hanging="180"/>
      </w:pPr>
    </w:lvl>
    <w:lvl w:ilvl="6" w:tentative="1">
      <w:start w:val="1"/>
      <w:numFmt w:val="decimal"/>
      <w:lvlText w:val="%7."/>
      <w:lvlJc w:val="left"/>
      <w:pPr>
        <w:tabs>
          <w:tab w:val="num" w:pos="2271"/>
        </w:tabs>
        <w:ind w:left="2271" w:hanging="360"/>
      </w:pPr>
    </w:lvl>
    <w:lvl w:ilvl="7" w:tentative="1">
      <w:start w:val="1"/>
      <w:numFmt w:val="lowerLetter"/>
      <w:lvlText w:val="%8."/>
      <w:lvlJc w:val="left"/>
      <w:pPr>
        <w:tabs>
          <w:tab w:val="num" w:pos="2991"/>
        </w:tabs>
        <w:ind w:left="2991" w:hanging="360"/>
      </w:pPr>
    </w:lvl>
    <w:lvl w:ilvl="8" w:tentative="1">
      <w:start w:val="1"/>
      <w:numFmt w:val="lowerRoman"/>
      <w:lvlText w:val="%9."/>
      <w:lvlJc w:val="right"/>
      <w:pPr>
        <w:tabs>
          <w:tab w:val="num" w:pos="3711"/>
        </w:tabs>
        <w:ind w:left="3711" w:hanging="180"/>
      </w:pPr>
    </w:lvl>
  </w:abstractNum>
  <w:abstractNum w:abstractNumId="10" w15:restartNumberingAfterBreak="0">
    <w:nsid w:val="04166DF0"/>
    <w:multiLevelType w:val="hybridMultilevel"/>
    <w:tmpl w:val="4CF01E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4E31A8D"/>
    <w:multiLevelType w:val="multilevel"/>
    <w:tmpl w:val="5D2A6D4A"/>
    <w:lvl w:ilvl="0">
      <w:start w:val="1"/>
      <w:numFmt w:val="decimal"/>
      <w:lvlText w:val="%1."/>
      <w:lvlJc w:val="left"/>
      <w:pPr>
        <w:ind w:left="720" w:hanging="360"/>
      </w:pPr>
      <w:rPr>
        <w:rFonts w:hint="default"/>
      </w:rPr>
    </w:lvl>
    <w:lvl w:ilvl="1">
      <w:start w:val="7"/>
      <w:numFmt w:val="decimal"/>
      <w:isLgl/>
      <w:lvlText w:val="%1.%2"/>
      <w:lvlJc w:val="left"/>
      <w:pPr>
        <w:ind w:left="1135" w:hanging="60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560" w:hanging="1800"/>
      </w:pPr>
      <w:rPr>
        <w:rFonts w:hint="default"/>
      </w:rPr>
    </w:lvl>
  </w:abstractNum>
  <w:abstractNum w:abstractNumId="12" w15:restartNumberingAfterBreak="0">
    <w:nsid w:val="059264AD"/>
    <w:multiLevelType w:val="hybridMultilevel"/>
    <w:tmpl w:val="C996298E"/>
    <w:lvl w:ilvl="0" w:tplc="73F272F6">
      <w:start w:val="1"/>
      <w:numFmt w:val="lowerRoman"/>
      <w:pStyle w:val="Prrafodelista"/>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08A42D68"/>
    <w:multiLevelType w:val="hybridMultilevel"/>
    <w:tmpl w:val="5D12EF9C"/>
    <w:lvl w:ilvl="0" w:tplc="91D8B256">
      <w:start w:val="1"/>
      <w:numFmt w:val="bullet"/>
      <w:lvlText w:val=""/>
      <w:lvlJc w:val="left"/>
      <w:pPr>
        <w:ind w:left="1004" w:hanging="360"/>
      </w:pPr>
      <w:rPr>
        <w:rFonts w:ascii="Symbol" w:hAnsi="Symbol" w:hint="default"/>
        <w:sz w:val="20"/>
        <w:szCs w:val="20"/>
      </w:rPr>
    </w:lvl>
    <w:lvl w:ilvl="1" w:tplc="240A0003">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4" w15:restartNumberingAfterBreak="0">
    <w:nsid w:val="09EA079B"/>
    <w:multiLevelType w:val="hybridMultilevel"/>
    <w:tmpl w:val="9014EFD2"/>
    <w:lvl w:ilvl="0" w:tplc="7DF47456">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5" w15:restartNumberingAfterBreak="0">
    <w:nsid w:val="09FA6194"/>
    <w:multiLevelType w:val="hybridMultilevel"/>
    <w:tmpl w:val="579A1A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0BC24002"/>
    <w:multiLevelType w:val="multilevel"/>
    <w:tmpl w:val="00C60F30"/>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0F9529F"/>
    <w:multiLevelType w:val="multilevel"/>
    <w:tmpl w:val="287A55FE"/>
    <w:lvl w:ilvl="0">
      <w:start w:val="1"/>
      <w:numFmt w:val="decimal"/>
      <w:lvlText w:val="%1."/>
      <w:lvlJc w:val="left"/>
      <w:pPr>
        <w:ind w:left="720" w:hanging="360"/>
      </w:p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13ED1F47"/>
    <w:multiLevelType w:val="multilevel"/>
    <w:tmpl w:val="287A55FE"/>
    <w:lvl w:ilvl="0">
      <w:start w:val="1"/>
      <w:numFmt w:val="decimal"/>
      <w:lvlText w:val="%1."/>
      <w:lvlJc w:val="left"/>
      <w:pPr>
        <w:ind w:left="720" w:hanging="360"/>
      </w:p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60155B7"/>
    <w:multiLevelType w:val="hybridMultilevel"/>
    <w:tmpl w:val="3CE0F1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1B721DEC"/>
    <w:multiLevelType w:val="hybridMultilevel"/>
    <w:tmpl w:val="1BE2FE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5E736CB"/>
    <w:multiLevelType w:val="hybridMultilevel"/>
    <w:tmpl w:val="F6B061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9375622"/>
    <w:multiLevelType w:val="hybridMultilevel"/>
    <w:tmpl w:val="EBE67EF8"/>
    <w:lvl w:ilvl="0" w:tplc="71DA4FE8">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E1818EF"/>
    <w:multiLevelType w:val="multilevel"/>
    <w:tmpl w:val="641CED7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30527733"/>
    <w:multiLevelType w:val="hybridMultilevel"/>
    <w:tmpl w:val="26FA9E18"/>
    <w:lvl w:ilvl="0" w:tplc="B862234A">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6" w15:restartNumberingAfterBreak="0">
    <w:nsid w:val="359B4B2D"/>
    <w:multiLevelType w:val="hybridMultilevel"/>
    <w:tmpl w:val="6B980156"/>
    <w:lvl w:ilvl="0" w:tplc="240A000F">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73C2C12"/>
    <w:multiLevelType w:val="hybridMultilevel"/>
    <w:tmpl w:val="05B08CFE"/>
    <w:lvl w:ilvl="0" w:tplc="91D8B256">
      <w:start w:val="1"/>
      <w:numFmt w:val="bullet"/>
      <w:lvlText w:val=""/>
      <w:lvlJc w:val="left"/>
      <w:pPr>
        <w:ind w:left="720" w:hanging="360"/>
      </w:pPr>
      <w:rPr>
        <w:rFonts w:ascii="Symbol" w:hAnsi="Symbol"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971711B"/>
    <w:multiLevelType w:val="multilevel"/>
    <w:tmpl w:val="C93C786C"/>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99F40E6"/>
    <w:multiLevelType w:val="hybridMultilevel"/>
    <w:tmpl w:val="97A291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A5A4789"/>
    <w:multiLevelType w:val="hybridMultilevel"/>
    <w:tmpl w:val="332431D8"/>
    <w:lvl w:ilvl="0" w:tplc="9A2C30C6">
      <w:start w:val="1"/>
      <w:numFmt w:val="bullet"/>
      <w:lvlText w:val="•"/>
      <w:lvlJc w:val="left"/>
      <w:pPr>
        <w:tabs>
          <w:tab w:val="num" w:pos="720"/>
        </w:tabs>
        <w:ind w:left="720" w:hanging="360"/>
      </w:pPr>
      <w:rPr>
        <w:rFonts w:ascii="Arial" w:hAnsi="Arial" w:hint="default"/>
      </w:rPr>
    </w:lvl>
    <w:lvl w:ilvl="1" w:tplc="8158A630" w:tentative="1">
      <w:start w:val="1"/>
      <w:numFmt w:val="bullet"/>
      <w:lvlText w:val="•"/>
      <w:lvlJc w:val="left"/>
      <w:pPr>
        <w:tabs>
          <w:tab w:val="num" w:pos="1440"/>
        </w:tabs>
        <w:ind w:left="1440" w:hanging="360"/>
      </w:pPr>
      <w:rPr>
        <w:rFonts w:ascii="Arial" w:hAnsi="Arial" w:hint="default"/>
      </w:rPr>
    </w:lvl>
    <w:lvl w:ilvl="2" w:tplc="F9142840" w:tentative="1">
      <w:start w:val="1"/>
      <w:numFmt w:val="bullet"/>
      <w:lvlText w:val="•"/>
      <w:lvlJc w:val="left"/>
      <w:pPr>
        <w:tabs>
          <w:tab w:val="num" w:pos="2160"/>
        </w:tabs>
        <w:ind w:left="2160" w:hanging="360"/>
      </w:pPr>
      <w:rPr>
        <w:rFonts w:ascii="Arial" w:hAnsi="Arial" w:hint="default"/>
      </w:rPr>
    </w:lvl>
    <w:lvl w:ilvl="3" w:tplc="76120CCE" w:tentative="1">
      <w:start w:val="1"/>
      <w:numFmt w:val="bullet"/>
      <w:lvlText w:val="•"/>
      <w:lvlJc w:val="left"/>
      <w:pPr>
        <w:tabs>
          <w:tab w:val="num" w:pos="2880"/>
        </w:tabs>
        <w:ind w:left="2880" w:hanging="360"/>
      </w:pPr>
      <w:rPr>
        <w:rFonts w:ascii="Arial" w:hAnsi="Arial" w:hint="default"/>
      </w:rPr>
    </w:lvl>
    <w:lvl w:ilvl="4" w:tplc="7600841A" w:tentative="1">
      <w:start w:val="1"/>
      <w:numFmt w:val="bullet"/>
      <w:lvlText w:val="•"/>
      <w:lvlJc w:val="left"/>
      <w:pPr>
        <w:tabs>
          <w:tab w:val="num" w:pos="3600"/>
        </w:tabs>
        <w:ind w:left="3600" w:hanging="360"/>
      </w:pPr>
      <w:rPr>
        <w:rFonts w:ascii="Arial" w:hAnsi="Arial" w:hint="default"/>
      </w:rPr>
    </w:lvl>
    <w:lvl w:ilvl="5" w:tplc="5476BAF4" w:tentative="1">
      <w:start w:val="1"/>
      <w:numFmt w:val="bullet"/>
      <w:lvlText w:val="•"/>
      <w:lvlJc w:val="left"/>
      <w:pPr>
        <w:tabs>
          <w:tab w:val="num" w:pos="4320"/>
        </w:tabs>
        <w:ind w:left="4320" w:hanging="360"/>
      </w:pPr>
      <w:rPr>
        <w:rFonts w:ascii="Arial" w:hAnsi="Arial" w:hint="default"/>
      </w:rPr>
    </w:lvl>
    <w:lvl w:ilvl="6" w:tplc="9356E5FA" w:tentative="1">
      <w:start w:val="1"/>
      <w:numFmt w:val="bullet"/>
      <w:lvlText w:val="•"/>
      <w:lvlJc w:val="left"/>
      <w:pPr>
        <w:tabs>
          <w:tab w:val="num" w:pos="5040"/>
        </w:tabs>
        <w:ind w:left="5040" w:hanging="360"/>
      </w:pPr>
      <w:rPr>
        <w:rFonts w:ascii="Arial" w:hAnsi="Arial" w:hint="default"/>
      </w:rPr>
    </w:lvl>
    <w:lvl w:ilvl="7" w:tplc="3334B5BC" w:tentative="1">
      <w:start w:val="1"/>
      <w:numFmt w:val="bullet"/>
      <w:lvlText w:val="•"/>
      <w:lvlJc w:val="left"/>
      <w:pPr>
        <w:tabs>
          <w:tab w:val="num" w:pos="5760"/>
        </w:tabs>
        <w:ind w:left="5760" w:hanging="360"/>
      </w:pPr>
      <w:rPr>
        <w:rFonts w:ascii="Arial" w:hAnsi="Arial" w:hint="default"/>
      </w:rPr>
    </w:lvl>
    <w:lvl w:ilvl="8" w:tplc="79425A2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15934C5"/>
    <w:multiLevelType w:val="hybridMultilevel"/>
    <w:tmpl w:val="4ADADEC6"/>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53556E9"/>
    <w:multiLevelType w:val="hybridMultilevel"/>
    <w:tmpl w:val="C096D61A"/>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5F33665"/>
    <w:multiLevelType w:val="multilevel"/>
    <w:tmpl w:val="11D0B0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96611C0"/>
    <w:multiLevelType w:val="multilevel"/>
    <w:tmpl w:val="F968BFE8"/>
    <w:lvl w:ilvl="0">
      <w:start w:val="1"/>
      <w:numFmt w:val="decimal"/>
      <w:lvlText w:val="%1."/>
      <w:lvlJc w:val="left"/>
      <w:pPr>
        <w:ind w:left="1211"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6" w15:restartNumberingAfterBreak="0">
    <w:nsid w:val="4D0C13D4"/>
    <w:multiLevelType w:val="hybridMultilevel"/>
    <w:tmpl w:val="B888B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DAC1269"/>
    <w:multiLevelType w:val="hybridMultilevel"/>
    <w:tmpl w:val="F4EA5B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2345A5A"/>
    <w:multiLevelType w:val="multilevel"/>
    <w:tmpl w:val="7598ABC2"/>
    <w:lvl w:ilvl="0">
      <w:start w:val="13"/>
      <w:numFmt w:val="decimal"/>
      <w:lvlText w:val="ANEXO %1"/>
      <w:lvlJc w:val="center"/>
      <w:pPr>
        <w:ind w:left="-288" w:firstLine="288"/>
      </w:pPr>
      <w:rPr>
        <w:rFonts w:hint="default"/>
      </w:rPr>
    </w:lvl>
    <w:lvl w:ilvl="1">
      <w:start w:val="1"/>
      <w:numFmt w:val="decimalZero"/>
      <w:isLgl/>
      <w:lvlText w:val="Secció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9" w15:restartNumberingAfterBreak="0">
    <w:nsid w:val="53856273"/>
    <w:multiLevelType w:val="hybridMultilevel"/>
    <w:tmpl w:val="310A9E62"/>
    <w:name w:val="WW8Num6423"/>
    <w:lvl w:ilvl="0" w:tplc="1D78D3A8">
      <w:start w:val="1"/>
      <w:numFmt w:val="upperRoman"/>
      <w:pStyle w:val="Ttulo5"/>
      <w:lvlText w:val="%1."/>
      <w:lvlJc w:val="left"/>
      <w:pPr>
        <w:tabs>
          <w:tab w:val="num" w:pos="1080"/>
        </w:tabs>
        <w:ind w:left="1080" w:hanging="720"/>
      </w:pPr>
      <w:rPr>
        <w:rFonts w:hint="default"/>
        <w:sz w:val="24"/>
      </w:rPr>
    </w:lvl>
    <w:lvl w:ilvl="1" w:tplc="92FAED8A">
      <w:start w:val="1"/>
      <w:numFmt w:val="decimal"/>
      <w:lvlText w:val="%2."/>
      <w:lvlJc w:val="left"/>
      <w:pPr>
        <w:ind w:left="405" w:hanging="405"/>
      </w:pPr>
      <w:rPr>
        <w:rFonts w:hint="default"/>
        <w:b w:val="0"/>
        <w:sz w:val="24"/>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1" w15:restartNumberingAfterBreak="0">
    <w:nsid w:val="58E642F1"/>
    <w:multiLevelType w:val="multilevel"/>
    <w:tmpl w:val="5D2A6D4A"/>
    <w:lvl w:ilvl="0">
      <w:start w:val="1"/>
      <w:numFmt w:val="decimal"/>
      <w:lvlText w:val="%1."/>
      <w:lvlJc w:val="left"/>
      <w:pPr>
        <w:ind w:left="720" w:hanging="360"/>
      </w:pPr>
      <w:rPr>
        <w:rFonts w:hint="default"/>
      </w:rPr>
    </w:lvl>
    <w:lvl w:ilvl="1">
      <w:start w:val="7"/>
      <w:numFmt w:val="decimal"/>
      <w:isLgl/>
      <w:lvlText w:val="%1.%2"/>
      <w:lvlJc w:val="left"/>
      <w:pPr>
        <w:ind w:left="1135" w:hanging="60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560" w:hanging="1800"/>
      </w:pPr>
      <w:rPr>
        <w:rFonts w:hint="default"/>
      </w:rPr>
    </w:lvl>
  </w:abstractNum>
  <w:abstractNum w:abstractNumId="42" w15:restartNumberingAfterBreak="0">
    <w:nsid w:val="59097983"/>
    <w:multiLevelType w:val="hybridMultilevel"/>
    <w:tmpl w:val="BFE40AEA"/>
    <w:lvl w:ilvl="0" w:tplc="240A001B">
      <w:start w:val="1"/>
      <w:numFmt w:val="lowerRoman"/>
      <w:lvlText w:val="%1."/>
      <w:lvlJc w:val="right"/>
      <w:pPr>
        <w:ind w:left="1004" w:hanging="360"/>
      </w:pPr>
      <w:rPr>
        <w:rFonts w:hint="default"/>
        <w:sz w:val="20"/>
        <w:szCs w:val="20"/>
      </w:rPr>
    </w:lvl>
    <w:lvl w:ilvl="1" w:tplc="240A0003">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3" w15:restartNumberingAfterBreak="0">
    <w:nsid w:val="5A4A0F93"/>
    <w:multiLevelType w:val="multilevel"/>
    <w:tmpl w:val="5A361AE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5AC61B3F"/>
    <w:multiLevelType w:val="hybridMultilevel"/>
    <w:tmpl w:val="E50243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5B547219"/>
    <w:multiLevelType w:val="multilevel"/>
    <w:tmpl w:val="5D2A6D4A"/>
    <w:lvl w:ilvl="0">
      <w:start w:val="1"/>
      <w:numFmt w:val="decimal"/>
      <w:lvlText w:val="%1."/>
      <w:lvlJc w:val="left"/>
      <w:pPr>
        <w:ind w:left="720" w:hanging="360"/>
      </w:pPr>
      <w:rPr>
        <w:rFonts w:hint="default"/>
      </w:rPr>
    </w:lvl>
    <w:lvl w:ilvl="1">
      <w:start w:val="7"/>
      <w:numFmt w:val="decimal"/>
      <w:isLgl/>
      <w:lvlText w:val="%1.%2"/>
      <w:lvlJc w:val="left"/>
      <w:pPr>
        <w:ind w:left="1135" w:hanging="60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560" w:hanging="1800"/>
      </w:pPr>
      <w:rPr>
        <w:rFonts w:hint="default"/>
      </w:rPr>
    </w:lvl>
  </w:abstractNum>
  <w:abstractNum w:abstractNumId="46" w15:restartNumberingAfterBreak="0">
    <w:nsid w:val="5E455766"/>
    <w:multiLevelType w:val="hybridMultilevel"/>
    <w:tmpl w:val="802A5D22"/>
    <w:lvl w:ilvl="0" w:tplc="FA8C8C64">
      <w:start w:val="1"/>
      <w:numFmt w:val="decimal"/>
      <w:lvlText w:val="%1."/>
      <w:lvlJc w:val="left"/>
      <w:pPr>
        <w:ind w:left="362" w:hanging="360"/>
      </w:pPr>
      <w:rPr>
        <w:rFonts w:hint="default"/>
      </w:rPr>
    </w:lvl>
    <w:lvl w:ilvl="1" w:tplc="240A0019" w:tentative="1">
      <w:start w:val="1"/>
      <w:numFmt w:val="lowerLetter"/>
      <w:lvlText w:val="%2."/>
      <w:lvlJc w:val="left"/>
      <w:pPr>
        <w:ind w:left="1082" w:hanging="360"/>
      </w:pPr>
    </w:lvl>
    <w:lvl w:ilvl="2" w:tplc="240A001B" w:tentative="1">
      <w:start w:val="1"/>
      <w:numFmt w:val="lowerRoman"/>
      <w:lvlText w:val="%3."/>
      <w:lvlJc w:val="right"/>
      <w:pPr>
        <w:ind w:left="1802" w:hanging="180"/>
      </w:pPr>
    </w:lvl>
    <w:lvl w:ilvl="3" w:tplc="240A000F" w:tentative="1">
      <w:start w:val="1"/>
      <w:numFmt w:val="decimal"/>
      <w:lvlText w:val="%4."/>
      <w:lvlJc w:val="left"/>
      <w:pPr>
        <w:ind w:left="2522" w:hanging="360"/>
      </w:pPr>
    </w:lvl>
    <w:lvl w:ilvl="4" w:tplc="240A0019" w:tentative="1">
      <w:start w:val="1"/>
      <w:numFmt w:val="lowerLetter"/>
      <w:lvlText w:val="%5."/>
      <w:lvlJc w:val="left"/>
      <w:pPr>
        <w:ind w:left="3242" w:hanging="360"/>
      </w:pPr>
    </w:lvl>
    <w:lvl w:ilvl="5" w:tplc="240A001B" w:tentative="1">
      <w:start w:val="1"/>
      <w:numFmt w:val="lowerRoman"/>
      <w:lvlText w:val="%6."/>
      <w:lvlJc w:val="right"/>
      <w:pPr>
        <w:ind w:left="3962" w:hanging="180"/>
      </w:pPr>
    </w:lvl>
    <w:lvl w:ilvl="6" w:tplc="240A000F" w:tentative="1">
      <w:start w:val="1"/>
      <w:numFmt w:val="decimal"/>
      <w:lvlText w:val="%7."/>
      <w:lvlJc w:val="left"/>
      <w:pPr>
        <w:ind w:left="4682" w:hanging="360"/>
      </w:pPr>
    </w:lvl>
    <w:lvl w:ilvl="7" w:tplc="240A0019" w:tentative="1">
      <w:start w:val="1"/>
      <w:numFmt w:val="lowerLetter"/>
      <w:lvlText w:val="%8."/>
      <w:lvlJc w:val="left"/>
      <w:pPr>
        <w:ind w:left="5402" w:hanging="360"/>
      </w:pPr>
    </w:lvl>
    <w:lvl w:ilvl="8" w:tplc="240A001B" w:tentative="1">
      <w:start w:val="1"/>
      <w:numFmt w:val="lowerRoman"/>
      <w:lvlText w:val="%9."/>
      <w:lvlJc w:val="right"/>
      <w:pPr>
        <w:ind w:left="6122" w:hanging="180"/>
      </w:pPr>
    </w:lvl>
  </w:abstractNum>
  <w:abstractNum w:abstractNumId="47" w15:restartNumberingAfterBreak="0">
    <w:nsid w:val="5E605215"/>
    <w:multiLevelType w:val="multilevel"/>
    <w:tmpl w:val="4D8A1F78"/>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5FF46C07"/>
    <w:multiLevelType w:val="multilevel"/>
    <w:tmpl w:val="8F264D38"/>
    <w:lvl w:ilvl="0">
      <w:start w:val="4"/>
      <w:numFmt w:val="decimal"/>
      <w:lvlText w:val="%1."/>
      <w:lvlJc w:val="left"/>
      <w:pPr>
        <w:ind w:left="0" w:firstLine="0"/>
      </w:pPr>
      <w:rPr>
        <w:rFonts w:cs="Times New Roman" w:hint="default"/>
        <w:b/>
        <w:bCs w:val="0"/>
        <w:i w:val="0"/>
        <w:iCs w:val="0"/>
        <w:smallCaps w:val="0"/>
        <w:strike w:val="0"/>
        <w:color w:val="000000"/>
        <w:spacing w:val="0"/>
        <w:w w:val="100"/>
        <w:position w:val="0"/>
        <w:sz w:val="22"/>
        <w:szCs w:val="23"/>
        <w:u w:val="none"/>
      </w:rPr>
    </w:lvl>
    <w:lvl w:ilvl="1">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lvl w:ilvl="2">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lvl w:ilvl="3">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lvl w:ilvl="4">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lvl w:ilvl="5">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lvl w:ilvl="6">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lvl w:ilvl="7">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lvl w:ilvl="8">
      <w:start w:val="1"/>
      <w:numFmt w:val="decimal"/>
      <w:lvlText w:val="%1.%2."/>
      <w:lvlJc w:val="left"/>
      <w:pPr>
        <w:ind w:left="0" w:firstLine="0"/>
      </w:pPr>
      <w:rPr>
        <w:rFonts w:cs="Times New Roman" w:hint="default"/>
        <w:b w:val="0"/>
        <w:bCs w:val="0"/>
        <w:i w:val="0"/>
        <w:iCs w:val="0"/>
        <w:smallCaps w:val="0"/>
        <w:strike w:val="0"/>
        <w:color w:val="000000"/>
        <w:spacing w:val="0"/>
        <w:w w:val="100"/>
        <w:position w:val="0"/>
        <w:sz w:val="23"/>
        <w:szCs w:val="23"/>
        <w:u w:val="none"/>
      </w:rPr>
    </w:lvl>
  </w:abstractNum>
  <w:abstractNum w:abstractNumId="49" w15:restartNumberingAfterBreak="0">
    <w:nsid w:val="60CA7B71"/>
    <w:multiLevelType w:val="hybridMultilevel"/>
    <w:tmpl w:val="7F66E266"/>
    <w:lvl w:ilvl="0" w:tplc="1E6A1238">
      <w:start w:val="1"/>
      <w:numFmt w:val="bullet"/>
      <w:lvlText w:val=""/>
      <w:lvlJc w:val="left"/>
      <w:pPr>
        <w:tabs>
          <w:tab w:val="num" w:pos="720"/>
        </w:tabs>
        <w:ind w:left="720" w:hanging="360"/>
      </w:pPr>
      <w:rPr>
        <w:rFonts w:ascii="Wingdings 2" w:hAnsi="Wingdings 2" w:hint="default"/>
      </w:rPr>
    </w:lvl>
    <w:lvl w:ilvl="1" w:tplc="70CA5D22" w:tentative="1">
      <w:start w:val="1"/>
      <w:numFmt w:val="bullet"/>
      <w:lvlText w:val=""/>
      <w:lvlJc w:val="left"/>
      <w:pPr>
        <w:tabs>
          <w:tab w:val="num" w:pos="1440"/>
        </w:tabs>
        <w:ind w:left="1440" w:hanging="360"/>
      </w:pPr>
      <w:rPr>
        <w:rFonts w:ascii="Wingdings 2" w:hAnsi="Wingdings 2" w:hint="default"/>
      </w:rPr>
    </w:lvl>
    <w:lvl w:ilvl="2" w:tplc="4CC0BB6A" w:tentative="1">
      <w:start w:val="1"/>
      <w:numFmt w:val="bullet"/>
      <w:lvlText w:val=""/>
      <w:lvlJc w:val="left"/>
      <w:pPr>
        <w:tabs>
          <w:tab w:val="num" w:pos="2160"/>
        </w:tabs>
        <w:ind w:left="2160" w:hanging="360"/>
      </w:pPr>
      <w:rPr>
        <w:rFonts w:ascii="Wingdings 2" w:hAnsi="Wingdings 2" w:hint="default"/>
      </w:rPr>
    </w:lvl>
    <w:lvl w:ilvl="3" w:tplc="76AC1E62" w:tentative="1">
      <w:start w:val="1"/>
      <w:numFmt w:val="bullet"/>
      <w:lvlText w:val=""/>
      <w:lvlJc w:val="left"/>
      <w:pPr>
        <w:tabs>
          <w:tab w:val="num" w:pos="2880"/>
        </w:tabs>
        <w:ind w:left="2880" w:hanging="360"/>
      </w:pPr>
      <w:rPr>
        <w:rFonts w:ascii="Wingdings 2" w:hAnsi="Wingdings 2" w:hint="default"/>
      </w:rPr>
    </w:lvl>
    <w:lvl w:ilvl="4" w:tplc="EF3C96D2" w:tentative="1">
      <w:start w:val="1"/>
      <w:numFmt w:val="bullet"/>
      <w:lvlText w:val=""/>
      <w:lvlJc w:val="left"/>
      <w:pPr>
        <w:tabs>
          <w:tab w:val="num" w:pos="3600"/>
        </w:tabs>
        <w:ind w:left="3600" w:hanging="360"/>
      </w:pPr>
      <w:rPr>
        <w:rFonts w:ascii="Wingdings 2" w:hAnsi="Wingdings 2" w:hint="default"/>
      </w:rPr>
    </w:lvl>
    <w:lvl w:ilvl="5" w:tplc="9998D51E" w:tentative="1">
      <w:start w:val="1"/>
      <w:numFmt w:val="bullet"/>
      <w:lvlText w:val=""/>
      <w:lvlJc w:val="left"/>
      <w:pPr>
        <w:tabs>
          <w:tab w:val="num" w:pos="4320"/>
        </w:tabs>
        <w:ind w:left="4320" w:hanging="360"/>
      </w:pPr>
      <w:rPr>
        <w:rFonts w:ascii="Wingdings 2" w:hAnsi="Wingdings 2" w:hint="default"/>
      </w:rPr>
    </w:lvl>
    <w:lvl w:ilvl="6" w:tplc="946673D4" w:tentative="1">
      <w:start w:val="1"/>
      <w:numFmt w:val="bullet"/>
      <w:lvlText w:val=""/>
      <w:lvlJc w:val="left"/>
      <w:pPr>
        <w:tabs>
          <w:tab w:val="num" w:pos="5040"/>
        </w:tabs>
        <w:ind w:left="5040" w:hanging="360"/>
      </w:pPr>
      <w:rPr>
        <w:rFonts w:ascii="Wingdings 2" w:hAnsi="Wingdings 2" w:hint="default"/>
      </w:rPr>
    </w:lvl>
    <w:lvl w:ilvl="7" w:tplc="065EC716" w:tentative="1">
      <w:start w:val="1"/>
      <w:numFmt w:val="bullet"/>
      <w:lvlText w:val=""/>
      <w:lvlJc w:val="left"/>
      <w:pPr>
        <w:tabs>
          <w:tab w:val="num" w:pos="5760"/>
        </w:tabs>
        <w:ind w:left="5760" w:hanging="360"/>
      </w:pPr>
      <w:rPr>
        <w:rFonts w:ascii="Wingdings 2" w:hAnsi="Wingdings 2" w:hint="default"/>
      </w:rPr>
    </w:lvl>
    <w:lvl w:ilvl="8" w:tplc="4704B3F6" w:tentative="1">
      <w:start w:val="1"/>
      <w:numFmt w:val="bullet"/>
      <w:lvlText w:val=""/>
      <w:lvlJc w:val="left"/>
      <w:pPr>
        <w:tabs>
          <w:tab w:val="num" w:pos="6480"/>
        </w:tabs>
        <w:ind w:left="6480" w:hanging="360"/>
      </w:pPr>
      <w:rPr>
        <w:rFonts w:ascii="Wingdings 2" w:hAnsi="Wingdings 2" w:hint="default"/>
      </w:rPr>
    </w:lvl>
  </w:abstractNum>
  <w:abstractNum w:abstractNumId="50" w15:restartNumberingAfterBreak="0">
    <w:nsid w:val="60CC3879"/>
    <w:multiLevelType w:val="hybridMultilevel"/>
    <w:tmpl w:val="0E4E19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64456DA6"/>
    <w:multiLevelType w:val="hybridMultilevel"/>
    <w:tmpl w:val="AA1A3DCA"/>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3" w15:restartNumberingAfterBreak="0">
    <w:nsid w:val="6A6B461D"/>
    <w:multiLevelType w:val="hybridMultilevel"/>
    <w:tmpl w:val="8C16D240"/>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4" w15:restartNumberingAfterBreak="0">
    <w:nsid w:val="6CBF38CE"/>
    <w:multiLevelType w:val="hybridMultilevel"/>
    <w:tmpl w:val="F9BEABD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55" w15:restartNumberingAfterBreak="0">
    <w:nsid w:val="733339DD"/>
    <w:multiLevelType w:val="multilevel"/>
    <w:tmpl w:val="498851FC"/>
    <w:lvl w:ilvl="0">
      <w:start w:val="9"/>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56" w15:restartNumberingAfterBreak="0">
    <w:nsid w:val="7826098E"/>
    <w:multiLevelType w:val="hybridMultilevel"/>
    <w:tmpl w:val="D034E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CB7557D"/>
    <w:multiLevelType w:val="hybridMultilevel"/>
    <w:tmpl w:val="6E9006AA"/>
    <w:lvl w:ilvl="0" w:tplc="240A000B">
      <w:start w:val="1"/>
      <w:numFmt w:val="bullet"/>
      <w:lvlText w:val=""/>
      <w:lvlJc w:val="left"/>
      <w:pPr>
        <w:ind w:left="1515" w:hanging="360"/>
      </w:pPr>
      <w:rPr>
        <w:rFonts w:ascii="Wingdings" w:hAnsi="Wingdings" w:hint="default"/>
      </w:rPr>
    </w:lvl>
    <w:lvl w:ilvl="1" w:tplc="240A0003" w:tentative="1">
      <w:start w:val="1"/>
      <w:numFmt w:val="bullet"/>
      <w:lvlText w:val="o"/>
      <w:lvlJc w:val="left"/>
      <w:pPr>
        <w:ind w:left="2235" w:hanging="360"/>
      </w:pPr>
      <w:rPr>
        <w:rFonts w:ascii="Courier New" w:hAnsi="Courier New" w:cs="Courier New" w:hint="default"/>
      </w:rPr>
    </w:lvl>
    <w:lvl w:ilvl="2" w:tplc="240A0005" w:tentative="1">
      <w:start w:val="1"/>
      <w:numFmt w:val="bullet"/>
      <w:lvlText w:val=""/>
      <w:lvlJc w:val="left"/>
      <w:pPr>
        <w:ind w:left="2955" w:hanging="360"/>
      </w:pPr>
      <w:rPr>
        <w:rFonts w:ascii="Wingdings" w:hAnsi="Wingdings" w:hint="default"/>
      </w:rPr>
    </w:lvl>
    <w:lvl w:ilvl="3" w:tplc="240A0001" w:tentative="1">
      <w:start w:val="1"/>
      <w:numFmt w:val="bullet"/>
      <w:lvlText w:val=""/>
      <w:lvlJc w:val="left"/>
      <w:pPr>
        <w:ind w:left="3675" w:hanging="360"/>
      </w:pPr>
      <w:rPr>
        <w:rFonts w:ascii="Symbol" w:hAnsi="Symbol" w:hint="default"/>
      </w:rPr>
    </w:lvl>
    <w:lvl w:ilvl="4" w:tplc="240A0003" w:tentative="1">
      <w:start w:val="1"/>
      <w:numFmt w:val="bullet"/>
      <w:lvlText w:val="o"/>
      <w:lvlJc w:val="left"/>
      <w:pPr>
        <w:ind w:left="4395" w:hanging="360"/>
      </w:pPr>
      <w:rPr>
        <w:rFonts w:ascii="Courier New" w:hAnsi="Courier New" w:cs="Courier New" w:hint="default"/>
      </w:rPr>
    </w:lvl>
    <w:lvl w:ilvl="5" w:tplc="240A0005" w:tentative="1">
      <w:start w:val="1"/>
      <w:numFmt w:val="bullet"/>
      <w:lvlText w:val=""/>
      <w:lvlJc w:val="left"/>
      <w:pPr>
        <w:ind w:left="5115" w:hanging="360"/>
      </w:pPr>
      <w:rPr>
        <w:rFonts w:ascii="Wingdings" w:hAnsi="Wingdings" w:hint="default"/>
      </w:rPr>
    </w:lvl>
    <w:lvl w:ilvl="6" w:tplc="240A0001" w:tentative="1">
      <w:start w:val="1"/>
      <w:numFmt w:val="bullet"/>
      <w:lvlText w:val=""/>
      <w:lvlJc w:val="left"/>
      <w:pPr>
        <w:ind w:left="5835" w:hanging="360"/>
      </w:pPr>
      <w:rPr>
        <w:rFonts w:ascii="Symbol" w:hAnsi="Symbol" w:hint="default"/>
      </w:rPr>
    </w:lvl>
    <w:lvl w:ilvl="7" w:tplc="240A0003" w:tentative="1">
      <w:start w:val="1"/>
      <w:numFmt w:val="bullet"/>
      <w:lvlText w:val="o"/>
      <w:lvlJc w:val="left"/>
      <w:pPr>
        <w:ind w:left="6555" w:hanging="360"/>
      </w:pPr>
      <w:rPr>
        <w:rFonts w:ascii="Courier New" w:hAnsi="Courier New" w:cs="Courier New" w:hint="default"/>
      </w:rPr>
    </w:lvl>
    <w:lvl w:ilvl="8" w:tplc="240A0005" w:tentative="1">
      <w:start w:val="1"/>
      <w:numFmt w:val="bullet"/>
      <w:lvlText w:val=""/>
      <w:lvlJc w:val="left"/>
      <w:pPr>
        <w:ind w:left="7275" w:hanging="360"/>
      </w:pPr>
      <w:rPr>
        <w:rFonts w:ascii="Wingdings" w:hAnsi="Wingdings" w:hint="default"/>
      </w:rPr>
    </w:lvl>
  </w:abstractNum>
  <w:num w:numId="1">
    <w:abstractNumId w:val="9"/>
  </w:num>
  <w:num w:numId="2">
    <w:abstractNumId w:val="39"/>
  </w:num>
  <w:num w:numId="3">
    <w:abstractNumId w:val="12"/>
  </w:num>
  <w:num w:numId="4">
    <w:abstractNumId w:val="50"/>
  </w:num>
  <w:num w:numId="5">
    <w:abstractNumId w:val="16"/>
  </w:num>
  <w:num w:numId="6">
    <w:abstractNumId w:val="45"/>
  </w:num>
  <w:num w:numId="7">
    <w:abstractNumId w:val="34"/>
  </w:num>
  <w:num w:numId="8">
    <w:abstractNumId w:val="29"/>
  </w:num>
  <w:num w:numId="9">
    <w:abstractNumId w:val="37"/>
  </w:num>
  <w:num w:numId="10">
    <w:abstractNumId w:val="55"/>
  </w:num>
  <w:num w:numId="11">
    <w:abstractNumId w:val="21"/>
  </w:num>
  <w:num w:numId="12">
    <w:abstractNumId w:val="24"/>
  </w:num>
  <w:num w:numId="13">
    <w:abstractNumId w:val="19"/>
  </w:num>
  <w:num w:numId="14">
    <w:abstractNumId w:val="18"/>
  </w:num>
  <w:num w:numId="15">
    <w:abstractNumId w:val="41"/>
  </w:num>
  <w:num w:numId="16">
    <w:abstractNumId w:val="11"/>
  </w:num>
  <w:num w:numId="17">
    <w:abstractNumId w:val="46"/>
  </w:num>
  <w:num w:numId="18">
    <w:abstractNumId w:val="56"/>
  </w:num>
  <w:num w:numId="19">
    <w:abstractNumId w:val="51"/>
  </w:num>
  <w:num w:numId="20">
    <w:abstractNumId w:val="3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5"/>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22"/>
  </w:num>
  <w:num w:numId="28">
    <w:abstractNumId w:val="32"/>
  </w:num>
  <w:num w:numId="29">
    <w:abstractNumId w:val="36"/>
  </w:num>
  <w:num w:numId="30">
    <w:abstractNumId w:val="39"/>
  </w:num>
  <w:num w:numId="31">
    <w:abstractNumId w:val="52"/>
  </w:num>
  <w:num w:numId="32">
    <w:abstractNumId w:val="17"/>
  </w:num>
  <w:num w:numId="33">
    <w:abstractNumId w:val="0"/>
  </w:num>
  <w:num w:numId="34">
    <w:abstractNumId w:val="1"/>
  </w:num>
  <w:num w:numId="35">
    <w:abstractNumId w:val="2"/>
  </w:num>
  <w:num w:numId="36">
    <w:abstractNumId w:val="3"/>
  </w:num>
  <w:num w:numId="37">
    <w:abstractNumId w:val="4"/>
  </w:num>
  <w:num w:numId="38">
    <w:abstractNumId w:val="5"/>
  </w:num>
  <w:num w:numId="39">
    <w:abstractNumId w:val="6"/>
  </w:num>
  <w:num w:numId="40">
    <w:abstractNumId w:val="7"/>
  </w:num>
  <w:num w:numId="41">
    <w:abstractNumId w:val="8"/>
  </w:num>
  <w:num w:numId="42">
    <w:abstractNumId w:val="38"/>
  </w:num>
  <w:num w:numId="43">
    <w:abstractNumId w:val="47"/>
  </w:num>
  <w:num w:numId="44">
    <w:abstractNumId w:val="12"/>
  </w:num>
  <w:num w:numId="45">
    <w:abstractNumId w:val="12"/>
  </w:num>
  <w:num w:numId="46">
    <w:abstractNumId w:val="27"/>
  </w:num>
  <w:num w:numId="47">
    <w:abstractNumId w:val="13"/>
  </w:num>
  <w:num w:numId="48">
    <w:abstractNumId w:val="44"/>
  </w:num>
  <w:num w:numId="49">
    <w:abstractNumId w:val="42"/>
  </w:num>
  <w:num w:numId="50">
    <w:abstractNumId w:val="12"/>
  </w:num>
  <w:num w:numId="51">
    <w:abstractNumId w:val="54"/>
  </w:num>
  <w:num w:numId="52">
    <w:abstractNumId w:val="48"/>
  </w:num>
  <w:num w:numId="53">
    <w:abstractNumId w:val="43"/>
  </w:num>
  <w:num w:numId="54">
    <w:abstractNumId w:val="28"/>
  </w:num>
  <w:num w:numId="55">
    <w:abstractNumId w:val="12"/>
  </w:num>
  <w:num w:numId="56">
    <w:abstractNumId w:val="40"/>
  </w:num>
  <w:num w:numId="57">
    <w:abstractNumId w:val="25"/>
  </w:num>
  <w:num w:numId="58">
    <w:abstractNumId w:val="14"/>
  </w:num>
  <w:num w:numId="59">
    <w:abstractNumId w:val="35"/>
  </w:num>
  <w:num w:numId="60">
    <w:abstractNumId w:val="57"/>
  </w:num>
  <w:num w:numId="61">
    <w:abstractNumId w:val="10"/>
  </w:num>
  <w:num w:numId="62">
    <w:abstractNumId w:val="23"/>
  </w:num>
  <w:num w:numId="63">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79"/>
    <w:rsid w:val="0000179C"/>
    <w:rsid w:val="00001C8F"/>
    <w:rsid w:val="000023F2"/>
    <w:rsid w:val="00002B91"/>
    <w:rsid w:val="000038B3"/>
    <w:rsid w:val="000045B5"/>
    <w:rsid w:val="00004D3A"/>
    <w:rsid w:val="00005491"/>
    <w:rsid w:val="0000561E"/>
    <w:rsid w:val="00005B4A"/>
    <w:rsid w:val="0000739C"/>
    <w:rsid w:val="000074D5"/>
    <w:rsid w:val="00011839"/>
    <w:rsid w:val="00011D38"/>
    <w:rsid w:val="00012E13"/>
    <w:rsid w:val="00012EA0"/>
    <w:rsid w:val="00012FAD"/>
    <w:rsid w:val="000136DF"/>
    <w:rsid w:val="00013D2D"/>
    <w:rsid w:val="000150C8"/>
    <w:rsid w:val="00021ADB"/>
    <w:rsid w:val="00022D57"/>
    <w:rsid w:val="00022F97"/>
    <w:rsid w:val="00023603"/>
    <w:rsid w:val="00023800"/>
    <w:rsid w:val="0002641E"/>
    <w:rsid w:val="00026613"/>
    <w:rsid w:val="00030591"/>
    <w:rsid w:val="00031746"/>
    <w:rsid w:val="000318CE"/>
    <w:rsid w:val="00031E1A"/>
    <w:rsid w:val="0003245C"/>
    <w:rsid w:val="00032882"/>
    <w:rsid w:val="0003317C"/>
    <w:rsid w:val="0003388A"/>
    <w:rsid w:val="00036936"/>
    <w:rsid w:val="00037916"/>
    <w:rsid w:val="00037A82"/>
    <w:rsid w:val="000405BA"/>
    <w:rsid w:val="0004201E"/>
    <w:rsid w:val="00042E8D"/>
    <w:rsid w:val="000448F9"/>
    <w:rsid w:val="00044D93"/>
    <w:rsid w:val="00046C73"/>
    <w:rsid w:val="00046F64"/>
    <w:rsid w:val="00047082"/>
    <w:rsid w:val="00047C94"/>
    <w:rsid w:val="00050A5A"/>
    <w:rsid w:val="0005110C"/>
    <w:rsid w:val="00051B7D"/>
    <w:rsid w:val="00052F08"/>
    <w:rsid w:val="00053DAF"/>
    <w:rsid w:val="00054CD2"/>
    <w:rsid w:val="00055B68"/>
    <w:rsid w:val="000567C0"/>
    <w:rsid w:val="000567EA"/>
    <w:rsid w:val="00056CBF"/>
    <w:rsid w:val="00057BB8"/>
    <w:rsid w:val="00061C79"/>
    <w:rsid w:val="00062272"/>
    <w:rsid w:val="00062DBE"/>
    <w:rsid w:val="0006414D"/>
    <w:rsid w:val="000647DF"/>
    <w:rsid w:val="000650D5"/>
    <w:rsid w:val="00065D68"/>
    <w:rsid w:val="00066124"/>
    <w:rsid w:val="00066433"/>
    <w:rsid w:val="0007023F"/>
    <w:rsid w:val="000706C3"/>
    <w:rsid w:val="000708D8"/>
    <w:rsid w:val="00071BDE"/>
    <w:rsid w:val="00072368"/>
    <w:rsid w:val="000739EE"/>
    <w:rsid w:val="00073C4F"/>
    <w:rsid w:val="00074764"/>
    <w:rsid w:val="00076562"/>
    <w:rsid w:val="0007679D"/>
    <w:rsid w:val="00076D46"/>
    <w:rsid w:val="00077179"/>
    <w:rsid w:val="00077CE3"/>
    <w:rsid w:val="00080D76"/>
    <w:rsid w:val="00081781"/>
    <w:rsid w:val="00081B3C"/>
    <w:rsid w:val="00081D12"/>
    <w:rsid w:val="00082E92"/>
    <w:rsid w:val="0008447F"/>
    <w:rsid w:val="000855C4"/>
    <w:rsid w:val="00085D41"/>
    <w:rsid w:val="000874E7"/>
    <w:rsid w:val="0008795B"/>
    <w:rsid w:val="000900DD"/>
    <w:rsid w:val="000922D2"/>
    <w:rsid w:val="000923EC"/>
    <w:rsid w:val="00092781"/>
    <w:rsid w:val="000929C4"/>
    <w:rsid w:val="00092E26"/>
    <w:rsid w:val="000935A4"/>
    <w:rsid w:val="000946B4"/>
    <w:rsid w:val="00094D94"/>
    <w:rsid w:val="00095AF7"/>
    <w:rsid w:val="00096FF1"/>
    <w:rsid w:val="00097852"/>
    <w:rsid w:val="000979BF"/>
    <w:rsid w:val="000A05DF"/>
    <w:rsid w:val="000A06A6"/>
    <w:rsid w:val="000A0CD8"/>
    <w:rsid w:val="000A0E37"/>
    <w:rsid w:val="000A2BC1"/>
    <w:rsid w:val="000A5BEC"/>
    <w:rsid w:val="000B2033"/>
    <w:rsid w:val="000B2FA5"/>
    <w:rsid w:val="000B3F6D"/>
    <w:rsid w:val="000B4075"/>
    <w:rsid w:val="000B4EAC"/>
    <w:rsid w:val="000B5CE3"/>
    <w:rsid w:val="000B6777"/>
    <w:rsid w:val="000B6CA8"/>
    <w:rsid w:val="000B7122"/>
    <w:rsid w:val="000B7DAD"/>
    <w:rsid w:val="000C1597"/>
    <w:rsid w:val="000C168B"/>
    <w:rsid w:val="000C2423"/>
    <w:rsid w:val="000C2B79"/>
    <w:rsid w:val="000C3118"/>
    <w:rsid w:val="000C3D3C"/>
    <w:rsid w:val="000C41B5"/>
    <w:rsid w:val="000C4407"/>
    <w:rsid w:val="000C4966"/>
    <w:rsid w:val="000C4FF9"/>
    <w:rsid w:val="000C5265"/>
    <w:rsid w:val="000C639E"/>
    <w:rsid w:val="000C6D76"/>
    <w:rsid w:val="000C736B"/>
    <w:rsid w:val="000D0F87"/>
    <w:rsid w:val="000D1567"/>
    <w:rsid w:val="000D165A"/>
    <w:rsid w:val="000D2694"/>
    <w:rsid w:val="000D42F7"/>
    <w:rsid w:val="000D47C8"/>
    <w:rsid w:val="000D4FC5"/>
    <w:rsid w:val="000D5BA3"/>
    <w:rsid w:val="000D6854"/>
    <w:rsid w:val="000D6F15"/>
    <w:rsid w:val="000D6F30"/>
    <w:rsid w:val="000E06B7"/>
    <w:rsid w:val="000E093A"/>
    <w:rsid w:val="000E0BB2"/>
    <w:rsid w:val="000E0C74"/>
    <w:rsid w:val="000E2362"/>
    <w:rsid w:val="000E2D37"/>
    <w:rsid w:val="000E346B"/>
    <w:rsid w:val="000E3675"/>
    <w:rsid w:val="000E68DE"/>
    <w:rsid w:val="000E748B"/>
    <w:rsid w:val="000F000D"/>
    <w:rsid w:val="000F00E2"/>
    <w:rsid w:val="000F1332"/>
    <w:rsid w:val="000F34EF"/>
    <w:rsid w:val="000F3718"/>
    <w:rsid w:val="000F5337"/>
    <w:rsid w:val="000F5DED"/>
    <w:rsid w:val="000F611E"/>
    <w:rsid w:val="000F64AA"/>
    <w:rsid w:val="000F71AA"/>
    <w:rsid w:val="000F73B3"/>
    <w:rsid w:val="000F7C22"/>
    <w:rsid w:val="00100224"/>
    <w:rsid w:val="00100FA3"/>
    <w:rsid w:val="00102569"/>
    <w:rsid w:val="00102D31"/>
    <w:rsid w:val="00102E06"/>
    <w:rsid w:val="00105A59"/>
    <w:rsid w:val="00105F42"/>
    <w:rsid w:val="00106339"/>
    <w:rsid w:val="001067F1"/>
    <w:rsid w:val="00106C56"/>
    <w:rsid w:val="00106D35"/>
    <w:rsid w:val="00106F1D"/>
    <w:rsid w:val="00107AA8"/>
    <w:rsid w:val="00107CD8"/>
    <w:rsid w:val="00111421"/>
    <w:rsid w:val="0011198D"/>
    <w:rsid w:val="00112B1D"/>
    <w:rsid w:val="00112CA1"/>
    <w:rsid w:val="00114E8A"/>
    <w:rsid w:val="001156F2"/>
    <w:rsid w:val="0011719C"/>
    <w:rsid w:val="00120863"/>
    <w:rsid w:val="00123226"/>
    <w:rsid w:val="00123D96"/>
    <w:rsid w:val="00124C42"/>
    <w:rsid w:val="00125CF1"/>
    <w:rsid w:val="00125EFA"/>
    <w:rsid w:val="00126526"/>
    <w:rsid w:val="00126A5C"/>
    <w:rsid w:val="00126BCD"/>
    <w:rsid w:val="00126D35"/>
    <w:rsid w:val="00127D24"/>
    <w:rsid w:val="00130951"/>
    <w:rsid w:val="00131877"/>
    <w:rsid w:val="00131E79"/>
    <w:rsid w:val="0013296B"/>
    <w:rsid w:val="0013387B"/>
    <w:rsid w:val="00133F49"/>
    <w:rsid w:val="0013440A"/>
    <w:rsid w:val="001348FC"/>
    <w:rsid w:val="00135C52"/>
    <w:rsid w:val="00137402"/>
    <w:rsid w:val="00140472"/>
    <w:rsid w:val="00141D7D"/>
    <w:rsid w:val="00146054"/>
    <w:rsid w:val="00146195"/>
    <w:rsid w:val="00147700"/>
    <w:rsid w:val="00147973"/>
    <w:rsid w:val="00147EC1"/>
    <w:rsid w:val="00150438"/>
    <w:rsid w:val="00150AE7"/>
    <w:rsid w:val="001526B0"/>
    <w:rsid w:val="001528CF"/>
    <w:rsid w:val="00152C82"/>
    <w:rsid w:val="00152F08"/>
    <w:rsid w:val="001535FB"/>
    <w:rsid w:val="00154EA0"/>
    <w:rsid w:val="00155787"/>
    <w:rsid w:val="001575F8"/>
    <w:rsid w:val="0016052E"/>
    <w:rsid w:val="00164393"/>
    <w:rsid w:val="00164AE5"/>
    <w:rsid w:val="00165890"/>
    <w:rsid w:val="001676AB"/>
    <w:rsid w:val="001702F8"/>
    <w:rsid w:val="00172047"/>
    <w:rsid w:val="00174251"/>
    <w:rsid w:val="001743F0"/>
    <w:rsid w:val="00175043"/>
    <w:rsid w:val="001776F7"/>
    <w:rsid w:val="001779D4"/>
    <w:rsid w:val="0018030C"/>
    <w:rsid w:val="00180897"/>
    <w:rsid w:val="00181354"/>
    <w:rsid w:val="00183BF5"/>
    <w:rsid w:val="00183E86"/>
    <w:rsid w:val="00184314"/>
    <w:rsid w:val="00184640"/>
    <w:rsid w:val="00184FCD"/>
    <w:rsid w:val="00187C25"/>
    <w:rsid w:val="00190562"/>
    <w:rsid w:val="00191653"/>
    <w:rsid w:val="001917A9"/>
    <w:rsid w:val="00191FD0"/>
    <w:rsid w:val="001933F3"/>
    <w:rsid w:val="00193C99"/>
    <w:rsid w:val="00194165"/>
    <w:rsid w:val="00196072"/>
    <w:rsid w:val="00196FC0"/>
    <w:rsid w:val="001A1181"/>
    <w:rsid w:val="001A2438"/>
    <w:rsid w:val="001A295E"/>
    <w:rsid w:val="001A2D1E"/>
    <w:rsid w:val="001A30E4"/>
    <w:rsid w:val="001A315F"/>
    <w:rsid w:val="001A3EE8"/>
    <w:rsid w:val="001A3F3F"/>
    <w:rsid w:val="001A419A"/>
    <w:rsid w:val="001A463B"/>
    <w:rsid w:val="001A4892"/>
    <w:rsid w:val="001A5BEE"/>
    <w:rsid w:val="001A5D5E"/>
    <w:rsid w:val="001A6FCA"/>
    <w:rsid w:val="001A7E71"/>
    <w:rsid w:val="001B06CC"/>
    <w:rsid w:val="001B099C"/>
    <w:rsid w:val="001B27DF"/>
    <w:rsid w:val="001B2968"/>
    <w:rsid w:val="001B2A9A"/>
    <w:rsid w:val="001B2CBD"/>
    <w:rsid w:val="001B37AC"/>
    <w:rsid w:val="001B501B"/>
    <w:rsid w:val="001B5ACE"/>
    <w:rsid w:val="001B678C"/>
    <w:rsid w:val="001B6A46"/>
    <w:rsid w:val="001C0C78"/>
    <w:rsid w:val="001C1D85"/>
    <w:rsid w:val="001C1EE3"/>
    <w:rsid w:val="001C1FD8"/>
    <w:rsid w:val="001C3B79"/>
    <w:rsid w:val="001C4364"/>
    <w:rsid w:val="001C444C"/>
    <w:rsid w:val="001C5D81"/>
    <w:rsid w:val="001C5D82"/>
    <w:rsid w:val="001C6459"/>
    <w:rsid w:val="001C6528"/>
    <w:rsid w:val="001D0512"/>
    <w:rsid w:val="001D053C"/>
    <w:rsid w:val="001D0EF7"/>
    <w:rsid w:val="001D104B"/>
    <w:rsid w:val="001D3E66"/>
    <w:rsid w:val="001D4F7A"/>
    <w:rsid w:val="001D56B4"/>
    <w:rsid w:val="001D65CD"/>
    <w:rsid w:val="001D6DDD"/>
    <w:rsid w:val="001E1574"/>
    <w:rsid w:val="001E1975"/>
    <w:rsid w:val="001E1B4E"/>
    <w:rsid w:val="001E1D2D"/>
    <w:rsid w:val="001E292C"/>
    <w:rsid w:val="001E3BDF"/>
    <w:rsid w:val="001E522D"/>
    <w:rsid w:val="001E527F"/>
    <w:rsid w:val="001E5331"/>
    <w:rsid w:val="001E5449"/>
    <w:rsid w:val="001E632D"/>
    <w:rsid w:val="001E676F"/>
    <w:rsid w:val="001E7A2E"/>
    <w:rsid w:val="001F2610"/>
    <w:rsid w:val="001F2A7A"/>
    <w:rsid w:val="001F3566"/>
    <w:rsid w:val="001F46E9"/>
    <w:rsid w:val="001F47D0"/>
    <w:rsid w:val="001F4D4A"/>
    <w:rsid w:val="001F5035"/>
    <w:rsid w:val="001F599C"/>
    <w:rsid w:val="001F6533"/>
    <w:rsid w:val="001F66DF"/>
    <w:rsid w:val="001F7BF4"/>
    <w:rsid w:val="001F7F8E"/>
    <w:rsid w:val="002006A0"/>
    <w:rsid w:val="00201817"/>
    <w:rsid w:val="00201849"/>
    <w:rsid w:val="00201E29"/>
    <w:rsid w:val="00203008"/>
    <w:rsid w:val="00203042"/>
    <w:rsid w:val="00203AC7"/>
    <w:rsid w:val="00204A2A"/>
    <w:rsid w:val="00204B18"/>
    <w:rsid w:val="00204FDE"/>
    <w:rsid w:val="002069C6"/>
    <w:rsid w:val="00206A0A"/>
    <w:rsid w:val="002070B7"/>
    <w:rsid w:val="002078DB"/>
    <w:rsid w:val="00207F63"/>
    <w:rsid w:val="00210C6A"/>
    <w:rsid w:val="00210ED1"/>
    <w:rsid w:val="0021147B"/>
    <w:rsid w:val="002116DE"/>
    <w:rsid w:val="002120B1"/>
    <w:rsid w:val="00212647"/>
    <w:rsid w:val="00213D63"/>
    <w:rsid w:val="0021472E"/>
    <w:rsid w:val="002147A7"/>
    <w:rsid w:val="00214DDA"/>
    <w:rsid w:val="00215646"/>
    <w:rsid w:val="00216FB3"/>
    <w:rsid w:val="00217B06"/>
    <w:rsid w:val="00220ACE"/>
    <w:rsid w:val="00222DDA"/>
    <w:rsid w:val="00223B83"/>
    <w:rsid w:val="00225444"/>
    <w:rsid w:val="002264A9"/>
    <w:rsid w:val="00226530"/>
    <w:rsid w:val="00226E2C"/>
    <w:rsid w:val="00227580"/>
    <w:rsid w:val="00227675"/>
    <w:rsid w:val="00230A16"/>
    <w:rsid w:val="00230F74"/>
    <w:rsid w:val="002322D9"/>
    <w:rsid w:val="002326D0"/>
    <w:rsid w:val="00232C8F"/>
    <w:rsid w:val="00233EBD"/>
    <w:rsid w:val="00234049"/>
    <w:rsid w:val="0023413A"/>
    <w:rsid w:val="002365D2"/>
    <w:rsid w:val="002375D0"/>
    <w:rsid w:val="00237E1F"/>
    <w:rsid w:val="002400D1"/>
    <w:rsid w:val="00240209"/>
    <w:rsid w:val="0024144D"/>
    <w:rsid w:val="002418F6"/>
    <w:rsid w:val="00242EA1"/>
    <w:rsid w:val="00244157"/>
    <w:rsid w:val="00245529"/>
    <w:rsid w:val="00246C9C"/>
    <w:rsid w:val="00246F95"/>
    <w:rsid w:val="0024714C"/>
    <w:rsid w:val="00250401"/>
    <w:rsid w:val="00250A72"/>
    <w:rsid w:val="002519AE"/>
    <w:rsid w:val="00251C9B"/>
    <w:rsid w:val="00251FE5"/>
    <w:rsid w:val="00252C9D"/>
    <w:rsid w:val="00252D9F"/>
    <w:rsid w:val="00255A59"/>
    <w:rsid w:val="0026021B"/>
    <w:rsid w:val="002602D4"/>
    <w:rsid w:val="00260796"/>
    <w:rsid w:val="00260E8A"/>
    <w:rsid w:val="0026114C"/>
    <w:rsid w:val="0026121F"/>
    <w:rsid w:val="00261979"/>
    <w:rsid w:val="00262CBF"/>
    <w:rsid w:val="0026468D"/>
    <w:rsid w:val="002658E4"/>
    <w:rsid w:val="00266BEF"/>
    <w:rsid w:val="00266D70"/>
    <w:rsid w:val="002714CA"/>
    <w:rsid w:val="00271E07"/>
    <w:rsid w:val="0027266F"/>
    <w:rsid w:val="00272DE7"/>
    <w:rsid w:val="002730C5"/>
    <w:rsid w:val="00273DA6"/>
    <w:rsid w:val="002756A7"/>
    <w:rsid w:val="00275916"/>
    <w:rsid w:val="00276330"/>
    <w:rsid w:val="00276783"/>
    <w:rsid w:val="002768E8"/>
    <w:rsid w:val="002774B2"/>
    <w:rsid w:val="002776D7"/>
    <w:rsid w:val="00277C50"/>
    <w:rsid w:val="0028052B"/>
    <w:rsid w:val="0028193F"/>
    <w:rsid w:val="00281CAE"/>
    <w:rsid w:val="0028262B"/>
    <w:rsid w:val="00282C58"/>
    <w:rsid w:val="00285D68"/>
    <w:rsid w:val="002872CB"/>
    <w:rsid w:val="00287C36"/>
    <w:rsid w:val="00290267"/>
    <w:rsid w:val="0029030B"/>
    <w:rsid w:val="002907DC"/>
    <w:rsid w:val="00290CD5"/>
    <w:rsid w:val="00293D4B"/>
    <w:rsid w:val="002943C0"/>
    <w:rsid w:val="00294F5A"/>
    <w:rsid w:val="002951A4"/>
    <w:rsid w:val="00296291"/>
    <w:rsid w:val="002975F0"/>
    <w:rsid w:val="002A01C4"/>
    <w:rsid w:val="002A0621"/>
    <w:rsid w:val="002A0A48"/>
    <w:rsid w:val="002A1419"/>
    <w:rsid w:val="002A4B13"/>
    <w:rsid w:val="002A50E5"/>
    <w:rsid w:val="002A54FD"/>
    <w:rsid w:val="002A5CB3"/>
    <w:rsid w:val="002B188E"/>
    <w:rsid w:val="002B2242"/>
    <w:rsid w:val="002B22F4"/>
    <w:rsid w:val="002B3E14"/>
    <w:rsid w:val="002B446B"/>
    <w:rsid w:val="002B552E"/>
    <w:rsid w:val="002B58E1"/>
    <w:rsid w:val="002B7CB8"/>
    <w:rsid w:val="002C0B5C"/>
    <w:rsid w:val="002C1ACE"/>
    <w:rsid w:val="002C21C4"/>
    <w:rsid w:val="002C4E48"/>
    <w:rsid w:val="002C559E"/>
    <w:rsid w:val="002C5636"/>
    <w:rsid w:val="002C6D8A"/>
    <w:rsid w:val="002C7D1C"/>
    <w:rsid w:val="002D45B6"/>
    <w:rsid w:val="002D4ADD"/>
    <w:rsid w:val="002D5FA8"/>
    <w:rsid w:val="002D71FA"/>
    <w:rsid w:val="002E0024"/>
    <w:rsid w:val="002E0E3D"/>
    <w:rsid w:val="002E26BF"/>
    <w:rsid w:val="002E3725"/>
    <w:rsid w:val="002E46D6"/>
    <w:rsid w:val="002E55F6"/>
    <w:rsid w:val="002E5F61"/>
    <w:rsid w:val="002E67C3"/>
    <w:rsid w:val="002E6EB0"/>
    <w:rsid w:val="002E7968"/>
    <w:rsid w:val="002E7CA1"/>
    <w:rsid w:val="002F11A7"/>
    <w:rsid w:val="002F121A"/>
    <w:rsid w:val="002F1354"/>
    <w:rsid w:val="002F2590"/>
    <w:rsid w:val="002F3384"/>
    <w:rsid w:val="002F361F"/>
    <w:rsid w:val="002F407F"/>
    <w:rsid w:val="002F40BE"/>
    <w:rsid w:val="002F65DF"/>
    <w:rsid w:val="002F6755"/>
    <w:rsid w:val="002F732D"/>
    <w:rsid w:val="003009CC"/>
    <w:rsid w:val="00301062"/>
    <w:rsid w:val="00301727"/>
    <w:rsid w:val="00301B77"/>
    <w:rsid w:val="00301FF4"/>
    <w:rsid w:val="003044A3"/>
    <w:rsid w:val="00305182"/>
    <w:rsid w:val="003068C5"/>
    <w:rsid w:val="00307EA5"/>
    <w:rsid w:val="00310537"/>
    <w:rsid w:val="00310551"/>
    <w:rsid w:val="003107F4"/>
    <w:rsid w:val="003112DE"/>
    <w:rsid w:val="003113AB"/>
    <w:rsid w:val="003127C1"/>
    <w:rsid w:val="00313690"/>
    <w:rsid w:val="00314D61"/>
    <w:rsid w:val="00314DF6"/>
    <w:rsid w:val="00315A00"/>
    <w:rsid w:val="00316BF6"/>
    <w:rsid w:val="00317298"/>
    <w:rsid w:val="003179DE"/>
    <w:rsid w:val="00317D45"/>
    <w:rsid w:val="00321068"/>
    <w:rsid w:val="0032167A"/>
    <w:rsid w:val="00321EE4"/>
    <w:rsid w:val="00322188"/>
    <w:rsid w:val="00323BD4"/>
    <w:rsid w:val="00324167"/>
    <w:rsid w:val="00324309"/>
    <w:rsid w:val="00324FDE"/>
    <w:rsid w:val="00327260"/>
    <w:rsid w:val="003273BD"/>
    <w:rsid w:val="0033067A"/>
    <w:rsid w:val="00330ECF"/>
    <w:rsid w:val="00333703"/>
    <w:rsid w:val="003340FA"/>
    <w:rsid w:val="00334BD6"/>
    <w:rsid w:val="0033578C"/>
    <w:rsid w:val="00335956"/>
    <w:rsid w:val="0034146B"/>
    <w:rsid w:val="00341D8D"/>
    <w:rsid w:val="00341E6C"/>
    <w:rsid w:val="00341EC4"/>
    <w:rsid w:val="0034285F"/>
    <w:rsid w:val="00342CC8"/>
    <w:rsid w:val="00342D5A"/>
    <w:rsid w:val="00342FB7"/>
    <w:rsid w:val="00343971"/>
    <w:rsid w:val="0034584D"/>
    <w:rsid w:val="00351FC3"/>
    <w:rsid w:val="00354DCC"/>
    <w:rsid w:val="00354E9C"/>
    <w:rsid w:val="003561FD"/>
    <w:rsid w:val="003572CE"/>
    <w:rsid w:val="003579A9"/>
    <w:rsid w:val="00360374"/>
    <w:rsid w:val="003614CE"/>
    <w:rsid w:val="003619C9"/>
    <w:rsid w:val="00361FD5"/>
    <w:rsid w:val="0036249F"/>
    <w:rsid w:val="00362FEE"/>
    <w:rsid w:val="003660FA"/>
    <w:rsid w:val="00366E91"/>
    <w:rsid w:val="003670AC"/>
    <w:rsid w:val="00370012"/>
    <w:rsid w:val="00370188"/>
    <w:rsid w:val="00370641"/>
    <w:rsid w:val="00370915"/>
    <w:rsid w:val="00370BE7"/>
    <w:rsid w:val="00370C8D"/>
    <w:rsid w:val="00371377"/>
    <w:rsid w:val="003714EA"/>
    <w:rsid w:val="00371E20"/>
    <w:rsid w:val="0037444D"/>
    <w:rsid w:val="00374F04"/>
    <w:rsid w:val="0037562B"/>
    <w:rsid w:val="00375805"/>
    <w:rsid w:val="003767F2"/>
    <w:rsid w:val="00376AE1"/>
    <w:rsid w:val="00382E39"/>
    <w:rsid w:val="00383495"/>
    <w:rsid w:val="00384D38"/>
    <w:rsid w:val="003860F4"/>
    <w:rsid w:val="00386A0C"/>
    <w:rsid w:val="00386B10"/>
    <w:rsid w:val="00386EEE"/>
    <w:rsid w:val="00387872"/>
    <w:rsid w:val="00390715"/>
    <w:rsid w:val="00390F62"/>
    <w:rsid w:val="003914D7"/>
    <w:rsid w:val="00392415"/>
    <w:rsid w:val="00397B0D"/>
    <w:rsid w:val="00397C2B"/>
    <w:rsid w:val="003A037B"/>
    <w:rsid w:val="003A2916"/>
    <w:rsid w:val="003A33EC"/>
    <w:rsid w:val="003A38D6"/>
    <w:rsid w:val="003A3DFF"/>
    <w:rsid w:val="003A4D24"/>
    <w:rsid w:val="003A7A25"/>
    <w:rsid w:val="003B09BD"/>
    <w:rsid w:val="003B19E3"/>
    <w:rsid w:val="003B2DDF"/>
    <w:rsid w:val="003B2EF3"/>
    <w:rsid w:val="003B3622"/>
    <w:rsid w:val="003B3E6B"/>
    <w:rsid w:val="003B6118"/>
    <w:rsid w:val="003B6734"/>
    <w:rsid w:val="003C1008"/>
    <w:rsid w:val="003C1067"/>
    <w:rsid w:val="003C156E"/>
    <w:rsid w:val="003C1B25"/>
    <w:rsid w:val="003C20A1"/>
    <w:rsid w:val="003C234F"/>
    <w:rsid w:val="003C29FB"/>
    <w:rsid w:val="003C364A"/>
    <w:rsid w:val="003C4633"/>
    <w:rsid w:val="003C4A37"/>
    <w:rsid w:val="003C654B"/>
    <w:rsid w:val="003C6ABB"/>
    <w:rsid w:val="003C6B51"/>
    <w:rsid w:val="003C774F"/>
    <w:rsid w:val="003D34D1"/>
    <w:rsid w:val="003D35DB"/>
    <w:rsid w:val="003D487F"/>
    <w:rsid w:val="003D5587"/>
    <w:rsid w:val="003D6542"/>
    <w:rsid w:val="003D6771"/>
    <w:rsid w:val="003D7E21"/>
    <w:rsid w:val="003D7E85"/>
    <w:rsid w:val="003E0697"/>
    <w:rsid w:val="003E0B71"/>
    <w:rsid w:val="003E2E92"/>
    <w:rsid w:val="003E376E"/>
    <w:rsid w:val="003E3DD3"/>
    <w:rsid w:val="003E4299"/>
    <w:rsid w:val="003E64F2"/>
    <w:rsid w:val="003E75CF"/>
    <w:rsid w:val="003E7E99"/>
    <w:rsid w:val="003F0223"/>
    <w:rsid w:val="003F081A"/>
    <w:rsid w:val="003F16FB"/>
    <w:rsid w:val="003F1FA7"/>
    <w:rsid w:val="003F2319"/>
    <w:rsid w:val="003F28EC"/>
    <w:rsid w:val="003F60A4"/>
    <w:rsid w:val="003F69B0"/>
    <w:rsid w:val="003F6E5D"/>
    <w:rsid w:val="0040043E"/>
    <w:rsid w:val="00402856"/>
    <w:rsid w:val="0040287A"/>
    <w:rsid w:val="004039E9"/>
    <w:rsid w:val="0040591E"/>
    <w:rsid w:val="004059F0"/>
    <w:rsid w:val="004070C8"/>
    <w:rsid w:val="00407211"/>
    <w:rsid w:val="004076B9"/>
    <w:rsid w:val="00410B5C"/>
    <w:rsid w:val="004124D1"/>
    <w:rsid w:val="004170E0"/>
    <w:rsid w:val="0041780F"/>
    <w:rsid w:val="00417C92"/>
    <w:rsid w:val="004200C6"/>
    <w:rsid w:val="00421E65"/>
    <w:rsid w:val="004238D9"/>
    <w:rsid w:val="0042401C"/>
    <w:rsid w:val="00424E91"/>
    <w:rsid w:val="0042654E"/>
    <w:rsid w:val="00427C60"/>
    <w:rsid w:val="00427DEF"/>
    <w:rsid w:val="0043109C"/>
    <w:rsid w:val="004313BE"/>
    <w:rsid w:val="00432196"/>
    <w:rsid w:val="004326A8"/>
    <w:rsid w:val="0043404C"/>
    <w:rsid w:val="004340E5"/>
    <w:rsid w:val="004366DF"/>
    <w:rsid w:val="0044239B"/>
    <w:rsid w:val="0044321A"/>
    <w:rsid w:val="00443440"/>
    <w:rsid w:val="0044346D"/>
    <w:rsid w:val="004442F4"/>
    <w:rsid w:val="00444C89"/>
    <w:rsid w:val="0044531D"/>
    <w:rsid w:val="00445436"/>
    <w:rsid w:val="00445D79"/>
    <w:rsid w:val="004460D9"/>
    <w:rsid w:val="004471A1"/>
    <w:rsid w:val="00450CAE"/>
    <w:rsid w:val="00450D31"/>
    <w:rsid w:val="00451D89"/>
    <w:rsid w:val="00452E7B"/>
    <w:rsid w:val="0045352F"/>
    <w:rsid w:val="0045590F"/>
    <w:rsid w:val="00457368"/>
    <w:rsid w:val="004609D6"/>
    <w:rsid w:val="004609F5"/>
    <w:rsid w:val="00460B3E"/>
    <w:rsid w:val="00460BB9"/>
    <w:rsid w:val="00460F03"/>
    <w:rsid w:val="004615AA"/>
    <w:rsid w:val="00462050"/>
    <w:rsid w:val="00462508"/>
    <w:rsid w:val="00462965"/>
    <w:rsid w:val="00462977"/>
    <w:rsid w:val="00462F17"/>
    <w:rsid w:val="00463028"/>
    <w:rsid w:val="004645F9"/>
    <w:rsid w:val="00465A32"/>
    <w:rsid w:val="00465A64"/>
    <w:rsid w:val="00465FB1"/>
    <w:rsid w:val="00466146"/>
    <w:rsid w:val="004663AD"/>
    <w:rsid w:val="00467533"/>
    <w:rsid w:val="00467D01"/>
    <w:rsid w:val="0047252C"/>
    <w:rsid w:val="00472AA5"/>
    <w:rsid w:val="00473BC7"/>
    <w:rsid w:val="00473D1E"/>
    <w:rsid w:val="00473E56"/>
    <w:rsid w:val="00476F76"/>
    <w:rsid w:val="00476FCB"/>
    <w:rsid w:val="00476FCF"/>
    <w:rsid w:val="00477792"/>
    <w:rsid w:val="00477CB6"/>
    <w:rsid w:val="00480500"/>
    <w:rsid w:val="004813EE"/>
    <w:rsid w:val="004822ED"/>
    <w:rsid w:val="0048278E"/>
    <w:rsid w:val="00484AAB"/>
    <w:rsid w:val="00486F2F"/>
    <w:rsid w:val="0048747E"/>
    <w:rsid w:val="00487C3D"/>
    <w:rsid w:val="0049143B"/>
    <w:rsid w:val="004915E1"/>
    <w:rsid w:val="00493047"/>
    <w:rsid w:val="0049328A"/>
    <w:rsid w:val="0049536D"/>
    <w:rsid w:val="00495717"/>
    <w:rsid w:val="00495764"/>
    <w:rsid w:val="0049749D"/>
    <w:rsid w:val="004977C4"/>
    <w:rsid w:val="004A1A81"/>
    <w:rsid w:val="004A4C0B"/>
    <w:rsid w:val="004A4D88"/>
    <w:rsid w:val="004A5065"/>
    <w:rsid w:val="004A65BA"/>
    <w:rsid w:val="004A6913"/>
    <w:rsid w:val="004A7424"/>
    <w:rsid w:val="004A7CE3"/>
    <w:rsid w:val="004B199F"/>
    <w:rsid w:val="004B1ECC"/>
    <w:rsid w:val="004B2B1D"/>
    <w:rsid w:val="004B2BFC"/>
    <w:rsid w:val="004B46BE"/>
    <w:rsid w:val="004B4F0B"/>
    <w:rsid w:val="004B5B17"/>
    <w:rsid w:val="004B60DB"/>
    <w:rsid w:val="004B6119"/>
    <w:rsid w:val="004B6F54"/>
    <w:rsid w:val="004B6F90"/>
    <w:rsid w:val="004B7260"/>
    <w:rsid w:val="004B7D4F"/>
    <w:rsid w:val="004C0689"/>
    <w:rsid w:val="004C0A25"/>
    <w:rsid w:val="004C17CC"/>
    <w:rsid w:val="004C28CF"/>
    <w:rsid w:val="004C5DA9"/>
    <w:rsid w:val="004C5DB7"/>
    <w:rsid w:val="004C6D6B"/>
    <w:rsid w:val="004C6E91"/>
    <w:rsid w:val="004C7486"/>
    <w:rsid w:val="004C7871"/>
    <w:rsid w:val="004C78A6"/>
    <w:rsid w:val="004D0D95"/>
    <w:rsid w:val="004D1231"/>
    <w:rsid w:val="004D1358"/>
    <w:rsid w:val="004D20C8"/>
    <w:rsid w:val="004D2CD6"/>
    <w:rsid w:val="004D32A2"/>
    <w:rsid w:val="004D5B54"/>
    <w:rsid w:val="004D5F99"/>
    <w:rsid w:val="004D6016"/>
    <w:rsid w:val="004D663A"/>
    <w:rsid w:val="004D6882"/>
    <w:rsid w:val="004D692D"/>
    <w:rsid w:val="004D6D12"/>
    <w:rsid w:val="004D73E4"/>
    <w:rsid w:val="004D7678"/>
    <w:rsid w:val="004E0280"/>
    <w:rsid w:val="004E056F"/>
    <w:rsid w:val="004E0EAC"/>
    <w:rsid w:val="004E15B1"/>
    <w:rsid w:val="004E1821"/>
    <w:rsid w:val="004E2BB6"/>
    <w:rsid w:val="004E3AA6"/>
    <w:rsid w:val="004E3E08"/>
    <w:rsid w:val="004E4395"/>
    <w:rsid w:val="004E4CDB"/>
    <w:rsid w:val="004E564D"/>
    <w:rsid w:val="004E5911"/>
    <w:rsid w:val="004E6699"/>
    <w:rsid w:val="004E716F"/>
    <w:rsid w:val="004E7914"/>
    <w:rsid w:val="004F0CE2"/>
    <w:rsid w:val="004F0DC3"/>
    <w:rsid w:val="004F1009"/>
    <w:rsid w:val="004F21A0"/>
    <w:rsid w:val="004F3019"/>
    <w:rsid w:val="004F33E8"/>
    <w:rsid w:val="004F367D"/>
    <w:rsid w:val="004F4C71"/>
    <w:rsid w:val="004F6A95"/>
    <w:rsid w:val="004F7F57"/>
    <w:rsid w:val="00501643"/>
    <w:rsid w:val="005021D4"/>
    <w:rsid w:val="00503A26"/>
    <w:rsid w:val="00504201"/>
    <w:rsid w:val="005045E1"/>
    <w:rsid w:val="005057C0"/>
    <w:rsid w:val="00505949"/>
    <w:rsid w:val="005061C6"/>
    <w:rsid w:val="0050656C"/>
    <w:rsid w:val="00506BC1"/>
    <w:rsid w:val="00507AC0"/>
    <w:rsid w:val="00507D1F"/>
    <w:rsid w:val="00510AFC"/>
    <w:rsid w:val="00510CAB"/>
    <w:rsid w:val="00511007"/>
    <w:rsid w:val="00511508"/>
    <w:rsid w:val="005116E1"/>
    <w:rsid w:val="005135E4"/>
    <w:rsid w:val="00514544"/>
    <w:rsid w:val="00514DDB"/>
    <w:rsid w:val="00514F99"/>
    <w:rsid w:val="005150AC"/>
    <w:rsid w:val="00515171"/>
    <w:rsid w:val="00515608"/>
    <w:rsid w:val="005158F1"/>
    <w:rsid w:val="00516154"/>
    <w:rsid w:val="0051701D"/>
    <w:rsid w:val="00517AE1"/>
    <w:rsid w:val="00517F23"/>
    <w:rsid w:val="00520017"/>
    <w:rsid w:val="0052007A"/>
    <w:rsid w:val="00521203"/>
    <w:rsid w:val="005218AD"/>
    <w:rsid w:val="00522A01"/>
    <w:rsid w:val="00522FA0"/>
    <w:rsid w:val="00522FCD"/>
    <w:rsid w:val="0052407B"/>
    <w:rsid w:val="005244C4"/>
    <w:rsid w:val="005249A2"/>
    <w:rsid w:val="0052689C"/>
    <w:rsid w:val="0052762A"/>
    <w:rsid w:val="005277CE"/>
    <w:rsid w:val="005312C1"/>
    <w:rsid w:val="005314E9"/>
    <w:rsid w:val="00533842"/>
    <w:rsid w:val="00533A4F"/>
    <w:rsid w:val="005345AA"/>
    <w:rsid w:val="005375CA"/>
    <w:rsid w:val="005417D1"/>
    <w:rsid w:val="005431A6"/>
    <w:rsid w:val="00543319"/>
    <w:rsid w:val="005438B9"/>
    <w:rsid w:val="00544E80"/>
    <w:rsid w:val="005456EA"/>
    <w:rsid w:val="00545E6D"/>
    <w:rsid w:val="005460E7"/>
    <w:rsid w:val="005468EB"/>
    <w:rsid w:val="00546995"/>
    <w:rsid w:val="005505C3"/>
    <w:rsid w:val="0055124C"/>
    <w:rsid w:val="00552778"/>
    <w:rsid w:val="00552A70"/>
    <w:rsid w:val="00552B4C"/>
    <w:rsid w:val="00552E76"/>
    <w:rsid w:val="00553075"/>
    <w:rsid w:val="0055316B"/>
    <w:rsid w:val="0055489C"/>
    <w:rsid w:val="0055529D"/>
    <w:rsid w:val="00555917"/>
    <w:rsid w:val="00557E27"/>
    <w:rsid w:val="00560068"/>
    <w:rsid w:val="00560F8E"/>
    <w:rsid w:val="00561AD7"/>
    <w:rsid w:val="00561DE8"/>
    <w:rsid w:val="005625E2"/>
    <w:rsid w:val="0056290A"/>
    <w:rsid w:val="005635AF"/>
    <w:rsid w:val="00564B15"/>
    <w:rsid w:val="00564B3A"/>
    <w:rsid w:val="00564D20"/>
    <w:rsid w:val="00565063"/>
    <w:rsid w:val="005668D8"/>
    <w:rsid w:val="0057053B"/>
    <w:rsid w:val="00573226"/>
    <w:rsid w:val="0057365A"/>
    <w:rsid w:val="00573A01"/>
    <w:rsid w:val="005749C0"/>
    <w:rsid w:val="005754F9"/>
    <w:rsid w:val="00575EA4"/>
    <w:rsid w:val="00576A60"/>
    <w:rsid w:val="00576DD9"/>
    <w:rsid w:val="0057728C"/>
    <w:rsid w:val="00577E4D"/>
    <w:rsid w:val="005806BC"/>
    <w:rsid w:val="00580E13"/>
    <w:rsid w:val="00581B0F"/>
    <w:rsid w:val="005820FB"/>
    <w:rsid w:val="0058380B"/>
    <w:rsid w:val="00583C9B"/>
    <w:rsid w:val="00585491"/>
    <w:rsid w:val="00586279"/>
    <w:rsid w:val="00587506"/>
    <w:rsid w:val="00587A2E"/>
    <w:rsid w:val="00587DFB"/>
    <w:rsid w:val="00587EC7"/>
    <w:rsid w:val="00592DCD"/>
    <w:rsid w:val="005939E5"/>
    <w:rsid w:val="00594458"/>
    <w:rsid w:val="0059461D"/>
    <w:rsid w:val="00596406"/>
    <w:rsid w:val="005969EF"/>
    <w:rsid w:val="0059746F"/>
    <w:rsid w:val="005976CA"/>
    <w:rsid w:val="005A031D"/>
    <w:rsid w:val="005A0455"/>
    <w:rsid w:val="005A0738"/>
    <w:rsid w:val="005A1068"/>
    <w:rsid w:val="005A1D5B"/>
    <w:rsid w:val="005A299E"/>
    <w:rsid w:val="005A2DE9"/>
    <w:rsid w:val="005A38EB"/>
    <w:rsid w:val="005A4547"/>
    <w:rsid w:val="005A4B38"/>
    <w:rsid w:val="005A6B02"/>
    <w:rsid w:val="005A6CA4"/>
    <w:rsid w:val="005A71A9"/>
    <w:rsid w:val="005A7965"/>
    <w:rsid w:val="005B0093"/>
    <w:rsid w:val="005B069B"/>
    <w:rsid w:val="005B1171"/>
    <w:rsid w:val="005B1CAE"/>
    <w:rsid w:val="005B34F8"/>
    <w:rsid w:val="005B381A"/>
    <w:rsid w:val="005B42FF"/>
    <w:rsid w:val="005B6061"/>
    <w:rsid w:val="005B6842"/>
    <w:rsid w:val="005B6873"/>
    <w:rsid w:val="005B6C3F"/>
    <w:rsid w:val="005C05B8"/>
    <w:rsid w:val="005C0D77"/>
    <w:rsid w:val="005C1AB0"/>
    <w:rsid w:val="005C1C38"/>
    <w:rsid w:val="005C2285"/>
    <w:rsid w:val="005C2442"/>
    <w:rsid w:val="005C297F"/>
    <w:rsid w:val="005C2B7A"/>
    <w:rsid w:val="005C36FC"/>
    <w:rsid w:val="005C52D4"/>
    <w:rsid w:val="005C5316"/>
    <w:rsid w:val="005C5CF5"/>
    <w:rsid w:val="005C6CBB"/>
    <w:rsid w:val="005D10CE"/>
    <w:rsid w:val="005D1A69"/>
    <w:rsid w:val="005D2358"/>
    <w:rsid w:val="005D2387"/>
    <w:rsid w:val="005D2F99"/>
    <w:rsid w:val="005D418D"/>
    <w:rsid w:val="005D4752"/>
    <w:rsid w:val="005D47DE"/>
    <w:rsid w:val="005D4A5D"/>
    <w:rsid w:val="005D5CA2"/>
    <w:rsid w:val="005D5CB8"/>
    <w:rsid w:val="005D6149"/>
    <w:rsid w:val="005D61CE"/>
    <w:rsid w:val="005D7272"/>
    <w:rsid w:val="005D7CE5"/>
    <w:rsid w:val="005E0893"/>
    <w:rsid w:val="005E0E9F"/>
    <w:rsid w:val="005E208B"/>
    <w:rsid w:val="005E2E22"/>
    <w:rsid w:val="005E348B"/>
    <w:rsid w:val="005E3A6A"/>
    <w:rsid w:val="005E3B11"/>
    <w:rsid w:val="005E4A65"/>
    <w:rsid w:val="005E7687"/>
    <w:rsid w:val="005F0B3D"/>
    <w:rsid w:val="005F1E00"/>
    <w:rsid w:val="005F348A"/>
    <w:rsid w:val="005F375D"/>
    <w:rsid w:val="005F3F8B"/>
    <w:rsid w:val="005F5476"/>
    <w:rsid w:val="005F5671"/>
    <w:rsid w:val="005F5F25"/>
    <w:rsid w:val="005F684F"/>
    <w:rsid w:val="005F6DB8"/>
    <w:rsid w:val="005F7B79"/>
    <w:rsid w:val="005F7EE1"/>
    <w:rsid w:val="006009A7"/>
    <w:rsid w:val="006023B9"/>
    <w:rsid w:val="00603025"/>
    <w:rsid w:val="00603275"/>
    <w:rsid w:val="00604A88"/>
    <w:rsid w:val="00605575"/>
    <w:rsid w:val="00605A92"/>
    <w:rsid w:val="00605D34"/>
    <w:rsid w:val="00605E2C"/>
    <w:rsid w:val="00605EC1"/>
    <w:rsid w:val="00607942"/>
    <w:rsid w:val="00610B84"/>
    <w:rsid w:val="00610C7E"/>
    <w:rsid w:val="00610EB5"/>
    <w:rsid w:val="00611229"/>
    <w:rsid w:val="00611586"/>
    <w:rsid w:val="00611A98"/>
    <w:rsid w:val="006133E2"/>
    <w:rsid w:val="00613470"/>
    <w:rsid w:val="006138E9"/>
    <w:rsid w:val="006149A7"/>
    <w:rsid w:val="00614DA6"/>
    <w:rsid w:val="00614F9B"/>
    <w:rsid w:val="00615247"/>
    <w:rsid w:val="0061555A"/>
    <w:rsid w:val="0061712A"/>
    <w:rsid w:val="006172C2"/>
    <w:rsid w:val="00617BA7"/>
    <w:rsid w:val="00617DCA"/>
    <w:rsid w:val="00621F92"/>
    <w:rsid w:val="0062313C"/>
    <w:rsid w:val="00623757"/>
    <w:rsid w:val="00624CFF"/>
    <w:rsid w:val="00625BB4"/>
    <w:rsid w:val="00626826"/>
    <w:rsid w:val="00626B82"/>
    <w:rsid w:val="00627D2F"/>
    <w:rsid w:val="006314BA"/>
    <w:rsid w:val="00632E6D"/>
    <w:rsid w:val="00633688"/>
    <w:rsid w:val="00634357"/>
    <w:rsid w:val="006346E1"/>
    <w:rsid w:val="00635B31"/>
    <w:rsid w:val="00636433"/>
    <w:rsid w:val="00636777"/>
    <w:rsid w:val="00636F40"/>
    <w:rsid w:val="00637F59"/>
    <w:rsid w:val="00641305"/>
    <w:rsid w:val="00641E6A"/>
    <w:rsid w:val="00642DCE"/>
    <w:rsid w:val="006430D4"/>
    <w:rsid w:val="0064314C"/>
    <w:rsid w:val="00644F85"/>
    <w:rsid w:val="0064503C"/>
    <w:rsid w:val="00645FCD"/>
    <w:rsid w:val="006467C5"/>
    <w:rsid w:val="00646A35"/>
    <w:rsid w:val="0064712F"/>
    <w:rsid w:val="00651DE0"/>
    <w:rsid w:val="00652055"/>
    <w:rsid w:val="00652498"/>
    <w:rsid w:val="00652A46"/>
    <w:rsid w:val="00652B25"/>
    <w:rsid w:val="00653163"/>
    <w:rsid w:val="00656F0E"/>
    <w:rsid w:val="0065757D"/>
    <w:rsid w:val="0066094C"/>
    <w:rsid w:val="0066114A"/>
    <w:rsid w:val="00661FF4"/>
    <w:rsid w:val="00663761"/>
    <w:rsid w:val="006654AA"/>
    <w:rsid w:val="00665F78"/>
    <w:rsid w:val="006660CC"/>
    <w:rsid w:val="00666347"/>
    <w:rsid w:val="00666470"/>
    <w:rsid w:val="00666E1D"/>
    <w:rsid w:val="00667777"/>
    <w:rsid w:val="006718F2"/>
    <w:rsid w:val="00671936"/>
    <w:rsid w:val="00672B1B"/>
    <w:rsid w:val="00673625"/>
    <w:rsid w:val="00673D24"/>
    <w:rsid w:val="00673FEA"/>
    <w:rsid w:val="006749D0"/>
    <w:rsid w:val="0067507F"/>
    <w:rsid w:val="00675A21"/>
    <w:rsid w:val="00677FED"/>
    <w:rsid w:val="00680362"/>
    <w:rsid w:val="0068077B"/>
    <w:rsid w:val="006812BF"/>
    <w:rsid w:val="00681E7E"/>
    <w:rsid w:val="0068277D"/>
    <w:rsid w:val="006846F6"/>
    <w:rsid w:val="006851F9"/>
    <w:rsid w:val="00686070"/>
    <w:rsid w:val="0068621A"/>
    <w:rsid w:val="00686456"/>
    <w:rsid w:val="00686B76"/>
    <w:rsid w:val="0068769E"/>
    <w:rsid w:val="00690AAF"/>
    <w:rsid w:val="00692C98"/>
    <w:rsid w:val="00693ABD"/>
    <w:rsid w:val="0069550D"/>
    <w:rsid w:val="0069554C"/>
    <w:rsid w:val="00695827"/>
    <w:rsid w:val="00695966"/>
    <w:rsid w:val="00695D9A"/>
    <w:rsid w:val="00697189"/>
    <w:rsid w:val="00697515"/>
    <w:rsid w:val="006A1BA2"/>
    <w:rsid w:val="006A23B1"/>
    <w:rsid w:val="006A2EAC"/>
    <w:rsid w:val="006A2EFE"/>
    <w:rsid w:val="006A3439"/>
    <w:rsid w:val="006A48C6"/>
    <w:rsid w:val="006A523B"/>
    <w:rsid w:val="006A5724"/>
    <w:rsid w:val="006A7188"/>
    <w:rsid w:val="006B11F8"/>
    <w:rsid w:val="006B1C29"/>
    <w:rsid w:val="006B4413"/>
    <w:rsid w:val="006B74F9"/>
    <w:rsid w:val="006C016E"/>
    <w:rsid w:val="006C0E52"/>
    <w:rsid w:val="006C0FB9"/>
    <w:rsid w:val="006C1019"/>
    <w:rsid w:val="006C122A"/>
    <w:rsid w:val="006C3620"/>
    <w:rsid w:val="006C3F66"/>
    <w:rsid w:val="006C5022"/>
    <w:rsid w:val="006C5801"/>
    <w:rsid w:val="006C5C7F"/>
    <w:rsid w:val="006C69B5"/>
    <w:rsid w:val="006C6BCE"/>
    <w:rsid w:val="006D00EB"/>
    <w:rsid w:val="006D06C2"/>
    <w:rsid w:val="006D1999"/>
    <w:rsid w:val="006D1CB9"/>
    <w:rsid w:val="006D2E57"/>
    <w:rsid w:val="006D3480"/>
    <w:rsid w:val="006D35E6"/>
    <w:rsid w:val="006D37DC"/>
    <w:rsid w:val="006D3E80"/>
    <w:rsid w:val="006D5107"/>
    <w:rsid w:val="006D5452"/>
    <w:rsid w:val="006D54A0"/>
    <w:rsid w:val="006D5C56"/>
    <w:rsid w:val="006D6B08"/>
    <w:rsid w:val="006D7A75"/>
    <w:rsid w:val="006D7AB7"/>
    <w:rsid w:val="006D7EFD"/>
    <w:rsid w:val="006E027A"/>
    <w:rsid w:val="006E073A"/>
    <w:rsid w:val="006E0846"/>
    <w:rsid w:val="006E0B66"/>
    <w:rsid w:val="006E22C0"/>
    <w:rsid w:val="006E292E"/>
    <w:rsid w:val="006E33BB"/>
    <w:rsid w:val="006E43F3"/>
    <w:rsid w:val="006E46D5"/>
    <w:rsid w:val="006E4CCE"/>
    <w:rsid w:val="006E5292"/>
    <w:rsid w:val="006E5DD2"/>
    <w:rsid w:val="006E6417"/>
    <w:rsid w:val="006E75C4"/>
    <w:rsid w:val="006E7705"/>
    <w:rsid w:val="006F24AB"/>
    <w:rsid w:val="006F344B"/>
    <w:rsid w:val="006F4AD3"/>
    <w:rsid w:val="006F5492"/>
    <w:rsid w:val="006F5E6E"/>
    <w:rsid w:val="006F7F07"/>
    <w:rsid w:val="006F7F30"/>
    <w:rsid w:val="0070025C"/>
    <w:rsid w:val="00702E58"/>
    <w:rsid w:val="00702F9A"/>
    <w:rsid w:val="00703337"/>
    <w:rsid w:val="00703A26"/>
    <w:rsid w:val="00703E92"/>
    <w:rsid w:val="00704DB3"/>
    <w:rsid w:val="007056A2"/>
    <w:rsid w:val="00706246"/>
    <w:rsid w:val="00706A5B"/>
    <w:rsid w:val="00710728"/>
    <w:rsid w:val="00710C94"/>
    <w:rsid w:val="00711678"/>
    <w:rsid w:val="0071176A"/>
    <w:rsid w:val="007121EC"/>
    <w:rsid w:val="00712916"/>
    <w:rsid w:val="00712C21"/>
    <w:rsid w:val="00712EE5"/>
    <w:rsid w:val="007144A2"/>
    <w:rsid w:val="00714616"/>
    <w:rsid w:val="007147E5"/>
    <w:rsid w:val="0071481B"/>
    <w:rsid w:val="00714D04"/>
    <w:rsid w:val="007163E9"/>
    <w:rsid w:val="00716656"/>
    <w:rsid w:val="00720A07"/>
    <w:rsid w:val="00720CF6"/>
    <w:rsid w:val="007210F4"/>
    <w:rsid w:val="0072229C"/>
    <w:rsid w:val="0072297C"/>
    <w:rsid w:val="0072346A"/>
    <w:rsid w:val="00723C86"/>
    <w:rsid w:val="00725134"/>
    <w:rsid w:val="00726E14"/>
    <w:rsid w:val="00730291"/>
    <w:rsid w:val="007304DE"/>
    <w:rsid w:val="00731282"/>
    <w:rsid w:val="00732268"/>
    <w:rsid w:val="00733907"/>
    <w:rsid w:val="00733B81"/>
    <w:rsid w:val="00736B2D"/>
    <w:rsid w:val="007412B6"/>
    <w:rsid w:val="00742EA4"/>
    <w:rsid w:val="00743EC9"/>
    <w:rsid w:val="007440E9"/>
    <w:rsid w:val="00744F74"/>
    <w:rsid w:val="00746179"/>
    <w:rsid w:val="0074649E"/>
    <w:rsid w:val="007465AA"/>
    <w:rsid w:val="00746C6B"/>
    <w:rsid w:val="00747235"/>
    <w:rsid w:val="00747E4C"/>
    <w:rsid w:val="00750DC5"/>
    <w:rsid w:val="0075124B"/>
    <w:rsid w:val="00751AF1"/>
    <w:rsid w:val="00751B9B"/>
    <w:rsid w:val="007539B5"/>
    <w:rsid w:val="0075438A"/>
    <w:rsid w:val="00754819"/>
    <w:rsid w:val="00754E0D"/>
    <w:rsid w:val="00757443"/>
    <w:rsid w:val="00757F36"/>
    <w:rsid w:val="00760042"/>
    <w:rsid w:val="0076185D"/>
    <w:rsid w:val="007618E9"/>
    <w:rsid w:val="0076236E"/>
    <w:rsid w:val="00762A5D"/>
    <w:rsid w:val="00762AF8"/>
    <w:rsid w:val="0076325C"/>
    <w:rsid w:val="007632B6"/>
    <w:rsid w:val="00763A2E"/>
    <w:rsid w:val="00763A35"/>
    <w:rsid w:val="0076414B"/>
    <w:rsid w:val="007648CC"/>
    <w:rsid w:val="00765182"/>
    <w:rsid w:val="00766052"/>
    <w:rsid w:val="0076782D"/>
    <w:rsid w:val="00770200"/>
    <w:rsid w:val="00771464"/>
    <w:rsid w:val="00771865"/>
    <w:rsid w:val="00772E77"/>
    <w:rsid w:val="00773493"/>
    <w:rsid w:val="007741CC"/>
    <w:rsid w:val="00774B2B"/>
    <w:rsid w:val="00774E16"/>
    <w:rsid w:val="00775071"/>
    <w:rsid w:val="007757B9"/>
    <w:rsid w:val="0077608D"/>
    <w:rsid w:val="00776443"/>
    <w:rsid w:val="00780A4C"/>
    <w:rsid w:val="00780CE6"/>
    <w:rsid w:val="007812F2"/>
    <w:rsid w:val="0078349A"/>
    <w:rsid w:val="00783F71"/>
    <w:rsid w:val="00784EC1"/>
    <w:rsid w:val="00785C34"/>
    <w:rsid w:val="00786371"/>
    <w:rsid w:val="00787782"/>
    <w:rsid w:val="00787EDD"/>
    <w:rsid w:val="00790D9C"/>
    <w:rsid w:val="00791115"/>
    <w:rsid w:val="00791429"/>
    <w:rsid w:val="00791830"/>
    <w:rsid w:val="00791906"/>
    <w:rsid w:val="00792503"/>
    <w:rsid w:val="00792A3F"/>
    <w:rsid w:val="00792B47"/>
    <w:rsid w:val="00794097"/>
    <w:rsid w:val="00795327"/>
    <w:rsid w:val="00795719"/>
    <w:rsid w:val="00795DC7"/>
    <w:rsid w:val="00796880"/>
    <w:rsid w:val="00796BEE"/>
    <w:rsid w:val="00797210"/>
    <w:rsid w:val="00797632"/>
    <w:rsid w:val="007A0666"/>
    <w:rsid w:val="007A0693"/>
    <w:rsid w:val="007A090F"/>
    <w:rsid w:val="007A1D12"/>
    <w:rsid w:val="007A23E9"/>
    <w:rsid w:val="007A2887"/>
    <w:rsid w:val="007A3099"/>
    <w:rsid w:val="007A36B4"/>
    <w:rsid w:val="007A39BF"/>
    <w:rsid w:val="007A3ED3"/>
    <w:rsid w:val="007A4469"/>
    <w:rsid w:val="007A45A4"/>
    <w:rsid w:val="007A5A77"/>
    <w:rsid w:val="007A64F3"/>
    <w:rsid w:val="007B0C73"/>
    <w:rsid w:val="007B1D87"/>
    <w:rsid w:val="007B4478"/>
    <w:rsid w:val="007B6100"/>
    <w:rsid w:val="007B6778"/>
    <w:rsid w:val="007B76F1"/>
    <w:rsid w:val="007C091D"/>
    <w:rsid w:val="007C0936"/>
    <w:rsid w:val="007C19AD"/>
    <w:rsid w:val="007C1FBB"/>
    <w:rsid w:val="007C271E"/>
    <w:rsid w:val="007C296C"/>
    <w:rsid w:val="007C3C49"/>
    <w:rsid w:val="007C4238"/>
    <w:rsid w:val="007C4BF2"/>
    <w:rsid w:val="007C53EB"/>
    <w:rsid w:val="007C5499"/>
    <w:rsid w:val="007C615E"/>
    <w:rsid w:val="007C63C0"/>
    <w:rsid w:val="007C7AF2"/>
    <w:rsid w:val="007C7C11"/>
    <w:rsid w:val="007D04D7"/>
    <w:rsid w:val="007D0DEB"/>
    <w:rsid w:val="007D0F27"/>
    <w:rsid w:val="007D13ED"/>
    <w:rsid w:val="007D1D37"/>
    <w:rsid w:val="007D1F46"/>
    <w:rsid w:val="007D2EBC"/>
    <w:rsid w:val="007D63EF"/>
    <w:rsid w:val="007D6B96"/>
    <w:rsid w:val="007D7F92"/>
    <w:rsid w:val="007E0096"/>
    <w:rsid w:val="007E1486"/>
    <w:rsid w:val="007E1BCA"/>
    <w:rsid w:val="007E295B"/>
    <w:rsid w:val="007E51A6"/>
    <w:rsid w:val="007E641F"/>
    <w:rsid w:val="007E66D2"/>
    <w:rsid w:val="007E6D66"/>
    <w:rsid w:val="007E6E47"/>
    <w:rsid w:val="007F0F8D"/>
    <w:rsid w:val="007F1B38"/>
    <w:rsid w:val="007F2602"/>
    <w:rsid w:val="007F2DC4"/>
    <w:rsid w:val="007F3293"/>
    <w:rsid w:val="007F3438"/>
    <w:rsid w:val="007F43FD"/>
    <w:rsid w:val="007F5077"/>
    <w:rsid w:val="007F57EA"/>
    <w:rsid w:val="007F6A77"/>
    <w:rsid w:val="007F7024"/>
    <w:rsid w:val="007F7DA7"/>
    <w:rsid w:val="00800185"/>
    <w:rsid w:val="008004D4"/>
    <w:rsid w:val="008008CB"/>
    <w:rsid w:val="008011F0"/>
    <w:rsid w:val="008032A8"/>
    <w:rsid w:val="00803310"/>
    <w:rsid w:val="00804BED"/>
    <w:rsid w:val="008050D9"/>
    <w:rsid w:val="00805F10"/>
    <w:rsid w:val="008069A9"/>
    <w:rsid w:val="00807123"/>
    <w:rsid w:val="00807A8B"/>
    <w:rsid w:val="00812351"/>
    <w:rsid w:val="008134DD"/>
    <w:rsid w:val="00813FA0"/>
    <w:rsid w:val="00814070"/>
    <w:rsid w:val="00814975"/>
    <w:rsid w:val="00815254"/>
    <w:rsid w:val="0081539B"/>
    <w:rsid w:val="008156F1"/>
    <w:rsid w:val="008159DD"/>
    <w:rsid w:val="0081693F"/>
    <w:rsid w:val="00817760"/>
    <w:rsid w:val="00820242"/>
    <w:rsid w:val="0082091D"/>
    <w:rsid w:val="00821780"/>
    <w:rsid w:val="008219B0"/>
    <w:rsid w:val="00821B17"/>
    <w:rsid w:val="008220B2"/>
    <w:rsid w:val="008221A6"/>
    <w:rsid w:val="008241D0"/>
    <w:rsid w:val="00824526"/>
    <w:rsid w:val="00825AE3"/>
    <w:rsid w:val="00826336"/>
    <w:rsid w:val="008263B5"/>
    <w:rsid w:val="008279FA"/>
    <w:rsid w:val="00831F29"/>
    <w:rsid w:val="008324C8"/>
    <w:rsid w:val="00832803"/>
    <w:rsid w:val="008339A5"/>
    <w:rsid w:val="00833BCC"/>
    <w:rsid w:val="00835E75"/>
    <w:rsid w:val="0083667B"/>
    <w:rsid w:val="00836C38"/>
    <w:rsid w:val="00840102"/>
    <w:rsid w:val="008417DE"/>
    <w:rsid w:val="008417F7"/>
    <w:rsid w:val="00842FEE"/>
    <w:rsid w:val="008450A8"/>
    <w:rsid w:val="00845468"/>
    <w:rsid w:val="00845A8D"/>
    <w:rsid w:val="008469F5"/>
    <w:rsid w:val="00846AA0"/>
    <w:rsid w:val="00846D6F"/>
    <w:rsid w:val="0084746C"/>
    <w:rsid w:val="00847537"/>
    <w:rsid w:val="0085125A"/>
    <w:rsid w:val="00851283"/>
    <w:rsid w:val="008519F0"/>
    <w:rsid w:val="0085295E"/>
    <w:rsid w:val="00853E9F"/>
    <w:rsid w:val="008541D0"/>
    <w:rsid w:val="008552F6"/>
    <w:rsid w:val="00855727"/>
    <w:rsid w:val="0085609A"/>
    <w:rsid w:val="00856472"/>
    <w:rsid w:val="0085656D"/>
    <w:rsid w:val="008568EC"/>
    <w:rsid w:val="00856EC5"/>
    <w:rsid w:val="00860065"/>
    <w:rsid w:val="00860412"/>
    <w:rsid w:val="00860702"/>
    <w:rsid w:val="0086293E"/>
    <w:rsid w:val="008630A9"/>
    <w:rsid w:val="008636E4"/>
    <w:rsid w:val="00863D8F"/>
    <w:rsid w:val="00864454"/>
    <w:rsid w:val="00865A58"/>
    <w:rsid w:val="008660C2"/>
    <w:rsid w:val="00866F13"/>
    <w:rsid w:val="00873A02"/>
    <w:rsid w:val="00873CDF"/>
    <w:rsid w:val="00873FC5"/>
    <w:rsid w:val="008765F7"/>
    <w:rsid w:val="0087701E"/>
    <w:rsid w:val="008813D6"/>
    <w:rsid w:val="00881CD1"/>
    <w:rsid w:val="00882259"/>
    <w:rsid w:val="00883EDA"/>
    <w:rsid w:val="00884BD6"/>
    <w:rsid w:val="00884D4E"/>
    <w:rsid w:val="008869A9"/>
    <w:rsid w:val="00887500"/>
    <w:rsid w:val="00887501"/>
    <w:rsid w:val="00890220"/>
    <w:rsid w:val="00892F88"/>
    <w:rsid w:val="008944C6"/>
    <w:rsid w:val="00895037"/>
    <w:rsid w:val="00895D0D"/>
    <w:rsid w:val="0089611A"/>
    <w:rsid w:val="008965E4"/>
    <w:rsid w:val="008974AA"/>
    <w:rsid w:val="008974AF"/>
    <w:rsid w:val="00897D96"/>
    <w:rsid w:val="008A075A"/>
    <w:rsid w:val="008A0FB6"/>
    <w:rsid w:val="008A1153"/>
    <w:rsid w:val="008A1314"/>
    <w:rsid w:val="008A23A0"/>
    <w:rsid w:val="008A2ED1"/>
    <w:rsid w:val="008A3C44"/>
    <w:rsid w:val="008A3F3A"/>
    <w:rsid w:val="008A4CD5"/>
    <w:rsid w:val="008A50CF"/>
    <w:rsid w:val="008A6856"/>
    <w:rsid w:val="008A69C4"/>
    <w:rsid w:val="008A761C"/>
    <w:rsid w:val="008A762A"/>
    <w:rsid w:val="008A7938"/>
    <w:rsid w:val="008B158B"/>
    <w:rsid w:val="008B1E8B"/>
    <w:rsid w:val="008B321D"/>
    <w:rsid w:val="008B3A8B"/>
    <w:rsid w:val="008B70C2"/>
    <w:rsid w:val="008B790B"/>
    <w:rsid w:val="008C01C5"/>
    <w:rsid w:val="008C0828"/>
    <w:rsid w:val="008C09FF"/>
    <w:rsid w:val="008C17B7"/>
    <w:rsid w:val="008C2A0D"/>
    <w:rsid w:val="008C2C96"/>
    <w:rsid w:val="008C2D48"/>
    <w:rsid w:val="008C2D9C"/>
    <w:rsid w:val="008C3BA5"/>
    <w:rsid w:val="008C3C33"/>
    <w:rsid w:val="008C4518"/>
    <w:rsid w:val="008C655F"/>
    <w:rsid w:val="008C7B2B"/>
    <w:rsid w:val="008C7C68"/>
    <w:rsid w:val="008C7C97"/>
    <w:rsid w:val="008D036C"/>
    <w:rsid w:val="008D0A7A"/>
    <w:rsid w:val="008D0D1A"/>
    <w:rsid w:val="008D150F"/>
    <w:rsid w:val="008D2162"/>
    <w:rsid w:val="008D21F5"/>
    <w:rsid w:val="008D2C39"/>
    <w:rsid w:val="008D32EC"/>
    <w:rsid w:val="008D4255"/>
    <w:rsid w:val="008D472C"/>
    <w:rsid w:val="008D4AC1"/>
    <w:rsid w:val="008D4CDB"/>
    <w:rsid w:val="008D66F8"/>
    <w:rsid w:val="008D6A6D"/>
    <w:rsid w:val="008D6E64"/>
    <w:rsid w:val="008D6FBA"/>
    <w:rsid w:val="008D73CB"/>
    <w:rsid w:val="008D7BA7"/>
    <w:rsid w:val="008D7F05"/>
    <w:rsid w:val="008E09DB"/>
    <w:rsid w:val="008E0C72"/>
    <w:rsid w:val="008E0E28"/>
    <w:rsid w:val="008E2DDE"/>
    <w:rsid w:val="008E37CD"/>
    <w:rsid w:val="008E4559"/>
    <w:rsid w:val="008E75DA"/>
    <w:rsid w:val="008E7FD5"/>
    <w:rsid w:val="008F276E"/>
    <w:rsid w:val="008F2991"/>
    <w:rsid w:val="008F47EC"/>
    <w:rsid w:val="008F53AE"/>
    <w:rsid w:val="009037F9"/>
    <w:rsid w:val="009039B4"/>
    <w:rsid w:val="009045F7"/>
    <w:rsid w:val="00904738"/>
    <w:rsid w:val="0090504C"/>
    <w:rsid w:val="0090541D"/>
    <w:rsid w:val="009057B9"/>
    <w:rsid w:val="00906646"/>
    <w:rsid w:val="0090755C"/>
    <w:rsid w:val="00910056"/>
    <w:rsid w:val="0091186A"/>
    <w:rsid w:val="00911ACE"/>
    <w:rsid w:val="00911C0C"/>
    <w:rsid w:val="00912B95"/>
    <w:rsid w:val="00913A9E"/>
    <w:rsid w:val="00913B32"/>
    <w:rsid w:val="00913CCD"/>
    <w:rsid w:val="009145DF"/>
    <w:rsid w:val="009149C0"/>
    <w:rsid w:val="00914B2A"/>
    <w:rsid w:val="00914CD1"/>
    <w:rsid w:val="009174A6"/>
    <w:rsid w:val="009204AB"/>
    <w:rsid w:val="009206E8"/>
    <w:rsid w:val="00920AD4"/>
    <w:rsid w:val="0092147B"/>
    <w:rsid w:val="009242C6"/>
    <w:rsid w:val="009245F2"/>
    <w:rsid w:val="009255D5"/>
    <w:rsid w:val="009266A4"/>
    <w:rsid w:val="009267C5"/>
    <w:rsid w:val="00926913"/>
    <w:rsid w:val="00930321"/>
    <w:rsid w:val="009311EF"/>
    <w:rsid w:val="009320A9"/>
    <w:rsid w:val="00933505"/>
    <w:rsid w:val="009340B8"/>
    <w:rsid w:val="00934E1F"/>
    <w:rsid w:val="00936B86"/>
    <w:rsid w:val="0094305C"/>
    <w:rsid w:val="00943727"/>
    <w:rsid w:val="00943A2E"/>
    <w:rsid w:val="00946138"/>
    <w:rsid w:val="00946316"/>
    <w:rsid w:val="00950447"/>
    <w:rsid w:val="00951328"/>
    <w:rsid w:val="009525E7"/>
    <w:rsid w:val="009538BB"/>
    <w:rsid w:val="00953995"/>
    <w:rsid w:val="00953C52"/>
    <w:rsid w:val="00953E8D"/>
    <w:rsid w:val="0095428D"/>
    <w:rsid w:val="00956B5A"/>
    <w:rsid w:val="00956FB3"/>
    <w:rsid w:val="00956FB7"/>
    <w:rsid w:val="0095736E"/>
    <w:rsid w:val="00961F02"/>
    <w:rsid w:val="00961F27"/>
    <w:rsid w:val="00962B9E"/>
    <w:rsid w:val="00963690"/>
    <w:rsid w:val="009640F2"/>
    <w:rsid w:val="009641D7"/>
    <w:rsid w:val="00964803"/>
    <w:rsid w:val="0096622E"/>
    <w:rsid w:val="009666EB"/>
    <w:rsid w:val="00966E45"/>
    <w:rsid w:val="009706F4"/>
    <w:rsid w:val="00971008"/>
    <w:rsid w:val="009714C5"/>
    <w:rsid w:val="00971756"/>
    <w:rsid w:val="00972D76"/>
    <w:rsid w:val="00974341"/>
    <w:rsid w:val="00976D47"/>
    <w:rsid w:val="00976EC4"/>
    <w:rsid w:val="00981921"/>
    <w:rsid w:val="00981B56"/>
    <w:rsid w:val="00983031"/>
    <w:rsid w:val="00983909"/>
    <w:rsid w:val="00984D65"/>
    <w:rsid w:val="0098520F"/>
    <w:rsid w:val="00985B2A"/>
    <w:rsid w:val="00985FE1"/>
    <w:rsid w:val="0098657F"/>
    <w:rsid w:val="00987AF8"/>
    <w:rsid w:val="0099156E"/>
    <w:rsid w:val="00991B19"/>
    <w:rsid w:val="00993A7D"/>
    <w:rsid w:val="00994812"/>
    <w:rsid w:val="00996570"/>
    <w:rsid w:val="009A0AF3"/>
    <w:rsid w:val="009A34F8"/>
    <w:rsid w:val="009A3BB4"/>
    <w:rsid w:val="009A404E"/>
    <w:rsid w:val="009A55F1"/>
    <w:rsid w:val="009A5AEA"/>
    <w:rsid w:val="009A5D9F"/>
    <w:rsid w:val="009A62F3"/>
    <w:rsid w:val="009A7C2B"/>
    <w:rsid w:val="009B0EE0"/>
    <w:rsid w:val="009B1F8E"/>
    <w:rsid w:val="009B336D"/>
    <w:rsid w:val="009B4569"/>
    <w:rsid w:val="009B756B"/>
    <w:rsid w:val="009B79AA"/>
    <w:rsid w:val="009C052E"/>
    <w:rsid w:val="009C0AF2"/>
    <w:rsid w:val="009C112B"/>
    <w:rsid w:val="009C3021"/>
    <w:rsid w:val="009C4983"/>
    <w:rsid w:val="009C4FE5"/>
    <w:rsid w:val="009C581D"/>
    <w:rsid w:val="009C77E2"/>
    <w:rsid w:val="009C7986"/>
    <w:rsid w:val="009C7C9B"/>
    <w:rsid w:val="009D0B99"/>
    <w:rsid w:val="009D1EE7"/>
    <w:rsid w:val="009D30F2"/>
    <w:rsid w:val="009D4214"/>
    <w:rsid w:val="009D4555"/>
    <w:rsid w:val="009D6548"/>
    <w:rsid w:val="009D7511"/>
    <w:rsid w:val="009D7902"/>
    <w:rsid w:val="009D7DC4"/>
    <w:rsid w:val="009E0C84"/>
    <w:rsid w:val="009E0CB3"/>
    <w:rsid w:val="009E4F6F"/>
    <w:rsid w:val="009E6AD5"/>
    <w:rsid w:val="009E7111"/>
    <w:rsid w:val="009F20CE"/>
    <w:rsid w:val="009F448C"/>
    <w:rsid w:val="009F46D1"/>
    <w:rsid w:val="009F4711"/>
    <w:rsid w:val="009F47B3"/>
    <w:rsid w:val="009F52F1"/>
    <w:rsid w:val="009F5A08"/>
    <w:rsid w:val="00A002A2"/>
    <w:rsid w:val="00A00A2A"/>
    <w:rsid w:val="00A01B61"/>
    <w:rsid w:val="00A025D2"/>
    <w:rsid w:val="00A02FCD"/>
    <w:rsid w:val="00A03338"/>
    <w:rsid w:val="00A035A7"/>
    <w:rsid w:val="00A038BC"/>
    <w:rsid w:val="00A0412B"/>
    <w:rsid w:val="00A06219"/>
    <w:rsid w:val="00A06640"/>
    <w:rsid w:val="00A067FD"/>
    <w:rsid w:val="00A06EFB"/>
    <w:rsid w:val="00A07D0A"/>
    <w:rsid w:val="00A10CAA"/>
    <w:rsid w:val="00A123E9"/>
    <w:rsid w:val="00A124A1"/>
    <w:rsid w:val="00A125E6"/>
    <w:rsid w:val="00A12EC8"/>
    <w:rsid w:val="00A146EA"/>
    <w:rsid w:val="00A14CC4"/>
    <w:rsid w:val="00A157E2"/>
    <w:rsid w:val="00A16947"/>
    <w:rsid w:val="00A170B9"/>
    <w:rsid w:val="00A1735C"/>
    <w:rsid w:val="00A176B4"/>
    <w:rsid w:val="00A22663"/>
    <w:rsid w:val="00A2301D"/>
    <w:rsid w:val="00A23996"/>
    <w:rsid w:val="00A24414"/>
    <w:rsid w:val="00A252E7"/>
    <w:rsid w:val="00A26F45"/>
    <w:rsid w:val="00A275E0"/>
    <w:rsid w:val="00A31493"/>
    <w:rsid w:val="00A32042"/>
    <w:rsid w:val="00A323C1"/>
    <w:rsid w:val="00A34190"/>
    <w:rsid w:val="00A3493C"/>
    <w:rsid w:val="00A34EBB"/>
    <w:rsid w:val="00A37D84"/>
    <w:rsid w:val="00A405D1"/>
    <w:rsid w:val="00A416C9"/>
    <w:rsid w:val="00A41B6C"/>
    <w:rsid w:val="00A41BAC"/>
    <w:rsid w:val="00A421E1"/>
    <w:rsid w:val="00A4522B"/>
    <w:rsid w:val="00A46009"/>
    <w:rsid w:val="00A50FA0"/>
    <w:rsid w:val="00A51F7A"/>
    <w:rsid w:val="00A52C34"/>
    <w:rsid w:val="00A535F3"/>
    <w:rsid w:val="00A539CB"/>
    <w:rsid w:val="00A53EB3"/>
    <w:rsid w:val="00A567A6"/>
    <w:rsid w:val="00A6152C"/>
    <w:rsid w:val="00A61766"/>
    <w:rsid w:val="00A62468"/>
    <w:rsid w:val="00A632D4"/>
    <w:rsid w:val="00A63FAC"/>
    <w:rsid w:val="00A640E3"/>
    <w:rsid w:val="00A64C42"/>
    <w:rsid w:val="00A65A9B"/>
    <w:rsid w:val="00A7034C"/>
    <w:rsid w:val="00A708DC"/>
    <w:rsid w:val="00A70D4B"/>
    <w:rsid w:val="00A717FE"/>
    <w:rsid w:val="00A721DB"/>
    <w:rsid w:val="00A72559"/>
    <w:rsid w:val="00A7297B"/>
    <w:rsid w:val="00A74C90"/>
    <w:rsid w:val="00A754CA"/>
    <w:rsid w:val="00A7553B"/>
    <w:rsid w:val="00A763BE"/>
    <w:rsid w:val="00A76473"/>
    <w:rsid w:val="00A76DB5"/>
    <w:rsid w:val="00A80F88"/>
    <w:rsid w:val="00A814AF"/>
    <w:rsid w:val="00A817D4"/>
    <w:rsid w:val="00A82C4A"/>
    <w:rsid w:val="00A82D01"/>
    <w:rsid w:val="00A83A64"/>
    <w:rsid w:val="00A85D78"/>
    <w:rsid w:val="00A865CB"/>
    <w:rsid w:val="00A87EEF"/>
    <w:rsid w:val="00A910EA"/>
    <w:rsid w:val="00A92344"/>
    <w:rsid w:val="00A952BC"/>
    <w:rsid w:val="00A97843"/>
    <w:rsid w:val="00A97E65"/>
    <w:rsid w:val="00AA11D5"/>
    <w:rsid w:val="00AA1420"/>
    <w:rsid w:val="00AA3922"/>
    <w:rsid w:val="00AA5186"/>
    <w:rsid w:val="00AA5B3B"/>
    <w:rsid w:val="00AA7C1E"/>
    <w:rsid w:val="00AB1028"/>
    <w:rsid w:val="00AB260B"/>
    <w:rsid w:val="00AB3383"/>
    <w:rsid w:val="00AB70BF"/>
    <w:rsid w:val="00AC2EA0"/>
    <w:rsid w:val="00AC3759"/>
    <w:rsid w:val="00AC398D"/>
    <w:rsid w:val="00AC560E"/>
    <w:rsid w:val="00AC5EA1"/>
    <w:rsid w:val="00AC68C2"/>
    <w:rsid w:val="00AC6B96"/>
    <w:rsid w:val="00AD02AF"/>
    <w:rsid w:val="00AD28BB"/>
    <w:rsid w:val="00AD2EB3"/>
    <w:rsid w:val="00AD2F46"/>
    <w:rsid w:val="00AD36F2"/>
    <w:rsid w:val="00AD3946"/>
    <w:rsid w:val="00AD3A50"/>
    <w:rsid w:val="00AD49A2"/>
    <w:rsid w:val="00AD5769"/>
    <w:rsid w:val="00AD662C"/>
    <w:rsid w:val="00AD6F37"/>
    <w:rsid w:val="00AD7212"/>
    <w:rsid w:val="00AD7B84"/>
    <w:rsid w:val="00AE04F2"/>
    <w:rsid w:val="00AE092D"/>
    <w:rsid w:val="00AE18F9"/>
    <w:rsid w:val="00AE2A9D"/>
    <w:rsid w:val="00AE4407"/>
    <w:rsid w:val="00AE49F1"/>
    <w:rsid w:val="00AE5242"/>
    <w:rsid w:val="00AE5AD6"/>
    <w:rsid w:val="00AE74EA"/>
    <w:rsid w:val="00AF089F"/>
    <w:rsid w:val="00AF11BA"/>
    <w:rsid w:val="00AF150D"/>
    <w:rsid w:val="00AF15C7"/>
    <w:rsid w:val="00AF1C40"/>
    <w:rsid w:val="00AF2A70"/>
    <w:rsid w:val="00AF3CD8"/>
    <w:rsid w:val="00AF4848"/>
    <w:rsid w:val="00AF5AFE"/>
    <w:rsid w:val="00AF5D11"/>
    <w:rsid w:val="00B008CE"/>
    <w:rsid w:val="00B00EA2"/>
    <w:rsid w:val="00B017F8"/>
    <w:rsid w:val="00B01918"/>
    <w:rsid w:val="00B01BDA"/>
    <w:rsid w:val="00B01BDB"/>
    <w:rsid w:val="00B01EA1"/>
    <w:rsid w:val="00B020BD"/>
    <w:rsid w:val="00B038D5"/>
    <w:rsid w:val="00B05039"/>
    <w:rsid w:val="00B052B8"/>
    <w:rsid w:val="00B05628"/>
    <w:rsid w:val="00B05982"/>
    <w:rsid w:val="00B06021"/>
    <w:rsid w:val="00B06133"/>
    <w:rsid w:val="00B06348"/>
    <w:rsid w:val="00B07035"/>
    <w:rsid w:val="00B076F3"/>
    <w:rsid w:val="00B0783B"/>
    <w:rsid w:val="00B07A97"/>
    <w:rsid w:val="00B100B9"/>
    <w:rsid w:val="00B104F6"/>
    <w:rsid w:val="00B11897"/>
    <w:rsid w:val="00B1236D"/>
    <w:rsid w:val="00B128ED"/>
    <w:rsid w:val="00B13A3D"/>
    <w:rsid w:val="00B13FE8"/>
    <w:rsid w:val="00B146C4"/>
    <w:rsid w:val="00B16731"/>
    <w:rsid w:val="00B2020E"/>
    <w:rsid w:val="00B20F95"/>
    <w:rsid w:val="00B22F1F"/>
    <w:rsid w:val="00B2346A"/>
    <w:rsid w:val="00B25781"/>
    <w:rsid w:val="00B26283"/>
    <w:rsid w:val="00B27DF4"/>
    <w:rsid w:val="00B30212"/>
    <w:rsid w:val="00B30396"/>
    <w:rsid w:val="00B304E8"/>
    <w:rsid w:val="00B31694"/>
    <w:rsid w:val="00B3211D"/>
    <w:rsid w:val="00B3284F"/>
    <w:rsid w:val="00B32B75"/>
    <w:rsid w:val="00B33802"/>
    <w:rsid w:val="00B33A9C"/>
    <w:rsid w:val="00B3420E"/>
    <w:rsid w:val="00B355E8"/>
    <w:rsid w:val="00B377C8"/>
    <w:rsid w:val="00B37913"/>
    <w:rsid w:val="00B41A74"/>
    <w:rsid w:val="00B42FEC"/>
    <w:rsid w:val="00B436D9"/>
    <w:rsid w:val="00B44181"/>
    <w:rsid w:val="00B442F4"/>
    <w:rsid w:val="00B44600"/>
    <w:rsid w:val="00B447E3"/>
    <w:rsid w:val="00B450E3"/>
    <w:rsid w:val="00B45122"/>
    <w:rsid w:val="00B46394"/>
    <w:rsid w:val="00B46924"/>
    <w:rsid w:val="00B47A2D"/>
    <w:rsid w:val="00B503B8"/>
    <w:rsid w:val="00B51741"/>
    <w:rsid w:val="00B52F1B"/>
    <w:rsid w:val="00B53867"/>
    <w:rsid w:val="00B54CF1"/>
    <w:rsid w:val="00B54FD2"/>
    <w:rsid w:val="00B56139"/>
    <w:rsid w:val="00B56199"/>
    <w:rsid w:val="00B567E3"/>
    <w:rsid w:val="00B56AB7"/>
    <w:rsid w:val="00B57E8B"/>
    <w:rsid w:val="00B60321"/>
    <w:rsid w:val="00B60A8B"/>
    <w:rsid w:val="00B639A0"/>
    <w:rsid w:val="00B644DF"/>
    <w:rsid w:val="00B66F44"/>
    <w:rsid w:val="00B67203"/>
    <w:rsid w:val="00B6793B"/>
    <w:rsid w:val="00B700C3"/>
    <w:rsid w:val="00B714F1"/>
    <w:rsid w:val="00B715DB"/>
    <w:rsid w:val="00B7188B"/>
    <w:rsid w:val="00B72126"/>
    <w:rsid w:val="00B72660"/>
    <w:rsid w:val="00B75363"/>
    <w:rsid w:val="00B75FD9"/>
    <w:rsid w:val="00B771EA"/>
    <w:rsid w:val="00B8048D"/>
    <w:rsid w:val="00B80AD9"/>
    <w:rsid w:val="00B81141"/>
    <w:rsid w:val="00B8193C"/>
    <w:rsid w:val="00B82373"/>
    <w:rsid w:val="00B85441"/>
    <w:rsid w:val="00B87C46"/>
    <w:rsid w:val="00B9008B"/>
    <w:rsid w:val="00B90583"/>
    <w:rsid w:val="00B90BF2"/>
    <w:rsid w:val="00B92ED7"/>
    <w:rsid w:val="00B94130"/>
    <w:rsid w:val="00B95C18"/>
    <w:rsid w:val="00B9647B"/>
    <w:rsid w:val="00B96826"/>
    <w:rsid w:val="00B977E2"/>
    <w:rsid w:val="00B97B0C"/>
    <w:rsid w:val="00BA0401"/>
    <w:rsid w:val="00BA101D"/>
    <w:rsid w:val="00BA109B"/>
    <w:rsid w:val="00BA1F97"/>
    <w:rsid w:val="00BA3062"/>
    <w:rsid w:val="00BA313C"/>
    <w:rsid w:val="00BA349C"/>
    <w:rsid w:val="00BA3F67"/>
    <w:rsid w:val="00BA405E"/>
    <w:rsid w:val="00BA470D"/>
    <w:rsid w:val="00BA4746"/>
    <w:rsid w:val="00BA56AD"/>
    <w:rsid w:val="00BA5DDF"/>
    <w:rsid w:val="00BA6322"/>
    <w:rsid w:val="00BA6470"/>
    <w:rsid w:val="00BA6EBD"/>
    <w:rsid w:val="00BA7562"/>
    <w:rsid w:val="00BA7735"/>
    <w:rsid w:val="00BA7A27"/>
    <w:rsid w:val="00BB1214"/>
    <w:rsid w:val="00BB1E95"/>
    <w:rsid w:val="00BB342D"/>
    <w:rsid w:val="00BB4379"/>
    <w:rsid w:val="00BB54E3"/>
    <w:rsid w:val="00BB5A1F"/>
    <w:rsid w:val="00BB7BF5"/>
    <w:rsid w:val="00BB7EEF"/>
    <w:rsid w:val="00BC02B6"/>
    <w:rsid w:val="00BC06AD"/>
    <w:rsid w:val="00BC196F"/>
    <w:rsid w:val="00BC1D5C"/>
    <w:rsid w:val="00BC2989"/>
    <w:rsid w:val="00BC3862"/>
    <w:rsid w:val="00BC3F07"/>
    <w:rsid w:val="00BC4A21"/>
    <w:rsid w:val="00BC6453"/>
    <w:rsid w:val="00BC6933"/>
    <w:rsid w:val="00BC79A5"/>
    <w:rsid w:val="00BD136B"/>
    <w:rsid w:val="00BD1CDE"/>
    <w:rsid w:val="00BD1DBD"/>
    <w:rsid w:val="00BD2A30"/>
    <w:rsid w:val="00BD2E37"/>
    <w:rsid w:val="00BD3E72"/>
    <w:rsid w:val="00BD5709"/>
    <w:rsid w:val="00BD5DD5"/>
    <w:rsid w:val="00BD7C57"/>
    <w:rsid w:val="00BE1D13"/>
    <w:rsid w:val="00BE2159"/>
    <w:rsid w:val="00BE4C1C"/>
    <w:rsid w:val="00BE523A"/>
    <w:rsid w:val="00BE5559"/>
    <w:rsid w:val="00BE6457"/>
    <w:rsid w:val="00BE6C23"/>
    <w:rsid w:val="00BE7331"/>
    <w:rsid w:val="00BE7AC0"/>
    <w:rsid w:val="00BE7F9B"/>
    <w:rsid w:val="00BF124F"/>
    <w:rsid w:val="00BF2E45"/>
    <w:rsid w:val="00BF34F8"/>
    <w:rsid w:val="00BF3DE8"/>
    <w:rsid w:val="00BF3F0E"/>
    <w:rsid w:val="00BF5033"/>
    <w:rsid w:val="00BF5CBC"/>
    <w:rsid w:val="00BF64A7"/>
    <w:rsid w:val="00BF767E"/>
    <w:rsid w:val="00C006EF"/>
    <w:rsid w:val="00C00896"/>
    <w:rsid w:val="00C01914"/>
    <w:rsid w:val="00C01C41"/>
    <w:rsid w:val="00C01CC3"/>
    <w:rsid w:val="00C01E46"/>
    <w:rsid w:val="00C0367A"/>
    <w:rsid w:val="00C0406C"/>
    <w:rsid w:val="00C055FE"/>
    <w:rsid w:val="00C05C79"/>
    <w:rsid w:val="00C14B33"/>
    <w:rsid w:val="00C14F01"/>
    <w:rsid w:val="00C15FBC"/>
    <w:rsid w:val="00C1673A"/>
    <w:rsid w:val="00C169F4"/>
    <w:rsid w:val="00C17B3F"/>
    <w:rsid w:val="00C2022B"/>
    <w:rsid w:val="00C21318"/>
    <w:rsid w:val="00C22184"/>
    <w:rsid w:val="00C22BC0"/>
    <w:rsid w:val="00C24664"/>
    <w:rsid w:val="00C24D85"/>
    <w:rsid w:val="00C25A63"/>
    <w:rsid w:val="00C2769D"/>
    <w:rsid w:val="00C27D36"/>
    <w:rsid w:val="00C30104"/>
    <w:rsid w:val="00C30964"/>
    <w:rsid w:val="00C3315E"/>
    <w:rsid w:val="00C3380B"/>
    <w:rsid w:val="00C3456C"/>
    <w:rsid w:val="00C349B7"/>
    <w:rsid w:val="00C349D8"/>
    <w:rsid w:val="00C36023"/>
    <w:rsid w:val="00C371CB"/>
    <w:rsid w:val="00C37E60"/>
    <w:rsid w:val="00C404B3"/>
    <w:rsid w:val="00C407B8"/>
    <w:rsid w:val="00C412B5"/>
    <w:rsid w:val="00C439BE"/>
    <w:rsid w:val="00C44516"/>
    <w:rsid w:val="00C446F5"/>
    <w:rsid w:val="00C44BDC"/>
    <w:rsid w:val="00C45EF8"/>
    <w:rsid w:val="00C4664A"/>
    <w:rsid w:val="00C477AF"/>
    <w:rsid w:val="00C47990"/>
    <w:rsid w:val="00C50021"/>
    <w:rsid w:val="00C523D5"/>
    <w:rsid w:val="00C53E25"/>
    <w:rsid w:val="00C54012"/>
    <w:rsid w:val="00C5455A"/>
    <w:rsid w:val="00C54C82"/>
    <w:rsid w:val="00C54F6F"/>
    <w:rsid w:val="00C557E0"/>
    <w:rsid w:val="00C55D78"/>
    <w:rsid w:val="00C60580"/>
    <w:rsid w:val="00C63337"/>
    <w:rsid w:val="00C6695F"/>
    <w:rsid w:val="00C671E0"/>
    <w:rsid w:val="00C67B44"/>
    <w:rsid w:val="00C67BDA"/>
    <w:rsid w:val="00C67EEA"/>
    <w:rsid w:val="00C704BD"/>
    <w:rsid w:val="00C71489"/>
    <w:rsid w:val="00C73E04"/>
    <w:rsid w:val="00C7490C"/>
    <w:rsid w:val="00C752BD"/>
    <w:rsid w:val="00C82B23"/>
    <w:rsid w:val="00C82F32"/>
    <w:rsid w:val="00C82FA1"/>
    <w:rsid w:val="00C840F2"/>
    <w:rsid w:val="00C84563"/>
    <w:rsid w:val="00C85970"/>
    <w:rsid w:val="00C85F0D"/>
    <w:rsid w:val="00C8615C"/>
    <w:rsid w:val="00C8711F"/>
    <w:rsid w:val="00C9143D"/>
    <w:rsid w:val="00C91E97"/>
    <w:rsid w:val="00C939EE"/>
    <w:rsid w:val="00C945A9"/>
    <w:rsid w:val="00C95125"/>
    <w:rsid w:val="00C95CD3"/>
    <w:rsid w:val="00C971D3"/>
    <w:rsid w:val="00CA03CD"/>
    <w:rsid w:val="00CA19C5"/>
    <w:rsid w:val="00CA2636"/>
    <w:rsid w:val="00CA2685"/>
    <w:rsid w:val="00CA3324"/>
    <w:rsid w:val="00CA438B"/>
    <w:rsid w:val="00CA520D"/>
    <w:rsid w:val="00CA680D"/>
    <w:rsid w:val="00CA6DFD"/>
    <w:rsid w:val="00CA6EBF"/>
    <w:rsid w:val="00CB037C"/>
    <w:rsid w:val="00CB0759"/>
    <w:rsid w:val="00CB0BD7"/>
    <w:rsid w:val="00CB0D67"/>
    <w:rsid w:val="00CB1531"/>
    <w:rsid w:val="00CB1679"/>
    <w:rsid w:val="00CB1763"/>
    <w:rsid w:val="00CB1D92"/>
    <w:rsid w:val="00CB31CD"/>
    <w:rsid w:val="00CB373F"/>
    <w:rsid w:val="00CB4443"/>
    <w:rsid w:val="00CB4E26"/>
    <w:rsid w:val="00CB5D45"/>
    <w:rsid w:val="00CB6610"/>
    <w:rsid w:val="00CB6D6E"/>
    <w:rsid w:val="00CC0023"/>
    <w:rsid w:val="00CC0511"/>
    <w:rsid w:val="00CC0FD7"/>
    <w:rsid w:val="00CC1AD3"/>
    <w:rsid w:val="00CC2B15"/>
    <w:rsid w:val="00CC3155"/>
    <w:rsid w:val="00CC3307"/>
    <w:rsid w:val="00CC36FD"/>
    <w:rsid w:val="00CC3A1F"/>
    <w:rsid w:val="00CC3EE0"/>
    <w:rsid w:val="00CC608A"/>
    <w:rsid w:val="00CD059D"/>
    <w:rsid w:val="00CD15F9"/>
    <w:rsid w:val="00CD1635"/>
    <w:rsid w:val="00CD3064"/>
    <w:rsid w:val="00CD30C7"/>
    <w:rsid w:val="00CD58A4"/>
    <w:rsid w:val="00CD5C07"/>
    <w:rsid w:val="00CD5EBB"/>
    <w:rsid w:val="00CD68FA"/>
    <w:rsid w:val="00CD6E83"/>
    <w:rsid w:val="00CD7350"/>
    <w:rsid w:val="00CD75BD"/>
    <w:rsid w:val="00CD7AB7"/>
    <w:rsid w:val="00CE08E5"/>
    <w:rsid w:val="00CE2382"/>
    <w:rsid w:val="00CE26BC"/>
    <w:rsid w:val="00CE3723"/>
    <w:rsid w:val="00CE5FE9"/>
    <w:rsid w:val="00CE7CFB"/>
    <w:rsid w:val="00CF0DF7"/>
    <w:rsid w:val="00CF2426"/>
    <w:rsid w:val="00CF3730"/>
    <w:rsid w:val="00CF3FD0"/>
    <w:rsid w:val="00CF41A8"/>
    <w:rsid w:val="00CF4D0F"/>
    <w:rsid w:val="00CF4D66"/>
    <w:rsid w:val="00CF4E9C"/>
    <w:rsid w:val="00CF5AE8"/>
    <w:rsid w:val="00CF5D39"/>
    <w:rsid w:val="00D00788"/>
    <w:rsid w:val="00D01407"/>
    <w:rsid w:val="00D03BDE"/>
    <w:rsid w:val="00D03CF9"/>
    <w:rsid w:val="00D03D07"/>
    <w:rsid w:val="00D071CD"/>
    <w:rsid w:val="00D07D72"/>
    <w:rsid w:val="00D10E5B"/>
    <w:rsid w:val="00D10F5B"/>
    <w:rsid w:val="00D11040"/>
    <w:rsid w:val="00D11C6B"/>
    <w:rsid w:val="00D12B29"/>
    <w:rsid w:val="00D1380A"/>
    <w:rsid w:val="00D158A9"/>
    <w:rsid w:val="00D163BB"/>
    <w:rsid w:val="00D16480"/>
    <w:rsid w:val="00D16F9A"/>
    <w:rsid w:val="00D17FAB"/>
    <w:rsid w:val="00D20000"/>
    <w:rsid w:val="00D20F96"/>
    <w:rsid w:val="00D2246E"/>
    <w:rsid w:val="00D23181"/>
    <w:rsid w:val="00D23891"/>
    <w:rsid w:val="00D23A07"/>
    <w:rsid w:val="00D24532"/>
    <w:rsid w:val="00D2489E"/>
    <w:rsid w:val="00D25443"/>
    <w:rsid w:val="00D265FD"/>
    <w:rsid w:val="00D27486"/>
    <w:rsid w:val="00D336C0"/>
    <w:rsid w:val="00D33F36"/>
    <w:rsid w:val="00D35E3C"/>
    <w:rsid w:val="00D3667C"/>
    <w:rsid w:val="00D37C3C"/>
    <w:rsid w:val="00D37E6B"/>
    <w:rsid w:val="00D402C0"/>
    <w:rsid w:val="00D40D72"/>
    <w:rsid w:val="00D4231E"/>
    <w:rsid w:val="00D42847"/>
    <w:rsid w:val="00D42929"/>
    <w:rsid w:val="00D42D93"/>
    <w:rsid w:val="00D43076"/>
    <w:rsid w:val="00D43FAA"/>
    <w:rsid w:val="00D468ED"/>
    <w:rsid w:val="00D47400"/>
    <w:rsid w:val="00D51547"/>
    <w:rsid w:val="00D52684"/>
    <w:rsid w:val="00D52F37"/>
    <w:rsid w:val="00D53808"/>
    <w:rsid w:val="00D55441"/>
    <w:rsid w:val="00D55544"/>
    <w:rsid w:val="00D5582F"/>
    <w:rsid w:val="00D55C35"/>
    <w:rsid w:val="00D56CB8"/>
    <w:rsid w:val="00D57C62"/>
    <w:rsid w:val="00D6009B"/>
    <w:rsid w:val="00D602F3"/>
    <w:rsid w:val="00D6063A"/>
    <w:rsid w:val="00D60B24"/>
    <w:rsid w:val="00D61073"/>
    <w:rsid w:val="00D61200"/>
    <w:rsid w:val="00D61508"/>
    <w:rsid w:val="00D61649"/>
    <w:rsid w:val="00D6261D"/>
    <w:rsid w:val="00D63026"/>
    <w:rsid w:val="00D63A87"/>
    <w:rsid w:val="00D6425D"/>
    <w:rsid w:val="00D64267"/>
    <w:rsid w:val="00D6512D"/>
    <w:rsid w:val="00D65175"/>
    <w:rsid w:val="00D655E7"/>
    <w:rsid w:val="00D66642"/>
    <w:rsid w:val="00D70507"/>
    <w:rsid w:val="00D70508"/>
    <w:rsid w:val="00D70A0B"/>
    <w:rsid w:val="00D710CC"/>
    <w:rsid w:val="00D71456"/>
    <w:rsid w:val="00D714D0"/>
    <w:rsid w:val="00D718C9"/>
    <w:rsid w:val="00D71919"/>
    <w:rsid w:val="00D73333"/>
    <w:rsid w:val="00D74536"/>
    <w:rsid w:val="00D749EE"/>
    <w:rsid w:val="00D76340"/>
    <w:rsid w:val="00D765E0"/>
    <w:rsid w:val="00D76CB7"/>
    <w:rsid w:val="00D7745D"/>
    <w:rsid w:val="00D776AF"/>
    <w:rsid w:val="00D77BF8"/>
    <w:rsid w:val="00D77D33"/>
    <w:rsid w:val="00D80625"/>
    <w:rsid w:val="00D810F0"/>
    <w:rsid w:val="00D81518"/>
    <w:rsid w:val="00D81737"/>
    <w:rsid w:val="00D81B28"/>
    <w:rsid w:val="00D82D30"/>
    <w:rsid w:val="00D8369D"/>
    <w:rsid w:val="00D8533E"/>
    <w:rsid w:val="00D8552D"/>
    <w:rsid w:val="00D87844"/>
    <w:rsid w:val="00D91262"/>
    <w:rsid w:val="00D93A53"/>
    <w:rsid w:val="00D96B22"/>
    <w:rsid w:val="00DA11C4"/>
    <w:rsid w:val="00DA1A17"/>
    <w:rsid w:val="00DA26A0"/>
    <w:rsid w:val="00DA4D86"/>
    <w:rsid w:val="00DA6716"/>
    <w:rsid w:val="00DA7706"/>
    <w:rsid w:val="00DA776D"/>
    <w:rsid w:val="00DB2050"/>
    <w:rsid w:val="00DB2E4C"/>
    <w:rsid w:val="00DB30A7"/>
    <w:rsid w:val="00DB4193"/>
    <w:rsid w:val="00DB510D"/>
    <w:rsid w:val="00DB553A"/>
    <w:rsid w:val="00DB6D3E"/>
    <w:rsid w:val="00DB6E71"/>
    <w:rsid w:val="00DC0336"/>
    <w:rsid w:val="00DC2C84"/>
    <w:rsid w:val="00DC3A69"/>
    <w:rsid w:val="00DC4C2A"/>
    <w:rsid w:val="00DC567B"/>
    <w:rsid w:val="00DC6297"/>
    <w:rsid w:val="00DC6599"/>
    <w:rsid w:val="00DC68DE"/>
    <w:rsid w:val="00DC7B34"/>
    <w:rsid w:val="00DD0BDD"/>
    <w:rsid w:val="00DD0F35"/>
    <w:rsid w:val="00DD1D32"/>
    <w:rsid w:val="00DD2A11"/>
    <w:rsid w:val="00DD2E82"/>
    <w:rsid w:val="00DD3179"/>
    <w:rsid w:val="00DD3B48"/>
    <w:rsid w:val="00DD3C51"/>
    <w:rsid w:val="00DD48C6"/>
    <w:rsid w:val="00DD4D02"/>
    <w:rsid w:val="00DD53E0"/>
    <w:rsid w:val="00DD5BD3"/>
    <w:rsid w:val="00DD62CB"/>
    <w:rsid w:val="00DD6704"/>
    <w:rsid w:val="00DD69F4"/>
    <w:rsid w:val="00DD791A"/>
    <w:rsid w:val="00DE05B4"/>
    <w:rsid w:val="00DE0881"/>
    <w:rsid w:val="00DE1224"/>
    <w:rsid w:val="00DE12ED"/>
    <w:rsid w:val="00DE13BE"/>
    <w:rsid w:val="00DE2227"/>
    <w:rsid w:val="00DE23D4"/>
    <w:rsid w:val="00DE2A28"/>
    <w:rsid w:val="00DE3E74"/>
    <w:rsid w:val="00DE4773"/>
    <w:rsid w:val="00DE5674"/>
    <w:rsid w:val="00DE5C3D"/>
    <w:rsid w:val="00DE5C9A"/>
    <w:rsid w:val="00DE6910"/>
    <w:rsid w:val="00DE74D2"/>
    <w:rsid w:val="00DE787D"/>
    <w:rsid w:val="00DE7C33"/>
    <w:rsid w:val="00DF0153"/>
    <w:rsid w:val="00DF03D3"/>
    <w:rsid w:val="00DF0430"/>
    <w:rsid w:val="00DF065F"/>
    <w:rsid w:val="00DF144F"/>
    <w:rsid w:val="00DF1864"/>
    <w:rsid w:val="00DF1BA8"/>
    <w:rsid w:val="00DF294B"/>
    <w:rsid w:val="00DF31E4"/>
    <w:rsid w:val="00DF325D"/>
    <w:rsid w:val="00DF3293"/>
    <w:rsid w:val="00DF331C"/>
    <w:rsid w:val="00DF399A"/>
    <w:rsid w:val="00DF51C0"/>
    <w:rsid w:val="00DF58A4"/>
    <w:rsid w:val="00DF6607"/>
    <w:rsid w:val="00DF7104"/>
    <w:rsid w:val="00DF7263"/>
    <w:rsid w:val="00E009BC"/>
    <w:rsid w:val="00E019B5"/>
    <w:rsid w:val="00E03A26"/>
    <w:rsid w:val="00E04E21"/>
    <w:rsid w:val="00E04FEF"/>
    <w:rsid w:val="00E0557C"/>
    <w:rsid w:val="00E076A5"/>
    <w:rsid w:val="00E079E3"/>
    <w:rsid w:val="00E10096"/>
    <w:rsid w:val="00E142E0"/>
    <w:rsid w:val="00E150D6"/>
    <w:rsid w:val="00E15C65"/>
    <w:rsid w:val="00E15D45"/>
    <w:rsid w:val="00E17744"/>
    <w:rsid w:val="00E17A71"/>
    <w:rsid w:val="00E20096"/>
    <w:rsid w:val="00E202FF"/>
    <w:rsid w:val="00E21E81"/>
    <w:rsid w:val="00E228F4"/>
    <w:rsid w:val="00E2563C"/>
    <w:rsid w:val="00E259BE"/>
    <w:rsid w:val="00E25BB0"/>
    <w:rsid w:val="00E25ED0"/>
    <w:rsid w:val="00E25F0B"/>
    <w:rsid w:val="00E32454"/>
    <w:rsid w:val="00E32D71"/>
    <w:rsid w:val="00E33A97"/>
    <w:rsid w:val="00E343DF"/>
    <w:rsid w:val="00E346EB"/>
    <w:rsid w:val="00E34959"/>
    <w:rsid w:val="00E34E23"/>
    <w:rsid w:val="00E36250"/>
    <w:rsid w:val="00E3641E"/>
    <w:rsid w:val="00E36AD3"/>
    <w:rsid w:val="00E379B4"/>
    <w:rsid w:val="00E37C75"/>
    <w:rsid w:val="00E40DF9"/>
    <w:rsid w:val="00E42565"/>
    <w:rsid w:val="00E466EE"/>
    <w:rsid w:val="00E46AE9"/>
    <w:rsid w:val="00E47E35"/>
    <w:rsid w:val="00E506D5"/>
    <w:rsid w:val="00E50A87"/>
    <w:rsid w:val="00E50D8E"/>
    <w:rsid w:val="00E5338F"/>
    <w:rsid w:val="00E536DA"/>
    <w:rsid w:val="00E5421E"/>
    <w:rsid w:val="00E5537F"/>
    <w:rsid w:val="00E61D7D"/>
    <w:rsid w:val="00E62540"/>
    <w:rsid w:val="00E62838"/>
    <w:rsid w:val="00E62EF9"/>
    <w:rsid w:val="00E637D9"/>
    <w:rsid w:val="00E645D3"/>
    <w:rsid w:val="00E6493C"/>
    <w:rsid w:val="00E662CC"/>
    <w:rsid w:val="00E665FC"/>
    <w:rsid w:val="00E6660A"/>
    <w:rsid w:val="00E67748"/>
    <w:rsid w:val="00E71003"/>
    <w:rsid w:val="00E7175B"/>
    <w:rsid w:val="00E71925"/>
    <w:rsid w:val="00E72C0A"/>
    <w:rsid w:val="00E72DE8"/>
    <w:rsid w:val="00E73C3F"/>
    <w:rsid w:val="00E764EF"/>
    <w:rsid w:val="00E81B07"/>
    <w:rsid w:val="00E82F66"/>
    <w:rsid w:val="00E8326D"/>
    <w:rsid w:val="00E83F5D"/>
    <w:rsid w:val="00E84704"/>
    <w:rsid w:val="00E84937"/>
    <w:rsid w:val="00E8494F"/>
    <w:rsid w:val="00E84A0A"/>
    <w:rsid w:val="00E8583A"/>
    <w:rsid w:val="00E87557"/>
    <w:rsid w:val="00E87D74"/>
    <w:rsid w:val="00E91C7E"/>
    <w:rsid w:val="00E940AB"/>
    <w:rsid w:val="00E94B67"/>
    <w:rsid w:val="00E95946"/>
    <w:rsid w:val="00E96D00"/>
    <w:rsid w:val="00EA0226"/>
    <w:rsid w:val="00EA1205"/>
    <w:rsid w:val="00EA14E0"/>
    <w:rsid w:val="00EA154C"/>
    <w:rsid w:val="00EA1B4A"/>
    <w:rsid w:val="00EA1FD3"/>
    <w:rsid w:val="00EA2C04"/>
    <w:rsid w:val="00EA3294"/>
    <w:rsid w:val="00EA3922"/>
    <w:rsid w:val="00EA3B9C"/>
    <w:rsid w:val="00EA5DF7"/>
    <w:rsid w:val="00EA6A47"/>
    <w:rsid w:val="00EA71F0"/>
    <w:rsid w:val="00EA7CEF"/>
    <w:rsid w:val="00EB19D8"/>
    <w:rsid w:val="00EB21CF"/>
    <w:rsid w:val="00EB2900"/>
    <w:rsid w:val="00EB2D21"/>
    <w:rsid w:val="00EB5334"/>
    <w:rsid w:val="00EB5B28"/>
    <w:rsid w:val="00EB5E15"/>
    <w:rsid w:val="00EB64A5"/>
    <w:rsid w:val="00EB6DF2"/>
    <w:rsid w:val="00EB735B"/>
    <w:rsid w:val="00EB75C9"/>
    <w:rsid w:val="00EB771C"/>
    <w:rsid w:val="00EC2ABD"/>
    <w:rsid w:val="00EC30E1"/>
    <w:rsid w:val="00EC69A8"/>
    <w:rsid w:val="00EC75C3"/>
    <w:rsid w:val="00ED0873"/>
    <w:rsid w:val="00ED2981"/>
    <w:rsid w:val="00ED2B63"/>
    <w:rsid w:val="00ED2D03"/>
    <w:rsid w:val="00ED2F08"/>
    <w:rsid w:val="00ED44EB"/>
    <w:rsid w:val="00ED4CB9"/>
    <w:rsid w:val="00ED5CEB"/>
    <w:rsid w:val="00ED60A7"/>
    <w:rsid w:val="00ED676D"/>
    <w:rsid w:val="00ED6AE7"/>
    <w:rsid w:val="00ED6E27"/>
    <w:rsid w:val="00ED79B6"/>
    <w:rsid w:val="00ED79D4"/>
    <w:rsid w:val="00ED7D91"/>
    <w:rsid w:val="00EE02CC"/>
    <w:rsid w:val="00EE1736"/>
    <w:rsid w:val="00EE242C"/>
    <w:rsid w:val="00EE442E"/>
    <w:rsid w:val="00EE4B0E"/>
    <w:rsid w:val="00EE5669"/>
    <w:rsid w:val="00EE5C01"/>
    <w:rsid w:val="00EE6A7F"/>
    <w:rsid w:val="00EE772D"/>
    <w:rsid w:val="00EF06BE"/>
    <w:rsid w:val="00EF0AA6"/>
    <w:rsid w:val="00EF0FBD"/>
    <w:rsid w:val="00EF1023"/>
    <w:rsid w:val="00EF27BD"/>
    <w:rsid w:val="00EF3069"/>
    <w:rsid w:val="00EF387B"/>
    <w:rsid w:val="00EF40FB"/>
    <w:rsid w:val="00EF4769"/>
    <w:rsid w:val="00EF5B9B"/>
    <w:rsid w:val="00F0009F"/>
    <w:rsid w:val="00F00102"/>
    <w:rsid w:val="00F0017A"/>
    <w:rsid w:val="00F00B33"/>
    <w:rsid w:val="00F0114E"/>
    <w:rsid w:val="00F0199A"/>
    <w:rsid w:val="00F021AD"/>
    <w:rsid w:val="00F02A72"/>
    <w:rsid w:val="00F02DED"/>
    <w:rsid w:val="00F03286"/>
    <w:rsid w:val="00F033A4"/>
    <w:rsid w:val="00F03625"/>
    <w:rsid w:val="00F038EF"/>
    <w:rsid w:val="00F03B77"/>
    <w:rsid w:val="00F05ED4"/>
    <w:rsid w:val="00F07821"/>
    <w:rsid w:val="00F07B4E"/>
    <w:rsid w:val="00F11420"/>
    <w:rsid w:val="00F11FEE"/>
    <w:rsid w:val="00F13A60"/>
    <w:rsid w:val="00F13F27"/>
    <w:rsid w:val="00F141C4"/>
    <w:rsid w:val="00F14E81"/>
    <w:rsid w:val="00F161A0"/>
    <w:rsid w:val="00F162A4"/>
    <w:rsid w:val="00F163CE"/>
    <w:rsid w:val="00F17F01"/>
    <w:rsid w:val="00F2046C"/>
    <w:rsid w:val="00F22B5D"/>
    <w:rsid w:val="00F235A4"/>
    <w:rsid w:val="00F237F7"/>
    <w:rsid w:val="00F237F8"/>
    <w:rsid w:val="00F2436D"/>
    <w:rsid w:val="00F2437C"/>
    <w:rsid w:val="00F24624"/>
    <w:rsid w:val="00F24B68"/>
    <w:rsid w:val="00F25277"/>
    <w:rsid w:val="00F25520"/>
    <w:rsid w:val="00F27226"/>
    <w:rsid w:val="00F27228"/>
    <w:rsid w:val="00F273FF"/>
    <w:rsid w:val="00F27C41"/>
    <w:rsid w:val="00F27E74"/>
    <w:rsid w:val="00F30217"/>
    <w:rsid w:val="00F30ACD"/>
    <w:rsid w:val="00F30F93"/>
    <w:rsid w:val="00F3199A"/>
    <w:rsid w:val="00F321B4"/>
    <w:rsid w:val="00F325D5"/>
    <w:rsid w:val="00F34BFC"/>
    <w:rsid w:val="00F35980"/>
    <w:rsid w:val="00F35A9D"/>
    <w:rsid w:val="00F36896"/>
    <w:rsid w:val="00F36A05"/>
    <w:rsid w:val="00F36A82"/>
    <w:rsid w:val="00F376DE"/>
    <w:rsid w:val="00F3784D"/>
    <w:rsid w:val="00F40EE4"/>
    <w:rsid w:val="00F4334A"/>
    <w:rsid w:val="00F44DF5"/>
    <w:rsid w:val="00F45FDA"/>
    <w:rsid w:val="00F50447"/>
    <w:rsid w:val="00F5211E"/>
    <w:rsid w:val="00F52DF5"/>
    <w:rsid w:val="00F53858"/>
    <w:rsid w:val="00F53B94"/>
    <w:rsid w:val="00F53BE9"/>
    <w:rsid w:val="00F55277"/>
    <w:rsid w:val="00F55A69"/>
    <w:rsid w:val="00F56CAB"/>
    <w:rsid w:val="00F56D8B"/>
    <w:rsid w:val="00F57A20"/>
    <w:rsid w:val="00F61366"/>
    <w:rsid w:val="00F61A47"/>
    <w:rsid w:val="00F61DDF"/>
    <w:rsid w:val="00F62979"/>
    <w:rsid w:val="00F641EC"/>
    <w:rsid w:val="00F64380"/>
    <w:rsid w:val="00F64926"/>
    <w:rsid w:val="00F65F8C"/>
    <w:rsid w:val="00F66602"/>
    <w:rsid w:val="00F66CBF"/>
    <w:rsid w:val="00F671CE"/>
    <w:rsid w:val="00F6771C"/>
    <w:rsid w:val="00F7002A"/>
    <w:rsid w:val="00F71115"/>
    <w:rsid w:val="00F71415"/>
    <w:rsid w:val="00F729BE"/>
    <w:rsid w:val="00F72BB9"/>
    <w:rsid w:val="00F74085"/>
    <w:rsid w:val="00F75532"/>
    <w:rsid w:val="00F75795"/>
    <w:rsid w:val="00F76BD7"/>
    <w:rsid w:val="00F774B1"/>
    <w:rsid w:val="00F77BE8"/>
    <w:rsid w:val="00F80B8A"/>
    <w:rsid w:val="00F8107F"/>
    <w:rsid w:val="00F81260"/>
    <w:rsid w:val="00F818F3"/>
    <w:rsid w:val="00F819EA"/>
    <w:rsid w:val="00F83AC0"/>
    <w:rsid w:val="00F83DAE"/>
    <w:rsid w:val="00F84B6E"/>
    <w:rsid w:val="00F84CBF"/>
    <w:rsid w:val="00F85283"/>
    <w:rsid w:val="00F85AA7"/>
    <w:rsid w:val="00F860E7"/>
    <w:rsid w:val="00F86DB3"/>
    <w:rsid w:val="00F8711A"/>
    <w:rsid w:val="00F91322"/>
    <w:rsid w:val="00F920A6"/>
    <w:rsid w:val="00F92952"/>
    <w:rsid w:val="00F931B3"/>
    <w:rsid w:val="00F931C9"/>
    <w:rsid w:val="00F93563"/>
    <w:rsid w:val="00F935BA"/>
    <w:rsid w:val="00F938B7"/>
    <w:rsid w:val="00F939F5"/>
    <w:rsid w:val="00F97642"/>
    <w:rsid w:val="00FA0018"/>
    <w:rsid w:val="00FA0557"/>
    <w:rsid w:val="00FA0670"/>
    <w:rsid w:val="00FA09F1"/>
    <w:rsid w:val="00FA16DE"/>
    <w:rsid w:val="00FA2681"/>
    <w:rsid w:val="00FA2868"/>
    <w:rsid w:val="00FA2F46"/>
    <w:rsid w:val="00FA45B5"/>
    <w:rsid w:val="00FA5355"/>
    <w:rsid w:val="00FA5A79"/>
    <w:rsid w:val="00FA6F3F"/>
    <w:rsid w:val="00FB12A8"/>
    <w:rsid w:val="00FB1412"/>
    <w:rsid w:val="00FB258A"/>
    <w:rsid w:val="00FB2EDC"/>
    <w:rsid w:val="00FB3D08"/>
    <w:rsid w:val="00FB4720"/>
    <w:rsid w:val="00FB6984"/>
    <w:rsid w:val="00FB7DD2"/>
    <w:rsid w:val="00FC01E6"/>
    <w:rsid w:val="00FC2419"/>
    <w:rsid w:val="00FC31A4"/>
    <w:rsid w:val="00FC329C"/>
    <w:rsid w:val="00FC3EF0"/>
    <w:rsid w:val="00FC4707"/>
    <w:rsid w:val="00FC4DA4"/>
    <w:rsid w:val="00FC6CA2"/>
    <w:rsid w:val="00FC7453"/>
    <w:rsid w:val="00FC7883"/>
    <w:rsid w:val="00FD160E"/>
    <w:rsid w:val="00FD1AFD"/>
    <w:rsid w:val="00FD1F03"/>
    <w:rsid w:val="00FD31FD"/>
    <w:rsid w:val="00FD3476"/>
    <w:rsid w:val="00FD3B3D"/>
    <w:rsid w:val="00FD3E33"/>
    <w:rsid w:val="00FD419A"/>
    <w:rsid w:val="00FD4641"/>
    <w:rsid w:val="00FD47F7"/>
    <w:rsid w:val="00FD4BCC"/>
    <w:rsid w:val="00FD52B0"/>
    <w:rsid w:val="00FD55D0"/>
    <w:rsid w:val="00FD5E4E"/>
    <w:rsid w:val="00FD5FBA"/>
    <w:rsid w:val="00FD69A4"/>
    <w:rsid w:val="00FD6FA1"/>
    <w:rsid w:val="00FE021F"/>
    <w:rsid w:val="00FE0E4A"/>
    <w:rsid w:val="00FE1A65"/>
    <w:rsid w:val="00FE26A1"/>
    <w:rsid w:val="00FE2E8D"/>
    <w:rsid w:val="00FE3DA0"/>
    <w:rsid w:val="00FE449B"/>
    <w:rsid w:val="00FE46B6"/>
    <w:rsid w:val="00FE4882"/>
    <w:rsid w:val="00FE49BE"/>
    <w:rsid w:val="00FE4A80"/>
    <w:rsid w:val="00FE4DEB"/>
    <w:rsid w:val="00FE5750"/>
    <w:rsid w:val="00FE63B7"/>
    <w:rsid w:val="00FE6612"/>
    <w:rsid w:val="00FF0715"/>
    <w:rsid w:val="00FF211B"/>
    <w:rsid w:val="00FF3972"/>
    <w:rsid w:val="00FF44EE"/>
    <w:rsid w:val="00FF4C76"/>
    <w:rsid w:val="00FF4E12"/>
    <w:rsid w:val="00FF4F99"/>
    <w:rsid w:val="00FF58B1"/>
    <w:rsid w:val="00FF5A99"/>
    <w:rsid w:val="00FF6094"/>
    <w:rsid w:val="00FF688F"/>
    <w:rsid w:val="00FF7430"/>
    <w:rsid w:val="00FF79B9"/>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9FCF0C"/>
  <w15:docId w15:val="{4C987A5F-89C4-4EB7-9AF9-2E860470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BF"/>
    <w:pPr>
      <w:jc w:val="both"/>
    </w:pPr>
    <w:rPr>
      <w:rFonts w:ascii="Bookman Old Style" w:eastAsia="Times New Roman" w:hAnsi="Bookman Old Style"/>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833B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262CBF"/>
    <w:pPr>
      <w:keepNext/>
      <w:numPr>
        <w:numId w:val="2"/>
      </w:numPr>
      <w:spacing w:before="360" w:after="240"/>
      <w:outlineLvl w:val="4"/>
    </w:pPr>
    <w:rPr>
      <w:rFonts w:cs="Arial"/>
      <w:b/>
      <w:snapToGrid w:val="0"/>
      <w:color w:val="000000"/>
      <w:spacing w:val="20"/>
      <w:lang w:val="es-CO"/>
    </w:rPr>
  </w:style>
  <w:style w:type="paragraph" w:styleId="Ttulo7">
    <w:name w:val="heading 7"/>
    <w:basedOn w:val="Normal"/>
    <w:next w:val="Normal"/>
    <w:link w:val="Ttulo7Car"/>
    <w:uiPriority w:val="9"/>
    <w:semiHidden/>
    <w:unhideWhenUsed/>
    <w:qFormat/>
    <w:rsid w:val="00102E0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2Car">
    <w:name w:val="Título 2 Car"/>
    <w:basedOn w:val="Fuentedeprrafopredeter"/>
    <w:link w:val="Ttulo2"/>
    <w:uiPriority w:val="9"/>
    <w:semiHidden/>
    <w:rsid w:val="00833BC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262CBF"/>
    <w:rPr>
      <w:rFonts w:ascii="Bookman Old Style" w:eastAsia="Times New Roman" w:hAnsi="Bookman Old Style" w:cs="Arial"/>
      <w:b/>
      <w:snapToGrid w:val="0"/>
      <w:color w:val="000000"/>
      <w:spacing w:val="20"/>
      <w:sz w:val="24"/>
      <w:szCs w:val="24"/>
      <w:lang w:eastAsia="es-ES"/>
    </w:rPr>
  </w:style>
  <w:style w:type="character" w:customStyle="1" w:styleId="Ttulo7Car">
    <w:name w:val="Título 7 Car"/>
    <w:basedOn w:val="Fuentedeprrafopredeter"/>
    <w:link w:val="Ttulo7"/>
    <w:uiPriority w:val="9"/>
    <w:semiHidden/>
    <w:rsid w:val="00102E06"/>
    <w:rPr>
      <w:rFonts w:asciiTheme="majorHAnsi" w:eastAsiaTheme="majorEastAsia" w:hAnsiTheme="majorHAnsi" w:cstheme="majorBidi"/>
      <w:i/>
      <w:iCs/>
      <w:color w:val="243F60" w:themeColor="accent1" w:themeShade="7F"/>
      <w:sz w:val="24"/>
      <w:szCs w:val="24"/>
      <w:lang w:val="es-ES"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DC6599"/>
    <w:pPr>
      <w:numPr>
        <w:numId w:val="3"/>
      </w:numPr>
    </w:pPr>
    <w:rPr>
      <w:spacing w:val="-3"/>
      <w:szCs w:val="20"/>
      <w:lang w:val="es-CO"/>
    </w:rPr>
  </w:style>
  <w:style w:type="character" w:customStyle="1" w:styleId="PrrafodelistaCar">
    <w:name w:val="Párrafo de lista Car"/>
    <w:link w:val="Prrafodelista"/>
    <w:uiPriority w:val="34"/>
    <w:rsid w:val="00DC6599"/>
    <w:rPr>
      <w:rFonts w:ascii="Bookman Old Style" w:eastAsia="Times New Roman" w:hAnsi="Bookman Old Style"/>
      <w:spacing w:val="-3"/>
      <w:sz w:val="24"/>
      <w:lang w:eastAsia="es-ES"/>
    </w:rPr>
  </w:style>
  <w:style w:type="paragraph" w:styleId="Textodebloque">
    <w:name w:val="Block Text"/>
    <w:basedOn w:val="Normal"/>
    <w:uiPriority w:val="99"/>
    <w:rsid w:val="00445D79"/>
    <w:pPr>
      <w:suppressAutoHyphens/>
      <w:spacing w:after="240"/>
      <w:ind w:right="788"/>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r,texto de nota al "/>
    <w:basedOn w:val="Normal"/>
    <w:link w:val="TextonotapieCar"/>
    <w:rsid w:val="00445D79"/>
    <w:rPr>
      <w:rFonts w:eastAsia="SimSun"/>
      <w:sz w:val="20"/>
      <w:szCs w:val="20"/>
      <w:lang w:val="es-CO" w:eastAsia="zh-CN"/>
    </w:rPr>
  </w:style>
  <w:style w:type="character" w:customStyle="1" w:styleId="TextonotapieCar">
    <w:name w:val="Texto nota pie Car"/>
    <w:aliases w:val="Footnote Text Char Char Char Char Char Car1,Footnote Text Char Char Char Char Car1,Footnote reference Car1,FA Fu Car1,texto de nota al pie Car1,Footnote Text Char Char Char Car1,Footnote Text Char Car1,texto de nota al  Car1"/>
    <w:link w:val="Textonotapie"/>
    <w:rsid w:val="00445D79"/>
    <w:rPr>
      <w:rFonts w:ascii="Times New Roman" w:eastAsia="SimSun" w:hAnsi="Times New Roman" w:cs="Times New Roman"/>
      <w:sz w:val="20"/>
      <w:szCs w:val="20"/>
      <w:lang w:eastAsia="zh-CN"/>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fr,Ref"/>
    <w:rsid w:val="00445D79"/>
    <w:rPr>
      <w:vertAlign w:val="superscript"/>
    </w:rPr>
  </w:style>
  <w:style w:type="paragraph" w:styleId="NormalWeb">
    <w:name w:val="Normal (Web)"/>
    <w:basedOn w:val="Normal"/>
    <w:uiPriority w:val="99"/>
    <w:unhideWhenUsed/>
    <w:rsid w:val="009C4FE5"/>
    <w:pPr>
      <w:spacing w:before="100" w:beforeAutospacing="1" w:after="100" w:afterAutospacing="1"/>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
      </w:numPr>
      <w:adjustRightInd w:val="0"/>
      <w:spacing w:before="240" w:after="240"/>
      <w:textAlignment w:val="baseline"/>
      <w:outlineLvl w:val="0"/>
    </w:pPr>
    <w:rPr>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Subttulo">
    <w:name w:val="Subtitle"/>
    <w:basedOn w:val="Ttulo5"/>
    <w:next w:val="Normal"/>
    <w:link w:val="SubttuloCar"/>
    <w:uiPriority w:val="11"/>
    <w:qFormat/>
    <w:rsid w:val="00262CBF"/>
    <w:pPr>
      <w:numPr>
        <w:numId w:val="0"/>
      </w:numPr>
      <w:jc w:val="center"/>
    </w:pPr>
  </w:style>
  <w:style w:type="character" w:customStyle="1" w:styleId="SubttuloCar">
    <w:name w:val="Subtítulo Car"/>
    <w:basedOn w:val="Fuentedeprrafopredeter"/>
    <w:link w:val="Subttulo"/>
    <w:uiPriority w:val="11"/>
    <w:rsid w:val="00262CBF"/>
    <w:rPr>
      <w:rFonts w:ascii="Bookman Old Style" w:eastAsia="Times New Roman" w:hAnsi="Bookman Old Style" w:cs="Arial"/>
      <w:b/>
      <w:snapToGrid w:val="0"/>
      <w:color w:val="000000"/>
      <w:spacing w:val="20"/>
      <w:sz w:val="24"/>
      <w:szCs w:val="24"/>
      <w:lang w:eastAsia="es-ES"/>
    </w:rPr>
  </w:style>
  <w:style w:type="paragraph" w:styleId="Cita">
    <w:name w:val="Quote"/>
    <w:basedOn w:val="Normal"/>
    <w:next w:val="Normal"/>
    <w:link w:val="CitaCar"/>
    <w:uiPriority w:val="29"/>
    <w:qFormat/>
    <w:rsid w:val="00F55A69"/>
    <w:pPr>
      <w:spacing w:before="120" w:after="120"/>
      <w:ind w:left="567" w:right="567"/>
    </w:pPr>
    <w:rPr>
      <w:i/>
      <w:iCs/>
      <w:color w:val="000000" w:themeColor="text1"/>
      <w:sz w:val="20"/>
    </w:rPr>
  </w:style>
  <w:style w:type="character" w:customStyle="1" w:styleId="CitaCar">
    <w:name w:val="Cita Car"/>
    <w:basedOn w:val="Fuentedeprrafopredeter"/>
    <w:link w:val="Cita"/>
    <w:uiPriority w:val="29"/>
    <w:rsid w:val="00F55A69"/>
    <w:rPr>
      <w:rFonts w:ascii="Bookman Old Style" w:eastAsia="Times New Roman" w:hAnsi="Bookman Old Style"/>
      <w:i/>
      <w:iCs/>
      <w:color w:val="000000" w:themeColor="text1"/>
      <w:szCs w:val="24"/>
      <w:lang w:val="es-ES" w:eastAsia="es-ES"/>
    </w:rPr>
  </w:style>
  <w:style w:type="character" w:customStyle="1" w:styleId="CharStyle3">
    <w:name w:val="Char Style 3"/>
    <w:basedOn w:val="Fuentedeprrafopredeter"/>
    <w:uiPriority w:val="99"/>
    <w:locked/>
    <w:rsid w:val="00AE74EA"/>
    <w:rPr>
      <w:rFonts w:ascii="Arial" w:hAnsi="Arial" w:cs="Arial"/>
      <w:i/>
      <w:iCs/>
      <w:sz w:val="23"/>
      <w:szCs w:val="23"/>
      <w:u w:val="none"/>
    </w:rPr>
  </w:style>
  <w:style w:type="character" w:customStyle="1" w:styleId="CharStyle5">
    <w:name w:val="Char Style 5"/>
    <w:basedOn w:val="CharStyle3"/>
    <w:uiPriority w:val="99"/>
    <w:rsid w:val="00AE74EA"/>
    <w:rPr>
      <w:rFonts w:ascii="Arial" w:hAnsi="Arial" w:cs="Arial"/>
      <w:b/>
      <w:bCs/>
      <w:i/>
      <w:iCs/>
      <w:sz w:val="23"/>
      <w:szCs w:val="23"/>
      <w:u w:val="none"/>
    </w:rPr>
  </w:style>
  <w:style w:type="character" w:customStyle="1" w:styleId="CharStyle24">
    <w:name w:val="Char Style 24"/>
    <w:basedOn w:val="Fuentedeprrafopredeter"/>
    <w:uiPriority w:val="99"/>
    <w:rsid w:val="00AE74EA"/>
    <w:rPr>
      <w:rFonts w:ascii="Arial" w:hAnsi="Arial" w:cs="Arial"/>
      <w:b/>
      <w:bCs/>
      <w:i/>
      <w:iCs/>
      <w:sz w:val="13"/>
      <w:szCs w:val="13"/>
      <w:u w:val="none"/>
    </w:rPr>
  </w:style>
  <w:style w:type="character" w:customStyle="1" w:styleId="CharStyle20">
    <w:name w:val="Char Style 20"/>
    <w:basedOn w:val="Fuentedeprrafopredeter"/>
    <w:link w:val="Style19"/>
    <w:uiPriority w:val="99"/>
    <w:locked/>
    <w:rsid w:val="00702F9A"/>
    <w:rPr>
      <w:rFonts w:ascii="Arial" w:hAnsi="Arial" w:cs="Arial"/>
      <w:sz w:val="30"/>
      <w:szCs w:val="30"/>
      <w:shd w:val="clear" w:color="auto" w:fill="FFFFFF"/>
    </w:rPr>
  </w:style>
  <w:style w:type="paragraph" w:customStyle="1" w:styleId="Style19">
    <w:name w:val="Style 19"/>
    <w:basedOn w:val="Normal"/>
    <w:link w:val="CharStyle20"/>
    <w:uiPriority w:val="99"/>
    <w:rsid w:val="00702F9A"/>
    <w:pPr>
      <w:widowControl w:val="0"/>
      <w:shd w:val="clear" w:color="auto" w:fill="FFFFFF"/>
      <w:spacing w:line="240" w:lineRule="atLeast"/>
      <w:ind w:hanging="380"/>
      <w:jc w:val="left"/>
    </w:pPr>
    <w:rPr>
      <w:rFonts w:ascii="Arial" w:eastAsia="Calibri" w:hAnsi="Arial" w:cs="Arial"/>
      <w:sz w:val="30"/>
      <w:szCs w:val="30"/>
      <w:lang w:val="es-CO" w:eastAsia="es-CO"/>
    </w:rPr>
  </w:style>
  <w:style w:type="character" w:customStyle="1" w:styleId="CharStyle86Exact">
    <w:name w:val="Char Style 86 Exact"/>
    <w:basedOn w:val="Fuentedeprrafopredeter"/>
    <w:link w:val="Style85"/>
    <w:uiPriority w:val="99"/>
    <w:locked/>
    <w:rsid w:val="00702F9A"/>
    <w:rPr>
      <w:rFonts w:ascii="Arial" w:hAnsi="Arial" w:cs="Arial"/>
      <w:b/>
      <w:bCs/>
      <w:spacing w:val="-3"/>
      <w:shd w:val="clear" w:color="auto" w:fill="FFFFFF"/>
    </w:rPr>
  </w:style>
  <w:style w:type="paragraph" w:customStyle="1" w:styleId="Style85">
    <w:name w:val="Style 85"/>
    <w:basedOn w:val="Normal"/>
    <w:link w:val="CharStyle86Exact"/>
    <w:uiPriority w:val="99"/>
    <w:rsid w:val="00702F9A"/>
    <w:pPr>
      <w:widowControl w:val="0"/>
      <w:shd w:val="clear" w:color="auto" w:fill="FFFFFF"/>
      <w:spacing w:after="60" w:line="240" w:lineRule="atLeast"/>
      <w:jc w:val="right"/>
    </w:pPr>
    <w:rPr>
      <w:rFonts w:ascii="Arial" w:eastAsia="Calibri" w:hAnsi="Arial" w:cs="Arial"/>
      <w:b/>
      <w:bCs/>
      <w:spacing w:val="-3"/>
      <w:sz w:val="20"/>
      <w:szCs w:val="20"/>
      <w:lang w:val="es-CO" w:eastAsia="es-CO"/>
    </w:rPr>
  </w:style>
  <w:style w:type="character" w:customStyle="1" w:styleId="CharStyle97Exact">
    <w:name w:val="Char Style 97 Exact"/>
    <w:basedOn w:val="Fuentedeprrafopredeter"/>
    <w:link w:val="Style96"/>
    <w:uiPriority w:val="99"/>
    <w:locked/>
    <w:rsid w:val="00702F9A"/>
    <w:rPr>
      <w:rFonts w:ascii="Arial" w:hAnsi="Arial" w:cs="Arial"/>
      <w:spacing w:val="-5"/>
      <w:sz w:val="22"/>
      <w:szCs w:val="22"/>
      <w:shd w:val="clear" w:color="auto" w:fill="FFFFFF"/>
    </w:rPr>
  </w:style>
  <w:style w:type="paragraph" w:customStyle="1" w:styleId="Style96">
    <w:name w:val="Style 96"/>
    <w:basedOn w:val="Normal"/>
    <w:link w:val="CharStyle97Exact"/>
    <w:uiPriority w:val="99"/>
    <w:rsid w:val="00702F9A"/>
    <w:pPr>
      <w:widowControl w:val="0"/>
      <w:shd w:val="clear" w:color="auto" w:fill="FFFFFF"/>
      <w:spacing w:line="360" w:lineRule="exact"/>
    </w:pPr>
    <w:rPr>
      <w:rFonts w:ascii="Arial" w:eastAsia="Calibri" w:hAnsi="Arial" w:cs="Arial"/>
      <w:spacing w:val="-5"/>
      <w:sz w:val="22"/>
      <w:szCs w:val="22"/>
      <w:lang w:val="es-CO" w:eastAsia="es-CO"/>
    </w:rPr>
  </w:style>
  <w:style w:type="character" w:customStyle="1" w:styleId="CharStyle100Exact">
    <w:name w:val="Char Style 100 Exact"/>
    <w:basedOn w:val="Fuentedeprrafopredeter"/>
    <w:uiPriority w:val="99"/>
    <w:rsid w:val="00702F9A"/>
    <w:rPr>
      <w:rFonts w:ascii="Arial" w:hAnsi="Arial" w:cs="Arial"/>
      <w:spacing w:val="-5"/>
      <w:sz w:val="22"/>
      <w:szCs w:val="22"/>
      <w:u w:val="none"/>
    </w:rPr>
  </w:style>
  <w:style w:type="character" w:customStyle="1" w:styleId="CharStyle4">
    <w:name w:val="Char Style 4"/>
    <w:basedOn w:val="CharStyle3"/>
    <w:uiPriority w:val="99"/>
    <w:rsid w:val="00FF211B"/>
    <w:rPr>
      <w:rFonts w:ascii="Arial" w:hAnsi="Arial" w:cs="Arial"/>
      <w:i/>
      <w:iCs/>
      <w:sz w:val="23"/>
      <w:szCs w:val="23"/>
      <w:u w:val="none"/>
    </w:rPr>
  </w:style>
  <w:style w:type="character" w:customStyle="1" w:styleId="CharStyle7">
    <w:name w:val="Char Style 7"/>
    <w:basedOn w:val="Fuentedeprrafopredeter"/>
    <w:link w:val="Style6"/>
    <w:uiPriority w:val="99"/>
    <w:rsid w:val="00FF211B"/>
    <w:rPr>
      <w:i/>
      <w:iCs/>
      <w:sz w:val="23"/>
      <w:szCs w:val="23"/>
      <w:shd w:val="clear" w:color="auto" w:fill="FFFFFF"/>
    </w:rPr>
  </w:style>
  <w:style w:type="paragraph" w:customStyle="1" w:styleId="Style6">
    <w:name w:val="Style 6"/>
    <w:basedOn w:val="Normal"/>
    <w:link w:val="CharStyle7"/>
    <w:uiPriority w:val="99"/>
    <w:rsid w:val="00FF211B"/>
    <w:pPr>
      <w:widowControl w:val="0"/>
      <w:shd w:val="clear" w:color="auto" w:fill="FFFFFF"/>
      <w:spacing w:before="300" w:after="480" w:line="273" w:lineRule="exact"/>
      <w:ind w:hanging="360"/>
    </w:pPr>
    <w:rPr>
      <w:rFonts w:ascii="Calibri" w:eastAsia="Calibri" w:hAnsi="Calibri"/>
      <w:i/>
      <w:iCs/>
      <w:sz w:val="23"/>
      <w:szCs w:val="23"/>
      <w:lang w:val="es-CO" w:eastAsia="es-CO"/>
    </w:rPr>
  </w:style>
  <w:style w:type="character" w:customStyle="1" w:styleId="CharStyle8">
    <w:name w:val="Char Style 8"/>
    <w:basedOn w:val="CharStyle7"/>
    <w:uiPriority w:val="99"/>
    <w:rsid w:val="00FF211B"/>
    <w:rPr>
      <w:i w:val="0"/>
      <w:iCs w:val="0"/>
      <w:sz w:val="23"/>
      <w:szCs w:val="23"/>
      <w:shd w:val="clear" w:color="auto" w:fill="FFFFFF"/>
    </w:rPr>
  </w:style>
  <w:style w:type="character" w:customStyle="1" w:styleId="CharStyle10">
    <w:name w:val="Char Style 10"/>
    <w:basedOn w:val="CharStyle3"/>
    <w:uiPriority w:val="99"/>
    <w:rsid w:val="00FF211B"/>
    <w:rPr>
      <w:rFonts w:ascii="Arial" w:hAnsi="Arial" w:cs="Arial"/>
      <w:b/>
      <w:bCs/>
      <w:i w:val="0"/>
      <w:iCs w:val="0"/>
      <w:sz w:val="24"/>
      <w:szCs w:val="24"/>
      <w:u w:val="none"/>
    </w:rPr>
  </w:style>
  <w:style w:type="character" w:customStyle="1" w:styleId="CharStyle11">
    <w:name w:val="Char Style 11"/>
    <w:basedOn w:val="CharStyle3"/>
    <w:uiPriority w:val="99"/>
    <w:rsid w:val="009641D7"/>
    <w:rPr>
      <w:rFonts w:ascii="Arial" w:hAnsi="Arial" w:cs="Arial"/>
      <w:b/>
      <w:bCs/>
      <w:i w:val="0"/>
      <w:iCs w:val="0"/>
      <w:sz w:val="16"/>
      <w:szCs w:val="16"/>
      <w:u w:val="none"/>
    </w:rPr>
  </w:style>
  <w:style w:type="character" w:customStyle="1" w:styleId="CharStyle12">
    <w:name w:val="Char Style 12"/>
    <w:basedOn w:val="CharStyle3"/>
    <w:uiPriority w:val="99"/>
    <w:rsid w:val="009641D7"/>
    <w:rPr>
      <w:rFonts w:ascii="Arial" w:hAnsi="Arial" w:cs="Arial"/>
      <w:b/>
      <w:bCs/>
      <w:i w:val="0"/>
      <w:iCs w:val="0"/>
      <w:sz w:val="17"/>
      <w:szCs w:val="17"/>
      <w:u w:val="none"/>
    </w:rPr>
  </w:style>
  <w:style w:type="character" w:customStyle="1" w:styleId="CharStyle13">
    <w:name w:val="Char Style 13"/>
    <w:basedOn w:val="CharStyle3"/>
    <w:uiPriority w:val="99"/>
    <w:rsid w:val="009641D7"/>
    <w:rPr>
      <w:rFonts w:ascii="Arial" w:hAnsi="Arial" w:cs="Arial"/>
      <w:i w:val="0"/>
      <w:iCs w:val="0"/>
      <w:sz w:val="17"/>
      <w:szCs w:val="17"/>
      <w:u w:val="none"/>
    </w:rPr>
  </w:style>
  <w:style w:type="paragraph" w:styleId="Asuntodelcomentario">
    <w:name w:val="annotation subject"/>
    <w:basedOn w:val="Textocomentario"/>
    <w:next w:val="Textocomentario"/>
    <w:link w:val="AsuntodelcomentarioCar"/>
    <w:uiPriority w:val="99"/>
    <w:semiHidden/>
    <w:unhideWhenUsed/>
    <w:rsid w:val="003C4633"/>
    <w:rPr>
      <w:rFonts w:ascii="Bookman Old Style" w:hAnsi="Bookman Old Style"/>
      <w:b/>
      <w:bCs/>
      <w:lang w:val="es-ES"/>
    </w:rPr>
  </w:style>
  <w:style w:type="character" w:customStyle="1" w:styleId="AsuntodelcomentarioCar">
    <w:name w:val="Asunto del comentario Car"/>
    <w:basedOn w:val="TextocomentarioCar"/>
    <w:link w:val="Asuntodelcomentario"/>
    <w:uiPriority w:val="99"/>
    <w:semiHidden/>
    <w:rsid w:val="003C4633"/>
    <w:rPr>
      <w:rFonts w:ascii="Bookman Old Style" w:eastAsia="Times New Roman" w:hAnsi="Bookman Old Style" w:cs="Times New Roman"/>
      <w:b/>
      <w:bCs/>
      <w:sz w:val="20"/>
      <w:szCs w:val="20"/>
      <w:lang w:val="es-ES" w:eastAsia="es-ES"/>
    </w:rPr>
  </w:style>
  <w:style w:type="character" w:customStyle="1" w:styleId="CharStyle15">
    <w:name w:val="Char Style 15"/>
    <w:basedOn w:val="Fuentedeprrafopredeter"/>
    <w:link w:val="Style14"/>
    <w:uiPriority w:val="99"/>
    <w:rsid w:val="008D4CDB"/>
    <w:rPr>
      <w:rFonts w:ascii="Arial" w:hAnsi="Arial" w:cs="Arial"/>
      <w:b/>
      <w:bCs/>
      <w:sz w:val="22"/>
      <w:szCs w:val="22"/>
      <w:shd w:val="clear" w:color="auto" w:fill="FFFFFF"/>
    </w:rPr>
  </w:style>
  <w:style w:type="paragraph" w:customStyle="1" w:styleId="Style14">
    <w:name w:val="Style 14"/>
    <w:basedOn w:val="Normal"/>
    <w:link w:val="CharStyle15"/>
    <w:uiPriority w:val="99"/>
    <w:rsid w:val="008D4CDB"/>
    <w:pPr>
      <w:widowControl w:val="0"/>
      <w:shd w:val="clear" w:color="auto" w:fill="FFFFFF"/>
      <w:spacing w:line="340" w:lineRule="exact"/>
      <w:outlineLvl w:val="2"/>
    </w:pPr>
    <w:rPr>
      <w:rFonts w:ascii="Arial" w:eastAsia="Calibri" w:hAnsi="Arial" w:cs="Arial"/>
      <w:b/>
      <w:bCs/>
      <w:sz w:val="22"/>
      <w:szCs w:val="22"/>
      <w:lang w:val="es-CO" w:eastAsia="es-CO"/>
    </w:rPr>
  </w:style>
  <w:style w:type="character" w:customStyle="1" w:styleId="CharStyle17">
    <w:name w:val="Char Style 17"/>
    <w:basedOn w:val="Fuentedeprrafopredeter"/>
    <w:link w:val="Style16"/>
    <w:uiPriority w:val="99"/>
    <w:rsid w:val="008D4CDB"/>
    <w:rPr>
      <w:rFonts w:ascii="Arial" w:hAnsi="Arial" w:cs="Arial"/>
      <w:b/>
      <w:bCs/>
      <w:sz w:val="22"/>
      <w:szCs w:val="22"/>
      <w:shd w:val="clear" w:color="auto" w:fill="FFFFFF"/>
    </w:rPr>
  </w:style>
  <w:style w:type="paragraph" w:customStyle="1" w:styleId="Style16">
    <w:name w:val="Style 16"/>
    <w:basedOn w:val="Normal"/>
    <w:link w:val="CharStyle17"/>
    <w:uiPriority w:val="99"/>
    <w:rsid w:val="008D4CDB"/>
    <w:pPr>
      <w:widowControl w:val="0"/>
      <w:shd w:val="clear" w:color="auto" w:fill="FFFFFF"/>
      <w:spacing w:after="240" w:line="340" w:lineRule="exact"/>
      <w:outlineLvl w:val="2"/>
    </w:pPr>
    <w:rPr>
      <w:rFonts w:ascii="Arial" w:eastAsia="Calibri" w:hAnsi="Arial" w:cs="Arial"/>
      <w:b/>
      <w:bCs/>
      <w:sz w:val="22"/>
      <w:szCs w:val="22"/>
      <w:lang w:val="es-CO" w:eastAsia="es-CO"/>
    </w:rPr>
  </w:style>
  <w:style w:type="paragraph" w:styleId="Sangradetextonormal">
    <w:name w:val="Body Text Indent"/>
    <w:basedOn w:val="Normal"/>
    <w:link w:val="SangradetextonormalCar"/>
    <w:uiPriority w:val="99"/>
    <w:semiHidden/>
    <w:unhideWhenUsed/>
    <w:rsid w:val="00203042"/>
    <w:pPr>
      <w:spacing w:after="120"/>
      <w:ind w:left="283"/>
    </w:pPr>
  </w:style>
  <w:style w:type="character" w:customStyle="1" w:styleId="SangradetextonormalCar">
    <w:name w:val="Sangría de texto normal Car"/>
    <w:basedOn w:val="Fuentedeprrafopredeter"/>
    <w:link w:val="Sangradetextonormal"/>
    <w:uiPriority w:val="99"/>
    <w:semiHidden/>
    <w:rsid w:val="00203042"/>
    <w:rPr>
      <w:rFonts w:ascii="Bookman Old Style" w:eastAsia="Times New Roman" w:hAnsi="Bookman Old Style"/>
      <w:sz w:val="24"/>
      <w:szCs w:val="24"/>
      <w:lang w:val="es-ES" w:eastAsia="es-ES"/>
    </w:rPr>
  </w:style>
  <w:style w:type="paragraph" w:styleId="Textoindependiente2">
    <w:name w:val="Body Text 2"/>
    <w:basedOn w:val="Normal"/>
    <w:link w:val="Textoindependiente2Car"/>
    <w:uiPriority w:val="99"/>
    <w:unhideWhenUsed/>
    <w:rsid w:val="00FF58B1"/>
    <w:pPr>
      <w:spacing w:after="120" w:line="480" w:lineRule="auto"/>
      <w:ind w:left="567"/>
      <w:jc w:val="left"/>
    </w:pPr>
    <w:rPr>
      <w:rFonts w:ascii="Times New Roman" w:hAnsi="Times New Roman"/>
    </w:rPr>
  </w:style>
  <w:style w:type="character" w:customStyle="1" w:styleId="Textoindependiente2Car">
    <w:name w:val="Texto independiente 2 Car"/>
    <w:basedOn w:val="Fuentedeprrafopredeter"/>
    <w:link w:val="Textoindependiente2"/>
    <w:uiPriority w:val="99"/>
    <w:rsid w:val="00FF58B1"/>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9D6548"/>
    <w:rPr>
      <w:color w:val="0000FF" w:themeColor="hyperlink"/>
      <w:u w:val="single"/>
    </w:rPr>
  </w:style>
  <w:style w:type="character" w:customStyle="1" w:styleId="CharacterStyle1">
    <w:name w:val="Character Style 1"/>
    <w:uiPriority w:val="99"/>
    <w:rsid w:val="00EE442E"/>
    <w:rPr>
      <w:sz w:val="20"/>
    </w:rPr>
  </w:style>
  <w:style w:type="table" w:customStyle="1" w:styleId="Tablaconcuadrcula11">
    <w:name w:val="Tabla con cuadrícula11"/>
    <w:basedOn w:val="Tablanormal"/>
    <w:uiPriority w:val="59"/>
    <w:rsid w:val="00A34EB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uentedeprrafopredeter"/>
    <w:rsid w:val="005C1AB0"/>
  </w:style>
  <w:style w:type="paragraph" w:customStyle="1" w:styleId="Style1">
    <w:name w:val="Style 1"/>
    <w:uiPriority w:val="99"/>
    <w:rsid w:val="002B446B"/>
    <w:pPr>
      <w:widowControl w:val="0"/>
      <w:autoSpaceDE w:val="0"/>
      <w:autoSpaceDN w:val="0"/>
      <w:adjustRightInd w:val="0"/>
    </w:pPr>
    <w:rPr>
      <w:rFonts w:ascii="Times New Roman" w:eastAsia="Times New Roman" w:hAnsi="Times New Roman"/>
      <w:lang w:val="en-U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texto de nota al  Car"/>
    <w:uiPriority w:val="99"/>
    <w:semiHidden/>
    <w:locked/>
    <w:rsid w:val="002B446B"/>
    <w:rPr>
      <w:rFonts w:ascii="Arial" w:hAnsi="Arial"/>
      <w:lang w:val="es-ES_tradnl"/>
    </w:rPr>
  </w:style>
  <w:style w:type="paragraph" w:customStyle="1" w:styleId="NormalDocSoporte">
    <w:name w:val="Normal DocSoporte"/>
    <w:basedOn w:val="Normal"/>
    <w:link w:val="NormalDocSoporteCar"/>
    <w:qFormat/>
    <w:rsid w:val="00AB260B"/>
    <w:pPr>
      <w:widowControl w:val="0"/>
      <w:adjustRightInd w:val="0"/>
      <w:spacing w:before="200" w:after="200"/>
      <w:ind w:right="23"/>
    </w:pPr>
    <w:rPr>
      <w:rFonts w:ascii="Arial" w:hAnsi="Arial" w:cs="Arial"/>
      <w:sz w:val="22"/>
      <w:szCs w:val="22"/>
      <w:lang w:val="es-CO"/>
    </w:rPr>
  </w:style>
  <w:style w:type="character" w:customStyle="1" w:styleId="NormalDocSoporteCar">
    <w:name w:val="Normal DocSoporte Car"/>
    <w:link w:val="NormalDocSoporte"/>
    <w:rsid w:val="00AB260B"/>
    <w:rPr>
      <w:rFonts w:ascii="Arial" w:eastAsia="Times New Roman" w:hAnsi="Arial" w:cs="Arial"/>
      <w:sz w:val="22"/>
      <w:szCs w:val="22"/>
      <w:lang w:eastAsia="es-ES"/>
    </w:rPr>
  </w:style>
  <w:style w:type="character" w:customStyle="1" w:styleId="CharStyle14">
    <w:name w:val="Char Style 14"/>
    <w:basedOn w:val="CharStyle7"/>
    <w:uiPriority w:val="99"/>
    <w:rsid w:val="00EF3069"/>
    <w:rPr>
      <w:rFonts w:cs="Times New Roman"/>
      <w:b/>
      <w:bCs/>
      <w:i w:val="0"/>
      <w:iCs w:val="0"/>
      <w:sz w:val="23"/>
      <w:szCs w:val="23"/>
      <w:u w:val="none"/>
      <w:shd w:val="clear" w:color="auto" w:fill="FFFFFF"/>
    </w:rPr>
  </w:style>
  <w:style w:type="character" w:customStyle="1" w:styleId="CharStyle18">
    <w:name w:val="Char Style 18"/>
    <w:basedOn w:val="Fuentedeprrafopredeter"/>
    <w:link w:val="Style17"/>
    <w:uiPriority w:val="99"/>
    <w:locked/>
    <w:rsid w:val="00EF3069"/>
    <w:rPr>
      <w:b/>
      <w:bCs/>
      <w:sz w:val="23"/>
      <w:szCs w:val="23"/>
      <w:shd w:val="clear" w:color="auto" w:fill="FFFFFF"/>
    </w:rPr>
  </w:style>
  <w:style w:type="paragraph" w:customStyle="1" w:styleId="Style17">
    <w:name w:val="Style 17"/>
    <w:basedOn w:val="Normal"/>
    <w:link w:val="CharStyle18"/>
    <w:uiPriority w:val="99"/>
    <w:rsid w:val="00EF3069"/>
    <w:pPr>
      <w:widowControl w:val="0"/>
      <w:shd w:val="clear" w:color="auto" w:fill="FFFFFF"/>
      <w:spacing w:before="600" w:after="240" w:line="240" w:lineRule="atLeast"/>
      <w:outlineLvl w:val="7"/>
    </w:pPr>
    <w:rPr>
      <w:rFonts w:ascii="Calibri" w:eastAsia="Calibri" w:hAnsi="Calibri"/>
      <w:b/>
      <w:bCs/>
      <w:sz w:val="23"/>
      <w:szCs w:val="23"/>
      <w:lang w:val="es-CO" w:eastAsia="es-CO"/>
    </w:rPr>
  </w:style>
  <w:style w:type="character" w:customStyle="1" w:styleId="CharStyle19">
    <w:name w:val="Char Style 19"/>
    <w:basedOn w:val="CharStyle12"/>
    <w:uiPriority w:val="99"/>
    <w:rsid w:val="00EF3069"/>
    <w:rPr>
      <w:rFonts w:ascii="Arial" w:hAnsi="Arial" w:cs="Times New Roman"/>
      <w:b w:val="0"/>
      <w:bCs w:val="0"/>
      <w:i/>
      <w:iCs/>
      <w:sz w:val="22"/>
      <w:szCs w:val="22"/>
      <w:u w:val="none"/>
    </w:rPr>
  </w:style>
  <w:style w:type="character" w:customStyle="1" w:styleId="CharStyle25">
    <w:name w:val="Char Style 25"/>
    <w:basedOn w:val="Fuentedeprrafopredeter"/>
    <w:link w:val="Style24"/>
    <w:uiPriority w:val="99"/>
    <w:locked/>
    <w:rsid w:val="00EF3069"/>
    <w:rPr>
      <w:i/>
      <w:iCs/>
      <w:sz w:val="22"/>
      <w:szCs w:val="22"/>
      <w:shd w:val="clear" w:color="auto" w:fill="FFFFFF"/>
    </w:rPr>
  </w:style>
  <w:style w:type="paragraph" w:customStyle="1" w:styleId="Style24">
    <w:name w:val="Style 24"/>
    <w:basedOn w:val="Normal"/>
    <w:link w:val="CharStyle25"/>
    <w:uiPriority w:val="99"/>
    <w:rsid w:val="00EF3069"/>
    <w:pPr>
      <w:widowControl w:val="0"/>
      <w:shd w:val="clear" w:color="auto" w:fill="FFFFFF"/>
      <w:spacing w:before="180" w:line="288" w:lineRule="exact"/>
      <w:ind w:hanging="340"/>
      <w:jc w:val="left"/>
    </w:pPr>
    <w:rPr>
      <w:rFonts w:ascii="Calibri" w:eastAsia="Calibri" w:hAnsi="Calibri"/>
      <w:i/>
      <w:iCs/>
      <w:sz w:val="22"/>
      <w:szCs w:val="22"/>
      <w:lang w:val="es-CO" w:eastAsia="es-CO"/>
    </w:rPr>
  </w:style>
  <w:style w:type="character" w:customStyle="1" w:styleId="CharStyle26">
    <w:name w:val="Char Style 26"/>
    <w:basedOn w:val="CharStyle25"/>
    <w:uiPriority w:val="99"/>
    <w:rsid w:val="00EF3069"/>
    <w:rPr>
      <w:b/>
      <w:bCs/>
      <w:i w:val="0"/>
      <w:iCs w:val="0"/>
      <w:sz w:val="23"/>
      <w:szCs w:val="23"/>
      <w:shd w:val="clear" w:color="auto" w:fill="FFFFFF"/>
    </w:rPr>
  </w:style>
  <w:style w:type="character" w:customStyle="1" w:styleId="CharStyle27">
    <w:name w:val="Char Style 27"/>
    <w:basedOn w:val="CharStyle25"/>
    <w:uiPriority w:val="99"/>
    <w:rsid w:val="00EF3069"/>
    <w:rPr>
      <w:i w:val="0"/>
      <w:iCs w:val="0"/>
      <w:sz w:val="22"/>
      <w:szCs w:val="22"/>
      <w:shd w:val="clear" w:color="auto" w:fill="FFFFFF"/>
    </w:rPr>
  </w:style>
  <w:style w:type="character" w:customStyle="1" w:styleId="CharStyle28">
    <w:name w:val="Char Style 28"/>
    <w:basedOn w:val="CharStyle12"/>
    <w:uiPriority w:val="99"/>
    <w:rsid w:val="00EF3069"/>
    <w:rPr>
      <w:rFonts w:ascii="Arial" w:hAnsi="Arial" w:cs="Times New Roman"/>
      <w:b w:val="0"/>
      <w:bCs w:val="0"/>
      <w:i/>
      <w:iCs/>
      <w:sz w:val="23"/>
      <w:szCs w:val="23"/>
      <w:u w:val="none"/>
    </w:rPr>
  </w:style>
  <w:style w:type="character" w:customStyle="1" w:styleId="CharStyle30">
    <w:name w:val="Char Style 30"/>
    <w:basedOn w:val="Fuentedeprrafopredeter"/>
    <w:link w:val="Style29"/>
    <w:uiPriority w:val="99"/>
    <w:locked/>
    <w:rsid w:val="00EF3069"/>
    <w:rPr>
      <w:i/>
      <w:iCs/>
      <w:sz w:val="23"/>
      <w:szCs w:val="23"/>
      <w:shd w:val="clear" w:color="auto" w:fill="FFFFFF"/>
    </w:rPr>
  </w:style>
  <w:style w:type="paragraph" w:customStyle="1" w:styleId="Style29">
    <w:name w:val="Style 29"/>
    <w:basedOn w:val="Normal"/>
    <w:link w:val="CharStyle30"/>
    <w:uiPriority w:val="99"/>
    <w:rsid w:val="00EF3069"/>
    <w:pPr>
      <w:widowControl w:val="0"/>
      <w:shd w:val="clear" w:color="auto" w:fill="FFFFFF"/>
      <w:spacing w:before="360" w:after="180" w:line="278" w:lineRule="exact"/>
      <w:ind w:hanging="340"/>
    </w:pPr>
    <w:rPr>
      <w:rFonts w:ascii="Calibri" w:eastAsia="Calibri" w:hAnsi="Calibri"/>
      <w:i/>
      <w:iCs/>
      <w:sz w:val="23"/>
      <w:szCs w:val="23"/>
      <w:lang w:val="es-CO" w:eastAsia="es-CO"/>
    </w:rPr>
  </w:style>
  <w:style w:type="character" w:customStyle="1" w:styleId="CharStyle31">
    <w:name w:val="Char Style 31"/>
    <w:basedOn w:val="CharStyle30"/>
    <w:uiPriority w:val="99"/>
    <w:rsid w:val="00EF3069"/>
    <w:rPr>
      <w:b/>
      <w:bCs/>
      <w:i w:val="0"/>
      <w:iCs w:val="0"/>
      <w:sz w:val="23"/>
      <w:szCs w:val="23"/>
      <w:shd w:val="clear" w:color="auto" w:fill="FFFFFF"/>
    </w:rPr>
  </w:style>
  <w:style w:type="character" w:customStyle="1" w:styleId="CharStyle33">
    <w:name w:val="Char Style 33"/>
    <w:basedOn w:val="Fuentedeprrafopredeter"/>
    <w:link w:val="Style32"/>
    <w:uiPriority w:val="99"/>
    <w:locked/>
    <w:rsid w:val="00EF3069"/>
    <w:rPr>
      <w:b/>
      <w:bCs/>
      <w:i/>
      <w:iCs/>
      <w:spacing w:val="30"/>
      <w:sz w:val="14"/>
      <w:szCs w:val="14"/>
      <w:shd w:val="clear" w:color="auto" w:fill="FFFFFF"/>
    </w:rPr>
  </w:style>
  <w:style w:type="paragraph" w:customStyle="1" w:styleId="Style32">
    <w:name w:val="Style 32"/>
    <w:basedOn w:val="Normal"/>
    <w:link w:val="CharStyle33"/>
    <w:uiPriority w:val="99"/>
    <w:rsid w:val="00EF3069"/>
    <w:pPr>
      <w:widowControl w:val="0"/>
      <w:shd w:val="clear" w:color="auto" w:fill="FFFFFF"/>
      <w:spacing w:before="180" w:after="180" w:line="240" w:lineRule="atLeast"/>
      <w:jc w:val="left"/>
      <w:outlineLvl w:val="4"/>
    </w:pPr>
    <w:rPr>
      <w:rFonts w:ascii="Calibri" w:eastAsia="Calibri" w:hAnsi="Calibri"/>
      <w:b/>
      <w:bCs/>
      <w:i/>
      <w:iCs/>
      <w:spacing w:val="30"/>
      <w:sz w:val="14"/>
      <w:szCs w:val="14"/>
      <w:lang w:val="es-CO" w:eastAsia="es-CO"/>
    </w:rPr>
  </w:style>
  <w:style w:type="character" w:customStyle="1" w:styleId="CharStyle34">
    <w:name w:val="Char Style 34"/>
    <w:basedOn w:val="CharStyle7"/>
    <w:uiPriority w:val="99"/>
    <w:rsid w:val="00EF3069"/>
    <w:rPr>
      <w:rFonts w:cs="Times New Roman"/>
      <w:i w:val="0"/>
      <w:iCs w:val="0"/>
      <w:sz w:val="23"/>
      <w:szCs w:val="23"/>
      <w:u w:val="single"/>
      <w:shd w:val="clear" w:color="auto" w:fill="FFFFFF"/>
    </w:rPr>
  </w:style>
  <w:style w:type="character" w:customStyle="1" w:styleId="CharStyle36">
    <w:name w:val="Char Style 36"/>
    <w:basedOn w:val="Fuentedeprrafopredeter"/>
    <w:link w:val="Style35"/>
    <w:uiPriority w:val="99"/>
    <w:locked/>
    <w:rsid w:val="00EF3069"/>
    <w:rPr>
      <w:i/>
      <w:iCs/>
      <w:sz w:val="23"/>
      <w:szCs w:val="23"/>
      <w:shd w:val="clear" w:color="auto" w:fill="FFFFFF"/>
    </w:rPr>
  </w:style>
  <w:style w:type="paragraph" w:customStyle="1" w:styleId="Style35">
    <w:name w:val="Style 35"/>
    <w:basedOn w:val="Normal"/>
    <w:link w:val="CharStyle36"/>
    <w:uiPriority w:val="99"/>
    <w:rsid w:val="00EF3069"/>
    <w:pPr>
      <w:widowControl w:val="0"/>
      <w:shd w:val="clear" w:color="auto" w:fill="FFFFFF"/>
      <w:spacing w:before="180" w:after="180" w:line="278" w:lineRule="exact"/>
    </w:pPr>
    <w:rPr>
      <w:rFonts w:ascii="Calibri" w:eastAsia="Calibri" w:hAnsi="Calibri"/>
      <w:i/>
      <w:iCs/>
      <w:sz w:val="23"/>
      <w:szCs w:val="23"/>
      <w:lang w:val="es-CO" w:eastAsia="es-CO"/>
    </w:rPr>
  </w:style>
  <w:style w:type="character" w:customStyle="1" w:styleId="CharStyle37">
    <w:name w:val="Char Style 37"/>
    <w:basedOn w:val="CharStyle36"/>
    <w:uiPriority w:val="99"/>
    <w:rsid w:val="00EF3069"/>
    <w:rPr>
      <w:i/>
      <w:iCs/>
      <w:sz w:val="23"/>
      <w:szCs w:val="23"/>
      <w:u w:val="single"/>
      <w:shd w:val="clear" w:color="auto" w:fill="FFFFFF"/>
    </w:rPr>
  </w:style>
  <w:style w:type="character" w:customStyle="1" w:styleId="CharStyle38">
    <w:name w:val="Char Style 38"/>
    <w:basedOn w:val="CharStyle7"/>
    <w:uiPriority w:val="99"/>
    <w:rsid w:val="00EF3069"/>
    <w:rPr>
      <w:rFonts w:cs="Times New Roman"/>
      <w:i/>
      <w:iCs/>
      <w:sz w:val="23"/>
      <w:szCs w:val="23"/>
      <w:u w:val="none"/>
      <w:shd w:val="clear" w:color="auto" w:fill="FFFFFF"/>
    </w:rPr>
  </w:style>
  <w:style w:type="character" w:customStyle="1" w:styleId="CharStyle39">
    <w:name w:val="Char Style 39"/>
    <w:basedOn w:val="CharStyle36"/>
    <w:uiPriority w:val="99"/>
    <w:rsid w:val="00EF3069"/>
    <w:rPr>
      <w:i w:val="0"/>
      <w:iCs w:val="0"/>
      <w:sz w:val="23"/>
      <w:szCs w:val="23"/>
      <w:shd w:val="clear" w:color="auto" w:fill="FFFFFF"/>
    </w:rPr>
  </w:style>
  <w:style w:type="character" w:customStyle="1" w:styleId="CharStyle40">
    <w:name w:val="Char Style 40"/>
    <w:basedOn w:val="CharStyle7"/>
    <w:uiPriority w:val="99"/>
    <w:rsid w:val="00EF3069"/>
    <w:rPr>
      <w:rFonts w:cs="Times New Roman"/>
      <w:b/>
      <w:bCs/>
      <w:i w:val="0"/>
      <w:iCs w:val="0"/>
      <w:sz w:val="23"/>
      <w:szCs w:val="23"/>
      <w:u w:val="single"/>
      <w:shd w:val="clear" w:color="auto" w:fill="FFFFFF"/>
    </w:rPr>
  </w:style>
  <w:style w:type="character" w:customStyle="1" w:styleId="CharStyle42">
    <w:name w:val="Char Style 42"/>
    <w:basedOn w:val="Fuentedeprrafopredeter"/>
    <w:link w:val="Style41"/>
    <w:uiPriority w:val="99"/>
    <w:locked/>
    <w:rsid w:val="00EF3069"/>
    <w:rPr>
      <w:b/>
      <w:bCs/>
      <w:shd w:val="clear" w:color="auto" w:fill="FFFFFF"/>
    </w:rPr>
  </w:style>
  <w:style w:type="paragraph" w:customStyle="1" w:styleId="Style41">
    <w:name w:val="Style 41"/>
    <w:basedOn w:val="Normal"/>
    <w:link w:val="CharStyle42"/>
    <w:uiPriority w:val="99"/>
    <w:rsid w:val="00EF3069"/>
    <w:pPr>
      <w:widowControl w:val="0"/>
      <w:shd w:val="clear" w:color="auto" w:fill="FFFFFF"/>
      <w:spacing w:before="60" w:line="302" w:lineRule="exact"/>
    </w:pPr>
    <w:rPr>
      <w:rFonts w:ascii="Calibri" w:eastAsia="Calibri" w:hAnsi="Calibri"/>
      <w:b/>
      <w:bCs/>
      <w:sz w:val="20"/>
      <w:szCs w:val="20"/>
      <w:lang w:val="es-CO" w:eastAsia="es-CO"/>
    </w:rPr>
  </w:style>
  <w:style w:type="character" w:customStyle="1" w:styleId="CharStyle43">
    <w:name w:val="Char Style 43"/>
    <w:basedOn w:val="CharStyle36"/>
    <w:uiPriority w:val="99"/>
    <w:rsid w:val="00EF3069"/>
    <w:rPr>
      <w:b/>
      <w:bCs/>
      <w:i w:val="0"/>
      <w:iCs w:val="0"/>
      <w:sz w:val="23"/>
      <w:szCs w:val="23"/>
      <w:shd w:val="clear" w:color="auto" w:fill="FFFFFF"/>
    </w:rPr>
  </w:style>
  <w:style w:type="character" w:customStyle="1" w:styleId="CharStyle44">
    <w:name w:val="Char Style 44"/>
    <w:basedOn w:val="CharStyle7"/>
    <w:uiPriority w:val="99"/>
    <w:rsid w:val="00EF3069"/>
    <w:rPr>
      <w:rFonts w:ascii="Courier New" w:hAnsi="Courier New" w:cs="Courier New"/>
      <w:i w:val="0"/>
      <w:iCs w:val="0"/>
      <w:sz w:val="17"/>
      <w:szCs w:val="17"/>
      <w:u w:val="none"/>
      <w:shd w:val="clear" w:color="auto" w:fill="FFFFFF"/>
    </w:rPr>
  </w:style>
  <w:style w:type="character" w:customStyle="1" w:styleId="CharStyle45">
    <w:name w:val="Char Style 45"/>
    <w:basedOn w:val="CharStyle7"/>
    <w:uiPriority w:val="99"/>
    <w:rsid w:val="00EF3069"/>
    <w:rPr>
      <w:rFonts w:ascii="Courier New" w:hAnsi="Courier New" w:cs="Courier New"/>
      <w:i w:val="0"/>
      <w:iCs w:val="0"/>
      <w:sz w:val="17"/>
      <w:szCs w:val="17"/>
      <w:u w:val="single"/>
      <w:shd w:val="clear" w:color="auto" w:fill="FFFFFF"/>
    </w:rPr>
  </w:style>
  <w:style w:type="character" w:customStyle="1" w:styleId="CharStyle47">
    <w:name w:val="Char Style 47"/>
    <w:basedOn w:val="Fuentedeprrafopredeter"/>
    <w:link w:val="Style46"/>
    <w:uiPriority w:val="99"/>
    <w:locked/>
    <w:rsid w:val="00EF3069"/>
    <w:rPr>
      <w:shd w:val="clear" w:color="auto" w:fill="FFFFFF"/>
    </w:rPr>
  </w:style>
  <w:style w:type="paragraph" w:customStyle="1" w:styleId="Style46">
    <w:name w:val="Style 46"/>
    <w:basedOn w:val="Normal"/>
    <w:link w:val="CharStyle47"/>
    <w:uiPriority w:val="99"/>
    <w:rsid w:val="00EF3069"/>
    <w:pPr>
      <w:widowControl w:val="0"/>
      <w:shd w:val="clear" w:color="auto" w:fill="FFFFFF"/>
      <w:spacing w:after="180" w:line="240" w:lineRule="atLeast"/>
      <w:ind w:hanging="480"/>
      <w:jc w:val="left"/>
    </w:pPr>
    <w:rPr>
      <w:rFonts w:ascii="Calibri" w:eastAsia="Calibri" w:hAnsi="Calibri"/>
      <w:sz w:val="20"/>
      <w:szCs w:val="20"/>
      <w:lang w:val="es-CO" w:eastAsia="es-CO"/>
    </w:rPr>
  </w:style>
  <w:style w:type="character" w:customStyle="1" w:styleId="CharStyle48">
    <w:name w:val="Char Style 48"/>
    <w:basedOn w:val="CharStyle47"/>
    <w:uiPriority w:val="99"/>
    <w:rsid w:val="00EF3069"/>
    <w:rPr>
      <w:i/>
      <w:iCs/>
      <w:spacing w:val="-20"/>
      <w:sz w:val="14"/>
      <w:szCs w:val="14"/>
      <w:shd w:val="clear" w:color="auto" w:fill="FFFFFF"/>
    </w:rPr>
  </w:style>
  <w:style w:type="character" w:customStyle="1" w:styleId="CharStyle49">
    <w:name w:val="Char Style 49"/>
    <w:basedOn w:val="CharStyle47"/>
    <w:uiPriority w:val="99"/>
    <w:rsid w:val="00EF3069"/>
    <w:rPr>
      <w:i/>
      <w:iCs/>
      <w:sz w:val="9"/>
      <w:szCs w:val="9"/>
      <w:shd w:val="clear" w:color="auto" w:fill="FFFFFF"/>
    </w:rPr>
  </w:style>
  <w:style w:type="character" w:customStyle="1" w:styleId="CharStyle51">
    <w:name w:val="Char Style 51"/>
    <w:basedOn w:val="Fuentedeprrafopredeter"/>
    <w:link w:val="Style50"/>
    <w:uiPriority w:val="99"/>
    <w:locked/>
    <w:rsid w:val="00EF3069"/>
    <w:rPr>
      <w:i/>
      <w:iCs/>
      <w:sz w:val="15"/>
      <w:szCs w:val="15"/>
      <w:shd w:val="clear" w:color="auto" w:fill="FFFFFF"/>
    </w:rPr>
  </w:style>
  <w:style w:type="paragraph" w:customStyle="1" w:styleId="Style50">
    <w:name w:val="Style 50"/>
    <w:basedOn w:val="Normal"/>
    <w:link w:val="CharStyle51"/>
    <w:uiPriority w:val="99"/>
    <w:rsid w:val="00EF3069"/>
    <w:pPr>
      <w:widowControl w:val="0"/>
      <w:shd w:val="clear" w:color="auto" w:fill="FFFFFF"/>
      <w:spacing w:before="180" w:after="180" w:line="226" w:lineRule="exact"/>
      <w:ind w:hanging="420"/>
      <w:jc w:val="left"/>
    </w:pPr>
    <w:rPr>
      <w:rFonts w:ascii="Calibri" w:eastAsia="Calibri" w:hAnsi="Calibri"/>
      <w:i/>
      <w:iCs/>
      <w:sz w:val="15"/>
      <w:szCs w:val="15"/>
      <w:lang w:val="es-CO" w:eastAsia="es-CO"/>
    </w:rPr>
  </w:style>
  <w:style w:type="character" w:customStyle="1" w:styleId="CharStyle52">
    <w:name w:val="Char Style 52"/>
    <w:basedOn w:val="CharStyle51"/>
    <w:uiPriority w:val="99"/>
    <w:rsid w:val="00EF3069"/>
    <w:rPr>
      <w:i w:val="0"/>
      <w:iCs w:val="0"/>
      <w:sz w:val="15"/>
      <w:szCs w:val="15"/>
      <w:shd w:val="clear" w:color="auto" w:fill="FFFFFF"/>
    </w:rPr>
  </w:style>
  <w:style w:type="character" w:customStyle="1" w:styleId="CharStyle54">
    <w:name w:val="Char Style 54"/>
    <w:basedOn w:val="Fuentedeprrafopredeter"/>
    <w:link w:val="Style53"/>
    <w:uiPriority w:val="99"/>
    <w:locked/>
    <w:rsid w:val="00EF3069"/>
    <w:rPr>
      <w:sz w:val="21"/>
      <w:szCs w:val="21"/>
      <w:shd w:val="clear" w:color="auto" w:fill="FFFFFF"/>
    </w:rPr>
  </w:style>
  <w:style w:type="paragraph" w:customStyle="1" w:styleId="Style53">
    <w:name w:val="Style 53"/>
    <w:basedOn w:val="Normal"/>
    <w:link w:val="CharStyle54"/>
    <w:uiPriority w:val="99"/>
    <w:rsid w:val="00EF3069"/>
    <w:pPr>
      <w:widowControl w:val="0"/>
      <w:shd w:val="clear" w:color="auto" w:fill="FFFFFF"/>
      <w:spacing w:before="180" w:after="840" w:line="240" w:lineRule="atLeast"/>
      <w:jc w:val="left"/>
      <w:outlineLvl w:val="0"/>
    </w:pPr>
    <w:rPr>
      <w:rFonts w:ascii="Calibri" w:eastAsia="Calibri" w:hAnsi="Calibri"/>
      <w:sz w:val="21"/>
      <w:szCs w:val="21"/>
      <w:lang w:val="es-CO" w:eastAsia="es-CO"/>
    </w:rPr>
  </w:style>
  <w:style w:type="character" w:customStyle="1" w:styleId="CharStyle56">
    <w:name w:val="Char Style 56"/>
    <w:basedOn w:val="Fuentedeprrafopredeter"/>
    <w:link w:val="Style55"/>
    <w:uiPriority w:val="99"/>
    <w:locked/>
    <w:rsid w:val="00EF3069"/>
    <w:rPr>
      <w:b/>
      <w:bCs/>
      <w:sz w:val="23"/>
      <w:szCs w:val="23"/>
      <w:shd w:val="clear" w:color="auto" w:fill="FFFFFF"/>
    </w:rPr>
  </w:style>
  <w:style w:type="paragraph" w:customStyle="1" w:styleId="Style55">
    <w:name w:val="Style 55"/>
    <w:basedOn w:val="Normal"/>
    <w:link w:val="CharStyle56"/>
    <w:uiPriority w:val="99"/>
    <w:rsid w:val="00EF3069"/>
    <w:pPr>
      <w:widowControl w:val="0"/>
      <w:shd w:val="clear" w:color="auto" w:fill="FFFFFF"/>
      <w:spacing w:before="600" w:line="322" w:lineRule="exact"/>
      <w:outlineLvl w:val="6"/>
    </w:pPr>
    <w:rPr>
      <w:rFonts w:ascii="Calibri" w:eastAsia="Calibri" w:hAnsi="Calibri"/>
      <w:b/>
      <w:bCs/>
      <w:sz w:val="23"/>
      <w:szCs w:val="23"/>
      <w:lang w:val="es-CO" w:eastAsia="es-CO"/>
    </w:rPr>
  </w:style>
  <w:style w:type="character" w:customStyle="1" w:styleId="CharStyle57">
    <w:name w:val="Char Style 57"/>
    <w:basedOn w:val="CharStyle56"/>
    <w:uiPriority w:val="99"/>
    <w:rsid w:val="00EF3069"/>
    <w:rPr>
      <w:b w:val="0"/>
      <w:bCs w:val="0"/>
      <w:sz w:val="23"/>
      <w:szCs w:val="23"/>
      <w:shd w:val="clear" w:color="auto" w:fill="FFFFFF"/>
    </w:rPr>
  </w:style>
  <w:style w:type="character" w:customStyle="1" w:styleId="CharStyle59">
    <w:name w:val="Char Style 59"/>
    <w:basedOn w:val="Fuentedeprrafopredeter"/>
    <w:link w:val="Style58"/>
    <w:uiPriority w:val="99"/>
    <w:locked/>
    <w:rsid w:val="00EF3069"/>
    <w:rPr>
      <w:rFonts w:ascii="Courier New" w:hAnsi="Courier New" w:cs="Courier New"/>
      <w:sz w:val="17"/>
      <w:szCs w:val="17"/>
      <w:shd w:val="clear" w:color="auto" w:fill="FFFFFF"/>
    </w:rPr>
  </w:style>
  <w:style w:type="paragraph" w:customStyle="1" w:styleId="Style58">
    <w:name w:val="Style 58"/>
    <w:basedOn w:val="Normal"/>
    <w:link w:val="CharStyle59"/>
    <w:uiPriority w:val="99"/>
    <w:rsid w:val="00EF3069"/>
    <w:pPr>
      <w:widowControl w:val="0"/>
      <w:shd w:val="clear" w:color="auto" w:fill="FFFFFF"/>
      <w:spacing w:after="480" w:line="293" w:lineRule="exact"/>
      <w:ind w:hanging="80"/>
    </w:pPr>
    <w:rPr>
      <w:rFonts w:ascii="Courier New" w:eastAsia="Calibri" w:hAnsi="Courier New" w:cs="Courier New"/>
      <w:sz w:val="17"/>
      <w:szCs w:val="17"/>
      <w:lang w:val="es-CO" w:eastAsia="es-CO"/>
    </w:rPr>
  </w:style>
  <w:style w:type="character" w:customStyle="1" w:styleId="CharStyle60">
    <w:name w:val="Char Style 60"/>
    <w:basedOn w:val="CharStyle59"/>
    <w:uiPriority w:val="99"/>
    <w:rsid w:val="00EF3069"/>
    <w:rPr>
      <w:rFonts w:ascii="Courier New" w:hAnsi="Courier New" w:cs="Courier New"/>
      <w:sz w:val="17"/>
      <w:szCs w:val="17"/>
      <w:u w:val="single"/>
      <w:shd w:val="clear" w:color="auto" w:fill="FFFFFF"/>
    </w:rPr>
  </w:style>
  <w:style w:type="character" w:customStyle="1" w:styleId="CharStyle61">
    <w:name w:val="Char Style 61"/>
    <w:basedOn w:val="CharStyle59"/>
    <w:uiPriority w:val="99"/>
    <w:rsid w:val="00EF3069"/>
    <w:rPr>
      <w:rFonts w:ascii="Times New Roman" w:hAnsi="Times New Roman" w:cs="Times New Roman"/>
      <w:sz w:val="23"/>
      <w:szCs w:val="23"/>
      <w:shd w:val="clear" w:color="auto" w:fill="FFFFFF"/>
    </w:rPr>
  </w:style>
  <w:style w:type="character" w:customStyle="1" w:styleId="CharStyle63">
    <w:name w:val="Char Style 63"/>
    <w:basedOn w:val="CharStyle12"/>
    <w:uiPriority w:val="99"/>
    <w:rsid w:val="00EF3069"/>
    <w:rPr>
      <w:rFonts w:ascii="Arial" w:hAnsi="Arial" w:cs="Times New Roman"/>
      <w:b w:val="0"/>
      <w:bCs w:val="0"/>
      <w:i/>
      <w:iCs/>
      <w:sz w:val="23"/>
      <w:szCs w:val="23"/>
      <w:u w:val="single"/>
    </w:rPr>
  </w:style>
  <w:style w:type="character" w:customStyle="1" w:styleId="CharStyle64">
    <w:name w:val="Char Style 64"/>
    <w:basedOn w:val="CharStyle56"/>
    <w:uiPriority w:val="99"/>
    <w:rsid w:val="00EF3069"/>
    <w:rPr>
      <w:b w:val="0"/>
      <w:bCs w:val="0"/>
      <w:i/>
      <w:iCs/>
      <w:sz w:val="22"/>
      <w:szCs w:val="22"/>
      <w:shd w:val="clear" w:color="auto" w:fill="FFFFFF"/>
    </w:rPr>
  </w:style>
  <w:style w:type="character" w:customStyle="1" w:styleId="CharStyle67">
    <w:name w:val="Char Style 67"/>
    <w:basedOn w:val="CharStyle25"/>
    <w:uiPriority w:val="99"/>
    <w:rsid w:val="00EF3069"/>
    <w:rPr>
      <w:i/>
      <w:iCs/>
      <w:sz w:val="22"/>
      <w:szCs w:val="22"/>
      <w:u w:val="single"/>
      <w:shd w:val="clear" w:color="auto" w:fill="FFFFFF"/>
    </w:rPr>
  </w:style>
  <w:style w:type="character" w:customStyle="1" w:styleId="CharStyle68">
    <w:name w:val="Char Style 68"/>
    <w:basedOn w:val="CharStyle25"/>
    <w:link w:val="Style67"/>
    <w:uiPriority w:val="99"/>
    <w:rsid w:val="00EF3069"/>
    <w:rPr>
      <w:i w:val="0"/>
      <w:iCs w:val="0"/>
      <w:sz w:val="23"/>
      <w:szCs w:val="23"/>
      <w:shd w:val="clear" w:color="auto" w:fill="FFFFFF"/>
    </w:rPr>
  </w:style>
  <w:style w:type="paragraph" w:customStyle="1" w:styleId="Style67">
    <w:name w:val="Style 67"/>
    <w:basedOn w:val="Normal"/>
    <w:link w:val="CharStyle68"/>
    <w:uiPriority w:val="99"/>
    <w:rsid w:val="0029030B"/>
    <w:pPr>
      <w:widowControl w:val="0"/>
      <w:shd w:val="clear" w:color="auto" w:fill="FFFFFF"/>
      <w:spacing w:line="240" w:lineRule="atLeast"/>
      <w:jc w:val="left"/>
    </w:pPr>
    <w:rPr>
      <w:rFonts w:ascii="Calibri" w:eastAsia="Calibri" w:hAnsi="Calibri"/>
      <w:sz w:val="23"/>
      <w:szCs w:val="23"/>
      <w:lang w:val="es-CO" w:eastAsia="es-CO"/>
    </w:rPr>
  </w:style>
  <w:style w:type="character" w:customStyle="1" w:styleId="CharStyle69">
    <w:name w:val="Char Style 69"/>
    <w:basedOn w:val="CharStyle7"/>
    <w:uiPriority w:val="99"/>
    <w:rsid w:val="00EF3069"/>
    <w:rPr>
      <w:rFonts w:cs="Times New Roman"/>
      <w:i/>
      <w:iCs/>
      <w:sz w:val="22"/>
      <w:szCs w:val="22"/>
      <w:u w:val="single"/>
      <w:shd w:val="clear" w:color="auto" w:fill="FFFFFF"/>
    </w:rPr>
  </w:style>
  <w:style w:type="character" w:customStyle="1" w:styleId="CharStyle70">
    <w:name w:val="Char Style 70"/>
    <w:basedOn w:val="CharStyle7"/>
    <w:uiPriority w:val="99"/>
    <w:rsid w:val="00EF3069"/>
    <w:rPr>
      <w:rFonts w:cs="Times New Roman"/>
      <w:i w:val="0"/>
      <w:iCs w:val="0"/>
      <w:sz w:val="22"/>
      <w:szCs w:val="22"/>
      <w:u w:val="single"/>
      <w:shd w:val="clear" w:color="auto" w:fill="FFFFFF"/>
    </w:rPr>
  </w:style>
  <w:style w:type="character" w:customStyle="1" w:styleId="CharStyle72">
    <w:name w:val="Char Style 72"/>
    <w:basedOn w:val="Fuentedeprrafopredeter"/>
    <w:link w:val="Style71"/>
    <w:uiPriority w:val="99"/>
    <w:locked/>
    <w:rsid w:val="00EF3069"/>
    <w:rPr>
      <w:b/>
      <w:bCs/>
      <w:spacing w:val="10"/>
      <w:sz w:val="21"/>
      <w:szCs w:val="21"/>
      <w:shd w:val="clear" w:color="auto" w:fill="FFFFFF"/>
    </w:rPr>
  </w:style>
  <w:style w:type="paragraph" w:customStyle="1" w:styleId="Style71">
    <w:name w:val="Style 71"/>
    <w:basedOn w:val="Normal"/>
    <w:link w:val="CharStyle72"/>
    <w:uiPriority w:val="99"/>
    <w:rsid w:val="00EF3069"/>
    <w:pPr>
      <w:widowControl w:val="0"/>
      <w:shd w:val="clear" w:color="auto" w:fill="FFFFFF"/>
      <w:spacing w:before="240" w:line="240" w:lineRule="atLeast"/>
      <w:outlineLvl w:val="3"/>
    </w:pPr>
    <w:rPr>
      <w:rFonts w:ascii="Calibri" w:eastAsia="Calibri" w:hAnsi="Calibri"/>
      <w:b/>
      <w:bCs/>
      <w:spacing w:val="10"/>
      <w:sz w:val="21"/>
      <w:szCs w:val="21"/>
      <w:lang w:val="es-CO" w:eastAsia="es-CO"/>
    </w:rPr>
  </w:style>
  <w:style w:type="paragraph" w:customStyle="1" w:styleId="Predeterminado">
    <w:name w:val="Predeterminado"/>
    <w:rsid w:val="00786371"/>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concuadrcula1">
    <w:name w:val="Tabla con cuadrícula1"/>
    <w:basedOn w:val="Tablanormal"/>
    <w:next w:val="Tablaconcuadrcula"/>
    <w:uiPriority w:val="59"/>
    <w:rsid w:val="007210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4F99"/>
    <w:pPr>
      <w:autoSpaceDE w:val="0"/>
      <w:autoSpaceDN w:val="0"/>
      <w:adjustRightInd w:val="0"/>
    </w:pPr>
    <w:rPr>
      <w:rFonts w:ascii="Arial" w:hAnsi="Arial" w:cs="Arial"/>
      <w:color w:val="000000"/>
      <w:sz w:val="24"/>
      <w:szCs w:val="24"/>
    </w:rPr>
  </w:style>
  <w:style w:type="character" w:customStyle="1" w:styleId="CharStyle77">
    <w:name w:val="Char Style 77"/>
    <w:basedOn w:val="CharStyle36"/>
    <w:uiPriority w:val="99"/>
    <w:rsid w:val="0029030B"/>
    <w:rPr>
      <w:rFonts w:ascii="Arial" w:hAnsi="Arial" w:cs="Arial"/>
      <w:b/>
      <w:bCs/>
      <w:i/>
      <w:iCs/>
      <w:sz w:val="19"/>
      <w:szCs w:val="19"/>
      <w:u w:val="single"/>
      <w:shd w:val="clear" w:color="auto" w:fill="FFFFFF"/>
    </w:rPr>
  </w:style>
  <w:style w:type="character" w:customStyle="1" w:styleId="CharStyle55">
    <w:name w:val="Char Style 55"/>
    <w:basedOn w:val="Fuentedeprrafopredeter"/>
    <w:link w:val="Style54"/>
    <w:uiPriority w:val="99"/>
    <w:rsid w:val="0029030B"/>
    <w:rPr>
      <w:rFonts w:ascii="Arial" w:hAnsi="Arial" w:cs="Arial"/>
      <w:sz w:val="16"/>
      <w:szCs w:val="16"/>
      <w:shd w:val="clear" w:color="auto" w:fill="FFFFFF"/>
    </w:rPr>
  </w:style>
  <w:style w:type="paragraph" w:customStyle="1" w:styleId="Style54">
    <w:name w:val="Style 54"/>
    <w:basedOn w:val="Normal"/>
    <w:link w:val="CharStyle55"/>
    <w:uiPriority w:val="99"/>
    <w:rsid w:val="0029030B"/>
    <w:pPr>
      <w:widowControl w:val="0"/>
      <w:shd w:val="clear" w:color="auto" w:fill="FFFFFF"/>
      <w:spacing w:before="60" w:after="60" w:line="259" w:lineRule="exact"/>
    </w:pPr>
    <w:rPr>
      <w:rFonts w:ascii="Arial" w:eastAsia="Calibri" w:hAnsi="Arial" w:cs="Arial"/>
      <w:sz w:val="16"/>
      <w:szCs w:val="16"/>
      <w:lang w:val="es-CO" w:eastAsia="es-CO"/>
    </w:rPr>
  </w:style>
  <w:style w:type="character" w:customStyle="1" w:styleId="CharStyle78">
    <w:name w:val="Char Style 78"/>
    <w:basedOn w:val="CharStyle55"/>
    <w:uiPriority w:val="99"/>
    <w:rsid w:val="0029030B"/>
    <w:rPr>
      <w:rFonts w:ascii="Arial" w:hAnsi="Arial" w:cs="Arial"/>
      <w:strike/>
      <w:sz w:val="16"/>
      <w:szCs w:val="16"/>
      <w:shd w:val="clear" w:color="auto" w:fill="FFFFFF"/>
    </w:rPr>
  </w:style>
  <w:style w:type="character" w:customStyle="1" w:styleId="CharStyle202">
    <w:name w:val="Char Style 202"/>
    <w:basedOn w:val="CharStyle36"/>
    <w:uiPriority w:val="99"/>
    <w:rsid w:val="00F25520"/>
    <w:rPr>
      <w:rFonts w:ascii="Arial" w:hAnsi="Arial" w:cs="Arial"/>
      <w:i w:val="0"/>
      <w:iCs w:val="0"/>
      <w:sz w:val="13"/>
      <w:szCs w:val="13"/>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541">
      <w:bodyDiv w:val="1"/>
      <w:marLeft w:val="0"/>
      <w:marRight w:val="0"/>
      <w:marTop w:val="0"/>
      <w:marBottom w:val="0"/>
      <w:divBdr>
        <w:top w:val="none" w:sz="0" w:space="0" w:color="auto"/>
        <w:left w:val="none" w:sz="0" w:space="0" w:color="auto"/>
        <w:bottom w:val="none" w:sz="0" w:space="0" w:color="auto"/>
        <w:right w:val="none" w:sz="0" w:space="0" w:color="auto"/>
      </w:divBdr>
    </w:div>
    <w:div w:id="28456167">
      <w:bodyDiv w:val="1"/>
      <w:marLeft w:val="0"/>
      <w:marRight w:val="0"/>
      <w:marTop w:val="0"/>
      <w:marBottom w:val="0"/>
      <w:divBdr>
        <w:top w:val="none" w:sz="0" w:space="0" w:color="auto"/>
        <w:left w:val="none" w:sz="0" w:space="0" w:color="auto"/>
        <w:bottom w:val="none" w:sz="0" w:space="0" w:color="auto"/>
        <w:right w:val="none" w:sz="0" w:space="0" w:color="auto"/>
      </w:divBdr>
    </w:div>
    <w:div w:id="50034276">
      <w:bodyDiv w:val="1"/>
      <w:marLeft w:val="0"/>
      <w:marRight w:val="0"/>
      <w:marTop w:val="0"/>
      <w:marBottom w:val="0"/>
      <w:divBdr>
        <w:top w:val="none" w:sz="0" w:space="0" w:color="auto"/>
        <w:left w:val="none" w:sz="0" w:space="0" w:color="auto"/>
        <w:bottom w:val="none" w:sz="0" w:space="0" w:color="auto"/>
        <w:right w:val="none" w:sz="0" w:space="0" w:color="auto"/>
      </w:divBdr>
    </w:div>
    <w:div w:id="83960387">
      <w:bodyDiv w:val="1"/>
      <w:marLeft w:val="0"/>
      <w:marRight w:val="0"/>
      <w:marTop w:val="0"/>
      <w:marBottom w:val="0"/>
      <w:divBdr>
        <w:top w:val="none" w:sz="0" w:space="0" w:color="auto"/>
        <w:left w:val="none" w:sz="0" w:space="0" w:color="auto"/>
        <w:bottom w:val="none" w:sz="0" w:space="0" w:color="auto"/>
        <w:right w:val="none" w:sz="0" w:space="0" w:color="auto"/>
      </w:divBdr>
    </w:div>
    <w:div w:id="92895965">
      <w:bodyDiv w:val="1"/>
      <w:marLeft w:val="0"/>
      <w:marRight w:val="0"/>
      <w:marTop w:val="0"/>
      <w:marBottom w:val="0"/>
      <w:divBdr>
        <w:top w:val="none" w:sz="0" w:space="0" w:color="auto"/>
        <w:left w:val="none" w:sz="0" w:space="0" w:color="auto"/>
        <w:bottom w:val="none" w:sz="0" w:space="0" w:color="auto"/>
        <w:right w:val="none" w:sz="0" w:space="0" w:color="auto"/>
      </w:divBdr>
    </w:div>
    <w:div w:id="154610427">
      <w:bodyDiv w:val="1"/>
      <w:marLeft w:val="0"/>
      <w:marRight w:val="0"/>
      <w:marTop w:val="0"/>
      <w:marBottom w:val="0"/>
      <w:divBdr>
        <w:top w:val="none" w:sz="0" w:space="0" w:color="auto"/>
        <w:left w:val="none" w:sz="0" w:space="0" w:color="auto"/>
        <w:bottom w:val="none" w:sz="0" w:space="0" w:color="auto"/>
        <w:right w:val="none" w:sz="0" w:space="0" w:color="auto"/>
      </w:divBdr>
    </w:div>
    <w:div w:id="177742394">
      <w:bodyDiv w:val="1"/>
      <w:marLeft w:val="0"/>
      <w:marRight w:val="0"/>
      <w:marTop w:val="0"/>
      <w:marBottom w:val="0"/>
      <w:divBdr>
        <w:top w:val="none" w:sz="0" w:space="0" w:color="auto"/>
        <w:left w:val="none" w:sz="0" w:space="0" w:color="auto"/>
        <w:bottom w:val="none" w:sz="0" w:space="0" w:color="auto"/>
        <w:right w:val="none" w:sz="0" w:space="0" w:color="auto"/>
      </w:divBdr>
    </w:div>
    <w:div w:id="181628520">
      <w:bodyDiv w:val="1"/>
      <w:marLeft w:val="0"/>
      <w:marRight w:val="0"/>
      <w:marTop w:val="0"/>
      <w:marBottom w:val="0"/>
      <w:divBdr>
        <w:top w:val="none" w:sz="0" w:space="0" w:color="auto"/>
        <w:left w:val="none" w:sz="0" w:space="0" w:color="auto"/>
        <w:bottom w:val="none" w:sz="0" w:space="0" w:color="auto"/>
        <w:right w:val="none" w:sz="0" w:space="0" w:color="auto"/>
      </w:divBdr>
    </w:div>
    <w:div w:id="204870723">
      <w:bodyDiv w:val="1"/>
      <w:marLeft w:val="0"/>
      <w:marRight w:val="0"/>
      <w:marTop w:val="0"/>
      <w:marBottom w:val="0"/>
      <w:divBdr>
        <w:top w:val="none" w:sz="0" w:space="0" w:color="auto"/>
        <w:left w:val="none" w:sz="0" w:space="0" w:color="auto"/>
        <w:bottom w:val="none" w:sz="0" w:space="0" w:color="auto"/>
        <w:right w:val="none" w:sz="0" w:space="0" w:color="auto"/>
      </w:divBdr>
    </w:div>
    <w:div w:id="232082980">
      <w:bodyDiv w:val="1"/>
      <w:marLeft w:val="0"/>
      <w:marRight w:val="0"/>
      <w:marTop w:val="0"/>
      <w:marBottom w:val="0"/>
      <w:divBdr>
        <w:top w:val="none" w:sz="0" w:space="0" w:color="auto"/>
        <w:left w:val="none" w:sz="0" w:space="0" w:color="auto"/>
        <w:bottom w:val="none" w:sz="0" w:space="0" w:color="auto"/>
        <w:right w:val="none" w:sz="0" w:space="0" w:color="auto"/>
      </w:divBdr>
    </w:div>
    <w:div w:id="286472147">
      <w:bodyDiv w:val="1"/>
      <w:marLeft w:val="0"/>
      <w:marRight w:val="0"/>
      <w:marTop w:val="0"/>
      <w:marBottom w:val="0"/>
      <w:divBdr>
        <w:top w:val="none" w:sz="0" w:space="0" w:color="auto"/>
        <w:left w:val="none" w:sz="0" w:space="0" w:color="auto"/>
        <w:bottom w:val="none" w:sz="0" w:space="0" w:color="auto"/>
        <w:right w:val="none" w:sz="0" w:space="0" w:color="auto"/>
      </w:divBdr>
    </w:div>
    <w:div w:id="404643272">
      <w:bodyDiv w:val="1"/>
      <w:marLeft w:val="0"/>
      <w:marRight w:val="0"/>
      <w:marTop w:val="0"/>
      <w:marBottom w:val="0"/>
      <w:divBdr>
        <w:top w:val="none" w:sz="0" w:space="0" w:color="auto"/>
        <w:left w:val="none" w:sz="0" w:space="0" w:color="auto"/>
        <w:bottom w:val="none" w:sz="0" w:space="0" w:color="auto"/>
        <w:right w:val="none" w:sz="0" w:space="0" w:color="auto"/>
      </w:divBdr>
    </w:div>
    <w:div w:id="424228630">
      <w:bodyDiv w:val="1"/>
      <w:marLeft w:val="0"/>
      <w:marRight w:val="0"/>
      <w:marTop w:val="0"/>
      <w:marBottom w:val="0"/>
      <w:divBdr>
        <w:top w:val="none" w:sz="0" w:space="0" w:color="auto"/>
        <w:left w:val="none" w:sz="0" w:space="0" w:color="auto"/>
        <w:bottom w:val="none" w:sz="0" w:space="0" w:color="auto"/>
        <w:right w:val="none" w:sz="0" w:space="0" w:color="auto"/>
      </w:divBdr>
    </w:div>
    <w:div w:id="438913400">
      <w:bodyDiv w:val="1"/>
      <w:marLeft w:val="0"/>
      <w:marRight w:val="0"/>
      <w:marTop w:val="0"/>
      <w:marBottom w:val="0"/>
      <w:divBdr>
        <w:top w:val="none" w:sz="0" w:space="0" w:color="auto"/>
        <w:left w:val="none" w:sz="0" w:space="0" w:color="auto"/>
        <w:bottom w:val="none" w:sz="0" w:space="0" w:color="auto"/>
        <w:right w:val="none" w:sz="0" w:space="0" w:color="auto"/>
      </w:divBdr>
    </w:div>
    <w:div w:id="452863631">
      <w:bodyDiv w:val="1"/>
      <w:marLeft w:val="0"/>
      <w:marRight w:val="0"/>
      <w:marTop w:val="0"/>
      <w:marBottom w:val="0"/>
      <w:divBdr>
        <w:top w:val="none" w:sz="0" w:space="0" w:color="auto"/>
        <w:left w:val="none" w:sz="0" w:space="0" w:color="auto"/>
        <w:bottom w:val="none" w:sz="0" w:space="0" w:color="auto"/>
        <w:right w:val="none" w:sz="0" w:space="0" w:color="auto"/>
      </w:divBdr>
    </w:div>
    <w:div w:id="464861148">
      <w:bodyDiv w:val="1"/>
      <w:marLeft w:val="0"/>
      <w:marRight w:val="0"/>
      <w:marTop w:val="0"/>
      <w:marBottom w:val="0"/>
      <w:divBdr>
        <w:top w:val="none" w:sz="0" w:space="0" w:color="auto"/>
        <w:left w:val="none" w:sz="0" w:space="0" w:color="auto"/>
        <w:bottom w:val="none" w:sz="0" w:space="0" w:color="auto"/>
        <w:right w:val="none" w:sz="0" w:space="0" w:color="auto"/>
      </w:divBdr>
    </w:div>
    <w:div w:id="504442282">
      <w:bodyDiv w:val="1"/>
      <w:marLeft w:val="0"/>
      <w:marRight w:val="0"/>
      <w:marTop w:val="0"/>
      <w:marBottom w:val="0"/>
      <w:divBdr>
        <w:top w:val="none" w:sz="0" w:space="0" w:color="auto"/>
        <w:left w:val="none" w:sz="0" w:space="0" w:color="auto"/>
        <w:bottom w:val="none" w:sz="0" w:space="0" w:color="auto"/>
        <w:right w:val="none" w:sz="0" w:space="0" w:color="auto"/>
      </w:divBdr>
    </w:div>
    <w:div w:id="587731091">
      <w:bodyDiv w:val="1"/>
      <w:marLeft w:val="0"/>
      <w:marRight w:val="0"/>
      <w:marTop w:val="0"/>
      <w:marBottom w:val="0"/>
      <w:divBdr>
        <w:top w:val="none" w:sz="0" w:space="0" w:color="auto"/>
        <w:left w:val="none" w:sz="0" w:space="0" w:color="auto"/>
        <w:bottom w:val="none" w:sz="0" w:space="0" w:color="auto"/>
        <w:right w:val="none" w:sz="0" w:space="0" w:color="auto"/>
      </w:divBdr>
    </w:div>
    <w:div w:id="607813344">
      <w:bodyDiv w:val="1"/>
      <w:marLeft w:val="0"/>
      <w:marRight w:val="0"/>
      <w:marTop w:val="0"/>
      <w:marBottom w:val="0"/>
      <w:divBdr>
        <w:top w:val="none" w:sz="0" w:space="0" w:color="auto"/>
        <w:left w:val="none" w:sz="0" w:space="0" w:color="auto"/>
        <w:bottom w:val="none" w:sz="0" w:space="0" w:color="auto"/>
        <w:right w:val="none" w:sz="0" w:space="0" w:color="auto"/>
      </w:divBdr>
    </w:div>
    <w:div w:id="626620879">
      <w:bodyDiv w:val="1"/>
      <w:marLeft w:val="0"/>
      <w:marRight w:val="0"/>
      <w:marTop w:val="0"/>
      <w:marBottom w:val="0"/>
      <w:divBdr>
        <w:top w:val="none" w:sz="0" w:space="0" w:color="auto"/>
        <w:left w:val="none" w:sz="0" w:space="0" w:color="auto"/>
        <w:bottom w:val="none" w:sz="0" w:space="0" w:color="auto"/>
        <w:right w:val="none" w:sz="0" w:space="0" w:color="auto"/>
      </w:divBdr>
    </w:div>
    <w:div w:id="676886207">
      <w:bodyDiv w:val="1"/>
      <w:marLeft w:val="0"/>
      <w:marRight w:val="0"/>
      <w:marTop w:val="0"/>
      <w:marBottom w:val="0"/>
      <w:divBdr>
        <w:top w:val="none" w:sz="0" w:space="0" w:color="auto"/>
        <w:left w:val="none" w:sz="0" w:space="0" w:color="auto"/>
        <w:bottom w:val="none" w:sz="0" w:space="0" w:color="auto"/>
        <w:right w:val="none" w:sz="0" w:space="0" w:color="auto"/>
      </w:divBdr>
    </w:div>
    <w:div w:id="694576960">
      <w:bodyDiv w:val="1"/>
      <w:marLeft w:val="0"/>
      <w:marRight w:val="0"/>
      <w:marTop w:val="0"/>
      <w:marBottom w:val="0"/>
      <w:divBdr>
        <w:top w:val="none" w:sz="0" w:space="0" w:color="auto"/>
        <w:left w:val="none" w:sz="0" w:space="0" w:color="auto"/>
        <w:bottom w:val="none" w:sz="0" w:space="0" w:color="auto"/>
        <w:right w:val="none" w:sz="0" w:space="0" w:color="auto"/>
      </w:divBdr>
    </w:div>
    <w:div w:id="697318549">
      <w:bodyDiv w:val="1"/>
      <w:marLeft w:val="0"/>
      <w:marRight w:val="0"/>
      <w:marTop w:val="0"/>
      <w:marBottom w:val="0"/>
      <w:divBdr>
        <w:top w:val="none" w:sz="0" w:space="0" w:color="auto"/>
        <w:left w:val="none" w:sz="0" w:space="0" w:color="auto"/>
        <w:bottom w:val="none" w:sz="0" w:space="0" w:color="auto"/>
        <w:right w:val="none" w:sz="0" w:space="0" w:color="auto"/>
      </w:divBdr>
    </w:div>
    <w:div w:id="726074631">
      <w:bodyDiv w:val="1"/>
      <w:marLeft w:val="0"/>
      <w:marRight w:val="0"/>
      <w:marTop w:val="0"/>
      <w:marBottom w:val="0"/>
      <w:divBdr>
        <w:top w:val="none" w:sz="0" w:space="0" w:color="auto"/>
        <w:left w:val="none" w:sz="0" w:space="0" w:color="auto"/>
        <w:bottom w:val="none" w:sz="0" w:space="0" w:color="auto"/>
        <w:right w:val="none" w:sz="0" w:space="0" w:color="auto"/>
      </w:divBdr>
    </w:div>
    <w:div w:id="744885891">
      <w:bodyDiv w:val="1"/>
      <w:marLeft w:val="0"/>
      <w:marRight w:val="0"/>
      <w:marTop w:val="0"/>
      <w:marBottom w:val="0"/>
      <w:divBdr>
        <w:top w:val="none" w:sz="0" w:space="0" w:color="auto"/>
        <w:left w:val="none" w:sz="0" w:space="0" w:color="auto"/>
        <w:bottom w:val="none" w:sz="0" w:space="0" w:color="auto"/>
        <w:right w:val="none" w:sz="0" w:space="0" w:color="auto"/>
      </w:divBdr>
    </w:div>
    <w:div w:id="750738933">
      <w:bodyDiv w:val="1"/>
      <w:marLeft w:val="0"/>
      <w:marRight w:val="0"/>
      <w:marTop w:val="0"/>
      <w:marBottom w:val="0"/>
      <w:divBdr>
        <w:top w:val="none" w:sz="0" w:space="0" w:color="auto"/>
        <w:left w:val="none" w:sz="0" w:space="0" w:color="auto"/>
        <w:bottom w:val="none" w:sz="0" w:space="0" w:color="auto"/>
        <w:right w:val="none" w:sz="0" w:space="0" w:color="auto"/>
      </w:divBdr>
    </w:div>
    <w:div w:id="784541260">
      <w:bodyDiv w:val="1"/>
      <w:marLeft w:val="0"/>
      <w:marRight w:val="0"/>
      <w:marTop w:val="0"/>
      <w:marBottom w:val="0"/>
      <w:divBdr>
        <w:top w:val="none" w:sz="0" w:space="0" w:color="auto"/>
        <w:left w:val="none" w:sz="0" w:space="0" w:color="auto"/>
        <w:bottom w:val="none" w:sz="0" w:space="0" w:color="auto"/>
        <w:right w:val="none" w:sz="0" w:space="0" w:color="auto"/>
      </w:divBdr>
    </w:div>
    <w:div w:id="805464356">
      <w:bodyDiv w:val="1"/>
      <w:marLeft w:val="0"/>
      <w:marRight w:val="0"/>
      <w:marTop w:val="0"/>
      <w:marBottom w:val="0"/>
      <w:divBdr>
        <w:top w:val="none" w:sz="0" w:space="0" w:color="auto"/>
        <w:left w:val="none" w:sz="0" w:space="0" w:color="auto"/>
        <w:bottom w:val="none" w:sz="0" w:space="0" w:color="auto"/>
        <w:right w:val="none" w:sz="0" w:space="0" w:color="auto"/>
      </w:divBdr>
    </w:div>
    <w:div w:id="814949374">
      <w:bodyDiv w:val="1"/>
      <w:marLeft w:val="0"/>
      <w:marRight w:val="0"/>
      <w:marTop w:val="0"/>
      <w:marBottom w:val="0"/>
      <w:divBdr>
        <w:top w:val="none" w:sz="0" w:space="0" w:color="auto"/>
        <w:left w:val="none" w:sz="0" w:space="0" w:color="auto"/>
        <w:bottom w:val="none" w:sz="0" w:space="0" w:color="auto"/>
        <w:right w:val="none" w:sz="0" w:space="0" w:color="auto"/>
      </w:divBdr>
    </w:div>
    <w:div w:id="846209526">
      <w:bodyDiv w:val="1"/>
      <w:marLeft w:val="0"/>
      <w:marRight w:val="0"/>
      <w:marTop w:val="0"/>
      <w:marBottom w:val="0"/>
      <w:divBdr>
        <w:top w:val="none" w:sz="0" w:space="0" w:color="auto"/>
        <w:left w:val="none" w:sz="0" w:space="0" w:color="auto"/>
        <w:bottom w:val="none" w:sz="0" w:space="0" w:color="auto"/>
        <w:right w:val="none" w:sz="0" w:space="0" w:color="auto"/>
      </w:divBdr>
    </w:div>
    <w:div w:id="868105565">
      <w:bodyDiv w:val="1"/>
      <w:marLeft w:val="0"/>
      <w:marRight w:val="0"/>
      <w:marTop w:val="0"/>
      <w:marBottom w:val="0"/>
      <w:divBdr>
        <w:top w:val="none" w:sz="0" w:space="0" w:color="auto"/>
        <w:left w:val="none" w:sz="0" w:space="0" w:color="auto"/>
        <w:bottom w:val="none" w:sz="0" w:space="0" w:color="auto"/>
        <w:right w:val="none" w:sz="0" w:space="0" w:color="auto"/>
      </w:divBdr>
    </w:div>
    <w:div w:id="897595825">
      <w:bodyDiv w:val="1"/>
      <w:marLeft w:val="0"/>
      <w:marRight w:val="0"/>
      <w:marTop w:val="0"/>
      <w:marBottom w:val="0"/>
      <w:divBdr>
        <w:top w:val="none" w:sz="0" w:space="0" w:color="auto"/>
        <w:left w:val="none" w:sz="0" w:space="0" w:color="auto"/>
        <w:bottom w:val="none" w:sz="0" w:space="0" w:color="auto"/>
        <w:right w:val="none" w:sz="0" w:space="0" w:color="auto"/>
      </w:divBdr>
    </w:div>
    <w:div w:id="934247660">
      <w:bodyDiv w:val="1"/>
      <w:marLeft w:val="0"/>
      <w:marRight w:val="0"/>
      <w:marTop w:val="0"/>
      <w:marBottom w:val="0"/>
      <w:divBdr>
        <w:top w:val="none" w:sz="0" w:space="0" w:color="auto"/>
        <w:left w:val="none" w:sz="0" w:space="0" w:color="auto"/>
        <w:bottom w:val="none" w:sz="0" w:space="0" w:color="auto"/>
        <w:right w:val="none" w:sz="0" w:space="0" w:color="auto"/>
      </w:divBdr>
    </w:div>
    <w:div w:id="949631839">
      <w:bodyDiv w:val="1"/>
      <w:marLeft w:val="0"/>
      <w:marRight w:val="0"/>
      <w:marTop w:val="0"/>
      <w:marBottom w:val="0"/>
      <w:divBdr>
        <w:top w:val="none" w:sz="0" w:space="0" w:color="auto"/>
        <w:left w:val="none" w:sz="0" w:space="0" w:color="auto"/>
        <w:bottom w:val="none" w:sz="0" w:space="0" w:color="auto"/>
        <w:right w:val="none" w:sz="0" w:space="0" w:color="auto"/>
      </w:divBdr>
    </w:div>
    <w:div w:id="990598059">
      <w:bodyDiv w:val="1"/>
      <w:marLeft w:val="0"/>
      <w:marRight w:val="0"/>
      <w:marTop w:val="0"/>
      <w:marBottom w:val="0"/>
      <w:divBdr>
        <w:top w:val="none" w:sz="0" w:space="0" w:color="auto"/>
        <w:left w:val="none" w:sz="0" w:space="0" w:color="auto"/>
        <w:bottom w:val="none" w:sz="0" w:space="0" w:color="auto"/>
        <w:right w:val="none" w:sz="0" w:space="0" w:color="auto"/>
      </w:divBdr>
    </w:div>
    <w:div w:id="1031804434">
      <w:bodyDiv w:val="1"/>
      <w:marLeft w:val="0"/>
      <w:marRight w:val="0"/>
      <w:marTop w:val="0"/>
      <w:marBottom w:val="0"/>
      <w:divBdr>
        <w:top w:val="none" w:sz="0" w:space="0" w:color="auto"/>
        <w:left w:val="none" w:sz="0" w:space="0" w:color="auto"/>
        <w:bottom w:val="none" w:sz="0" w:space="0" w:color="auto"/>
        <w:right w:val="none" w:sz="0" w:space="0" w:color="auto"/>
      </w:divBdr>
    </w:div>
    <w:div w:id="1040982081">
      <w:bodyDiv w:val="1"/>
      <w:marLeft w:val="0"/>
      <w:marRight w:val="0"/>
      <w:marTop w:val="0"/>
      <w:marBottom w:val="0"/>
      <w:divBdr>
        <w:top w:val="none" w:sz="0" w:space="0" w:color="auto"/>
        <w:left w:val="none" w:sz="0" w:space="0" w:color="auto"/>
        <w:bottom w:val="none" w:sz="0" w:space="0" w:color="auto"/>
        <w:right w:val="none" w:sz="0" w:space="0" w:color="auto"/>
      </w:divBdr>
    </w:div>
    <w:div w:id="1060638256">
      <w:bodyDiv w:val="1"/>
      <w:marLeft w:val="0"/>
      <w:marRight w:val="0"/>
      <w:marTop w:val="0"/>
      <w:marBottom w:val="0"/>
      <w:divBdr>
        <w:top w:val="none" w:sz="0" w:space="0" w:color="auto"/>
        <w:left w:val="none" w:sz="0" w:space="0" w:color="auto"/>
        <w:bottom w:val="none" w:sz="0" w:space="0" w:color="auto"/>
        <w:right w:val="none" w:sz="0" w:space="0" w:color="auto"/>
      </w:divBdr>
    </w:div>
    <w:div w:id="1100024691">
      <w:bodyDiv w:val="1"/>
      <w:marLeft w:val="0"/>
      <w:marRight w:val="0"/>
      <w:marTop w:val="0"/>
      <w:marBottom w:val="0"/>
      <w:divBdr>
        <w:top w:val="none" w:sz="0" w:space="0" w:color="auto"/>
        <w:left w:val="none" w:sz="0" w:space="0" w:color="auto"/>
        <w:bottom w:val="none" w:sz="0" w:space="0" w:color="auto"/>
        <w:right w:val="none" w:sz="0" w:space="0" w:color="auto"/>
      </w:divBdr>
    </w:div>
    <w:div w:id="1208183919">
      <w:bodyDiv w:val="1"/>
      <w:marLeft w:val="0"/>
      <w:marRight w:val="0"/>
      <w:marTop w:val="0"/>
      <w:marBottom w:val="0"/>
      <w:divBdr>
        <w:top w:val="none" w:sz="0" w:space="0" w:color="auto"/>
        <w:left w:val="none" w:sz="0" w:space="0" w:color="auto"/>
        <w:bottom w:val="none" w:sz="0" w:space="0" w:color="auto"/>
        <w:right w:val="none" w:sz="0" w:space="0" w:color="auto"/>
      </w:divBdr>
    </w:div>
    <w:div w:id="1274169508">
      <w:bodyDiv w:val="1"/>
      <w:marLeft w:val="0"/>
      <w:marRight w:val="0"/>
      <w:marTop w:val="0"/>
      <w:marBottom w:val="0"/>
      <w:divBdr>
        <w:top w:val="none" w:sz="0" w:space="0" w:color="auto"/>
        <w:left w:val="none" w:sz="0" w:space="0" w:color="auto"/>
        <w:bottom w:val="none" w:sz="0" w:space="0" w:color="auto"/>
        <w:right w:val="none" w:sz="0" w:space="0" w:color="auto"/>
      </w:divBdr>
    </w:div>
    <w:div w:id="1348872056">
      <w:bodyDiv w:val="1"/>
      <w:marLeft w:val="0"/>
      <w:marRight w:val="0"/>
      <w:marTop w:val="0"/>
      <w:marBottom w:val="0"/>
      <w:divBdr>
        <w:top w:val="none" w:sz="0" w:space="0" w:color="auto"/>
        <w:left w:val="none" w:sz="0" w:space="0" w:color="auto"/>
        <w:bottom w:val="none" w:sz="0" w:space="0" w:color="auto"/>
        <w:right w:val="none" w:sz="0" w:space="0" w:color="auto"/>
      </w:divBdr>
    </w:div>
    <w:div w:id="1364556306">
      <w:bodyDiv w:val="1"/>
      <w:marLeft w:val="0"/>
      <w:marRight w:val="0"/>
      <w:marTop w:val="0"/>
      <w:marBottom w:val="0"/>
      <w:divBdr>
        <w:top w:val="none" w:sz="0" w:space="0" w:color="auto"/>
        <w:left w:val="none" w:sz="0" w:space="0" w:color="auto"/>
        <w:bottom w:val="none" w:sz="0" w:space="0" w:color="auto"/>
        <w:right w:val="none" w:sz="0" w:space="0" w:color="auto"/>
      </w:divBdr>
    </w:div>
    <w:div w:id="1378815941">
      <w:bodyDiv w:val="1"/>
      <w:marLeft w:val="0"/>
      <w:marRight w:val="0"/>
      <w:marTop w:val="0"/>
      <w:marBottom w:val="0"/>
      <w:divBdr>
        <w:top w:val="none" w:sz="0" w:space="0" w:color="auto"/>
        <w:left w:val="none" w:sz="0" w:space="0" w:color="auto"/>
        <w:bottom w:val="none" w:sz="0" w:space="0" w:color="auto"/>
        <w:right w:val="none" w:sz="0" w:space="0" w:color="auto"/>
      </w:divBdr>
    </w:div>
    <w:div w:id="1385328255">
      <w:bodyDiv w:val="1"/>
      <w:marLeft w:val="0"/>
      <w:marRight w:val="0"/>
      <w:marTop w:val="0"/>
      <w:marBottom w:val="0"/>
      <w:divBdr>
        <w:top w:val="none" w:sz="0" w:space="0" w:color="auto"/>
        <w:left w:val="none" w:sz="0" w:space="0" w:color="auto"/>
        <w:bottom w:val="none" w:sz="0" w:space="0" w:color="auto"/>
        <w:right w:val="none" w:sz="0" w:space="0" w:color="auto"/>
      </w:divBdr>
    </w:div>
    <w:div w:id="1388917318">
      <w:bodyDiv w:val="1"/>
      <w:marLeft w:val="0"/>
      <w:marRight w:val="0"/>
      <w:marTop w:val="0"/>
      <w:marBottom w:val="0"/>
      <w:divBdr>
        <w:top w:val="none" w:sz="0" w:space="0" w:color="auto"/>
        <w:left w:val="none" w:sz="0" w:space="0" w:color="auto"/>
        <w:bottom w:val="none" w:sz="0" w:space="0" w:color="auto"/>
        <w:right w:val="none" w:sz="0" w:space="0" w:color="auto"/>
      </w:divBdr>
    </w:div>
    <w:div w:id="1416128026">
      <w:bodyDiv w:val="1"/>
      <w:marLeft w:val="0"/>
      <w:marRight w:val="0"/>
      <w:marTop w:val="0"/>
      <w:marBottom w:val="0"/>
      <w:divBdr>
        <w:top w:val="none" w:sz="0" w:space="0" w:color="auto"/>
        <w:left w:val="none" w:sz="0" w:space="0" w:color="auto"/>
        <w:bottom w:val="none" w:sz="0" w:space="0" w:color="auto"/>
        <w:right w:val="none" w:sz="0" w:space="0" w:color="auto"/>
      </w:divBdr>
    </w:div>
    <w:div w:id="1417826660">
      <w:bodyDiv w:val="1"/>
      <w:marLeft w:val="0"/>
      <w:marRight w:val="0"/>
      <w:marTop w:val="0"/>
      <w:marBottom w:val="0"/>
      <w:divBdr>
        <w:top w:val="none" w:sz="0" w:space="0" w:color="auto"/>
        <w:left w:val="none" w:sz="0" w:space="0" w:color="auto"/>
        <w:bottom w:val="none" w:sz="0" w:space="0" w:color="auto"/>
        <w:right w:val="none" w:sz="0" w:space="0" w:color="auto"/>
      </w:divBdr>
    </w:div>
    <w:div w:id="1453941792">
      <w:bodyDiv w:val="1"/>
      <w:marLeft w:val="0"/>
      <w:marRight w:val="0"/>
      <w:marTop w:val="0"/>
      <w:marBottom w:val="0"/>
      <w:divBdr>
        <w:top w:val="none" w:sz="0" w:space="0" w:color="auto"/>
        <w:left w:val="none" w:sz="0" w:space="0" w:color="auto"/>
        <w:bottom w:val="none" w:sz="0" w:space="0" w:color="auto"/>
        <w:right w:val="none" w:sz="0" w:space="0" w:color="auto"/>
      </w:divBdr>
    </w:div>
    <w:div w:id="1468548704">
      <w:bodyDiv w:val="1"/>
      <w:marLeft w:val="0"/>
      <w:marRight w:val="0"/>
      <w:marTop w:val="0"/>
      <w:marBottom w:val="0"/>
      <w:divBdr>
        <w:top w:val="none" w:sz="0" w:space="0" w:color="auto"/>
        <w:left w:val="none" w:sz="0" w:space="0" w:color="auto"/>
        <w:bottom w:val="none" w:sz="0" w:space="0" w:color="auto"/>
        <w:right w:val="none" w:sz="0" w:space="0" w:color="auto"/>
      </w:divBdr>
    </w:div>
    <w:div w:id="1492328542">
      <w:bodyDiv w:val="1"/>
      <w:marLeft w:val="0"/>
      <w:marRight w:val="0"/>
      <w:marTop w:val="0"/>
      <w:marBottom w:val="0"/>
      <w:divBdr>
        <w:top w:val="none" w:sz="0" w:space="0" w:color="auto"/>
        <w:left w:val="none" w:sz="0" w:space="0" w:color="auto"/>
        <w:bottom w:val="none" w:sz="0" w:space="0" w:color="auto"/>
        <w:right w:val="none" w:sz="0" w:space="0" w:color="auto"/>
      </w:divBdr>
    </w:div>
    <w:div w:id="1514296974">
      <w:bodyDiv w:val="1"/>
      <w:marLeft w:val="0"/>
      <w:marRight w:val="0"/>
      <w:marTop w:val="0"/>
      <w:marBottom w:val="0"/>
      <w:divBdr>
        <w:top w:val="none" w:sz="0" w:space="0" w:color="auto"/>
        <w:left w:val="none" w:sz="0" w:space="0" w:color="auto"/>
        <w:bottom w:val="none" w:sz="0" w:space="0" w:color="auto"/>
        <w:right w:val="none" w:sz="0" w:space="0" w:color="auto"/>
      </w:divBdr>
    </w:div>
    <w:div w:id="1552570649">
      <w:bodyDiv w:val="1"/>
      <w:marLeft w:val="0"/>
      <w:marRight w:val="0"/>
      <w:marTop w:val="0"/>
      <w:marBottom w:val="0"/>
      <w:divBdr>
        <w:top w:val="none" w:sz="0" w:space="0" w:color="auto"/>
        <w:left w:val="none" w:sz="0" w:space="0" w:color="auto"/>
        <w:bottom w:val="none" w:sz="0" w:space="0" w:color="auto"/>
        <w:right w:val="none" w:sz="0" w:space="0" w:color="auto"/>
      </w:divBdr>
    </w:div>
    <w:div w:id="1580365162">
      <w:bodyDiv w:val="1"/>
      <w:marLeft w:val="0"/>
      <w:marRight w:val="0"/>
      <w:marTop w:val="0"/>
      <w:marBottom w:val="0"/>
      <w:divBdr>
        <w:top w:val="none" w:sz="0" w:space="0" w:color="auto"/>
        <w:left w:val="none" w:sz="0" w:space="0" w:color="auto"/>
        <w:bottom w:val="none" w:sz="0" w:space="0" w:color="auto"/>
        <w:right w:val="none" w:sz="0" w:space="0" w:color="auto"/>
      </w:divBdr>
    </w:div>
    <w:div w:id="1645305629">
      <w:bodyDiv w:val="1"/>
      <w:marLeft w:val="0"/>
      <w:marRight w:val="0"/>
      <w:marTop w:val="0"/>
      <w:marBottom w:val="0"/>
      <w:divBdr>
        <w:top w:val="none" w:sz="0" w:space="0" w:color="auto"/>
        <w:left w:val="none" w:sz="0" w:space="0" w:color="auto"/>
        <w:bottom w:val="none" w:sz="0" w:space="0" w:color="auto"/>
        <w:right w:val="none" w:sz="0" w:space="0" w:color="auto"/>
      </w:divBdr>
    </w:div>
    <w:div w:id="1666081855">
      <w:bodyDiv w:val="1"/>
      <w:marLeft w:val="0"/>
      <w:marRight w:val="0"/>
      <w:marTop w:val="0"/>
      <w:marBottom w:val="0"/>
      <w:divBdr>
        <w:top w:val="none" w:sz="0" w:space="0" w:color="auto"/>
        <w:left w:val="none" w:sz="0" w:space="0" w:color="auto"/>
        <w:bottom w:val="none" w:sz="0" w:space="0" w:color="auto"/>
        <w:right w:val="none" w:sz="0" w:space="0" w:color="auto"/>
      </w:divBdr>
    </w:div>
    <w:div w:id="1670668751">
      <w:bodyDiv w:val="1"/>
      <w:marLeft w:val="0"/>
      <w:marRight w:val="0"/>
      <w:marTop w:val="0"/>
      <w:marBottom w:val="0"/>
      <w:divBdr>
        <w:top w:val="none" w:sz="0" w:space="0" w:color="auto"/>
        <w:left w:val="none" w:sz="0" w:space="0" w:color="auto"/>
        <w:bottom w:val="none" w:sz="0" w:space="0" w:color="auto"/>
        <w:right w:val="none" w:sz="0" w:space="0" w:color="auto"/>
      </w:divBdr>
    </w:div>
    <w:div w:id="1695037477">
      <w:bodyDiv w:val="1"/>
      <w:marLeft w:val="0"/>
      <w:marRight w:val="0"/>
      <w:marTop w:val="0"/>
      <w:marBottom w:val="0"/>
      <w:divBdr>
        <w:top w:val="none" w:sz="0" w:space="0" w:color="auto"/>
        <w:left w:val="none" w:sz="0" w:space="0" w:color="auto"/>
        <w:bottom w:val="none" w:sz="0" w:space="0" w:color="auto"/>
        <w:right w:val="none" w:sz="0" w:space="0" w:color="auto"/>
      </w:divBdr>
    </w:div>
    <w:div w:id="1695956055">
      <w:bodyDiv w:val="1"/>
      <w:marLeft w:val="0"/>
      <w:marRight w:val="0"/>
      <w:marTop w:val="0"/>
      <w:marBottom w:val="0"/>
      <w:divBdr>
        <w:top w:val="none" w:sz="0" w:space="0" w:color="auto"/>
        <w:left w:val="none" w:sz="0" w:space="0" w:color="auto"/>
        <w:bottom w:val="none" w:sz="0" w:space="0" w:color="auto"/>
        <w:right w:val="none" w:sz="0" w:space="0" w:color="auto"/>
      </w:divBdr>
    </w:div>
    <w:div w:id="1700548763">
      <w:bodyDiv w:val="1"/>
      <w:marLeft w:val="0"/>
      <w:marRight w:val="0"/>
      <w:marTop w:val="0"/>
      <w:marBottom w:val="0"/>
      <w:divBdr>
        <w:top w:val="none" w:sz="0" w:space="0" w:color="auto"/>
        <w:left w:val="none" w:sz="0" w:space="0" w:color="auto"/>
        <w:bottom w:val="none" w:sz="0" w:space="0" w:color="auto"/>
        <w:right w:val="none" w:sz="0" w:space="0" w:color="auto"/>
      </w:divBdr>
    </w:div>
    <w:div w:id="1722316597">
      <w:bodyDiv w:val="1"/>
      <w:marLeft w:val="0"/>
      <w:marRight w:val="0"/>
      <w:marTop w:val="0"/>
      <w:marBottom w:val="0"/>
      <w:divBdr>
        <w:top w:val="none" w:sz="0" w:space="0" w:color="auto"/>
        <w:left w:val="none" w:sz="0" w:space="0" w:color="auto"/>
        <w:bottom w:val="none" w:sz="0" w:space="0" w:color="auto"/>
        <w:right w:val="none" w:sz="0" w:space="0" w:color="auto"/>
      </w:divBdr>
    </w:div>
    <w:div w:id="1739595173">
      <w:bodyDiv w:val="1"/>
      <w:marLeft w:val="0"/>
      <w:marRight w:val="0"/>
      <w:marTop w:val="0"/>
      <w:marBottom w:val="0"/>
      <w:divBdr>
        <w:top w:val="none" w:sz="0" w:space="0" w:color="auto"/>
        <w:left w:val="none" w:sz="0" w:space="0" w:color="auto"/>
        <w:bottom w:val="none" w:sz="0" w:space="0" w:color="auto"/>
        <w:right w:val="none" w:sz="0" w:space="0" w:color="auto"/>
      </w:divBdr>
    </w:div>
    <w:div w:id="1747069313">
      <w:bodyDiv w:val="1"/>
      <w:marLeft w:val="0"/>
      <w:marRight w:val="0"/>
      <w:marTop w:val="0"/>
      <w:marBottom w:val="0"/>
      <w:divBdr>
        <w:top w:val="none" w:sz="0" w:space="0" w:color="auto"/>
        <w:left w:val="none" w:sz="0" w:space="0" w:color="auto"/>
        <w:bottom w:val="none" w:sz="0" w:space="0" w:color="auto"/>
        <w:right w:val="none" w:sz="0" w:space="0" w:color="auto"/>
      </w:divBdr>
    </w:div>
    <w:div w:id="1778408399">
      <w:bodyDiv w:val="1"/>
      <w:marLeft w:val="0"/>
      <w:marRight w:val="0"/>
      <w:marTop w:val="0"/>
      <w:marBottom w:val="0"/>
      <w:divBdr>
        <w:top w:val="none" w:sz="0" w:space="0" w:color="auto"/>
        <w:left w:val="none" w:sz="0" w:space="0" w:color="auto"/>
        <w:bottom w:val="none" w:sz="0" w:space="0" w:color="auto"/>
        <w:right w:val="none" w:sz="0" w:space="0" w:color="auto"/>
      </w:divBdr>
    </w:div>
    <w:div w:id="1826626959">
      <w:bodyDiv w:val="1"/>
      <w:marLeft w:val="0"/>
      <w:marRight w:val="0"/>
      <w:marTop w:val="0"/>
      <w:marBottom w:val="0"/>
      <w:divBdr>
        <w:top w:val="none" w:sz="0" w:space="0" w:color="auto"/>
        <w:left w:val="none" w:sz="0" w:space="0" w:color="auto"/>
        <w:bottom w:val="none" w:sz="0" w:space="0" w:color="auto"/>
        <w:right w:val="none" w:sz="0" w:space="0" w:color="auto"/>
      </w:divBdr>
    </w:div>
    <w:div w:id="1838031702">
      <w:bodyDiv w:val="1"/>
      <w:marLeft w:val="0"/>
      <w:marRight w:val="0"/>
      <w:marTop w:val="0"/>
      <w:marBottom w:val="0"/>
      <w:divBdr>
        <w:top w:val="none" w:sz="0" w:space="0" w:color="auto"/>
        <w:left w:val="none" w:sz="0" w:space="0" w:color="auto"/>
        <w:bottom w:val="none" w:sz="0" w:space="0" w:color="auto"/>
        <w:right w:val="none" w:sz="0" w:space="0" w:color="auto"/>
      </w:divBdr>
    </w:div>
    <w:div w:id="1874344020">
      <w:bodyDiv w:val="1"/>
      <w:marLeft w:val="0"/>
      <w:marRight w:val="0"/>
      <w:marTop w:val="0"/>
      <w:marBottom w:val="0"/>
      <w:divBdr>
        <w:top w:val="none" w:sz="0" w:space="0" w:color="auto"/>
        <w:left w:val="none" w:sz="0" w:space="0" w:color="auto"/>
        <w:bottom w:val="none" w:sz="0" w:space="0" w:color="auto"/>
        <w:right w:val="none" w:sz="0" w:space="0" w:color="auto"/>
      </w:divBdr>
    </w:div>
    <w:div w:id="1878741107">
      <w:bodyDiv w:val="1"/>
      <w:marLeft w:val="0"/>
      <w:marRight w:val="0"/>
      <w:marTop w:val="0"/>
      <w:marBottom w:val="0"/>
      <w:divBdr>
        <w:top w:val="none" w:sz="0" w:space="0" w:color="auto"/>
        <w:left w:val="none" w:sz="0" w:space="0" w:color="auto"/>
        <w:bottom w:val="none" w:sz="0" w:space="0" w:color="auto"/>
        <w:right w:val="none" w:sz="0" w:space="0" w:color="auto"/>
      </w:divBdr>
    </w:div>
    <w:div w:id="1900628545">
      <w:bodyDiv w:val="1"/>
      <w:marLeft w:val="0"/>
      <w:marRight w:val="0"/>
      <w:marTop w:val="0"/>
      <w:marBottom w:val="0"/>
      <w:divBdr>
        <w:top w:val="none" w:sz="0" w:space="0" w:color="auto"/>
        <w:left w:val="none" w:sz="0" w:space="0" w:color="auto"/>
        <w:bottom w:val="none" w:sz="0" w:space="0" w:color="auto"/>
        <w:right w:val="none" w:sz="0" w:space="0" w:color="auto"/>
      </w:divBdr>
    </w:div>
    <w:div w:id="1924097982">
      <w:bodyDiv w:val="1"/>
      <w:marLeft w:val="0"/>
      <w:marRight w:val="0"/>
      <w:marTop w:val="0"/>
      <w:marBottom w:val="0"/>
      <w:divBdr>
        <w:top w:val="none" w:sz="0" w:space="0" w:color="auto"/>
        <w:left w:val="none" w:sz="0" w:space="0" w:color="auto"/>
        <w:bottom w:val="none" w:sz="0" w:space="0" w:color="auto"/>
        <w:right w:val="none" w:sz="0" w:space="0" w:color="auto"/>
      </w:divBdr>
    </w:div>
    <w:div w:id="1949967545">
      <w:bodyDiv w:val="1"/>
      <w:marLeft w:val="0"/>
      <w:marRight w:val="0"/>
      <w:marTop w:val="0"/>
      <w:marBottom w:val="0"/>
      <w:divBdr>
        <w:top w:val="none" w:sz="0" w:space="0" w:color="auto"/>
        <w:left w:val="none" w:sz="0" w:space="0" w:color="auto"/>
        <w:bottom w:val="none" w:sz="0" w:space="0" w:color="auto"/>
        <w:right w:val="none" w:sz="0" w:space="0" w:color="auto"/>
      </w:divBdr>
    </w:div>
    <w:div w:id="1956787893">
      <w:bodyDiv w:val="1"/>
      <w:marLeft w:val="0"/>
      <w:marRight w:val="0"/>
      <w:marTop w:val="0"/>
      <w:marBottom w:val="0"/>
      <w:divBdr>
        <w:top w:val="none" w:sz="0" w:space="0" w:color="auto"/>
        <w:left w:val="none" w:sz="0" w:space="0" w:color="auto"/>
        <w:bottom w:val="none" w:sz="0" w:space="0" w:color="auto"/>
        <w:right w:val="none" w:sz="0" w:space="0" w:color="auto"/>
      </w:divBdr>
    </w:div>
    <w:div w:id="2009209407">
      <w:bodyDiv w:val="1"/>
      <w:marLeft w:val="0"/>
      <w:marRight w:val="0"/>
      <w:marTop w:val="0"/>
      <w:marBottom w:val="0"/>
      <w:divBdr>
        <w:top w:val="none" w:sz="0" w:space="0" w:color="auto"/>
        <w:left w:val="none" w:sz="0" w:space="0" w:color="auto"/>
        <w:bottom w:val="none" w:sz="0" w:space="0" w:color="auto"/>
        <w:right w:val="none" w:sz="0" w:space="0" w:color="auto"/>
      </w:divBdr>
    </w:div>
    <w:div w:id="2051416491">
      <w:bodyDiv w:val="1"/>
      <w:marLeft w:val="0"/>
      <w:marRight w:val="0"/>
      <w:marTop w:val="0"/>
      <w:marBottom w:val="0"/>
      <w:divBdr>
        <w:top w:val="none" w:sz="0" w:space="0" w:color="auto"/>
        <w:left w:val="none" w:sz="0" w:space="0" w:color="auto"/>
        <w:bottom w:val="none" w:sz="0" w:space="0" w:color="auto"/>
        <w:right w:val="none" w:sz="0" w:space="0" w:color="auto"/>
      </w:divBdr>
    </w:div>
    <w:div w:id="2054039120">
      <w:bodyDiv w:val="1"/>
      <w:marLeft w:val="0"/>
      <w:marRight w:val="0"/>
      <w:marTop w:val="0"/>
      <w:marBottom w:val="0"/>
      <w:divBdr>
        <w:top w:val="none" w:sz="0" w:space="0" w:color="auto"/>
        <w:left w:val="none" w:sz="0" w:space="0" w:color="auto"/>
        <w:bottom w:val="none" w:sz="0" w:space="0" w:color="auto"/>
        <w:right w:val="none" w:sz="0" w:space="0" w:color="auto"/>
      </w:divBdr>
    </w:div>
    <w:div w:id="2082634584">
      <w:bodyDiv w:val="1"/>
      <w:marLeft w:val="0"/>
      <w:marRight w:val="0"/>
      <w:marTop w:val="0"/>
      <w:marBottom w:val="0"/>
      <w:divBdr>
        <w:top w:val="none" w:sz="0" w:space="0" w:color="auto"/>
        <w:left w:val="none" w:sz="0" w:space="0" w:color="auto"/>
        <w:bottom w:val="none" w:sz="0" w:space="0" w:color="auto"/>
        <w:right w:val="none" w:sz="0" w:space="0" w:color="auto"/>
      </w:divBdr>
    </w:div>
    <w:div w:id="209731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21C2788-CF18-46BF-9DD5-66E58DA4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11158</Words>
  <Characters>61373</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Jose Chaux Donado</dc:creator>
  <cp:keywords/>
  <dc:description/>
  <cp:lastModifiedBy>Luz Stella Rojas Macias</cp:lastModifiedBy>
  <cp:revision>2</cp:revision>
  <cp:lastPrinted>2018-02-13T19:05:00Z</cp:lastPrinted>
  <dcterms:created xsi:type="dcterms:W3CDTF">2019-10-17T22:17:00Z</dcterms:created>
  <dcterms:modified xsi:type="dcterms:W3CDTF">2019-10-17T22:17:00Z</dcterms:modified>
</cp:coreProperties>
</file>