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CDB" w:rsidRPr="00FE5985" w:rsidRDefault="0004040D" w:rsidP="00755CDB">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7.15pt;margin-top:-53.35pt;width:52.5pt;height:48.75pt;z-index:251659264" fillcolor="#0c9">
            <v:imagedata r:id="rId9" o:title=""/>
          </v:shape>
          <o:OLEObject Type="Embed" ProgID="PBrush" ShapeID="_x0000_s1026" DrawAspect="Content" ObjectID="_1387969402" r:id="rId10"/>
        </w:pict>
      </w:r>
    </w:p>
    <w:p w:rsidR="00755CDB" w:rsidRPr="00FE5985" w:rsidRDefault="00755CDB" w:rsidP="00755CDB">
      <w:pPr>
        <w:pStyle w:val="Encabezado"/>
        <w:tabs>
          <w:tab w:val="clear" w:pos="8504"/>
          <w:tab w:val="left" w:pos="0"/>
          <w:tab w:val="right" w:pos="9356"/>
        </w:tabs>
        <w:ind w:left="0"/>
        <w:jc w:val="both"/>
        <w:rPr>
          <w:rFonts w:ascii="Bookman Old Style" w:hAnsi="Bookman Old Style"/>
          <w:szCs w:val="24"/>
        </w:rPr>
      </w:pPr>
    </w:p>
    <w:p w:rsidR="00755CDB" w:rsidRPr="00FE5985" w:rsidRDefault="00755CDB" w:rsidP="00755CDB">
      <w:pPr>
        <w:pStyle w:val="Ttulo4"/>
        <w:tabs>
          <w:tab w:val="left" w:pos="0"/>
          <w:tab w:val="right" w:pos="9356"/>
        </w:tabs>
        <w:ind w:left="0"/>
        <w:rPr>
          <w:rFonts w:ascii="Bookman Old Style" w:hAnsi="Bookman Old Style"/>
          <w:b w:val="0"/>
          <w:bCs/>
          <w:noProof/>
          <w:sz w:val="24"/>
          <w:szCs w:val="24"/>
          <w:lang w:val="es-ES"/>
        </w:rPr>
      </w:pPr>
      <w:r w:rsidRPr="00FE5985">
        <w:rPr>
          <w:rFonts w:ascii="Bookman Old Style" w:hAnsi="Bookman Old Style"/>
          <w:b w:val="0"/>
          <w:bCs/>
          <w:sz w:val="24"/>
          <w:szCs w:val="24"/>
        </w:rPr>
        <w:t>Ministerio de Minas y Energía</w:t>
      </w:r>
    </w:p>
    <w:p w:rsidR="00755CDB" w:rsidRPr="00FE5985" w:rsidRDefault="00755CDB" w:rsidP="00755CDB">
      <w:pPr>
        <w:pStyle w:val="Ttulo4"/>
        <w:tabs>
          <w:tab w:val="left" w:pos="0"/>
          <w:tab w:val="right" w:pos="9356"/>
        </w:tabs>
        <w:ind w:left="0"/>
        <w:rPr>
          <w:rFonts w:ascii="Bookman Old Style" w:hAnsi="Bookman Old Style"/>
          <w:b w:val="0"/>
          <w:bCs/>
          <w:sz w:val="24"/>
          <w:szCs w:val="24"/>
        </w:rPr>
      </w:pPr>
    </w:p>
    <w:p w:rsidR="00755CDB" w:rsidRPr="00FE5985" w:rsidRDefault="00755CDB" w:rsidP="00755CDB">
      <w:pPr>
        <w:pStyle w:val="Ttulo3"/>
        <w:tabs>
          <w:tab w:val="left" w:pos="0"/>
          <w:tab w:val="right" w:pos="9356"/>
        </w:tabs>
        <w:ind w:left="0"/>
        <w:rPr>
          <w:rFonts w:ascii="Bookman Old Style" w:hAnsi="Bookman Old Style" w:cs="Arial"/>
          <w:spacing w:val="20"/>
          <w:szCs w:val="24"/>
        </w:rPr>
      </w:pPr>
      <w:r w:rsidRPr="00FE5985">
        <w:rPr>
          <w:rFonts w:ascii="Bookman Old Style" w:hAnsi="Bookman Old Style" w:cs="Arial"/>
          <w:spacing w:val="20"/>
          <w:szCs w:val="24"/>
        </w:rPr>
        <w:t>COMISIÓN DE REGULACIÓN DE ENERGÍA Y GAS</w:t>
      </w:r>
    </w:p>
    <w:p w:rsidR="00755CDB" w:rsidRPr="00FE5985" w:rsidRDefault="00755CDB" w:rsidP="00755CDB">
      <w:pPr>
        <w:pStyle w:val="Ttulo5"/>
        <w:tabs>
          <w:tab w:val="left" w:pos="0"/>
          <w:tab w:val="right" w:pos="9356"/>
        </w:tabs>
        <w:ind w:left="0"/>
        <w:rPr>
          <w:rFonts w:ascii="Bookman Old Style" w:hAnsi="Bookman Old Style"/>
          <w:sz w:val="24"/>
          <w:szCs w:val="24"/>
        </w:rPr>
      </w:pPr>
    </w:p>
    <w:p w:rsidR="00755CDB" w:rsidRPr="00FE5985" w:rsidRDefault="00755CDB" w:rsidP="00755CDB">
      <w:pPr>
        <w:pStyle w:val="Ttulo5"/>
        <w:tabs>
          <w:tab w:val="left" w:pos="0"/>
          <w:tab w:val="right" w:pos="9356"/>
        </w:tabs>
        <w:ind w:left="0"/>
        <w:rPr>
          <w:rFonts w:ascii="Bookman Old Style" w:hAnsi="Bookman Old Style"/>
          <w:sz w:val="24"/>
          <w:szCs w:val="24"/>
        </w:rPr>
      </w:pPr>
    </w:p>
    <w:p w:rsidR="00755CDB" w:rsidRPr="00FE5985" w:rsidRDefault="00755CDB" w:rsidP="00755CDB">
      <w:pPr>
        <w:pStyle w:val="Ttulo5"/>
        <w:tabs>
          <w:tab w:val="left" w:pos="0"/>
          <w:tab w:val="right" w:pos="9356"/>
        </w:tabs>
        <w:ind w:left="0"/>
        <w:rPr>
          <w:rFonts w:ascii="Bookman Old Style" w:hAnsi="Bookman Old Style"/>
          <w:sz w:val="24"/>
          <w:szCs w:val="24"/>
        </w:rPr>
      </w:pPr>
      <w:r w:rsidRPr="00FE5985">
        <w:rPr>
          <w:rFonts w:ascii="Bookman Old Style" w:hAnsi="Bookman Old Style"/>
          <w:sz w:val="24"/>
          <w:szCs w:val="24"/>
        </w:rPr>
        <w:t>RESOLUCIÓN No.                   DE 2011</w:t>
      </w:r>
    </w:p>
    <w:p w:rsidR="00755CDB" w:rsidRPr="00FE5985" w:rsidRDefault="00755CDB" w:rsidP="00755CDB">
      <w:pPr>
        <w:tabs>
          <w:tab w:val="left" w:pos="0"/>
          <w:tab w:val="right" w:pos="9356"/>
        </w:tabs>
        <w:ind w:left="0"/>
        <w:jc w:val="center"/>
        <w:rPr>
          <w:rFonts w:ascii="Bookman Old Style" w:hAnsi="Bookman Old Style" w:cs="Arial"/>
          <w:b/>
          <w:snapToGrid w:val="0"/>
          <w:color w:val="000000"/>
          <w:lang w:val="es-ES_tradnl"/>
        </w:rPr>
      </w:pPr>
    </w:p>
    <w:p w:rsidR="00755CDB" w:rsidRPr="00FE5985" w:rsidRDefault="00755CDB" w:rsidP="00755CDB">
      <w:pPr>
        <w:pStyle w:val="Ttulo3"/>
        <w:tabs>
          <w:tab w:val="left" w:pos="0"/>
          <w:tab w:val="right" w:pos="9356"/>
        </w:tabs>
        <w:ind w:left="0"/>
        <w:rPr>
          <w:rFonts w:ascii="Bookman Old Style" w:hAnsi="Bookman Old Style"/>
          <w:b w:val="0"/>
          <w:snapToGrid/>
          <w:szCs w:val="24"/>
        </w:rPr>
      </w:pPr>
      <w:r w:rsidRPr="00FE5985">
        <w:rPr>
          <w:rFonts w:ascii="Bookman Old Style" w:hAnsi="Bookman Old Style"/>
          <w:b w:val="0"/>
          <w:szCs w:val="24"/>
        </w:rPr>
        <w:t>(                                  )</w:t>
      </w:r>
    </w:p>
    <w:p w:rsidR="00755CDB" w:rsidRPr="00FE5985" w:rsidRDefault="00755CDB" w:rsidP="00755CDB">
      <w:pPr>
        <w:ind w:left="0"/>
        <w:rPr>
          <w:rFonts w:ascii="Bookman Old Style" w:hAnsi="Bookman Old Style"/>
          <w:bCs/>
          <w:lang w:val="es-CO"/>
        </w:rPr>
      </w:pPr>
    </w:p>
    <w:p w:rsidR="00755CDB" w:rsidRDefault="00755CDB" w:rsidP="00755CDB">
      <w:pPr>
        <w:pStyle w:val="Sinespaciado"/>
        <w:jc w:val="both"/>
        <w:rPr>
          <w:rFonts w:ascii="Bookman Old Style" w:hAnsi="Bookman Old Style" w:cs="Arial"/>
          <w:b/>
          <w:sz w:val="24"/>
          <w:szCs w:val="24"/>
        </w:rPr>
      </w:pPr>
    </w:p>
    <w:p w:rsidR="00E97C36" w:rsidRPr="00FE5985" w:rsidRDefault="00E97C36" w:rsidP="00755CDB">
      <w:pPr>
        <w:pStyle w:val="Sinespaciado"/>
        <w:jc w:val="both"/>
        <w:rPr>
          <w:rFonts w:ascii="Bookman Old Style" w:hAnsi="Bookman Old Style" w:cs="Arial"/>
          <w:b/>
          <w:sz w:val="24"/>
          <w:szCs w:val="24"/>
        </w:rPr>
      </w:pPr>
    </w:p>
    <w:p w:rsidR="00755CDB" w:rsidRPr="00FE5985" w:rsidRDefault="00755CDB" w:rsidP="00755CDB">
      <w:pPr>
        <w:ind w:left="0"/>
        <w:jc w:val="center"/>
        <w:rPr>
          <w:rFonts w:ascii="Bookman Old Style" w:hAnsi="Bookman Old Style" w:cs="Arial"/>
          <w:lang w:eastAsia="es-CO"/>
        </w:rPr>
      </w:pPr>
      <w:r>
        <w:rPr>
          <w:rFonts w:ascii="Bookman Old Style" w:hAnsi="Bookman Old Style" w:cs="Arial"/>
          <w:color w:val="000000" w:themeColor="text1"/>
          <w:lang w:eastAsia="es-CO"/>
        </w:rPr>
        <w:t>Por la cual se decide el recurso de reposición interpuesto</w:t>
      </w:r>
      <w:r w:rsidR="00455A5B">
        <w:rPr>
          <w:rFonts w:ascii="Bookman Old Style" w:hAnsi="Bookman Old Style" w:cs="Arial"/>
          <w:color w:val="000000" w:themeColor="text1"/>
          <w:lang w:eastAsia="es-CO"/>
        </w:rPr>
        <w:t xml:space="preserve"> por Empresas Públicas de Medellín </w:t>
      </w:r>
      <w:r w:rsidR="00455A5B" w:rsidRPr="000210E1">
        <w:rPr>
          <w:rFonts w:ascii="Bookman Old Style" w:hAnsi="Bookman Old Style" w:cs="Arial"/>
          <w:color w:val="000000" w:themeColor="text1"/>
          <w:lang w:eastAsia="es-CO"/>
        </w:rPr>
        <w:t>E.S.P</w:t>
      </w:r>
      <w:r w:rsidR="00455A5B">
        <w:rPr>
          <w:rFonts w:ascii="Bookman Old Style" w:hAnsi="Bookman Old Style" w:cs="Arial"/>
          <w:color w:val="000000" w:themeColor="text1"/>
          <w:lang w:eastAsia="es-CO"/>
        </w:rPr>
        <w:t xml:space="preserve"> </w:t>
      </w:r>
      <w:r>
        <w:rPr>
          <w:rFonts w:ascii="Bookman Old Style" w:hAnsi="Bookman Old Style" w:cs="Arial"/>
          <w:color w:val="000000" w:themeColor="text1"/>
          <w:lang w:eastAsia="es-CO"/>
        </w:rPr>
        <w:t>en contra de la Resolución CREG 104 de 2011</w:t>
      </w:r>
      <w:r w:rsidRPr="00FE5985">
        <w:rPr>
          <w:rFonts w:ascii="Bookman Old Style" w:hAnsi="Bookman Old Style" w:cs="Arial"/>
          <w:lang w:eastAsia="es-CO"/>
        </w:rPr>
        <w:t>.</w:t>
      </w:r>
    </w:p>
    <w:p w:rsidR="00755CDB" w:rsidRPr="00FE5985" w:rsidRDefault="00755CDB" w:rsidP="00755CDB">
      <w:pPr>
        <w:ind w:left="0"/>
        <w:jc w:val="center"/>
        <w:rPr>
          <w:rFonts w:ascii="Bookman Old Style" w:hAnsi="Bookman Old Style" w:cs="Arial"/>
        </w:rPr>
      </w:pPr>
    </w:p>
    <w:p w:rsidR="00755CDB" w:rsidRPr="00FE5985" w:rsidRDefault="00755CDB" w:rsidP="00755CDB">
      <w:pPr>
        <w:ind w:left="0"/>
        <w:jc w:val="center"/>
        <w:rPr>
          <w:rFonts w:ascii="Bookman Old Style" w:hAnsi="Bookman Old Style" w:cs="Arial"/>
        </w:rPr>
      </w:pPr>
    </w:p>
    <w:p w:rsidR="00755CDB" w:rsidRPr="00FE5985" w:rsidRDefault="00755CDB" w:rsidP="00755CDB">
      <w:pPr>
        <w:ind w:left="0"/>
        <w:jc w:val="center"/>
        <w:rPr>
          <w:rFonts w:ascii="Bookman Old Style" w:hAnsi="Bookman Old Style" w:cs="Arial"/>
          <w:b/>
        </w:rPr>
      </w:pPr>
      <w:smartTag w:uri="urn:schemas-microsoft-com:office:smarttags" w:element="PersonName">
        <w:smartTagPr>
          <w:attr w:name="ProductID" w:val="LA COMISIￓN DE"/>
        </w:smartTagPr>
        <w:r w:rsidRPr="00FE5985">
          <w:rPr>
            <w:rFonts w:ascii="Bookman Old Style" w:hAnsi="Bookman Old Style" w:cs="Arial"/>
            <w:b/>
          </w:rPr>
          <w:t>LA COMISIÓN DE</w:t>
        </w:r>
      </w:smartTag>
      <w:r w:rsidRPr="00FE5985">
        <w:rPr>
          <w:rFonts w:ascii="Bookman Old Style" w:hAnsi="Bookman Old Style" w:cs="Arial"/>
          <w:b/>
        </w:rPr>
        <w:t xml:space="preserve"> REGULACIÓN DE ENERGÍA Y GAS</w:t>
      </w:r>
    </w:p>
    <w:p w:rsidR="00755CDB" w:rsidRPr="00FE5985" w:rsidRDefault="00755CDB" w:rsidP="00755CDB">
      <w:pPr>
        <w:ind w:left="0"/>
        <w:jc w:val="center"/>
        <w:rPr>
          <w:rFonts w:ascii="Bookman Old Style" w:hAnsi="Bookman Old Style" w:cs="Arial"/>
        </w:rPr>
      </w:pPr>
    </w:p>
    <w:p w:rsidR="00755CDB" w:rsidRPr="00FE5985" w:rsidRDefault="00755CDB" w:rsidP="00755CDB">
      <w:pPr>
        <w:ind w:left="0"/>
        <w:jc w:val="center"/>
        <w:rPr>
          <w:rFonts w:ascii="Bookman Old Style" w:hAnsi="Bookman Old Style" w:cs="Arial"/>
        </w:rPr>
      </w:pPr>
    </w:p>
    <w:p w:rsidR="00755CDB" w:rsidRPr="00FE5985" w:rsidRDefault="00755CDB" w:rsidP="00755CDB">
      <w:pPr>
        <w:ind w:left="0"/>
        <w:jc w:val="center"/>
        <w:rPr>
          <w:rFonts w:ascii="Bookman Old Style" w:hAnsi="Bookman Old Style" w:cs="Arial"/>
        </w:rPr>
      </w:pPr>
      <w:r w:rsidRPr="00FE5985">
        <w:rPr>
          <w:rFonts w:ascii="Bookman Old Style" w:hAnsi="Bookman Old Style" w:cs="Arial"/>
        </w:rPr>
        <w:t>En ejercicio de las atribuciones legales, en especial las conferidas por las Leyes 142 y 143 de 1994, y en desarrollo de los Decretos 1524 y 2253 de 1994 y 2696 de 2004, y</w:t>
      </w:r>
    </w:p>
    <w:p w:rsidR="00755CDB" w:rsidRPr="00FE5985" w:rsidRDefault="00755CDB" w:rsidP="00755CDB">
      <w:pPr>
        <w:ind w:left="0"/>
        <w:jc w:val="center"/>
        <w:rPr>
          <w:rFonts w:ascii="Bookman Old Style" w:hAnsi="Bookman Old Style" w:cs="Arial"/>
        </w:rPr>
      </w:pPr>
    </w:p>
    <w:p w:rsidR="00755CDB" w:rsidRPr="00FE5985" w:rsidRDefault="00755CDB" w:rsidP="00755CDB">
      <w:pPr>
        <w:ind w:left="0"/>
        <w:jc w:val="center"/>
        <w:rPr>
          <w:rFonts w:ascii="Bookman Old Style" w:hAnsi="Bookman Old Style" w:cs="Arial"/>
        </w:rPr>
      </w:pPr>
    </w:p>
    <w:p w:rsidR="00755CDB" w:rsidRPr="00FE5985" w:rsidRDefault="00755CDB" w:rsidP="00755CDB">
      <w:pPr>
        <w:ind w:left="0"/>
        <w:jc w:val="center"/>
        <w:rPr>
          <w:rFonts w:ascii="Bookman Old Style" w:hAnsi="Bookman Old Style" w:cs="Arial"/>
        </w:rPr>
      </w:pPr>
      <w:r w:rsidRPr="00FE5985">
        <w:rPr>
          <w:rFonts w:ascii="Bookman Old Style" w:hAnsi="Bookman Old Style" w:cs="Arial"/>
          <w:b/>
        </w:rPr>
        <w:t>C O N S I D E R A N D O:</w:t>
      </w:r>
    </w:p>
    <w:p w:rsidR="00755CDB" w:rsidRPr="00FE5985" w:rsidRDefault="00755CDB" w:rsidP="00755CDB">
      <w:pPr>
        <w:ind w:left="0"/>
        <w:rPr>
          <w:rFonts w:ascii="Bookman Old Style" w:hAnsi="Bookman Old Style" w:cs="Arial"/>
        </w:rPr>
      </w:pPr>
    </w:p>
    <w:p w:rsidR="00755CDB" w:rsidRPr="002C15D9" w:rsidRDefault="00755CDB" w:rsidP="00755CDB">
      <w:pPr>
        <w:ind w:left="0"/>
        <w:rPr>
          <w:rFonts w:ascii="Bookman Old Style" w:hAnsi="Bookman Old Style" w:cs="Arial"/>
          <w:sz w:val="16"/>
        </w:rPr>
      </w:pPr>
    </w:p>
    <w:p w:rsidR="00755CDB" w:rsidRDefault="00755CDB" w:rsidP="00755CDB">
      <w:pPr>
        <w:pStyle w:val="Ttulo1"/>
        <w:numPr>
          <w:ilvl w:val="0"/>
          <w:numId w:val="1"/>
        </w:numPr>
        <w:ind w:hanging="720"/>
        <w:jc w:val="left"/>
        <w:rPr>
          <w:rFonts w:ascii="Bookman Old Style" w:hAnsi="Bookman Old Style"/>
          <w:szCs w:val="24"/>
        </w:rPr>
      </w:pPr>
      <w:r w:rsidRPr="00FE5985">
        <w:rPr>
          <w:rFonts w:ascii="Bookman Old Style" w:hAnsi="Bookman Old Style"/>
          <w:szCs w:val="24"/>
        </w:rPr>
        <w:t>ANTECEDENTES</w:t>
      </w:r>
    </w:p>
    <w:p w:rsidR="00755CDB" w:rsidRDefault="00755CDB" w:rsidP="00755CDB">
      <w:pPr>
        <w:pStyle w:val="Textoindependiente"/>
        <w:ind w:left="0"/>
        <w:jc w:val="both"/>
        <w:rPr>
          <w:rFonts w:ascii="Times New Roman" w:hAnsi="Times New Roman" w:cs="Times New Roman"/>
          <w:b w:val="0"/>
          <w:bCs w:val="0"/>
          <w:lang w:val="es-CO"/>
        </w:rPr>
      </w:pPr>
    </w:p>
    <w:p w:rsidR="00755CDB" w:rsidRPr="003A27FF" w:rsidRDefault="00755CDB" w:rsidP="00755CDB">
      <w:pPr>
        <w:pStyle w:val="Textoindependiente"/>
        <w:ind w:left="0"/>
        <w:jc w:val="both"/>
        <w:rPr>
          <w:rFonts w:ascii="Bookman Old Style" w:hAnsi="Bookman Old Style"/>
          <w:b w:val="0"/>
          <w:i/>
        </w:rPr>
      </w:pPr>
      <w:r w:rsidRPr="003A27FF">
        <w:rPr>
          <w:rFonts w:ascii="Bookman Old Style" w:hAnsi="Bookman Old Style" w:cs="Times New Roman"/>
          <w:b w:val="0"/>
          <w:bCs w:val="0"/>
          <w:lang w:val="es-CO"/>
        </w:rPr>
        <w:t>Mediante la Resolución CREG</w:t>
      </w:r>
      <w:r>
        <w:rPr>
          <w:rFonts w:ascii="Bookman Old Style" w:hAnsi="Bookman Old Style" w:cs="Times New Roman"/>
          <w:b w:val="0"/>
          <w:bCs w:val="0"/>
          <w:lang w:val="es-CO"/>
        </w:rPr>
        <w:t xml:space="preserve"> 104 de 2011, la </w:t>
      </w:r>
      <w:r w:rsidR="00E220FC">
        <w:rPr>
          <w:rFonts w:ascii="Bookman Old Style" w:hAnsi="Bookman Old Style" w:cs="Times New Roman"/>
          <w:b w:val="0"/>
          <w:bCs w:val="0"/>
          <w:lang w:val="es-CO"/>
        </w:rPr>
        <w:t>Comisión</w:t>
      </w:r>
      <w:r>
        <w:rPr>
          <w:rFonts w:ascii="Bookman Old Style" w:hAnsi="Bookman Old Style" w:cs="Times New Roman"/>
          <w:b w:val="0"/>
          <w:bCs w:val="0"/>
          <w:lang w:val="es-CO"/>
        </w:rPr>
        <w:t xml:space="preserve"> de </w:t>
      </w:r>
      <w:r w:rsidR="00E220FC">
        <w:rPr>
          <w:rFonts w:ascii="Bookman Old Style" w:hAnsi="Bookman Old Style" w:cs="Times New Roman"/>
          <w:b w:val="0"/>
          <w:bCs w:val="0"/>
          <w:lang w:val="es-CO"/>
        </w:rPr>
        <w:t>Regulación</w:t>
      </w:r>
      <w:r>
        <w:rPr>
          <w:rFonts w:ascii="Bookman Old Style" w:hAnsi="Bookman Old Style" w:cs="Times New Roman"/>
          <w:b w:val="0"/>
          <w:bCs w:val="0"/>
          <w:lang w:val="es-CO"/>
        </w:rPr>
        <w:t xml:space="preserve"> de </w:t>
      </w:r>
      <w:r w:rsidR="00E220FC">
        <w:rPr>
          <w:rFonts w:ascii="Bookman Old Style" w:hAnsi="Bookman Old Style" w:cs="Times New Roman"/>
          <w:b w:val="0"/>
          <w:bCs w:val="0"/>
          <w:lang w:val="es-CO"/>
        </w:rPr>
        <w:t>Energía</w:t>
      </w:r>
      <w:r>
        <w:rPr>
          <w:rFonts w:ascii="Bookman Old Style" w:hAnsi="Bookman Old Style" w:cs="Times New Roman"/>
          <w:b w:val="0"/>
          <w:bCs w:val="0"/>
          <w:lang w:val="es-CO"/>
        </w:rPr>
        <w:t xml:space="preserve"> y Gas –CREG, </w:t>
      </w:r>
      <w:r w:rsidR="00E220FC">
        <w:rPr>
          <w:rFonts w:ascii="Bookman Old Style" w:hAnsi="Bookman Old Style" w:cs="Times New Roman"/>
          <w:b w:val="0"/>
          <w:bCs w:val="0"/>
          <w:lang w:val="es-CO"/>
        </w:rPr>
        <w:t>decidió</w:t>
      </w:r>
      <w:r>
        <w:rPr>
          <w:rFonts w:ascii="Bookman Old Style" w:hAnsi="Bookman Old Style" w:cs="Times New Roman"/>
          <w:b w:val="0"/>
          <w:bCs w:val="0"/>
          <w:lang w:val="es-CO"/>
        </w:rPr>
        <w:t xml:space="preserve"> la actuación administrativa 2011-0049</w:t>
      </w:r>
      <w:r w:rsidR="00F24BBC">
        <w:rPr>
          <w:rFonts w:ascii="Bookman Old Style" w:hAnsi="Bookman Old Style" w:cs="Times New Roman"/>
          <w:b w:val="0"/>
          <w:bCs w:val="0"/>
          <w:lang w:val="es-CO"/>
        </w:rPr>
        <w:t>;</w:t>
      </w:r>
      <w:r>
        <w:rPr>
          <w:rFonts w:ascii="Bookman Old Style" w:hAnsi="Bookman Old Style" w:cs="Times New Roman"/>
          <w:b w:val="0"/>
          <w:bCs w:val="0"/>
          <w:lang w:val="es-CO"/>
        </w:rPr>
        <w:t xml:space="preserve"> “</w:t>
      </w:r>
      <w:r w:rsidR="00E220FC" w:rsidRPr="00E220FC">
        <w:rPr>
          <w:rFonts w:ascii="Bookman Old Style" w:hAnsi="Bookman Old Style"/>
          <w:b w:val="0"/>
          <w:i/>
        </w:rPr>
        <w:t>iniciada con fundamento en el informe adicional de verificación de la curva S y del cronograma del proyecto y puesta en operación de la planta hidroeléctrica Porce IV, elaborado por SEDIC S.A</w:t>
      </w:r>
      <w:r w:rsidR="00E220FC" w:rsidRPr="00E220FC">
        <w:rPr>
          <w:rFonts w:ascii="Bookman Old Style" w:hAnsi="Bookman Old Style"/>
          <w:b w:val="0"/>
          <w:i/>
          <w:lang w:eastAsia="es-CO"/>
        </w:rPr>
        <w:t>.</w:t>
      </w:r>
      <w:r>
        <w:rPr>
          <w:rFonts w:ascii="Bookman Old Style" w:hAnsi="Bookman Old Style" w:cs="Times New Roman"/>
          <w:b w:val="0"/>
          <w:bCs w:val="0"/>
          <w:lang w:val="es-CO"/>
        </w:rPr>
        <w:t>”</w:t>
      </w:r>
      <w:r>
        <w:rPr>
          <w:rFonts w:ascii="Bookman Old Style" w:hAnsi="Bookman Old Style"/>
          <w:b w:val="0"/>
          <w:lang w:eastAsia="es-CO"/>
        </w:rPr>
        <w:t>.</w:t>
      </w:r>
    </w:p>
    <w:p w:rsidR="00755CDB" w:rsidRPr="00FE5985" w:rsidRDefault="00755CDB" w:rsidP="00755CDB">
      <w:pPr>
        <w:pStyle w:val="Textoindependiente"/>
        <w:ind w:left="0"/>
        <w:jc w:val="both"/>
        <w:rPr>
          <w:rFonts w:ascii="Bookman Old Style" w:hAnsi="Bookman Old Style"/>
          <w:b w:val="0"/>
          <w:i/>
        </w:rPr>
      </w:pPr>
    </w:p>
    <w:p w:rsidR="00755CDB" w:rsidRPr="00FE5985" w:rsidRDefault="00755CDB" w:rsidP="00755CDB">
      <w:pPr>
        <w:pStyle w:val="Textoindependiente"/>
        <w:ind w:left="0"/>
        <w:jc w:val="both"/>
        <w:rPr>
          <w:rFonts w:ascii="Bookman Old Style" w:hAnsi="Bookman Old Style"/>
          <w:bCs w:val="0"/>
          <w:iCs/>
        </w:rPr>
      </w:pPr>
      <w:r w:rsidRPr="00FE5985">
        <w:rPr>
          <w:rFonts w:ascii="Bookman Old Style" w:hAnsi="Bookman Old Style"/>
          <w:bCs w:val="0"/>
          <w:iCs/>
        </w:rPr>
        <w:t xml:space="preserve">2. </w:t>
      </w:r>
      <w:r w:rsidRPr="00FE5985">
        <w:rPr>
          <w:rFonts w:ascii="Bookman Old Style" w:hAnsi="Bookman Old Style"/>
          <w:bCs w:val="0"/>
          <w:iCs/>
        </w:rPr>
        <w:tab/>
        <w:t>SOLICITUD</w:t>
      </w:r>
    </w:p>
    <w:p w:rsidR="00755CDB" w:rsidRDefault="00755CDB" w:rsidP="00755CDB">
      <w:pPr>
        <w:pStyle w:val="Textoindependiente"/>
        <w:ind w:left="0"/>
        <w:jc w:val="both"/>
        <w:rPr>
          <w:rFonts w:ascii="Bookman Old Style" w:hAnsi="Bookman Old Style"/>
          <w:b w:val="0"/>
          <w:lang w:eastAsia="es-CO"/>
        </w:rPr>
      </w:pPr>
    </w:p>
    <w:p w:rsidR="00755CDB" w:rsidRDefault="00E220FC" w:rsidP="00755CDB">
      <w:pPr>
        <w:pStyle w:val="Textoindependiente"/>
        <w:ind w:left="0"/>
        <w:jc w:val="both"/>
        <w:rPr>
          <w:rFonts w:ascii="Bookman Old Style" w:hAnsi="Bookman Old Style"/>
          <w:b w:val="0"/>
          <w:bCs w:val="0"/>
          <w:iCs/>
        </w:rPr>
      </w:pPr>
      <w:r>
        <w:rPr>
          <w:rFonts w:ascii="Bookman Old Style" w:hAnsi="Bookman Old Style"/>
          <w:b w:val="0"/>
          <w:lang w:eastAsia="es-CO"/>
        </w:rPr>
        <w:t>Empresas Públicas de Medellín E.S.P (en adelante EPM)</w:t>
      </w:r>
      <w:r w:rsidR="00755CDB">
        <w:rPr>
          <w:rFonts w:ascii="Bookman Old Style" w:hAnsi="Bookman Old Style"/>
          <w:b w:val="0"/>
          <w:lang w:eastAsia="es-CO"/>
        </w:rPr>
        <w:t>,</w:t>
      </w:r>
      <w:r w:rsidR="00F24BBC">
        <w:rPr>
          <w:rFonts w:ascii="Bookman Old Style" w:hAnsi="Bookman Old Style"/>
          <w:b w:val="0"/>
          <w:lang w:eastAsia="es-CO"/>
        </w:rPr>
        <w:t xml:space="preserve"> por medio de apoderado interpuso </w:t>
      </w:r>
      <w:r w:rsidR="00755CDB">
        <w:rPr>
          <w:rFonts w:ascii="Bookman Old Style" w:hAnsi="Bookman Old Style"/>
          <w:b w:val="0"/>
          <w:bCs w:val="0"/>
          <w:iCs/>
        </w:rPr>
        <w:t>recurso de reposición, plantea</w:t>
      </w:r>
      <w:r>
        <w:rPr>
          <w:rFonts w:ascii="Bookman Old Style" w:hAnsi="Bookman Old Style"/>
          <w:b w:val="0"/>
          <w:bCs w:val="0"/>
          <w:iCs/>
        </w:rPr>
        <w:t>n</w:t>
      </w:r>
      <w:r w:rsidR="00F24BBC">
        <w:rPr>
          <w:rFonts w:ascii="Bookman Old Style" w:hAnsi="Bookman Old Style"/>
          <w:b w:val="0"/>
          <w:bCs w:val="0"/>
          <w:iCs/>
        </w:rPr>
        <w:t>do</w:t>
      </w:r>
      <w:r w:rsidR="00755CDB">
        <w:rPr>
          <w:rFonts w:ascii="Bookman Old Style" w:hAnsi="Bookman Old Style"/>
          <w:b w:val="0"/>
          <w:bCs w:val="0"/>
          <w:iCs/>
        </w:rPr>
        <w:t xml:space="preserve"> lo siguiente:</w:t>
      </w:r>
      <w:r w:rsidR="00755CDB" w:rsidRPr="00367078">
        <w:rPr>
          <w:rFonts w:ascii="Bookman Old Style" w:hAnsi="Bookman Old Style"/>
          <w:b w:val="0"/>
          <w:bCs w:val="0"/>
          <w:iCs/>
        </w:rPr>
        <w:t xml:space="preserve"> </w:t>
      </w:r>
    </w:p>
    <w:p w:rsidR="00755CDB" w:rsidRDefault="00755CDB" w:rsidP="00755CDB">
      <w:pPr>
        <w:pStyle w:val="Textoindependiente"/>
        <w:ind w:left="0"/>
        <w:jc w:val="both"/>
        <w:rPr>
          <w:rFonts w:ascii="Bookman Old Style" w:hAnsi="Bookman Old Style"/>
          <w:b w:val="0"/>
          <w:bCs w:val="0"/>
          <w:iCs/>
        </w:rPr>
      </w:pPr>
    </w:p>
    <w:p w:rsidR="00755CDB" w:rsidRDefault="00755CDB" w:rsidP="00F24BBC">
      <w:pPr>
        <w:widowControl w:val="0"/>
        <w:autoSpaceDE w:val="0"/>
        <w:autoSpaceDN w:val="0"/>
        <w:adjustRightInd w:val="0"/>
        <w:jc w:val="both"/>
        <w:rPr>
          <w:rFonts w:ascii="Bookman Old Style" w:hAnsi="Bookman Old Style" w:cs="Arial"/>
          <w:i/>
        </w:rPr>
      </w:pPr>
      <w:r>
        <w:rPr>
          <w:rFonts w:ascii="Bookman Old Style" w:hAnsi="Bookman Old Style" w:cs="Arial"/>
          <w:i/>
          <w:szCs w:val="20"/>
        </w:rPr>
        <w:t>“</w:t>
      </w:r>
      <w:r w:rsidRPr="00200443">
        <w:rPr>
          <w:rFonts w:ascii="Bookman Old Style" w:hAnsi="Bookman Old Style" w:cs="Arial"/>
          <w:i/>
          <w:szCs w:val="20"/>
        </w:rPr>
        <w:t>(…)</w:t>
      </w:r>
      <w:r w:rsidR="00F24BBC">
        <w:rPr>
          <w:rFonts w:ascii="Bookman Old Style" w:hAnsi="Bookman Old Style" w:cs="Arial"/>
          <w:i/>
          <w:szCs w:val="20"/>
        </w:rPr>
        <w:t xml:space="preserve"> 1.2 </w:t>
      </w:r>
      <w:r w:rsidR="007F3C66">
        <w:rPr>
          <w:rFonts w:ascii="Bookman Old Style" w:hAnsi="Bookman Old Style" w:cs="Arial"/>
          <w:i/>
          <w:szCs w:val="20"/>
        </w:rPr>
        <w:t>Vulneración</w:t>
      </w:r>
      <w:r w:rsidR="00F24BBC">
        <w:rPr>
          <w:rFonts w:ascii="Bookman Old Style" w:hAnsi="Bookman Old Style" w:cs="Arial"/>
          <w:i/>
          <w:szCs w:val="20"/>
        </w:rPr>
        <w:t xml:space="preserve"> de Derecho de Defensa</w:t>
      </w:r>
    </w:p>
    <w:p w:rsidR="00F24BBC" w:rsidRDefault="00F24BBC" w:rsidP="00755CDB">
      <w:pPr>
        <w:widowControl w:val="0"/>
        <w:autoSpaceDE w:val="0"/>
        <w:autoSpaceDN w:val="0"/>
        <w:adjustRightInd w:val="0"/>
        <w:jc w:val="both"/>
        <w:rPr>
          <w:rFonts w:ascii="Bookman Old Style" w:hAnsi="Bookman Old Style" w:cs="Arial"/>
          <w:i/>
        </w:rPr>
      </w:pPr>
    </w:p>
    <w:p w:rsidR="00F24BBC" w:rsidRDefault="00F24BBC" w:rsidP="00755CDB">
      <w:pPr>
        <w:widowControl w:val="0"/>
        <w:autoSpaceDE w:val="0"/>
        <w:autoSpaceDN w:val="0"/>
        <w:adjustRightInd w:val="0"/>
        <w:jc w:val="both"/>
        <w:rPr>
          <w:rFonts w:ascii="Bookman Old Style" w:hAnsi="Bookman Old Style" w:cs="Arial"/>
          <w:i/>
        </w:rPr>
      </w:pPr>
      <w:r>
        <w:rPr>
          <w:rFonts w:ascii="Bookman Old Style" w:hAnsi="Bookman Old Style" w:cs="Arial"/>
          <w:i/>
        </w:rPr>
        <w:t>Es cierto que mediante la comunicación CREG E-2011-006723, EP</w:t>
      </w:r>
      <w:r w:rsidR="00B35DA9">
        <w:rPr>
          <w:rFonts w:ascii="Bookman Old Style" w:hAnsi="Bookman Old Style" w:cs="Arial"/>
          <w:i/>
        </w:rPr>
        <w:t>M</w:t>
      </w:r>
      <w:r>
        <w:rPr>
          <w:rFonts w:ascii="Bookman Old Style" w:hAnsi="Bookman Old Style" w:cs="Arial"/>
          <w:i/>
        </w:rPr>
        <w:t>; descorrió el traslado del Informe Adicional del auditor, expresando que estimaba “ajustadas a la realidad las premisas asumidas y la conclusión en el tiempo de atraso de la entrada en operación de las unidades de generación, ya que por la suspensión de los contratos, y después de calcular los tiempos requeridos para terminar con las obras, efectivamente se entra en una situación de atraso de más de 576 días que conlleva a que no sea posible cumplir con la obligación de entrada en operación del proyecto el 1° de diciembre de 2015”.</w:t>
      </w:r>
    </w:p>
    <w:p w:rsidR="009727E9" w:rsidRPr="00D65B8E" w:rsidRDefault="009727E9" w:rsidP="00755CDB">
      <w:pPr>
        <w:widowControl w:val="0"/>
        <w:autoSpaceDE w:val="0"/>
        <w:autoSpaceDN w:val="0"/>
        <w:adjustRightInd w:val="0"/>
        <w:jc w:val="both"/>
        <w:rPr>
          <w:rFonts w:ascii="Bookman Old Style" w:hAnsi="Bookman Old Style" w:cs="Arial"/>
          <w:i/>
          <w:sz w:val="22"/>
        </w:rPr>
      </w:pPr>
    </w:p>
    <w:p w:rsidR="009727E9" w:rsidRDefault="009727E9" w:rsidP="00755CDB">
      <w:pPr>
        <w:widowControl w:val="0"/>
        <w:autoSpaceDE w:val="0"/>
        <w:autoSpaceDN w:val="0"/>
        <w:adjustRightInd w:val="0"/>
        <w:jc w:val="both"/>
        <w:rPr>
          <w:rFonts w:ascii="Bookman Old Style" w:hAnsi="Bookman Old Style" w:cs="Arial"/>
          <w:i/>
        </w:rPr>
      </w:pPr>
      <w:r>
        <w:rPr>
          <w:rFonts w:ascii="Bookman Old Style" w:hAnsi="Bookman Old Style" w:cs="Arial"/>
          <w:i/>
        </w:rPr>
        <w:t xml:space="preserve">Pero no es cierto que EPM no se hubiera pronunciado sobre las razones del incumplimiento, ni mucho menos que no hubiera solicitado la valoración de un </w:t>
      </w:r>
      <w:r w:rsidR="007F3C66">
        <w:rPr>
          <w:rFonts w:ascii="Bookman Old Style" w:hAnsi="Bookman Old Style" w:cs="Arial"/>
          <w:i/>
        </w:rPr>
        <w:t>número</w:t>
      </w:r>
      <w:r>
        <w:rPr>
          <w:rFonts w:ascii="Bookman Old Style" w:hAnsi="Bookman Old Style" w:cs="Arial"/>
          <w:i/>
        </w:rPr>
        <w:t xml:space="preserve"> significativo de medios probatorios.</w:t>
      </w:r>
    </w:p>
    <w:p w:rsidR="009727E9" w:rsidRPr="00D65B8E" w:rsidRDefault="009727E9" w:rsidP="00755CDB">
      <w:pPr>
        <w:widowControl w:val="0"/>
        <w:autoSpaceDE w:val="0"/>
        <w:autoSpaceDN w:val="0"/>
        <w:adjustRightInd w:val="0"/>
        <w:jc w:val="both"/>
        <w:rPr>
          <w:rFonts w:ascii="Bookman Old Style" w:hAnsi="Bookman Old Style" w:cs="Arial"/>
          <w:i/>
          <w:sz w:val="22"/>
        </w:rPr>
      </w:pPr>
    </w:p>
    <w:p w:rsidR="009727E9" w:rsidRDefault="009727E9" w:rsidP="00755CDB">
      <w:pPr>
        <w:widowControl w:val="0"/>
        <w:autoSpaceDE w:val="0"/>
        <w:autoSpaceDN w:val="0"/>
        <w:adjustRightInd w:val="0"/>
        <w:jc w:val="both"/>
        <w:rPr>
          <w:rFonts w:ascii="Bookman Old Style" w:hAnsi="Bookman Old Style" w:cs="Arial"/>
          <w:i/>
        </w:rPr>
      </w:pPr>
      <w:r>
        <w:rPr>
          <w:rFonts w:ascii="Bookman Old Style" w:hAnsi="Bookman Old Style" w:cs="Arial"/>
          <w:i/>
        </w:rPr>
        <w:t>Por el contrario, como se explica a continuación, reiteradamente EPM le ha solicitado a la CREG reconocer que la no entrada en operación del Proyecto Hidroeléctrico Porce IV en la Fecha de Entrada Declarada (1 de diciembre de 2015), obedece a hechos imprevisibles e irresistibles que eximen de responsabilidad a EPM, y ha aportado y solicitado la práctica de un importante acervo probatorio, todo lo cual fue desconocido por la CREG en la Resolución CREG 104 del 19 de agosto de 2011, como se explica en el presente documento.</w:t>
      </w:r>
    </w:p>
    <w:p w:rsidR="009727E9" w:rsidRPr="00D65B8E" w:rsidRDefault="009727E9" w:rsidP="00755CDB">
      <w:pPr>
        <w:widowControl w:val="0"/>
        <w:autoSpaceDE w:val="0"/>
        <w:autoSpaceDN w:val="0"/>
        <w:adjustRightInd w:val="0"/>
        <w:jc w:val="both"/>
        <w:rPr>
          <w:rFonts w:ascii="Bookman Old Style" w:hAnsi="Bookman Old Style" w:cs="Arial"/>
          <w:i/>
          <w:sz w:val="22"/>
        </w:rPr>
      </w:pPr>
    </w:p>
    <w:p w:rsidR="009727E9" w:rsidRDefault="009727E9" w:rsidP="00755CDB">
      <w:pPr>
        <w:widowControl w:val="0"/>
        <w:autoSpaceDE w:val="0"/>
        <w:autoSpaceDN w:val="0"/>
        <w:adjustRightInd w:val="0"/>
        <w:jc w:val="both"/>
        <w:rPr>
          <w:rFonts w:ascii="Bookman Old Style" w:hAnsi="Bookman Old Style" w:cs="Arial"/>
          <w:i/>
        </w:rPr>
      </w:pPr>
      <w:r>
        <w:rPr>
          <w:rFonts w:ascii="Bookman Old Style" w:hAnsi="Bookman Old Style" w:cs="Arial"/>
          <w:i/>
        </w:rPr>
        <w:t>De acuerdo con lo expresa</w:t>
      </w:r>
      <w:r w:rsidR="00B35DA9">
        <w:rPr>
          <w:rFonts w:ascii="Bookman Old Style" w:hAnsi="Bookman Old Style" w:cs="Arial"/>
          <w:i/>
        </w:rPr>
        <w:t xml:space="preserve">do </w:t>
      </w:r>
      <w:r>
        <w:rPr>
          <w:rFonts w:ascii="Bookman Old Style" w:hAnsi="Bookman Old Style" w:cs="Arial"/>
          <w:i/>
        </w:rPr>
        <w:t>en el auto del 30 de mayo de 2011, la CREG dio inicio a la actuación administrativa de conformidad con lo dispuesto en el artículo 9° de la Resolución CREG 071 de 2006 (</w:t>
      </w:r>
      <w:r w:rsidRPr="009727E9">
        <w:rPr>
          <w:rFonts w:ascii="Bookman Old Style" w:hAnsi="Bookman Old Style" w:cs="Arial"/>
        </w:rPr>
        <w:t>se transcribe el encabezado de la Resolución</w:t>
      </w:r>
      <w:r>
        <w:rPr>
          <w:rFonts w:ascii="Bookman Old Style" w:hAnsi="Bookman Old Style" w:cs="Arial"/>
          <w:i/>
        </w:rPr>
        <w:t>), modificado por el artículo 13 de la Resolución CREG 061 de 2007 (</w:t>
      </w:r>
      <w:r w:rsidRPr="009727E9">
        <w:rPr>
          <w:rFonts w:ascii="Bookman Old Style" w:hAnsi="Bookman Old Style" w:cs="Arial"/>
        </w:rPr>
        <w:t>se transcribe el encabezado de la Resolución</w:t>
      </w:r>
      <w:r>
        <w:rPr>
          <w:rFonts w:ascii="Bookman Old Style" w:hAnsi="Bookman Old Style" w:cs="Arial"/>
          <w:i/>
        </w:rPr>
        <w:t>).</w:t>
      </w:r>
    </w:p>
    <w:p w:rsidR="009727E9" w:rsidRPr="00D65B8E" w:rsidRDefault="009727E9" w:rsidP="00755CDB">
      <w:pPr>
        <w:widowControl w:val="0"/>
        <w:autoSpaceDE w:val="0"/>
        <w:autoSpaceDN w:val="0"/>
        <w:adjustRightInd w:val="0"/>
        <w:jc w:val="both"/>
        <w:rPr>
          <w:rFonts w:ascii="Bookman Old Style" w:hAnsi="Bookman Old Style" w:cs="Arial"/>
          <w:i/>
          <w:sz w:val="22"/>
        </w:rPr>
      </w:pPr>
    </w:p>
    <w:p w:rsidR="009727E9" w:rsidRDefault="009727E9" w:rsidP="00755CDB">
      <w:pPr>
        <w:widowControl w:val="0"/>
        <w:autoSpaceDE w:val="0"/>
        <w:autoSpaceDN w:val="0"/>
        <w:adjustRightInd w:val="0"/>
        <w:jc w:val="both"/>
        <w:rPr>
          <w:rFonts w:ascii="Bookman Old Style" w:hAnsi="Bookman Old Style" w:cs="Arial"/>
          <w:i/>
        </w:rPr>
      </w:pPr>
      <w:r>
        <w:rPr>
          <w:rFonts w:ascii="Bookman Old Style" w:hAnsi="Bookman Old Style" w:cs="Arial"/>
          <w:i/>
        </w:rPr>
        <w:t>El parágrafo de dicho artículo dispone que en caso de (</w:t>
      </w:r>
      <w:r w:rsidRPr="009727E9">
        <w:rPr>
          <w:rFonts w:ascii="Bookman Old Style" w:hAnsi="Bookman Old Style" w:cs="Arial"/>
        </w:rPr>
        <w:t>se transcribe el parágrafo del artículo 9 de la Resolución CREG 071 de 2006, modificado por el artículo 13 de la Resolución CREG 061 de 2007</w:t>
      </w:r>
      <w:r>
        <w:rPr>
          <w:rFonts w:ascii="Bookman Old Style" w:hAnsi="Bookman Old Style" w:cs="Arial"/>
          <w:i/>
        </w:rPr>
        <w:t>).</w:t>
      </w:r>
    </w:p>
    <w:p w:rsidR="009727E9" w:rsidRPr="00D65B8E" w:rsidRDefault="009727E9" w:rsidP="00755CDB">
      <w:pPr>
        <w:widowControl w:val="0"/>
        <w:autoSpaceDE w:val="0"/>
        <w:autoSpaceDN w:val="0"/>
        <w:adjustRightInd w:val="0"/>
        <w:jc w:val="both"/>
        <w:rPr>
          <w:rFonts w:ascii="Bookman Old Style" w:hAnsi="Bookman Old Style" w:cs="Arial"/>
          <w:i/>
          <w:sz w:val="22"/>
        </w:rPr>
      </w:pPr>
    </w:p>
    <w:p w:rsidR="009727E9" w:rsidRDefault="007F3C66" w:rsidP="00755CDB">
      <w:pPr>
        <w:widowControl w:val="0"/>
        <w:autoSpaceDE w:val="0"/>
        <w:autoSpaceDN w:val="0"/>
        <w:adjustRightInd w:val="0"/>
        <w:jc w:val="both"/>
        <w:rPr>
          <w:rFonts w:ascii="Bookman Old Style" w:hAnsi="Bookman Old Style" w:cs="Arial"/>
          <w:i/>
        </w:rPr>
      </w:pPr>
      <w:r>
        <w:rPr>
          <w:rFonts w:ascii="Bookman Old Style" w:hAnsi="Bookman Old Style" w:cs="Arial"/>
          <w:i/>
        </w:rPr>
        <w:t>Además</w:t>
      </w:r>
      <w:r w:rsidR="009727E9">
        <w:rPr>
          <w:rFonts w:ascii="Bookman Old Style" w:hAnsi="Bookman Old Style" w:cs="Arial"/>
          <w:i/>
        </w:rPr>
        <w:t>, en el mencionado auto del 30 de mayo de 2011, la CREG ordeno la formación del expediente administrativo (Cfr. Ordinal cuarto, parte resolutiva).</w:t>
      </w:r>
    </w:p>
    <w:p w:rsidR="009727E9" w:rsidRPr="00D65B8E" w:rsidRDefault="009727E9" w:rsidP="00755CDB">
      <w:pPr>
        <w:widowControl w:val="0"/>
        <w:autoSpaceDE w:val="0"/>
        <w:autoSpaceDN w:val="0"/>
        <w:adjustRightInd w:val="0"/>
        <w:jc w:val="both"/>
        <w:rPr>
          <w:rFonts w:ascii="Bookman Old Style" w:hAnsi="Bookman Old Style" w:cs="Arial"/>
          <w:i/>
          <w:sz w:val="22"/>
        </w:rPr>
      </w:pPr>
    </w:p>
    <w:p w:rsidR="009727E9" w:rsidRDefault="009727E9" w:rsidP="00755CDB">
      <w:pPr>
        <w:widowControl w:val="0"/>
        <w:autoSpaceDE w:val="0"/>
        <w:autoSpaceDN w:val="0"/>
        <w:adjustRightInd w:val="0"/>
        <w:jc w:val="both"/>
        <w:rPr>
          <w:rFonts w:ascii="Bookman Old Style" w:hAnsi="Bookman Old Style" w:cs="Arial"/>
          <w:i/>
        </w:rPr>
      </w:pPr>
      <w:r>
        <w:rPr>
          <w:rFonts w:ascii="Bookman Old Style" w:hAnsi="Bookman Old Style" w:cs="Arial"/>
          <w:i/>
        </w:rPr>
        <w:t xml:space="preserve">Con respeto a la formación del expediente de la actuación administrativa, el inciso primero del </w:t>
      </w:r>
      <w:r w:rsidR="007F3C66">
        <w:rPr>
          <w:rFonts w:ascii="Bookman Old Style" w:hAnsi="Bookman Old Style" w:cs="Arial"/>
          <w:i/>
        </w:rPr>
        <w:t>artículo</w:t>
      </w:r>
      <w:r>
        <w:rPr>
          <w:rFonts w:ascii="Bookman Old Style" w:hAnsi="Bookman Old Style" w:cs="Arial"/>
          <w:i/>
        </w:rPr>
        <w:t xml:space="preserve"> 29 del Código </w:t>
      </w:r>
      <w:r w:rsidR="007F3C66">
        <w:rPr>
          <w:rFonts w:ascii="Bookman Old Style" w:hAnsi="Bookman Old Style" w:cs="Arial"/>
          <w:i/>
        </w:rPr>
        <w:t>Contencioso</w:t>
      </w:r>
      <w:r>
        <w:rPr>
          <w:rFonts w:ascii="Bookman Old Style" w:hAnsi="Bookman Old Style" w:cs="Arial"/>
          <w:i/>
        </w:rPr>
        <w:t xml:space="preserve"> </w:t>
      </w:r>
      <w:r w:rsidR="007F3C66">
        <w:rPr>
          <w:rFonts w:ascii="Bookman Old Style" w:hAnsi="Bookman Old Style" w:cs="Arial"/>
          <w:i/>
        </w:rPr>
        <w:t>Administrativo</w:t>
      </w:r>
      <w:r>
        <w:rPr>
          <w:rFonts w:ascii="Bookman Old Style" w:hAnsi="Bookman Old Style" w:cs="Arial"/>
          <w:i/>
        </w:rPr>
        <w:t xml:space="preserve"> dispones: (se transcribe parte del artículo en cita).</w:t>
      </w:r>
    </w:p>
    <w:p w:rsidR="009727E9" w:rsidRPr="00D65B8E" w:rsidRDefault="009727E9" w:rsidP="00755CDB">
      <w:pPr>
        <w:widowControl w:val="0"/>
        <w:autoSpaceDE w:val="0"/>
        <w:autoSpaceDN w:val="0"/>
        <w:adjustRightInd w:val="0"/>
        <w:jc w:val="both"/>
        <w:rPr>
          <w:rFonts w:ascii="Bookman Old Style" w:hAnsi="Bookman Old Style" w:cs="Arial"/>
          <w:i/>
          <w:sz w:val="22"/>
        </w:rPr>
      </w:pPr>
    </w:p>
    <w:p w:rsidR="009727E9" w:rsidRDefault="00753731" w:rsidP="00755CDB">
      <w:pPr>
        <w:widowControl w:val="0"/>
        <w:autoSpaceDE w:val="0"/>
        <w:autoSpaceDN w:val="0"/>
        <w:adjustRightInd w:val="0"/>
        <w:jc w:val="both"/>
        <w:rPr>
          <w:rFonts w:ascii="Bookman Old Style" w:hAnsi="Bookman Old Style" w:cs="Arial"/>
          <w:i/>
        </w:rPr>
      </w:pPr>
      <w:r>
        <w:rPr>
          <w:rFonts w:ascii="Bookman Old Style" w:hAnsi="Bookman Old Style" w:cs="Arial"/>
          <w:i/>
        </w:rPr>
        <w:t xml:space="preserve">En el presente caso, aunque la CREG ordenó la formación del expediente, ello solo fue una expresión formal de la una obligación legal, toda vez que tal orden no fue cumplida materialmente por la misma </w:t>
      </w:r>
      <w:r w:rsidR="007F3C66">
        <w:rPr>
          <w:rFonts w:ascii="Bookman Old Style" w:hAnsi="Bookman Old Style" w:cs="Arial"/>
          <w:i/>
        </w:rPr>
        <w:t>Comisión</w:t>
      </w:r>
      <w:r>
        <w:rPr>
          <w:rFonts w:ascii="Bookman Old Style" w:hAnsi="Bookman Old Style" w:cs="Arial"/>
          <w:i/>
        </w:rPr>
        <w:t xml:space="preserve">, quien en la Resolución CREG 104 del 19 de agosto de 2011 no se </w:t>
      </w:r>
      <w:r w:rsidR="007F3C66">
        <w:rPr>
          <w:rFonts w:ascii="Bookman Old Style" w:hAnsi="Bookman Old Style" w:cs="Arial"/>
          <w:i/>
        </w:rPr>
        <w:t>pronunció sobre los argum</w:t>
      </w:r>
      <w:r>
        <w:rPr>
          <w:rFonts w:ascii="Bookman Old Style" w:hAnsi="Bookman Old Style" w:cs="Arial"/>
          <w:i/>
        </w:rPr>
        <w:t>entos expuestos ni sobre las pruebas aportadas y solicitadas en las comunicaciones CREG E-2010-012362 del 30 de diciembre de 2010, E-2011-001370 del 11 de febrero de 2011, E-2011-006348 del 1° de julio de 2011 ni E-2011-09426 del 4 de octubre de 2011, los cuales son conocidos por la CREG y versan directamente sobre el asunto objeto de esta actuación.</w:t>
      </w:r>
    </w:p>
    <w:p w:rsidR="00753731" w:rsidRPr="00D65B8E" w:rsidRDefault="00753731" w:rsidP="00755CDB">
      <w:pPr>
        <w:widowControl w:val="0"/>
        <w:autoSpaceDE w:val="0"/>
        <w:autoSpaceDN w:val="0"/>
        <w:adjustRightInd w:val="0"/>
        <w:jc w:val="both"/>
        <w:rPr>
          <w:rFonts w:ascii="Bookman Old Style" w:hAnsi="Bookman Old Style" w:cs="Arial"/>
          <w:i/>
          <w:sz w:val="22"/>
        </w:rPr>
      </w:pPr>
    </w:p>
    <w:p w:rsidR="00753731" w:rsidRDefault="00753731" w:rsidP="00755CDB">
      <w:pPr>
        <w:widowControl w:val="0"/>
        <w:autoSpaceDE w:val="0"/>
        <w:autoSpaceDN w:val="0"/>
        <w:adjustRightInd w:val="0"/>
        <w:jc w:val="both"/>
        <w:rPr>
          <w:rFonts w:ascii="Bookman Old Style" w:hAnsi="Bookman Old Style" w:cs="Arial"/>
          <w:i/>
        </w:rPr>
      </w:pPr>
      <w:r>
        <w:rPr>
          <w:rFonts w:ascii="Bookman Old Style" w:hAnsi="Bookman Old Style" w:cs="Arial"/>
          <w:i/>
        </w:rPr>
        <w:t xml:space="preserve">En efecto, los dos (2) primeros documentos mencionados corresponden a la solicitud presentada por EPM a la CREG para que, previo tramite de una actuación administrativa, reconociera que la no entrada en operación del Proyecto </w:t>
      </w:r>
      <w:r w:rsidR="007F3C66">
        <w:rPr>
          <w:rFonts w:ascii="Bookman Old Style" w:hAnsi="Bookman Old Style" w:cs="Arial"/>
          <w:i/>
        </w:rPr>
        <w:t>Hidroeléctrico</w:t>
      </w:r>
      <w:r>
        <w:rPr>
          <w:rFonts w:ascii="Bookman Old Style" w:hAnsi="Bookman Old Style" w:cs="Arial"/>
          <w:i/>
        </w:rPr>
        <w:t xml:space="preserve"> Porce IV en la Fecha de Entrada Declarada (1° de diciembre de 2015), obedece a hechos imprevisibles e irresistibles que eximen de responsabilidad a EPM. Es decir, que dichos documentos versan sobre el mismo asunto que </w:t>
      </w:r>
      <w:r w:rsidR="007F3C66">
        <w:rPr>
          <w:rFonts w:ascii="Bookman Old Style" w:hAnsi="Bookman Old Style" w:cs="Arial"/>
          <w:i/>
        </w:rPr>
        <w:t>decidió</w:t>
      </w:r>
      <w:r>
        <w:rPr>
          <w:rFonts w:ascii="Bookman Old Style" w:hAnsi="Bookman Old Style" w:cs="Arial"/>
          <w:i/>
        </w:rPr>
        <w:t xml:space="preserve"> el acto administrativo recurrido.</w:t>
      </w:r>
    </w:p>
    <w:p w:rsidR="00753731" w:rsidRDefault="00753731" w:rsidP="00755CDB">
      <w:pPr>
        <w:widowControl w:val="0"/>
        <w:autoSpaceDE w:val="0"/>
        <w:autoSpaceDN w:val="0"/>
        <w:adjustRightInd w:val="0"/>
        <w:jc w:val="both"/>
        <w:rPr>
          <w:rFonts w:ascii="Bookman Old Style" w:hAnsi="Bookman Old Style" w:cs="Arial"/>
          <w:i/>
        </w:rPr>
      </w:pPr>
    </w:p>
    <w:p w:rsidR="00E97C36" w:rsidRDefault="00E97C36" w:rsidP="00755CDB">
      <w:pPr>
        <w:widowControl w:val="0"/>
        <w:autoSpaceDE w:val="0"/>
        <w:autoSpaceDN w:val="0"/>
        <w:adjustRightInd w:val="0"/>
        <w:jc w:val="both"/>
        <w:rPr>
          <w:rFonts w:ascii="Bookman Old Style" w:hAnsi="Bookman Old Style" w:cs="Arial"/>
          <w:i/>
        </w:rPr>
      </w:pPr>
    </w:p>
    <w:p w:rsidR="00300121" w:rsidRDefault="00300121" w:rsidP="00755CDB">
      <w:pPr>
        <w:widowControl w:val="0"/>
        <w:autoSpaceDE w:val="0"/>
        <w:autoSpaceDN w:val="0"/>
        <w:adjustRightInd w:val="0"/>
        <w:jc w:val="both"/>
        <w:rPr>
          <w:rFonts w:ascii="Bookman Old Style" w:hAnsi="Bookman Old Style" w:cs="Arial"/>
          <w:i/>
        </w:rPr>
      </w:pPr>
    </w:p>
    <w:p w:rsidR="00753731" w:rsidRDefault="00753731" w:rsidP="00755CDB">
      <w:pPr>
        <w:widowControl w:val="0"/>
        <w:autoSpaceDE w:val="0"/>
        <w:autoSpaceDN w:val="0"/>
        <w:adjustRightInd w:val="0"/>
        <w:jc w:val="both"/>
        <w:rPr>
          <w:rFonts w:ascii="Bookman Old Style" w:hAnsi="Bookman Old Style" w:cs="Arial"/>
          <w:i/>
        </w:rPr>
      </w:pPr>
      <w:r>
        <w:rPr>
          <w:rFonts w:ascii="Bookman Old Style" w:hAnsi="Bookman Old Style" w:cs="Arial"/>
          <w:i/>
        </w:rPr>
        <w:t xml:space="preserve">Y los otros dos (2) escritos (E-2011-006348 del 1° de julio de 2011 y E-2011-09426 del 4 de octubre de 2011) fueron presentados en el trámite de esta actuación administrativa y en ellos se reiteró la existencia de hechos que configuran un eximente de responsabilidad y se </w:t>
      </w:r>
      <w:r w:rsidR="007F3C66">
        <w:rPr>
          <w:rFonts w:ascii="Bookman Old Style" w:hAnsi="Bookman Old Style" w:cs="Arial"/>
          <w:i/>
        </w:rPr>
        <w:t>solicitó</w:t>
      </w:r>
      <w:r>
        <w:rPr>
          <w:rFonts w:ascii="Bookman Old Style" w:hAnsi="Bookman Old Style" w:cs="Arial"/>
          <w:i/>
        </w:rPr>
        <w:t xml:space="preserve"> la </w:t>
      </w:r>
      <w:r w:rsidR="007F3C66">
        <w:rPr>
          <w:rFonts w:ascii="Bookman Old Style" w:hAnsi="Bookman Old Style" w:cs="Arial"/>
          <w:i/>
        </w:rPr>
        <w:t>práctica</w:t>
      </w:r>
      <w:r>
        <w:rPr>
          <w:rFonts w:ascii="Bookman Old Style" w:hAnsi="Bookman Old Style" w:cs="Arial"/>
          <w:i/>
        </w:rPr>
        <w:t xml:space="preserve"> de pruebas, muchas de las cuales fueron aportadas.</w:t>
      </w:r>
    </w:p>
    <w:p w:rsidR="00753731" w:rsidRDefault="00753731" w:rsidP="00755CDB">
      <w:pPr>
        <w:widowControl w:val="0"/>
        <w:autoSpaceDE w:val="0"/>
        <w:autoSpaceDN w:val="0"/>
        <w:adjustRightInd w:val="0"/>
        <w:jc w:val="both"/>
        <w:rPr>
          <w:rFonts w:ascii="Bookman Old Style" w:hAnsi="Bookman Old Style" w:cs="Arial"/>
          <w:i/>
        </w:rPr>
      </w:pPr>
    </w:p>
    <w:p w:rsidR="00753731" w:rsidRDefault="00753731" w:rsidP="00755CDB">
      <w:pPr>
        <w:widowControl w:val="0"/>
        <w:autoSpaceDE w:val="0"/>
        <w:autoSpaceDN w:val="0"/>
        <w:adjustRightInd w:val="0"/>
        <w:jc w:val="both"/>
        <w:rPr>
          <w:rFonts w:ascii="Bookman Old Style" w:hAnsi="Bookman Old Style" w:cs="Arial"/>
          <w:i/>
        </w:rPr>
      </w:pPr>
      <w:r>
        <w:rPr>
          <w:rFonts w:ascii="Bookman Old Style" w:hAnsi="Bookman Old Style" w:cs="Arial"/>
          <w:i/>
        </w:rPr>
        <w:t xml:space="preserve">El texto de la comunicación con radicado CREG E-2011-006348 del 1° de julio de 2011 es del siguiente tenor, y en </w:t>
      </w:r>
      <w:r w:rsidR="00C32121">
        <w:rPr>
          <w:rFonts w:ascii="Bookman Old Style" w:hAnsi="Bookman Old Style" w:cs="Arial"/>
          <w:i/>
        </w:rPr>
        <w:t>él</w:t>
      </w:r>
      <w:r>
        <w:rPr>
          <w:rFonts w:ascii="Bookman Old Style" w:hAnsi="Bookman Old Style" w:cs="Arial"/>
          <w:i/>
        </w:rPr>
        <w:t xml:space="preserve"> se </w:t>
      </w:r>
      <w:r w:rsidR="00C32121">
        <w:rPr>
          <w:rFonts w:ascii="Bookman Old Style" w:hAnsi="Bookman Old Style" w:cs="Arial"/>
          <w:i/>
        </w:rPr>
        <w:t>solicitó</w:t>
      </w:r>
      <w:r>
        <w:rPr>
          <w:rFonts w:ascii="Bookman Old Style" w:hAnsi="Bookman Old Style" w:cs="Arial"/>
          <w:i/>
        </w:rPr>
        <w:t xml:space="preserve"> considerar los argumentos expuestos en las comunicaciones CREG E-2010-012362 del 30 de diciembre de 2010 y E-2011-001270 del 11 de febrero de 011 (SIC), así como valorar las pruebas con ellos aportadas.</w:t>
      </w:r>
    </w:p>
    <w:p w:rsidR="00753731" w:rsidRPr="009B046F" w:rsidRDefault="00753731" w:rsidP="00755CDB">
      <w:pPr>
        <w:widowControl w:val="0"/>
        <w:autoSpaceDE w:val="0"/>
        <w:autoSpaceDN w:val="0"/>
        <w:adjustRightInd w:val="0"/>
        <w:jc w:val="both"/>
        <w:rPr>
          <w:rFonts w:ascii="Bookman Old Style" w:hAnsi="Bookman Old Style" w:cs="Arial"/>
        </w:rPr>
      </w:pPr>
    </w:p>
    <w:p w:rsidR="00753731" w:rsidRDefault="00753731" w:rsidP="00755CDB">
      <w:pPr>
        <w:widowControl w:val="0"/>
        <w:autoSpaceDE w:val="0"/>
        <w:autoSpaceDN w:val="0"/>
        <w:adjustRightInd w:val="0"/>
        <w:jc w:val="both"/>
        <w:rPr>
          <w:rFonts w:ascii="Bookman Old Style" w:hAnsi="Bookman Old Style" w:cs="Arial"/>
          <w:i/>
        </w:rPr>
      </w:pPr>
      <w:r w:rsidRPr="009B046F">
        <w:rPr>
          <w:rFonts w:ascii="Bookman Old Style" w:hAnsi="Bookman Old Style" w:cs="Arial"/>
        </w:rPr>
        <w:t>(</w:t>
      </w:r>
      <w:r w:rsidR="009B046F" w:rsidRPr="009B046F">
        <w:rPr>
          <w:rFonts w:ascii="Bookman Old Style" w:hAnsi="Bookman Old Style" w:cs="Arial"/>
        </w:rPr>
        <w:t>Se transcribe el documento E-2011-006348</w:t>
      </w:r>
      <w:r w:rsidRPr="009B046F">
        <w:rPr>
          <w:rFonts w:ascii="Bookman Old Style" w:hAnsi="Bookman Old Style" w:cs="Arial"/>
        </w:rPr>
        <w:t>)</w:t>
      </w:r>
      <w:r w:rsidR="009B046F">
        <w:rPr>
          <w:rFonts w:ascii="Bookman Old Style" w:hAnsi="Bookman Old Style" w:cs="Arial"/>
          <w:i/>
        </w:rPr>
        <w:t>.</w:t>
      </w:r>
    </w:p>
    <w:p w:rsidR="009B046F" w:rsidRDefault="009B046F" w:rsidP="00755CDB">
      <w:pPr>
        <w:widowControl w:val="0"/>
        <w:autoSpaceDE w:val="0"/>
        <w:autoSpaceDN w:val="0"/>
        <w:adjustRightInd w:val="0"/>
        <w:jc w:val="both"/>
        <w:rPr>
          <w:rFonts w:ascii="Bookman Old Style" w:hAnsi="Bookman Old Style" w:cs="Arial"/>
          <w:i/>
        </w:rPr>
      </w:pPr>
    </w:p>
    <w:p w:rsidR="009B046F" w:rsidRDefault="009B046F" w:rsidP="00755CDB">
      <w:pPr>
        <w:widowControl w:val="0"/>
        <w:autoSpaceDE w:val="0"/>
        <w:autoSpaceDN w:val="0"/>
        <w:adjustRightInd w:val="0"/>
        <w:jc w:val="both"/>
        <w:rPr>
          <w:rFonts w:ascii="Bookman Old Style" w:hAnsi="Bookman Old Style" w:cs="Arial"/>
          <w:i/>
        </w:rPr>
      </w:pPr>
      <w:r>
        <w:rPr>
          <w:rFonts w:ascii="Bookman Old Style" w:hAnsi="Bookman Old Style" w:cs="Arial"/>
          <w:i/>
        </w:rPr>
        <w:t xml:space="preserve">Y en la comunicación CREG E-2011-09426 del 4 de octubre de 2011, se insistió en los siguientes términos: (se transcribe el documento </w:t>
      </w:r>
      <w:r w:rsidR="00C32121">
        <w:rPr>
          <w:rFonts w:ascii="Bookman Old Style" w:hAnsi="Bookman Old Style" w:cs="Arial"/>
          <w:i/>
        </w:rPr>
        <w:t>así</w:t>
      </w:r>
      <w:r>
        <w:rPr>
          <w:rFonts w:ascii="Bookman Old Style" w:hAnsi="Bookman Old Style" w:cs="Arial"/>
          <w:i/>
        </w:rPr>
        <w:t xml:space="preserve"> como una serie de anexos del mismo).</w:t>
      </w:r>
    </w:p>
    <w:p w:rsidR="009B046F" w:rsidRDefault="009B046F" w:rsidP="00755CDB">
      <w:pPr>
        <w:widowControl w:val="0"/>
        <w:autoSpaceDE w:val="0"/>
        <w:autoSpaceDN w:val="0"/>
        <w:adjustRightInd w:val="0"/>
        <w:jc w:val="both"/>
        <w:rPr>
          <w:rFonts w:ascii="Bookman Old Style" w:hAnsi="Bookman Old Style" w:cs="Arial"/>
          <w:i/>
        </w:rPr>
      </w:pPr>
    </w:p>
    <w:p w:rsidR="009B046F" w:rsidRDefault="009B046F" w:rsidP="00755CDB">
      <w:pPr>
        <w:widowControl w:val="0"/>
        <w:autoSpaceDE w:val="0"/>
        <w:autoSpaceDN w:val="0"/>
        <w:adjustRightInd w:val="0"/>
        <w:jc w:val="both"/>
        <w:rPr>
          <w:rFonts w:ascii="Bookman Old Style" w:hAnsi="Bookman Old Style" w:cs="Arial"/>
          <w:i/>
        </w:rPr>
      </w:pPr>
      <w:r>
        <w:rPr>
          <w:rFonts w:ascii="Bookman Old Style" w:hAnsi="Bookman Old Style" w:cs="Arial"/>
          <w:i/>
        </w:rPr>
        <w:t>En esa misma comunicación, EPM nuevamente reitero “su solicitud de que las comunicaciones E-2010-012362 del 30 de diciembre de 2010, E-2011-001370 del 11 de febrero de 2011 y E-2011-006348 del 1° de julio de 2011, incluidas sus solicitudes de pruebas y sus anexos, hagan parte del expediente administrativo y sean tenidas como prueba dentro de la actuación, tal como se solicitó en el último de los documentos mencionados”</w:t>
      </w:r>
    </w:p>
    <w:p w:rsidR="00437807" w:rsidRDefault="00437807" w:rsidP="00755CDB">
      <w:pPr>
        <w:widowControl w:val="0"/>
        <w:autoSpaceDE w:val="0"/>
        <w:autoSpaceDN w:val="0"/>
        <w:adjustRightInd w:val="0"/>
        <w:jc w:val="both"/>
        <w:rPr>
          <w:rFonts w:ascii="Bookman Old Style" w:hAnsi="Bookman Old Style" w:cs="Arial"/>
          <w:i/>
        </w:rPr>
      </w:pPr>
    </w:p>
    <w:p w:rsidR="00437807" w:rsidRDefault="00437807" w:rsidP="00755CDB">
      <w:pPr>
        <w:widowControl w:val="0"/>
        <w:autoSpaceDE w:val="0"/>
        <w:autoSpaceDN w:val="0"/>
        <w:adjustRightInd w:val="0"/>
        <w:jc w:val="both"/>
        <w:rPr>
          <w:rFonts w:ascii="Bookman Old Style" w:hAnsi="Bookman Old Style" w:cs="Arial"/>
          <w:i/>
        </w:rPr>
      </w:pPr>
      <w:r>
        <w:rPr>
          <w:rFonts w:ascii="Bookman Old Style" w:hAnsi="Bookman Old Style" w:cs="Arial"/>
          <w:i/>
        </w:rPr>
        <w:t>E</w:t>
      </w:r>
      <w:r w:rsidR="00C32121">
        <w:rPr>
          <w:rFonts w:ascii="Bookman Old Style" w:hAnsi="Bookman Old Style" w:cs="Arial"/>
          <w:i/>
        </w:rPr>
        <w:t>s</w:t>
      </w:r>
      <w:r>
        <w:rPr>
          <w:rFonts w:ascii="Bookman Old Style" w:hAnsi="Bookman Old Style" w:cs="Arial"/>
          <w:i/>
        </w:rPr>
        <w:t xml:space="preserve"> importante tener en cuenta que el artículo 34 del Código </w:t>
      </w:r>
      <w:r w:rsidR="00C32121">
        <w:rPr>
          <w:rFonts w:ascii="Bookman Old Style" w:hAnsi="Bookman Old Style" w:cs="Arial"/>
          <w:i/>
        </w:rPr>
        <w:t>Contencioso</w:t>
      </w:r>
      <w:r>
        <w:rPr>
          <w:rFonts w:ascii="Bookman Old Style" w:hAnsi="Bookman Old Style" w:cs="Arial"/>
          <w:i/>
        </w:rPr>
        <w:t xml:space="preserve"> </w:t>
      </w:r>
      <w:r w:rsidR="00C32121">
        <w:rPr>
          <w:rFonts w:ascii="Bookman Old Style" w:hAnsi="Bookman Old Style" w:cs="Arial"/>
          <w:i/>
        </w:rPr>
        <w:t>Administrativo</w:t>
      </w:r>
      <w:r>
        <w:rPr>
          <w:rFonts w:ascii="Bookman Old Style" w:hAnsi="Bookman Old Style" w:cs="Arial"/>
          <w:i/>
        </w:rPr>
        <w:t xml:space="preserve"> señala que (se transcribe parte del </w:t>
      </w:r>
      <w:r w:rsidR="00C32121">
        <w:rPr>
          <w:rFonts w:ascii="Bookman Old Style" w:hAnsi="Bookman Old Style" w:cs="Arial"/>
          <w:i/>
        </w:rPr>
        <w:t>artículo</w:t>
      </w:r>
      <w:r>
        <w:rPr>
          <w:rFonts w:ascii="Bookman Old Style" w:hAnsi="Bookman Old Style" w:cs="Arial"/>
          <w:i/>
        </w:rPr>
        <w:t xml:space="preserve"> en cita).</w:t>
      </w:r>
    </w:p>
    <w:p w:rsidR="00437807" w:rsidRDefault="00437807" w:rsidP="00755CDB">
      <w:pPr>
        <w:widowControl w:val="0"/>
        <w:autoSpaceDE w:val="0"/>
        <w:autoSpaceDN w:val="0"/>
        <w:adjustRightInd w:val="0"/>
        <w:jc w:val="both"/>
        <w:rPr>
          <w:rFonts w:ascii="Bookman Old Style" w:hAnsi="Bookman Old Style" w:cs="Arial"/>
          <w:i/>
        </w:rPr>
      </w:pPr>
    </w:p>
    <w:p w:rsidR="00437807" w:rsidRDefault="00437807" w:rsidP="00755CDB">
      <w:pPr>
        <w:widowControl w:val="0"/>
        <w:autoSpaceDE w:val="0"/>
        <w:autoSpaceDN w:val="0"/>
        <w:adjustRightInd w:val="0"/>
        <w:jc w:val="both"/>
        <w:rPr>
          <w:rFonts w:ascii="Bookman Old Style" w:hAnsi="Bookman Old Style" w:cs="Arial"/>
          <w:i/>
        </w:rPr>
      </w:pPr>
      <w:r>
        <w:rPr>
          <w:rFonts w:ascii="Bookman Old Style" w:hAnsi="Bookman Old Style" w:cs="Arial"/>
          <w:i/>
        </w:rPr>
        <w:t xml:space="preserve">Lo anterior indica que la oportunidad para presentar argumentos de defensa y </w:t>
      </w:r>
      <w:r w:rsidR="00C32121">
        <w:rPr>
          <w:rFonts w:ascii="Bookman Old Style" w:hAnsi="Bookman Old Style" w:cs="Arial"/>
          <w:i/>
        </w:rPr>
        <w:t>pedir</w:t>
      </w:r>
      <w:r>
        <w:rPr>
          <w:rFonts w:ascii="Bookman Old Style" w:hAnsi="Bookman Old Style" w:cs="Arial"/>
          <w:i/>
        </w:rPr>
        <w:t xml:space="preserve"> y presentar pruebas, no </w:t>
      </w:r>
      <w:r w:rsidR="00C32121">
        <w:rPr>
          <w:rFonts w:ascii="Bookman Old Style" w:hAnsi="Bookman Old Style" w:cs="Arial"/>
          <w:i/>
        </w:rPr>
        <w:t>está</w:t>
      </w:r>
      <w:r>
        <w:rPr>
          <w:rFonts w:ascii="Bookman Old Style" w:hAnsi="Bookman Old Style" w:cs="Arial"/>
          <w:i/>
        </w:rPr>
        <w:t xml:space="preserve"> sometida a requisito, instancia ni término alguno, y que el interesado puede hacerlo en cualquier momento, so pena de que la autoridad administrativa incurra en violación del derecho fundamental al debido proceso, en </w:t>
      </w:r>
      <w:r w:rsidR="00C32121">
        <w:rPr>
          <w:rFonts w:ascii="Bookman Old Style" w:hAnsi="Bookman Old Style" w:cs="Arial"/>
          <w:i/>
        </w:rPr>
        <w:t>es</w:t>
      </w:r>
      <w:r>
        <w:rPr>
          <w:rFonts w:ascii="Bookman Old Style" w:hAnsi="Bookman Old Style" w:cs="Arial"/>
          <w:i/>
        </w:rPr>
        <w:t>pecial, del derecho de defensa.</w:t>
      </w:r>
    </w:p>
    <w:p w:rsidR="00437807" w:rsidRDefault="00437807" w:rsidP="00755CDB">
      <w:pPr>
        <w:widowControl w:val="0"/>
        <w:autoSpaceDE w:val="0"/>
        <w:autoSpaceDN w:val="0"/>
        <w:adjustRightInd w:val="0"/>
        <w:jc w:val="both"/>
        <w:rPr>
          <w:rFonts w:ascii="Bookman Old Style" w:hAnsi="Bookman Old Style" w:cs="Arial"/>
          <w:i/>
        </w:rPr>
      </w:pPr>
    </w:p>
    <w:p w:rsidR="00437807" w:rsidRDefault="00437807" w:rsidP="00755CDB">
      <w:pPr>
        <w:widowControl w:val="0"/>
        <w:autoSpaceDE w:val="0"/>
        <w:autoSpaceDN w:val="0"/>
        <w:adjustRightInd w:val="0"/>
        <w:jc w:val="both"/>
        <w:rPr>
          <w:rFonts w:ascii="Bookman Old Style" w:hAnsi="Bookman Old Style" w:cs="Arial"/>
          <w:i/>
        </w:rPr>
      </w:pPr>
      <w:r>
        <w:rPr>
          <w:rFonts w:ascii="Bookman Old Style" w:hAnsi="Bookman Old Style" w:cs="Arial"/>
          <w:i/>
        </w:rPr>
        <w:t>Por su parte, el artículo 35 del mismo Código consagra que (se transcribe parte del artículo en cita).</w:t>
      </w:r>
    </w:p>
    <w:p w:rsidR="00437807" w:rsidRDefault="00437807" w:rsidP="00755CDB">
      <w:pPr>
        <w:widowControl w:val="0"/>
        <w:autoSpaceDE w:val="0"/>
        <w:autoSpaceDN w:val="0"/>
        <w:adjustRightInd w:val="0"/>
        <w:jc w:val="both"/>
        <w:rPr>
          <w:rFonts w:ascii="Bookman Old Style" w:hAnsi="Bookman Old Style" w:cs="Arial"/>
          <w:i/>
        </w:rPr>
      </w:pPr>
    </w:p>
    <w:p w:rsidR="00437807" w:rsidRDefault="00437807" w:rsidP="00755CDB">
      <w:pPr>
        <w:widowControl w:val="0"/>
        <w:autoSpaceDE w:val="0"/>
        <w:autoSpaceDN w:val="0"/>
        <w:adjustRightInd w:val="0"/>
        <w:jc w:val="both"/>
        <w:rPr>
          <w:rFonts w:ascii="Bookman Old Style" w:hAnsi="Bookman Old Style" w:cs="Arial"/>
          <w:i/>
        </w:rPr>
      </w:pPr>
      <w:r>
        <w:rPr>
          <w:rFonts w:ascii="Bookman Old Style" w:hAnsi="Bookman Old Style" w:cs="Arial"/>
          <w:i/>
        </w:rPr>
        <w:t xml:space="preserve">Téngase en cuenta no sólo que al expediente de la actuación administrativa, la CREG no incorporo los documentos E-2010-012362 del 30 de diciembre de 2010, E-2011-001370 del 11 de febrero de 2011, E-2011-006348 del 1° de julio de 2011 ni E-2011-09426 del 4 de octubre de 2011, como se </w:t>
      </w:r>
      <w:r w:rsidR="00C32121">
        <w:rPr>
          <w:rFonts w:ascii="Bookman Old Style" w:hAnsi="Bookman Old Style" w:cs="Arial"/>
          <w:i/>
        </w:rPr>
        <w:t>explicó</w:t>
      </w:r>
      <w:r>
        <w:rPr>
          <w:rFonts w:ascii="Bookman Old Style" w:hAnsi="Bookman Old Style" w:cs="Arial"/>
          <w:i/>
        </w:rPr>
        <w:t xml:space="preserve"> en los párrafos precedentes, sino que, </w:t>
      </w:r>
      <w:r w:rsidR="00C32121">
        <w:rPr>
          <w:rFonts w:ascii="Bookman Old Style" w:hAnsi="Bookman Old Style" w:cs="Arial"/>
          <w:i/>
        </w:rPr>
        <w:t>además</w:t>
      </w:r>
      <w:r>
        <w:rPr>
          <w:rFonts w:ascii="Bookman Old Style" w:hAnsi="Bookman Old Style" w:cs="Arial"/>
          <w:i/>
        </w:rPr>
        <w:t xml:space="preserve">, curiosamente cuando EPM presento el documentos CREG E-2011-09426 del 4 de octubre de 2011, la </w:t>
      </w:r>
      <w:r w:rsidR="00C32121">
        <w:rPr>
          <w:rFonts w:ascii="Bookman Old Style" w:hAnsi="Bookman Old Style" w:cs="Arial"/>
          <w:i/>
        </w:rPr>
        <w:t>Comisión</w:t>
      </w:r>
      <w:r>
        <w:rPr>
          <w:rFonts w:ascii="Bookman Old Style" w:hAnsi="Bookman Old Style" w:cs="Arial"/>
          <w:i/>
        </w:rPr>
        <w:t xml:space="preserve"> </w:t>
      </w:r>
      <w:r w:rsidR="00C32121">
        <w:rPr>
          <w:rFonts w:ascii="Bookman Old Style" w:hAnsi="Bookman Old Style" w:cs="Arial"/>
          <w:i/>
        </w:rPr>
        <w:t>decidió</w:t>
      </w:r>
      <w:r>
        <w:rPr>
          <w:rFonts w:ascii="Bookman Old Style" w:hAnsi="Bookman Old Style" w:cs="Arial"/>
          <w:i/>
        </w:rPr>
        <w:t xml:space="preserve"> no tenerlo en cuenta y suponer que no fue allegado a la actuación administrativa, y remitir la comunicación radicada con el número S-2001-4297 (SIC) del 7 de octubre de 2011, en cuyo encabezado con un fechador se lee “19 AGO 2011”, como si la </w:t>
      </w:r>
      <w:r w:rsidR="00C32121">
        <w:rPr>
          <w:rFonts w:ascii="Bookman Old Style" w:hAnsi="Bookman Old Style" w:cs="Arial"/>
          <w:i/>
        </w:rPr>
        <w:t>aparente</w:t>
      </w:r>
      <w:r>
        <w:rPr>
          <w:rFonts w:ascii="Bookman Old Style" w:hAnsi="Bookman Old Style" w:cs="Arial"/>
          <w:i/>
        </w:rPr>
        <w:t xml:space="preserve"> expedición de un acto administrativo que no se notifica pudiera poner surti</w:t>
      </w:r>
      <w:r w:rsidR="00C32121">
        <w:rPr>
          <w:rFonts w:ascii="Bookman Old Style" w:hAnsi="Bookman Old Style" w:cs="Arial"/>
          <w:i/>
        </w:rPr>
        <w:t>r</w:t>
      </w:r>
      <w:r>
        <w:rPr>
          <w:rFonts w:ascii="Bookman Old Style" w:hAnsi="Bookman Old Style" w:cs="Arial"/>
          <w:i/>
        </w:rPr>
        <w:t xml:space="preserve"> algún efecto jurídico.</w:t>
      </w:r>
    </w:p>
    <w:p w:rsidR="00437807" w:rsidRDefault="00437807" w:rsidP="00755CDB">
      <w:pPr>
        <w:widowControl w:val="0"/>
        <w:autoSpaceDE w:val="0"/>
        <w:autoSpaceDN w:val="0"/>
        <w:adjustRightInd w:val="0"/>
        <w:jc w:val="both"/>
        <w:rPr>
          <w:rFonts w:ascii="Bookman Old Style" w:hAnsi="Bookman Old Style" w:cs="Arial"/>
          <w:i/>
        </w:rPr>
      </w:pPr>
      <w:r>
        <w:rPr>
          <w:rFonts w:ascii="Bookman Old Style" w:hAnsi="Bookman Old Style" w:cs="Arial"/>
          <w:i/>
        </w:rPr>
        <w:t xml:space="preserve">Además, cuando EPM presentó el </w:t>
      </w:r>
      <w:r w:rsidR="00C32121">
        <w:rPr>
          <w:rFonts w:ascii="Bookman Old Style" w:hAnsi="Bookman Old Style" w:cs="Arial"/>
          <w:i/>
        </w:rPr>
        <w:t>documento</w:t>
      </w:r>
      <w:r>
        <w:rPr>
          <w:rFonts w:ascii="Bookman Old Style" w:hAnsi="Bookman Old Style" w:cs="Arial"/>
          <w:i/>
        </w:rPr>
        <w:t xml:space="preserve"> CREG E-2011-09426 del 4 de octubre de 2011, la </w:t>
      </w:r>
      <w:r w:rsidR="00C32121">
        <w:rPr>
          <w:rFonts w:ascii="Bookman Old Style" w:hAnsi="Bookman Old Style" w:cs="Arial"/>
          <w:i/>
        </w:rPr>
        <w:t>Comisión</w:t>
      </w:r>
      <w:r>
        <w:rPr>
          <w:rFonts w:ascii="Bookman Old Style" w:hAnsi="Bookman Old Style" w:cs="Arial"/>
          <w:i/>
        </w:rPr>
        <w:t xml:space="preserve"> no había iniciado los </w:t>
      </w:r>
      <w:r w:rsidR="00C32121">
        <w:rPr>
          <w:rFonts w:ascii="Bookman Old Style" w:hAnsi="Bookman Old Style" w:cs="Arial"/>
          <w:i/>
        </w:rPr>
        <w:t>trámites</w:t>
      </w:r>
      <w:r>
        <w:rPr>
          <w:rFonts w:ascii="Bookman Old Style" w:hAnsi="Bookman Old Style" w:cs="Arial"/>
          <w:i/>
        </w:rPr>
        <w:t xml:space="preserve"> de notificación </w:t>
      </w:r>
      <w:r>
        <w:rPr>
          <w:rFonts w:ascii="Bookman Old Style" w:hAnsi="Bookman Old Style" w:cs="Arial"/>
          <w:i/>
        </w:rPr>
        <w:lastRenderedPageBreak/>
        <w:t xml:space="preserve">de la Resolución CREG 104 de 2011, lo que significa que </w:t>
      </w:r>
      <w:r w:rsidR="00C32121">
        <w:rPr>
          <w:rFonts w:ascii="Bookman Old Style" w:hAnsi="Bookman Old Style" w:cs="Arial"/>
          <w:i/>
        </w:rPr>
        <w:t>aún</w:t>
      </w:r>
      <w:r>
        <w:rPr>
          <w:rFonts w:ascii="Bookman Old Style" w:hAnsi="Bookman Old Style" w:cs="Arial"/>
          <w:i/>
        </w:rPr>
        <w:t xml:space="preserve"> era procedente “pedir y decretar pruebas y allegar informaciones, sin requisitos no términos especiales”, como lo prevé el artículo 34 del Código </w:t>
      </w:r>
      <w:r w:rsidR="00C32121">
        <w:rPr>
          <w:rFonts w:ascii="Bookman Old Style" w:hAnsi="Bookman Old Style" w:cs="Arial"/>
          <w:i/>
        </w:rPr>
        <w:t>Contencioso</w:t>
      </w:r>
      <w:r>
        <w:rPr>
          <w:rFonts w:ascii="Bookman Old Style" w:hAnsi="Bookman Old Style" w:cs="Arial"/>
          <w:i/>
        </w:rPr>
        <w:t xml:space="preserve"> Administrativo.</w:t>
      </w:r>
    </w:p>
    <w:p w:rsidR="00C32121" w:rsidRPr="00300121" w:rsidRDefault="00C32121" w:rsidP="00755CDB">
      <w:pPr>
        <w:widowControl w:val="0"/>
        <w:autoSpaceDE w:val="0"/>
        <w:autoSpaceDN w:val="0"/>
        <w:adjustRightInd w:val="0"/>
        <w:jc w:val="both"/>
        <w:rPr>
          <w:rFonts w:ascii="Bookman Old Style" w:hAnsi="Bookman Old Style" w:cs="Arial"/>
          <w:i/>
          <w:sz w:val="22"/>
        </w:rPr>
      </w:pPr>
    </w:p>
    <w:p w:rsidR="00C32121" w:rsidRDefault="00C32121" w:rsidP="00755CDB">
      <w:pPr>
        <w:widowControl w:val="0"/>
        <w:autoSpaceDE w:val="0"/>
        <w:autoSpaceDN w:val="0"/>
        <w:adjustRightInd w:val="0"/>
        <w:jc w:val="both"/>
        <w:rPr>
          <w:rFonts w:ascii="Bookman Old Style" w:hAnsi="Bookman Old Style" w:cs="Arial"/>
          <w:i/>
        </w:rPr>
      </w:pPr>
      <w:r>
        <w:rPr>
          <w:rFonts w:ascii="Bookman Old Style" w:hAnsi="Bookman Old Style" w:cs="Arial"/>
          <w:i/>
        </w:rPr>
        <w:t xml:space="preserve">Resultaría muy fácil cercenar el derecho de defensa y vulnerar la mencionada norma, con actuaciones como las que pretende la Comisión, quien para evitar pronunciarse sobre los escritos presentados por EPM, en los términos y formulas previstos en el marco señalado por los articulo 34 y 29 del Código Contencioso Administrativo, incluido el escrito presentado el 4 de octubre de 2011 (E-2010-012362 del 30 de diciembre de 2010, E-2011-001370 del 11 de febrero de 2011, E-2011-006348 del 1° de julio de 2011 ni E-2011-09426 del 4 de octubre de 2011), se limita a iniciar el 7 de octubre de 2011, el trámite de notificación de un acto administrativo al cual se le antepone una fecha de casi dos (2) meses antes del </w:t>
      </w:r>
      <w:r w:rsidR="005C35AD">
        <w:rPr>
          <w:rFonts w:ascii="Bookman Old Style" w:hAnsi="Bookman Old Style" w:cs="Arial"/>
          <w:i/>
        </w:rPr>
        <w:t>inicio</w:t>
      </w:r>
      <w:r>
        <w:rPr>
          <w:rFonts w:ascii="Bookman Old Style" w:hAnsi="Bookman Old Style" w:cs="Arial"/>
          <w:i/>
        </w:rPr>
        <w:t xml:space="preserve"> de su notificación.</w:t>
      </w:r>
    </w:p>
    <w:p w:rsidR="00C32121" w:rsidRPr="00300121" w:rsidRDefault="00C32121" w:rsidP="00755CDB">
      <w:pPr>
        <w:widowControl w:val="0"/>
        <w:autoSpaceDE w:val="0"/>
        <w:autoSpaceDN w:val="0"/>
        <w:adjustRightInd w:val="0"/>
        <w:jc w:val="both"/>
        <w:rPr>
          <w:rFonts w:ascii="Bookman Old Style" w:hAnsi="Bookman Old Style" w:cs="Arial"/>
          <w:i/>
          <w:sz w:val="22"/>
        </w:rPr>
      </w:pPr>
    </w:p>
    <w:p w:rsidR="00C32121" w:rsidRDefault="00C32121" w:rsidP="00755CDB">
      <w:pPr>
        <w:widowControl w:val="0"/>
        <w:autoSpaceDE w:val="0"/>
        <w:autoSpaceDN w:val="0"/>
        <w:adjustRightInd w:val="0"/>
        <w:jc w:val="both"/>
        <w:rPr>
          <w:rFonts w:ascii="Bookman Old Style" w:hAnsi="Bookman Old Style" w:cs="Arial"/>
          <w:i/>
        </w:rPr>
      </w:pPr>
      <w:r>
        <w:rPr>
          <w:rFonts w:ascii="Bookman Old Style" w:hAnsi="Bookman Old Style" w:cs="Arial"/>
          <w:i/>
        </w:rPr>
        <w:t xml:space="preserve">En lo relativo al </w:t>
      </w:r>
      <w:r w:rsidR="005C35AD">
        <w:rPr>
          <w:rFonts w:ascii="Bookman Old Style" w:hAnsi="Bookman Old Style" w:cs="Arial"/>
          <w:i/>
        </w:rPr>
        <w:t>trámite</w:t>
      </w:r>
      <w:r>
        <w:rPr>
          <w:rFonts w:ascii="Bookman Old Style" w:hAnsi="Bookman Old Style" w:cs="Arial"/>
          <w:i/>
        </w:rPr>
        <w:t xml:space="preserve"> adelantado, se considera que la CREG fue coherente al decir que el mismo se </w:t>
      </w:r>
      <w:proofErr w:type="spellStart"/>
      <w:r>
        <w:rPr>
          <w:rFonts w:ascii="Bookman Old Style" w:hAnsi="Bookman Old Style" w:cs="Arial"/>
          <w:i/>
        </w:rPr>
        <w:t>rituaba</w:t>
      </w:r>
      <w:proofErr w:type="spellEnd"/>
      <w:r>
        <w:rPr>
          <w:rFonts w:ascii="Bookman Old Style" w:hAnsi="Bookman Old Style" w:cs="Arial"/>
          <w:i/>
        </w:rPr>
        <w:t xml:space="preserve"> siguiendo los parámetros de los artículo 106 y siguientes de la Ley 142 de 1994, si se tratase de la </w:t>
      </w:r>
      <w:r w:rsidR="005C35AD">
        <w:rPr>
          <w:rFonts w:ascii="Bookman Old Style" w:hAnsi="Bookman Old Style" w:cs="Arial"/>
          <w:i/>
        </w:rPr>
        <w:t>emisión</w:t>
      </w:r>
      <w:r>
        <w:rPr>
          <w:rFonts w:ascii="Bookman Old Style" w:hAnsi="Bookman Old Style" w:cs="Arial"/>
          <w:i/>
        </w:rPr>
        <w:t xml:space="preserve"> de un “acto administrativo unilateral”, sin embargo cuando comunico a EPM la decisión de apertura de la actuación administrativa se dije (SIC) expresamente, en comunicado del 2 de junio de 2011, radicado interno N0 3310415, que: (se transcribe un aparte de la comunicación en cita)</w:t>
      </w:r>
      <w:r w:rsidR="005C35AD">
        <w:rPr>
          <w:rFonts w:ascii="Bookman Old Style" w:hAnsi="Bookman Old Style" w:cs="Arial"/>
          <w:i/>
        </w:rPr>
        <w:t>.</w:t>
      </w:r>
    </w:p>
    <w:p w:rsidR="005C35AD" w:rsidRPr="00300121" w:rsidRDefault="005C35AD" w:rsidP="00755CDB">
      <w:pPr>
        <w:widowControl w:val="0"/>
        <w:autoSpaceDE w:val="0"/>
        <w:autoSpaceDN w:val="0"/>
        <w:adjustRightInd w:val="0"/>
        <w:jc w:val="both"/>
        <w:rPr>
          <w:rFonts w:ascii="Bookman Old Style" w:hAnsi="Bookman Old Style" w:cs="Arial"/>
          <w:i/>
          <w:sz w:val="22"/>
        </w:rPr>
      </w:pPr>
    </w:p>
    <w:p w:rsidR="005C35AD" w:rsidRDefault="005C35AD" w:rsidP="00755CDB">
      <w:pPr>
        <w:widowControl w:val="0"/>
        <w:autoSpaceDE w:val="0"/>
        <w:autoSpaceDN w:val="0"/>
        <w:adjustRightInd w:val="0"/>
        <w:jc w:val="both"/>
        <w:rPr>
          <w:rFonts w:ascii="Bookman Old Style" w:hAnsi="Bookman Old Style" w:cs="Arial"/>
          <w:i/>
        </w:rPr>
      </w:pPr>
      <w:r>
        <w:rPr>
          <w:rFonts w:ascii="Bookman Old Style" w:hAnsi="Bookman Old Style" w:cs="Arial"/>
          <w:i/>
        </w:rPr>
        <w:t>Obsérvese como la CREG aludió al Código de Procedimiento Civil, que no se menciona en los artículo 106 y siguientes de la Ley 142 de 1994, normatividad esta que por lo demás, dice específicamente como han de hacerse las citaciones y comunicaciones, sin que se encuentre en esta forma especial de la citada Ley 142, que haya fijación de estados.</w:t>
      </w:r>
    </w:p>
    <w:p w:rsidR="005C35AD" w:rsidRPr="00300121" w:rsidRDefault="005C35AD" w:rsidP="00755CDB">
      <w:pPr>
        <w:widowControl w:val="0"/>
        <w:autoSpaceDE w:val="0"/>
        <w:autoSpaceDN w:val="0"/>
        <w:adjustRightInd w:val="0"/>
        <w:jc w:val="both"/>
        <w:rPr>
          <w:rFonts w:ascii="Bookman Old Style" w:hAnsi="Bookman Old Style" w:cs="Arial"/>
          <w:i/>
          <w:sz w:val="22"/>
        </w:rPr>
      </w:pPr>
    </w:p>
    <w:p w:rsidR="005C35AD" w:rsidRDefault="005C35AD" w:rsidP="00755CDB">
      <w:pPr>
        <w:widowControl w:val="0"/>
        <w:autoSpaceDE w:val="0"/>
        <w:autoSpaceDN w:val="0"/>
        <w:adjustRightInd w:val="0"/>
        <w:jc w:val="both"/>
        <w:rPr>
          <w:rFonts w:ascii="Bookman Old Style" w:hAnsi="Bookman Old Style" w:cs="Arial"/>
          <w:i/>
        </w:rPr>
      </w:pPr>
      <w:r>
        <w:rPr>
          <w:rFonts w:ascii="Bookman Old Style" w:hAnsi="Bookman Old Style" w:cs="Arial"/>
          <w:i/>
        </w:rPr>
        <w:t>Lo anterior llevó a confusión a EPM ya que nunca ha tenido claro a partir de cuándo correría el término para ejercer su defensa, término que por demás no lo trae la comunicación de la CREG, como tampoco los recursos que proceden.</w:t>
      </w:r>
    </w:p>
    <w:p w:rsidR="005C35AD" w:rsidRPr="00300121" w:rsidRDefault="005C35AD" w:rsidP="00755CDB">
      <w:pPr>
        <w:widowControl w:val="0"/>
        <w:autoSpaceDE w:val="0"/>
        <w:autoSpaceDN w:val="0"/>
        <w:adjustRightInd w:val="0"/>
        <w:jc w:val="both"/>
        <w:rPr>
          <w:rFonts w:ascii="Bookman Old Style" w:hAnsi="Bookman Old Style" w:cs="Arial"/>
          <w:i/>
          <w:sz w:val="22"/>
        </w:rPr>
      </w:pPr>
    </w:p>
    <w:p w:rsidR="005C35AD" w:rsidRDefault="005C35AD" w:rsidP="00755CDB">
      <w:pPr>
        <w:widowControl w:val="0"/>
        <w:autoSpaceDE w:val="0"/>
        <w:autoSpaceDN w:val="0"/>
        <w:adjustRightInd w:val="0"/>
        <w:jc w:val="both"/>
        <w:rPr>
          <w:rFonts w:ascii="Bookman Old Style" w:hAnsi="Bookman Old Style" w:cs="Arial"/>
          <w:i/>
        </w:rPr>
      </w:pPr>
      <w:r>
        <w:rPr>
          <w:rFonts w:ascii="Bookman Old Style" w:hAnsi="Bookman Old Style" w:cs="Arial"/>
          <w:i/>
        </w:rPr>
        <w:t>Acerca de la notificación de las actuaciones administrativas en debida forma, incluyendo aquí la “fecha cierta” de la misma, como una de las maneras de garantizar el derecho de defensa, dijo la Corte en Sentencia T-061 de 2002: (se transcribe un extracto de la sentencia).</w:t>
      </w:r>
    </w:p>
    <w:p w:rsidR="005C35AD" w:rsidRPr="00300121" w:rsidRDefault="005C35AD" w:rsidP="00755CDB">
      <w:pPr>
        <w:widowControl w:val="0"/>
        <w:autoSpaceDE w:val="0"/>
        <w:autoSpaceDN w:val="0"/>
        <w:adjustRightInd w:val="0"/>
        <w:jc w:val="both"/>
        <w:rPr>
          <w:rFonts w:ascii="Bookman Old Style" w:hAnsi="Bookman Old Style" w:cs="Arial"/>
          <w:i/>
          <w:sz w:val="22"/>
        </w:rPr>
      </w:pPr>
    </w:p>
    <w:p w:rsidR="005C35AD" w:rsidRDefault="007F3C66" w:rsidP="00755CDB">
      <w:pPr>
        <w:widowControl w:val="0"/>
        <w:autoSpaceDE w:val="0"/>
        <w:autoSpaceDN w:val="0"/>
        <w:adjustRightInd w:val="0"/>
        <w:jc w:val="both"/>
        <w:rPr>
          <w:rFonts w:ascii="Bookman Old Style" w:hAnsi="Bookman Old Style" w:cs="Arial"/>
          <w:i/>
        </w:rPr>
      </w:pPr>
      <w:r>
        <w:rPr>
          <w:rFonts w:ascii="Bookman Old Style" w:hAnsi="Bookman Old Style" w:cs="Arial"/>
          <w:i/>
        </w:rPr>
        <w:t>Si se cumple estrictamente lo que estipulan los artículo 106 y siguientes de la Ley 142 de 1994, dicho término iniciaría a partir del décimo día siguiente a aquel en que la citación o comunicación haya sido puesta al correo, pues es en ese momento en que se entiende cumplida la citación o comunicación, según lo estipula el mismo 106.</w:t>
      </w:r>
    </w:p>
    <w:p w:rsidR="007F3C66" w:rsidRPr="00300121" w:rsidRDefault="007F3C66" w:rsidP="00755CDB">
      <w:pPr>
        <w:widowControl w:val="0"/>
        <w:autoSpaceDE w:val="0"/>
        <w:autoSpaceDN w:val="0"/>
        <w:adjustRightInd w:val="0"/>
        <w:jc w:val="both"/>
        <w:rPr>
          <w:rFonts w:ascii="Bookman Old Style" w:hAnsi="Bookman Old Style" w:cs="Arial"/>
          <w:i/>
          <w:sz w:val="22"/>
        </w:rPr>
      </w:pPr>
    </w:p>
    <w:p w:rsidR="00AF30F1" w:rsidRDefault="00AF30F1" w:rsidP="00755CDB">
      <w:pPr>
        <w:widowControl w:val="0"/>
        <w:autoSpaceDE w:val="0"/>
        <w:autoSpaceDN w:val="0"/>
        <w:adjustRightInd w:val="0"/>
        <w:jc w:val="both"/>
        <w:rPr>
          <w:rFonts w:ascii="Bookman Old Style" w:hAnsi="Bookman Old Style" w:cs="Arial"/>
          <w:i/>
        </w:rPr>
      </w:pPr>
      <w:r>
        <w:rPr>
          <w:rFonts w:ascii="Bookman Old Style" w:hAnsi="Bookman Old Style" w:cs="Arial"/>
          <w:i/>
        </w:rPr>
        <w:t>Pero si se aplican las normas del Código Contencioso Administrativo, el artículo 28 que a las personas afectadas por una decisión administrativa se les debe comunicar la existencia de la actuación, y remit</w:t>
      </w:r>
      <w:r w:rsidR="00B35DA9">
        <w:rPr>
          <w:rFonts w:ascii="Bookman Old Style" w:hAnsi="Bookman Old Style" w:cs="Arial"/>
          <w:i/>
        </w:rPr>
        <w:t>e</w:t>
      </w:r>
      <w:r>
        <w:rPr>
          <w:rFonts w:ascii="Bookman Old Style" w:hAnsi="Bookman Old Style" w:cs="Arial"/>
          <w:i/>
        </w:rPr>
        <w:t xml:space="preserve"> al artículo 14 del mismo Código para la forma en que se ha de hacer la citación, que será mediante correo o mediante publicación en el medio que tuviere la misma </w:t>
      </w:r>
      <w:r>
        <w:rPr>
          <w:rFonts w:ascii="Bookman Old Style" w:hAnsi="Bookman Old Style" w:cs="Arial"/>
          <w:i/>
        </w:rPr>
        <w:lastRenderedPageBreak/>
        <w:t>entidad que adelante la actuación o en un periódico de amplia circulación.</w:t>
      </w:r>
    </w:p>
    <w:p w:rsidR="00B35DA9" w:rsidRDefault="00B35DA9" w:rsidP="00755CDB">
      <w:pPr>
        <w:widowControl w:val="0"/>
        <w:autoSpaceDE w:val="0"/>
        <w:autoSpaceDN w:val="0"/>
        <w:adjustRightInd w:val="0"/>
        <w:jc w:val="both"/>
        <w:rPr>
          <w:rFonts w:ascii="Bookman Old Style" w:hAnsi="Bookman Old Style" w:cs="Arial"/>
          <w:i/>
        </w:rPr>
      </w:pPr>
    </w:p>
    <w:p w:rsidR="00AF30F1" w:rsidRDefault="00AF30F1" w:rsidP="00755CDB">
      <w:pPr>
        <w:widowControl w:val="0"/>
        <w:autoSpaceDE w:val="0"/>
        <w:autoSpaceDN w:val="0"/>
        <w:adjustRightInd w:val="0"/>
        <w:jc w:val="both"/>
        <w:rPr>
          <w:rFonts w:ascii="Bookman Old Style" w:hAnsi="Bookman Old Style" w:cs="Arial"/>
          <w:i/>
        </w:rPr>
      </w:pPr>
      <w:r>
        <w:rPr>
          <w:rFonts w:ascii="Bookman Old Style" w:hAnsi="Bookman Old Style" w:cs="Arial"/>
          <w:i/>
        </w:rPr>
        <w:t>Obsérvese como, ni la Ley 142 de 1994, ni el Código Contencioso Administrativo hablan de “Fijación de Estados” a los que hace referencia la CREG, cuando comunica la apertura de la Actuación Administrativa a EPM.</w:t>
      </w:r>
    </w:p>
    <w:p w:rsidR="00AF30F1" w:rsidRPr="00300121" w:rsidRDefault="00AF30F1" w:rsidP="00755CDB">
      <w:pPr>
        <w:widowControl w:val="0"/>
        <w:autoSpaceDE w:val="0"/>
        <w:autoSpaceDN w:val="0"/>
        <w:adjustRightInd w:val="0"/>
        <w:jc w:val="both"/>
        <w:rPr>
          <w:rFonts w:ascii="Bookman Old Style" w:hAnsi="Bookman Old Style" w:cs="Arial"/>
          <w:i/>
          <w:sz w:val="22"/>
        </w:rPr>
      </w:pPr>
    </w:p>
    <w:p w:rsidR="00AF30F1" w:rsidRDefault="00AF30F1" w:rsidP="00755CDB">
      <w:pPr>
        <w:widowControl w:val="0"/>
        <w:autoSpaceDE w:val="0"/>
        <w:autoSpaceDN w:val="0"/>
        <w:adjustRightInd w:val="0"/>
        <w:jc w:val="both"/>
        <w:rPr>
          <w:rFonts w:ascii="Bookman Old Style" w:hAnsi="Bookman Old Style" w:cs="Arial"/>
          <w:i/>
        </w:rPr>
      </w:pPr>
      <w:r>
        <w:rPr>
          <w:rFonts w:ascii="Bookman Old Style" w:hAnsi="Bookman Old Style" w:cs="Arial"/>
          <w:i/>
        </w:rPr>
        <w:t>Ahora bien, si de aplicar el artículo 321 del Código de Procedimiento Civil se trata, este artículo es muy claro en manifestar que las notificaciones que se hacen mediante Estados son aquellas que no deban hacerse personalmente.</w:t>
      </w:r>
    </w:p>
    <w:p w:rsidR="00AF30F1" w:rsidRPr="00300121" w:rsidRDefault="00AF30F1" w:rsidP="00755CDB">
      <w:pPr>
        <w:widowControl w:val="0"/>
        <w:autoSpaceDE w:val="0"/>
        <w:autoSpaceDN w:val="0"/>
        <w:adjustRightInd w:val="0"/>
        <w:jc w:val="both"/>
        <w:rPr>
          <w:rFonts w:ascii="Bookman Old Style" w:hAnsi="Bookman Old Style" w:cs="Arial"/>
          <w:i/>
          <w:sz w:val="22"/>
        </w:rPr>
      </w:pPr>
    </w:p>
    <w:p w:rsidR="00AF30F1" w:rsidRDefault="00AF30F1" w:rsidP="00755CDB">
      <w:pPr>
        <w:widowControl w:val="0"/>
        <w:autoSpaceDE w:val="0"/>
        <w:autoSpaceDN w:val="0"/>
        <w:adjustRightInd w:val="0"/>
        <w:jc w:val="both"/>
        <w:rPr>
          <w:rFonts w:ascii="Bookman Old Style" w:hAnsi="Bookman Old Style" w:cs="Arial"/>
          <w:i/>
        </w:rPr>
      </w:pPr>
      <w:r>
        <w:rPr>
          <w:rFonts w:ascii="Bookman Old Style" w:hAnsi="Bookman Old Style" w:cs="Arial"/>
          <w:i/>
        </w:rPr>
        <w:t>La notificación que dice la CREG hizo por “estados” del artículo 321 del Código de Procedimiento Civil es la de apertura de la actuación administrativa, es decir la primera actuación, por lo tanto esta notificación tenía que ser, forzosamente, en forma personal, precisamente por ser la primera y mediante la cual el afectado se enteraría de la misma.</w:t>
      </w:r>
    </w:p>
    <w:p w:rsidR="00AF30F1" w:rsidRPr="00300121" w:rsidRDefault="00AF30F1" w:rsidP="00755CDB">
      <w:pPr>
        <w:widowControl w:val="0"/>
        <w:autoSpaceDE w:val="0"/>
        <w:autoSpaceDN w:val="0"/>
        <w:adjustRightInd w:val="0"/>
        <w:jc w:val="both"/>
        <w:rPr>
          <w:rFonts w:ascii="Bookman Old Style" w:hAnsi="Bookman Old Style" w:cs="Arial"/>
          <w:i/>
          <w:sz w:val="22"/>
        </w:rPr>
      </w:pPr>
    </w:p>
    <w:p w:rsidR="00AF30F1" w:rsidRDefault="001032E2" w:rsidP="00755CDB">
      <w:pPr>
        <w:widowControl w:val="0"/>
        <w:autoSpaceDE w:val="0"/>
        <w:autoSpaceDN w:val="0"/>
        <w:adjustRightInd w:val="0"/>
        <w:jc w:val="both"/>
        <w:rPr>
          <w:rFonts w:ascii="Bookman Old Style" w:hAnsi="Bookman Old Style" w:cs="Arial"/>
          <w:i/>
        </w:rPr>
      </w:pPr>
      <w:r>
        <w:rPr>
          <w:rFonts w:ascii="Bookman Old Style" w:hAnsi="Bookman Old Style" w:cs="Arial"/>
          <w:i/>
        </w:rPr>
        <w:t>Téngase</w:t>
      </w:r>
      <w:r w:rsidR="00AF30F1">
        <w:rPr>
          <w:rFonts w:ascii="Bookman Old Style" w:hAnsi="Bookman Old Style" w:cs="Arial"/>
          <w:i/>
        </w:rPr>
        <w:t xml:space="preserve"> en cuenta que frente a la anterior “</w:t>
      </w:r>
      <w:r>
        <w:rPr>
          <w:rFonts w:ascii="Bookman Old Style" w:hAnsi="Bookman Old Style" w:cs="Arial"/>
          <w:i/>
        </w:rPr>
        <w:t>confusión</w:t>
      </w:r>
      <w:r w:rsidR="00AF30F1">
        <w:rPr>
          <w:rFonts w:ascii="Bookman Old Style" w:hAnsi="Bookman Old Style" w:cs="Arial"/>
          <w:i/>
        </w:rPr>
        <w:t xml:space="preserve">”, EPM presento un derecho de petición, ante la CREG, con misiva radicada con el No. </w:t>
      </w:r>
      <w:r>
        <w:rPr>
          <w:rFonts w:ascii="Bookman Old Style" w:hAnsi="Bookman Old Style" w:cs="Arial"/>
          <w:i/>
        </w:rPr>
        <w:t>No. (SIC) 1768587 del 9 de agosto de 2011, en la que se solicitó dar claridad frente al procedimiento aplicable.</w:t>
      </w:r>
    </w:p>
    <w:p w:rsidR="00F24F94" w:rsidRPr="00300121" w:rsidRDefault="00F24F94" w:rsidP="00755CDB">
      <w:pPr>
        <w:widowControl w:val="0"/>
        <w:autoSpaceDE w:val="0"/>
        <w:autoSpaceDN w:val="0"/>
        <w:adjustRightInd w:val="0"/>
        <w:jc w:val="both"/>
        <w:rPr>
          <w:rFonts w:ascii="Bookman Old Style" w:hAnsi="Bookman Old Style" w:cs="Arial"/>
          <w:i/>
          <w:sz w:val="22"/>
        </w:rPr>
      </w:pPr>
    </w:p>
    <w:p w:rsidR="00F24F94" w:rsidRDefault="00824C8E" w:rsidP="00755CDB">
      <w:pPr>
        <w:widowControl w:val="0"/>
        <w:autoSpaceDE w:val="0"/>
        <w:autoSpaceDN w:val="0"/>
        <w:adjustRightInd w:val="0"/>
        <w:jc w:val="both"/>
        <w:rPr>
          <w:rFonts w:ascii="Bookman Old Style" w:hAnsi="Bookman Old Style" w:cs="Arial"/>
          <w:i/>
        </w:rPr>
      </w:pPr>
      <w:r>
        <w:rPr>
          <w:rFonts w:ascii="Bookman Old Style" w:hAnsi="Bookman Old Style" w:cs="Arial"/>
          <w:i/>
        </w:rPr>
        <w:t>La CREG, en comunicación radicado en EPM con el No. 3371625 del 12 de septiembre de 2011, se limitó a ratificar que el procedimiento a seguir era el de la Ley 142 de 1994 y en lo no reglado por ésta se aplica el Código Contencioso Administrativo, pero como este remite, en lo no previsto al Código de Procedimiento Civil, por ello acudió al artículo 321 de este último estatuto.</w:t>
      </w:r>
    </w:p>
    <w:p w:rsidR="00824C8E" w:rsidRPr="00300121" w:rsidRDefault="00824C8E" w:rsidP="00755CDB">
      <w:pPr>
        <w:widowControl w:val="0"/>
        <w:autoSpaceDE w:val="0"/>
        <w:autoSpaceDN w:val="0"/>
        <w:adjustRightInd w:val="0"/>
        <w:jc w:val="both"/>
        <w:rPr>
          <w:rFonts w:ascii="Bookman Old Style" w:hAnsi="Bookman Old Style" w:cs="Arial"/>
          <w:i/>
          <w:sz w:val="22"/>
        </w:rPr>
      </w:pPr>
    </w:p>
    <w:p w:rsidR="00824C8E" w:rsidRDefault="00824C8E" w:rsidP="00755CDB">
      <w:pPr>
        <w:widowControl w:val="0"/>
        <w:autoSpaceDE w:val="0"/>
        <w:autoSpaceDN w:val="0"/>
        <w:adjustRightInd w:val="0"/>
        <w:jc w:val="both"/>
        <w:rPr>
          <w:rFonts w:ascii="Bookman Old Style" w:hAnsi="Bookman Old Style" w:cs="Arial"/>
          <w:i/>
        </w:rPr>
      </w:pPr>
      <w:r>
        <w:rPr>
          <w:rFonts w:ascii="Bookman Old Style" w:hAnsi="Bookman Old Style" w:cs="Arial"/>
          <w:i/>
        </w:rPr>
        <w:t>El anterior argumento se estima equivocado ya que, como las mismas normas lo indican, las remisiones que hacen es frente a lo no previsto en ellas, y queda claro que la Ley 142, en sus artículo 106 y siguientes, tiene estipulado el trámite y las formas de citaciones y comunicaciones en las actuaciones administrativas para emitir actos unilaterales, por lo que no es de recibo acudir a las otras disposiciones.</w:t>
      </w:r>
    </w:p>
    <w:p w:rsidR="00824C8E" w:rsidRDefault="00824C8E" w:rsidP="00755CDB">
      <w:pPr>
        <w:widowControl w:val="0"/>
        <w:autoSpaceDE w:val="0"/>
        <w:autoSpaceDN w:val="0"/>
        <w:adjustRightInd w:val="0"/>
        <w:jc w:val="both"/>
        <w:rPr>
          <w:rFonts w:ascii="Bookman Old Style" w:hAnsi="Bookman Old Style" w:cs="Arial"/>
          <w:i/>
        </w:rPr>
      </w:pPr>
    </w:p>
    <w:p w:rsidR="00824C8E" w:rsidRDefault="00824C8E" w:rsidP="00755CDB">
      <w:pPr>
        <w:widowControl w:val="0"/>
        <w:autoSpaceDE w:val="0"/>
        <w:autoSpaceDN w:val="0"/>
        <w:adjustRightInd w:val="0"/>
        <w:jc w:val="both"/>
        <w:rPr>
          <w:rFonts w:ascii="Bookman Old Style" w:hAnsi="Bookman Old Style" w:cs="Arial"/>
          <w:i/>
        </w:rPr>
      </w:pPr>
      <w:r>
        <w:rPr>
          <w:rFonts w:ascii="Bookman Old Style" w:hAnsi="Bookman Old Style" w:cs="Arial"/>
          <w:i/>
        </w:rPr>
        <w:t>En conclusión, la CREG creo confusión a las Empresas frente a la forma de notificación y, por ende, en el término para ejercer su defensa y para la práctica de pruebas, lo cual se tradujo en otra forma de vulneración al derecho al Debido Proceso, específicamente en la connotación del derecho de contradicción.</w:t>
      </w:r>
    </w:p>
    <w:p w:rsidR="00824C8E" w:rsidRDefault="00824C8E" w:rsidP="00755CDB">
      <w:pPr>
        <w:widowControl w:val="0"/>
        <w:autoSpaceDE w:val="0"/>
        <w:autoSpaceDN w:val="0"/>
        <w:adjustRightInd w:val="0"/>
        <w:jc w:val="both"/>
        <w:rPr>
          <w:rFonts w:ascii="Bookman Old Style" w:hAnsi="Bookman Old Style" w:cs="Arial"/>
          <w:i/>
        </w:rPr>
      </w:pPr>
    </w:p>
    <w:p w:rsidR="00824C8E" w:rsidRDefault="00824C8E" w:rsidP="00755CDB">
      <w:pPr>
        <w:widowControl w:val="0"/>
        <w:autoSpaceDE w:val="0"/>
        <w:autoSpaceDN w:val="0"/>
        <w:adjustRightInd w:val="0"/>
        <w:jc w:val="both"/>
        <w:rPr>
          <w:rFonts w:ascii="Bookman Old Style" w:hAnsi="Bookman Old Style" w:cs="Arial"/>
          <w:i/>
        </w:rPr>
      </w:pPr>
      <w:r>
        <w:rPr>
          <w:rFonts w:ascii="Bookman Old Style" w:hAnsi="Bookman Old Style" w:cs="Arial"/>
          <w:i/>
        </w:rPr>
        <w:t>Sin embargo y a pesar de todo lo anterior, como se detalló en otros aparte de este escrito, EPM presentó, en los términos y formas previstos en el marco conformado por los artículo 34 y 29 del Código Contencioso Administrativo, los documentos E-2010-012362 del 30 de diciembre de 2010, E-2011-001370 del 11 de febrero de 2011, E-2011-006348 del 1° de julio de 2011 ni E-2011-09426 del 4 de octubre de 2011, en los cuales se pronunció sobre las circunstancias que considera configuran un evento eximente de responsabilidad.</w:t>
      </w:r>
    </w:p>
    <w:p w:rsidR="00AF30F1" w:rsidRDefault="00AF30F1" w:rsidP="00755CDB">
      <w:pPr>
        <w:widowControl w:val="0"/>
        <w:autoSpaceDE w:val="0"/>
        <w:autoSpaceDN w:val="0"/>
        <w:adjustRightInd w:val="0"/>
        <w:jc w:val="both"/>
        <w:rPr>
          <w:rFonts w:ascii="Bookman Old Style" w:hAnsi="Bookman Old Style" w:cs="Arial"/>
          <w:i/>
        </w:rPr>
      </w:pPr>
    </w:p>
    <w:p w:rsidR="00CE0138" w:rsidRDefault="00CE0138" w:rsidP="00755CDB">
      <w:pPr>
        <w:widowControl w:val="0"/>
        <w:autoSpaceDE w:val="0"/>
        <w:autoSpaceDN w:val="0"/>
        <w:adjustRightInd w:val="0"/>
        <w:jc w:val="both"/>
        <w:rPr>
          <w:rFonts w:ascii="Bookman Old Style" w:hAnsi="Bookman Old Style" w:cs="Arial"/>
          <w:i/>
        </w:rPr>
      </w:pPr>
    </w:p>
    <w:p w:rsidR="00E97C36" w:rsidRDefault="00E97C36" w:rsidP="00755CDB">
      <w:pPr>
        <w:widowControl w:val="0"/>
        <w:autoSpaceDE w:val="0"/>
        <w:autoSpaceDN w:val="0"/>
        <w:adjustRightInd w:val="0"/>
        <w:jc w:val="both"/>
        <w:rPr>
          <w:rFonts w:ascii="Bookman Old Style" w:hAnsi="Bookman Old Style" w:cs="Arial"/>
          <w:i/>
        </w:rPr>
      </w:pPr>
    </w:p>
    <w:p w:rsidR="00824C8E" w:rsidRDefault="00824C8E" w:rsidP="00755CDB">
      <w:pPr>
        <w:widowControl w:val="0"/>
        <w:autoSpaceDE w:val="0"/>
        <w:autoSpaceDN w:val="0"/>
        <w:adjustRightInd w:val="0"/>
        <w:jc w:val="both"/>
        <w:rPr>
          <w:rFonts w:ascii="Bookman Old Style" w:hAnsi="Bookman Old Style" w:cs="Arial"/>
          <w:i/>
        </w:rPr>
      </w:pPr>
      <w:r>
        <w:rPr>
          <w:rFonts w:ascii="Bookman Old Style" w:hAnsi="Bookman Old Style" w:cs="Arial"/>
          <w:i/>
        </w:rPr>
        <w:t>1.3 Ilegalidad de la competencia CREG</w:t>
      </w:r>
    </w:p>
    <w:p w:rsidR="00AF30F1" w:rsidRDefault="00AF30F1" w:rsidP="00755CDB">
      <w:pPr>
        <w:widowControl w:val="0"/>
        <w:autoSpaceDE w:val="0"/>
        <w:autoSpaceDN w:val="0"/>
        <w:adjustRightInd w:val="0"/>
        <w:jc w:val="both"/>
        <w:rPr>
          <w:rFonts w:ascii="Bookman Old Style" w:hAnsi="Bookman Old Style" w:cs="Arial"/>
          <w:i/>
        </w:rPr>
      </w:pPr>
    </w:p>
    <w:p w:rsidR="00824C8E" w:rsidRDefault="00824C8E" w:rsidP="00755CDB">
      <w:pPr>
        <w:widowControl w:val="0"/>
        <w:autoSpaceDE w:val="0"/>
        <w:autoSpaceDN w:val="0"/>
        <w:adjustRightInd w:val="0"/>
        <w:jc w:val="both"/>
        <w:rPr>
          <w:rFonts w:ascii="Bookman Old Style" w:hAnsi="Bookman Old Style" w:cs="Arial"/>
          <w:i/>
        </w:rPr>
      </w:pPr>
      <w:r>
        <w:rPr>
          <w:rFonts w:ascii="Bookman Old Style" w:hAnsi="Bookman Old Style" w:cs="Arial"/>
          <w:i/>
        </w:rPr>
        <w:t xml:space="preserve">Otra razón de inconformidad que se acusa se centra, precisamente, en una </w:t>
      </w:r>
      <w:r w:rsidR="008B7EED">
        <w:rPr>
          <w:rFonts w:ascii="Bookman Old Style" w:hAnsi="Bookman Old Style" w:cs="Arial"/>
          <w:i/>
        </w:rPr>
        <w:t>infracción</w:t>
      </w:r>
      <w:r>
        <w:rPr>
          <w:rFonts w:ascii="Bookman Old Style" w:hAnsi="Bookman Old Style" w:cs="Arial"/>
          <w:i/>
        </w:rPr>
        <w:t xml:space="preserve"> a la dimensión formal del principio de la legalidad, en </w:t>
      </w:r>
      <w:r w:rsidR="008B7EED">
        <w:rPr>
          <w:rFonts w:ascii="Bookman Old Style" w:hAnsi="Bookman Old Style" w:cs="Arial"/>
          <w:i/>
        </w:rPr>
        <w:t>razón que la CREG no tiene competencia legal para deducir la responsabilidad civil pretendida a mi Representada y mucho menos la competencia para sancionarla, haciendo efectiva la garantía que se otorgó para el cumplimiento de la entrada en operación del Proyecto Porce IV. En otras palabras, no es el juez ni la autoridad “natural” para ello.</w:t>
      </w:r>
    </w:p>
    <w:p w:rsidR="008B7EED" w:rsidRDefault="008B7EED" w:rsidP="00755CDB">
      <w:pPr>
        <w:widowControl w:val="0"/>
        <w:autoSpaceDE w:val="0"/>
        <w:autoSpaceDN w:val="0"/>
        <w:adjustRightInd w:val="0"/>
        <w:jc w:val="both"/>
        <w:rPr>
          <w:rFonts w:ascii="Bookman Old Style" w:hAnsi="Bookman Old Style" w:cs="Arial"/>
          <w:i/>
        </w:rPr>
      </w:pPr>
    </w:p>
    <w:p w:rsidR="008B7EED" w:rsidRDefault="008B7EED" w:rsidP="00755CDB">
      <w:pPr>
        <w:widowControl w:val="0"/>
        <w:autoSpaceDE w:val="0"/>
        <w:autoSpaceDN w:val="0"/>
        <w:adjustRightInd w:val="0"/>
        <w:jc w:val="both"/>
        <w:rPr>
          <w:rFonts w:ascii="Bookman Old Style" w:hAnsi="Bookman Old Style" w:cs="Arial"/>
          <w:i/>
        </w:rPr>
      </w:pPr>
      <w:r>
        <w:rPr>
          <w:rFonts w:ascii="Bookman Old Style" w:hAnsi="Bookman Old Style" w:cs="Arial"/>
          <w:i/>
        </w:rPr>
        <w:t>La CREG es una autoridad a la que se le han radicado funciones exclusivamente regulatorias. En ningún de los 26 numerales del artículo 73 de los cinco literales del numeral primero del artículo 74 de la Ley 142 de 1994, ni mucho menos en la Ley 143 de 1994, que son normas legales que le radican las funciones a este organismo, se le ha conferido facultades para juzgar y declarar el incumplimiento de las obligaciones de las empresas de servicio públicos. Mucho menos, para imponerles sanciones pecuniarias.</w:t>
      </w:r>
    </w:p>
    <w:p w:rsidR="008B7EED" w:rsidRDefault="008B7EED" w:rsidP="00755CDB">
      <w:pPr>
        <w:widowControl w:val="0"/>
        <w:autoSpaceDE w:val="0"/>
        <w:autoSpaceDN w:val="0"/>
        <w:adjustRightInd w:val="0"/>
        <w:jc w:val="both"/>
        <w:rPr>
          <w:rFonts w:ascii="Bookman Old Style" w:hAnsi="Bookman Old Style" w:cs="Arial"/>
          <w:i/>
        </w:rPr>
      </w:pPr>
    </w:p>
    <w:p w:rsidR="008B7EED" w:rsidRDefault="008B7EED" w:rsidP="00755CDB">
      <w:pPr>
        <w:widowControl w:val="0"/>
        <w:autoSpaceDE w:val="0"/>
        <w:autoSpaceDN w:val="0"/>
        <w:adjustRightInd w:val="0"/>
        <w:jc w:val="both"/>
        <w:rPr>
          <w:rFonts w:ascii="Bookman Old Style" w:hAnsi="Bookman Old Style" w:cs="Arial"/>
          <w:i/>
        </w:rPr>
      </w:pPr>
      <w:r>
        <w:rPr>
          <w:rFonts w:ascii="Bookman Old Style" w:hAnsi="Bookman Old Style" w:cs="Arial"/>
          <w:i/>
        </w:rPr>
        <w:t>Contrario al proceder la CREG, que opto por revestirse ella misma de facultad administrativa sancionadora, la Corte Constitucional ha sido reiterada y enfática en señalar que, gracias a la reserva de ley existente en el ordenamiento jurídico colombiano, sólo el legislador puede otorgar la potestad administrativa sancionadora; y adicionalmente, que no existe facultad, función o acto que puedan desarrollar los servidores públicos que no esté prescrito, definido o establecido en forma expresa, clara y precisa en la ley.</w:t>
      </w:r>
    </w:p>
    <w:p w:rsidR="008B7EED" w:rsidRDefault="008B7EED" w:rsidP="00755CDB">
      <w:pPr>
        <w:widowControl w:val="0"/>
        <w:autoSpaceDE w:val="0"/>
        <w:autoSpaceDN w:val="0"/>
        <w:adjustRightInd w:val="0"/>
        <w:jc w:val="both"/>
        <w:rPr>
          <w:rFonts w:ascii="Bookman Old Style" w:hAnsi="Bookman Old Style" w:cs="Arial"/>
          <w:i/>
        </w:rPr>
      </w:pPr>
    </w:p>
    <w:p w:rsidR="008B7EED" w:rsidRDefault="00AA6D6D" w:rsidP="00755CDB">
      <w:pPr>
        <w:widowControl w:val="0"/>
        <w:autoSpaceDE w:val="0"/>
        <w:autoSpaceDN w:val="0"/>
        <w:adjustRightInd w:val="0"/>
        <w:jc w:val="both"/>
        <w:rPr>
          <w:rFonts w:ascii="Bookman Old Style" w:hAnsi="Bookman Old Style" w:cs="Arial"/>
          <w:i/>
        </w:rPr>
      </w:pPr>
      <w:r>
        <w:rPr>
          <w:rFonts w:ascii="Bookman Old Style" w:hAnsi="Bookman Old Style" w:cs="Arial"/>
          <w:i/>
        </w:rPr>
        <w:t>Prueba de ello se encuentra en la sentencia de unificación SU 1010 de 2008, en la que sobre este particular se expresó: (se transcribe un extracto de la sentencia).</w:t>
      </w:r>
    </w:p>
    <w:p w:rsidR="00AA6D6D" w:rsidRDefault="00AA6D6D" w:rsidP="00755CDB">
      <w:pPr>
        <w:widowControl w:val="0"/>
        <w:autoSpaceDE w:val="0"/>
        <w:autoSpaceDN w:val="0"/>
        <w:adjustRightInd w:val="0"/>
        <w:jc w:val="both"/>
        <w:rPr>
          <w:rFonts w:ascii="Bookman Old Style" w:hAnsi="Bookman Old Style" w:cs="Arial"/>
          <w:i/>
        </w:rPr>
      </w:pPr>
    </w:p>
    <w:p w:rsidR="00AA6D6D" w:rsidRDefault="00AA6D6D" w:rsidP="00755CDB">
      <w:pPr>
        <w:widowControl w:val="0"/>
        <w:autoSpaceDE w:val="0"/>
        <w:autoSpaceDN w:val="0"/>
        <w:adjustRightInd w:val="0"/>
        <w:jc w:val="both"/>
        <w:rPr>
          <w:rFonts w:ascii="Bookman Old Style" w:hAnsi="Bookman Old Style" w:cs="Arial"/>
          <w:i/>
        </w:rPr>
      </w:pPr>
      <w:r>
        <w:rPr>
          <w:rFonts w:ascii="Bookman Old Style" w:hAnsi="Bookman Old Style" w:cs="Arial"/>
          <w:i/>
        </w:rPr>
        <w:t xml:space="preserve">Cualquier competencia y con mayor razón la de sancionar, ha de ser de raigambre legal o reglamentaria, sin que sea dable que esa misma entidad </w:t>
      </w:r>
    </w:p>
    <w:p w:rsidR="00AA6D6D" w:rsidRDefault="00034EAF" w:rsidP="00755CDB">
      <w:pPr>
        <w:widowControl w:val="0"/>
        <w:autoSpaceDE w:val="0"/>
        <w:autoSpaceDN w:val="0"/>
        <w:adjustRightInd w:val="0"/>
        <w:jc w:val="both"/>
        <w:rPr>
          <w:rFonts w:ascii="Bookman Old Style" w:hAnsi="Bookman Old Style" w:cs="Arial"/>
          <w:i/>
        </w:rPr>
      </w:pPr>
      <w:r>
        <w:rPr>
          <w:rFonts w:ascii="Bookman Old Style" w:hAnsi="Bookman Old Style" w:cs="Arial"/>
          <w:i/>
        </w:rPr>
        <w:t>Pública, sin tener, ex-ante dicha autorización, pueda ella misma darse tal competencia.</w:t>
      </w:r>
    </w:p>
    <w:p w:rsidR="00034EAF" w:rsidRDefault="00034EAF" w:rsidP="00755CDB">
      <w:pPr>
        <w:widowControl w:val="0"/>
        <w:autoSpaceDE w:val="0"/>
        <w:autoSpaceDN w:val="0"/>
        <w:adjustRightInd w:val="0"/>
        <w:jc w:val="both"/>
        <w:rPr>
          <w:rFonts w:ascii="Bookman Old Style" w:hAnsi="Bookman Old Style" w:cs="Arial"/>
          <w:i/>
        </w:rPr>
      </w:pPr>
    </w:p>
    <w:p w:rsidR="00034EAF" w:rsidRDefault="00034EAF" w:rsidP="00755CDB">
      <w:pPr>
        <w:widowControl w:val="0"/>
        <w:autoSpaceDE w:val="0"/>
        <w:autoSpaceDN w:val="0"/>
        <w:adjustRightInd w:val="0"/>
        <w:jc w:val="both"/>
        <w:rPr>
          <w:rFonts w:ascii="Bookman Old Style" w:hAnsi="Bookman Old Style" w:cs="Arial"/>
          <w:i/>
        </w:rPr>
      </w:pPr>
      <w:r>
        <w:rPr>
          <w:rFonts w:ascii="Bookman Old Style" w:hAnsi="Bookman Old Style" w:cs="Arial"/>
          <w:i/>
        </w:rPr>
        <w:t>1.4 Otra inconformidad</w:t>
      </w:r>
    </w:p>
    <w:p w:rsidR="00034EAF" w:rsidRDefault="00034EAF" w:rsidP="00755CDB">
      <w:pPr>
        <w:widowControl w:val="0"/>
        <w:autoSpaceDE w:val="0"/>
        <w:autoSpaceDN w:val="0"/>
        <w:adjustRightInd w:val="0"/>
        <w:jc w:val="both"/>
        <w:rPr>
          <w:rFonts w:ascii="Bookman Old Style" w:hAnsi="Bookman Old Style" w:cs="Arial"/>
          <w:i/>
        </w:rPr>
      </w:pPr>
    </w:p>
    <w:p w:rsidR="00034EAF" w:rsidRDefault="00034EAF" w:rsidP="00755CDB">
      <w:pPr>
        <w:widowControl w:val="0"/>
        <w:autoSpaceDE w:val="0"/>
        <w:autoSpaceDN w:val="0"/>
        <w:adjustRightInd w:val="0"/>
        <w:jc w:val="both"/>
        <w:rPr>
          <w:rFonts w:ascii="Bookman Old Style" w:hAnsi="Bookman Old Style" w:cs="Arial"/>
          <w:i/>
        </w:rPr>
      </w:pPr>
      <w:r>
        <w:rPr>
          <w:rFonts w:ascii="Bookman Old Style" w:hAnsi="Bookman Old Style" w:cs="Arial"/>
          <w:i/>
        </w:rPr>
        <w:t>No deja de sorprender la paradójica situación en la cual la regulación ha puesto a EPM, toda vez que mientras en la Resolución CREG 104 del 19 de agosto de 2011, se afirma que no ejerció su derecho de defensa en el trámite de la actuación administrativa, la defensa de EPM es la existencia de un evento eximente de responsabilidad, frente al cual la CREG admitió su incompetencia para pronunciarse; es como si de entrada, toda su defensa estuviera encaminada a la ineficacia.</w:t>
      </w:r>
    </w:p>
    <w:p w:rsidR="00034EAF" w:rsidRDefault="00034EAF" w:rsidP="00755CDB">
      <w:pPr>
        <w:widowControl w:val="0"/>
        <w:autoSpaceDE w:val="0"/>
        <w:autoSpaceDN w:val="0"/>
        <w:adjustRightInd w:val="0"/>
        <w:jc w:val="both"/>
        <w:rPr>
          <w:rFonts w:ascii="Bookman Old Style" w:hAnsi="Bookman Old Style" w:cs="Arial"/>
          <w:i/>
        </w:rPr>
      </w:pPr>
    </w:p>
    <w:p w:rsidR="00034EAF" w:rsidRDefault="00034EAF" w:rsidP="00F85D41">
      <w:pPr>
        <w:widowControl w:val="0"/>
        <w:autoSpaceDE w:val="0"/>
        <w:autoSpaceDN w:val="0"/>
        <w:adjustRightInd w:val="0"/>
        <w:jc w:val="both"/>
        <w:rPr>
          <w:rFonts w:ascii="Bookman Old Style" w:hAnsi="Bookman Old Style" w:cs="Arial"/>
          <w:i/>
        </w:rPr>
      </w:pPr>
      <w:r>
        <w:rPr>
          <w:rFonts w:ascii="Bookman Old Style" w:hAnsi="Bookman Old Style" w:cs="Arial"/>
          <w:i/>
        </w:rPr>
        <w:t xml:space="preserve">En efecto, en los términos del </w:t>
      </w:r>
      <w:r w:rsidR="00F85D41">
        <w:rPr>
          <w:rFonts w:ascii="Bookman Old Style" w:hAnsi="Bookman Old Style" w:cs="Arial"/>
          <w:i/>
        </w:rPr>
        <w:t>artículo</w:t>
      </w:r>
      <w:r>
        <w:rPr>
          <w:rFonts w:ascii="Bookman Old Style" w:hAnsi="Bookman Old Style" w:cs="Arial"/>
          <w:i/>
        </w:rPr>
        <w:t xml:space="preserve"> 9° de la Resolución CREG 071 de 2006, modificado por el artículo 13 de la Resolución CREG 061 de 2007, uno de los objetivos de esta actuación administrativa es “establecer </w:t>
      </w:r>
      <w:r>
        <w:rPr>
          <w:rFonts w:ascii="Bookman Old Style" w:hAnsi="Bookman Old Style" w:cs="Arial"/>
          <w:i/>
        </w:rPr>
        <w:lastRenderedPageBreak/>
        <w:t xml:space="preserve">plenamente la existencia del incumplimiento”, para lo cual no basta simplemente un informe de </w:t>
      </w:r>
      <w:r w:rsidR="00F85D41">
        <w:rPr>
          <w:rFonts w:ascii="Bookman Old Style" w:hAnsi="Bookman Old Style" w:cs="Arial"/>
          <w:i/>
        </w:rPr>
        <w:t>auditoría</w:t>
      </w:r>
      <w:r>
        <w:rPr>
          <w:rFonts w:ascii="Bookman Old Style" w:hAnsi="Bookman Old Style" w:cs="Arial"/>
          <w:i/>
        </w:rPr>
        <w:t xml:space="preserve"> que indique que la puesta en operación del proyecto</w:t>
      </w:r>
      <w:r w:rsidR="00F85D41">
        <w:rPr>
          <w:rFonts w:ascii="Bookman Old Style" w:hAnsi="Bookman Old Style" w:cs="Arial"/>
          <w:i/>
        </w:rPr>
        <w:t xml:space="preserve"> tendrá un atraso mayor a un año, contando a partir de la fecha de inicio del periodo de vigencia de la obligación de energía firme (incumplimiento grave e insalvable), por cuanto es </w:t>
      </w:r>
      <w:r w:rsidR="00E212B8">
        <w:rPr>
          <w:rFonts w:ascii="Bookman Old Style" w:hAnsi="Bookman Old Style" w:cs="Arial"/>
          <w:i/>
        </w:rPr>
        <w:t>posible</w:t>
      </w:r>
      <w:r w:rsidR="00F85D41">
        <w:rPr>
          <w:rFonts w:ascii="Bookman Old Style" w:hAnsi="Bookman Old Style" w:cs="Arial"/>
          <w:i/>
        </w:rPr>
        <w:t xml:space="preserve"> que, como en el </w:t>
      </w:r>
      <w:r w:rsidR="00E212B8">
        <w:rPr>
          <w:rFonts w:ascii="Bookman Old Style" w:hAnsi="Bookman Old Style" w:cs="Arial"/>
          <w:i/>
        </w:rPr>
        <w:t>presente</w:t>
      </w:r>
      <w:r w:rsidR="00F85D41">
        <w:rPr>
          <w:rFonts w:ascii="Bookman Old Style" w:hAnsi="Bookman Old Style" w:cs="Arial"/>
          <w:i/>
        </w:rPr>
        <w:t xml:space="preserve"> caso, se presenten situaciones ajenas a la persona obligada que la eximan de cumplir el compromiso, según lo </w:t>
      </w:r>
      <w:r w:rsidR="00E212B8">
        <w:rPr>
          <w:rFonts w:ascii="Bookman Old Style" w:hAnsi="Bookman Old Style" w:cs="Arial"/>
          <w:i/>
        </w:rPr>
        <w:t>reconoció</w:t>
      </w:r>
      <w:r w:rsidR="00F85D41">
        <w:rPr>
          <w:rFonts w:ascii="Bookman Old Style" w:hAnsi="Bookman Old Style" w:cs="Arial"/>
          <w:i/>
        </w:rPr>
        <w:t xml:space="preserve"> la misma CREG.</w:t>
      </w:r>
    </w:p>
    <w:p w:rsidR="00F85D41" w:rsidRDefault="00F85D41" w:rsidP="00F85D41">
      <w:pPr>
        <w:widowControl w:val="0"/>
        <w:autoSpaceDE w:val="0"/>
        <w:autoSpaceDN w:val="0"/>
        <w:adjustRightInd w:val="0"/>
        <w:jc w:val="both"/>
        <w:rPr>
          <w:rFonts w:ascii="Bookman Old Style" w:hAnsi="Bookman Old Style" w:cs="Arial"/>
          <w:i/>
        </w:rPr>
      </w:pPr>
    </w:p>
    <w:p w:rsidR="00F85D41" w:rsidRDefault="00F85D41" w:rsidP="00F85D41">
      <w:pPr>
        <w:widowControl w:val="0"/>
        <w:autoSpaceDE w:val="0"/>
        <w:autoSpaceDN w:val="0"/>
        <w:adjustRightInd w:val="0"/>
        <w:jc w:val="both"/>
        <w:rPr>
          <w:rFonts w:ascii="Bookman Old Style" w:hAnsi="Bookman Old Style" w:cs="Arial"/>
          <w:i/>
        </w:rPr>
      </w:pPr>
      <w:r>
        <w:rPr>
          <w:rFonts w:ascii="Bookman Old Style" w:hAnsi="Bookman Old Style" w:cs="Arial"/>
          <w:i/>
        </w:rPr>
        <w:t xml:space="preserve">En efecto, en el documento D-085 del 3 de octubre de 2006, denominado “Respuestas a los comentarios de los agentes y terceros interesados al Proyecto de Resolución sometido a consulta mediante Resolución CREG 043 de 2006”, publicado con la Resolución CREG 071 de 2006, la CREG se </w:t>
      </w:r>
      <w:r w:rsidR="00E212B8">
        <w:rPr>
          <w:rFonts w:ascii="Bookman Old Style" w:hAnsi="Bookman Old Style" w:cs="Arial"/>
          <w:i/>
        </w:rPr>
        <w:t>expresó</w:t>
      </w:r>
      <w:r>
        <w:rPr>
          <w:rFonts w:ascii="Bookman Old Style" w:hAnsi="Bookman Old Style" w:cs="Arial"/>
          <w:i/>
        </w:rPr>
        <w:t xml:space="preserve"> en los siguientes términos: (se transcribe un aparte del documento en cita).</w:t>
      </w:r>
    </w:p>
    <w:p w:rsidR="00F85D41" w:rsidRDefault="00F85D41" w:rsidP="00F85D41">
      <w:pPr>
        <w:widowControl w:val="0"/>
        <w:autoSpaceDE w:val="0"/>
        <w:autoSpaceDN w:val="0"/>
        <w:adjustRightInd w:val="0"/>
        <w:jc w:val="both"/>
        <w:rPr>
          <w:rFonts w:ascii="Bookman Old Style" w:hAnsi="Bookman Old Style" w:cs="Arial"/>
          <w:i/>
        </w:rPr>
      </w:pPr>
    </w:p>
    <w:p w:rsidR="00F85D41" w:rsidRDefault="00F85D41" w:rsidP="00F85D41">
      <w:pPr>
        <w:widowControl w:val="0"/>
        <w:autoSpaceDE w:val="0"/>
        <w:autoSpaceDN w:val="0"/>
        <w:adjustRightInd w:val="0"/>
        <w:jc w:val="both"/>
        <w:rPr>
          <w:rFonts w:ascii="Bookman Old Style" w:hAnsi="Bookman Old Style" w:cs="Arial"/>
          <w:i/>
        </w:rPr>
      </w:pPr>
      <w:r>
        <w:rPr>
          <w:rFonts w:ascii="Bookman Old Style" w:hAnsi="Bookman Old Style" w:cs="Arial"/>
          <w:i/>
        </w:rPr>
        <w:t xml:space="preserve">Es decir, que no existe discusión frente al derecho que tiene EPM de presentar y debatir los hechos que considera la exoneran del cumplimiento de la obligación de entrar en operación el Proyecto </w:t>
      </w:r>
      <w:r w:rsidR="00E212B8">
        <w:rPr>
          <w:rFonts w:ascii="Bookman Old Style" w:hAnsi="Bookman Old Style" w:cs="Arial"/>
          <w:i/>
        </w:rPr>
        <w:t>Hidroeléctrico</w:t>
      </w:r>
      <w:r>
        <w:rPr>
          <w:rFonts w:ascii="Bookman Old Style" w:hAnsi="Bookman Old Style" w:cs="Arial"/>
          <w:i/>
        </w:rPr>
        <w:t xml:space="preserve"> Porce IV el 1° de diciembre de 2015, tal como fue solicitado a la CREG mediante la comunicación E-2010-012362 del 30 de diciembre de 2010, cuya petición era precisamente iniciar una actuación administrativa para el reconocimiento de un evento eximente de responsabilidad.</w:t>
      </w:r>
    </w:p>
    <w:p w:rsidR="00F85D41" w:rsidRDefault="00F85D41" w:rsidP="00F85D41">
      <w:pPr>
        <w:widowControl w:val="0"/>
        <w:autoSpaceDE w:val="0"/>
        <w:autoSpaceDN w:val="0"/>
        <w:adjustRightInd w:val="0"/>
        <w:jc w:val="both"/>
        <w:rPr>
          <w:rFonts w:ascii="Bookman Old Style" w:hAnsi="Bookman Old Style" w:cs="Arial"/>
          <w:i/>
        </w:rPr>
      </w:pPr>
    </w:p>
    <w:p w:rsidR="00F85D41" w:rsidRDefault="00F85D41" w:rsidP="00F85D41">
      <w:pPr>
        <w:widowControl w:val="0"/>
        <w:autoSpaceDE w:val="0"/>
        <w:autoSpaceDN w:val="0"/>
        <w:adjustRightInd w:val="0"/>
        <w:jc w:val="both"/>
        <w:rPr>
          <w:rFonts w:ascii="Bookman Old Style" w:hAnsi="Bookman Old Style" w:cs="Arial"/>
          <w:i/>
        </w:rPr>
      </w:pPr>
      <w:r>
        <w:rPr>
          <w:rFonts w:ascii="Bookman Old Style" w:hAnsi="Bookman Old Style" w:cs="Arial"/>
          <w:i/>
        </w:rPr>
        <w:t xml:space="preserve">No obstante lo anterior, dicha solicitud de </w:t>
      </w:r>
      <w:r w:rsidR="00E212B8">
        <w:rPr>
          <w:rFonts w:ascii="Bookman Old Style" w:hAnsi="Bookman Old Style" w:cs="Arial"/>
          <w:i/>
        </w:rPr>
        <w:t>iniciar</w:t>
      </w:r>
      <w:r>
        <w:rPr>
          <w:rFonts w:ascii="Bookman Old Style" w:hAnsi="Bookman Old Style" w:cs="Arial"/>
          <w:i/>
        </w:rPr>
        <w:t xml:space="preserve"> una actuación administrativa para el reconocimiento de un evento de fuerza mayor, no fue atendida favorablemente por la CREG, quien en la comunicación S-2011-000325 del 8 de febrero de 2011 sostuvo que (se </w:t>
      </w:r>
      <w:r w:rsidR="00E212B8">
        <w:rPr>
          <w:rFonts w:ascii="Bookman Old Style" w:hAnsi="Bookman Old Style" w:cs="Arial"/>
          <w:i/>
        </w:rPr>
        <w:t>trascribe</w:t>
      </w:r>
      <w:r>
        <w:rPr>
          <w:rFonts w:ascii="Bookman Old Style" w:hAnsi="Bookman Old Style" w:cs="Arial"/>
          <w:i/>
        </w:rPr>
        <w:t xml:space="preserve"> un extracto de la comunicación en cita).</w:t>
      </w:r>
    </w:p>
    <w:p w:rsidR="00F85D41" w:rsidRDefault="00F85D41" w:rsidP="00F85D41">
      <w:pPr>
        <w:widowControl w:val="0"/>
        <w:autoSpaceDE w:val="0"/>
        <w:autoSpaceDN w:val="0"/>
        <w:adjustRightInd w:val="0"/>
        <w:jc w:val="both"/>
        <w:rPr>
          <w:rFonts w:ascii="Bookman Old Style" w:hAnsi="Bookman Old Style" w:cs="Arial"/>
          <w:i/>
        </w:rPr>
      </w:pPr>
    </w:p>
    <w:p w:rsidR="00E212B8" w:rsidRDefault="00E212B8" w:rsidP="00F85D41">
      <w:pPr>
        <w:widowControl w:val="0"/>
        <w:autoSpaceDE w:val="0"/>
        <w:autoSpaceDN w:val="0"/>
        <w:adjustRightInd w:val="0"/>
        <w:jc w:val="both"/>
        <w:rPr>
          <w:rFonts w:ascii="Bookman Old Style" w:hAnsi="Bookman Old Style" w:cs="Arial"/>
          <w:i/>
        </w:rPr>
      </w:pPr>
      <w:r>
        <w:rPr>
          <w:rFonts w:ascii="Bookman Old Style" w:hAnsi="Bookman Old Style" w:cs="Arial"/>
          <w:i/>
        </w:rPr>
        <w:t>Ahora bien, según ha sido explicado, EPM ha estimado que la no entrada en operación del Proyecto Hidroeléctrico Porce IV el 1° de diciembre de 2015 obedece a la existencia de un evento eximente de responsabilidad, frente al cual, según lo manifestado por la CREG, para este mismo caso, en la comunicación S-2011-000325 del 8 de febrero de 2011, la Comisión no tiene facultades legales para abordar su análisis por tratarse de un asunto de competencia privativa de los jueces.</w:t>
      </w:r>
    </w:p>
    <w:p w:rsidR="00E212B8" w:rsidRDefault="00E212B8" w:rsidP="00F85D41">
      <w:pPr>
        <w:widowControl w:val="0"/>
        <w:autoSpaceDE w:val="0"/>
        <w:autoSpaceDN w:val="0"/>
        <w:adjustRightInd w:val="0"/>
        <w:jc w:val="both"/>
        <w:rPr>
          <w:rFonts w:ascii="Bookman Old Style" w:hAnsi="Bookman Old Style" w:cs="Arial"/>
          <w:i/>
        </w:rPr>
      </w:pPr>
    </w:p>
    <w:p w:rsidR="00E212B8" w:rsidRDefault="00E212B8" w:rsidP="00F85D41">
      <w:pPr>
        <w:widowControl w:val="0"/>
        <w:autoSpaceDE w:val="0"/>
        <w:autoSpaceDN w:val="0"/>
        <w:adjustRightInd w:val="0"/>
        <w:jc w:val="both"/>
        <w:rPr>
          <w:rFonts w:ascii="Bookman Old Style" w:hAnsi="Bookman Old Style" w:cs="Arial"/>
          <w:i/>
        </w:rPr>
      </w:pPr>
      <w:r>
        <w:rPr>
          <w:rFonts w:ascii="Bookman Old Style" w:hAnsi="Bookman Old Style" w:cs="Arial"/>
          <w:i/>
        </w:rPr>
        <w:t xml:space="preserve">En consecuencia, como la presente actuación administrativa no puede ser decidida sin que los argumentos presentados por EPM sean valorados por las autoridades competentes, ya que ello implicaría una violación de su derecho de defensa; y según lo expresado por la misma CREG, el competente para sumir tal </w:t>
      </w:r>
      <w:r w:rsidR="00500E68">
        <w:rPr>
          <w:rFonts w:ascii="Bookman Old Style" w:hAnsi="Bookman Old Style" w:cs="Arial"/>
          <w:i/>
        </w:rPr>
        <w:t>actuación</w:t>
      </w:r>
      <w:r>
        <w:rPr>
          <w:rFonts w:ascii="Bookman Old Style" w:hAnsi="Bookman Old Style" w:cs="Arial"/>
          <w:i/>
        </w:rPr>
        <w:t xml:space="preserve"> no es la </w:t>
      </w:r>
      <w:r w:rsidR="00500E68">
        <w:rPr>
          <w:rFonts w:ascii="Bookman Old Style" w:hAnsi="Bookman Old Style" w:cs="Arial"/>
          <w:i/>
        </w:rPr>
        <w:t>Comisión</w:t>
      </w:r>
      <w:r>
        <w:rPr>
          <w:rFonts w:ascii="Bookman Old Style" w:hAnsi="Bookman Old Style" w:cs="Arial"/>
          <w:i/>
        </w:rPr>
        <w:t xml:space="preserve"> de </w:t>
      </w:r>
      <w:r w:rsidR="00500E68">
        <w:rPr>
          <w:rFonts w:ascii="Bookman Old Style" w:hAnsi="Bookman Old Style" w:cs="Arial"/>
          <w:i/>
        </w:rPr>
        <w:t>Regulación</w:t>
      </w:r>
      <w:r>
        <w:rPr>
          <w:rFonts w:ascii="Bookman Old Style" w:hAnsi="Bookman Old Style" w:cs="Arial"/>
          <w:i/>
        </w:rPr>
        <w:t xml:space="preserve"> de </w:t>
      </w:r>
      <w:r w:rsidR="00500E68">
        <w:rPr>
          <w:rFonts w:ascii="Bookman Old Style" w:hAnsi="Bookman Old Style" w:cs="Arial"/>
          <w:i/>
        </w:rPr>
        <w:t>Energía</w:t>
      </w:r>
      <w:r>
        <w:rPr>
          <w:rFonts w:ascii="Bookman Old Style" w:hAnsi="Bookman Old Style" w:cs="Arial"/>
          <w:i/>
        </w:rPr>
        <w:t xml:space="preserve"> y Gas, solicitó en su oportunidad </w:t>
      </w:r>
      <w:r w:rsidR="00500E68">
        <w:rPr>
          <w:rFonts w:ascii="Bookman Old Style" w:hAnsi="Bookman Old Style" w:cs="Arial"/>
          <w:i/>
        </w:rPr>
        <w:t xml:space="preserve">a la Comisión abstenerse de decidir la presente actuación administrativa, por cuanto cualquier pronunciamiento implica valorar el evento eximente de responsabilidad que imposibilito la entrada en operación del Proyecto Hidroeléctrico Porce IV para el 1° de diciembre de 2015. </w:t>
      </w:r>
      <w:r>
        <w:rPr>
          <w:rFonts w:ascii="Bookman Old Style" w:hAnsi="Bookman Old Style" w:cs="Arial"/>
          <w:i/>
        </w:rPr>
        <w:t xml:space="preserve"> </w:t>
      </w:r>
    </w:p>
    <w:p w:rsidR="00500E68" w:rsidRDefault="00500E68" w:rsidP="00F85D41">
      <w:pPr>
        <w:widowControl w:val="0"/>
        <w:autoSpaceDE w:val="0"/>
        <w:autoSpaceDN w:val="0"/>
        <w:adjustRightInd w:val="0"/>
        <w:jc w:val="both"/>
        <w:rPr>
          <w:rFonts w:ascii="Bookman Old Style" w:hAnsi="Bookman Old Style" w:cs="Arial"/>
          <w:i/>
        </w:rPr>
      </w:pPr>
    </w:p>
    <w:p w:rsidR="00500E68" w:rsidRDefault="00500E68" w:rsidP="00F85D41">
      <w:pPr>
        <w:widowControl w:val="0"/>
        <w:autoSpaceDE w:val="0"/>
        <w:autoSpaceDN w:val="0"/>
        <w:adjustRightInd w:val="0"/>
        <w:jc w:val="both"/>
        <w:rPr>
          <w:rFonts w:ascii="Bookman Old Style" w:hAnsi="Bookman Old Style" w:cs="Arial"/>
          <w:i/>
        </w:rPr>
      </w:pPr>
      <w:r>
        <w:rPr>
          <w:rFonts w:ascii="Bookman Old Style" w:hAnsi="Bookman Old Style" w:cs="Arial"/>
          <w:i/>
        </w:rPr>
        <w:t>2. SOLICITUD</w:t>
      </w:r>
    </w:p>
    <w:p w:rsidR="00500E68" w:rsidRDefault="00500E68" w:rsidP="00F85D41">
      <w:pPr>
        <w:widowControl w:val="0"/>
        <w:autoSpaceDE w:val="0"/>
        <w:autoSpaceDN w:val="0"/>
        <w:adjustRightInd w:val="0"/>
        <w:jc w:val="both"/>
        <w:rPr>
          <w:rFonts w:ascii="Bookman Old Style" w:hAnsi="Bookman Old Style" w:cs="Arial"/>
          <w:i/>
        </w:rPr>
      </w:pPr>
    </w:p>
    <w:p w:rsidR="00500E68" w:rsidRDefault="00500E68" w:rsidP="00F85D41">
      <w:pPr>
        <w:widowControl w:val="0"/>
        <w:autoSpaceDE w:val="0"/>
        <w:autoSpaceDN w:val="0"/>
        <w:adjustRightInd w:val="0"/>
        <w:jc w:val="both"/>
        <w:rPr>
          <w:rFonts w:ascii="Bookman Old Style" w:hAnsi="Bookman Old Style" w:cs="Arial"/>
          <w:i/>
        </w:rPr>
      </w:pPr>
      <w:r>
        <w:rPr>
          <w:rFonts w:ascii="Bookman Old Style" w:hAnsi="Bookman Old Style" w:cs="Arial"/>
          <w:i/>
        </w:rPr>
        <w:t xml:space="preserve">Respetuosamente se solicita reponer la Resolución CREG 104 del 19 de </w:t>
      </w:r>
      <w:r>
        <w:rPr>
          <w:rFonts w:ascii="Bookman Old Style" w:hAnsi="Bookman Old Style" w:cs="Arial"/>
          <w:i/>
        </w:rPr>
        <w:lastRenderedPageBreak/>
        <w:t>agosto de 2011</w:t>
      </w:r>
      <w:r w:rsidR="00B35DA9">
        <w:rPr>
          <w:rFonts w:ascii="Bookman Old Style" w:hAnsi="Bookman Old Style" w:cs="Arial"/>
          <w:i/>
        </w:rPr>
        <w:t xml:space="preserve"> </w:t>
      </w:r>
      <w:r>
        <w:rPr>
          <w:rFonts w:ascii="Bookman Old Style" w:hAnsi="Bookman Old Style" w:cs="Arial"/>
          <w:i/>
        </w:rPr>
        <w:t xml:space="preserve">y, en su lugar, previa consideración de los argumentos y valoración de las pruebas aportadas en el </w:t>
      </w:r>
      <w:r w:rsidR="00721AA2">
        <w:rPr>
          <w:rFonts w:ascii="Bookman Old Style" w:hAnsi="Bookman Old Style" w:cs="Arial"/>
          <w:i/>
        </w:rPr>
        <w:t>trámite</w:t>
      </w:r>
      <w:r>
        <w:rPr>
          <w:rFonts w:ascii="Bookman Old Style" w:hAnsi="Bookman Old Style" w:cs="Arial"/>
          <w:i/>
        </w:rPr>
        <w:t xml:space="preserve"> de la actuación administrativa, contenidas en los documentos CREG </w:t>
      </w:r>
      <w:proofErr w:type="spellStart"/>
      <w:r>
        <w:rPr>
          <w:rFonts w:ascii="Bookman Old Style" w:hAnsi="Bookman Old Style" w:cs="Arial"/>
          <w:i/>
        </w:rPr>
        <w:t>CREG</w:t>
      </w:r>
      <w:proofErr w:type="spellEnd"/>
      <w:r>
        <w:rPr>
          <w:rFonts w:ascii="Bookman Old Style" w:hAnsi="Bookman Old Style" w:cs="Arial"/>
          <w:i/>
        </w:rPr>
        <w:t xml:space="preserve"> (SIC) </w:t>
      </w:r>
      <w:r w:rsidR="00721AA2">
        <w:rPr>
          <w:rFonts w:ascii="Bookman Old Style" w:hAnsi="Bookman Old Style" w:cs="Arial"/>
          <w:i/>
        </w:rPr>
        <w:t>E-2010-012362 del 30 de diciembre de 2010, E-2011-001370 del 11 de febrero de 2011, E-2011-006348 del 1° de julio de 2011 ni E-2011-09426 del 4 de octubre de 2011, abstenerse de decidir la presente actuación administrativa, por cuanto cualquier pronunciamiento implica valorar el evento eximente de responsabilidad que imposibilitó la entrada en operación del Proyecto Hidroeléctrico Porce IV para el 1° de diciembre de 2015. (…)”</w:t>
      </w:r>
    </w:p>
    <w:p w:rsidR="00500E68" w:rsidRDefault="00500E68" w:rsidP="00F85D41">
      <w:pPr>
        <w:widowControl w:val="0"/>
        <w:autoSpaceDE w:val="0"/>
        <w:autoSpaceDN w:val="0"/>
        <w:adjustRightInd w:val="0"/>
        <w:jc w:val="both"/>
        <w:rPr>
          <w:rFonts w:ascii="Bookman Old Style" w:hAnsi="Bookman Old Style" w:cs="Arial"/>
          <w:i/>
        </w:rPr>
      </w:pPr>
    </w:p>
    <w:p w:rsidR="00755CDB" w:rsidRPr="00FE5985" w:rsidRDefault="00D273A8" w:rsidP="00D273A8">
      <w:pPr>
        <w:ind w:left="0"/>
        <w:rPr>
          <w:rFonts w:ascii="Bookman Old Style" w:hAnsi="Bookman Old Style" w:cs="Arial"/>
          <w:b/>
        </w:rPr>
      </w:pPr>
      <w:r>
        <w:rPr>
          <w:rFonts w:ascii="Bookman Old Style" w:hAnsi="Bookman Old Style" w:cs="Arial"/>
          <w:b/>
        </w:rPr>
        <w:t xml:space="preserve">3. </w:t>
      </w:r>
      <w:r w:rsidR="00755CDB" w:rsidRPr="00FE5985">
        <w:rPr>
          <w:rFonts w:ascii="Bookman Old Style" w:hAnsi="Bookman Old Style" w:cs="Arial"/>
          <w:b/>
        </w:rPr>
        <w:t>TRÁMITE SURTIDO POR LA CREG</w:t>
      </w:r>
      <w:r>
        <w:rPr>
          <w:rFonts w:ascii="Bookman Old Style" w:hAnsi="Bookman Old Style" w:cs="Arial"/>
          <w:b/>
        </w:rPr>
        <w:t>.</w:t>
      </w:r>
    </w:p>
    <w:p w:rsidR="00755CDB" w:rsidRDefault="00755CDB" w:rsidP="00755CDB">
      <w:pPr>
        <w:ind w:left="0"/>
        <w:jc w:val="both"/>
        <w:rPr>
          <w:rFonts w:ascii="Bookman Old Style" w:hAnsi="Bookman Old Style" w:cs="Arial"/>
        </w:rPr>
      </w:pPr>
    </w:p>
    <w:p w:rsidR="00755CDB" w:rsidRDefault="00721AA2" w:rsidP="00755CDB">
      <w:pPr>
        <w:ind w:left="0"/>
        <w:jc w:val="both"/>
        <w:rPr>
          <w:rFonts w:ascii="Bookman Old Style" w:hAnsi="Bookman Old Style" w:cs="Arial"/>
        </w:rPr>
      </w:pPr>
      <w:r>
        <w:rPr>
          <w:rFonts w:ascii="Bookman Old Style" w:hAnsi="Bookman Old Style" w:cs="Arial"/>
        </w:rPr>
        <w:t xml:space="preserve">Radicado el </w:t>
      </w:r>
      <w:r w:rsidR="00755CDB">
        <w:rPr>
          <w:rFonts w:ascii="Bookman Old Style" w:hAnsi="Bookman Old Style" w:cs="Arial"/>
        </w:rPr>
        <w:t>recurso de la referencia</w:t>
      </w:r>
      <w:r>
        <w:rPr>
          <w:rFonts w:ascii="Bookman Old Style" w:hAnsi="Bookman Old Style" w:cs="Arial"/>
        </w:rPr>
        <w:t xml:space="preserve"> ante la CREG</w:t>
      </w:r>
      <w:r w:rsidR="00755CDB">
        <w:rPr>
          <w:rFonts w:ascii="Bookman Old Style" w:hAnsi="Bookman Old Style" w:cs="Arial"/>
        </w:rPr>
        <w:t xml:space="preserve">, corresponde a </w:t>
      </w:r>
      <w:r>
        <w:rPr>
          <w:rFonts w:ascii="Bookman Old Style" w:hAnsi="Bookman Old Style" w:cs="Arial"/>
        </w:rPr>
        <w:t xml:space="preserve">esta Comisión </w:t>
      </w:r>
      <w:r w:rsidR="00755CDB">
        <w:rPr>
          <w:rFonts w:ascii="Bookman Old Style" w:hAnsi="Bookman Old Style" w:cs="Arial"/>
        </w:rPr>
        <w:t>analizar la competencia de la entidad para conocerlo y la oportunidad en la cual fue presentado.</w:t>
      </w:r>
    </w:p>
    <w:p w:rsidR="00755CDB" w:rsidRDefault="00755CDB" w:rsidP="00755CDB">
      <w:pPr>
        <w:ind w:left="0"/>
        <w:jc w:val="both"/>
        <w:rPr>
          <w:rFonts w:ascii="Bookman Old Style" w:hAnsi="Bookman Old Style" w:cs="Arial"/>
        </w:rPr>
      </w:pPr>
    </w:p>
    <w:p w:rsidR="00755CDB" w:rsidRPr="008B0882" w:rsidRDefault="00755CDB" w:rsidP="00755CDB">
      <w:pPr>
        <w:ind w:left="0"/>
        <w:jc w:val="both"/>
        <w:rPr>
          <w:rFonts w:ascii="Bookman Old Style" w:hAnsi="Bookman Old Style" w:cs="Arial"/>
          <w:b/>
        </w:rPr>
      </w:pPr>
      <w:r w:rsidRPr="008B0882">
        <w:rPr>
          <w:rFonts w:ascii="Bookman Old Style" w:hAnsi="Bookman Old Style" w:cs="Arial"/>
          <w:b/>
        </w:rPr>
        <w:t>3.1</w:t>
      </w:r>
      <w:r w:rsidR="00D273A8">
        <w:rPr>
          <w:rFonts w:ascii="Bookman Old Style" w:hAnsi="Bookman Old Style" w:cs="Arial"/>
          <w:b/>
        </w:rPr>
        <w:t xml:space="preserve">. </w:t>
      </w:r>
      <w:r w:rsidRPr="008B0882">
        <w:rPr>
          <w:rFonts w:ascii="Bookman Old Style" w:hAnsi="Bookman Old Style" w:cs="Arial"/>
          <w:b/>
        </w:rPr>
        <w:t xml:space="preserve"> C</w:t>
      </w:r>
      <w:r>
        <w:rPr>
          <w:rFonts w:ascii="Bookman Old Style" w:hAnsi="Bookman Old Style" w:cs="Arial"/>
          <w:b/>
        </w:rPr>
        <w:t>OMPETENCIA</w:t>
      </w:r>
      <w:r w:rsidR="00D273A8">
        <w:rPr>
          <w:rFonts w:ascii="Bookman Old Style" w:hAnsi="Bookman Old Style" w:cs="Arial"/>
          <w:b/>
        </w:rPr>
        <w:t>.</w:t>
      </w:r>
    </w:p>
    <w:p w:rsidR="00755CDB" w:rsidRDefault="00755CDB" w:rsidP="00755CDB">
      <w:pPr>
        <w:ind w:left="0"/>
        <w:jc w:val="both"/>
        <w:rPr>
          <w:rFonts w:ascii="Bookman Old Style" w:hAnsi="Bookman Old Style" w:cs="Arial"/>
        </w:rPr>
      </w:pPr>
    </w:p>
    <w:p w:rsidR="00755CDB" w:rsidRDefault="008A7D1D" w:rsidP="00755CDB">
      <w:pPr>
        <w:ind w:left="0"/>
        <w:jc w:val="both"/>
        <w:rPr>
          <w:rFonts w:ascii="Bookman Old Style" w:hAnsi="Bookman Old Style" w:cs="Arial"/>
        </w:rPr>
      </w:pPr>
      <w:r>
        <w:rPr>
          <w:rFonts w:ascii="Bookman Old Style" w:hAnsi="Bookman Old Style" w:cs="Arial"/>
        </w:rPr>
        <w:t>E</w:t>
      </w:r>
      <w:r w:rsidR="00755CDB">
        <w:rPr>
          <w:rFonts w:ascii="Bookman Old Style" w:hAnsi="Bookman Old Style" w:cs="Arial"/>
        </w:rPr>
        <w:t xml:space="preserve">l </w:t>
      </w:r>
      <w:r w:rsidR="009B3537">
        <w:rPr>
          <w:rFonts w:ascii="Bookman Old Style" w:hAnsi="Bookman Old Style" w:cs="Arial"/>
        </w:rPr>
        <w:t>A</w:t>
      </w:r>
      <w:r w:rsidR="00755CDB">
        <w:rPr>
          <w:rFonts w:ascii="Bookman Old Style" w:hAnsi="Bookman Old Style" w:cs="Arial"/>
        </w:rPr>
        <w:t>rtículo 113 de la Ley 142 de 1994 establece que</w:t>
      </w:r>
      <w:r>
        <w:rPr>
          <w:rFonts w:ascii="Bookman Old Style" w:hAnsi="Bookman Old Style" w:cs="Arial"/>
        </w:rPr>
        <w:t>,</w:t>
      </w:r>
      <w:r w:rsidR="00755CDB">
        <w:rPr>
          <w:rFonts w:ascii="Bookman Old Style" w:hAnsi="Bookman Old Style" w:cs="Arial"/>
        </w:rPr>
        <w:t xml:space="preserve"> </w:t>
      </w:r>
      <w:r>
        <w:rPr>
          <w:rFonts w:ascii="Bookman Old Style" w:hAnsi="Bookman Old Style" w:cs="Arial"/>
        </w:rPr>
        <w:t xml:space="preserve">salvo disposición legal en contrario, </w:t>
      </w:r>
      <w:r w:rsidR="00755CDB">
        <w:rPr>
          <w:rFonts w:ascii="Bookman Old Style" w:hAnsi="Bookman Old Style" w:cs="Arial"/>
        </w:rPr>
        <w:t xml:space="preserve">en contra de las decisiones de las Comisiones de Regulación con las cuales se ponga fin a </w:t>
      </w:r>
      <w:r w:rsidR="009B3537">
        <w:rPr>
          <w:rFonts w:ascii="Bookman Old Style" w:hAnsi="Bookman Old Style" w:cs="Arial"/>
        </w:rPr>
        <w:t>una</w:t>
      </w:r>
      <w:r w:rsidR="00755CDB">
        <w:rPr>
          <w:rFonts w:ascii="Bookman Old Style" w:hAnsi="Bookman Old Style" w:cs="Arial"/>
        </w:rPr>
        <w:t xml:space="preserve"> actuación administrativa</w:t>
      </w:r>
      <w:r w:rsidR="00394862">
        <w:rPr>
          <w:rFonts w:ascii="Bookman Old Style" w:hAnsi="Bookman Old Style" w:cs="Arial"/>
        </w:rPr>
        <w:t>,</w:t>
      </w:r>
      <w:r w:rsidR="00755CDB">
        <w:rPr>
          <w:rFonts w:ascii="Bookman Old Style" w:hAnsi="Bookman Old Style" w:cs="Arial"/>
        </w:rPr>
        <w:t xml:space="preserve"> únicamente procede el recurso de reposición, el cual deberá interponerse dentro de los cinco días siguientes a la notificación o publicación del acto.</w:t>
      </w:r>
    </w:p>
    <w:p w:rsidR="00755CDB" w:rsidRDefault="00755CDB" w:rsidP="00755CDB">
      <w:pPr>
        <w:ind w:left="0"/>
        <w:jc w:val="both"/>
        <w:rPr>
          <w:rFonts w:ascii="Bookman Old Style" w:hAnsi="Bookman Old Style" w:cs="Arial"/>
        </w:rPr>
      </w:pPr>
    </w:p>
    <w:p w:rsidR="00755CDB" w:rsidRDefault="00755CDB" w:rsidP="00755CDB">
      <w:pPr>
        <w:ind w:left="0"/>
        <w:jc w:val="both"/>
        <w:rPr>
          <w:rFonts w:ascii="Bookman Old Style" w:hAnsi="Bookman Old Style" w:cs="Arial"/>
        </w:rPr>
      </w:pPr>
      <w:r>
        <w:rPr>
          <w:rFonts w:ascii="Bookman Old Style" w:hAnsi="Bookman Old Style" w:cs="Arial"/>
        </w:rPr>
        <w:t xml:space="preserve">Complementando lo anterior, el </w:t>
      </w:r>
      <w:r w:rsidR="00AD7A2F">
        <w:rPr>
          <w:rFonts w:ascii="Bookman Old Style" w:hAnsi="Bookman Old Style" w:cs="Arial"/>
        </w:rPr>
        <w:t>A</w:t>
      </w:r>
      <w:r>
        <w:rPr>
          <w:rFonts w:ascii="Bookman Old Style" w:hAnsi="Bookman Old Style" w:cs="Arial"/>
        </w:rPr>
        <w:t>rtículo 50 del Código Contencioso Administrativo</w:t>
      </w:r>
      <w:r w:rsidR="00394862">
        <w:rPr>
          <w:rFonts w:ascii="Bookman Old Style" w:hAnsi="Bookman Old Style" w:cs="Arial"/>
        </w:rPr>
        <w:t>,</w:t>
      </w:r>
      <w:r>
        <w:rPr>
          <w:rFonts w:ascii="Bookman Old Style" w:hAnsi="Bookman Old Style" w:cs="Arial"/>
        </w:rPr>
        <w:t xml:space="preserve"> establece que el recurso de reposición existe en la vía gubernativa, siendo interpuesto ante el mismo funcionario que profirió el acto para que sea éste mismo quien lo decida.</w:t>
      </w:r>
    </w:p>
    <w:p w:rsidR="00755CDB" w:rsidRDefault="00755CDB" w:rsidP="00755CDB">
      <w:pPr>
        <w:ind w:left="0"/>
        <w:jc w:val="both"/>
        <w:rPr>
          <w:rFonts w:ascii="Bookman Old Style" w:hAnsi="Bookman Old Style" w:cs="Arial"/>
        </w:rPr>
      </w:pPr>
    </w:p>
    <w:p w:rsidR="00755CDB" w:rsidRPr="008A2861" w:rsidRDefault="00755CDB" w:rsidP="00755CDB">
      <w:pPr>
        <w:ind w:left="0"/>
        <w:jc w:val="both"/>
        <w:rPr>
          <w:rFonts w:ascii="Bookman Old Style" w:hAnsi="Bookman Old Style" w:cs="Arial"/>
        </w:rPr>
      </w:pPr>
      <w:r w:rsidRPr="008A2861">
        <w:rPr>
          <w:rFonts w:ascii="Bookman Old Style" w:hAnsi="Bookman Old Style" w:cs="Arial"/>
        </w:rPr>
        <w:t xml:space="preserve">De esta manera resulta clara la competencia de </w:t>
      </w:r>
      <w:r>
        <w:rPr>
          <w:rFonts w:ascii="Bookman Old Style" w:hAnsi="Bookman Old Style" w:cs="Arial"/>
        </w:rPr>
        <w:t xml:space="preserve">la CREG </w:t>
      </w:r>
      <w:r w:rsidRPr="008A2861">
        <w:rPr>
          <w:rFonts w:ascii="Bookman Old Style" w:hAnsi="Bookman Old Style" w:cs="Arial"/>
        </w:rPr>
        <w:t>para resolver el recurso de reposición</w:t>
      </w:r>
      <w:r>
        <w:rPr>
          <w:rFonts w:ascii="Bookman Old Style" w:hAnsi="Bookman Old Style" w:cs="Arial"/>
        </w:rPr>
        <w:t>,</w:t>
      </w:r>
      <w:r w:rsidR="00721AA2">
        <w:rPr>
          <w:rFonts w:ascii="Bookman Old Style" w:hAnsi="Bookman Old Style" w:cs="Arial"/>
        </w:rPr>
        <w:t xml:space="preserve"> interpuesto por EPM </w:t>
      </w:r>
      <w:r w:rsidRPr="008A2861">
        <w:rPr>
          <w:rFonts w:ascii="Bookman Old Style" w:hAnsi="Bookman Old Style" w:cs="Arial"/>
        </w:rPr>
        <w:t xml:space="preserve">en contra de la Resolución CREG </w:t>
      </w:r>
      <w:r w:rsidR="00721AA2">
        <w:rPr>
          <w:rFonts w:ascii="Bookman Old Style" w:hAnsi="Bookman Old Style" w:cs="Arial"/>
        </w:rPr>
        <w:t>1</w:t>
      </w:r>
      <w:r w:rsidRPr="008A2861">
        <w:rPr>
          <w:rFonts w:ascii="Bookman Old Style" w:hAnsi="Bookman Old Style" w:cs="Arial"/>
        </w:rPr>
        <w:t xml:space="preserve">04 de 2011. </w:t>
      </w:r>
    </w:p>
    <w:p w:rsidR="00755CDB" w:rsidRPr="00721AA2" w:rsidRDefault="00755CDB" w:rsidP="00755CDB">
      <w:pPr>
        <w:ind w:left="0"/>
        <w:jc w:val="both"/>
        <w:rPr>
          <w:rFonts w:ascii="Bookman Old Style" w:hAnsi="Bookman Old Style"/>
          <w:i/>
          <w:iCs/>
        </w:rPr>
      </w:pPr>
    </w:p>
    <w:p w:rsidR="00755CDB" w:rsidRPr="008A2861" w:rsidRDefault="00755CDB" w:rsidP="00755CDB">
      <w:pPr>
        <w:ind w:left="0"/>
        <w:jc w:val="both"/>
        <w:rPr>
          <w:rFonts w:ascii="Bookman Old Style" w:hAnsi="Bookman Old Style"/>
          <w:b/>
          <w:iCs/>
          <w:lang w:val="es-CO"/>
        </w:rPr>
      </w:pPr>
      <w:r w:rsidRPr="008A2861">
        <w:rPr>
          <w:rFonts w:ascii="Bookman Old Style" w:hAnsi="Bookman Old Style"/>
          <w:b/>
          <w:iCs/>
          <w:lang w:val="es-CO"/>
        </w:rPr>
        <w:t>3.2</w:t>
      </w:r>
      <w:r w:rsidR="00D273A8">
        <w:rPr>
          <w:rFonts w:ascii="Bookman Old Style" w:hAnsi="Bookman Old Style"/>
          <w:b/>
          <w:iCs/>
          <w:lang w:val="es-CO"/>
        </w:rPr>
        <w:t>.</w:t>
      </w:r>
      <w:r w:rsidRPr="008A2861">
        <w:rPr>
          <w:rFonts w:ascii="Bookman Old Style" w:hAnsi="Bookman Old Style"/>
          <w:b/>
          <w:iCs/>
          <w:lang w:val="es-CO"/>
        </w:rPr>
        <w:t xml:space="preserve"> </w:t>
      </w:r>
      <w:r>
        <w:rPr>
          <w:rFonts w:ascii="Bookman Old Style" w:hAnsi="Bookman Old Style"/>
          <w:b/>
          <w:iCs/>
          <w:lang w:val="es-CO"/>
        </w:rPr>
        <w:t>OPORTUNIDAD</w:t>
      </w:r>
      <w:r w:rsidR="00D273A8">
        <w:rPr>
          <w:rFonts w:ascii="Bookman Old Style" w:hAnsi="Bookman Old Style"/>
          <w:b/>
          <w:iCs/>
          <w:lang w:val="es-CO"/>
        </w:rPr>
        <w:t>.</w:t>
      </w:r>
    </w:p>
    <w:p w:rsidR="00755CDB" w:rsidRPr="008A2861" w:rsidRDefault="00755CDB" w:rsidP="00755CDB">
      <w:pPr>
        <w:ind w:left="0"/>
        <w:jc w:val="both"/>
        <w:rPr>
          <w:rFonts w:ascii="Bookman Old Style" w:hAnsi="Bookman Old Style"/>
          <w:b/>
          <w:iCs/>
          <w:lang w:val="es-CO"/>
        </w:rPr>
      </w:pPr>
    </w:p>
    <w:p w:rsidR="00AD7A2F" w:rsidRDefault="00797B2D" w:rsidP="00797B2D">
      <w:pPr>
        <w:pStyle w:val="Textoindependiente"/>
        <w:ind w:left="0"/>
        <w:jc w:val="both"/>
        <w:rPr>
          <w:rFonts w:ascii="Bookman Old Style" w:hAnsi="Bookman Old Style"/>
          <w:b w:val="0"/>
          <w:spacing w:val="-5"/>
        </w:rPr>
      </w:pPr>
      <w:r w:rsidRPr="00797B2D">
        <w:rPr>
          <w:rFonts w:ascii="Bookman Old Style" w:hAnsi="Bookman Old Style"/>
          <w:b w:val="0"/>
          <w:spacing w:val="-5"/>
        </w:rPr>
        <w:t>Mediante oficio con el Rad. CREG S-2011-004297 del 7 de octubre de 2011, se envió comunicación a EPM para surtir el trámite de notificación personal de la Resolución CREG 104 de 2011, sin que el interesado</w:t>
      </w:r>
      <w:r>
        <w:rPr>
          <w:rFonts w:ascii="Bookman Old Style" w:hAnsi="Bookman Old Style"/>
          <w:b w:val="0"/>
          <w:spacing w:val="-5"/>
        </w:rPr>
        <w:t xml:space="preserve"> hubiera acudido a</w:t>
      </w:r>
      <w:r w:rsidRPr="00797B2D">
        <w:rPr>
          <w:rFonts w:ascii="Bookman Old Style" w:hAnsi="Bookman Old Style"/>
          <w:b w:val="0"/>
          <w:spacing w:val="-5"/>
        </w:rPr>
        <w:t xml:space="preserve"> notificarse personalmente. </w:t>
      </w:r>
    </w:p>
    <w:p w:rsidR="00AD7A2F" w:rsidRDefault="00AD7A2F" w:rsidP="00797B2D">
      <w:pPr>
        <w:pStyle w:val="Textoindependiente"/>
        <w:ind w:left="0"/>
        <w:jc w:val="both"/>
        <w:rPr>
          <w:rFonts w:ascii="Bookman Old Style" w:hAnsi="Bookman Old Style"/>
          <w:b w:val="0"/>
          <w:spacing w:val="-5"/>
        </w:rPr>
      </w:pPr>
    </w:p>
    <w:p w:rsidR="00797B2D" w:rsidRPr="00797B2D" w:rsidRDefault="00797B2D" w:rsidP="00797B2D">
      <w:pPr>
        <w:pStyle w:val="Textoindependiente"/>
        <w:ind w:left="0"/>
        <w:jc w:val="both"/>
        <w:rPr>
          <w:rFonts w:ascii="Bookman Old Style" w:hAnsi="Bookman Old Style"/>
          <w:b w:val="0"/>
          <w:spacing w:val="-5"/>
        </w:rPr>
      </w:pPr>
      <w:r w:rsidRPr="00797B2D">
        <w:rPr>
          <w:rFonts w:ascii="Bookman Old Style" w:hAnsi="Bookman Old Style"/>
          <w:b w:val="0"/>
          <w:spacing w:val="-5"/>
        </w:rPr>
        <w:t xml:space="preserve">Vencido </w:t>
      </w:r>
      <w:r w:rsidR="00AD7A2F">
        <w:rPr>
          <w:rFonts w:ascii="Bookman Old Style" w:hAnsi="Bookman Old Style"/>
          <w:b w:val="0"/>
          <w:spacing w:val="-5"/>
        </w:rPr>
        <w:t xml:space="preserve">el </w:t>
      </w:r>
      <w:r w:rsidRPr="00797B2D">
        <w:rPr>
          <w:rFonts w:ascii="Bookman Old Style" w:hAnsi="Bookman Old Style"/>
          <w:b w:val="0"/>
          <w:spacing w:val="-5"/>
        </w:rPr>
        <w:t>término</w:t>
      </w:r>
      <w:r w:rsidR="00AD7A2F">
        <w:rPr>
          <w:rFonts w:ascii="Bookman Old Style" w:hAnsi="Bookman Old Style"/>
          <w:b w:val="0"/>
          <w:spacing w:val="-5"/>
        </w:rPr>
        <w:t xml:space="preserve"> de notificación personal</w:t>
      </w:r>
      <w:r w:rsidRPr="00797B2D">
        <w:rPr>
          <w:rFonts w:ascii="Bookman Old Style" w:hAnsi="Bookman Old Style"/>
          <w:b w:val="0"/>
          <w:spacing w:val="-5"/>
        </w:rPr>
        <w:t>, se inició el trámite para la notificación por edicto, el cual se fijó el 25 de octubre</w:t>
      </w:r>
      <w:r>
        <w:rPr>
          <w:rFonts w:ascii="Bookman Old Style" w:hAnsi="Bookman Old Style"/>
          <w:b w:val="0"/>
          <w:spacing w:val="-5"/>
        </w:rPr>
        <w:t xml:space="preserve"> del presente año,</w:t>
      </w:r>
      <w:r w:rsidRPr="00797B2D">
        <w:rPr>
          <w:rFonts w:ascii="Bookman Old Style" w:hAnsi="Bookman Old Style"/>
          <w:b w:val="0"/>
          <w:spacing w:val="-5"/>
        </w:rPr>
        <w:t xml:space="preserve"> </w:t>
      </w:r>
      <w:r>
        <w:rPr>
          <w:rFonts w:ascii="Bookman Old Style" w:hAnsi="Bookman Old Style"/>
          <w:b w:val="0"/>
          <w:spacing w:val="-5"/>
        </w:rPr>
        <w:t>por un término de diez (10) días hábiles, desfijándose el 10 de noviembre del 2011.</w:t>
      </w:r>
      <w:r w:rsidRPr="00797B2D">
        <w:rPr>
          <w:rFonts w:ascii="Bookman Old Style" w:hAnsi="Bookman Old Style"/>
          <w:b w:val="0"/>
          <w:spacing w:val="-5"/>
        </w:rPr>
        <w:t xml:space="preserve"> </w:t>
      </w:r>
    </w:p>
    <w:p w:rsidR="00797B2D" w:rsidRDefault="00797B2D" w:rsidP="00755CDB">
      <w:pPr>
        <w:ind w:left="0"/>
        <w:jc w:val="both"/>
        <w:rPr>
          <w:rFonts w:ascii="Bookman Old Style" w:hAnsi="Bookman Old Style"/>
          <w:iCs/>
          <w:lang w:val="es-CO"/>
        </w:rPr>
      </w:pPr>
    </w:p>
    <w:p w:rsidR="00755CDB" w:rsidRDefault="00755CDB" w:rsidP="00755CDB">
      <w:pPr>
        <w:ind w:left="0"/>
        <w:jc w:val="both"/>
        <w:rPr>
          <w:rFonts w:ascii="Bookman Old Style" w:hAnsi="Bookman Old Style"/>
          <w:iCs/>
          <w:lang w:val="es-CO"/>
        </w:rPr>
      </w:pPr>
      <w:r w:rsidRPr="008A2861">
        <w:rPr>
          <w:rFonts w:ascii="Bookman Old Style" w:hAnsi="Bookman Old Style"/>
          <w:iCs/>
          <w:lang w:val="es-CO"/>
        </w:rPr>
        <w:t xml:space="preserve">El recurso de reposición fue presentado en la CREG el </w:t>
      </w:r>
      <w:r w:rsidR="00797B2D">
        <w:rPr>
          <w:rFonts w:ascii="Bookman Old Style" w:hAnsi="Bookman Old Style"/>
          <w:iCs/>
          <w:lang w:val="es-CO"/>
        </w:rPr>
        <w:t>16</w:t>
      </w:r>
      <w:r w:rsidRPr="008A2861">
        <w:rPr>
          <w:rFonts w:ascii="Bookman Old Style" w:hAnsi="Bookman Old Style"/>
          <w:iCs/>
          <w:lang w:val="es-CO"/>
        </w:rPr>
        <w:t xml:space="preserve"> de </w:t>
      </w:r>
      <w:r w:rsidR="00797B2D">
        <w:rPr>
          <w:rFonts w:ascii="Bookman Old Style" w:hAnsi="Bookman Old Style"/>
          <w:iCs/>
          <w:lang w:val="es-CO"/>
        </w:rPr>
        <w:t>noviembre</w:t>
      </w:r>
      <w:r w:rsidRPr="008A2861">
        <w:rPr>
          <w:rFonts w:ascii="Bookman Old Style" w:hAnsi="Bookman Old Style"/>
          <w:iCs/>
          <w:lang w:val="es-CO"/>
        </w:rPr>
        <w:t xml:space="preserve"> de</w:t>
      </w:r>
      <w:r w:rsidR="00797B2D">
        <w:rPr>
          <w:rFonts w:ascii="Bookman Old Style" w:hAnsi="Bookman Old Style"/>
          <w:iCs/>
          <w:lang w:val="es-CO"/>
        </w:rPr>
        <w:t>l presente año, bajo el Rad. CREG E-2011-010897, esto es dentro de los 5 días siguientes a</w:t>
      </w:r>
      <w:r w:rsidR="00AD7A2F">
        <w:rPr>
          <w:rFonts w:ascii="Bookman Old Style" w:hAnsi="Bookman Old Style"/>
          <w:iCs/>
          <w:lang w:val="es-CO"/>
        </w:rPr>
        <w:t xml:space="preserve"> </w:t>
      </w:r>
      <w:r w:rsidR="00797B2D">
        <w:rPr>
          <w:rFonts w:ascii="Bookman Old Style" w:hAnsi="Bookman Old Style"/>
          <w:iCs/>
          <w:lang w:val="es-CO"/>
        </w:rPr>
        <w:t>l</w:t>
      </w:r>
      <w:r w:rsidR="00AD7A2F">
        <w:rPr>
          <w:rFonts w:ascii="Bookman Old Style" w:hAnsi="Bookman Old Style"/>
          <w:iCs/>
          <w:lang w:val="es-CO"/>
        </w:rPr>
        <w:t>a</w:t>
      </w:r>
      <w:r w:rsidR="00797B2D">
        <w:rPr>
          <w:rFonts w:ascii="Bookman Old Style" w:hAnsi="Bookman Old Style"/>
          <w:iCs/>
          <w:lang w:val="es-CO"/>
        </w:rPr>
        <w:t xml:space="preserve"> </w:t>
      </w:r>
      <w:proofErr w:type="spellStart"/>
      <w:r w:rsidR="00797B2D">
        <w:rPr>
          <w:rFonts w:ascii="Bookman Old Style" w:hAnsi="Bookman Old Style"/>
          <w:iCs/>
          <w:lang w:val="es-CO"/>
        </w:rPr>
        <w:t>desfij</w:t>
      </w:r>
      <w:r w:rsidR="00AD7A2F">
        <w:rPr>
          <w:rFonts w:ascii="Bookman Old Style" w:hAnsi="Bookman Old Style"/>
          <w:iCs/>
          <w:lang w:val="es-CO"/>
        </w:rPr>
        <w:t>ación</w:t>
      </w:r>
      <w:proofErr w:type="spellEnd"/>
      <w:r w:rsidR="00AD7A2F">
        <w:rPr>
          <w:rFonts w:ascii="Bookman Old Style" w:hAnsi="Bookman Old Style"/>
          <w:iCs/>
          <w:lang w:val="es-CO"/>
        </w:rPr>
        <w:t xml:space="preserve"> d</w:t>
      </w:r>
      <w:r w:rsidR="00797B2D">
        <w:rPr>
          <w:rFonts w:ascii="Bookman Old Style" w:hAnsi="Bookman Old Style"/>
          <w:iCs/>
          <w:lang w:val="es-CO"/>
        </w:rPr>
        <w:t>el edicto.</w:t>
      </w:r>
      <w:r w:rsidRPr="008A2861">
        <w:rPr>
          <w:rFonts w:ascii="Bookman Old Style" w:hAnsi="Bookman Old Style"/>
          <w:iCs/>
          <w:lang w:val="es-CO"/>
        </w:rPr>
        <w:t xml:space="preserve"> </w:t>
      </w:r>
    </w:p>
    <w:p w:rsidR="00797B2D" w:rsidRDefault="00797B2D" w:rsidP="00755CDB">
      <w:pPr>
        <w:ind w:left="0"/>
        <w:jc w:val="both"/>
        <w:rPr>
          <w:rFonts w:ascii="Bookman Old Style" w:hAnsi="Bookman Old Style"/>
          <w:iCs/>
          <w:lang w:val="es-CO"/>
        </w:rPr>
      </w:pPr>
    </w:p>
    <w:p w:rsidR="00CE0138" w:rsidRDefault="00CE0138" w:rsidP="00755CDB">
      <w:pPr>
        <w:ind w:left="0"/>
        <w:jc w:val="both"/>
        <w:rPr>
          <w:rFonts w:ascii="Bookman Old Style" w:hAnsi="Bookman Old Style"/>
          <w:iCs/>
          <w:lang w:val="es-CO"/>
        </w:rPr>
      </w:pPr>
    </w:p>
    <w:p w:rsidR="00CE0138" w:rsidRDefault="00CE0138" w:rsidP="00755CDB">
      <w:pPr>
        <w:ind w:left="0"/>
        <w:jc w:val="both"/>
        <w:rPr>
          <w:rFonts w:ascii="Bookman Old Style" w:hAnsi="Bookman Old Style"/>
          <w:iCs/>
          <w:lang w:val="es-CO"/>
        </w:rPr>
      </w:pPr>
    </w:p>
    <w:p w:rsidR="00CE0138" w:rsidRDefault="00CE0138" w:rsidP="00755CDB">
      <w:pPr>
        <w:ind w:left="0"/>
        <w:jc w:val="both"/>
        <w:rPr>
          <w:rFonts w:ascii="Bookman Old Style" w:hAnsi="Bookman Old Style"/>
          <w:iCs/>
          <w:lang w:val="es-CO"/>
        </w:rPr>
      </w:pPr>
    </w:p>
    <w:p w:rsidR="00797B2D" w:rsidRDefault="002F71BD" w:rsidP="00755CDB">
      <w:pPr>
        <w:ind w:left="0"/>
        <w:jc w:val="both"/>
        <w:rPr>
          <w:rFonts w:ascii="Bookman Old Style" w:hAnsi="Bookman Old Style"/>
          <w:iCs/>
          <w:lang w:val="es-CO"/>
        </w:rPr>
      </w:pPr>
      <w:r>
        <w:rPr>
          <w:rFonts w:ascii="Bookman Old Style" w:hAnsi="Bookman Old Style"/>
          <w:iCs/>
          <w:lang w:val="es-CO"/>
        </w:rPr>
        <w:t xml:space="preserve">En consideración de lo anterior, el recurso fue interpuesto en la oportunidad  establecida por el </w:t>
      </w:r>
      <w:r w:rsidR="009B3537">
        <w:rPr>
          <w:rFonts w:ascii="Bookman Old Style" w:hAnsi="Bookman Old Style"/>
          <w:iCs/>
          <w:lang w:val="es-CO"/>
        </w:rPr>
        <w:t>A</w:t>
      </w:r>
      <w:r>
        <w:rPr>
          <w:rFonts w:ascii="Bookman Old Style" w:hAnsi="Bookman Old Style"/>
          <w:iCs/>
          <w:lang w:val="es-CO"/>
        </w:rPr>
        <w:t>rtículo</w:t>
      </w:r>
      <w:r w:rsidR="009B3537">
        <w:rPr>
          <w:rFonts w:ascii="Bookman Old Style" w:hAnsi="Bookman Old Style"/>
          <w:iCs/>
          <w:lang w:val="es-CO"/>
        </w:rPr>
        <w:t xml:space="preserve"> 113 de la Ley 142 de 1994 y</w:t>
      </w:r>
      <w:r>
        <w:rPr>
          <w:rFonts w:ascii="Bookman Old Style" w:hAnsi="Bookman Old Style"/>
          <w:iCs/>
          <w:lang w:val="es-CO"/>
        </w:rPr>
        <w:t xml:space="preserve"> 51 del Código Contencioso Administrativo.</w:t>
      </w:r>
    </w:p>
    <w:p w:rsidR="00797B2D" w:rsidRDefault="00797B2D" w:rsidP="00755CDB">
      <w:pPr>
        <w:ind w:left="0"/>
        <w:jc w:val="both"/>
        <w:rPr>
          <w:rFonts w:ascii="Bookman Old Style" w:hAnsi="Bookman Old Style"/>
          <w:iCs/>
          <w:lang w:val="es-CO"/>
        </w:rPr>
      </w:pPr>
    </w:p>
    <w:p w:rsidR="00755CDB" w:rsidRDefault="000038D2" w:rsidP="00755CDB">
      <w:pPr>
        <w:pStyle w:val="Ttulo1"/>
        <w:ind w:left="0"/>
        <w:jc w:val="left"/>
        <w:rPr>
          <w:rFonts w:ascii="Bookman Old Style" w:hAnsi="Bookman Old Style"/>
          <w:szCs w:val="24"/>
        </w:rPr>
      </w:pPr>
      <w:r>
        <w:rPr>
          <w:rFonts w:ascii="Bookman Old Style" w:hAnsi="Bookman Old Style"/>
          <w:szCs w:val="24"/>
        </w:rPr>
        <w:t>3</w:t>
      </w:r>
      <w:r w:rsidR="00755CDB" w:rsidRPr="00BE6BA4">
        <w:rPr>
          <w:rFonts w:ascii="Bookman Old Style" w:hAnsi="Bookman Old Style"/>
          <w:szCs w:val="24"/>
        </w:rPr>
        <w:t>.</w:t>
      </w:r>
      <w:r>
        <w:rPr>
          <w:rFonts w:ascii="Bookman Old Style" w:hAnsi="Bookman Old Style"/>
          <w:szCs w:val="24"/>
        </w:rPr>
        <w:t>3</w:t>
      </w:r>
      <w:r w:rsidR="00D273A8">
        <w:rPr>
          <w:rFonts w:ascii="Bookman Old Style" w:hAnsi="Bookman Old Style"/>
          <w:szCs w:val="24"/>
        </w:rPr>
        <w:t>.</w:t>
      </w:r>
      <w:r w:rsidR="00755CDB" w:rsidRPr="00BE6BA4">
        <w:rPr>
          <w:rFonts w:ascii="Bookman Old Style" w:hAnsi="Bookman Old Style"/>
          <w:szCs w:val="24"/>
        </w:rPr>
        <w:tab/>
        <w:t>ANÁLISIS DE LA SOLICITUD</w:t>
      </w:r>
      <w:r w:rsidR="00D273A8">
        <w:rPr>
          <w:rFonts w:ascii="Bookman Old Style" w:hAnsi="Bookman Old Style"/>
          <w:szCs w:val="24"/>
        </w:rPr>
        <w:t>.</w:t>
      </w:r>
    </w:p>
    <w:p w:rsidR="00755CDB" w:rsidRDefault="00755CDB" w:rsidP="00755CDB">
      <w:pPr>
        <w:ind w:left="0"/>
        <w:rPr>
          <w:lang w:val="es-CO"/>
        </w:rPr>
      </w:pPr>
    </w:p>
    <w:p w:rsidR="00755CDB" w:rsidRPr="00D63666" w:rsidRDefault="00755CDB" w:rsidP="000038D2">
      <w:pPr>
        <w:widowControl w:val="0"/>
        <w:autoSpaceDE w:val="0"/>
        <w:autoSpaceDN w:val="0"/>
        <w:adjustRightInd w:val="0"/>
        <w:ind w:left="0"/>
        <w:jc w:val="both"/>
        <w:rPr>
          <w:rFonts w:ascii="Bookman Old Style" w:hAnsi="Bookman Old Style" w:cs="Arial"/>
        </w:rPr>
      </w:pPr>
      <w:r w:rsidRPr="003604C5">
        <w:rPr>
          <w:rFonts w:ascii="Bookman Old Style" w:hAnsi="Bookman Old Style" w:cs="Arial"/>
        </w:rPr>
        <w:t xml:space="preserve">El recurso de reposición </w:t>
      </w:r>
      <w:r w:rsidR="000038D2">
        <w:rPr>
          <w:rFonts w:ascii="Bookman Old Style" w:hAnsi="Bookman Old Style" w:cs="Arial"/>
        </w:rPr>
        <w:t>puede</w:t>
      </w:r>
      <w:r w:rsidR="009B3537">
        <w:rPr>
          <w:rFonts w:ascii="Bookman Old Style" w:hAnsi="Bookman Old Style" w:cs="Arial"/>
        </w:rPr>
        <w:t xml:space="preserve"> resumirse en </w:t>
      </w:r>
      <w:r w:rsidR="000038D2">
        <w:rPr>
          <w:rFonts w:ascii="Bookman Old Style" w:hAnsi="Bookman Old Style" w:cs="Arial"/>
        </w:rPr>
        <w:t>3 cargos en contra de la Resolución CREG 104 de 2011, de la siguiente manera:</w:t>
      </w:r>
    </w:p>
    <w:p w:rsidR="00755CDB" w:rsidRDefault="00755CDB" w:rsidP="00755CDB">
      <w:pPr>
        <w:pStyle w:val="Textoindependiente"/>
        <w:ind w:left="0"/>
        <w:jc w:val="both"/>
        <w:rPr>
          <w:rFonts w:ascii="Bookman Old Style" w:hAnsi="Bookman Old Style"/>
        </w:rPr>
      </w:pPr>
    </w:p>
    <w:p w:rsidR="000038D2" w:rsidRDefault="000038D2" w:rsidP="00671ED4">
      <w:pPr>
        <w:pStyle w:val="Textoindependiente"/>
        <w:ind w:left="0"/>
        <w:jc w:val="both"/>
        <w:rPr>
          <w:rFonts w:ascii="Bookman Old Style" w:hAnsi="Bookman Old Style"/>
          <w:b w:val="0"/>
        </w:rPr>
      </w:pPr>
      <w:r w:rsidRPr="000038D2">
        <w:rPr>
          <w:rFonts w:ascii="Bookman Old Style" w:hAnsi="Bookman Old Style"/>
        </w:rPr>
        <w:t>Primer cargo</w:t>
      </w:r>
      <w:r>
        <w:rPr>
          <w:rFonts w:ascii="Bookman Old Style" w:hAnsi="Bookman Old Style"/>
        </w:rPr>
        <w:t>:</w:t>
      </w:r>
      <w:r w:rsidRPr="000038D2">
        <w:rPr>
          <w:rFonts w:ascii="Bookman Old Style" w:hAnsi="Bookman Old Style"/>
          <w:b w:val="0"/>
        </w:rPr>
        <w:t xml:space="preserve"> </w:t>
      </w:r>
      <w:r>
        <w:rPr>
          <w:rFonts w:ascii="Bookman Old Style" w:hAnsi="Bookman Old Style"/>
          <w:b w:val="0"/>
          <w:i/>
        </w:rPr>
        <w:t>Vu</w:t>
      </w:r>
      <w:r w:rsidRPr="000038D2">
        <w:rPr>
          <w:rFonts w:ascii="Bookman Old Style" w:hAnsi="Bookman Old Style"/>
          <w:b w:val="0"/>
          <w:i/>
        </w:rPr>
        <w:t>l</w:t>
      </w:r>
      <w:r>
        <w:rPr>
          <w:rFonts w:ascii="Bookman Old Style" w:hAnsi="Bookman Old Style"/>
          <w:b w:val="0"/>
          <w:i/>
        </w:rPr>
        <w:t xml:space="preserve">neración </w:t>
      </w:r>
      <w:r w:rsidRPr="000038D2">
        <w:rPr>
          <w:rFonts w:ascii="Bookman Old Style" w:hAnsi="Bookman Old Style"/>
          <w:b w:val="0"/>
          <w:i/>
        </w:rPr>
        <w:t>de derecho de defensa de EPM</w:t>
      </w:r>
      <w:r w:rsidR="0035206F">
        <w:rPr>
          <w:rStyle w:val="Refdenotaalpie"/>
          <w:rFonts w:ascii="Bookman Old Style" w:hAnsi="Bookman Old Style"/>
          <w:b w:val="0"/>
          <w:i/>
        </w:rPr>
        <w:footnoteReference w:id="1"/>
      </w:r>
      <w:r w:rsidR="0035206F">
        <w:rPr>
          <w:rFonts w:ascii="Bookman Old Style" w:hAnsi="Bookman Old Style"/>
          <w:b w:val="0"/>
        </w:rPr>
        <w:t>,</w:t>
      </w:r>
      <w:r w:rsidRPr="000038D2">
        <w:rPr>
          <w:rFonts w:ascii="Bookman Old Style" w:hAnsi="Bookman Old Style"/>
          <w:b w:val="0"/>
        </w:rPr>
        <w:t xml:space="preserve"> e</w:t>
      </w:r>
      <w:r w:rsidR="009B3537">
        <w:rPr>
          <w:rFonts w:ascii="Bookman Old Style" w:hAnsi="Bookman Old Style"/>
          <w:b w:val="0"/>
        </w:rPr>
        <w:t xml:space="preserve">ste cargo </w:t>
      </w:r>
      <w:r w:rsidRPr="000038D2">
        <w:rPr>
          <w:rFonts w:ascii="Bookman Old Style" w:hAnsi="Bookman Old Style"/>
          <w:b w:val="0"/>
        </w:rPr>
        <w:t xml:space="preserve">se divide en dos </w:t>
      </w:r>
      <w:r w:rsidR="00AD7A2F">
        <w:rPr>
          <w:rFonts w:ascii="Bookman Old Style" w:hAnsi="Bookman Old Style"/>
          <w:b w:val="0"/>
        </w:rPr>
        <w:t>su</w:t>
      </w:r>
      <w:r w:rsidR="00FB2B66">
        <w:rPr>
          <w:rFonts w:ascii="Bookman Old Style" w:hAnsi="Bookman Old Style"/>
          <w:b w:val="0"/>
        </w:rPr>
        <w:t>b</w:t>
      </w:r>
      <w:r w:rsidR="00AD7A2F">
        <w:rPr>
          <w:rFonts w:ascii="Bookman Old Style" w:hAnsi="Bookman Old Style"/>
          <w:b w:val="0"/>
        </w:rPr>
        <w:t>-</w:t>
      </w:r>
      <w:r w:rsidR="00FB2B66">
        <w:rPr>
          <w:rFonts w:ascii="Bookman Old Style" w:hAnsi="Bookman Old Style"/>
          <w:b w:val="0"/>
        </w:rPr>
        <w:t>cargos</w:t>
      </w:r>
      <w:r>
        <w:rPr>
          <w:rFonts w:ascii="Bookman Old Style" w:hAnsi="Bookman Old Style"/>
          <w:b w:val="0"/>
        </w:rPr>
        <w:t xml:space="preserve"> que le permiten a EPM concluir la existencia de dicha vulneración.</w:t>
      </w:r>
      <w:r w:rsidRPr="000038D2">
        <w:rPr>
          <w:rFonts w:ascii="Bookman Old Style" w:hAnsi="Bookman Old Style"/>
          <w:b w:val="0"/>
        </w:rPr>
        <w:t xml:space="preserve"> </w:t>
      </w:r>
    </w:p>
    <w:p w:rsidR="000038D2" w:rsidRDefault="000038D2" w:rsidP="00671ED4">
      <w:pPr>
        <w:pStyle w:val="Textoindependiente"/>
        <w:ind w:left="0"/>
        <w:jc w:val="both"/>
        <w:rPr>
          <w:rFonts w:ascii="Bookman Old Style" w:hAnsi="Bookman Old Style"/>
          <w:b w:val="0"/>
        </w:rPr>
      </w:pPr>
    </w:p>
    <w:p w:rsidR="000038D2" w:rsidRDefault="000038D2" w:rsidP="00671ED4">
      <w:pPr>
        <w:pStyle w:val="Textoindependiente"/>
        <w:ind w:left="0"/>
        <w:jc w:val="both"/>
        <w:rPr>
          <w:rFonts w:ascii="Bookman Old Style" w:hAnsi="Bookman Old Style"/>
          <w:b w:val="0"/>
        </w:rPr>
      </w:pPr>
      <w:r>
        <w:rPr>
          <w:rFonts w:ascii="Bookman Old Style" w:hAnsi="Bookman Old Style"/>
          <w:b w:val="0"/>
        </w:rPr>
        <w:t xml:space="preserve">El primer (1) sub-cargo que se planeta en el recurso, es </w:t>
      </w:r>
      <w:r w:rsidRPr="000038D2">
        <w:rPr>
          <w:rFonts w:ascii="Bookman Old Style" w:hAnsi="Bookman Old Style"/>
          <w:b w:val="0"/>
        </w:rPr>
        <w:t>la no consideración por parte de la CREG</w:t>
      </w:r>
      <w:r>
        <w:rPr>
          <w:rFonts w:ascii="Bookman Old Style" w:hAnsi="Bookman Old Style"/>
          <w:b w:val="0"/>
        </w:rPr>
        <w:t xml:space="preserve"> </w:t>
      </w:r>
      <w:r w:rsidR="009B3537">
        <w:rPr>
          <w:rFonts w:ascii="Bookman Old Style" w:hAnsi="Bookman Old Style"/>
          <w:b w:val="0"/>
        </w:rPr>
        <w:t xml:space="preserve">en la actuación administrativa 2011-0049 o </w:t>
      </w:r>
      <w:r>
        <w:rPr>
          <w:rFonts w:ascii="Bookman Old Style" w:hAnsi="Bookman Old Style"/>
          <w:b w:val="0"/>
        </w:rPr>
        <w:t xml:space="preserve">en la Resolución CREG 104 de 2011, </w:t>
      </w:r>
      <w:r w:rsidRPr="000038D2">
        <w:rPr>
          <w:rFonts w:ascii="Bookman Old Style" w:hAnsi="Bookman Old Style"/>
          <w:b w:val="0"/>
        </w:rPr>
        <w:t>los argumentos expuestos por EPM en las comunicaciones E-2010-012362 del 30 de diciembre de 2010, E-2011-001370 del 11 de febrero de 2011, E-2011-006348 del 1° de julio de 2011 ni E-2011-09426 del 4 de octubre de 2011</w:t>
      </w:r>
      <w:r>
        <w:rPr>
          <w:rFonts w:ascii="Bookman Old Style" w:hAnsi="Bookman Old Style"/>
          <w:b w:val="0"/>
        </w:rPr>
        <w:t>.</w:t>
      </w:r>
    </w:p>
    <w:p w:rsidR="000038D2" w:rsidRDefault="000038D2" w:rsidP="00671ED4">
      <w:pPr>
        <w:pStyle w:val="Textoindependiente"/>
        <w:ind w:left="0"/>
        <w:jc w:val="both"/>
        <w:rPr>
          <w:rFonts w:ascii="Bookman Old Style" w:hAnsi="Bookman Old Style"/>
          <w:b w:val="0"/>
        </w:rPr>
      </w:pPr>
    </w:p>
    <w:p w:rsidR="000038D2" w:rsidRPr="000038D2" w:rsidRDefault="00FE3D6E" w:rsidP="00671ED4">
      <w:pPr>
        <w:pStyle w:val="Textoindependiente"/>
        <w:ind w:left="0"/>
        <w:jc w:val="both"/>
        <w:rPr>
          <w:rFonts w:ascii="Bookman Old Style" w:hAnsi="Bookman Old Style"/>
          <w:b w:val="0"/>
        </w:rPr>
      </w:pPr>
      <w:r>
        <w:rPr>
          <w:rFonts w:ascii="Bookman Old Style" w:hAnsi="Bookman Old Style"/>
          <w:b w:val="0"/>
        </w:rPr>
        <w:t>E</w:t>
      </w:r>
      <w:r w:rsidR="000038D2">
        <w:rPr>
          <w:rFonts w:ascii="Bookman Old Style" w:hAnsi="Bookman Old Style"/>
          <w:b w:val="0"/>
        </w:rPr>
        <w:t>l segundo (2) sub-cargo</w:t>
      </w:r>
      <w:r>
        <w:rPr>
          <w:rFonts w:ascii="Bookman Old Style" w:hAnsi="Bookman Old Style"/>
          <w:b w:val="0"/>
        </w:rPr>
        <w:t xml:space="preserve"> planteado por</w:t>
      </w:r>
      <w:r w:rsidR="000038D2">
        <w:rPr>
          <w:rFonts w:ascii="Bookman Old Style" w:hAnsi="Bookman Old Style"/>
          <w:b w:val="0"/>
        </w:rPr>
        <w:t xml:space="preserve"> </w:t>
      </w:r>
      <w:r>
        <w:rPr>
          <w:rFonts w:ascii="Bookman Old Style" w:hAnsi="Bookman Old Style"/>
          <w:b w:val="0"/>
        </w:rPr>
        <w:t>EPM, consiste en la indebida notificación del auto del 30 de Mayo de 2</w:t>
      </w:r>
      <w:r w:rsidR="00B35DA9">
        <w:rPr>
          <w:rFonts w:ascii="Bookman Old Style" w:hAnsi="Bookman Old Style"/>
          <w:b w:val="0"/>
        </w:rPr>
        <w:t>011, por el cual se dio inicio a</w:t>
      </w:r>
      <w:r>
        <w:rPr>
          <w:rFonts w:ascii="Bookman Old Style" w:hAnsi="Bookman Old Style"/>
          <w:b w:val="0"/>
        </w:rPr>
        <w:t xml:space="preserve"> la actuación administrativa 2011-0049; “</w:t>
      </w:r>
      <w:r w:rsidRPr="0035206F">
        <w:rPr>
          <w:rFonts w:ascii="Bookman Old Style" w:hAnsi="Bookman Old Style"/>
          <w:b w:val="0"/>
          <w:i/>
          <w:spacing w:val="-5"/>
        </w:rPr>
        <w:t>iniciada con fundamento en el informe adicional de verificación de la curva S y del cronograma del proyecto y puesta en operación de la planta hidroeléctrica Porce IV</w:t>
      </w:r>
      <w:r>
        <w:rPr>
          <w:rFonts w:ascii="Bookman Old Style" w:hAnsi="Bookman Old Style"/>
          <w:b w:val="0"/>
        </w:rPr>
        <w:t xml:space="preserve">”, la cual culmino con la expedición de la Resolución CREG 104 de 2011, notificación </w:t>
      </w:r>
      <w:r w:rsidR="00B35DA9">
        <w:rPr>
          <w:rFonts w:ascii="Bookman Old Style" w:hAnsi="Bookman Old Style"/>
          <w:b w:val="0"/>
        </w:rPr>
        <w:t xml:space="preserve">supuestamente </w:t>
      </w:r>
      <w:r>
        <w:rPr>
          <w:rFonts w:ascii="Bookman Old Style" w:hAnsi="Bookman Old Style"/>
          <w:b w:val="0"/>
        </w:rPr>
        <w:t>errada que generó confusión en EPM, impidiéndole ejercer debidamente su derecho de defensa durante la actuación</w:t>
      </w:r>
      <w:r w:rsidR="00AD7A2F">
        <w:rPr>
          <w:rFonts w:ascii="Bookman Old Style" w:hAnsi="Bookman Old Style"/>
          <w:b w:val="0"/>
        </w:rPr>
        <w:t>.</w:t>
      </w:r>
      <w:r w:rsidR="0035206F">
        <w:rPr>
          <w:rFonts w:ascii="Bookman Old Style" w:hAnsi="Bookman Old Style"/>
          <w:b w:val="0"/>
        </w:rPr>
        <w:t xml:space="preserve"> </w:t>
      </w:r>
      <w:r w:rsidR="000038D2">
        <w:rPr>
          <w:rFonts w:ascii="Bookman Old Style" w:hAnsi="Bookman Old Style"/>
          <w:b w:val="0"/>
        </w:rPr>
        <w:t xml:space="preserve"> </w:t>
      </w:r>
    </w:p>
    <w:p w:rsidR="000038D2" w:rsidRDefault="000038D2" w:rsidP="00671ED4">
      <w:pPr>
        <w:pStyle w:val="Textoindependiente"/>
        <w:ind w:left="0"/>
        <w:jc w:val="both"/>
        <w:rPr>
          <w:rFonts w:ascii="Bookman Old Style" w:hAnsi="Bookman Old Style"/>
        </w:rPr>
      </w:pPr>
    </w:p>
    <w:p w:rsidR="000038D2" w:rsidRDefault="0035206F" w:rsidP="00671ED4">
      <w:pPr>
        <w:pStyle w:val="Textoindependiente"/>
        <w:ind w:left="0"/>
        <w:jc w:val="both"/>
        <w:rPr>
          <w:rFonts w:ascii="Bookman Old Style" w:hAnsi="Bookman Old Style"/>
        </w:rPr>
      </w:pPr>
      <w:r>
        <w:rPr>
          <w:rFonts w:ascii="Bookman Old Style" w:hAnsi="Bookman Old Style"/>
        </w:rPr>
        <w:t>Segundo cargo:</w:t>
      </w:r>
      <w:r w:rsidRPr="0035206F">
        <w:rPr>
          <w:rFonts w:ascii="Bookman Old Style" w:hAnsi="Bookman Old Style"/>
          <w:b w:val="0"/>
          <w:i/>
        </w:rPr>
        <w:t xml:space="preserve"> Ilegalidad de la competencia de la CREG</w:t>
      </w:r>
      <w:r>
        <w:rPr>
          <w:rStyle w:val="Refdenotaalpie"/>
          <w:rFonts w:ascii="Bookman Old Style" w:hAnsi="Bookman Old Style"/>
          <w:b w:val="0"/>
          <w:i/>
        </w:rPr>
        <w:footnoteReference w:id="2"/>
      </w:r>
      <w:r w:rsidRPr="0035206F">
        <w:rPr>
          <w:rFonts w:ascii="Bookman Old Style" w:hAnsi="Bookman Old Style"/>
          <w:b w:val="0"/>
        </w:rPr>
        <w:t>,</w:t>
      </w:r>
      <w:r w:rsidR="00394862">
        <w:rPr>
          <w:rFonts w:ascii="Bookman Old Style" w:hAnsi="Bookman Old Style"/>
          <w:b w:val="0"/>
        </w:rPr>
        <w:t xml:space="preserve"> bajo este </w:t>
      </w:r>
      <w:r>
        <w:rPr>
          <w:rFonts w:ascii="Bookman Old Style" w:hAnsi="Bookman Old Style"/>
          <w:b w:val="0"/>
        </w:rPr>
        <w:t xml:space="preserve">cargo EPM estima que la CREG </w:t>
      </w:r>
      <w:r w:rsidR="00D9281C">
        <w:rPr>
          <w:rFonts w:ascii="Bookman Old Style" w:hAnsi="Bookman Old Style"/>
          <w:b w:val="0"/>
        </w:rPr>
        <w:t>h</w:t>
      </w:r>
      <w:r>
        <w:rPr>
          <w:rFonts w:ascii="Bookman Old Style" w:hAnsi="Bookman Old Style"/>
          <w:b w:val="0"/>
        </w:rPr>
        <w:t xml:space="preserve">a </w:t>
      </w:r>
      <w:r w:rsidR="00671ED4">
        <w:rPr>
          <w:rFonts w:ascii="Bookman Old Style" w:hAnsi="Bookman Old Style"/>
          <w:b w:val="0"/>
        </w:rPr>
        <w:t>realizado</w:t>
      </w:r>
      <w:r>
        <w:rPr>
          <w:rFonts w:ascii="Bookman Old Style" w:hAnsi="Bookman Old Style"/>
          <w:b w:val="0"/>
        </w:rPr>
        <w:t xml:space="preserve"> una actuación</w:t>
      </w:r>
      <w:r w:rsidR="00D9281C">
        <w:rPr>
          <w:rFonts w:ascii="Bookman Old Style" w:hAnsi="Bookman Old Style"/>
          <w:b w:val="0"/>
        </w:rPr>
        <w:t xml:space="preserve"> administrativa</w:t>
      </w:r>
      <w:r>
        <w:rPr>
          <w:rFonts w:ascii="Bookman Old Style" w:hAnsi="Bookman Old Style"/>
          <w:b w:val="0"/>
        </w:rPr>
        <w:t xml:space="preserve"> sancionatoria con la Resolución CREG 104 de 2011, actuación sancionatoria para la cual la CREG no tiene competencia.</w:t>
      </w:r>
      <w:r>
        <w:rPr>
          <w:rFonts w:ascii="Bookman Old Style" w:hAnsi="Bookman Old Style"/>
        </w:rPr>
        <w:t xml:space="preserve">  </w:t>
      </w:r>
    </w:p>
    <w:p w:rsidR="000038D2" w:rsidRDefault="000038D2" w:rsidP="00671ED4">
      <w:pPr>
        <w:pStyle w:val="Textoindependiente"/>
        <w:ind w:left="0"/>
        <w:jc w:val="both"/>
        <w:rPr>
          <w:rFonts w:ascii="Bookman Old Style" w:hAnsi="Bookman Old Style"/>
        </w:rPr>
      </w:pPr>
    </w:p>
    <w:p w:rsidR="0035206F" w:rsidRPr="0035206F" w:rsidRDefault="0035206F" w:rsidP="00671ED4">
      <w:pPr>
        <w:pStyle w:val="Textoindependiente"/>
        <w:ind w:left="0"/>
        <w:jc w:val="both"/>
        <w:rPr>
          <w:rFonts w:ascii="Bookman Old Style" w:hAnsi="Bookman Old Style"/>
        </w:rPr>
      </w:pPr>
      <w:r>
        <w:rPr>
          <w:rFonts w:ascii="Bookman Old Style" w:hAnsi="Bookman Old Style"/>
        </w:rPr>
        <w:t>Tercer cargo:</w:t>
      </w:r>
      <w:r w:rsidRPr="0035206F">
        <w:rPr>
          <w:rFonts w:ascii="Bookman Old Style" w:hAnsi="Bookman Old Style"/>
          <w:b w:val="0"/>
          <w:i/>
        </w:rPr>
        <w:t xml:space="preserve"> Otra inconformidad</w:t>
      </w:r>
      <w:r>
        <w:rPr>
          <w:rStyle w:val="Refdenotaalpie"/>
          <w:rFonts w:ascii="Bookman Old Style" w:hAnsi="Bookman Old Style"/>
          <w:b w:val="0"/>
          <w:i/>
        </w:rPr>
        <w:footnoteReference w:id="3"/>
      </w:r>
      <w:r w:rsidRPr="0035206F">
        <w:rPr>
          <w:rFonts w:ascii="Bookman Old Style" w:hAnsi="Bookman Old Style"/>
          <w:b w:val="0"/>
          <w:i/>
        </w:rPr>
        <w:t>,</w:t>
      </w:r>
      <w:r>
        <w:rPr>
          <w:rFonts w:ascii="Bookman Old Style" w:hAnsi="Bookman Old Style"/>
          <w:b w:val="0"/>
          <w:i/>
        </w:rPr>
        <w:t xml:space="preserve"> </w:t>
      </w:r>
      <w:r w:rsidR="00D9281C" w:rsidRPr="00D9281C">
        <w:rPr>
          <w:rFonts w:ascii="Bookman Old Style" w:hAnsi="Bookman Old Style"/>
          <w:b w:val="0"/>
        </w:rPr>
        <w:t xml:space="preserve">este </w:t>
      </w:r>
      <w:r w:rsidRPr="00671ED4">
        <w:rPr>
          <w:rFonts w:ascii="Bookman Old Style" w:hAnsi="Bookman Old Style"/>
          <w:b w:val="0"/>
        </w:rPr>
        <w:t xml:space="preserve">puede ser resumido en la disconformidad de EPM por la </w:t>
      </w:r>
      <w:r w:rsidR="00671ED4" w:rsidRPr="00671ED4">
        <w:rPr>
          <w:rFonts w:ascii="Bookman Old Style" w:hAnsi="Bookman Old Style"/>
          <w:b w:val="0"/>
        </w:rPr>
        <w:t>no valoración de la CREG del supuesto evento eximente de responsabilidad en la Resolución CREG 104 de 2011</w:t>
      </w:r>
      <w:r w:rsidR="00394862">
        <w:rPr>
          <w:rFonts w:ascii="Bookman Old Style" w:hAnsi="Bookman Old Style"/>
          <w:b w:val="0"/>
        </w:rPr>
        <w:t xml:space="preserve"> para el caso de Porce IV</w:t>
      </w:r>
      <w:r w:rsidR="00671ED4" w:rsidRPr="00671ED4">
        <w:rPr>
          <w:rFonts w:ascii="Bookman Old Style" w:hAnsi="Bookman Old Style"/>
          <w:b w:val="0"/>
        </w:rPr>
        <w:t>, frente al derecho de defensa de EPM de alegar tal situación y el pronunciamiento previo de la CREG, en el cual no inicio el trámite de una actuación administrativa para declarar un evento eximente de responsabilidad.</w:t>
      </w:r>
    </w:p>
    <w:p w:rsidR="00C37841" w:rsidRDefault="00C37841" w:rsidP="00755CDB">
      <w:pPr>
        <w:pStyle w:val="Textoindependiente"/>
        <w:ind w:left="0"/>
        <w:jc w:val="both"/>
        <w:rPr>
          <w:rFonts w:ascii="Bookman Old Style" w:hAnsi="Bookman Old Style"/>
        </w:rPr>
      </w:pPr>
    </w:p>
    <w:p w:rsidR="00755CDB" w:rsidRDefault="00755CDB" w:rsidP="00755CDB">
      <w:pPr>
        <w:pStyle w:val="Textoindependiente"/>
        <w:ind w:left="0"/>
        <w:jc w:val="both"/>
        <w:rPr>
          <w:rFonts w:ascii="Bookman Old Style" w:hAnsi="Bookman Old Style"/>
        </w:rPr>
      </w:pPr>
      <w:r>
        <w:rPr>
          <w:rFonts w:ascii="Bookman Old Style" w:hAnsi="Bookman Old Style"/>
        </w:rPr>
        <w:t>4. CONSIDERACIONES</w:t>
      </w:r>
      <w:r w:rsidR="00D273A8">
        <w:rPr>
          <w:rFonts w:ascii="Bookman Old Style" w:hAnsi="Bookman Old Style"/>
        </w:rPr>
        <w:t xml:space="preserve"> DE LA CREG.</w:t>
      </w:r>
      <w:r>
        <w:rPr>
          <w:rFonts w:ascii="Bookman Old Style" w:hAnsi="Bookman Old Style"/>
        </w:rPr>
        <w:t xml:space="preserve"> </w:t>
      </w:r>
    </w:p>
    <w:p w:rsidR="00D273A8" w:rsidRDefault="00D273A8" w:rsidP="00755CDB">
      <w:pPr>
        <w:pStyle w:val="Textoindependiente"/>
        <w:ind w:left="0"/>
        <w:jc w:val="both"/>
        <w:rPr>
          <w:rFonts w:ascii="Bookman Old Style" w:hAnsi="Bookman Old Style"/>
          <w:b w:val="0"/>
        </w:rPr>
      </w:pPr>
    </w:p>
    <w:p w:rsidR="0070236C" w:rsidRDefault="00D273A8" w:rsidP="00D273A8">
      <w:pPr>
        <w:pStyle w:val="Textoindependiente"/>
        <w:ind w:left="0"/>
        <w:jc w:val="both"/>
        <w:rPr>
          <w:rFonts w:ascii="Bookman Old Style" w:hAnsi="Bookman Old Style"/>
          <w:b w:val="0"/>
        </w:rPr>
      </w:pPr>
      <w:r>
        <w:rPr>
          <w:rFonts w:ascii="Bookman Old Style" w:hAnsi="Bookman Old Style"/>
          <w:b w:val="0"/>
        </w:rPr>
        <w:t>Cuando en el curso de</w:t>
      </w:r>
      <w:r w:rsidR="00CD2866">
        <w:rPr>
          <w:rFonts w:ascii="Bookman Old Style" w:hAnsi="Bookman Old Style"/>
          <w:b w:val="0"/>
        </w:rPr>
        <w:t xml:space="preserve"> </w:t>
      </w:r>
      <w:r>
        <w:rPr>
          <w:rFonts w:ascii="Bookman Old Style" w:hAnsi="Bookman Old Style"/>
          <w:b w:val="0"/>
        </w:rPr>
        <w:t>una actuación administrativa</w:t>
      </w:r>
      <w:r w:rsidR="00CD2866">
        <w:rPr>
          <w:rFonts w:ascii="Bookman Old Style" w:hAnsi="Bookman Old Style"/>
          <w:b w:val="0"/>
        </w:rPr>
        <w:t>,</w:t>
      </w:r>
      <w:r>
        <w:rPr>
          <w:rFonts w:ascii="Bookman Old Style" w:hAnsi="Bookman Old Style"/>
          <w:b w:val="0"/>
        </w:rPr>
        <w:t xml:space="preserve"> se plantea por par</w:t>
      </w:r>
      <w:r w:rsidR="0070236C">
        <w:rPr>
          <w:rFonts w:ascii="Bookman Old Style" w:hAnsi="Bookman Old Style"/>
          <w:b w:val="0"/>
        </w:rPr>
        <w:t>t</w:t>
      </w:r>
      <w:r>
        <w:rPr>
          <w:rFonts w:ascii="Bookman Old Style" w:hAnsi="Bookman Old Style"/>
          <w:b w:val="0"/>
        </w:rPr>
        <w:t xml:space="preserve">e del </w:t>
      </w:r>
      <w:r w:rsidR="009B3537">
        <w:rPr>
          <w:rFonts w:ascii="Bookman Old Style" w:hAnsi="Bookman Old Style"/>
          <w:b w:val="0"/>
        </w:rPr>
        <w:t xml:space="preserve">recurrente </w:t>
      </w:r>
      <w:r>
        <w:rPr>
          <w:rFonts w:ascii="Bookman Old Style" w:hAnsi="Bookman Old Style"/>
          <w:b w:val="0"/>
        </w:rPr>
        <w:t>una serie de interrogantes sobre el actuar de la administración, cuestionando el proceder</w:t>
      </w:r>
      <w:r w:rsidR="0070236C">
        <w:rPr>
          <w:rFonts w:ascii="Bookman Old Style" w:hAnsi="Bookman Old Style"/>
          <w:b w:val="0"/>
        </w:rPr>
        <w:t xml:space="preserve"> como violatorio de la ley y de sus derechos fundamentales a la defensa y al debido proceso.</w:t>
      </w:r>
      <w:r>
        <w:rPr>
          <w:rFonts w:ascii="Bookman Old Style" w:hAnsi="Bookman Old Style"/>
          <w:b w:val="0"/>
        </w:rPr>
        <w:t xml:space="preserve"> La decencia del actuar de la </w:t>
      </w:r>
      <w:r>
        <w:rPr>
          <w:rFonts w:ascii="Bookman Old Style" w:hAnsi="Bookman Old Style"/>
          <w:b w:val="0"/>
        </w:rPr>
        <w:lastRenderedPageBreak/>
        <w:t>administración, el respeto de los derechos de quien se considera afectado</w:t>
      </w:r>
      <w:r w:rsidR="00CD2866">
        <w:rPr>
          <w:rFonts w:ascii="Bookman Old Style" w:hAnsi="Bookman Old Style"/>
          <w:b w:val="0"/>
        </w:rPr>
        <w:t xml:space="preserve"> y </w:t>
      </w:r>
      <w:r w:rsidR="00394862">
        <w:rPr>
          <w:rFonts w:ascii="Bookman Old Style" w:hAnsi="Bookman Old Style"/>
          <w:b w:val="0"/>
        </w:rPr>
        <w:t xml:space="preserve">una </w:t>
      </w:r>
      <w:r w:rsidR="0070236C">
        <w:rPr>
          <w:rFonts w:ascii="Bookman Old Style" w:hAnsi="Bookman Old Style"/>
          <w:b w:val="0"/>
        </w:rPr>
        <w:t>adecuada respuesta a dichos cuestionamiento</w:t>
      </w:r>
      <w:r w:rsidR="00CD2866">
        <w:rPr>
          <w:rFonts w:ascii="Bookman Old Style" w:hAnsi="Bookman Old Style"/>
          <w:b w:val="0"/>
        </w:rPr>
        <w:t>,</w:t>
      </w:r>
      <w:r w:rsidR="00394862">
        <w:rPr>
          <w:rFonts w:ascii="Bookman Old Style" w:hAnsi="Bookman Old Style"/>
          <w:b w:val="0"/>
        </w:rPr>
        <w:t xml:space="preserve"> </w:t>
      </w:r>
      <w:r w:rsidR="008A7D1D">
        <w:rPr>
          <w:rFonts w:ascii="Bookman Old Style" w:hAnsi="Bookman Old Style"/>
          <w:b w:val="0"/>
        </w:rPr>
        <w:t>dando</w:t>
      </w:r>
      <w:r>
        <w:rPr>
          <w:rFonts w:ascii="Bookman Old Style" w:hAnsi="Bookman Old Style"/>
          <w:b w:val="0"/>
        </w:rPr>
        <w:t xml:space="preserve"> cumplimiento </w:t>
      </w:r>
      <w:r w:rsidR="009B3537">
        <w:rPr>
          <w:rFonts w:ascii="Bookman Old Style" w:hAnsi="Bookman Old Style"/>
          <w:b w:val="0"/>
        </w:rPr>
        <w:t>a</w:t>
      </w:r>
      <w:r>
        <w:rPr>
          <w:rFonts w:ascii="Bookman Old Style" w:hAnsi="Bookman Old Style"/>
          <w:b w:val="0"/>
        </w:rPr>
        <w:t xml:space="preserve"> las normas constitucionales, legales y r</w:t>
      </w:r>
      <w:r w:rsidR="00394862">
        <w:rPr>
          <w:rFonts w:ascii="Bookman Old Style" w:hAnsi="Bookman Old Style"/>
          <w:b w:val="0"/>
        </w:rPr>
        <w:t>eglamentarias que han sujetado el</w:t>
      </w:r>
      <w:r>
        <w:rPr>
          <w:rFonts w:ascii="Bookman Old Style" w:hAnsi="Bookman Old Style"/>
          <w:b w:val="0"/>
        </w:rPr>
        <w:t xml:space="preserve"> actuar</w:t>
      </w:r>
      <w:r w:rsidR="00394862">
        <w:rPr>
          <w:rFonts w:ascii="Bookman Old Style" w:hAnsi="Bookman Old Style"/>
          <w:b w:val="0"/>
        </w:rPr>
        <w:t xml:space="preserve"> de la administración pública</w:t>
      </w:r>
      <w:r>
        <w:rPr>
          <w:rFonts w:ascii="Bookman Old Style" w:hAnsi="Bookman Old Style"/>
          <w:b w:val="0"/>
        </w:rPr>
        <w:t>, obliga a</w:t>
      </w:r>
      <w:r w:rsidR="0070236C">
        <w:rPr>
          <w:rFonts w:ascii="Bookman Old Style" w:hAnsi="Bookman Old Style"/>
          <w:b w:val="0"/>
        </w:rPr>
        <w:t xml:space="preserve"> la entidad pública </w:t>
      </w:r>
      <w:r>
        <w:rPr>
          <w:rFonts w:ascii="Bookman Old Style" w:hAnsi="Bookman Old Style"/>
          <w:b w:val="0"/>
        </w:rPr>
        <w:t xml:space="preserve">a explicar los hechos ocurridos durante el </w:t>
      </w:r>
      <w:r w:rsidR="0070236C">
        <w:rPr>
          <w:rFonts w:ascii="Bookman Old Style" w:hAnsi="Bookman Old Style"/>
          <w:b w:val="0"/>
        </w:rPr>
        <w:t>trámite</w:t>
      </w:r>
      <w:r>
        <w:rPr>
          <w:rFonts w:ascii="Bookman Old Style" w:hAnsi="Bookman Old Style"/>
          <w:b w:val="0"/>
        </w:rPr>
        <w:t xml:space="preserve"> de la actuación administrativa y de la resolución que la </w:t>
      </w:r>
      <w:r w:rsidR="0070236C">
        <w:rPr>
          <w:rFonts w:ascii="Bookman Old Style" w:hAnsi="Bookman Old Style"/>
          <w:b w:val="0"/>
        </w:rPr>
        <w:t>resuelve.</w:t>
      </w:r>
    </w:p>
    <w:p w:rsidR="00C37841" w:rsidRPr="0070236C" w:rsidRDefault="00C37841" w:rsidP="00755CDB">
      <w:pPr>
        <w:pStyle w:val="Textoindependiente"/>
        <w:ind w:left="0"/>
        <w:jc w:val="both"/>
        <w:rPr>
          <w:rFonts w:ascii="Bookman Old Style" w:hAnsi="Bookman Old Style"/>
        </w:rPr>
      </w:pPr>
    </w:p>
    <w:p w:rsidR="00755CDB" w:rsidRDefault="00755CDB" w:rsidP="00755CDB">
      <w:pPr>
        <w:pStyle w:val="Textoindependiente"/>
        <w:ind w:left="0"/>
        <w:jc w:val="both"/>
        <w:rPr>
          <w:rFonts w:ascii="Bookman Old Style" w:hAnsi="Bookman Old Style"/>
        </w:rPr>
      </w:pPr>
      <w:r>
        <w:rPr>
          <w:rFonts w:ascii="Bookman Old Style" w:hAnsi="Bookman Old Style"/>
        </w:rPr>
        <w:t>4.1</w:t>
      </w:r>
      <w:r w:rsidR="00C37841">
        <w:rPr>
          <w:rFonts w:ascii="Bookman Old Style" w:hAnsi="Bookman Old Style"/>
        </w:rPr>
        <w:t>.</w:t>
      </w:r>
      <w:r>
        <w:rPr>
          <w:rFonts w:ascii="Bookman Old Style" w:hAnsi="Bookman Old Style"/>
        </w:rPr>
        <w:t xml:space="preserve"> </w:t>
      </w:r>
      <w:r w:rsidR="00CD2866">
        <w:rPr>
          <w:rFonts w:ascii="Bookman Old Style" w:hAnsi="Bookman Old Style"/>
        </w:rPr>
        <w:t>HECHOS</w:t>
      </w:r>
      <w:r w:rsidR="00C37841">
        <w:rPr>
          <w:rFonts w:ascii="Bookman Old Style" w:hAnsi="Bookman Old Style"/>
        </w:rPr>
        <w:t xml:space="preserve"> DEL CASO</w:t>
      </w:r>
      <w:r w:rsidR="0028582D">
        <w:rPr>
          <w:rFonts w:ascii="Bookman Old Style" w:hAnsi="Bookman Old Style"/>
        </w:rPr>
        <w:t>.</w:t>
      </w:r>
    </w:p>
    <w:p w:rsidR="00C37841" w:rsidRDefault="00C37841" w:rsidP="00CD2866">
      <w:pPr>
        <w:ind w:left="0"/>
        <w:jc w:val="both"/>
        <w:rPr>
          <w:rFonts w:ascii="Bookman Old Style" w:hAnsi="Bookman Old Style"/>
          <w:spacing w:val="-5"/>
        </w:rPr>
      </w:pPr>
    </w:p>
    <w:p w:rsidR="00CD2866" w:rsidRPr="00CD2866" w:rsidRDefault="00CD2866" w:rsidP="00CD2866">
      <w:pPr>
        <w:ind w:left="0"/>
        <w:jc w:val="both"/>
        <w:rPr>
          <w:rFonts w:ascii="Bookman Old Style" w:hAnsi="Bookman Old Style"/>
          <w:spacing w:val="-5"/>
        </w:rPr>
      </w:pPr>
      <w:r w:rsidRPr="00CD2866">
        <w:rPr>
          <w:rFonts w:ascii="Bookman Old Style" w:hAnsi="Bookman Old Style"/>
          <w:spacing w:val="-5"/>
        </w:rPr>
        <w:t xml:space="preserve">Esta Comisión ha de precisar que son dos los escenarios en los que se ha desarrollado el caso de Porce IV, un situación (A) que se refiere a la actuación administrativa </w:t>
      </w:r>
      <w:r w:rsidR="00394862">
        <w:rPr>
          <w:rFonts w:ascii="Bookman Old Style" w:hAnsi="Bookman Old Style"/>
          <w:spacing w:val="-5"/>
        </w:rPr>
        <w:t xml:space="preserve">2011-0049 </w:t>
      </w:r>
      <w:r w:rsidRPr="00CD2866">
        <w:rPr>
          <w:rFonts w:ascii="Bookman Old Style" w:hAnsi="Bookman Old Style"/>
          <w:spacing w:val="-5"/>
        </w:rPr>
        <w:t>adelantada por la CREG y una situación (B) que se refiere a las peticiones anteriores a la actuación administrativa 2011-0049</w:t>
      </w:r>
      <w:r w:rsidR="009B3537">
        <w:rPr>
          <w:rFonts w:ascii="Bookman Old Style" w:hAnsi="Bookman Old Style"/>
          <w:spacing w:val="-5"/>
        </w:rPr>
        <w:t>,</w:t>
      </w:r>
      <w:r w:rsidRPr="00CD2866">
        <w:rPr>
          <w:rFonts w:ascii="Bookman Old Style" w:hAnsi="Bookman Old Style"/>
          <w:spacing w:val="-5"/>
        </w:rPr>
        <w:t xml:space="preserve"> por parte</w:t>
      </w:r>
      <w:r w:rsidR="009B3537">
        <w:rPr>
          <w:rFonts w:ascii="Bookman Old Style" w:hAnsi="Bookman Old Style"/>
          <w:spacing w:val="-5"/>
        </w:rPr>
        <w:t xml:space="preserve"> de</w:t>
      </w:r>
      <w:r w:rsidRPr="00CD2866">
        <w:rPr>
          <w:rFonts w:ascii="Bookman Old Style" w:hAnsi="Bookman Old Style"/>
          <w:spacing w:val="-5"/>
        </w:rPr>
        <w:t xml:space="preserve"> EPM, en las que se solicitaba el inicio de una actuación administrativa para el reconocimiento de un evento eximente de responsabilidad</w:t>
      </w:r>
      <w:r w:rsidR="008A7D1D">
        <w:rPr>
          <w:rFonts w:ascii="Bookman Old Style" w:hAnsi="Bookman Old Style"/>
          <w:spacing w:val="-5"/>
        </w:rPr>
        <w:t xml:space="preserve">, </w:t>
      </w:r>
      <w:r w:rsidR="00B35DA9">
        <w:rPr>
          <w:rFonts w:ascii="Bookman Old Style" w:hAnsi="Bookman Old Style"/>
          <w:spacing w:val="-5"/>
        </w:rPr>
        <w:t>las cuales</w:t>
      </w:r>
      <w:r w:rsidR="008A7D1D">
        <w:rPr>
          <w:rFonts w:ascii="Bookman Old Style" w:hAnsi="Bookman Old Style"/>
          <w:spacing w:val="-5"/>
        </w:rPr>
        <w:t xml:space="preserve"> fueron allegas a la actuación 2011-0049</w:t>
      </w:r>
      <w:r w:rsidRPr="00CD2866">
        <w:rPr>
          <w:rFonts w:ascii="Bookman Old Style" w:hAnsi="Bookman Old Style"/>
          <w:spacing w:val="-5"/>
        </w:rPr>
        <w:t>.</w:t>
      </w:r>
    </w:p>
    <w:p w:rsidR="00CD2866" w:rsidRPr="00BD5E22" w:rsidRDefault="00CD2866" w:rsidP="00CD2866">
      <w:pPr>
        <w:jc w:val="both"/>
        <w:rPr>
          <w:rFonts w:ascii="Ebrima" w:hAnsi="Ebrima"/>
          <w:spacing w:val="-5"/>
        </w:rPr>
      </w:pPr>
    </w:p>
    <w:p w:rsidR="00CD2866" w:rsidRPr="00394862" w:rsidRDefault="00CD2866" w:rsidP="00CD2866">
      <w:pPr>
        <w:numPr>
          <w:ilvl w:val="0"/>
          <w:numId w:val="24"/>
        </w:numPr>
        <w:contextualSpacing/>
        <w:jc w:val="both"/>
        <w:rPr>
          <w:rFonts w:ascii="Bookman Old Style" w:hAnsi="Bookman Old Style"/>
          <w:b/>
          <w:spacing w:val="-5"/>
        </w:rPr>
      </w:pPr>
      <w:r w:rsidRPr="00394862">
        <w:rPr>
          <w:rFonts w:ascii="Bookman Old Style" w:hAnsi="Bookman Old Style"/>
          <w:b/>
          <w:spacing w:val="-5"/>
        </w:rPr>
        <w:t>Actuación Administrativa</w:t>
      </w:r>
      <w:r w:rsidR="00394862">
        <w:rPr>
          <w:rFonts w:ascii="Bookman Old Style" w:hAnsi="Bookman Old Style"/>
          <w:b/>
          <w:spacing w:val="-5"/>
        </w:rPr>
        <w:t xml:space="preserve"> 2011-0049,</w:t>
      </w:r>
      <w:r w:rsidRPr="00394862">
        <w:rPr>
          <w:rFonts w:ascii="Bookman Old Style" w:hAnsi="Bookman Old Style"/>
          <w:b/>
          <w:spacing w:val="-5"/>
        </w:rPr>
        <w:t xml:space="preserve"> adelanta por la CREG </w:t>
      </w:r>
      <w:r w:rsidR="00B35DA9">
        <w:rPr>
          <w:rFonts w:ascii="Bookman Old Style" w:hAnsi="Bookman Old Style"/>
          <w:b/>
          <w:spacing w:val="-5"/>
        </w:rPr>
        <w:t>según lo establecido en el</w:t>
      </w:r>
      <w:r w:rsidRPr="00394862">
        <w:rPr>
          <w:rFonts w:ascii="Bookman Old Style" w:hAnsi="Bookman Old Style"/>
          <w:b/>
          <w:spacing w:val="-5"/>
        </w:rPr>
        <w:t xml:space="preserve"> parágrafo del Artículo</w:t>
      </w:r>
      <w:r w:rsidR="00394862">
        <w:rPr>
          <w:rFonts w:ascii="Bookman Old Style" w:hAnsi="Bookman Old Style"/>
          <w:b/>
          <w:spacing w:val="-5"/>
        </w:rPr>
        <w:t xml:space="preserve"> 9 de la Resolución CREG 071 </w:t>
      </w:r>
      <w:r w:rsidRPr="00394862">
        <w:rPr>
          <w:rFonts w:ascii="Bookman Old Style" w:hAnsi="Bookman Old Style"/>
          <w:b/>
          <w:spacing w:val="-5"/>
        </w:rPr>
        <w:t>de 2006, modificada por el Artículo 13 de la Resolución CREG 061 de 2007, para el caso de Porce IV.</w:t>
      </w:r>
    </w:p>
    <w:p w:rsidR="00CD2866" w:rsidRPr="00BD5E22" w:rsidRDefault="00CD2866" w:rsidP="00CD2866">
      <w:pPr>
        <w:jc w:val="both"/>
        <w:rPr>
          <w:rFonts w:ascii="Ebrima" w:hAnsi="Ebrima" w:cs="Arial"/>
          <w:spacing w:val="-5"/>
        </w:rPr>
      </w:pPr>
    </w:p>
    <w:p w:rsidR="00CD2866" w:rsidRPr="00CD2866" w:rsidRDefault="00CD2866" w:rsidP="00CD2866">
      <w:pPr>
        <w:pStyle w:val="Textoindependiente"/>
        <w:numPr>
          <w:ilvl w:val="0"/>
          <w:numId w:val="23"/>
        </w:numPr>
        <w:jc w:val="both"/>
        <w:rPr>
          <w:rFonts w:ascii="Bookman Old Style" w:hAnsi="Bookman Old Style"/>
          <w:b w:val="0"/>
          <w:bCs w:val="0"/>
        </w:rPr>
      </w:pPr>
      <w:r w:rsidRPr="00CD2866">
        <w:rPr>
          <w:rFonts w:ascii="Bookman Old Style" w:hAnsi="Bookman Old Style"/>
          <w:b w:val="0"/>
        </w:rPr>
        <w:t>Mediante la Resolución CREG 071 de 2006, la CREG adoptó el esquema del cargo por confiabilidad. En dicha Resolución, se estableció la regulación para la entrada en operación de las plantas generadoras de energía eléctrica, siendo posteriormente complementada con lo dispuesto en la Resolución CREG 061 del 2007, en especial sobre lo referente a las garantías que debían ser otorgadas para respaldar la ejecución de los proyectos de generación de energía eléctrica.</w:t>
      </w:r>
    </w:p>
    <w:p w:rsidR="00CD2866" w:rsidRPr="00CD2866" w:rsidRDefault="00CD2866" w:rsidP="00CD2866">
      <w:pPr>
        <w:pStyle w:val="Textoindependiente"/>
        <w:ind w:left="360"/>
        <w:jc w:val="both"/>
        <w:rPr>
          <w:rFonts w:ascii="Bookman Old Style" w:hAnsi="Bookman Old Style"/>
          <w:b w:val="0"/>
          <w:bCs w:val="0"/>
        </w:rPr>
      </w:pPr>
    </w:p>
    <w:p w:rsidR="00CD2866" w:rsidRPr="00CD2866" w:rsidRDefault="00CD2866" w:rsidP="00CD2866">
      <w:pPr>
        <w:pStyle w:val="Textoindependiente"/>
        <w:ind w:left="360"/>
        <w:jc w:val="both"/>
        <w:rPr>
          <w:rFonts w:ascii="Bookman Old Style" w:hAnsi="Bookman Old Style"/>
          <w:b w:val="0"/>
          <w:bCs w:val="0"/>
        </w:rPr>
      </w:pPr>
      <w:r w:rsidRPr="00CD2866">
        <w:rPr>
          <w:rFonts w:ascii="Bookman Old Style" w:hAnsi="Bookman Old Style"/>
          <w:b w:val="0"/>
        </w:rPr>
        <w:t>En el Artículo 9 de la Resolución CREG 071 de 2006, modificado por el Artículo 13 de la Resolución CREG 061 de 2007, estableció el procedimiento a seguir en el caso de un incumplimiento grave e insalvable en la entrada en operación de un proyecto de generación, la citada norma</w:t>
      </w:r>
      <w:r w:rsidR="00B35DA9">
        <w:rPr>
          <w:rFonts w:ascii="Bookman Old Style" w:hAnsi="Bookman Old Style"/>
          <w:b w:val="0"/>
        </w:rPr>
        <w:t xml:space="preserve"> dice</w:t>
      </w:r>
      <w:r w:rsidRPr="00CD2866">
        <w:rPr>
          <w:rFonts w:ascii="Bookman Old Style" w:hAnsi="Bookman Old Style"/>
          <w:b w:val="0"/>
        </w:rPr>
        <w:t>:</w:t>
      </w:r>
    </w:p>
    <w:p w:rsidR="00CD2866" w:rsidRPr="00BD5E22" w:rsidRDefault="00CD2866" w:rsidP="00CD2866">
      <w:pPr>
        <w:pStyle w:val="Textoindependiente"/>
        <w:jc w:val="both"/>
        <w:rPr>
          <w:rFonts w:ascii="Ebrima" w:hAnsi="Ebrima"/>
          <w:b w:val="0"/>
          <w:bCs w:val="0"/>
        </w:rPr>
      </w:pPr>
    </w:p>
    <w:p w:rsidR="00CD2866" w:rsidRPr="00CD2866" w:rsidRDefault="00CD2866" w:rsidP="00CD2866">
      <w:pPr>
        <w:ind w:left="872" w:right="826"/>
        <w:jc w:val="both"/>
        <w:rPr>
          <w:rFonts w:ascii="Bookman Old Style" w:hAnsi="Bookman Old Style" w:cs="Arial"/>
          <w:i/>
          <w:iCs/>
          <w:sz w:val="22"/>
          <w:szCs w:val="22"/>
        </w:rPr>
      </w:pPr>
      <w:r w:rsidRPr="00CD2866">
        <w:rPr>
          <w:rFonts w:ascii="Bookman Old Style" w:hAnsi="Bookman Old Style" w:cs="Arial"/>
          <w:i/>
          <w:iCs/>
          <w:sz w:val="22"/>
          <w:szCs w:val="22"/>
        </w:rPr>
        <w:t xml:space="preserve">“(…) Artículo 9. Modificado por el Artículo 13 de la Resolución CREG-061 de 2007. Efectos del incumplimiento del cronograma de construcción o de repotenciación, o de la puesta en operación de la planta. El incumplimiento de las obligaciones relacionadas con el cronograma de construcción o con la puesta en operación de la planta o unidad de generación producirá los siguientes efectos: </w:t>
      </w:r>
    </w:p>
    <w:p w:rsidR="00CD2866" w:rsidRPr="00CD2866" w:rsidRDefault="00CD2866" w:rsidP="00CD2866">
      <w:pPr>
        <w:ind w:left="872" w:right="826"/>
        <w:jc w:val="both"/>
        <w:rPr>
          <w:rFonts w:ascii="Bookman Old Style" w:hAnsi="Bookman Old Style" w:cs="Arial"/>
          <w:i/>
          <w:iCs/>
          <w:sz w:val="22"/>
          <w:szCs w:val="22"/>
        </w:rPr>
      </w:pPr>
    </w:p>
    <w:p w:rsidR="00CD2866" w:rsidRPr="00CD2866" w:rsidRDefault="00CD2866" w:rsidP="00CD2866">
      <w:pPr>
        <w:pStyle w:val="Prrafodelista"/>
        <w:numPr>
          <w:ilvl w:val="0"/>
          <w:numId w:val="26"/>
        </w:numPr>
        <w:ind w:right="826"/>
        <w:contextualSpacing/>
        <w:jc w:val="both"/>
        <w:rPr>
          <w:rFonts w:ascii="Bookman Old Style" w:hAnsi="Bookman Old Style" w:cs="Arial"/>
          <w:i/>
          <w:iCs/>
          <w:sz w:val="22"/>
          <w:szCs w:val="22"/>
          <w:lang w:val="es-ES"/>
        </w:rPr>
      </w:pPr>
      <w:r w:rsidRPr="00CD2866">
        <w:rPr>
          <w:rFonts w:ascii="Bookman Old Style" w:hAnsi="Bookman Old Style" w:cs="Arial"/>
          <w:i/>
          <w:iCs/>
          <w:sz w:val="22"/>
          <w:szCs w:val="22"/>
          <w:lang w:val="es-ES"/>
        </w:rPr>
        <w:t xml:space="preserve">La no presentación del cronograma de construcción o de repotenciación de la planta o unidad de generación en el plazo estipulado en el numeral 2.2 del Anexo 2 de esta resolución, o de la curva S del proyecto, dará lugar a la descalificación del agente para participar en la respectiva Subasta. </w:t>
      </w:r>
    </w:p>
    <w:p w:rsidR="00CD2866" w:rsidRPr="00CD2866" w:rsidRDefault="00CD2866" w:rsidP="00CD2866">
      <w:pPr>
        <w:ind w:left="872" w:right="826"/>
        <w:jc w:val="both"/>
        <w:rPr>
          <w:rFonts w:ascii="Bookman Old Style" w:hAnsi="Bookman Old Style" w:cs="Arial"/>
          <w:i/>
          <w:iCs/>
          <w:sz w:val="22"/>
          <w:szCs w:val="22"/>
        </w:rPr>
      </w:pPr>
    </w:p>
    <w:p w:rsidR="00CD2866" w:rsidRPr="00CD2866" w:rsidRDefault="00CD2866" w:rsidP="00CD2866">
      <w:pPr>
        <w:pStyle w:val="Prrafodelista"/>
        <w:numPr>
          <w:ilvl w:val="0"/>
          <w:numId w:val="26"/>
        </w:numPr>
        <w:ind w:right="826"/>
        <w:contextualSpacing/>
        <w:jc w:val="both"/>
        <w:rPr>
          <w:rFonts w:ascii="Bookman Old Style" w:hAnsi="Bookman Old Style" w:cs="Arial"/>
          <w:i/>
          <w:iCs/>
          <w:sz w:val="22"/>
          <w:szCs w:val="22"/>
          <w:lang w:val="es-ES"/>
        </w:rPr>
      </w:pPr>
      <w:r w:rsidRPr="00CD2866">
        <w:rPr>
          <w:rFonts w:ascii="Bookman Old Style" w:hAnsi="Bookman Old Style" w:cs="Arial"/>
          <w:i/>
          <w:iCs/>
          <w:sz w:val="22"/>
          <w:szCs w:val="22"/>
          <w:lang w:val="es-ES"/>
        </w:rPr>
        <w:t xml:space="preserve">El retraso en el cronograma de construcción o repotenciación de la planta o unidad de generación frente a la Curva S que no constituya incumplimiento grave e insalvable, dará lugar al ajuste de la garantía de conformidad con los procedimientos que </w:t>
      </w:r>
      <w:r w:rsidRPr="00CD2866">
        <w:rPr>
          <w:rFonts w:ascii="Bookman Old Style" w:hAnsi="Bookman Old Style" w:cs="Arial"/>
          <w:i/>
          <w:iCs/>
          <w:sz w:val="22"/>
          <w:szCs w:val="22"/>
          <w:lang w:val="es-ES"/>
        </w:rPr>
        <w:lastRenderedPageBreak/>
        <w:t xml:space="preserve">se definan en el Reglamento de Garantías para el Cargo por Confiabilidad de que trata el Artículo 78 de esta resolución. </w:t>
      </w:r>
    </w:p>
    <w:p w:rsidR="00CD2866" w:rsidRDefault="00CD2866" w:rsidP="00CD2866">
      <w:pPr>
        <w:pStyle w:val="Prrafodelista"/>
        <w:rPr>
          <w:rFonts w:ascii="Bookman Old Style" w:hAnsi="Bookman Old Style" w:cs="Arial"/>
          <w:i/>
          <w:iCs/>
          <w:sz w:val="22"/>
          <w:szCs w:val="22"/>
          <w:lang w:val="es-ES"/>
        </w:rPr>
      </w:pPr>
    </w:p>
    <w:p w:rsidR="00CD2866" w:rsidRPr="00CD2866" w:rsidRDefault="00CD2866" w:rsidP="00CD2866">
      <w:pPr>
        <w:pStyle w:val="Prrafodelista"/>
        <w:numPr>
          <w:ilvl w:val="0"/>
          <w:numId w:val="26"/>
        </w:numPr>
        <w:ind w:right="826"/>
        <w:contextualSpacing/>
        <w:jc w:val="both"/>
        <w:rPr>
          <w:rFonts w:ascii="Bookman Old Style" w:hAnsi="Bookman Old Style" w:cs="Arial"/>
          <w:i/>
          <w:iCs/>
          <w:sz w:val="22"/>
          <w:szCs w:val="22"/>
          <w:lang w:val="es-ES"/>
        </w:rPr>
      </w:pPr>
      <w:r w:rsidRPr="00CD2866">
        <w:rPr>
          <w:rFonts w:ascii="Bookman Old Style" w:hAnsi="Bookman Old Style" w:cs="Arial"/>
          <w:i/>
          <w:iCs/>
          <w:sz w:val="22"/>
          <w:szCs w:val="22"/>
          <w:lang w:val="es-ES"/>
        </w:rPr>
        <w:t xml:space="preserve">El incumplimiento grave e insalvable de la puesta en operación de la planta o unidad de generación, dará lugar a: </w:t>
      </w:r>
    </w:p>
    <w:p w:rsidR="00CD2866" w:rsidRPr="00CD2866" w:rsidRDefault="00CD2866" w:rsidP="00CD2866">
      <w:pPr>
        <w:pStyle w:val="Prrafodelista"/>
        <w:rPr>
          <w:rFonts w:ascii="Bookman Old Style" w:hAnsi="Bookman Old Style" w:cs="Arial"/>
          <w:i/>
          <w:iCs/>
          <w:sz w:val="22"/>
          <w:szCs w:val="22"/>
          <w:lang w:val="es-ES"/>
        </w:rPr>
      </w:pPr>
    </w:p>
    <w:p w:rsidR="00CD2866" w:rsidRPr="00CD2866" w:rsidRDefault="00CD2866" w:rsidP="00CD2866">
      <w:pPr>
        <w:pStyle w:val="Prrafodelista"/>
        <w:ind w:left="1592" w:right="826"/>
        <w:jc w:val="both"/>
        <w:rPr>
          <w:rFonts w:ascii="Bookman Old Style" w:hAnsi="Bookman Old Style" w:cs="Arial"/>
          <w:i/>
          <w:iCs/>
          <w:sz w:val="22"/>
          <w:szCs w:val="22"/>
          <w:lang w:val="es-ES"/>
        </w:rPr>
      </w:pPr>
      <w:r w:rsidRPr="00CD2866">
        <w:rPr>
          <w:rFonts w:ascii="Bookman Old Style" w:hAnsi="Bookman Old Style" w:cs="Arial"/>
          <w:i/>
          <w:iCs/>
          <w:sz w:val="22"/>
          <w:szCs w:val="22"/>
          <w:lang w:val="es-ES"/>
        </w:rPr>
        <w:t xml:space="preserve">a) La ejecución de la garantía. </w:t>
      </w:r>
    </w:p>
    <w:p w:rsidR="00CD2866" w:rsidRPr="00CD2866" w:rsidRDefault="00CD2866" w:rsidP="00CD2866">
      <w:pPr>
        <w:pStyle w:val="Prrafodelista"/>
        <w:ind w:left="1592" w:right="826"/>
        <w:jc w:val="both"/>
        <w:rPr>
          <w:rFonts w:ascii="Bookman Old Style" w:hAnsi="Bookman Old Style" w:cs="Arial"/>
          <w:i/>
          <w:iCs/>
          <w:sz w:val="22"/>
          <w:szCs w:val="22"/>
          <w:lang w:val="es-ES"/>
        </w:rPr>
      </w:pPr>
    </w:p>
    <w:p w:rsidR="00CD2866" w:rsidRPr="00CD2866" w:rsidRDefault="00CD2866" w:rsidP="00CD2866">
      <w:pPr>
        <w:pStyle w:val="Prrafodelista"/>
        <w:ind w:left="1592" w:right="826"/>
        <w:jc w:val="both"/>
        <w:rPr>
          <w:rFonts w:ascii="Bookman Old Style" w:hAnsi="Bookman Old Style" w:cs="Arial"/>
          <w:i/>
          <w:iCs/>
          <w:sz w:val="22"/>
          <w:szCs w:val="22"/>
          <w:lang w:val="es-ES"/>
        </w:rPr>
      </w:pPr>
      <w:r w:rsidRPr="00CD2866">
        <w:rPr>
          <w:rFonts w:ascii="Bookman Old Style" w:hAnsi="Bookman Old Style" w:cs="Arial"/>
          <w:i/>
          <w:iCs/>
          <w:sz w:val="22"/>
          <w:szCs w:val="22"/>
          <w:lang w:val="es-ES"/>
        </w:rPr>
        <w:t xml:space="preserve">b) La pérdida para el generador de la asignación de la Obligación de Energía Firme y la remuneración asociada a ella. </w:t>
      </w:r>
    </w:p>
    <w:p w:rsidR="00CD2866" w:rsidRPr="00CD2866" w:rsidRDefault="00CD2866" w:rsidP="00CD2866">
      <w:pPr>
        <w:ind w:left="872" w:right="826"/>
        <w:jc w:val="both"/>
        <w:rPr>
          <w:rFonts w:ascii="Bookman Old Style" w:hAnsi="Bookman Old Style" w:cs="Arial"/>
          <w:i/>
          <w:iCs/>
          <w:sz w:val="22"/>
          <w:szCs w:val="22"/>
        </w:rPr>
      </w:pPr>
    </w:p>
    <w:p w:rsidR="00CD2866" w:rsidRDefault="00CD2866" w:rsidP="00CD2866">
      <w:pPr>
        <w:pStyle w:val="Prrafodelista"/>
        <w:numPr>
          <w:ilvl w:val="0"/>
          <w:numId w:val="26"/>
        </w:numPr>
        <w:ind w:right="826"/>
        <w:contextualSpacing/>
        <w:jc w:val="both"/>
        <w:rPr>
          <w:rFonts w:ascii="Bookman Old Style" w:hAnsi="Bookman Old Style" w:cs="Arial"/>
          <w:i/>
          <w:iCs/>
          <w:sz w:val="22"/>
          <w:szCs w:val="22"/>
          <w:lang w:val="es-ES"/>
        </w:rPr>
      </w:pPr>
      <w:r w:rsidRPr="00CD2866">
        <w:rPr>
          <w:rFonts w:ascii="Bookman Old Style" w:hAnsi="Bookman Old Style" w:cs="Arial"/>
          <w:i/>
          <w:iCs/>
          <w:sz w:val="22"/>
          <w:szCs w:val="22"/>
          <w:lang w:val="es-ES"/>
        </w:rPr>
        <w:t>Cuando la fecha de puesta en operación de la planta, determinada por el auditor, sea posterior a la fecha de inicio del Período de Vigencia de la Obligación y no constituya incumplimiento grave e insalvable, el agente deberá garantizar el cumplimiento de su Obligación de Energía Firme a través de un Contrato de Respaldo, vigente desde la fecha de inicio del Período de Vigencia de la Obligación y hasta la nueva fecha de puesta en operación de la planta. La omisión en la obligación de garantizar la Obligación de Energía Firme a través de un Contrato de Respaldo dará lugar a que el incumplimiento se considere grave e insalvable con las consecuencias previstas en el numeral 3 de este artículo.</w:t>
      </w:r>
    </w:p>
    <w:p w:rsidR="00CD2866" w:rsidRDefault="00CD2866" w:rsidP="00CD2866">
      <w:pPr>
        <w:pStyle w:val="Prrafodelista"/>
        <w:ind w:left="1592" w:right="826"/>
        <w:contextualSpacing/>
        <w:jc w:val="both"/>
        <w:rPr>
          <w:rFonts w:ascii="Bookman Old Style" w:hAnsi="Bookman Old Style" w:cs="Arial"/>
          <w:i/>
          <w:iCs/>
          <w:sz w:val="22"/>
          <w:szCs w:val="22"/>
          <w:lang w:val="es-ES"/>
        </w:rPr>
      </w:pPr>
    </w:p>
    <w:p w:rsidR="00CD2866" w:rsidRPr="00CD2866" w:rsidRDefault="00CD2866" w:rsidP="00CD2866">
      <w:pPr>
        <w:pStyle w:val="Prrafodelista"/>
        <w:ind w:left="1592" w:right="826"/>
        <w:contextualSpacing/>
        <w:jc w:val="both"/>
        <w:rPr>
          <w:rFonts w:ascii="Bookman Old Style" w:hAnsi="Bookman Old Style" w:cs="Arial"/>
          <w:i/>
          <w:iCs/>
          <w:sz w:val="22"/>
          <w:szCs w:val="22"/>
          <w:lang w:val="es-ES"/>
        </w:rPr>
      </w:pPr>
      <w:r w:rsidRPr="00CD2866">
        <w:rPr>
          <w:rFonts w:ascii="Bookman Old Style" w:hAnsi="Bookman Old Style" w:cs="Arial"/>
          <w:b/>
          <w:i/>
          <w:iCs/>
          <w:sz w:val="22"/>
          <w:szCs w:val="22"/>
          <w:lang w:val="es-ES"/>
        </w:rPr>
        <w:t>Parágrafo.</w:t>
      </w:r>
      <w:r w:rsidRPr="00CD2866">
        <w:rPr>
          <w:rFonts w:ascii="Bookman Old Style" w:hAnsi="Bookman Old Style" w:cs="Arial"/>
          <w:i/>
          <w:iCs/>
          <w:sz w:val="22"/>
          <w:szCs w:val="22"/>
          <w:lang w:val="es-ES"/>
        </w:rPr>
        <w:t xml:space="preserve"> </w:t>
      </w:r>
      <w:r w:rsidRPr="00CD2866">
        <w:rPr>
          <w:rFonts w:ascii="Bookman Old Style" w:hAnsi="Bookman Old Style" w:cs="Arial"/>
          <w:i/>
          <w:iCs/>
          <w:sz w:val="22"/>
          <w:szCs w:val="22"/>
          <w:u w:val="single"/>
          <w:lang w:val="es-ES"/>
        </w:rPr>
        <w:t>En el caso del incumplimiento grave e insalvable que se determina cuando el informe del auditor indica que la puesta en operación de la planta o unidad de generación tendrá un atraso mayor a un año, contado a partir de la fecha de inicio del Periodo de Vigencia de la Obligación, la CREG, con el propósito de establecer plenamente la existencia del incumplimiento, determinar sus consecuencias y garantizar el derecho de defensa de los afectados, agotará el trámite previsto en los Artículos 106 y ss. de la Ley 142 de 1994 y, en lo no previsto en ellos, aplicará las normas de la parte primera del Código Contencioso Administrativo que sean compatibles. En firme la decisión definitiva sobre la actuación y determinada la existencia del incumplimiento, se comunicará la decisión al ASIC y éste adoptará las medidas correspondientes de acuerdo con la Resolución CREG 071 de 2006 y las nomas que la modifiquen, adicionen o sustituyan</w:t>
      </w:r>
      <w:r w:rsidRPr="00CD2866">
        <w:rPr>
          <w:rFonts w:ascii="Bookman Old Style" w:hAnsi="Bookman Old Style" w:cs="Arial"/>
          <w:i/>
          <w:iCs/>
          <w:sz w:val="22"/>
          <w:szCs w:val="22"/>
          <w:lang w:val="es-ES"/>
        </w:rPr>
        <w:t xml:space="preserve"> (…)” (subraya fuera del original).</w:t>
      </w:r>
    </w:p>
    <w:p w:rsidR="00CD2866" w:rsidRPr="00BD5E22" w:rsidRDefault="00CD2866" w:rsidP="00CD2866">
      <w:pPr>
        <w:pStyle w:val="Prrafodelista"/>
        <w:jc w:val="both"/>
        <w:rPr>
          <w:rFonts w:ascii="Ebrima" w:hAnsi="Ebrima" w:cs="Arial"/>
          <w:spacing w:val="-5"/>
          <w:sz w:val="24"/>
          <w:szCs w:val="24"/>
          <w:lang w:val="es-ES"/>
        </w:rPr>
      </w:pPr>
    </w:p>
    <w:p w:rsidR="00CD2866" w:rsidRPr="00CD2866" w:rsidRDefault="00CD2866" w:rsidP="00CD2866">
      <w:pPr>
        <w:pStyle w:val="Textoindependiente"/>
        <w:ind w:left="360"/>
        <w:jc w:val="both"/>
        <w:rPr>
          <w:rFonts w:ascii="Bookman Old Style" w:hAnsi="Bookman Old Style"/>
          <w:b w:val="0"/>
          <w:color w:val="000000" w:themeColor="text1"/>
          <w:lang w:eastAsia="es-CO"/>
        </w:rPr>
      </w:pPr>
      <w:r w:rsidRPr="00CD2866">
        <w:rPr>
          <w:rFonts w:ascii="Bookman Old Style" w:hAnsi="Bookman Old Style"/>
          <w:b w:val="0"/>
        </w:rPr>
        <w:t xml:space="preserve">Se debe destacar que de conformidad con la regulación del cargo por confiabilidad (Resoluciones CREG 071 de 2006 y 061 de 2007) corresponde a la CREG, una vez se determina por parte del auditor del proyecto que </w:t>
      </w:r>
      <w:r w:rsidRPr="00CD2866">
        <w:rPr>
          <w:rFonts w:ascii="Bookman Old Style" w:hAnsi="Bookman Old Style"/>
          <w:b w:val="0"/>
          <w:color w:val="000000" w:themeColor="text1"/>
          <w:lang w:eastAsia="es-CO"/>
        </w:rPr>
        <w:t>la puesta en operación de la planta o unidad de generación tendrá un atraso mayor a un año, contado a partir de la fecha de inicio del Periodo de Vigencia de la Obligación</w:t>
      </w:r>
      <w:r w:rsidRPr="00CD2866">
        <w:rPr>
          <w:rFonts w:ascii="Bookman Old Style" w:hAnsi="Bookman Old Style"/>
          <w:b w:val="0"/>
          <w:i/>
          <w:color w:val="000000" w:themeColor="text1"/>
          <w:lang w:eastAsia="es-CO"/>
        </w:rPr>
        <w:t xml:space="preserve">, </w:t>
      </w:r>
      <w:r w:rsidRPr="00CD2866">
        <w:rPr>
          <w:rFonts w:ascii="Bookman Old Style" w:hAnsi="Bookman Old Style"/>
          <w:b w:val="0"/>
          <w:color w:val="000000" w:themeColor="text1"/>
          <w:lang w:eastAsia="es-CO"/>
        </w:rPr>
        <w:t xml:space="preserve">esto es un incumplimiento grave e insalvable, </w:t>
      </w:r>
      <w:r w:rsidRPr="00CD2866">
        <w:rPr>
          <w:rFonts w:ascii="Bookman Old Style" w:hAnsi="Bookman Old Style"/>
          <w:b w:val="0"/>
        </w:rPr>
        <w:t xml:space="preserve">adelantar una actuación administrativa </w:t>
      </w:r>
      <w:r w:rsidRPr="00CD2866">
        <w:rPr>
          <w:rFonts w:ascii="Bookman Old Style" w:hAnsi="Bookman Old Style"/>
          <w:b w:val="0"/>
          <w:color w:val="000000" w:themeColor="text1"/>
          <w:lang w:eastAsia="es-CO"/>
        </w:rPr>
        <w:t xml:space="preserve">con el propósito de establecer plenamente la existencia del incumplimiento, determinar sus consecuencias y garantizar el derecho de defensa de los afectados. </w:t>
      </w:r>
    </w:p>
    <w:p w:rsidR="00CD2866" w:rsidRPr="00CD2866" w:rsidRDefault="00CD2866" w:rsidP="00CD2866">
      <w:pPr>
        <w:pStyle w:val="Textoindependiente"/>
        <w:ind w:left="360"/>
        <w:jc w:val="both"/>
        <w:rPr>
          <w:rFonts w:ascii="Bookman Old Style" w:hAnsi="Bookman Old Style"/>
          <w:b w:val="0"/>
          <w:color w:val="000000" w:themeColor="text1"/>
          <w:lang w:eastAsia="es-CO"/>
        </w:rPr>
      </w:pPr>
    </w:p>
    <w:p w:rsidR="00CD2866" w:rsidRPr="00CD2866" w:rsidRDefault="00CD2866" w:rsidP="00CD2866">
      <w:pPr>
        <w:pStyle w:val="Textoindependiente"/>
        <w:ind w:left="360"/>
        <w:jc w:val="both"/>
        <w:rPr>
          <w:rFonts w:ascii="Bookman Old Style" w:hAnsi="Bookman Old Style"/>
          <w:b w:val="0"/>
          <w:color w:val="000000" w:themeColor="text1"/>
          <w:lang w:eastAsia="es-CO"/>
        </w:rPr>
      </w:pPr>
      <w:r w:rsidRPr="00CD2866">
        <w:rPr>
          <w:rFonts w:ascii="Bookman Old Style" w:hAnsi="Bookman Old Style"/>
          <w:b w:val="0"/>
          <w:color w:val="000000" w:themeColor="text1"/>
          <w:lang w:eastAsia="es-CO"/>
        </w:rPr>
        <w:t xml:space="preserve">En dicha actuación, la CREG agotará el trámite previsto en los Artículos 106 y ss. de la Ley 142 de 1994 y en lo no previsto en ellos, aplicará las normas de la parte primera del Código Contencioso Administrativo que sean compatibles. </w:t>
      </w:r>
    </w:p>
    <w:p w:rsidR="00CD2866" w:rsidRPr="00CD2866" w:rsidRDefault="00CD2866" w:rsidP="00CD2866">
      <w:pPr>
        <w:pStyle w:val="Textoindependiente"/>
        <w:ind w:left="360"/>
        <w:jc w:val="both"/>
        <w:rPr>
          <w:rFonts w:ascii="Bookman Old Style" w:hAnsi="Bookman Old Style"/>
          <w:b w:val="0"/>
          <w:color w:val="000000" w:themeColor="text1"/>
          <w:lang w:eastAsia="es-CO"/>
        </w:rPr>
      </w:pPr>
    </w:p>
    <w:p w:rsidR="00CD2866" w:rsidRDefault="00CD2866" w:rsidP="00CD2866">
      <w:pPr>
        <w:pStyle w:val="Textoindependiente"/>
        <w:ind w:left="360"/>
        <w:jc w:val="both"/>
        <w:rPr>
          <w:rFonts w:ascii="Ebrima" w:hAnsi="Ebrima"/>
          <w:color w:val="000000" w:themeColor="text1"/>
          <w:lang w:eastAsia="es-CO"/>
        </w:rPr>
      </w:pPr>
      <w:r w:rsidRPr="00CD2866">
        <w:rPr>
          <w:rFonts w:ascii="Bookman Old Style" w:hAnsi="Bookman Old Style"/>
          <w:b w:val="0"/>
          <w:color w:val="000000" w:themeColor="text1"/>
          <w:lang w:eastAsia="es-CO"/>
        </w:rPr>
        <w:t>Como efectos del incumplimiento grave e insalvable, encontramos la ejecución de la</w:t>
      </w:r>
      <w:r w:rsidR="00E74B49">
        <w:rPr>
          <w:rFonts w:ascii="Bookman Old Style" w:hAnsi="Bookman Old Style"/>
          <w:b w:val="0"/>
          <w:color w:val="000000" w:themeColor="text1"/>
          <w:lang w:eastAsia="es-CO"/>
        </w:rPr>
        <w:t xml:space="preserve"> garantía y la pé</w:t>
      </w:r>
      <w:r w:rsidRPr="00CD2866">
        <w:rPr>
          <w:rFonts w:ascii="Bookman Old Style" w:hAnsi="Bookman Old Style"/>
          <w:b w:val="0"/>
          <w:color w:val="000000" w:themeColor="text1"/>
          <w:lang w:eastAsia="es-CO"/>
        </w:rPr>
        <w:t>rdida de la obligación de energía en firme asignada.</w:t>
      </w:r>
    </w:p>
    <w:p w:rsidR="00CD2866" w:rsidRPr="00377C18" w:rsidRDefault="00CD2866" w:rsidP="00CD2866">
      <w:pPr>
        <w:pStyle w:val="Textoindependiente"/>
        <w:ind w:left="360"/>
        <w:jc w:val="both"/>
        <w:rPr>
          <w:rFonts w:ascii="Ebrima" w:hAnsi="Ebrima"/>
        </w:rPr>
      </w:pPr>
    </w:p>
    <w:p w:rsidR="00CD2866" w:rsidRPr="00CD2866" w:rsidRDefault="00CD2866" w:rsidP="00CD2866">
      <w:pPr>
        <w:pStyle w:val="Textoindependiente"/>
        <w:numPr>
          <w:ilvl w:val="0"/>
          <w:numId w:val="23"/>
        </w:numPr>
        <w:jc w:val="both"/>
        <w:rPr>
          <w:rFonts w:ascii="Bookman Old Style" w:hAnsi="Bookman Old Style"/>
          <w:b w:val="0"/>
        </w:rPr>
      </w:pPr>
      <w:r w:rsidRPr="00CD2866">
        <w:rPr>
          <w:rFonts w:ascii="Bookman Old Style" w:hAnsi="Bookman Old Style"/>
          <w:b w:val="0"/>
          <w:spacing w:val="-5"/>
        </w:rPr>
        <w:t>En vigencia de la normatividad mencionada, e</w:t>
      </w:r>
      <w:r w:rsidRPr="00CD2866">
        <w:rPr>
          <w:rFonts w:ascii="Bookman Old Style" w:hAnsi="Bookman Old Style"/>
          <w:b w:val="0"/>
        </w:rPr>
        <w:t xml:space="preserve">n el año 2008 durante la subasta de plantas GPPS, se asignó la Obligación de Energía en firme para </w:t>
      </w:r>
      <w:r w:rsidRPr="00CD2866">
        <w:rPr>
          <w:rFonts w:ascii="Bookman Old Style" w:hAnsi="Bookman Old Style"/>
          <w:b w:val="0"/>
          <w:iCs/>
        </w:rPr>
        <w:t>EPM</w:t>
      </w:r>
      <w:r w:rsidRPr="00CD2866">
        <w:rPr>
          <w:rFonts w:ascii="Bookman Old Style" w:hAnsi="Bookman Old Style"/>
          <w:b w:val="0"/>
        </w:rPr>
        <w:t>, la cual se comprometió a construir el proyecto hidroeléctrico Porce IV, según lo pactado en dicha subasta.</w:t>
      </w:r>
    </w:p>
    <w:p w:rsidR="00CD2866" w:rsidRPr="00CD2866" w:rsidRDefault="00CD2866" w:rsidP="00CD2866">
      <w:pPr>
        <w:pStyle w:val="Textoindependiente"/>
        <w:ind w:left="360"/>
        <w:jc w:val="both"/>
        <w:rPr>
          <w:rFonts w:ascii="Bookman Old Style" w:hAnsi="Bookman Old Style"/>
          <w:b w:val="0"/>
        </w:rPr>
      </w:pPr>
    </w:p>
    <w:p w:rsidR="00CD2866" w:rsidRPr="00CD2866" w:rsidRDefault="00CD2866" w:rsidP="00CD2866">
      <w:pPr>
        <w:pStyle w:val="Textoindependiente"/>
        <w:ind w:left="360"/>
        <w:jc w:val="both"/>
        <w:rPr>
          <w:rFonts w:ascii="Bookman Old Style" w:hAnsi="Bookman Old Style"/>
          <w:b w:val="0"/>
          <w:spacing w:val="-5"/>
        </w:rPr>
      </w:pPr>
      <w:r w:rsidRPr="00CD2866">
        <w:rPr>
          <w:rFonts w:ascii="Bookman Old Style" w:hAnsi="Bookman Old Style"/>
          <w:b w:val="0"/>
        </w:rPr>
        <w:t>En otras palabras, EPM se sujetó a la regulación aplicable, la cual establece la obligación de la entrega del cronograma de construcción y la Curva S, de tal forma que el proyecto entrara en operación antes de diciembre del 2015</w:t>
      </w:r>
      <w:r w:rsidRPr="00CD2866">
        <w:rPr>
          <w:rFonts w:ascii="Bookman Old Style" w:hAnsi="Bookman Old Style"/>
          <w:b w:val="0"/>
          <w:spacing w:val="-5"/>
        </w:rPr>
        <w:t xml:space="preserve">. </w:t>
      </w:r>
    </w:p>
    <w:p w:rsidR="00CD2866" w:rsidRPr="00CD2866" w:rsidRDefault="00CD2866" w:rsidP="00CD2866">
      <w:pPr>
        <w:pStyle w:val="Textoindependiente"/>
        <w:ind w:left="360"/>
        <w:jc w:val="both"/>
        <w:rPr>
          <w:rFonts w:ascii="Bookman Old Style" w:hAnsi="Bookman Old Style"/>
          <w:b w:val="0"/>
          <w:spacing w:val="-5"/>
        </w:rPr>
      </w:pPr>
    </w:p>
    <w:p w:rsidR="00CD2866" w:rsidRPr="00CD2866" w:rsidRDefault="00CD2866" w:rsidP="00CD2866">
      <w:pPr>
        <w:pStyle w:val="Textoindependiente"/>
        <w:ind w:left="360"/>
        <w:jc w:val="both"/>
        <w:rPr>
          <w:rFonts w:ascii="Bookman Old Style" w:hAnsi="Bookman Old Style"/>
          <w:b w:val="0"/>
          <w:spacing w:val="-5"/>
        </w:rPr>
      </w:pPr>
      <w:r w:rsidRPr="00CD2866">
        <w:rPr>
          <w:rFonts w:ascii="Bookman Old Style" w:hAnsi="Bookman Old Style"/>
          <w:b w:val="0"/>
          <w:spacing w:val="-5"/>
        </w:rPr>
        <w:t>Para respaldar la construcción del proyecto Porce IV, la regulación prevé la constitución de una garantía, obligación que EPM cumplió al constituir y otorgar la garantía bancaria para respaldar el cumplimiento de lo ofertado</w:t>
      </w:r>
      <w:r w:rsidRPr="00CD2866">
        <w:rPr>
          <w:rStyle w:val="Refdenotaalpie"/>
          <w:rFonts w:ascii="Bookman Old Style" w:hAnsi="Bookman Old Style"/>
          <w:b w:val="0"/>
          <w:spacing w:val="-5"/>
        </w:rPr>
        <w:footnoteReference w:id="4"/>
      </w:r>
      <w:r w:rsidRPr="00CD2866">
        <w:rPr>
          <w:rFonts w:ascii="Bookman Old Style" w:hAnsi="Bookman Old Style"/>
          <w:b w:val="0"/>
          <w:spacing w:val="-5"/>
        </w:rPr>
        <w:t>, es decir; EPM conocía la garantía que debía otorgar, la definición de incumplimiento grave e insalvable dada en la regulación, el procedimiento que debía adelantar la CREG en caso de un incumplimiento grave e insa</w:t>
      </w:r>
      <w:r w:rsidR="008759A8">
        <w:rPr>
          <w:rFonts w:ascii="Bookman Old Style" w:hAnsi="Bookman Old Style"/>
          <w:b w:val="0"/>
          <w:spacing w:val="-5"/>
        </w:rPr>
        <w:t xml:space="preserve">lvable y los efectos del mismo, </w:t>
      </w:r>
      <w:r w:rsidRPr="00CD2866">
        <w:rPr>
          <w:rFonts w:ascii="Bookman Old Style" w:hAnsi="Bookman Old Style"/>
          <w:b w:val="0"/>
          <w:spacing w:val="-5"/>
        </w:rPr>
        <w:t xml:space="preserve">entre ellos la ejecución de la garantía. </w:t>
      </w:r>
    </w:p>
    <w:p w:rsidR="00CD2866" w:rsidRPr="00BD5E22" w:rsidRDefault="00CD2866" w:rsidP="00CD2866">
      <w:pPr>
        <w:jc w:val="both"/>
        <w:rPr>
          <w:rFonts w:ascii="Ebrima" w:hAnsi="Ebrima" w:cs="Arial"/>
          <w:spacing w:val="-5"/>
        </w:rPr>
      </w:pPr>
    </w:p>
    <w:p w:rsidR="00CD2866" w:rsidRPr="00CD2866" w:rsidRDefault="00CD2866" w:rsidP="00CD2866">
      <w:pPr>
        <w:pStyle w:val="Textoindependiente"/>
        <w:numPr>
          <w:ilvl w:val="0"/>
          <w:numId w:val="23"/>
        </w:numPr>
        <w:jc w:val="both"/>
        <w:rPr>
          <w:rFonts w:ascii="Bookman Old Style" w:hAnsi="Bookman Old Style"/>
          <w:b w:val="0"/>
          <w:bCs w:val="0"/>
          <w:iCs/>
        </w:rPr>
      </w:pPr>
      <w:r w:rsidRPr="00CD2866">
        <w:rPr>
          <w:rFonts w:ascii="Bookman Old Style" w:hAnsi="Bookman Old Style"/>
          <w:b w:val="0"/>
          <w:iCs/>
        </w:rPr>
        <w:t>El 20 de mayo del 2011 bajo el radicado CREG E-2011-004936, la Comisión recibió el informe adicional de auditoría de verificación del cronograma de construcción y Curva S del proyecto de generación hidroeléctrico Porce IV, elaborado por SEDIC S.A (auditor del proyecto).</w:t>
      </w:r>
    </w:p>
    <w:p w:rsidR="00CD2866" w:rsidRPr="00CD2866" w:rsidRDefault="00CD2866" w:rsidP="00CD2866">
      <w:pPr>
        <w:pStyle w:val="Textoindependiente"/>
        <w:ind w:left="360"/>
        <w:jc w:val="both"/>
        <w:rPr>
          <w:rFonts w:ascii="Bookman Old Style" w:hAnsi="Bookman Old Style"/>
          <w:b w:val="0"/>
          <w:bCs w:val="0"/>
          <w:iCs/>
        </w:rPr>
      </w:pPr>
    </w:p>
    <w:p w:rsidR="00CD2866" w:rsidRPr="00CD2866" w:rsidRDefault="00CD2866" w:rsidP="00CD2866">
      <w:pPr>
        <w:pStyle w:val="Textoindependiente"/>
        <w:ind w:left="360"/>
        <w:jc w:val="both"/>
        <w:rPr>
          <w:rFonts w:ascii="Bookman Old Style" w:hAnsi="Bookman Old Style"/>
          <w:b w:val="0"/>
          <w:iCs/>
        </w:rPr>
      </w:pPr>
      <w:r w:rsidRPr="00CD2866">
        <w:rPr>
          <w:rFonts w:ascii="Bookman Old Style" w:hAnsi="Bookman Old Style"/>
          <w:b w:val="0"/>
          <w:iCs/>
        </w:rPr>
        <w:t>En dicho informe</w:t>
      </w:r>
      <w:r w:rsidR="008759A8">
        <w:rPr>
          <w:rFonts w:ascii="Bookman Old Style" w:hAnsi="Bookman Old Style"/>
          <w:b w:val="0"/>
          <w:iCs/>
        </w:rPr>
        <w:t>,</w:t>
      </w:r>
      <w:r w:rsidRPr="00CD2866">
        <w:rPr>
          <w:rFonts w:ascii="Bookman Old Style" w:hAnsi="Bookman Old Style"/>
          <w:b w:val="0"/>
          <w:iCs/>
        </w:rPr>
        <w:t xml:space="preserve"> el auditor en el capítulo 8 de comentarios y observaciones concluye lo siguiente:</w:t>
      </w:r>
    </w:p>
    <w:p w:rsidR="00CD2866" w:rsidRPr="00BD5E22" w:rsidRDefault="00CD2866" w:rsidP="00CD2866">
      <w:pPr>
        <w:jc w:val="both"/>
        <w:rPr>
          <w:rFonts w:ascii="Ebrima" w:hAnsi="Ebrima" w:cs="Arial"/>
          <w:iCs/>
        </w:rPr>
      </w:pPr>
    </w:p>
    <w:p w:rsidR="00CD2866" w:rsidRPr="00CD2866" w:rsidRDefault="00CD2866" w:rsidP="00CD2866">
      <w:pPr>
        <w:ind w:left="872" w:right="826"/>
        <w:jc w:val="both"/>
        <w:rPr>
          <w:rFonts w:ascii="Bookman Old Style" w:hAnsi="Bookman Old Style" w:cs="Arial"/>
          <w:iCs/>
          <w:sz w:val="22"/>
          <w:szCs w:val="22"/>
        </w:rPr>
      </w:pPr>
      <w:r w:rsidRPr="00CD2866">
        <w:rPr>
          <w:rFonts w:ascii="Bookman Old Style" w:hAnsi="Bookman Old Style" w:cs="Arial"/>
          <w:i/>
          <w:iCs/>
          <w:sz w:val="22"/>
          <w:szCs w:val="22"/>
        </w:rPr>
        <w:t xml:space="preserve">“(…) la conclusión es que al comparar bajo estos supuestos el desarrollo del proyecto con el cronograma registrado ante la CREG, se estaría en una situación de atraso en la entrada en operación de las unidades de generación del orden de 576 días calendario para el cumplimiento de la Obligación de Energía Firme registrada ante la CREG, </w:t>
      </w:r>
      <w:r w:rsidRPr="00CD2866">
        <w:rPr>
          <w:rFonts w:ascii="Bookman Old Style" w:hAnsi="Bookman Old Style" w:cs="Arial"/>
          <w:b/>
          <w:i/>
          <w:iCs/>
          <w:sz w:val="22"/>
          <w:szCs w:val="22"/>
        </w:rPr>
        <w:t>lo que lleva a la Auditoria a concluir que el proyecto hidroeléctrico Porce IV presenta a la fecha una situación de incumplimiento grave e insalvable</w:t>
      </w:r>
      <w:r w:rsidRPr="00CD2866">
        <w:rPr>
          <w:rFonts w:ascii="Bookman Old Style" w:hAnsi="Bookman Old Style" w:cs="Arial"/>
          <w:i/>
          <w:iCs/>
          <w:sz w:val="22"/>
          <w:szCs w:val="22"/>
        </w:rPr>
        <w:t xml:space="preserve"> (…)” (negrilla fuera del original).</w:t>
      </w:r>
    </w:p>
    <w:p w:rsidR="00CD2866" w:rsidRPr="00614804" w:rsidRDefault="00CD2866" w:rsidP="00CD2866">
      <w:pPr>
        <w:jc w:val="both"/>
        <w:rPr>
          <w:rFonts w:ascii="Ebrima" w:hAnsi="Ebrima" w:cs="Arial"/>
          <w:iCs/>
        </w:rPr>
      </w:pPr>
    </w:p>
    <w:p w:rsidR="00CD2866" w:rsidRPr="00CD2866" w:rsidRDefault="00CD2866" w:rsidP="00CD2866">
      <w:pPr>
        <w:pStyle w:val="Textoindependiente"/>
        <w:ind w:left="360"/>
        <w:jc w:val="both"/>
        <w:rPr>
          <w:rFonts w:ascii="Bookman Old Style" w:hAnsi="Bookman Old Style"/>
          <w:b w:val="0"/>
          <w:iCs/>
        </w:rPr>
      </w:pPr>
      <w:r w:rsidRPr="00CD2866">
        <w:rPr>
          <w:rFonts w:ascii="Bookman Old Style" w:hAnsi="Bookman Old Style"/>
          <w:b w:val="0"/>
          <w:iCs/>
        </w:rPr>
        <w:t xml:space="preserve">Con fundamento en este informe y en cumplimiento de la regulación aplicable, mediante auto del 30 de mayo del 2011 se dio origen a la actuación administrativa 2011-0049, la cual textualmente dice: </w:t>
      </w:r>
    </w:p>
    <w:p w:rsidR="00CD2866" w:rsidRDefault="00CD2866" w:rsidP="00CD2866">
      <w:pPr>
        <w:pStyle w:val="Textoindependiente"/>
        <w:ind w:left="360"/>
        <w:jc w:val="both"/>
        <w:rPr>
          <w:rFonts w:ascii="Ebrima" w:hAnsi="Ebrima"/>
          <w:iCs/>
        </w:rPr>
      </w:pPr>
    </w:p>
    <w:p w:rsidR="00CD2866" w:rsidRPr="00FB2B66" w:rsidRDefault="00CD2866" w:rsidP="00CD2866">
      <w:pPr>
        <w:ind w:left="872" w:right="826"/>
        <w:jc w:val="both"/>
        <w:rPr>
          <w:rFonts w:ascii="Bookman Old Style" w:hAnsi="Bookman Old Style" w:cs="Arial"/>
          <w:i/>
          <w:iCs/>
          <w:sz w:val="22"/>
          <w:szCs w:val="22"/>
        </w:rPr>
      </w:pPr>
      <w:r w:rsidRPr="00FB2B66">
        <w:rPr>
          <w:rFonts w:ascii="Bookman Old Style" w:hAnsi="Bookman Old Style" w:cs="Arial"/>
          <w:i/>
          <w:iCs/>
          <w:sz w:val="22"/>
          <w:szCs w:val="22"/>
        </w:rPr>
        <w:t>“(…) Actuación Administrativa iniciada con fundamento en el informe adicional de verificación de la curva S y del cronograma del proyecto y puesta en operación de la planta hidroeléctrica Porce IV, elaborado por SEDIC S.A (…)”</w:t>
      </w:r>
      <w:r w:rsidRPr="00FB2B66">
        <w:rPr>
          <w:rStyle w:val="Refdenotaalpie"/>
          <w:rFonts w:cs="Arial"/>
          <w:bCs/>
          <w:spacing w:val="-5"/>
        </w:rPr>
        <w:footnoteReference w:id="5"/>
      </w:r>
      <w:r w:rsidRPr="00FB2B66">
        <w:rPr>
          <w:rFonts w:ascii="Bookman Old Style" w:hAnsi="Bookman Old Style" w:cs="Arial"/>
          <w:i/>
          <w:iCs/>
          <w:sz w:val="22"/>
          <w:szCs w:val="22"/>
        </w:rPr>
        <w:t>.</w:t>
      </w:r>
    </w:p>
    <w:p w:rsidR="00CD2866" w:rsidRPr="004A40C7" w:rsidRDefault="00CD2866" w:rsidP="00CD2866">
      <w:pPr>
        <w:pStyle w:val="Textoindependiente"/>
        <w:ind w:left="360"/>
        <w:jc w:val="both"/>
        <w:rPr>
          <w:rFonts w:ascii="Ebrima" w:hAnsi="Ebrima"/>
          <w:iCs/>
        </w:rPr>
      </w:pPr>
    </w:p>
    <w:p w:rsidR="00300121" w:rsidRDefault="00300121" w:rsidP="00CD2866">
      <w:pPr>
        <w:pStyle w:val="Textoindependiente"/>
        <w:ind w:left="360"/>
        <w:jc w:val="both"/>
        <w:rPr>
          <w:rFonts w:ascii="Bookman Old Style" w:hAnsi="Bookman Old Style"/>
          <w:b w:val="0"/>
          <w:iCs/>
        </w:rPr>
      </w:pPr>
    </w:p>
    <w:p w:rsidR="00300121" w:rsidRDefault="00300121" w:rsidP="00CD2866">
      <w:pPr>
        <w:pStyle w:val="Textoindependiente"/>
        <w:ind w:left="360"/>
        <w:jc w:val="both"/>
        <w:rPr>
          <w:rFonts w:ascii="Bookman Old Style" w:hAnsi="Bookman Old Style"/>
          <w:b w:val="0"/>
          <w:iCs/>
        </w:rPr>
      </w:pPr>
    </w:p>
    <w:p w:rsidR="00CD2866" w:rsidRPr="00DB6A55" w:rsidRDefault="00CD2866" w:rsidP="00CD2866">
      <w:pPr>
        <w:pStyle w:val="Textoindependiente"/>
        <w:ind w:left="360"/>
        <w:jc w:val="both"/>
        <w:rPr>
          <w:rFonts w:ascii="Bookman Old Style" w:hAnsi="Bookman Old Style"/>
          <w:b w:val="0"/>
          <w:iCs/>
        </w:rPr>
      </w:pPr>
      <w:r w:rsidRPr="00DB6A55">
        <w:rPr>
          <w:rFonts w:ascii="Bookman Old Style" w:hAnsi="Bookman Old Style"/>
          <w:b w:val="0"/>
          <w:iCs/>
        </w:rPr>
        <w:t xml:space="preserve">Dicha actuación fue notificada mediante estado del 1 de junio del 2011, y enviada carta de información mediante comunicación S-2011-002723, al representante legal de EPM. </w:t>
      </w:r>
    </w:p>
    <w:p w:rsidR="00CD2866" w:rsidRPr="00DB6A55" w:rsidRDefault="00CD2866" w:rsidP="00CD2866">
      <w:pPr>
        <w:pStyle w:val="Textoindependiente"/>
        <w:ind w:left="360"/>
        <w:jc w:val="both"/>
        <w:rPr>
          <w:rFonts w:ascii="Bookman Old Style" w:hAnsi="Bookman Old Style"/>
          <w:b w:val="0"/>
          <w:iCs/>
        </w:rPr>
      </w:pPr>
    </w:p>
    <w:p w:rsidR="00CD2866" w:rsidRPr="00DB6A55" w:rsidRDefault="00CD2866" w:rsidP="00CD2866">
      <w:pPr>
        <w:pStyle w:val="Textoindependiente"/>
        <w:ind w:left="360"/>
        <w:jc w:val="both"/>
        <w:rPr>
          <w:rFonts w:ascii="Bookman Old Style" w:hAnsi="Bookman Old Style"/>
          <w:b w:val="0"/>
          <w:iCs/>
        </w:rPr>
      </w:pPr>
      <w:r w:rsidRPr="00DB6A55">
        <w:rPr>
          <w:rFonts w:ascii="Bookman Old Style" w:hAnsi="Bookman Old Style"/>
          <w:b w:val="0"/>
          <w:iCs/>
        </w:rPr>
        <w:t>En el auto en cita, se ordenó a EPM realizar la publicación en un periódico de amplia circulación nacional, de un extracto de información sobre la actuación administrativa, el cual fue elaborado por la CREG y enviado a EPM, con el fin que terceros interesados pudieran</w:t>
      </w:r>
      <w:r w:rsidR="009B3537">
        <w:rPr>
          <w:rFonts w:ascii="Bookman Old Style" w:hAnsi="Bookman Old Style"/>
          <w:b w:val="0"/>
          <w:iCs/>
        </w:rPr>
        <w:t xml:space="preserve"> </w:t>
      </w:r>
      <w:r w:rsidRPr="00DB6A55">
        <w:rPr>
          <w:rFonts w:ascii="Bookman Old Style" w:hAnsi="Bookman Old Style"/>
          <w:b w:val="0"/>
          <w:iCs/>
        </w:rPr>
        <w:t xml:space="preserve">hacerse parte en la actuación administrativa. </w:t>
      </w:r>
    </w:p>
    <w:p w:rsidR="00CD2866" w:rsidRPr="00DB6A55" w:rsidRDefault="00CD2866" w:rsidP="00CD2866">
      <w:pPr>
        <w:pStyle w:val="Textoindependiente"/>
        <w:ind w:left="360"/>
        <w:jc w:val="both"/>
        <w:rPr>
          <w:rFonts w:ascii="Bookman Old Style" w:hAnsi="Bookman Old Style"/>
          <w:b w:val="0"/>
          <w:iCs/>
        </w:rPr>
      </w:pPr>
    </w:p>
    <w:p w:rsidR="00CD2866" w:rsidRPr="00DB6A55" w:rsidRDefault="00CD2866" w:rsidP="00CD2866">
      <w:pPr>
        <w:pStyle w:val="Textoindependiente"/>
        <w:ind w:left="360"/>
        <w:jc w:val="both"/>
        <w:rPr>
          <w:rFonts w:ascii="Bookman Old Style" w:hAnsi="Bookman Old Style"/>
          <w:b w:val="0"/>
          <w:iCs/>
        </w:rPr>
      </w:pPr>
      <w:r w:rsidRPr="00DB6A55">
        <w:rPr>
          <w:rFonts w:ascii="Bookman Old Style" w:hAnsi="Bookman Old Style"/>
          <w:b w:val="0"/>
          <w:iCs/>
        </w:rPr>
        <w:t xml:space="preserve">Mediante comunicación con el radicado CREG E-2011-005945, del 17 de junio del 2011, se recibió en la CREG un extracto de publicación realizado por  EPM, en el cual se cumplía la publicación del extracto remitido a la empresa. Dicha publicación se realizó el 15 de junio del 2011 en el periódico EL ESPECTADOR, en la sección negocios, página 11. </w:t>
      </w:r>
    </w:p>
    <w:p w:rsidR="00CD2866" w:rsidRPr="00DB6A55" w:rsidRDefault="00CD2866" w:rsidP="00CD2866">
      <w:pPr>
        <w:pStyle w:val="Textoindependiente"/>
        <w:ind w:left="360"/>
        <w:jc w:val="both"/>
        <w:rPr>
          <w:rFonts w:ascii="Bookman Old Style" w:hAnsi="Bookman Old Style"/>
          <w:b w:val="0"/>
          <w:iCs/>
        </w:rPr>
      </w:pPr>
    </w:p>
    <w:p w:rsidR="00CD2866" w:rsidRPr="00DB6A55" w:rsidRDefault="00CD2866" w:rsidP="00CD2866">
      <w:pPr>
        <w:pStyle w:val="Textoindependiente"/>
        <w:ind w:left="360"/>
        <w:jc w:val="both"/>
        <w:rPr>
          <w:rFonts w:ascii="Bookman Old Style" w:hAnsi="Bookman Old Style"/>
          <w:b w:val="0"/>
          <w:iCs/>
        </w:rPr>
      </w:pPr>
      <w:r w:rsidRPr="00DB6A55">
        <w:rPr>
          <w:rFonts w:ascii="Bookman Old Style" w:hAnsi="Bookman Old Style"/>
          <w:b w:val="0"/>
          <w:iCs/>
        </w:rPr>
        <w:t xml:space="preserve">La información sobre la publicación fue complementada con la comunicación del 22 de junio del 2011, bajo el radicado CREG E-2011-006049, en la cual se envió a la actuación de la referencia una copia más grande del aviso publicado. </w:t>
      </w:r>
    </w:p>
    <w:p w:rsidR="00CD2866" w:rsidRPr="00DB6A55" w:rsidRDefault="00CD2866" w:rsidP="00CD2866">
      <w:pPr>
        <w:pStyle w:val="Textoindependiente"/>
        <w:ind w:left="360"/>
        <w:jc w:val="both"/>
        <w:rPr>
          <w:rFonts w:ascii="Bookman Old Style" w:hAnsi="Bookman Old Style"/>
          <w:b w:val="0"/>
          <w:iCs/>
        </w:rPr>
      </w:pPr>
    </w:p>
    <w:p w:rsidR="00CD2866" w:rsidRPr="00DB6A55" w:rsidRDefault="00CD2866" w:rsidP="00CD2866">
      <w:pPr>
        <w:pStyle w:val="Textoindependiente"/>
        <w:ind w:left="360"/>
        <w:jc w:val="both"/>
        <w:rPr>
          <w:rFonts w:ascii="Bookman Old Style" w:hAnsi="Bookman Old Style"/>
          <w:b w:val="0"/>
          <w:iCs/>
        </w:rPr>
      </w:pPr>
      <w:r w:rsidRPr="00DB6A55">
        <w:rPr>
          <w:rFonts w:ascii="Bookman Old Style" w:hAnsi="Bookman Old Style"/>
          <w:b w:val="0"/>
          <w:iCs/>
        </w:rPr>
        <w:t xml:space="preserve">Esta notificación es la que el accionante considera indebida y violatoria de sus derechos </w:t>
      </w:r>
      <w:r w:rsidR="00DB6A55">
        <w:rPr>
          <w:rFonts w:ascii="Bookman Old Style" w:hAnsi="Bookman Old Style"/>
          <w:b w:val="0"/>
          <w:iCs/>
        </w:rPr>
        <w:t xml:space="preserve">de </w:t>
      </w:r>
      <w:r w:rsidRPr="00DB6A55">
        <w:rPr>
          <w:rFonts w:ascii="Bookman Old Style" w:hAnsi="Bookman Old Style"/>
          <w:b w:val="0"/>
          <w:iCs/>
        </w:rPr>
        <w:t>defensa</w:t>
      </w:r>
      <w:r w:rsidR="00DB6A55">
        <w:rPr>
          <w:rFonts w:ascii="Bookman Old Style" w:hAnsi="Bookman Old Style"/>
          <w:b w:val="0"/>
          <w:iCs/>
        </w:rPr>
        <w:t xml:space="preserve"> y al debido proceso.</w:t>
      </w:r>
      <w:r w:rsidRPr="00DB6A55">
        <w:rPr>
          <w:rFonts w:ascii="Bookman Old Style" w:hAnsi="Bookman Old Style"/>
          <w:b w:val="0"/>
          <w:iCs/>
        </w:rPr>
        <w:t xml:space="preserve"> </w:t>
      </w:r>
      <w:r w:rsidR="00DB6A55">
        <w:rPr>
          <w:rFonts w:ascii="Bookman Old Style" w:hAnsi="Bookman Old Style"/>
          <w:b w:val="0"/>
          <w:iCs/>
        </w:rPr>
        <w:t>S</w:t>
      </w:r>
      <w:r w:rsidRPr="00DB6A55">
        <w:rPr>
          <w:rFonts w:ascii="Bookman Old Style" w:hAnsi="Bookman Old Style"/>
          <w:b w:val="0"/>
          <w:iCs/>
        </w:rPr>
        <w:t>in embargo, como se precisará</w:t>
      </w:r>
      <w:r w:rsidR="00DB6A55">
        <w:rPr>
          <w:rFonts w:ascii="Bookman Old Style" w:hAnsi="Bookman Old Style"/>
          <w:b w:val="0"/>
          <w:iCs/>
        </w:rPr>
        <w:t xml:space="preserve"> más adelante,</w:t>
      </w:r>
      <w:r w:rsidRPr="00DB6A55">
        <w:rPr>
          <w:rFonts w:ascii="Bookman Old Style" w:hAnsi="Bookman Old Style"/>
          <w:b w:val="0"/>
          <w:iCs/>
        </w:rPr>
        <w:t xml:space="preserve"> la notificación se ejerció debidamente para EP</w:t>
      </w:r>
      <w:r w:rsidR="00B35DA9">
        <w:rPr>
          <w:rFonts w:ascii="Bookman Old Style" w:hAnsi="Bookman Old Style"/>
          <w:b w:val="0"/>
          <w:iCs/>
        </w:rPr>
        <w:t>M</w:t>
      </w:r>
      <w:r w:rsidRPr="00DB6A55">
        <w:rPr>
          <w:rFonts w:ascii="Bookman Old Style" w:hAnsi="Bookman Old Style"/>
          <w:b w:val="0"/>
          <w:iCs/>
        </w:rPr>
        <w:t>, así como la publicación para terceros interesados (EPM cumplió dos veces el auto que hoy dice le fue notificado en forma indebida).</w:t>
      </w:r>
    </w:p>
    <w:p w:rsidR="00CD2866" w:rsidRPr="00DB6A55" w:rsidRDefault="00CD2866" w:rsidP="00CD2866">
      <w:pPr>
        <w:pStyle w:val="Textoindependiente"/>
        <w:ind w:left="360"/>
        <w:jc w:val="both"/>
        <w:rPr>
          <w:rFonts w:ascii="Bookman Old Style" w:hAnsi="Bookman Old Style"/>
          <w:b w:val="0"/>
          <w:bCs w:val="0"/>
          <w:iCs/>
        </w:rPr>
      </w:pPr>
    </w:p>
    <w:p w:rsidR="00CD2866" w:rsidRPr="00DB6A55" w:rsidRDefault="00CD2866" w:rsidP="00CD2866">
      <w:pPr>
        <w:pStyle w:val="Textoindependiente"/>
        <w:numPr>
          <w:ilvl w:val="0"/>
          <w:numId w:val="23"/>
        </w:numPr>
        <w:jc w:val="both"/>
        <w:rPr>
          <w:rFonts w:ascii="Bookman Old Style" w:hAnsi="Bookman Old Style"/>
          <w:b w:val="0"/>
        </w:rPr>
      </w:pPr>
      <w:r w:rsidRPr="00DB6A55">
        <w:rPr>
          <w:rFonts w:ascii="Bookman Old Style" w:hAnsi="Bookman Old Style"/>
          <w:b w:val="0"/>
          <w:spacing w:val="-5"/>
        </w:rPr>
        <w:t>Iniciada la actuación administrativa, procedió la CREG a poner a disposición de EPM el informe adicional de auditoría de verificación del cronograma de construcción y curva S del proyecto de generación Porce IV, elaborado por SEDIC S.A, lo cual se realizó mediante auto del 7 de julio del 2011, otorgándosele a</w:t>
      </w:r>
      <w:r w:rsidRPr="00DB6A55">
        <w:rPr>
          <w:rFonts w:ascii="Bookman Old Style" w:hAnsi="Bookman Old Style"/>
          <w:b w:val="0"/>
          <w:iCs/>
        </w:rPr>
        <w:t xml:space="preserve"> la empresa un término de 3 días para solicitar complementaciones o aclaraciones, si así lo consideraba.</w:t>
      </w:r>
    </w:p>
    <w:p w:rsidR="00CD2866" w:rsidRPr="00DB6A55" w:rsidRDefault="00CD2866" w:rsidP="00CD2866">
      <w:pPr>
        <w:pStyle w:val="Textoindependiente"/>
        <w:ind w:left="360"/>
        <w:jc w:val="both"/>
        <w:rPr>
          <w:rFonts w:ascii="Bookman Old Style" w:hAnsi="Bookman Old Style"/>
          <w:b w:val="0"/>
          <w:bCs w:val="0"/>
          <w:iCs/>
        </w:rPr>
      </w:pPr>
    </w:p>
    <w:p w:rsidR="00CD2866" w:rsidRPr="00DB6A55" w:rsidRDefault="00CD2866" w:rsidP="00CD2866">
      <w:pPr>
        <w:pStyle w:val="Textoindependiente"/>
        <w:ind w:left="360"/>
        <w:jc w:val="both"/>
        <w:rPr>
          <w:rFonts w:ascii="Bookman Old Style" w:hAnsi="Bookman Old Style"/>
          <w:b w:val="0"/>
        </w:rPr>
      </w:pPr>
      <w:r w:rsidRPr="00DB6A55">
        <w:rPr>
          <w:rFonts w:ascii="Bookman Old Style" w:hAnsi="Bookman Old Style"/>
          <w:b w:val="0"/>
          <w:iCs/>
        </w:rPr>
        <w:t xml:space="preserve">Dicho auto fue notificado mediante estado </w:t>
      </w:r>
      <w:r w:rsidRPr="00DB6A55">
        <w:rPr>
          <w:rFonts w:ascii="Bookman Old Style" w:hAnsi="Bookman Old Style"/>
          <w:b w:val="0"/>
        </w:rPr>
        <w:t>del 8 de julio del 2011, y enviada carta de información, mediante comunicación S-2011-003288 de la misma fecha.</w:t>
      </w:r>
    </w:p>
    <w:p w:rsidR="00CD2866" w:rsidRPr="00DB6A55" w:rsidRDefault="00CD2866" w:rsidP="00CD2866">
      <w:pPr>
        <w:pStyle w:val="Textoindependiente"/>
        <w:ind w:left="360"/>
        <w:jc w:val="both"/>
        <w:rPr>
          <w:rFonts w:ascii="Bookman Old Style" w:hAnsi="Bookman Old Style"/>
          <w:b w:val="0"/>
        </w:rPr>
      </w:pPr>
    </w:p>
    <w:p w:rsidR="00CD2866" w:rsidRPr="00DB6A55" w:rsidRDefault="00CD2866" w:rsidP="00CD2866">
      <w:pPr>
        <w:pStyle w:val="Textoindependiente"/>
        <w:ind w:left="360"/>
        <w:jc w:val="both"/>
        <w:rPr>
          <w:rFonts w:ascii="Bookman Old Style" w:hAnsi="Bookman Old Style"/>
          <w:b w:val="0"/>
        </w:rPr>
      </w:pPr>
      <w:r w:rsidRPr="00DB6A55">
        <w:rPr>
          <w:rFonts w:ascii="Bookman Old Style" w:hAnsi="Bookman Old Style"/>
          <w:b w:val="0"/>
        </w:rPr>
        <w:t>En comunicación dirigida al expediente administrativo</w:t>
      </w:r>
      <w:r w:rsidR="00DB6A55">
        <w:rPr>
          <w:rFonts w:ascii="Bookman Old Style" w:hAnsi="Bookman Old Style"/>
          <w:b w:val="0"/>
        </w:rPr>
        <w:t xml:space="preserve"> 2011-0049</w:t>
      </w:r>
      <w:r w:rsidRPr="00DB6A55">
        <w:rPr>
          <w:rFonts w:ascii="Bookman Old Style" w:hAnsi="Bookman Old Style"/>
          <w:b w:val="0"/>
        </w:rPr>
        <w:t>, del 14 de julio de 2011 con el radicado CREG E-2011-006723, EPM manifestó sobre el informe</w:t>
      </w:r>
      <w:r w:rsidR="00DB6A55">
        <w:rPr>
          <w:rFonts w:ascii="Bookman Old Style" w:hAnsi="Bookman Old Style"/>
          <w:b w:val="0"/>
        </w:rPr>
        <w:t>:</w:t>
      </w:r>
    </w:p>
    <w:p w:rsidR="00CD2866" w:rsidRPr="00BD5E22" w:rsidRDefault="00CD2866" w:rsidP="00CD2866">
      <w:pPr>
        <w:jc w:val="both"/>
        <w:rPr>
          <w:rFonts w:ascii="Ebrima" w:hAnsi="Ebrima" w:cs="Arial"/>
          <w:sz w:val="20"/>
          <w:szCs w:val="20"/>
        </w:rPr>
      </w:pPr>
    </w:p>
    <w:p w:rsidR="00CD2866" w:rsidRPr="00DB6A55" w:rsidRDefault="00CD2866" w:rsidP="00CD2866">
      <w:pPr>
        <w:ind w:left="872" w:right="826"/>
        <w:jc w:val="both"/>
        <w:rPr>
          <w:rFonts w:ascii="Bookman Old Style" w:hAnsi="Bookman Old Style" w:cs="Arial"/>
          <w:i/>
          <w:iCs/>
          <w:sz w:val="22"/>
          <w:szCs w:val="20"/>
        </w:rPr>
      </w:pPr>
      <w:r w:rsidRPr="002E583B">
        <w:rPr>
          <w:rFonts w:ascii="Ebrima" w:hAnsi="Ebrima" w:cs="Arial"/>
          <w:i/>
          <w:iCs/>
          <w:szCs w:val="20"/>
        </w:rPr>
        <w:t xml:space="preserve">“(…) </w:t>
      </w:r>
      <w:r w:rsidRPr="00DB6A55">
        <w:rPr>
          <w:rFonts w:ascii="Bookman Old Style" w:hAnsi="Bookman Old Style" w:cs="Arial"/>
          <w:i/>
          <w:iCs/>
          <w:sz w:val="22"/>
          <w:szCs w:val="20"/>
        </w:rPr>
        <w:t>EPM considera que la conclusión del Auditor tiene un claro sustento en lo expresado en los capítulos 6, 7  y 8 del informe, en los cuales se relacionan los datos y análisis técnicos sobre los contratos y el avance de la obra del proyecto.</w:t>
      </w:r>
    </w:p>
    <w:p w:rsidR="00CD2866" w:rsidRPr="00DB6A55" w:rsidRDefault="00CD2866" w:rsidP="00CD2866">
      <w:pPr>
        <w:ind w:left="872" w:right="826"/>
        <w:jc w:val="both"/>
        <w:rPr>
          <w:rFonts w:ascii="Bookman Old Style" w:hAnsi="Bookman Old Style" w:cs="Arial"/>
          <w:i/>
          <w:iCs/>
          <w:sz w:val="22"/>
          <w:szCs w:val="20"/>
        </w:rPr>
      </w:pPr>
    </w:p>
    <w:p w:rsidR="00CD2866" w:rsidRPr="00DB6A55" w:rsidRDefault="00CD2866" w:rsidP="00CD2866">
      <w:pPr>
        <w:ind w:left="872" w:right="826"/>
        <w:jc w:val="both"/>
        <w:rPr>
          <w:rFonts w:ascii="Bookman Old Style" w:hAnsi="Bookman Old Style" w:cs="Arial"/>
          <w:i/>
          <w:iCs/>
          <w:sz w:val="22"/>
          <w:szCs w:val="20"/>
        </w:rPr>
      </w:pPr>
      <w:r w:rsidRPr="00DB6A55">
        <w:rPr>
          <w:rFonts w:ascii="Bookman Old Style" w:hAnsi="Bookman Old Style" w:cs="Arial"/>
          <w:i/>
          <w:iCs/>
          <w:sz w:val="22"/>
          <w:szCs w:val="20"/>
        </w:rPr>
        <w:t xml:space="preserve">En el capítulo 6, en el que el Auditor especifica el resumen de los contratos de ingeniería y administración, obras de infraestructura vial y explanaciones para campamentos, obras para la construcción de la línea, subestación y campamentos, obras principales y equipos </w:t>
      </w:r>
      <w:r w:rsidRPr="00DB6A55">
        <w:rPr>
          <w:rFonts w:ascii="Bookman Old Style" w:hAnsi="Bookman Old Style" w:cs="Arial"/>
          <w:i/>
          <w:iCs/>
          <w:sz w:val="22"/>
          <w:szCs w:val="20"/>
        </w:rPr>
        <w:lastRenderedPageBreak/>
        <w:t>electromecánicos; el análisis es  correcto teniendo en cuenta la difícil problemática social y de orden público que atraviesa la zona del Proyecto Hidroeléctrico Porce IV, la Junta Directiva de EPM, en su sesión del 7 de diciembre de 2010, tomó la decisión de suspenderlo de manera indefinida, teniendo en cuenta múltiples asuntos críticos que hoy hacen inviable su construcción, lo que conllevo la decisión de suspender y (o) terminar estos contratos.</w:t>
      </w:r>
    </w:p>
    <w:p w:rsidR="00CD2866" w:rsidRPr="00DB6A55" w:rsidRDefault="00CD2866" w:rsidP="00CD2866">
      <w:pPr>
        <w:ind w:left="872" w:right="826"/>
        <w:jc w:val="both"/>
        <w:rPr>
          <w:rFonts w:ascii="Bookman Old Style" w:hAnsi="Bookman Old Style" w:cs="Arial"/>
          <w:i/>
          <w:iCs/>
          <w:sz w:val="22"/>
          <w:szCs w:val="20"/>
        </w:rPr>
      </w:pPr>
    </w:p>
    <w:p w:rsidR="00CD2866" w:rsidRPr="00DB6A55" w:rsidRDefault="00CD2866" w:rsidP="00CD2866">
      <w:pPr>
        <w:ind w:left="872" w:right="826"/>
        <w:jc w:val="both"/>
        <w:rPr>
          <w:rFonts w:ascii="Bookman Old Style" w:hAnsi="Bookman Old Style" w:cs="Arial"/>
          <w:i/>
          <w:iCs/>
          <w:sz w:val="22"/>
          <w:szCs w:val="20"/>
        </w:rPr>
      </w:pPr>
      <w:r w:rsidRPr="00DB6A55">
        <w:rPr>
          <w:rFonts w:ascii="Bookman Old Style" w:hAnsi="Bookman Old Style" w:cs="Arial"/>
          <w:i/>
          <w:iCs/>
          <w:sz w:val="22"/>
          <w:szCs w:val="20"/>
        </w:rPr>
        <w:t>Frente a lo tratado en el capítulo 7, EPM está de acuerdo con lo expresado por el Auditor debido a que como consecuencia de la terminación y (o) suspensión de los diferentes contratos por las razones explicadas en el párrafo anterior, se genera la afectación descrita en el estado de avance de los frentes de obra y el cálculo de la curva S analizados en dicho capitulo.</w:t>
      </w:r>
    </w:p>
    <w:p w:rsidR="00CD2866" w:rsidRPr="00DB6A55" w:rsidRDefault="00CD2866" w:rsidP="00CD2866">
      <w:pPr>
        <w:ind w:left="872" w:right="826"/>
        <w:jc w:val="both"/>
        <w:rPr>
          <w:rFonts w:ascii="Bookman Old Style" w:hAnsi="Bookman Old Style" w:cs="Arial"/>
          <w:i/>
          <w:iCs/>
          <w:sz w:val="22"/>
          <w:szCs w:val="20"/>
        </w:rPr>
      </w:pPr>
    </w:p>
    <w:p w:rsidR="00CD2866" w:rsidRPr="00DB6A55" w:rsidRDefault="00CD2866" w:rsidP="00CD2866">
      <w:pPr>
        <w:ind w:left="872" w:right="826"/>
        <w:jc w:val="both"/>
        <w:rPr>
          <w:rFonts w:ascii="Bookman Old Style" w:hAnsi="Bookman Old Style" w:cs="Arial"/>
          <w:i/>
          <w:iCs/>
          <w:sz w:val="22"/>
          <w:szCs w:val="20"/>
        </w:rPr>
      </w:pPr>
      <w:r w:rsidRPr="00DB6A55">
        <w:rPr>
          <w:rFonts w:ascii="Bookman Old Style" w:hAnsi="Bookman Old Style" w:cs="Arial"/>
          <w:i/>
          <w:iCs/>
          <w:sz w:val="22"/>
          <w:szCs w:val="20"/>
        </w:rPr>
        <w:t>Y en lo que respecta al capítulo 8, EPM estima ajustadas a la realidad las premisas asumidas y la conclusión en el tiempo de atraso de la entrada en operación de las unidades de generación, ya que por la suspensión de los contratos, y después de calcular los tiempos requeridos para terminar con las obras, efectivamente se entra en una situación de atraso de más de 576 días, que conlleva a que no sea posible cumplir con la obligación de entrada en operación del proyecto el 1° de diciembre de 2015 (…)”.</w:t>
      </w:r>
    </w:p>
    <w:p w:rsidR="00CD2866" w:rsidRDefault="00CD2866" w:rsidP="00CD2866">
      <w:pPr>
        <w:pStyle w:val="Textoindependiente"/>
        <w:ind w:left="360"/>
        <w:jc w:val="both"/>
        <w:rPr>
          <w:rFonts w:ascii="Ebrima" w:hAnsi="Ebrima"/>
        </w:rPr>
      </w:pPr>
    </w:p>
    <w:p w:rsidR="00CD2866" w:rsidRPr="00DB6A55" w:rsidRDefault="00CD2866" w:rsidP="00CD2866">
      <w:pPr>
        <w:pStyle w:val="Textoindependiente"/>
        <w:ind w:left="360"/>
        <w:jc w:val="both"/>
        <w:rPr>
          <w:rFonts w:ascii="Bookman Old Style" w:hAnsi="Bookman Old Style"/>
          <w:b w:val="0"/>
        </w:rPr>
      </w:pPr>
      <w:r w:rsidRPr="00DB6A55">
        <w:rPr>
          <w:rFonts w:ascii="Bookman Old Style" w:hAnsi="Bookman Old Style"/>
          <w:b w:val="0"/>
        </w:rPr>
        <w:t xml:space="preserve">Nótese como </w:t>
      </w:r>
      <w:r w:rsidR="00DB6A55">
        <w:rPr>
          <w:rFonts w:ascii="Bookman Old Style" w:hAnsi="Bookman Old Style"/>
          <w:b w:val="0"/>
        </w:rPr>
        <w:t>durante el curso de la actuación administrativa</w:t>
      </w:r>
      <w:r w:rsidR="006B6CA4">
        <w:rPr>
          <w:rFonts w:ascii="Bookman Old Style" w:hAnsi="Bookman Old Style"/>
          <w:b w:val="0"/>
        </w:rPr>
        <w:t>,</w:t>
      </w:r>
      <w:r w:rsidR="00DB6A55">
        <w:rPr>
          <w:rFonts w:ascii="Bookman Old Style" w:hAnsi="Bookman Old Style"/>
          <w:b w:val="0"/>
        </w:rPr>
        <w:t xml:space="preserve"> </w:t>
      </w:r>
      <w:r w:rsidRPr="00DB6A55">
        <w:rPr>
          <w:rFonts w:ascii="Bookman Old Style" w:hAnsi="Bookman Old Style"/>
          <w:b w:val="0"/>
        </w:rPr>
        <w:t>EPM</w:t>
      </w:r>
      <w:r w:rsidR="00DB6A55">
        <w:rPr>
          <w:rFonts w:ascii="Bookman Old Style" w:hAnsi="Bookman Old Style"/>
          <w:b w:val="0"/>
        </w:rPr>
        <w:t xml:space="preserve"> tuvo la posibilidad de ejercer su derecho de defensa y contradicción, </w:t>
      </w:r>
      <w:r w:rsidRPr="00DB6A55">
        <w:rPr>
          <w:rFonts w:ascii="Bookman Old Style" w:hAnsi="Bookman Old Style"/>
          <w:b w:val="0"/>
        </w:rPr>
        <w:t>manifesta</w:t>
      </w:r>
      <w:r w:rsidR="00DB6A55">
        <w:rPr>
          <w:rFonts w:ascii="Bookman Old Style" w:hAnsi="Bookman Old Style"/>
          <w:b w:val="0"/>
        </w:rPr>
        <w:t xml:space="preserve">ndo </w:t>
      </w:r>
      <w:r w:rsidRPr="00DB6A55">
        <w:rPr>
          <w:rFonts w:ascii="Bookman Old Style" w:hAnsi="Bookman Old Style"/>
          <w:b w:val="0"/>
        </w:rPr>
        <w:t xml:space="preserve"> lo anterior.</w:t>
      </w:r>
    </w:p>
    <w:p w:rsidR="00CD2866" w:rsidRDefault="00CD2866" w:rsidP="00CD2866">
      <w:pPr>
        <w:pStyle w:val="Textoindependiente"/>
        <w:jc w:val="both"/>
        <w:rPr>
          <w:rFonts w:ascii="Ebrima" w:hAnsi="Ebrima"/>
        </w:rPr>
      </w:pPr>
    </w:p>
    <w:p w:rsidR="00CD2866" w:rsidRPr="00DB6A55" w:rsidRDefault="00CD2866" w:rsidP="00CD2866">
      <w:pPr>
        <w:pStyle w:val="Textoindependiente"/>
        <w:numPr>
          <w:ilvl w:val="0"/>
          <w:numId w:val="23"/>
        </w:numPr>
        <w:jc w:val="both"/>
        <w:rPr>
          <w:rFonts w:ascii="Bookman Old Style" w:hAnsi="Bookman Old Style"/>
          <w:b w:val="0"/>
        </w:rPr>
      </w:pPr>
      <w:r w:rsidRPr="00DB6A55">
        <w:rPr>
          <w:rFonts w:ascii="Bookman Old Style" w:hAnsi="Bookman Old Style"/>
          <w:b w:val="0"/>
        </w:rPr>
        <w:t>EPM revisó el expediente administrativo el 14 de julio del año en curso, según se demuestra en la constancia de acceso a la información del expediente (radicado CREG I-2011-002522).</w:t>
      </w:r>
    </w:p>
    <w:p w:rsidR="00CD2866" w:rsidRPr="00BD5E22" w:rsidRDefault="00CD2866" w:rsidP="00CD2866">
      <w:pPr>
        <w:jc w:val="both"/>
        <w:rPr>
          <w:rFonts w:ascii="Ebrima" w:hAnsi="Ebrima" w:cs="Arial"/>
        </w:rPr>
      </w:pPr>
    </w:p>
    <w:p w:rsidR="00CD2866" w:rsidRPr="00F004E0" w:rsidRDefault="00CD2866" w:rsidP="00CD2866">
      <w:pPr>
        <w:pStyle w:val="Textoindependiente"/>
        <w:numPr>
          <w:ilvl w:val="0"/>
          <w:numId w:val="23"/>
        </w:numPr>
        <w:jc w:val="both"/>
        <w:rPr>
          <w:rFonts w:ascii="Bookman Old Style" w:hAnsi="Bookman Old Style"/>
          <w:b w:val="0"/>
        </w:rPr>
      </w:pPr>
      <w:r w:rsidRPr="00F004E0">
        <w:rPr>
          <w:rFonts w:ascii="Bookman Old Style" w:hAnsi="Bookman Old Style"/>
          <w:b w:val="0"/>
        </w:rPr>
        <w:t>Mediante auto del 29 de julio del 2011, la CREG solicitó a EPM manifestar su interés para que las comunicaciones enviadas a la Comisión, con los radicados CREG E-2010-012362, E-2011-000206 y E-2011-001370, anteriores a esta actuación administrativa, fueran o no consideradas en la</w:t>
      </w:r>
      <w:r w:rsidR="00B35DA9">
        <w:rPr>
          <w:rFonts w:ascii="Bookman Old Style" w:hAnsi="Bookman Old Style"/>
          <w:b w:val="0"/>
        </w:rPr>
        <w:t xml:space="preserve"> actuación 2011-0049</w:t>
      </w:r>
      <w:r w:rsidRPr="00F004E0">
        <w:rPr>
          <w:rFonts w:ascii="Bookman Old Style" w:hAnsi="Bookman Old Style"/>
          <w:b w:val="0"/>
        </w:rPr>
        <w:t>, otorgándosele un plazo de 3 días para realizar dicha manifestación (mismo plazo otorgado para realizar comentarios al informe adicional de auditoria).</w:t>
      </w:r>
    </w:p>
    <w:p w:rsidR="00CD2866" w:rsidRPr="00F004E0" w:rsidRDefault="00CD2866" w:rsidP="00CD2866">
      <w:pPr>
        <w:pStyle w:val="Textoindependiente"/>
        <w:ind w:left="360"/>
        <w:jc w:val="both"/>
        <w:rPr>
          <w:rFonts w:ascii="Bookman Old Style" w:hAnsi="Bookman Old Style"/>
          <w:b w:val="0"/>
        </w:rPr>
      </w:pPr>
    </w:p>
    <w:p w:rsidR="00CD2866" w:rsidRPr="00F004E0" w:rsidRDefault="00CD2866" w:rsidP="00CD2866">
      <w:pPr>
        <w:pStyle w:val="Textoindependiente"/>
        <w:ind w:left="360"/>
        <w:jc w:val="both"/>
        <w:rPr>
          <w:rFonts w:ascii="Bookman Old Style" w:hAnsi="Bookman Old Style"/>
          <w:b w:val="0"/>
        </w:rPr>
      </w:pPr>
      <w:r w:rsidRPr="00F004E0">
        <w:rPr>
          <w:rFonts w:ascii="Bookman Old Style" w:hAnsi="Bookman Old Style"/>
          <w:b w:val="0"/>
        </w:rPr>
        <w:t>Dicho auto fue notificado mediante estado del 1 de agosto del 2011 y enviada comunicación sobre el asunto, mediante carta con el radicado CREG S-2011-003532 del 29 de julio del presente año.</w:t>
      </w:r>
    </w:p>
    <w:p w:rsidR="00CD2866" w:rsidRPr="00F004E0" w:rsidRDefault="00CD2866" w:rsidP="00CD2866">
      <w:pPr>
        <w:pStyle w:val="Textoindependiente"/>
        <w:ind w:left="360"/>
        <w:jc w:val="both"/>
        <w:rPr>
          <w:rFonts w:ascii="Bookman Old Style" w:hAnsi="Bookman Old Style"/>
          <w:b w:val="0"/>
        </w:rPr>
      </w:pPr>
    </w:p>
    <w:p w:rsidR="00CD2866" w:rsidRPr="00F004E0" w:rsidRDefault="00CD2866" w:rsidP="00CD2866">
      <w:pPr>
        <w:pStyle w:val="Textoindependiente"/>
        <w:ind w:left="360"/>
        <w:jc w:val="both"/>
        <w:rPr>
          <w:rFonts w:ascii="Bookman Old Style" w:hAnsi="Bookman Old Style"/>
          <w:b w:val="0"/>
        </w:rPr>
      </w:pPr>
      <w:r w:rsidRPr="00F004E0">
        <w:rPr>
          <w:rFonts w:ascii="Bookman Old Style" w:hAnsi="Bookman Old Style"/>
          <w:b w:val="0"/>
        </w:rPr>
        <w:t>Vencido dicho término, EPM no manifestó interés alguno sobre la materia desechando el espacio procesal asignado para su respuesta, guardando silencio sobre la información solicitada.</w:t>
      </w:r>
    </w:p>
    <w:p w:rsidR="00CD2866" w:rsidRPr="0094007D" w:rsidRDefault="00CD2866" w:rsidP="00CD2866">
      <w:pPr>
        <w:pStyle w:val="Textoindependiente"/>
        <w:ind w:left="360"/>
        <w:jc w:val="both"/>
        <w:rPr>
          <w:rFonts w:ascii="Ebrima" w:hAnsi="Ebrima"/>
        </w:rPr>
      </w:pPr>
    </w:p>
    <w:p w:rsidR="00CD2866" w:rsidRPr="00F004E0" w:rsidRDefault="00F004E0" w:rsidP="00CD2866">
      <w:pPr>
        <w:pStyle w:val="Textoindependiente"/>
        <w:ind w:left="360"/>
        <w:jc w:val="both"/>
        <w:rPr>
          <w:rFonts w:ascii="Bookman Old Style" w:hAnsi="Bookman Old Style"/>
          <w:b w:val="0"/>
        </w:rPr>
      </w:pPr>
      <w:r w:rsidRPr="00F004E0">
        <w:rPr>
          <w:rFonts w:ascii="Bookman Old Style" w:hAnsi="Bookman Old Style"/>
          <w:b w:val="0"/>
        </w:rPr>
        <w:t>Esta solicitud se realizó</w:t>
      </w:r>
      <w:r w:rsidR="00CD2866" w:rsidRPr="00F004E0">
        <w:rPr>
          <w:rFonts w:ascii="Bookman Old Style" w:hAnsi="Bookman Old Style"/>
          <w:b w:val="0"/>
        </w:rPr>
        <w:t xml:space="preserve">, porque en dichas comunicaciones EPM solicitaba a la Comisión, el inicio de una actuación administrativa para declarar la existencia de un evento eximente de responsabilidad, en el caso de Porce IV. Solicitudes anteriores e independientes a la actuación administrativa, las cuales  habían sido tramitadas y resultas por la CREG (Petición inicial con </w:t>
      </w:r>
      <w:r w:rsidR="00CD2866" w:rsidRPr="00F004E0">
        <w:rPr>
          <w:rFonts w:ascii="Bookman Old Style" w:hAnsi="Bookman Old Style"/>
          <w:b w:val="0"/>
        </w:rPr>
        <w:lastRenderedPageBreak/>
        <w:t>el Radicado CREG E-2010-012362, complementada por las comunicación con el Rad. CREG E-2011-000206 E-2011-001370 y E-2011-006348, respuesta realizada me</w:t>
      </w:r>
      <w:r w:rsidR="006B6CA4">
        <w:rPr>
          <w:rFonts w:ascii="Bookman Old Style" w:hAnsi="Bookman Old Style"/>
          <w:b w:val="0"/>
        </w:rPr>
        <w:t>diante oficio CREG S-2011-00325</w:t>
      </w:r>
      <w:r w:rsidR="00CD2866" w:rsidRPr="00F004E0">
        <w:rPr>
          <w:rFonts w:ascii="Bookman Old Style" w:hAnsi="Bookman Old Style"/>
          <w:b w:val="0"/>
        </w:rPr>
        <w:t>).</w:t>
      </w:r>
    </w:p>
    <w:p w:rsidR="00CD2866" w:rsidRPr="00F004E0" w:rsidRDefault="00CD2866" w:rsidP="00CD2866">
      <w:pPr>
        <w:pStyle w:val="Textoindependiente"/>
        <w:ind w:left="360"/>
        <w:jc w:val="both"/>
        <w:rPr>
          <w:rFonts w:ascii="Bookman Old Style" w:hAnsi="Bookman Old Style"/>
        </w:rPr>
      </w:pPr>
    </w:p>
    <w:p w:rsidR="00CD2866" w:rsidRPr="00F004E0" w:rsidRDefault="00CD2866" w:rsidP="00CD2866">
      <w:pPr>
        <w:pStyle w:val="Textoindependiente"/>
        <w:ind w:left="360"/>
        <w:jc w:val="both"/>
        <w:rPr>
          <w:rFonts w:ascii="Bookman Old Style" w:hAnsi="Bookman Old Style"/>
          <w:b w:val="0"/>
        </w:rPr>
      </w:pPr>
      <w:r w:rsidRPr="00F004E0">
        <w:rPr>
          <w:rFonts w:ascii="Bookman Old Style" w:hAnsi="Bookman Old Style"/>
          <w:b w:val="0"/>
        </w:rPr>
        <w:t>En virtud de lo anterior y para efectos del trámite de la actuación administrativa, dicho plazo transcurrió sin que la CREG recibiera manifestación o comunicación sobre el asunto, por lo cual dichas comunicaciones no fueron tenidas en cuenta en la Resolución CREG 104 de 2011</w:t>
      </w:r>
      <w:r w:rsidR="00F004E0" w:rsidRPr="00F004E0">
        <w:rPr>
          <w:rFonts w:ascii="Bookman Old Style" w:hAnsi="Bookman Old Style"/>
          <w:b w:val="0"/>
        </w:rPr>
        <w:t>, aprobada el 19 de agosto del 2011</w:t>
      </w:r>
      <w:r w:rsidRPr="00F004E0">
        <w:rPr>
          <w:rFonts w:ascii="Bookman Old Style" w:hAnsi="Bookman Old Style"/>
          <w:b w:val="0"/>
        </w:rPr>
        <w:t xml:space="preserve">. </w:t>
      </w:r>
    </w:p>
    <w:p w:rsidR="00CD2866" w:rsidRPr="00F004E0" w:rsidRDefault="00CD2866" w:rsidP="00CD2866">
      <w:pPr>
        <w:pStyle w:val="Textoindependiente"/>
        <w:ind w:left="360"/>
        <w:jc w:val="both"/>
        <w:rPr>
          <w:rFonts w:ascii="Bookman Old Style" w:hAnsi="Bookman Old Style"/>
          <w:b w:val="0"/>
        </w:rPr>
      </w:pPr>
    </w:p>
    <w:p w:rsidR="00CD2866" w:rsidRPr="00F004E0" w:rsidRDefault="00CD2866" w:rsidP="00CD2866">
      <w:pPr>
        <w:pStyle w:val="Textoindependiente"/>
        <w:numPr>
          <w:ilvl w:val="0"/>
          <w:numId w:val="23"/>
        </w:numPr>
        <w:jc w:val="both"/>
        <w:rPr>
          <w:rFonts w:ascii="Bookman Old Style" w:hAnsi="Bookman Old Style"/>
          <w:b w:val="0"/>
          <w:bCs w:val="0"/>
        </w:rPr>
      </w:pPr>
      <w:r w:rsidRPr="00F004E0">
        <w:rPr>
          <w:rFonts w:ascii="Bookman Old Style" w:hAnsi="Bookman Old Style"/>
          <w:b w:val="0"/>
        </w:rPr>
        <w:t>Durante la actuación se concedieron diferentes oportunidades para el ejercicio del derecho a la defensa, desde el traslado del informe de auditoría hasta la solicitud de manifestación del consentimiento de EPM, para considerar ciertas com</w:t>
      </w:r>
      <w:r w:rsidR="008759A8">
        <w:rPr>
          <w:rFonts w:ascii="Bookman Old Style" w:hAnsi="Bookman Old Style"/>
          <w:b w:val="0"/>
        </w:rPr>
        <w:t xml:space="preserve">unicaciones relacionadas con el </w:t>
      </w:r>
      <w:r w:rsidRPr="00F004E0">
        <w:rPr>
          <w:rFonts w:ascii="Bookman Old Style" w:hAnsi="Bookman Old Style"/>
          <w:b w:val="0"/>
        </w:rPr>
        <w:t>proyecto hidroeléctrico de Porce IV.</w:t>
      </w:r>
    </w:p>
    <w:p w:rsidR="00CD2866" w:rsidRPr="00F004E0" w:rsidRDefault="00CD2866" w:rsidP="00CD2866">
      <w:pPr>
        <w:pStyle w:val="Textoindependiente"/>
        <w:ind w:left="360"/>
        <w:jc w:val="both"/>
        <w:rPr>
          <w:rFonts w:ascii="Bookman Old Style" w:hAnsi="Bookman Old Style"/>
          <w:b w:val="0"/>
          <w:bCs w:val="0"/>
        </w:rPr>
      </w:pPr>
    </w:p>
    <w:p w:rsidR="00CD2866" w:rsidRPr="00A316B5" w:rsidRDefault="00CD2866" w:rsidP="00CD2866">
      <w:pPr>
        <w:pStyle w:val="Textoindependiente"/>
        <w:ind w:left="360"/>
        <w:jc w:val="both"/>
        <w:rPr>
          <w:rFonts w:ascii="Bookman Old Style" w:hAnsi="Bookman Old Style"/>
          <w:b w:val="0"/>
          <w:spacing w:val="-5"/>
        </w:rPr>
      </w:pPr>
      <w:r w:rsidRPr="00F004E0">
        <w:rPr>
          <w:rFonts w:ascii="Bookman Old Style" w:hAnsi="Bookman Old Style"/>
          <w:b w:val="0"/>
        </w:rPr>
        <w:t xml:space="preserve">Así mismo, la CREG no recibió petición alguna por parte de EPM durante el curso de esta actuación para la práctica de pruebas o comunicaciones de fondo diferente, a la aceptación del informe adicional </w:t>
      </w:r>
      <w:r w:rsidRPr="00F004E0">
        <w:rPr>
          <w:rFonts w:ascii="Bookman Old Style" w:hAnsi="Bookman Old Style"/>
          <w:b w:val="0"/>
          <w:spacing w:val="-5"/>
        </w:rPr>
        <w:t xml:space="preserve">de auditoría de </w:t>
      </w:r>
      <w:r w:rsidRPr="00A316B5">
        <w:rPr>
          <w:rFonts w:ascii="Bookman Old Style" w:hAnsi="Bookman Old Style"/>
          <w:b w:val="0"/>
          <w:spacing w:val="-5"/>
        </w:rPr>
        <w:t>verificación del cronograma de construcción y curva S del proyecto de generación Porce IV.</w:t>
      </w:r>
    </w:p>
    <w:p w:rsidR="00CD2866" w:rsidRPr="00A316B5" w:rsidRDefault="00CD2866" w:rsidP="00CD2866">
      <w:pPr>
        <w:pStyle w:val="Textoindependiente"/>
        <w:ind w:left="360"/>
        <w:jc w:val="both"/>
        <w:rPr>
          <w:rFonts w:ascii="Bookman Old Style" w:hAnsi="Bookman Old Style"/>
          <w:b w:val="0"/>
          <w:spacing w:val="-5"/>
        </w:rPr>
      </w:pPr>
    </w:p>
    <w:p w:rsidR="00CD2866" w:rsidRPr="00A316B5" w:rsidRDefault="00CD2866" w:rsidP="00CD2866">
      <w:pPr>
        <w:pStyle w:val="Textoindependiente"/>
        <w:numPr>
          <w:ilvl w:val="0"/>
          <w:numId w:val="23"/>
        </w:numPr>
        <w:jc w:val="both"/>
        <w:rPr>
          <w:rFonts w:ascii="Bookman Old Style" w:hAnsi="Bookman Old Style"/>
          <w:b w:val="0"/>
        </w:rPr>
      </w:pPr>
      <w:r w:rsidRPr="00A316B5">
        <w:rPr>
          <w:rFonts w:ascii="Bookman Old Style" w:hAnsi="Bookman Old Style"/>
          <w:b w:val="0"/>
          <w:iCs/>
          <w:color w:val="000000" w:themeColor="text1"/>
        </w:rPr>
        <w:t>E</w:t>
      </w:r>
      <w:r w:rsidRPr="00A316B5">
        <w:rPr>
          <w:rFonts w:ascii="Bookman Old Style" w:hAnsi="Bookman Old Style"/>
          <w:b w:val="0"/>
        </w:rPr>
        <w:t>n Sesión No. 495 del 19 de agosto de 2011, la Comisión de Regulación de Energía y Gas analizó la presente actuación administrativa y por lo tanto se expidió la Resolución CREG 104 de agosto 19 de 2011, la cual en su parte resolutiva expuso:</w:t>
      </w:r>
    </w:p>
    <w:p w:rsidR="00CD2866" w:rsidRPr="00A316B5" w:rsidRDefault="00CD2866" w:rsidP="00CD2866">
      <w:pPr>
        <w:jc w:val="both"/>
        <w:rPr>
          <w:rFonts w:ascii="Bookman Old Style" w:hAnsi="Bookman Old Style" w:cs="Arial"/>
          <w:iCs/>
        </w:rPr>
      </w:pPr>
    </w:p>
    <w:p w:rsidR="00CD2866" w:rsidRPr="00A316B5" w:rsidRDefault="00CD2866" w:rsidP="00CD2866">
      <w:pPr>
        <w:ind w:left="872" w:right="826"/>
        <w:jc w:val="both"/>
        <w:rPr>
          <w:rFonts w:ascii="Bookman Old Style" w:hAnsi="Bookman Old Style" w:cs="Arial"/>
          <w:i/>
          <w:iCs/>
          <w:szCs w:val="20"/>
        </w:rPr>
      </w:pPr>
      <w:r w:rsidRPr="00A316B5">
        <w:rPr>
          <w:rFonts w:ascii="Bookman Old Style" w:hAnsi="Bookman Old Style" w:cs="Arial"/>
          <w:i/>
          <w:iCs/>
          <w:szCs w:val="20"/>
        </w:rPr>
        <w:t>“</w:t>
      </w:r>
      <w:r w:rsidRPr="00A316B5">
        <w:rPr>
          <w:rFonts w:ascii="Bookman Old Style" w:hAnsi="Bookman Old Style" w:cs="Arial"/>
          <w:b/>
          <w:i/>
          <w:iCs/>
          <w:szCs w:val="20"/>
        </w:rPr>
        <w:t>Artículo 1.</w:t>
      </w:r>
      <w:r w:rsidRPr="00A316B5">
        <w:rPr>
          <w:rFonts w:ascii="Bookman Old Style" w:hAnsi="Bookman Old Style" w:cs="Arial"/>
          <w:i/>
          <w:iCs/>
          <w:szCs w:val="20"/>
        </w:rPr>
        <w:tab/>
        <w:t>Declarar que se han configurado los supuestos determinados en el artículo 9 de la Resolución CREG 071 de 2006 (modificado por el artículo 13 de la Resolución CREG 061 de 2007), y por lo tanto la existencia de un incumplimiento grave e insalvable por parte de Empresas Públicas de Medellín S.A E.S.P, en lo referente al proyecto de generación hidroeléctrico Porce IV, toda vez que el informe de auditoría, aceptado por EPM, concluye que existe un atraso mayor a un año, contado a partir de la fecha de inicio del periodo de vigencia de la obligación.</w:t>
      </w:r>
    </w:p>
    <w:p w:rsidR="00CD2866" w:rsidRPr="00A316B5" w:rsidRDefault="00CD2866" w:rsidP="00CD2866">
      <w:pPr>
        <w:ind w:left="708"/>
        <w:jc w:val="both"/>
        <w:rPr>
          <w:rFonts w:ascii="Bookman Old Style" w:hAnsi="Bookman Old Style" w:cs="Arial"/>
          <w:i/>
          <w:iCs/>
          <w:szCs w:val="20"/>
        </w:rPr>
      </w:pPr>
    </w:p>
    <w:p w:rsidR="00CD2866" w:rsidRPr="00A316B5" w:rsidRDefault="00CD2866" w:rsidP="00CD2866">
      <w:pPr>
        <w:ind w:left="872" w:right="826"/>
        <w:jc w:val="both"/>
        <w:rPr>
          <w:rFonts w:ascii="Bookman Old Style" w:hAnsi="Bookman Old Style" w:cs="Arial"/>
          <w:i/>
          <w:iCs/>
          <w:szCs w:val="20"/>
        </w:rPr>
      </w:pPr>
      <w:r w:rsidRPr="00A316B5">
        <w:rPr>
          <w:rFonts w:ascii="Bookman Old Style" w:hAnsi="Bookman Old Style" w:cs="Arial"/>
          <w:b/>
          <w:i/>
          <w:iCs/>
          <w:szCs w:val="20"/>
        </w:rPr>
        <w:t>Artículo 2.</w:t>
      </w:r>
      <w:r w:rsidRPr="00A316B5">
        <w:rPr>
          <w:rFonts w:ascii="Bookman Old Style" w:hAnsi="Bookman Old Style" w:cs="Arial"/>
          <w:i/>
          <w:iCs/>
          <w:szCs w:val="20"/>
        </w:rPr>
        <w:tab/>
        <w:t xml:space="preserve">Establecer como efecto del incumplimiento grave e insalvable las consecuencias previstas en el artículo 9 de la Resolución CREG 071 de 2006 (modificado por el artículo 13 de la Resolución CREG 061 de 2007), esto es la  ejecución de las garantías del proyecto Porce IV, y la pérdida de la asignación de la obligación de energía en firme y de la remuneración asociada a ella, si hubiere lugar esta. </w:t>
      </w:r>
    </w:p>
    <w:p w:rsidR="00CD2866" w:rsidRPr="00A316B5" w:rsidRDefault="00CD2866" w:rsidP="00CD2866">
      <w:pPr>
        <w:ind w:left="708"/>
        <w:jc w:val="both"/>
        <w:rPr>
          <w:rFonts w:ascii="Bookman Old Style" w:hAnsi="Bookman Old Style" w:cs="Arial"/>
          <w:i/>
          <w:iCs/>
          <w:szCs w:val="20"/>
        </w:rPr>
      </w:pPr>
    </w:p>
    <w:p w:rsidR="00CD2866" w:rsidRPr="00A316B5" w:rsidRDefault="00CD2866" w:rsidP="00CD2866">
      <w:pPr>
        <w:ind w:left="872" w:right="826"/>
        <w:jc w:val="both"/>
        <w:rPr>
          <w:rFonts w:ascii="Bookman Old Style" w:hAnsi="Bookman Old Style" w:cs="Arial"/>
          <w:b/>
          <w:i/>
          <w:iCs/>
          <w:szCs w:val="20"/>
        </w:rPr>
      </w:pPr>
      <w:r w:rsidRPr="00A316B5">
        <w:rPr>
          <w:rFonts w:ascii="Bookman Old Style" w:hAnsi="Bookman Old Style" w:cs="Arial"/>
          <w:b/>
          <w:i/>
          <w:iCs/>
          <w:szCs w:val="20"/>
        </w:rPr>
        <w:t>Artículo 3.</w:t>
      </w:r>
      <w:r w:rsidRPr="00A316B5">
        <w:rPr>
          <w:rFonts w:ascii="Bookman Old Style" w:hAnsi="Bookman Old Style" w:cs="Arial"/>
          <w:b/>
          <w:i/>
          <w:iCs/>
          <w:szCs w:val="20"/>
        </w:rPr>
        <w:tab/>
      </w:r>
      <w:r w:rsidRPr="00A316B5">
        <w:rPr>
          <w:rFonts w:ascii="Bookman Old Style" w:hAnsi="Bookman Old Style" w:cs="Arial"/>
          <w:i/>
          <w:iCs/>
          <w:szCs w:val="20"/>
        </w:rPr>
        <w:t>En firme la presente decisión, esta deberá ser comunicada al ASIC, para que este adopte las medidas correspondientes de acuerdo a lo determinado por la Resolución 071 de 2006, y las demás normas que la modifiquen, adicionen o sustituyan.</w:t>
      </w:r>
    </w:p>
    <w:p w:rsidR="00CD2866" w:rsidRPr="00A316B5" w:rsidRDefault="00CD2866" w:rsidP="00CD2866">
      <w:pPr>
        <w:ind w:left="872" w:right="826"/>
        <w:jc w:val="both"/>
        <w:rPr>
          <w:rFonts w:ascii="Bookman Old Style" w:hAnsi="Bookman Old Style" w:cs="Arial"/>
          <w:b/>
          <w:i/>
          <w:iCs/>
          <w:szCs w:val="20"/>
        </w:rPr>
      </w:pPr>
    </w:p>
    <w:p w:rsidR="0043076B" w:rsidRDefault="0043076B" w:rsidP="00CD2866">
      <w:pPr>
        <w:ind w:left="872" w:right="826"/>
        <w:jc w:val="both"/>
        <w:rPr>
          <w:rFonts w:ascii="Bookman Old Style" w:hAnsi="Bookman Old Style" w:cs="Arial"/>
          <w:b/>
          <w:i/>
          <w:iCs/>
          <w:szCs w:val="20"/>
        </w:rPr>
      </w:pPr>
    </w:p>
    <w:p w:rsidR="00CD2866" w:rsidRPr="00A316B5" w:rsidRDefault="00CD2866" w:rsidP="00CD2866">
      <w:pPr>
        <w:ind w:left="872" w:right="826"/>
        <w:jc w:val="both"/>
        <w:rPr>
          <w:rFonts w:ascii="Bookman Old Style" w:hAnsi="Bookman Old Style" w:cs="Arial"/>
          <w:b/>
          <w:i/>
          <w:iCs/>
          <w:szCs w:val="20"/>
        </w:rPr>
      </w:pPr>
      <w:r w:rsidRPr="00A316B5">
        <w:rPr>
          <w:rFonts w:ascii="Bookman Old Style" w:hAnsi="Bookman Old Style" w:cs="Arial"/>
          <w:b/>
          <w:i/>
          <w:iCs/>
          <w:szCs w:val="20"/>
        </w:rPr>
        <w:t>Artículo 4.</w:t>
      </w:r>
      <w:r w:rsidRPr="00A316B5">
        <w:rPr>
          <w:rFonts w:ascii="Bookman Old Style" w:hAnsi="Bookman Old Style" w:cs="Arial"/>
          <w:b/>
          <w:i/>
          <w:iCs/>
          <w:szCs w:val="20"/>
        </w:rPr>
        <w:tab/>
      </w:r>
      <w:r w:rsidRPr="00A316B5">
        <w:rPr>
          <w:rFonts w:ascii="Bookman Old Style" w:hAnsi="Bookman Old Style" w:cs="Arial"/>
          <w:i/>
          <w:iCs/>
          <w:szCs w:val="20"/>
        </w:rPr>
        <w:t>La presente Resolución deberá notificarse personalmente al representante legal de Empresas Pública de Medellín S.A E.S.P. y publicarse en el Diario Oficial. Contra las disposiciones contenidas en esta Resolución procede el Recurso de Reposición, el cual podrá interponerse ante la Dirección Ejecutiva de la CREG dentro de los cinco (5) días hábiles siguientes a la fecha de su notificación.”</w:t>
      </w:r>
    </w:p>
    <w:p w:rsidR="00CD2866" w:rsidRPr="00CE0138" w:rsidRDefault="00CD2866" w:rsidP="00CD2866">
      <w:pPr>
        <w:jc w:val="both"/>
        <w:rPr>
          <w:rFonts w:ascii="Ebrima" w:hAnsi="Ebrima" w:cs="Arial"/>
          <w:spacing w:val="-5"/>
          <w:sz w:val="22"/>
        </w:rPr>
      </w:pPr>
    </w:p>
    <w:p w:rsidR="00F004E0" w:rsidRPr="00A316B5" w:rsidRDefault="00F004E0" w:rsidP="00CD2866">
      <w:pPr>
        <w:pStyle w:val="Textoindependiente"/>
        <w:numPr>
          <w:ilvl w:val="0"/>
          <w:numId w:val="23"/>
        </w:numPr>
        <w:jc w:val="both"/>
        <w:rPr>
          <w:rFonts w:ascii="Bookman Old Style" w:hAnsi="Bookman Old Style"/>
          <w:b w:val="0"/>
          <w:spacing w:val="-5"/>
        </w:rPr>
      </w:pPr>
      <w:r w:rsidRPr="00A316B5">
        <w:rPr>
          <w:rFonts w:ascii="Bookman Old Style" w:hAnsi="Bookman Old Style"/>
          <w:b w:val="0"/>
          <w:spacing w:val="-5"/>
        </w:rPr>
        <w:t xml:space="preserve">Mediante comunicación del 4 de octubre del 2011, bajo el Rad. </w:t>
      </w:r>
      <w:r w:rsidR="00A316B5" w:rsidRPr="00A316B5">
        <w:rPr>
          <w:rFonts w:ascii="Bookman Old Style" w:hAnsi="Bookman Old Style"/>
          <w:b w:val="0"/>
          <w:spacing w:val="-5"/>
        </w:rPr>
        <w:t>CREG E-201100946, EPM solicito:</w:t>
      </w:r>
    </w:p>
    <w:p w:rsidR="00A316B5" w:rsidRPr="00A316B5" w:rsidRDefault="00A316B5" w:rsidP="00A316B5">
      <w:pPr>
        <w:ind w:left="872" w:right="826"/>
        <w:jc w:val="both"/>
        <w:rPr>
          <w:rFonts w:ascii="Bookman Old Style" w:hAnsi="Bookman Old Style" w:cs="Arial"/>
          <w:i/>
          <w:iCs/>
          <w:sz w:val="22"/>
          <w:szCs w:val="20"/>
        </w:rPr>
      </w:pPr>
    </w:p>
    <w:p w:rsidR="00A316B5" w:rsidRPr="00A316B5" w:rsidRDefault="00A316B5" w:rsidP="00A316B5">
      <w:pPr>
        <w:ind w:left="872" w:right="826"/>
        <w:jc w:val="both"/>
        <w:rPr>
          <w:rFonts w:ascii="Bookman Old Style" w:hAnsi="Bookman Old Style" w:cs="Arial"/>
          <w:i/>
          <w:iCs/>
          <w:sz w:val="22"/>
          <w:szCs w:val="20"/>
        </w:rPr>
      </w:pPr>
      <w:r w:rsidRPr="00A316B5">
        <w:rPr>
          <w:rFonts w:ascii="Bookman Old Style" w:hAnsi="Bookman Old Style" w:cs="Arial"/>
          <w:i/>
          <w:iCs/>
          <w:sz w:val="22"/>
          <w:szCs w:val="20"/>
        </w:rPr>
        <w:t>“…En consecuencia y como la presente actuación administrativa no puede ser decidida sin que los argumentos presentados por EPM sean valorados por las autoridades competentes, ya que ello implicaría una violación de su derecho de defensa; y según lo expresado por la misma CREG, el competente para asumir tal actuación no es la Comisión de Regulación de Energía y Gas, EPM respetuosamente solicita a la Comisión abstenerse de decidir la presente actuación administrativa, por cualquier pronunciamiento implica valorar el evento eximente de responsabilidad que imposibilitó la entrada en operación del Proyecto Hidroeléctrico Porce IV para el 1º de diciembre de 2015..”</w:t>
      </w:r>
    </w:p>
    <w:p w:rsidR="00A316B5" w:rsidRPr="00CE0138" w:rsidRDefault="00A316B5" w:rsidP="00A316B5">
      <w:pPr>
        <w:ind w:left="872" w:right="826"/>
        <w:jc w:val="both"/>
        <w:rPr>
          <w:rFonts w:ascii="Bookman Old Style" w:hAnsi="Bookman Old Style" w:cs="Arial"/>
          <w:i/>
          <w:iCs/>
          <w:sz w:val="20"/>
          <w:szCs w:val="20"/>
        </w:rPr>
      </w:pPr>
    </w:p>
    <w:p w:rsidR="00A316B5" w:rsidRPr="00A316B5" w:rsidRDefault="00A316B5" w:rsidP="00A316B5">
      <w:pPr>
        <w:pStyle w:val="Textoindependiente"/>
        <w:ind w:left="360"/>
        <w:jc w:val="both"/>
        <w:rPr>
          <w:rFonts w:ascii="Bookman Old Style" w:hAnsi="Bookman Old Style"/>
          <w:b w:val="0"/>
          <w:spacing w:val="-5"/>
        </w:rPr>
      </w:pPr>
      <w:r w:rsidRPr="00A316B5">
        <w:rPr>
          <w:rFonts w:ascii="Bookman Old Style" w:hAnsi="Bookman Old Style"/>
          <w:b w:val="0"/>
          <w:spacing w:val="-5"/>
        </w:rPr>
        <w:t>Dicha petición fue resulta por la comunicación S-2011-004970 del 10 de noviembre del 2011, en la cual la CREG manifestó que dentro de la actuación administrativa 2011-0049, se expidió la Resolución CREG 104 de 19 de agosto 2011</w:t>
      </w:r>
      <w:r w:rsidRPr="00A316B5">
        <w:rPr>
          <w:rFonts w:ascii="Bookman Old Style" w:hAnsi="Bookman Old Style"/>
          <w:b w:val="0"/>
          <w:i/>
          <w:spacing w:val="-5"/>
        </w:rPr>
        <w:t xml:space="preserve">, </w:t>
      </w:r>
      <w:r w:rsidRPr="00A316B5">
        <w:rPr>
          <w:rFonts w:ascii="Bookman Old Style" w:hAnsi="Bookman Old Style"/>
          <w:b w:val="0"/>
          <w:spacing w:val="-5"/>
        </w:rPr>
        <w:t>la cual para ese momento se encontraba  en trámite de notificación</w:t>
      </w:r>
      <w:r>
        <w:rPr>
          <w:rFonts w:ascii="Bookman Old Style" w:hAnsi="Bookman Old Style"/>
          <w:b w:val="0"/>
          <w:spacing w:val="-5"/>
        </w:rPr>
        <w:t>.</w:t>
      </w:r>
    </w:p>
    <w:p w:rsidR="00F004E0" w:rsidRPr="00CE0138" w:rsidRDefault="00F004E0" w:rsidP="00F004E0">
      <w:pPr>
        <w:pStyle w:val="Textoindependiente"/>
        <w:ind w:left="360"/>
        <w:jc w:val="both"/>
        <w:rPr>
          <w:rFonts w:ascii="Ebrima" w:hAnsi="Ebrima"/>
          <w:spacing w:val="-5"/>
          <w:sz w:val="22"/>
        </w:rPr>
      </w:pPr>
    </w:p>
    <w:p w:rsidR="00E82F98" w:rsidRPr="00E82F98" w:rsidRDefault="00CD2866" w:rsidP="00CD2866">
      <w:pPr>
        <w:pStyle w:val="Textoindependiente"/>
        <w:numPr>
          <w:ilvl w:val="0"/>
          <w:numId w:val="23"/>
        </w:numPr>
        <w:jc w:val="both"/>
        <w:rPr>
          <w:rFonts w:ascii="Bookman Old Style" w:hAnsi="Bookman Old Style"/>
          <w:b w:val="0"/>
          <w:spacing w:val="-5"/>
        </w:rPr>
      </w:pPr>
      <w:r w:rsidRPr="00E82F98">
        <w:rPr>
          <w:rFonts w:ascii="Bookman Old Style" w:hAnsi="Bookman Old Style"/>
          <w:b w:val="0"/>
          <w:spacing w:val="-5"/>
        </w:rPr>
        <w:t xml:space="preserve">Mediante oficio con el Rad. CREG S-2011-004297 del 7 de octubre de 2011, se envió comunicación a EPM para surtir el trámite de notificación personal de la Resolución CREG 104 de 2011, sin que el interesado acudiera a notificarse personalmente. </w:t>
      </w:r>
    </w:p>
    <w:p w:rsidR="00E82F98" w:rsidRPr="00E82F98" w:rsidRDefault="00E82F98" w:rsidP="00E82F98">
      <w:pPr>
        <w:pStyle w:val="Textoindependiente"/>
        <w:ind w:left="360"/>
        <w:jc w:val="both"/>
        <w:rPr>
          <w:rFonts w:ascii="Bookman Old Style" w:hAnsi="Bookman Old Style"/>
          <w:b w:val="0"/>
          <w:spacing w:val="-5"/>
        </w:rPr>
      </w:pPr>
    </w:p>
    <w:p w:rsidR="00CD2866" w:rsidRPr="00E82F98" w:rsidRDefault="00CD2866" w:rsidP="00E82F98">
      <w:pPr>
        <w:pStyle w:val="Textoindependiente"/>
        <w:ind w:left="360"/>
        <w:jc w:val="both"/>
        <w:rPr>
          <w:rFonts w:ascii="Bookman Old Style" w:hAnsi="Bookman Old Style"/>
          <w:b w:val="0"/>
          <w:spacing w:val="-5"/>
        </w:rPr>
      </w:pPr>
      <w:r w:rsidRPr="00E82F98">
        <w:rPr>
          <w:rFonts w:ascii="Bookman Old Style" w:hAnsi="Bookman Old Style"/>
          <w:b w:val="0"/>
          <w:spacing w:val="-5"/>
        </w:rPr>
        <w:t xml:space="preserve">Vencido </w:t>
      </w:r>
      <w:r w:rsidR="00E82F98" w:rsidRPr="00E82F98">
        <w:rPr>
          <w:rFonts w:ascii="Bookman Old Style" w:hAnsi="Bookman Old Style"/>
          <w:b w:val="0"/>
          <w:spacing w:val="-5"/>
        </w:rPr>
        <w:t>el</w:t>
      </w:r>
      <w:r w:rsidRPr="00E82F98">
        <w:rPr>
          <w:rFonts w:ascii="Bookman Old Style" w:hAnsi="Bookman Old Style"/>
          <w:b w:val="0"/>
          <w:spacing w:val="-5"/>
        </w:rPr>
        <w:t xml:space="preserve"> término</w:t>
      </w:r>
      <w:r w:rsidR="00E82F98" w:rsidRPr="00E82F98">
        <w:rPr>
          <w:rFonts w:ascii="Bookman Old Style" w:hAnsi="Bookman Old Style"/>
          <w:b w:val="0"/>
          <w:spacing w:val="-5"/>
        </w:rPr>
        <w:t xml:space="preserve"> para notificarse personalmente</w:t>
      </w:r>
      <w:r w:rsidRPr="00E82F98">
        <w:rPr>
          <w:rFonts w:ascii="Bookman Old Style" w:hAnsi="Bookman Old Style"/>
          <w:b w:val="0"/>
          <w:spacing w:val="-5"/>
        </w:rPr>
        <w:t xml:space="preserve">, se inició el trámite para la notificación por edicto, el cual se fijó el 25 de octubre </w:t>
      </w:r>
      <w:r w:rsidR="00E82F98" w:rsidRPr="00E82F98">
        <w:rPr>
          <w:rFonts w:ascii="Bookman Old Style" w:hAnsi="Bookman Old Style"/>
          <w:b w:val="0"/>
          <w:spacing w:val="-5"/>
        </w:rPr>
        <w:t>por un término de 10 días, desfijándose el 10 de noviembre del presente año.</w:t>
      </w:r>
    </w:p>
    <w:p w:rsidR="00CD2866" w:rsidRDefault="00CD2866" w:rsidP="00CD2866">
      <w:pPr>
        <w:pStyle w:val="Textoindependiente"/>
        <w:ind w:left="360"/>
        <w:jc w:val="both"/>
        <w:rPr>
          <w:rFonts w:ascii="Ebrima" w:hAnsi="Ebrima"/>
          <w:spacing w:val="-5"/>
        </w:rPr>
      </w:pPr>
    </w:p>
    <w:p w:rsidR="00CD2866" w:rsidRPr="00E82F98" w:rsidRDefault="00CD2866" w:rsidP="00E82F98">
      <w:pPr>
        <w:pStyle w:val="Textoindependiente"/>
        <w:numPr>
          <w:ilvl w:val="0"/>
          <w:numId w:val="23"/>
        </w:numPr>
        <w:jc w:val="both"/>
        <w:rPr>
          <w:rFonts w:ascii="Bookman Old Style" w:hAnsi="Bookman Old Style"/>
          <w:b w:val="0"/>
          <w:spacing w:val="-5"/>
        </w:rPr>
      </w:pPr>
      <w:r w:rsidRPr="00E82F98">
        <w:rPr>
          <w:rFonts w:ascii="Bookman Old Style" w:hAnsi="Bookman Old Style"/>
          <w:b w:val="0"/>
          <w:spacing w:val="-5"/>
        </w:rPr>
        <w:t>Finalmente, se debe manifestar que EPM interpuso en contra de la Resolución CREG 104 de 2011, recurso de reposición</w:t>
      </w:r>
      <w:r w:rsidR="00E82F98" w:rsidRPr="00E82F98">
        <w:rPr>
          <w:rFonts w:ascii="Bookman Old Style" w:hAnsi="Bookman Old Style"/>
          <w:b w:val="0"/>
          <w:spacing w:val="-5"/>
        </w:rPr>
        <w:t xml:space="preserve"> el 16 de noviembre del 2011 con el Rad. CREG E-2011-010897</w:t>
      </w:r>
      <w:r w:rsidRPr="00E82F98">
        <w:rPr>
          <w:rStyle w:val="Refdenotaalpie"/>
          <w:rFonts w:ascii="Bookman Old Style" w:hAnsi="Bookman Old Style"/>
          <w:b w:val="0"/>
          <w:spacing w:val="-5"/>
        </w:rPr>
        <w:footnoteReference w:id="6"/>
      </w:r>
      <w:r w:rsidRPr="00E82F98">
        <w:rPr>
          <w:rFonts w:ascii="Bookman Old Style" w:hAnsi="Bookman Old Style"/>
          <w:b w:val="0"/>
          <w:spacing w:val="-5"/>
        </w:rPr>
        <w:t xml:space="preserve">. </w:t>
      </w:r>
    </w:p>
    <w:p w:rsidR="00CD2866" w:rsidRPr="00CE0138" w:rsidRDefault="00CD2866" w:rsidP="00CD2866">
      <w:pPr>
        <w:pStyle w:val="Textoindependiente"/>
        <w:jc w:val="both"/>
        <w:rPr>
          <w:rFonts w:ascii="Bookman Old Style" w:hAnsi="Bookman Old Style"/>
          <w:spacing w:val="-5"/>
          <w:sz w:val="22"/>
        </w:rPr>
      </w:pPr>
    </w:p>
    <w:p w:rsidR="00CD2866" w:rsidRPr="00E82F98" w:rsidRDefault="00CD2866" w:rsidP="00CD2866">
      <w:pPr>
        <w:numPr>
          <w:ilvl w:val="0"/>
          <w:numId w:val="24"/>
        </w:numPr>
        <w:contextualSpacing/>
        <w:jc w:val="both"/>
        <w:rPr>
          <w:rFonts w:ascii="Bookman Old Style" w:hAnsi="Bookman Old Style" w:cs="Arial"/>
          <w:b/>
          <w:spacing w:val="-5"/>
        </w:rPr>
      </w:pPr>
      <w:r w:rsidRPr="00E82F98">
        <w:rPr>
          <w:rFonts w:ascii="Bookman Old Style" w:hAnsi="Bookman Old Style" w:cs="Arial"/>
          <w:b/>
          <w:spacing w:val="-5"/>
        </w:rPr>
        <w:t>Solicitudes de inicio de una actuación administrativa para el reconocimiento de un evento eximente de responsabilidad, anteriores a la actuación administrativa 2011-0040, incorporadas durante el trámite de esta última.</w:t>
      </w:r>
    </w:p>
    <w:p w:rsidR="00CD2866" w:rsidRPr="00CE0138" w:rsidRDefault="00CD2866" w:rsidP="00CD2866">
      <w:pPr>
        <w:pStyle w:val="Textoindependiente"/>
        <w:jc w:val="both"/>
        <w:rPr>
          <w:rFonts w:ascii="Ebrima" w:hAnsi="Ebrima"/>
          <w:spacing w:val="-5"/>
          <w:sz w:val="22"/>
        </w:rPr>
      </w:pPr>
    </w:p>
    <w:p w:rsidR="00CD2866" w:rsidRPr="00E82F98" w:rsidRDefault="00CD2866" w:rsidP="00CD2866">
      <w:pPr>
        <w:pStyle w:val="Textoindependiente"/>
        <w:numPr>
          <w:ilvl w:val="0"/>
          <w:numId w:val="25"/>
        </w:numPr>
        <w:jc w:val="both"/>
        <w:rPr>
          <w:rFonts w:ascii="Bookman Old Style" w:hAnsi="Bookman Old Style"/>
          <w:b w:val="0"/>
          <w:spacing w:val="-5"/>
        </w:rPr>
      </w:pPr>
      <w:r w:rsidRPr="00E82F98">
        <w:rPr>
          <w:rFonts w:ascii="Bookman Old Style" w:hAnsi="Bookman Old Style"/>
          <w:b w:val="0"/>
          <w:spacing w:val="-5"/>
        </w:rPr>
        <w:t>Mediante p</w:t>
      </w:r>
      <w:r w:rsidRPr="00E82F98">
        <w:rPr>
          <w:rFonts w:ascii="Bookman Old Style" w:hAnsi="Bookman Old Style"/>
          <w:b w:val="0"/>
        </w:rPr>
        <w:t>etición del 30 de diciembre del 2010 (Rad. CREG E-2010-012362), complementada por las comunicaci</w:t>
      </w:r>
      <w:r w:rsidR="00B35DA9">
        <w:rPr>
          <w:rFonts w:ascii="Bookman Old Style" w:hAnsi="Bookman Old Style"/>
          <w:b w:val="0"/>
        </w:rPr>
        <w:t>o</w:t>
      </w:r>
      <w:r w:rsidRPr="00E82F98">
        <w:rPr>
          <w:rFonts w:ascii="Bookman Old Style" w:hAnsi="Bookman Old Style"/>
          <w:b w:val="0"/>
        </w:rPr>
        <w:t>n</w:t>
      </w:r>
      <w:r w:rsidR="00B35DA9">
        <w:rPr>
          <w:rFonts w:ascii="Bookman Old Style" w:hAnsi="Bookman Old Style"/>
          <w:b w:val="0"/>
        </w:rPr>
        <w:t>es</w:t>
      </w:r>
      <w:r w:rsidRPr="00E82F98">
        <w:rPr>
          <w:rFonts w:ascii="Bookman Old Style" w:hAnsi="Bookman Old Style"/>
          <w:b w:val="0"/>
        </w:rPr>
        <w:t xml:space="preserve"> con el Rad. CREG E-2011-000206 del 11 de enero del 2011,  E-2011-001370 del 11 de febrero del 2011 y E-2011-006348 del 1</w:t>
      </w:r>
      <w:r w:rsidR="00E74B49">
        <w:rPr>
          <w:rFonts w:ascii="Bookman Old Style" w:hAnsi="Bookman Old Style"/>
          <w:b w:val="0"/>
        </w:rPr>
        <w:t xml:space="preserve"> de julio del 2011, EPM solicitó</w:t>
      </w:r>
      <w:r w:rsidRPr="00E82F98">
        <w:rPr>
          <w:rFonts w:ascii="Bookman Old Style" w:hAnsi="Bookman Old Style"/>
          <w:b w:val="0"/>
        </w:rPr>
        <w:t xml:space="preserve"> a la CREG el inicio de </w:t>
      </w:r>
      <w:r w:rsidRPr="00E82F98">
        <w:rPr>
          <w:rFonts w:ascii="Bookman Old Style" w:hAnsi="Bookman Old Style"/>
          <w:b w:val="0"/>
          <w:spacing w:val="-5"/>
        </w:rPr>
        <w:t>una actuación administrativa para reconocer un eve</w:t>
      </w:r>
      <w:r w:rsidR="008759A8">
        <w:rPr>
          <w:rFonts w:ascii="Bookman Old Style" w:hAnsi="Bookman Old Style"/>
          <w:b w:val="0"/>
          <w:spacing w:val="-5"/>
        </w:rPr>
        <w:t xml:space="preserve">nto eximente </w:t>
      </w:r>
      <w:r w:rsidR="008759A8">
        <w:rPr>
          <w:rFonts w:ascii="Bookman Old Style" w:hAnsi="Bookman Old Style"/>
          <w:b w:val="0"/>
          <w:spacing w:val="-5"/>
        </w:rPr>
        <w:lastRenderedPageBreak/>
        <w:t xml:space="preserve">de responsabilidad, </w:t>
      </w:r>
      <w:r w:rsidRPr="00E82F98">
        <w:rPr>
          <w:rFonts w:ascii="Bookman Old Style" w:hAnsi="Bookman Old Style"/>
          <w:b w:val="0"/>
          <w:spacing w:val="-5"/>
        </w:rPr>
        <w:t>en el desarrollo del proyecto de generación eléctrica Porce IV.</w:t>
      </w:r>
    </w:p>
    <w:p w:rsidR="00CD2866" w:rsidRPr="00CE0138" w:rsidRDefault="00CD2866" w:rsidP="00CD2866">
      <w:pPr>
        <w:pStyle w:val="Textoindependiente"/>
        <w:ind w:left="360"/>
        <w:jc w:val="both"/>
        <w:rPr>
          <w:rFonts w:ascii="Bookman Old Style" w:hAnsi="Bookman Old Style"/>
          <w:b w:val="0"/>
          <w:spacing w:val="-5"/>
          <w:sz w:val="16"/>
        </w:rPr>
      </w:pPr>
    </w:p>
    <w:p w:rsidR="00CC7F06" w:rsidRDefault="00CD2866" w:rsidP="00CD2866">
      <w:pPr>
        <w:pStyle w:val="Textoindependiente"/>
        <w:numPr>
          <w:ilvl w:val="0"/>
          <w:numId w:val="25"/>
        </w:numPr>
        <w:jc w:val="both"/>
        <w:rPr>
          <w:rFonts w:ascii="Bookman Old Style" w:hAnsi="Bookman Old Style"/>
          <w:b w:val="0"/>
          <w:spacing w:val="-5"/>
        </w:rPr>
      </w:pPr>
      <w:r w:rsidRPr="00CC7F06">
        <w:rPr>
          <w:rFonts w:ascii="Bookman Old Style" w:hAnsi="Bookman Old Style"/>
          <w:b w:val="0"/>
          <w:spacing w:val="-5"/>
        </w:rPr>
        <w:t>La</w:t>
      </w:r>
      <w:r w:rsidR="00E82F98" w:rsidRPr="00CC7F06">
        <w:rPr>
          <w:rFonts w:ascii="Bookman Old Style" w:hAnsi="Bookman Old Style"/>
          <w:b w:val="0"/>
          <w:spacing w:val="-5"/>
        </w:rPr>
        <w:t xml:space="preserve"> petición del reconocimiento de un evento eximente de responsabilidad previo el trámite de una actuación administrativa,</w:t>
      </w:r>
      <w:r w:rsidRPr="00CC7F06">
        <w:rPr>
          <w:rFonts w:ascii="Bookman Old Style" w:hAnsi="Bookman Old Style"/>
          <w:b w:val="0"/>
          <w:spacing w:val="-5"/>
        </w:rPr>
        <w:t xml:space="preserve"> fue resuelta mediante el oficio con radicado CREG S-2011-000325 del 8 de febrero de 2011</w:t>
      </w:r>
      <w:r w:rsidR="00CC7F06" w:rsidRPr="00CC7F06">
        <w:rPr>
          <w:rFonts w:ascii="Bookman Old Style" w:hAnsi="Bookman Old Style"/>
          <w:b w:val="0"/>
          <w:spacing w:val="-5"/>
        </w:rPr>
        <w:t>,</w:t>
      </w:r>
      <w:r w:rsidRPr="00CC7F06">
        <w:rPr>
          <w:rFonts w:ascii="Bookman Old Style" w:hAnsi="Bookman Old Style"/>
          <w:b w:val="0"/>
          <w:spacing w:val="-5"/>
        </w:rPr>
        <w:t xml:space="preserve"> precisando las facultades regulatorias de la CREG y la improcedencia de esta solicitud, sin considerar por ausencia de competencia, los argumentos de fondo que le permitían a EPM alegar el even</w:t>
      </w:r>
      <w:r w:rsidR="00CC7F06" w:rsidRPr="00CC7F06">
        <w:rPr>
          <w:rFonts w:ascii="Bookman Old Style" w:hAnsi="Bookman Old Style"/>
          <w:b w:val="0"/>
          <w:spacing w:val="-5"/>
        </w:rPr>
        <w:t>to eximente de responsabilidad</w:t>
      </w:r>
      <w:r w:rsidRPr="00CC7F06">
        <w:rPr>
          <w:rFonts w:ascii="Bookman Old Style" w:hAnsi="Bookman Old Style"/>
          <w:b w:val="0"/>
          <w:spacing w:val="-5"/>
        </w:rPr>
        <w:t>.</w:t>
      </w:r>
    </w:p>
    <w:p w:rsidR="00CC7F06" w:rsidRPr="00CE0138" w:rsidRDefault="00CC7F06" w:rsidP="00CC7F06">
      <w:pPr>
        <w:pStyle w:val="Textoindependiente"/>
        <w:ind w:left="360"/>
        <w:jc w:val="both"/>
        <w:rPr>
          <w:rFonts w:ascii="Bookman Old Style" w:hAnsi="Bookman Old Style"/>
          <w:b w:val="0"/>
          <w:spacing w:val="-5"/>
          <w:sz w:val="14"/>
        </w:rPr>
      </w:pPr>
    </w:p>
    <w:p w:rsidR="00CD2866" w:rsidRPr="00E74B49" w:rsidRDefault="00CD2866" w:rsidP="00E74B49">
      <w:pPr>
        <w:pStyle w:val="Textoindependiente"/>
        <w:numPr>
          <w:ilvl w:val="0"/>
          <w:numId w:val="25"/>
        </w:numPr>
        <w:jc w:val="both"/>
        <w:rPr>
          <w:rFonts w:ascii="Bookman Old Style" w:hAnsi="Bookman Old Style"/>
          <w:b w:val="0"/>
          <w:spacing w:val="-5"/>
        </w:rPr>
      </w:pPr>
      <w:r w:rsidRPr="00CC7F06">
        <w:rPr>
          <w:rFonts w:ascii="Bookman Old Style" w:hAnsi="Bookman Old Style"/>
          <w:b w:val="0"/>
          <w:spacing w:val="-5"/>
        </w:rPr>
        <w:t>En el marco de la actuación administrativa (2011-0049), iniciada por la CREG con fundamento en lo dispuesto en el artículo 9 de la Resolución  CREG 071 de 2006, (modificado por el artículo 13 de la Resolución CREG 061 de 2007)</w:t>
      </w:r>
      <w:r w:rsidR="00CC7F06">
        <w:rPr>
          <w:rFonts w:ascii="Bookman Old Style" w:hAnsi="Bookman Old Style"/>
          <w:b w:val="0"/>
          <w:spacing w:val="-5"/>
        </w:rPr>
        <w:t xml:space="preserve"> “</w:t>
      </w:r>
      <w:r w:rsidR="00CC7F06" w:rsidRPr="00E220FC">
        <w:rPr>
          <w:rFonts w:ascii="Bookman Old Style" w:hAnsi="Bookman Old Style"/>
          <w:b w:val="0"/>
          <w:i/>
        </w:rPr>
        <w:t>iniciada con fundamento en el informe adicional de verificación de la curva S y del cronograma del proyecto y puesta en operación de la planta hidroeléctrica Porce IV, elaborado por SEDIC S.A</w:t>
      </w:r>
      <w:r w:rsidR="00CC7F06" w:rsidRPr="00E220FC">
        <w:rPr>
          <w:rFonts w:ascii="Bookman Old Style" w:hAnsi="Bookman Old Style"/>
          <w:b w:val="0"/>
          <w:i/>
          <w:lang w:eastAsia="es-CO"/>
        </w:rPr>
        <w:t>.</w:t>
      </w:r>
      <w:r w:rsidR="00CC7F06">
        <w:rPr>
          <w:rFonts w:ascii="Bookman Old Style" w:hAnsi="Bookman Old Style" w:cs="Times New Roman"/>
          <w:b w:val="0"/>
          <w:bCs w:val="0"/>
          <w:lang w:val="es-CO"/>
        </w:rPr>
        <w:t>”</w:t>
      </w:r>
      <w:r w:rsidR="00CC7F06">
        <w:rPr>
          <w:rFonts w:ascii="Bookman Old Style" w:hAnsi="Bookman Old Style"/>
          <w:b w:val="0"/>
          <w:lang w:eastAsia="es-CO"/>
        </w:rPr>
        <w:t>.</w:t>
      </w:r>
      <w:r w:rsidRPr="00CC7F06">
        <w:rPr>
          <w:rFonts w:ascii="Bookman Old Style" w:hAnsi="Bookman Old Style"/>
          <w:b w:val="0"/>
          <w:spacing w:val="-5"/>
        </w:rPr>
        <w:t xml:space="preserve"> </w:t>
      </w:r>
      <w:r w:rsidR="00CC7F06" w:rsidRPr="00E74B49">
        <w:rPr>
          <w:rFonts w:ascii="Bookman Old Style" w:hAnsi="Bookman Old Style"/>
          <w:b w:val="0"/>
          <w:spacing w:val="-5"/>
        </w:rPr>
        <w:t>La Comisión</w:t>
      </w:r>
      <w:r w:rsidRPr="00E74B49">
        <w:rPr>
          <w:rFonts w:ascii="Bookman Old Style" w:hAnsi="Bookman Old Style"/>
          <w:b w:val="0"/>
          <w:spacing w:val="-5"/>
        </w:rPr>
        <w:t xml:space="preserve"> expid</w:t>
      </w:r>
      <w:r w:rsidR="00E74B49">
        <w:rPr>
          <w:rFonts w:ascii="Bookman Old Style" w:hAnsi="Bookman Old Style"/>
          <w:b w:val="0"/>
          <w:spacing w:val="-5"/>
        </w:rPr>
        <w:t xml:space="preserve">ió </w:t>
      </w:r>
      <w:r w:rsidR="00CC7F06" w:rsidRPr="00E74B49">
        <w:rPr>
          <w:rFonts w:ascii="Bookman Old Style" w:hAnsi="Bookman Old Style"/>
          <w:b w:val="0"/>
          <w:spacing w:val="-5"/>
        </w:rPr>
        <w:t>el</w:t>
      </w:r>
      <w:r w:rsidRPr="00E74B49">
        <w:rPr>
          <w:rFonts w:ascii="Bookman Old Style" w:hAnsi="Bookman Old Style"/>
          <w:b w:val="0"/>
          <w:spacing w:val="-5"/>
        </w:rPr>
        <w:t xml:space="preserve"> auto del 29 de julio de 2011, donde  le solicito a EPM, informar en un plazo máximo de tres (3) días, si era de su interés que las comunicaciones aportadas con los radicados  CREG E-2010-012362, CREG E-2011-000206 y E-2011-001370 fueran consideradas por la CREG al resolver la actuación administrativa ya referida. </w:t>
      </w:r>
    </w:p>
    <w:p w:rsidR="00CD2866" w:rsidRPr="00CE0138" w:rsidRDefault="00CD2866" w:rsidP="00CD2866">
      <w:pPr>
        <w:pStyle w:val="Textoindependiente"/>
        <w:ind w:left="360"/>
        <w:jc w:val="both"/>
        <w:rPr>
          <w:rFonts w:ascii="Bookman Old Style" w:hAnsi="Bookman Old Style"/>
          <w:b w:val="0"/>
          <w:spacing w:val="-5"/>
          <w:sz w:val="16"/>
        </w:rPr>
      </w:pPr>
    </w:p>
    <w:p w:rsidR="00CD2866" w:rsidRPr="006A60E3" w:rsidRDefault="00CD2866" w:rsidP="00CD2866">
      <w:pPr>
        <w:pStyle w:val="Textoindependiente"/>
        <w:ind w:left="360"/>
        <w:jc w:val="both"/>
        <w:rPr>
          <w:rFonts w:ascii="Bookman Old Style" w:hAnsi="Bookman Old Style"/>
          <w:b w:val="0"/>
          <w:spacing w:val="-5"/>
        </w:rPr>
      </w:pPr>
      <w:r w:rsidRPr="006A60E3">
        <w:rPr>
          <w:rFonts w:ascii="Bookman Old Style" w:hAnsi="Bookman Old Style"/>
          <w:b w:val="0"/>
          <w:spacing w:val="-5"/>
        </w:rPr>
        <w:t>En otras palabras,</w:t>
      </w:r>
      <w:r w:rsidR="00E74B49">
        <w:rPr>
          <w:rFonts w:ascii="Bookman Old Style" w:hAnsi="Bookman Old Style"/>
          <w:b w:val="0"/>
          <w:spacing w:val="-5"/>
        </w:rPr>
        <w:t xml:space="preserve"> la CREG solicito a EPM si era de su interés</w:t>
      </w:r>
      <w:r w:rsidRPr="006A60E3">
        <w:rPr>
          <w:rFonts w:ascii="Bookman Old Style" w:hAnsi="Bookman Old Style"/>
          <w:b w:val="0"/>
          <w:spacing w:val="-5"/>
        </w:rPr>
        <w:t xml:space="preserve"> que en la actuación</w:t>
      </w:r>
      <w:r w:rsidR="00E74B49">
        <w:rPr>
          <w:rFonts w:ascii="Bookman Old Style" w:hAnsi="Bookman Old Style"/>
          <w:b w:val="0"/>
          <w:spacing w:val="-5"/>
        </w:rPr>
        <w:t xml:space="preserve"> administrativa</w:t>
      </w:r>
      <w:r w:rsidRPr="006A60E3">
        <w:rPr>
          <w:rFonts w:ascii="Bookman Old Style" w:hAnsi="Bookman Old Style"/>
          <w:b w:val="0"/>
          <w:spacing w:val="-5"/>
        </w:rPr>
        <w:t xml:space="preserve"> iniciada mediante auto del 30 de mayo de 2011, se consideraran los argumentos de un evento eximente de responsabilidad en la construcción de dicho proyecto.</w:t>
      </w:r>
    </w:p>
    <w:p w:rsidR="00CD2866" w:rsidRPr="00CE0138" w:rsidRDefault="00CD2866" w:rsidP="00CD2866">
      <w:pPr>
        <w:jc w:val="both"/>
        <w:rPr>
          <w:rFonts w:ascii="Bookman Old Style" w:hAnsi="Bookman Old Style" w:cs="Arial"/>
          <w:spacing w:val="-5"/>
          <w:sz w:val="16"/>
        </w:rPr>
      </w:pPr>
    </w:p>
    <w:p w:rsidR="00CD2866" w:rsidRPr="0028582D" w:rsidRDefault="00CD2866" w:rsidP="00CD2866">
      <w:pPr>
        <w:pStyle w:val="Textoindependiente"/>
        <w:numPr>
          <w:ilvl w:val="0"/>
          <w:numId w:val="25"/>
        </w:numPr>
        <w:jc w:val="both"/>
        <w:rPr>
          <w:rFonts w:ascii="Bookman Old Style" w:hAnsi="Bookman Old Style"/>
          <w:b w:val="0"/>
          <w:spacing w:val="-5"/>
        </w:rPr>
      </w:pPr>
      <w:r w:rsidRPr="0028582D">
        <w:rPr>
          <w:rFonts w:ascii="Bookman Old Style" w:hAnsi="Bookman Old Style"/>
          <w:b w:val="0"/>
          <w:spacing w:val="-5"/>
        </w:rPr>
        <w:t>En observancia del principio de publicidad y en cumplimiento de la normativida</w:t>
      </w:r>
      <w:r w:rsidR="00E20727">
        <w:rPr>
          <w:rFonts w:ascii="Bookman Old Style" w:hAnsi="Bookman Old Style"/>
          <w:b w:val="0"/>
          <w:spacing w:val="-5"/>
        </w:rPr>
        <w:t>d</w:t>
      </w:r>
      <w:r w:rsidRPr="0028582D">
        <w:rPr>
          <w:rFonts w:ascii="Bookman Old Style" w:hAnsi="Bookman Old Style"/>
          <w:b w:val="0"/>
          <w:spacing w:val="-5"/>
        </w:rPr>
        <w:t xml:space="preserve"> aplicable, la CREG notific</w:t>
      </w:r>
      <w:r w:rsidR="00E74B49">
        <w:rPr>
          <w:rFonts w:ascii="Bookman Old Style" w:hAnsi="Bookman Old Style"/>
          <w:b w:val="0"/>
          <w:spacing w:val="-5"/>
        </w:rPr>
        <w:t>ó</w:t>
      </w:r>
      <w:r w:rsidRPr="0028582D">
        <w:rPr>
          <w:rFonts w:ascii="Bookman Old Style" w:hAnsi="Bookman Old Style"/>
          <w:b w:val="0"/>
          <w:spacing w:val="-5"/>
        </w:rPr>
        <w:t xml:space="preserve"> el auto del 29 de julio del 2011, por estado del 1 de agosto del 2011 y envió carta de información el mismo día de la expedición (Rad. CREG </w:t>
      </w:r>
      <w:r w:rsidR="00CE0138">
        <w:rPr>
          <w:rFonts w:ascii="Bookman Old Style" w:hAnsi="Bookman Old Style"/>
          <w:b w:val="0"/>
          <w:spacing w:val="-5"/>
        </w:rPr>
        <w:t xml:space="preserve"> </w:t>
      </w:r>
      <w:r w:rsidRPr="0028582D">
        <w:rPr>
          <w:rFonts w:ascii="Bookman Old Style" w:hAnsi="Bookman Old Style"/>
          <w:b w:val="0"/>
        </w:rPr>
        <w:t>S-2011-003532). Lo</w:t>
      </w:r>
      <w:r w:rsidRPr="0028582D">
        <w:rPr>
          <w:rFonts w:ascii="Bookman Old Style" w:hAnsi="Bookman Old Style"/>
          <w:b w:val="0"/>
          <w:spacing w:val="-5"/>
        </w:rPr>
        <w:t xml:space="preserve"> anterior con el fin de garantizar el debido proceso, el derecho de defensa, la contradicción y la imparcialidad que la CREG le debe a EPM. </w:t>
      </w:r>
    </w:p>
    <w:p w:rsidR="00CD2866" w:rsidRPr="00CE0138" w:rsidRDefault="00CD2866" w:rsidP="00CD2866">
      <w:pPr>
        <w:pStyle w:val="Textoindependiente"/>
        <w:ind w:left="360"/>
        <w:jc w:val="both"/>
        <w:rPr>
          <w:rFonts w:ascii="Bookman Old Style" w:hAnsi="Bookman Old Style"/>
          <w:b w:val="0"/>
          <w:spacing w:val="-5"/>
          <w:sz w:val="16"/>
        </w:rPr>
      </w:pPr>
    </w:p>
    <w:p w:rsidR="00CD2866" w:rsidRPr="0028582D" w:rsidRDefault="00CD2866" w:rsidP="00CD2866">
      <w:pPr>
        <w:pStyle w:val="Textoindependiente"/>
        <w:ind w:left="360"/>
        <w:jc w:val="both"/>
        <w:rPr>
          <w:rFonts w:ascii="Bookman Old Style" w:hAnsi="Bookman Old Style"/>
          <w:b w:val="0"/>
          <w:spacing w:val="-5"/>
        </w:rPr>
      </w:pPr>
      <w:r w:rsidRPr="0028582D">
        <w:rPr>
          <w:rFonts w:ascii="Bookman Old Style" w:hAnsi="Bookman Old Style"/>
          <w:b w:val="0"/>
          <w:spacing w:val="-5"/>
        </w:rPr>
        <w:t xml:space="preserve">Otorgado el espacio </w:t>
      </w:r>
      <w:r w:rsidR="008759A8">
        <w:rPr>
          <w:rFonts w:ascii="Bookman Old Style" w:hAnsi="Bookman Old Style"/>
          <w:b w:val="0"/>
          <w:spacing w:val="-5"/>
        </w:rPr>
        <w:t xml:space="preserve"> anterior</w:t>
      </w:r>
      <w:r w:rsidRPr="0028582D">
        <w:rPr>
          <w:rFonts w:ascii="Bookman Old Style" w:hAnsi="Bookman Old Style"/>
          <w:b w:val="0"/>
          <w:spacing w:val="-5"/>
        </w:rPr>
        <w:t xml:space="preserve">, </w:t>
      </w:r>
      <w:r w:rsidRPr="006B6CA4">
        <w:rPr>
          <w:rFonts w:ascii="Bookman Old Style" w:hAnsi="Bookman Old Style"/>
          <w:b w:val="0"/>
          <w:spacing w:val="-5"/>
        </w:rPr>
        <w:t>EPM no manifiesta su voluntad para que tales comunicaciones sean consideradas por la CREG, al momento de resolver la actuación administrativa</w:t>
      </w:r>
      <w:r w:rsidR="00E20727">
        <w:rPr>
          <w:rFonts w:ascii="Bookman Old Style" w:hAnsi="Bookman Old Style"/>
          <w:b w:val="0"/>
          <w:spacing w:val="-5"/>
        </w:rPr>
        <w:t>,</w:t>
      </w:r>
      <w:r w:rsidR="008759A8" w:rsidRPr="006B6CA4">
        <w:rPr>
          <w:rFonts w:ascii="Bookman Old Style" w:hAnsi="Bookman Old Style"/>
          <w:b w:val="0"/>
          <w:spacing w:val="-5"/>
        </w:rPr>
        <w:t xml:space="preserve"> </w:t>
      </w:r>
      <w:r w:rsidR="00E74B49">
        <w:rPr>
          <w:rFonts w:ascii="Bookman Old Style" w:hAnsi="Bookman Old Style"/>
          <w:b w:val="0"/>
          <w:spacing w:val="-5"/>
        </w:rPr>
        <w:t>que culminó con</w:t>
      </w:r>
      <w:r w:rsidR="008759A8" w:rsidRPr="006B6CA4">
        <w:rPr>
          <w:rFonts w:ascii="Bookman Old Style" w:hAnsi="Bookman Old Style"/>
          <w:b w:val="0"/>
          <w:spacing w:val="-5"/>
        </w:rPr>
        <w:t xml:space="preserve"> la resolución</w:t>
      </w:r>
      <w:r w:rsidR="00B35DA9">
        <w:rPr>
          <w:rFonts w:ascii="Bookman Old Style" w:hAnsi="Bookman Old Style"/>
          <w:b w:val="0"/>
          <w:spacing w:val="-5"/>
        </w:rPr>
        <w:t xml:space="preserve"> CREG 104 de 2011,</w:t>
      </w:r>
      <w:r w:rsidR="006B6CA4" w:rsidRPr="006B6CA4">
        <w:rPr>
          <w:rFonts w:ascii="Bookman Old Style" w:hAnsi="Bookman Old Style"/>
          <w:b w:val="0"/>
          <w:spacing w:val="-5"/>
        </w:rPr>
        <w:t xml:space="preserve"> hoy</w:t>
      </w:r>
      <w:r w:rsidR="008759A8" w:rsidRPr="006B6CA4">
        <w:rPr>
          <w:rFonts w:ascii="Bookman Old Style" w:hAnsi="Bookman Old Style"/>
          <w:b w:val="0"/>
          <w:spacing w:val="-5"/>
        </w:rPr>
        <w:t xml:space="preserve"> </w:t>
      </w:r>
      <w:r w:rsidRPr="006B6CA4">
        <w:rPr>
          <w:rFonts w:ascii="Bookman Old Style" w:hAnsi="Bookman Old Style"/>
          <w:b w:val="0"/>
          <w:spacing w:val="-5"/>
        </w:rPr>
        <w:t>objeto de</w:t>
      </w:r>
      <w:r w:rsidR="008759A8" w:rsidRPr="006B6CA4">
        <w:rPr>
          <w:rFonts w:ascii="Bookman Old Style" w:hAnsi="Bookman Old Style"/>
          <w:b w:val="0"/>
          <w:spacing w:val="-5"/>
        </w:rPr>
        <w:t xml:space="preserve"> recurso</w:t>
      </w:r>
      <w:r w:rsidRPr="0028582D">
        <w:rPr>
          <w:rFonts w:ascii="Bookman Old Style" w:hAnsi="Bookman Old Style"/>
          <w:b w:val="0"/>
          <w:spacing w:val="-5"/>
        </w:rPr>
        <w:t xml:space="preserve">. </w:t>
      </w:r>
    </w:p>
    <w:p w:rsidR="00CD2866" w:rsidRPr="00CE0138" w:rsidRDefault="00CD2866" w:rsidP="00CD2866">
      <w:pPr>
        <w:jc w:val="both"/>
        <w:rPr>
          <w:rFonts w:ascii="Bookman Old Style" w:hAnsi="Bookman Old Style" w:cs="Arial"/>
          <w:spacing w:val="-5"/>
          <w:sz w:val="18"/>
        </w:rPr>
      </w:pPr>
    </w:p>
    <w:p w:rsidR="00CD2866" w:rsidRPr="0028582D" w:rsidRDefault="00CD2866" w:rsidP="00CD2866">
      <w:pPr>
        <w:pStyle w:val="Textoindependiente"/>
        <w:numPr>
          <w:ilvl w:val="0"/>
          <w:numId w:val="25"/>
        </w:numPr>
        <w:jc w:val="both"/>
        <w:rPr>
          <w:rFonts w:ascii="Bookman Old Style" w:hAnsi="Bookman Old Style"/>
          <w:b w:val="0"/>
          <w:spacing w:val="-5"/>
        </w:rPr>
      </w:pPr>
      <w:r w:rsidRPr="0028582D">
        <w:rPr>
          <w:rFonts w:ascii="Bookman Old Style" w:hAnsi="Bookman Old Style"/>
          <w:b w:val="0"/>
          <w:spacing w:val="-5"/>
        </w:rPr>
        <w:t>En consideración a que EPM no manifestó su voluntad respecto a lo solicitado por el auto del 29 de julio</w:t>
      </w:r>
      <w:r w:rsidR="008759A8">
        <w:rPr>
          <w:rFonts w:ascii="Bookman Old Style" w:hAnsi="Bookman Old Style"/>
          <w:b w:val="0"/>
          <w:spacing w:val="-5"/>
        </w:rPr>
        <w:t xml:space="preserve"> de 2011 r</w:t>
      </w:r>
      <w:r w:rsidRPr="0028582D">
        <w:rPr>
          <w:rFonts w:ascii="Bookman Old Style" w:hAnsi="Bookman Old Style"/>
          <w:b w:val="0"/>
          <w:spacing w:val="-5"/>
        </w:rPr>
        <w:t>eferido, la CREG continúo con el trámite de la actuación administrativa, decidiéndola mediante la Resolución CREG 104 de 2011</w:t>
      </w:r>
      <w:r w:rsidR="006D1B2E">
        <w:rPr>
          <w:rFonts w:ascii="Bookman Old Style" w:hAnsi="Bookman Old Style"/>
          <w:b w:val="0"/>
          <w:spacing w:val="-5"/>
        </w:rPr>
        <w:t xml:space="preserve"> del 19 de agosto del 2011</w:t>
      </w:r>
      <w:r w:rsidRPr="0028582D">
        <w:rPr>
          <w:rFonts w:ascii="Bookman Old Style" w:hAnsi="Bookman Old Style"/>
          <w:b w:val="0"/>
          <w:spacing w:val="-5"/>
        </w:rPr>
        <w:t>.</w:t>
      </w:r>
    </w:p>
    <w:p w:rsidR="00CD2866" w:rsidRPr="00CE0138" w:rsidRDefault="00CD2866" w:rsidP="00755CDB">
      <w:pPr>
        <w:pStyle w:val="Textoindependiente"/>
        <w:ind w:left="0"/>
        <w:jc w:val="both"/>
        <w:rPr>
          <w:rFonts w:ascii="Bookman Old Style" w:hAnsi="Bookman Old Style"/>
          <w:b w:val="0"/>
          <w:sz w:val="18"/>
        </w:rPr>
      </w:pPr>
    </w:p>
    <w:p w:rsidR="00C37841" w:rsidRDefault="006D1B2E" w:rsidP="00C37841">
      <w:pPr>
        <w:pStyle w:val="Textoindependiente"/>
        <w:ind w:left="0"/>
        <w:jc w:val="both"/>
        <w:rPr>
          <w:rFonts w:ascii="Bookman Old Style" w:hAnsi="Bookman Old Style"/>
          <w:b w:val="0"/>
        </w:rPr>
      </w:pPr>
      <w:r>
        <w:rPr>
          <w:rFonts w:ascii="Bookman Old Style" w:hAnsi="Bookman Old Style"/>
          <w:b w:val="0"/>
        </w:rPr>
        <w:t>Narrados los hechos, c</w:t>
      </w:r>
      <w:r w:rsidR="00C37841">
        <w:rPr>
          <w:rFonts w:ascii="Bookman Old Style" w:hAnsi="Bookman Old Style"/>
          <w:b w:val="0"/>
        </w:rPr>
        <w:t>ontinuar</w:t>
      </w:r>
      <w:r w:rsidR="00E74B49">
        <w:rPr>
          <w:rFonts w:ascii="Bookman Old Style" w:hAnsi="Bookman Old Style"/>
          <w:b w:val="0"/>
        </w:rPr>
        <w:t>á</w:t>
      </w:r>
      <w:r w:rsidR="00C37841">
        <w:rPr>
          <w:rFonts w:ascii="Bookman Old Style" w:hAnsi="Bookman Old Style"/>
          <w:b w:val="0"/>
        </w:rPr>
        <w:t xml:space="preserve"> la CREG </w:t>
      </w:r>
      <w:r w:rsidR="00753345">
        <w:rPr>
          <w:rFonts w:ascii="Bookman Old Style" w:hAnsi="Bookman Old Style"/>
          <w:b w:val="0"/>
        </w:rPr>
        <w:t>anali</w:t>
      </w:r>
      <w:r w:rsidR="00C37841">
        <w:rPr>
          <w:rFonts w:ascii="Bookman Old Style" w:hAnsi="Bookman Old Style"/>
          <w:b w:val="0"/>
        </w:rPr>
        <w:t>zando</w:t>
      </w:r>
      <w:r w:rsidR="00753345">
        <w:rPr>
          <w:rFonts w:ascii="Bookman Old Style" w:hAnsi="Bookman Old Style"/>
          <w:b w:val="0"/>
        </w:rPr>
        <w:t xml:space="preserve"> los cargos y argumentos dad</w:t>
      </w:r>
      <w:r>
        <w:rPr>
          <w:rFonts w:ascii="Bookman Old Style" w:hAnsi="Bookman Old Style"/>
          <w:b w:val="0"/>
        </w:rPr>
        <w:t>os en el recurso de reposición por parte de</w:t>
      </w:r>
      <w:r w:rsidR="00753345">
        <w:rPr>
          <w:rFonts w:ascii="Bookman Old Style" w:hAnsi="Bookman Old Style"/>
          <w:b w:val="0"/>
        </w:rPr>
        <w:t xml:space="preserve"> EPM.</w:t>
      </w:r>
      <w:r w:rsidR="00C37841">
        <w:rPr>
          <w:rFonts w:ascii="Bookman Old Style" w:hAnsi="Bookman Old Style"/>
          <w:b w:val="0"/>
        </w:rPr>
        <w:t xml:space="preserve"> </w:t>
      </w:r>
    </w:p>
    <w:p w:rsidR="006B6CA4" w:rsidRDefault="006B6CA4" w:rsidP="00C37841">
      <w:pPr>
        <w:pStyle w:val="Textoindependiente"/>
        <w:ind w:left="0"/>
        <w:jc w:val="both"/>
        <w:rPr>
          <w:rFonts w:ascii="Bookman Old Style" w:hAnsi="Bookman Old Style"/>
          <w:sz w:val="22"/>
        </w:rPr>
      </w:pPr>
    </w:p>
    <w:p w:rsidR="00BB0B22" w:rsidRDefault="00BB0B22" w:rsidP="00BB0B22">
      <w:pPr>
        <w:pStyle w:val="Textoindependiente"/>
        <w:ind w:left="0"/>
        <w:jc w:val="both"/>
        <w:rPr>
          <w:rFonts w:ascii="Bookman Old Style" w:hAnsi="Bookman Old Style"/>
        </w:rPr>
      </w:pPr>
      <w:r>
        <w:rPr>
          <w:rFonts w:ascii="Bookman Old Style" w:hAnsi="Bookman Old Style"/>
        </w:rPr>
        <w:t xml:space="preserve">4.2. </w:t>
      </w:r>
      <w:r w:rsidRPr="000F407A">
        <w:rPr>
          <w:rFonts w:ascii="Bookman Old Style" w:hAnsi="Bookman Old Style"/>
        </w:rPr>
        <w:t>SOLUCI</w:t>
      </w:r>
      <w:r>
        <w:rPr>
          <w:rFonts w:ascii="Bookman Old Style" w:hAnsi="Bookman Old Style"/>
        </w:rPr>
        <w:t>Ó</w:t>
      </w:r>
      <w:r w:rsidRPr="000F407A">
        <w:rPr>
          <w:rFonts w:ascii="Bookman Old Style" w:hAnsi="Bookman Old Style"/>
        </w:rPr>
        <w:t xml:space="preserve">N A LOS </w:t>
      </w:r>
      <w:r>
        <w:rPr>
          <w:rFonts w:ascii="Bookman Old Style" w:hAnsi="Bookman Old Style"/>
        </w:rPr>
        <w:t xml:space="preserve">CARGOS DEL </w:t>
      </w:r>
      <w:r w:rsidRPr="000F407A">
        <w:rPr>
          <w:rFonts w:ascii="Bookman Old Style" w:hAnsi="Bookman Old Style"/>
        </w:rPr>
        <w:t>RECURSO</w:t>
      </w:r>
      <w:r>
        <w:rPr>
          <w:rFonts w:ascii="Bookman Old Style" w:hAnsi="Bookman Old Style"/>
        </w:rPr>
        <w:t>.</w:t>
      </w:r>
    </w:p>
    <w:p w:rsidR="00E20727" w:rsidRPr="00CE0138" w:rsidRDefault="00E20727" w:rsidP="00BB0B22">
      <w:pPr>
        <w:pStyle w:val="Textoindependiente"/>
        <w:ind w:left="0"/>
        <w:jc w:val="both"/>
        <w:rPr>
          <w:rFonts w:ascii="Bookman Old Style" w:hAnsi="Bookman Old Style"/>
          <w:sz w:val="20"/>
        </w:rPr>
      </w:pPr>
    </w:p>
    <w:p w:rsidR="00CE0138" w:rsidRDefault="00BB0B22" w:rsidP="00CE0138">
      <w:pPr>
        <w:pStyle w:val="Textoindependiente"/>
        <w:ind w:left="0"/>
        <w:jc w:val="both"/>
        <w:rPr>
          <w:rFonts w:ascii="Bookman Old Style" w:hAnsi="Bookman Old Style"/>
        </w:rPr>
      </w:pPr>
      <w:r>
        <w:rPr>
          <w:rFonts w:ascii="Bookman Old Style" w:hAnsi="Bookman Old Style"/>
        </w:rPr>
        <w:t>4.2.1 Solución al Cargo Primero.</w:t>
      </w:r>
    </w:p>
    <w:p w:rsidR="00CE0138" w:rsidRDefault="00CE0138" w:rsidP="00CE0138">
      <w:pPr>
        <w:pStyle w:val="Textoindependiente"/>
        <w:ind w:left="0"/>
        <w:jc w:val="both"/>
        <w:rPr>
          <w:rFonts w:ascii="Bookman Old Style" w:hAnsi="Bookman Old Style"/>
          <w:b w:val="0"/>
        </w:rPr>
      </w:pPr>
    </w:p>
    <w:p w:rsidR="00BB0B22" w:rsidRDefault="00BB0B22" w:rsidP="00CE0138">
      <w:pPr>
        <w:pStyle w:val="Textoindependiente"/>
        <w:ind w:left="0"/>
        <w:jc w:val="both"/>
        <w:rPr>
          <w:rFonts w:ascii="Bookman Old Style" w:hAnsi="Bookman Old Style"/>
          <w:b w:val="0"/>
        </w:rPr>
      </w:pPr>
      <w:r w:rsidRPr="00BB0B22">
        <w:rPr>
          <w:rFonts w:ascii="Bookman Old Style" w:hAnsi="Bookman Old Style"/>
          <w:b w:val="0"/>
        </w:rPr>
        <w:lastRenderedPageBreak/>
        <w:t>El primer cargo</w:t>
      </w:r>
      <w:r>
        <w:rPr>
          <w:rFonts w:ascii="Bookman Old Style" w:hAnsi="Bookman Old Style"/>
          <w:b w:val="0"/>
        </w:rPr>
        <w:t xml:space="preserve"> denominado </w:t>
      </w:r>
      <w:r w:rsidRPr="00BB0B22">
        <w:rPr>
          <w:rFonts w:ascii="Bookman Old Style" w:hAnsi="Bookman Old Style"/>
          <w:b w:val="0"/>
        </w:rPr>
        <w:t xml:space="preserve">como; </w:t>
      </w:r>
      <w:r w:rsidRPr="00BB0B22">
        <w:rPr>
          <w:rFonts w:ascii="Bookman Old Style" w:hAnsi="Bookman Old Style"/>
          <w:b w:val="0"/>
          <w:i/>
        </w:rPr>
        <w:t>Vulneración</w:t>
      </w:r>
      <w:r>
        <w:rPr>
          <w:rFonts w:ascii="Bookman Old Style" w:hAnsi="Bookman Old Style"/>
          <w:b w:val="0"/>
          <w:i/>
        </w:rPr>
        <w:t xml:space="preserve"> </w:t>
      </w:r>
      <w:r w:rsidR="00E20727">
        <w:rPr>
          <w:rFonts w:ascii="Bookman Old Style" w:hAnsi="Bookman Old Style"/>
          <w:b w:val="0"/>
          <w:i/>
        </w:rPr>
        <w:t>de</w:t>
      </w:r>
      <w:r w:rsidRPr="000038D2">
        <w:rPr>
          <w:rFonts w:ascii="Bookman Old Style" w:hAnsi="Bookman Old Style"/>
          <w:b w:val="0"/>
          <w:i/>
        </w:rPr>
        <w:t xml:space="preserve"> derecho de defensa de EPM</w:t>
      </w:r>
      <w:r>
        <w:rPr>
          <w:rStyle w:val="Refdenotaalpie"/>
          <w:rFonts w:ascii="Bookman Old Style" w:hAnsi="Bookman Old Style"/>
          <w:b w:val="0"/>
          <w:i/>
        </w:rPr>
        <w:footnoteReference w:id="7"/>
      </w:r>
      <w:r>
        <w:rPr>
          <w:rFonts w:ascii="Bookman Old Style" w:hAnsi="Bookman Old Style"/>
          <w:b w:val="0"/>
        </w:rPr>
        <w:t>,</w:t>
      </w:r>
      <w:r w:rsidRPr="000038D2">
        <w:rPr>
          <w:rFonts w:ascii="Bookman Old Style" w:hAnsi="Bookman Old Style"/>
          <w:b w:val="0"/>
        </w:rPr>
        <w:t xml:space="preserve"> se divide en dos sub</w:t>
      </w:r>
      <w:r>
        <w:rPr>
          <w:rFonts w:ascii="Bookman Old Style" w:hAnsi="Bookman Old Style"/>
          <w:b w:val="0"/>
        </w:rPr>
        <w:t>-cargos, a saber:</w:t>
      </w:r>
      <w:r w:rsidRPr="000038D2">
        <w:rPr>
          <w:rFonts w:ascii="Bookman Old Style" w:hAnsi="Bookman Old Style"/>
          <w:b w:val="0"/>
        </w:rPr>
        <w:t xml:space="preserve"> </w:t>
      </w:r>
    </w:p>
    <w:p w:rsidR="00BB0B22" w:rsidRDefault="00BB0B22" w:rsidP="00BB0B22">
      <w:pPr>
        <w:pStyle w:val="Textoindependiente"/>
        <w:ind w:left="0"/>
        <w:jc w:val="both"/>
        <w:rPr>
          <w:rFonts w:ascii="Bookman Old Style" w:hAnsi="Bookman Old Style"/>
          <w:b w:val="0"/>
        </w:rPr>
      </w:pPr>
    </w:p>
    <w:p w:rsidR="00BB0B22" w:rsidRPr="000038D2" w:rsidRDefault="00BB0B22" w:rsidP="00BB0B22">
      <w:pPr>
        <w:pStyle w:val="Textoindependiente"/>
        <w:ind w:left="0"/>
        <w:jc w:val="both"/>
        <w:rPr>
          <w:rFonts w:ascii="Bookman Old Style" w:hAnsi="Bookman Old Style"/>
          <w:b w:val="0"/>
        </w:rPr>
      </w:pPr>
      <w:r>
        <w:rPr>
          <w:rFonts w:ascii="Bookman Old Style" w:hAnsi="Bookman Old Style"/>
          <w:b w:val="0"/>
        </w:rPr>
        <w:t xml:space="preserve">El primer (1) sub-cargo que se planeta en el recurso, es </w:t>
      </w:r>
      <w:r w:rsidRPr="000038D2">
        <w:rPr>
          <w:rFonts w:ascii="Bookman Old Style" w:hAnsi="Bookman Old Style"/>
          <w:b w:val="0"/>
        </w:rPr>
        <w:t>la no consideración por parte de la CREG</w:t>
      </w:r>
      <w:r>
        <w:rPr>
          <w:rFonts w:ascii="Bookman Old Style" w:hAnsi="Bookman Old Style"/>
          <w:b w:val="0"/>
        </w:rPr>
        <w:t xml:space="preserve"> en la actuación administrativa 2011-0049 o en la Resolución CREG 104 de 2011, </w:t>
      </w:r>
      <w:r w:rsidRPr="000038D2">
        <w:rPr>
          <w:rFonts w:ascii="Bookman Old Style" w:hAnsi="Bookman Old Style"/>
          <w:b w:val="0"/>
        </w:rPr>
        <w:t>los argumentos expuestos por EPM en las comunicaciones E-2010-012362 del 30 de diciembre de 2010, E-2011-001370 del 11 de febrero de 2011, E-2011-006348 del 1° de julio de 2011 ni E-2011-09426 del 4 de octubre de 2011</w:t>
      </w:r>
      <w:r>
        <w:rPr>
          <w:rFonts w:ascii="Bookman Old Style" w:hAnsi="Bookman Old Style"/>
          <w:b w:val="0"/>
        </w:rPr>
        <w:t xml:space="preserve">.  </w:t>
      </w:r>
    </w:p>
    <w:p w:rsidR="00BB0B22" w:rsidRPr="000F407A" w:rsidRDefault="00BB0B22" w:rsidP="00BB0B22">
      <w:pPr>
        <w:pStyle w:val="Textoindependiente"/>
        <w:ind w:left="0"/>
        <w:jc w:val="both"/>
        <w:rPr>
          <w:rFonts w:ascii="Bookman Old Style" w:hAnsi="Bookman Old Style"/>
        </w:rPr>
      </w:pPr>
    </w:p>
    <w:p w:rsidR="00BB0B22" w:rsidRDefault="00BB0B22" w:rsidP="00755CDB">
      <w:pPr>
        <w:pStyle w:val="Textoindependiente"/>
        <w:ind w:left="0"/>
        <w:jc w:val="both"/>
        <w:rPr>
          <w:rFonts w:ascii="Bookman Old Style" w:hAnsi="Bookman Old Style"/>
          <w:b w:val="0"/>
        </w:rPr>
      </w:pPr>
      <w:r>
        <w:rPr>
          <w:rFonts w:ascii="Bookman Old Style" w:hAnsi="Bookman Old Style"/>
          <w:b w:val="0"/>
        </w:rPr>
        <w:t xml:space="preserve">Para una mejor </w:t>
      </w:r>
      <w:r w:rsidR="00FB2B66">
        <w:rPr>
          <w:rFonts w:ascii="Bookman Old Style" w:hAnsi="Bookman Old Style"/>
          <w:b w:val="0"/>
        </w:rPr>
        <w:t>respuesta</w:t>
      </w:r>
      <w:r>
        <w:rPr>
          <w:rFonts w:ascii="Bookman Old Style" w:hAnsi="Bookman Old Style"/>
          <w:b w:val="0"/>
        </w:rPr>
        <w:t xml:space="preserve"> a este interrogante, procederá la CREG a dar solución al mismo.</w:t>
      </w:r>
    </w:p>
    <w:p w:rsidR="00BB0B22" w:rsidRDefault="00BB0B22" w:rsidP="00755CDB">
      <w:pPr>
        <w:pStyle w:val="Textoindependiente"/>
        <w:ind w:left="0"/>
        <w:jc w:val="both"/>
        <w:rPr>
          <w:rFonts w:ascii="Bookman Old Style" w:hAnsi="Bookman Old Style"/>
          <w:b w:val="0"/>
        </w:rPr>
      </w:pPr>
    </w:p>
    <w:p w:rsidR="00174A45" w:rsidRDefault="00FB2B66" w:rsidP="00755CDB">
      <w:pPr>
        <w:pStyle w:val="Textoindependiente"/>
        <w:ind w:left="0"/>
        <w:jc w:val="both"/>
        <w:rPr>
          <w:rFonts w:ascii="Bookman Old Style" w:hAnsi="Bookman Old Style"/>
          <w:b w:val="0"/>
        </w:rPr>
      </w:pPr>
      <w:r>
        <w:rPr>
          <w:rFonts w:ascii="Bookman Old Style" w:hAnsi="Bookman Old Style"/>
          <w:b w:val="0"/>
        </w:rPr>
        <w:t xml:space="preserve">Lo primero que </w:t>
      </w:r>
      <w:r w:rsidR="00BB0B22">
        <w:rPr>
          <w:rFonts w:ascii="Bookman Old Style" w:hAnsi="Bookman Old Style"/>
          <w:b w:val="0"/>
        </w:rPr>
        <w:t xml:space="preserve">debe </w:t>
      </w:r>
      <w:r>
        <w:rPr>
          <w:rFonts w:ascii="Bookman Old Style" w:hAnsi="Bookman Old Style"/>
          <w:b w:val="0"/>
        </w:rPr>
        <w:t xml:space="preserve">realizar la CREG para demostrar la existencia o no, de dicho argumento, consiste en remitirse al contenido de </w:t>
      </w:r>
      <w:r w:rsidR="00BB0B22">
        <w:rPr>
          <w:rFonts w:ascii="Bookman Old Style" w:hAnsi="Bookman Old Style"/>
          <w:b w:val="0"/>
        </w:rPr>
        <w:t>cada una de las comunicaciones</w:t>
      </w:r>
      <w:r w:rsidR="00174A45">
        <w:rPr>
          <w:rFonts w:ascii="Bookman Old Style" w:hAnsi="Bookman Old Style"/>
          <w:b w:val="0"/>
        </w:rPr>
        <w:t xml:space="preserve"> </w:t>
      </w:r>
      <w:r>
        <w:rPr>
          <w:rFonts w:ascii="Bookman Old Style" w:hAnsi="Bookman Old Style"/>
          <w:b w:val="0"/>
        </w:rPr>
        <w:t>de</w:t>
      </w:r>
      <w:r w:rsidR="00174A45">
        <w:rPr>
          <w:rFonts w:ascii="Bookman Old Style" w:hAnsi="Bookman Old Style"/>
          <w:b w:val="0"/>
        </w:rPr>
        <w:t xml:space="preserve"> EPM.</w:t>
      </w:r>
    </w:p>
    <w:p w:rsidR="00174A45" w:rsidRDefault="00174A45" w:rsidP="00755CDB">
      <w:pPr>
        <w:pStyle w:val="Textoindependiente"/>
        <w:ind w:left="0"/>
        <w:jc w:val="both"/>
        <w:rPr>
          <w:rFonts w:ascii="Bookman Old Style" w:hAnsi="Bookman Old Style"/>
          <w:b w:val="0"/>
        </w:rPr>
      </w:pPr>
    </w:p>
    <w:p w:rsidR="00174A45" w:rsidRDefault="00174A45" w:rsidP="00755CDB">
      <w:pPr>
        <w:pStyle w:val="Textoindependiente"/>
        <w:ind w:left="0"/>
        <w:jc w:val="both"/>
        <w:rPr>
          <w:rFonts w:ascii="Bookman Old Style" w:hAnsi="Bookman Old Style"/>
          <w:b w:val="0"/>
        </w:rPr>
      </w:pPr>
      <w:r>
        <w:rPr>
          <w:rFonts w:ascii="Bookman Old Style" w:hAnsi="Bookman Old Style"/>
          <w:b w:val="0"/>
        </w:rPr>
        <w:t>Los documentos</w:t>
      </w:r>
      <w:r w:rsidR="006D3EAF">
        <w:rPr>
          <w:rFonts w:ascii="Bookman Old Style" w:hAnsi="Bookman Old Style"/>
          <w:b w:val="0"/>
        </w:rPr>
        <w:t xml:space="preserve"> mencionados por </w:t>
      </w:r>
      <w:r>
        <w:rPr>
          <w:rFonts w:ascii="Bookman Old Style" w:hAnsi="Bookman Old Style"/>
          <w:b w:val="0"/>
        </w:rPr>
        <w:t xml:space="preserve">EPM </w:t>
      </w:r>
      <w:r w:rsidR="006D3EAF">
        <w:rPr>
          <w:rFonts w:ascii="Bookman Old Style" w:hAnsi="Bookman Old Style"/>
          <w:b w:val="0"/>
        </w:rPr>
        <w:t>como dejados de considerar por la CREG</w:t>
      </w:r>
      <w:r>
        <w:rPr>
          <w:rFonts w:ascii="Bookman Old Style" w:hAnsi="Bookman Old Style"/>
          <w:b w:val="0"/>
        </w:rPr>
        <w:t xml:space="preserve">, </w:t>
      </w:r>
      <w:r w:rsidR="006D3EAF">
        <w:rPr>
          <w:rFonts w:ascii="Bookman Old Style" w:hAnsi="Bookman Old Style"/>
          <w:b w:val="0"/>
        </w:rPr>
        <w:t>dicen</w:t>
      </w:r>
      <w:r>
        <w:rPr>
          <w:rFonts w:ascii="Bookman Old Style" w:hAnsi="Bookman Old Style"/>
          <w:b w:val="0"/>
        </w:rPr>
        <w:t xml:space="preserve"> lo siguiente:</w:t>
      </w:r>
    </w:p>
    <w:p w:rsidR="00174A45" w:rsidRPr="00174A45" w:rsidRDefault="00174A45" w:rsidP="00174A45">
      <w:pPr>
        <w:pStyle w:val="Textoindependiente"/>
        <w:ind w:left="0"/>
        <w:jc w:val="both"/>
        <w:rPr>
          <w:rFonts w:ascii="Bookman Old Style" w:hAnsi="Bookman Old Style"/>
          <w:b w:val="0"/>
        </w:rPr>
      </w:pPr>
    </w:p>
    <w:p w:rsidR="009F720B" w:rsidRPr="009F720B" w:rsidRDefault="00692CE9" w:rsidP="00174A45">
      <w:pPr>
        <w:pStyle w:val="Textoindependiente"/>
        <w:numPr>
          <w:ilvl w:val="0"/>
          <w:numId w:val="31"/>
        </w:numPr>
        <w:jc w:val="both"/>
        <w:rPr>
          <w:rFonts w:ascii="Bookman Old Style" w:hAnsi="Bookman Old Style"/>
          <w:b w:val="0"/>
          <w:i/>
        </w:rPr>
      </w:pPr>
      <w:r>
        <w:rPr>
          <w:rFonts w:ascii="Bookman Old Style" w:hAnsi="Bookman Old Style"/>
          <w:b w:val="0"/>
        </w:rPr>
        <w:t xml:space="preserve">Petición </w:t>
      </w:r>
      <w:r w:rsidR="00174A45" w:rsidRPr="00174A45">
        <w:rPr>
          <w:rFonts w:ascii="Bookman Old Style" w:hAnsi="Bookman Old Style"/>
          <w:b w:val="0"/>
        </w:rPr>
        <w:t>del 30 de diciembre del 2010, bajo el Rad. CREG E-2010-012362</w:t>
      </w:r>
      <w:r w:rsidR="00174A45">
        <w:rPr>
          <w:rFonts w:ascii="Bookman Old Style" w:hAnsi="Bookman Old Style"/>
          <w:b w:val="0"/>
        </w:rPr>
        <w:t xml:space="preserve"> (18 folios)</w:t>
      </w:r>
      <w:r w:rsidR="00174A45" w:rsidRPr="00174A45">
        <w:rPr>
          <w:rFonts w:ascii="Bookman Old Style" w:hAnsi="Bookman Old Style"/>
          <w:b w:val="0"/>
        </w:rPr>
        <w:t xml:space="preserve">, en el cual se dice: </w:t>
      </w:r>
    </w:p>
    <w:p w:rsidR="009F720B" w:rsidRDefault="009F720B" w:rsidP="009F720B">
      <w:pPr>
        <w:pStyle w:val="Textoindependiente"/>
        <w:ind w:left="360"/>
        <w:jc w:val="both"/>
        <w:rPr>
          <w:rFonts w:ascii="Bookman Old Style" w:hAnsi="Bookman Old Style"/>
          <w:b w:val="0"/>
        </w:rPr>
      </w:pPr>
    </w:p>
    <w:p w:rsidR="005F0957" w:rsidRDefault="00174A45" w:rsidP="009F720B">
      <w:pPr>
        <w:ind w:left="872" w:right="826"/>
        <w:jc w:val="both"/>
        <w:rPr>
          <w:rFonts w:ascii="Bookman Old Style" w:hAnsi="Bookman Old Style"/>
          <w:i/>
          <w:sz w:val="22"/>
          <w:szCs w:val="22"/>
        </w:rPr>
      </w:pPr>
      <w:r w:rsidRPr="009F720B">
        <w:rPr>
          <w:rFonts w:ascii="Bookman Old Style" w:hAnsi="Bookman Old Style"/>
          <w:sz w:val="22"/>
          <w:szCs w:val="22"/>
        </w:rPr>
        <w:t>“</w:t>
      </w:r>
      <w:r w:rsidR="009F720B" w:rsidRPr="009F720B">
        <w:rPr>
          <w:rFonts w:ascii="Bookman Old Style" w:hAnsi="Bookman Old Style"/>
          <w:sz w:val="22"/>
          <w:szCs w:val="22"/>
        </w:rPr>
        <w:t>(</w:t>
      </w:r>
      <w:r w:rsidRPr="009F720B">
        <w:rPr>
          <w:rFonts w:ascii="Bookman Old Style" w:hAnsi="Bookman Old Style" w:cs="Arial"/>
          <w:i/>
          <w:sz w:val="22"/>
          <w:szCs w:val="22"/>
        </w:rPr>
        <w:t>…</w:t>
      </w:r>
      <w:r w:rsidR="009F720B" w:rsidRPr="009F720B">
        <w:rPr>
          <w:rFonts w:ascii="Bookman Old Style" w:hAnsi="Bookman Old Style"/>
          <w:i/>
          <w:sz w:val="22"/>
          <w:szCs w:val="22"/>
        </w:rPr>
        <w:t xml:space="preserve">) </w:t>
      </w:r>
    </w:p>
    <w:p w:rsidR="005F0957" w:rsidRDefault="005F0957" w:rsidP="005F0957">
      <w:pPr>
        <w:ind w:left="872" w:right="826"/>
        <w:jc w:val="both"/>
        <w:rPr>
          <w:rFonts w:ascii="Bookman Old Style" w:hAnsi="Bookman Old Style"/>
          <w:sz w:val="22"/>
          <w:szCs w:val="22"/>
        </w:rPr>
      </w:pPr>
    </w:p>
    <w:p w:rsidR="005F0957" w:rsidRPr="005F0957" w:rsidRDefault="005F0957" w:rsidP="005F0957">
      <w:pPr>
        <w:ind w:left="872" w:right="826"/>
        <w:jc w:val="both"/>
        <w:rPr>
          <w:rFonts w:ascii="Bookman Old Style" w:hAnsi="Bookman Old Style"/>
          <w:i/>
          <w:sz w:val="22"/>
          <w:szCs w:val="22"/>
        </w:rPr>
      </w:pPr>
      <w:r w:rsidRPr="005F0957">
        <w:rPr>
          <w:rFonts w:ascii="Bookman Old Style" w:hAnsi="Bookman Old Style"/>
          <w:i/>
          <w:sz w:val="22"/>
          <w:szCs w:val="22"/>
        </w:rPr>
        <w:t xml:space="preserve">Asunto: </w:t>
      </w:r>
      <w:r w:rsidRPr="005F0957">
        <w:rPr>
          <w:rFonts w:ascii="Bookman Old Style" w:hAnsi="Bookman Old Style"/>
          <w:i/>
          <w:sz w:val="22"/>
          <w:szCs w:val="22"/>
        </w:rPr>
        <w:tab/>
        <w:t>Proyecto Hidroeléctrico Porce IV.</w:t>
      </w:r>
    </w:p>
    <w:p w:rsidR="005F0957" w:rsidRPr="005F0957" w:rsidRDefault="005F0957" w:rsidP="005F0957">
      <w:pPr>
        <w:ind w:left="2124" w:right="826"/>
        <w:jc w:val="both"/>
        <w:rPr>
          <w:rFonts w:ascii="Bookman Old Style" w:hAnsi="Bookman Old Style"/>
          <w:i/>
          <w:sz w:val="22"/>
          <w:szCs w:val="22"/>
        </w:rPr>
      </w:pPr>
      <w:r w:rsidRPr="005F0957">
        <w:rPr>
          <w:rFonts w:ascii="Bookman Old Style" w:hAnsi="Bookman Old Style"/>
          <w:i/>
          <w:sz w:val="22"/>
          <w:szCs w:val="22"/>
        </w:rPr>
        <w:t>Solicitud de inicio de actuación administrativa para el reconocimiento de un evento eximente de responsabilidad.</w:t>
      </w:r>
    </w:p>
    <w:p w:rsidR="005F0957" w:rsidRPr="005F0957" w:rsidRDefault="005F0957" w:rsidP="005F0957">
      <w:pPr>
        <w:ind w:left="872" w:right="826"/>
        <w:jc w:val="both"/>
        <w:rPr>
          <w:rFonts w:ascii="Bookman Old Style" w:hAnsi="Bookman Old Style"/>
          <w:i/>
          <w:sz w:val="22"/>
          <w:szCs w:val="22"/>
        </w:rPr>
      </w:pPr>
    </w:p>
    <w:p w:rsidR="005F0957" w:rsidRDefault="005F0957" w:rsidP="009F720B">
      <w:pPr>
        <w:ind w:left="872" w:right="826"/>
        <w:jc w:val="both"/>
        <w:rPr>
          <w:rFonts w:ascii="Bookman Old Style" w:hAnsi="Bookman Old Style" w:cs="Arial"/>
          <w:i/>
          <w:sz w:val="22"/>
          <w:szCs w:val="22"/>
        </w:rPr>
      </w:pPr>
      <w:r>
        <w:rPr>
          <w:rFonts w:ascii="Bookman Old Style" w:hAnsi="Bookman Old Style" w:cs="Arial"/>
          <w:i/>
          <w:sz w:val="22"/>
          <w:szCs w:val="22"/>
        </w:rPr>
        <w:t>(…)</w:t>
      </w:r>
    </w:p>
    <w:p w:rsidR="005F0957" w:rsidRDefault="005F0957" w:rsidP="009F720B">
      <w:pPr>
        <w:ind w:left="872" w:right="826"/>
        <w:jc w:val="both"/>
        <w:rPr>
          <w:rFonts w:ascii="Bookman Old Style" w:hAnsi="Bookman Old Style" w:cs="Arial"/>
          <w:i/>
          <w:sz w:val="22"/>
          <w:szCs w:val="22"/>
        </w:rPr>
      </w:pPr>
    </w:p>
    <w:p w:rsidR="009F720B" w:rsidRPr="009F720B" w:rsidRDefault="00174A45" w:rsidP="009F720B">
      <w:pPr>
        <w:ind w:left="872" w:right="826"/>
        <w:jc w:val="both"/>
        <w:rPr>
          <w:rFonts w:ascii="Bookman Old Style" w:hAnsi="Bookman Old Style" w:cs="Arial"/>
          <w:i/>
          <w:sz w:val="22"/>
          <w:szCs w:val="22"/>
        </w:rPr>
      </w:pPr>
      <w:r w:rsidRPr="009F720B">
        <w:rPr>
          <w:rFonts w:ascii="Bookman Old Style" w:hAnsi="Bookman Old Style" w:cs="Arial"/>
          <w:i/>
          <w:sz w:val="22"/>
          <w:szCs w:val="22"/>
        </w:rPr>
        <w:t xml:space="preserve">Con fundamento en todo lo anterior y previo el trámite de una actuación administrativa que permita la verificación de los hechos expuestos, respetuosamente se solicita a la Comisión de Regulación de Energía y Gas, </w:t>
      </w:r>
    </w:p>
    <w:p w:rsidR="009F720B" w:rsidRPr="009F720B" w:rsidRDefault="009F720B" w:rsidP="009F720B">
      <w:pPr>
        <w:ind w:left="872" w:right="826"/>
        <w:jc w:val="both"/>
        <w:rPr>
          <w:rFonts w:ascii="Bookman Old Style" w:hAnsi="Bookman Old Style" w:cs="Arial"/>
          <w:i/>
          <w:sz w:val="22"/>
          <w:szCs w:val="22"/>
        </w:rPr>
      </w:pPr>
    </w:p>
    <w:p w:rsidR="009F720B" w:rsidRPr="009F720B" w:rsidRDefault="00174A45" w:rsidP="009F720B">
      <w:pPr>
        <w:pStyle w:val="Prrafodelista"/>
        <w:numPr>
          <w:ilvl w:val="0"/>
          <w:numId w:val="34"/>
        </w:numPr>
        <w:ind w:right="826"/>
        <w:jc w:val="both"/>
        <w:rPr>
          <w:rFonts w:ascii="Bookman Old Style" w:hAnsi="Bookman Old Style"/>
          <w:b/>
          <w:i/>
          <w:sz w:val="22"/>
          <w:szCs w:val="22"/>
        </w:rPr>
      </w:pPr>
      <w:r w:rsidRPr="009F720B">
        <w:rPr>
          <w:rFonts w:ascii="Bookman Old Style" w:hAnsi="Bookman Old Style" w:cs="Arial"/>
          <w:i/>
          <w:sz w:val="22"/>
          <w:szCs w:val="22"/>
        </w:rPr>
        <w:t>Reconocer que la no entrada en operación del Proyecto Hidroeléctrico Porce IV en la Fecha de Entrada Declarada (1 de diciembre de 2015), obedece a hechos imprevisibles e irresistibles que eximen de responsabilidad a EPM; y consecuentemente,</w:t>
      </w:r>
    </w:p>
    <w:p w:rsidR="009F720B" w:rsidRPr="009F720B" w:rsidRDefault="009F720B" w:rsidP="009F720B">
      <w:pPr>
        <w:pStyle w:val="Prrafodelista"/>
        <w:ind w:left="1952" w:right="826"/>
        <w:jc w:val="both"/>
        <w:rPr>
          <w:rFonts w:ascii="Bookman Old Style" w:hAnsi="Bookman Old Style"/>
          <w:b/>
          <w:i/>
          <w:sz w:val="22"/>
          <w:szCs w:val="22"/>
        </w:rPr>
      </w:pPr>
    </w:p>
    <w:p w:rsidR="00CD2866" w:rsidRPr="009F720B" w:rsidRDefault="00174A45" w:rsidP="009F720B">
      <w:pPr>
        <w:pStyle w:val="Prrafodelista"/>
        <w:numPr>
          <w:ilvl w:val="0"/>
          <w:numId w:val="34"/>
        </w:numPr>
        <w:ind w:right="826"/>
        <w:jc w:val="both"/>
        <w:rPr>
          <w:rFonts w:ascii="Bookman Old Style" w:hAnsi="Bookman Old Style"/>
          <w:b/>
          <w:i/>
          <w:sz w:val="22"/>
          <w:szCs w:val="22"/>
        </w:rPr>
      </w:pPr>
      <w:r w:rsidRPr="009F720B">
        <w:rPr>
          <w:rFonts w:ascii="Bookman Old Style" w:hAnsi="Bookman Old Style" w:cs="Arial"/>
          <w:i/>
          <w:sz w:val="22"/>
          <w:szCs w:val="22"/>
        </w:rPr>
        <w:t>Disponer que XM S.A E.S.P. no debe hacer efectiva la garantía otorgada por EPM para amparar el cumplimiento de la obligación de entrada en operación del Proyecto Hidroeléctrico Porce IV, la cual fue emitida por BNP PARIBAS NY, por una cuantía de USD 13.831.830,29 y una vigencia hasta el 8 de abril de 2011…</w:t>
      </w:r>
      <w:r w:rsidRPr="009F720B">
        <w:rPr>
          <w:rFonts w:ascii="Bookman Old Style" w:hAnsi="Bookman Old Style"/>
          <w:sz w:val="22"/>
          <w:szCs w:val="22"/>
        </w:rPr>
        <w:t>”</w:t>
      </w:r>
    </w:p>
    <w:p w:rsidR="00174A45" w:rsidRPr="009F720B" w:rsidRDefault="00174A45" w:rsidP="00174A45">
      <w:pPr>
        <w:pStyle w:val="Prrafodelista"/>
        <w:rPr>
          <w:rFonts w:ascii="Bookman Old Style" w:hAnsi="Bookman Old Style"/>
          <w:b/>
          <w:i/>
          <w:sz w:val="22"/>
          <w:szCs w:val="22"/>
        </w:rPr>
      </w:pPr>
    </w:p>
    <w:p w:rsidR="009F720B" w:rsidRPr="009F720B" w:rsidRDefault="00174A45" w:rsidP="00174A45">
      <w:pPr>
        <w:pStyle w:val="Textoindependiente"/>
        <w:numPr>
          <w:ilvl w:val="0"/>
          <w:numId w:val="31"/>
        </w:numPr>
        <w:jc w:val="both"/>
        <w:rPr>
          <w:rFonts w:ascii="Bookman Old Style" w:hAnsi="Bookman Old Style"/>
          <w:b w:val="0"/>
          <w:i/>
        </w:rPr>
      </w:pPr>
      <w:r w:rsidRPr="00174A45">
        <w:rPr>
          <w:rFonts w:ascii="Bookman Old Style" w:hAnsi="Bookman Old Style"/>
          <w:b w:val="0"/>
        </w:rPr>
        <w:t>D</w:t>
      </w:r>
      <w:r w:rsidR="00692CE9">
        <w:rPr>
          <w:rFonts w:ascii="Bookman Old Style" w:hAnsi="Bookman Old Style"/>
          <w:b w:val="0"/>
        </w:rPr>
        <w:t>ocumento</w:t>
      </w:r>
      <w:r w:rsidRPr="00174A45">
        <w:rPr>
          <w:rFonts w:ascii="Bookman Old Style" w:hAnsi="Bookman Old Style"/>
          <w:b w:val="0"/>
        </w:rPr>
        <w:t xml:space="preserve"> del </w:t>
      </w:r>
      <w:r>
        <w:rPr>
          <w:rFonts w:ascii="Bookman Old Style" w:hAnsi="Bookman Old Style"/>
          <w:b w:val="0"/>
        </w:rPr>
        <w:t>11</w:t>
      </w:r>
      <w:r w:rsidRPr="00174A45">
        <w:rPr>
          <w:rFonts w:ascii="Bookman Old Style" w:hAnsi="Bookman Old Style"/>
          <w:b w:val="0"/>
        </w:rPr>
        <w:t xml:space="preserve"> de </w:t>
      </w:r>
      <w:r>
        <w:rPr>
          <w:rFonts w:ascii="Bookman Old Style" w:hAnsi="Bookman Old Style"/>
          <w:b w:val="0"/>
        </w:rPr>
        <w:t xml:space="preserve">enero </w:t>
      </w:r>
      <w:r w:rsidRPr="00174A45">
        <w:rPr>
          <w:rFonts w:ascii="Bookman Old Style" w:hAnsi="Bookman Old Style"/>
          <w:b w:val="0"/>
        </w:rPr>
        <w:t>del 201</w:t>
      </w:r>
      <w:r>
        <w:rPr>
          <w:rFonts w:ascii="Bookman Old Style" w:hAnsi="Bookman Old Style"/>
          <w:b w:val="0"/>
        </w:rPr>
        <w:t>1</w:t>
      </w:r>
      <w:r w:rsidRPr="00174A45">
        <w:rPr>
          <w:rFonts w:ascii="Bookman Old Style" w:hAnsi="Bookman Old Style"/>
          <w:b w:val="0"/>
        </w:rPr>
        <w:t>, bajo el Rad. CREG E-201</w:t>
      </w:r>
      <w:r>
        <w:rPr>
          <w:rFonts w:ascii="Bookman Old Style" w:hAnsi="Bookman Old Style"/>
          <w:b w:val="0"/>
        </w:rPr>
        <w:t>1</w:t>
      </w:r>
      <w:r w:rsidRPr="00174A45">
        <w:rPr>
          <w:rFonts w:ascii="Bookman Old Style" w:hAnsi="Bookman Old Style"/>
          <w:b w:val="0"/>
        </w:rPr>
        <w:t>-0</w:t>
      </w:r>
      <w:r>
        <w:rPr>
          <w:rFonts w:ascii="Bookman Old Style" w:hAnsi="Bookman Old Style"/>
          <w:b w:val="0"/>
        </w:rPr>
        <w:t>00208 (1</w:t>
      </w:r>
      <w:r w:rsidR="00692CE9">
        <w:rPr>
          <w:rFonts w:ascii="Bookman Old Style" w:hAnsi="Bookman Old Style"/>
          <w:b w:val="0"/>
        </w:rPr>
        <w:t>1</w:t>
      </w:r>
      <w:r>
        <w:rPr>
          <w:rFonts w:ascii="Bookman Old Style" w:hAnsi="Bookman Old Style"/>
          <w:b w:val="0"/>
        </w:rPr>
        <w:t>8 folios)</w:t>
      </w:r>
      <w:r w:rsidRPr="00174A45">
        <w:rPr>
          <w:rFonts w:ascii="Bookman Old Style" w:hAnsi="Bookman Old Style"/>
          <w:b w:val="0"/>
        </w:rPr>
        <w:t xml:space="preserve">, en el cual se dice: </w:t>
      </w:r>
    </w:p>
    <w:p w:rsidR="009F720B" w:rsidRDefault="009F720B" w:rsidP="009F720B">
      <w:pPr>
        <w:pStyle w:val="Textoindependiente"/>
        <w:ind w:left="360"/>
        <w:jc w:val="both"/>
        <w:rPr>
          <w:rFonts w:ascii="Bookman Old Style" w:hAnsi="Bookman Old Style"/>
          <w:b w:val="0"/>
        </w:rPr>
      </w:pPr>
    </w:p>
    <w:p w:rsidR="005F0957" w:rsidRDefault="005F0957" w:rsidP="005F0957">
      <w:pPr>
        <w:ind w:left="872" w:right="826"/>
        <w:jc w:val="both"/>
        <w:rPr>
          <w:rFonts w:ascii="Bookman Old Style" w:hAnsi="Bookman Old Style"/>
          <w:i/>
          <w:sz w:val="22"/>
          <w:szCs w:val="22"/>
        </w:rPr>
      </w:pPr>
      <w:r w:rsidRPr="009F720B">
        <w:rPr>
          <w:rFonts w:ascii="Bookman Old Style" w:hAnsi="Bookman Old Style"/>
          <w:sz w:val="22"/>
          <w:szCs w:val="22"/>
        </w:rPr>
        <w:lastRenderedPageBreak/>
        <w:t>“(</w:t>
      </w:r>
      <w:r w:rsidRPr="009F720B">
        <w:rPr>
          <w:rFonts w:ascii="Bookman Old Style" w:hAnsi="Bookman Old Style" w:cs="Arial"/>
          <w:i/>
          <w:sz w:val="22"/>
          <w:szCs w:val="22"/>
        </w:rPr>
        <w:t>…</w:t>
      </w:r>
      <w:r w:rsidRPr="009F720B">
        <w:rPr>
          <w:rFonts w:ascii="Bookman Old Style" w:hAnsi="Bookman Old Style"/>
          <w:i/>
          <w:sz w:val="22"/>
          <w:szCs w:val="22"/>
        </w:rPr>
        <w:t xml:space="preserve">) </w:t>
      </w:r>
    </w:p>
    <w:p w:rsidR="005F0957" w:rsidRDefault="005F0957" w:rsidP="005F0957">
      <w:pPr>
        <w:ind w:left="872" w:right="826"/>
        <w:jc w:val="both"/>
        <w:rPr>
          <w:rFonts w:ascii="Bookman Old Style" w:hAnsi="Bookman Old Style"/>
          <w:sz w:val="22"/>
          <w:szCs w:val="22"/>
        </w:rPr>
      </w:pPr>
    </w:p>
    <w:p w:rsidR="005F0957" w:rsidRPr="005F0957" w:rsidRDefault="005F0957" w:rsidP="005F0957">
      <w:pPr>
        <w:ind w:left="872" w:right="826"/>
        <w:jc w:val="both"/>
        <w:rPr>
          <w:rFonts w:ascii="Bookman Old Style" w:hAnsi="Bookman Old Style"/>
          <w:i/>
          <w:sz w:val="22"/>
          <w:szCs w:val="22"/>
        </w:rPr>
      </w:pPr>
      <w:r w:rsidRPr="005F0957">
        <w:rPr>
          <w:rFonts w:ascii="Bookman Old Style" w:hAnsi="Bookman Old Style"/>
          <w:i/>
          <w:sz w:val="22"/>
          <w:szCs w:val="22"/>
        </w:rPr>
        <w:t xml:space="preserve">Asunto: </w:t>
      </w:r>
      <w:r w:rsidRPr="005F0957">
        <w:rPr>
          <w:rFonts w:ascii="Bookman Old Style" w:hAnsi="Bookman Old Style"/>
          <w:i/>
          <w:sz w:val="22"/>
          <w:szCs w:val="22"/>
        </w:rPr>
        <w:tab/>
        <w:t>Proyecto Hidroeléctrico Porce IV.</w:t>
      </w:r>
    </w:p>
    <w:p w:rsidR="00CE0138" w:rsidRDefault="00CE0138" w:rsidP="005F0957">
      <w:pPr>
        <w:ind w:left="2124" w:right="826"/>
        <w:jc w:val="both"/>
        <w:rPr>
          <w:rFonts w:ascii="Bookman Old Style" w:hAnsi="Bookman Old Style"/>
          <w:i/>
          <w:sz w:val="22"/>
          <w:szCs w:val="22"/>
        </w:rPr>
      </w:pPr>
    </w:p>
    <w:p w:rsidR="00CE0138" w:rsidRDefault="00CE0138" w:rsidP="005F0957">
      <w:pPr>
        <w:ind w:left="2124" w:right="826"/>
        <w:jc w:val="both"/>
        <w:rPr>
          <w:rFonts w:ascii="Bookman Old Style" w:hAnsi="Bookman Old Style"/>
          <w:i/>
          <w:sz w:val="22"/>
          <w:szCs w:val="22"/>
        </w:rPr>
      </w:pPr>
    </w:p>
    <w:p w:rsidR="005F0957" w:rsidRPr="005F0957" w:rsidRDefault="005F0957" w:rsidP="005F0957">
      <w:pPr>
        <w:ind w:left="2124" w:right="826"/>
        <w:jc w:val="both"/>
        <w:rPr>
          <w:rFonts w:ascii="Bookman Old Style" w:hAnsi="Bookman Old Style"/>
          <w:i/>
          <w:sz w:val="22"/>
          <w:szCs w:val="22"/>
        </w:rPr>
      </w:pPr>
      <w:r w:rsidRPr="005F0957">
        <w:rPr>
          <w:rFonts w:ascii="Bookman Old Style" w:hAnsi="Bookman Old Style"/>
          <w:i/>
          <w:sz w:val="22"/>
          <w:szCs w:val="22"/>
        </w:rPr>
        <w:t>Solicitud de inicio de actuación administrativa para el reconocimiento de un evento eximente de responsabilidad.</w:t>
      </w:r>
    </w:p>
    <w:p w:rsidR="005F0957" w:rsidRPr="005F0957" w:rsidRDefault="005F0957" w:rsidP="005F0957">
      <w:pPr>
        <w:ind w:left="872" w:right="826"/>
        <w:jc w:val="both"/>
        <w:rPr>
          <w:rFonts w:ascii="Bookman Old Style" w:hAnsi="Bookman Old Style"/>
          <w:i/>
          <w:sz w:val="22"/>
          <w:szCs w:val="22"/>
        </w:rPr>
      </w:pPr>
    </w:p>
    <w:p w:rsidR="005F0957" w:rsidRDefault="005F0957" w:rsidP="005F0957">
      <w:pPr>
        <w:ind w:left="872" w:right="826"/>
        <w:jc w:val="both"/>
        <w:rPr>
          <w:rFonts w:ascii="Bookman Old Style" w:hAnsi="Bookman Old Style" w:cs="Arial"/>
          <w:i/>
          <w:sz w:val="22"/>
          <w:szCs w:val="22"/>
        </w:rPr>
      </w:pPr>
      <w:r>
        <w:rPr>
          <w:rFonts w:ascii="Bookman Old Style" w:hAnsi="Bookman Old Style" w:cs="Arial"/>
          <w:i/>
          <w:sz w:val="22"/>
          <w:szCs w:val="22"/>
        </w:rPr>
        <w:t>(…)</w:t>
      </w:r>
    </w:p>
    <w:p w:rsidR="005F0957" w:rsidRDefault="005F0957" w:rsidP="009F720B">
      <w:pPr>
        <w:ind w:left="872" w:right="826"/>
        <w:jc w:val="both"/>
        <w:rPr>
          <w:rFonts w:ascii="Bookman Old Style" w:hAnsi="Bookman Old Style"/>
          <w:i/>
          <w:sz w:val="22"/>
          <w:szCs w:val="22"/>
        </w:rPr>
      </w:pPr>
    </w:p>
    <w:p w:rsidR="009F720B" w:rsidRPr="009F720B" w:rsidRDefault="009F720B" w:rsidP="009F720B">
      <w:pPr>
        <w:ind w:left="872" w:right="826"/>
        <w:jc w:val="both"/>
        <w:rPr>
          <w:rFonts w:ascii="Bookman Old Style" w:hAnsi="Bookman Old Style" w:cs="Arial"/>
          <w:i/>
          <w:sz w:val="22"/>
          <w:szCs w:val="22"/>
        </w:rPr>
      </w:pPr>
      <w:r w:rsidRPr="009F720B">
        <w:rPr>
          <w:rFonts w:ascii="Bookman Old Style" w:hAnsi="Bookman Old Style" w:cs="Arial"/>
          <w:i/>
          <w:sz w:val="22"/>
          <w:szCs w:val="22"/>
        </w:rPr>
        <w:t xml:space="preserve">Con fundamento en todo lo anterior y previo el trámite de una actuación administrativa que permita la verificación de los hechos expuestos, respetuosamente se solicita a la Comisión de Regulación de Energía y Gas, </w:t>
      </w:r>
    </w:p>
    <w:p w:rsidR="009F720B" w:rsidRPr="009F720B" w:rsidRDefault="009F720B" w:rsidP="009F720B">
      <w:pPr>
        <w:ind w:left="872" w:right="826"/>
        <w:jc w:val="both"/>
        <w:rPr>
          <w:rFonts w:ascii="Bookman Old Style" w:hAnsi="Bookman Old Style" w:cs="Arial"/>
          <w:i/>
          <w:sz w:val="22"/>
          <w:szCs w:val="22"/>
        </w:rPr>
      </w:pPr>
    </w:p>
    <w:p w:rsidR="009F720B" w:rsidRPr="009F720B" w:rsidRDefault="009F720B" w:rsidP="009F720B">
      <w:pPr>
        <w:pStyle w:val="Prrafodelista"/>
        <w:numPr>
          <w:ilvl w:val="0"/>
          <w:numId w:val="35"/>
        </w:numPr>
        <w:ind w:right="826"/>
        <w:jc w:val="both"/>
        <w:rPr>
          <w:rFonts w:ascii="Bookman Old Style" w:hAnsi="Bookman Old Style"/>
          <w:b/>
          <w:i/>
          <w:sz w:val="22"/>
          <w:szCs w:val="22"/>
        </w:rPr>
      </w:pPr>
      <w:r w:rsidRPr="009F720B">
        <w:rPr>
          <w:rFonts w:ascii="Bookman Old Style" w:hAnsi="Bookman Old Style" w:cs="Arial"/>
          <w:i/>
          <w:sz w:val="22"/>
          <w:szCs w:val="22"/>
        </w:rPr>
        <w:t>Reconocer que la no entrada en operación del Proyecto Hidroeléctrico Porce IV en la Fecha de Entrada Declarada (1 de diciembre de 2015), obedece a hechos imprevisibles e irresistibles que eximen de responsabilidad a EPM; y consecuentemente,</w:t>
      </w:r>
    </w:p>
    <w:p w:rsidR="009F720B" w:rsidRPr="009F720B" w:rsidRDefault="009F720B" w:rsidP="009F720B">
      <w:pPr>
        <w:pStyle w:val="Prrafodelista"/>
        <w:ind w:left="1952" w:right="826"/>
        <w:jc w:val="both"/>
        <w:rPr>
          <w:rFonts w:ascii="Bookman Old Style" w:hAnsi="Bookman Old Style"/>
          <w:b/>
          <w:i/>
          <w:sz w:val="22"/>
          <w:szCs w:val="22"/>
        </w:rPr>
      </w:pPr>
    </w:p>
    <w:p w:rsidR="009F720B" w:rsidRPr="009F720B" w:rsidRDefault="009F720B" w:rsidP="009F720B">
      <w:pPr>
        <w:pStyle w:val="Prrafodelista"/>
        <w:numPr>
          <w:ilvl w:val="0"/>
          <w:numId w:val="35"/>
        </w:numPr>
        <w:ind w:right="826"/>
        <w:jc w:val="both"/>
        <w:rPr>
          <w:rFonts w:ascii="Bookman Old Style" w:hAnsi="Bookman Old Style"/>
          <w:b/>
          <w:i/>
          <w:sz w:val="22"/>
          <w:szCs w:val="22"/>
        </w:rPr>
      </w:pPr>
      <w:r w:rsidRPr="009F720B">
        <w:rPr>
          <w:rFonts w:ascii="Bookman Old Style" w:hAnsi="Bookman Old Style" w:cs="Arial"/>
          <w:i/>
          <w:sz w:val="22"/>
          <w:szCs w:val="22"/>
        </w:rPr>
        <w:t>Disponer que XM S.A E.S.P. no debe hacer efectiva la garantía otorgada por EPM para amparar el cumplimiento de la obligación de entrada en operación del Proyecto Hidroeléctrico Porce IV, la cual fue emitida por BNP PARIBAS NY, por una cuantía de USD 13.831.830,29 y una vigencia hasta el 8 de abril de 2011…</w:t>
      </w:r>
      <w:r w:rsidRPr="009F720B">
        <w:rPr>
          <w:rFonts w:ascii="Bookman Old Style" w:hAnsi="Bookman Old Style"/>
          <w:sz w:val="22"/>
          <w:szCs w:val="22"/>
        </w:rPr>
        <w:t>”</w:t>
      </w:r>
    </w:p>
    <w:p w:rsidR="00174A45" w:rsidRPr="009F720B" w:rsidRDefault="00174A45" w:rsidP="00174A45">
      <w:pPr>
        <w:pStyle w:val="Textoindependiente"/>
        <w:ind w:left="360"/>
        <w:jc w:val="both"/>
        <w:rPr>
          <w:rFonts w:ascii="Bookman Old Style" w:hAnsi="Bookman Old Style"/>
          <w:b w:val="0"/>
          <w:i/>
          <w:lang w:val="es-CO"/>
        </w:rPr>
      </w:pPr>
    </w:p>
    <w:p w:rsidR="00692CE9" w:rsidRDefault="00692CE9" w:rsidP="00692CE9">
      <w:pPr>
        <w:pStyle w:val="Textoindependiente"/>
        <w:ind w:left="0"/>
        <w:jc w:val="both"/>
        <w:rPr>
          <w:rFonts w:ascii="Bookman Old Style" w:hAnsi="Bookman Old Style"/>
          <w:b w:val="0"/>
        </w:rPr>
      </w:pPr>
      <w:r w:rsidRPr="00692CE9">
        <w:rPr>
          <w:rFonts w:ascii="Bookman Old Style" w:hAnsi="Bookman Old Style"/>
          <w:b w:val="0"/>
        </w:rPr>
        <w:t>Nótese que se trata de la misma petición</w:t>
      </w:r>
      <w:r w:rsidR="006D1B2E">
        <w:rPr>
          <w:rFonts w:ascii="Bookman Old Style" w:hAnsi="Bookman Old Style"/>
          <w:b w:val="0"/>
        </w:rPr>
        <w:t xml:space="preserve"> a la del 30 de diciembre del 2010,</w:t>
      </w:r>
      <w:r w:rsidRPr="00692CE9">
        <w:rPr>
          <w:rFonts w:ascii="Bookman Old Style" w:hAnsi="Bookman Old Style"/>
          <w:b w:val="0"/>
        </w:rPr>
        <w:t xml:space="preserve"> cambiando únicamente los anexos de los mismo</w:t>
      </w:r>
      <w:r>
        <w:rPr>
          <w:rFonts w:ascii="Bookman Old Style" w:hAnsi="Bookman Old Style"/>
          <w:b w:val="0"/>
        </w:rPr>
        <w:t>s, es decir con la petición del 11 de enero del 2011, se complementa la petición del 30 de diciembre del 2010.</w:t>
      </w:r>
      <w:r w:rsidR="00E20727">
        <w:rPr>
          <w:rFonts w:ascii="Bookman Old Style" w:hAnsi="Bookman Old Style"/>
          <w:b w:val="0"/>
        </w:rPr>
        <w:t xml:space="preserve"> </w:t>
      </w:r>
    </w:p>
    <w:p w:rsidR="00E20727" w:rsidRDefault="00E20727" w:rsidP="00692CE9">
      <w:pPr>
        <w:pStyle w:val="Textoindependiente"/>
        <w:ind w:left="0"/>
        <w:jc w:val="both"/>
        <w:rPr>
          <w:rFonts w:ascii="Bookman Old Style" w:hAnsi="Bookman Old Style"/>
          <w:b w:val="0"/>
        </w:rPr>
      </w:pPr>
    </w:p>
    <w:p w:rsidR="00E20727" w:rsidRPr="00692CE9" w:rsidRDefault="00E20727" w:rsidP="00692CE9">
      <w:pPr>
        <w:pStyle w:val="Textoindependiente"/>
        <w:ind w:left="0"/>
        <w:jc w:val="both"/>
        <w:rPr>
          <w:rFonts w:ascii="Bookman Old Style" w:hAnsi="Bookman Old Style"/>
          <w:b w:val="0"/>
        </w:rPr>
      </w:pPr>
      <w:r>
        <w:rPr>
          <w:rFonts w:ascii="Bookman Old Style" w:hAnsi="Bookman Old Style"/>
          <w:b w:val="0"/>
        </w:rPr>
        <w:t>Esta petición no es incluida por EPM en el listado de comunicaciones supuestamente no consideradas por la CREG, pero la CREG respetuosa del debido proceso la ha tenido en cuenta.</w:t>
      </w:r>
    </w:p>
    <w:p w:rsidR="00692CE9" w:rsidRPr="00692CE9" w:rsidRDefault="00692CE9" w:rsidP="00692CE9">
      <w:pPr>
        <w:pStyle w:val="Textoindependiente"/>
        <w:ind w:left="360"/>
        <w:jc w:val="both"/>
        <w:rPr>
          <w:rFonts w:ascii="Bookman Old Style" w:hAnsi="Bookman Old Style"/>
          <w:b w:val="0"/>
          <w:i/>
        </w:rPr>
      </w:pPr>
    </w:p>
    <w:p w:rsidR="009F720B" w:rsidRPr="009F720B" w:rsidRDefault="00174A45" w:rsidP="00174A45">
      <w:pPr>
        <w:pStyle w:val="Textoindependiente"/>
        <w:numPr>
          <w:ilvl w:val="0"/>
          <w:numId w:val="31"/>
        </w:numPr>
        <w:jc w:val="both"/>
        <w:rPr>
          <w:rFonts w:ascii="Bookman Old Style" w:hAnsi="Bookman Old Style"/>
          <w:b w:val="0"/>
          <w:i/>
        </w:rPr>
      </w:pPr>
      <w:r w:rsidRPr="00174A45">
        <w:rPr>
          <w:rFonts w:ascii="Bookman Old Style" w:hAnsi="Bookman Old Style"/>
          <w:b w:val="0"/>
        </w:rPr>
        <w:t xml:space="preserve">Documento del </w:t>
      </w:r>
      <w:r>
        <w:rPr>
          <w:rFonts w:ascii="Bookman Old Style" w:hAnsi="Bookman Old Style"/>
          <w:b w:val="0"/>
        </w:rPr>
        <w:t>11</w:t>
      </w:r>
      <w:r w:rsidRPr="00174A45">
        <w:rPr>
          <w:rFonts w:ascii="Bookman Old Style" w:hAnsi="Bookman Old Style"/>
          <w:b w:val="0"/>
        </w:rPr>
        <w:t xml:space="preserve"> de </w:t>
      </w:r>
      <w:r w:rsidR="00692CE9">
        <w:rPr>
          <w:rFonts w:ascii="Bookman Old Style" w:hAnsi="Bookman Old Style"/>
          <w:b w:val="0"/>
        </w:rPr>
        <w:t xml:space="preserve">febrero </w:t>
      </w:r>
      <w:r w:rsidRPr="00174A45">
        <w:rPr>
          <w:rFonts w:ascii="Bookman Old Style" w:hAnsi="Bookman Old Style"/>
          <w:b w:val="0"/>
        </w:rPr>
        <w:t>del 201</w:t>
      </w:r>
      <w:r>
        <w:rPr>
          <w:rFonts w:ascii="Bookman Old Style" w:hAnsi="Bookman Old Style"/>
          <w:b w:val="0"/>
        </w:rPr>
        <w:t>1</w:t>
      </w:r>
      <w:r w:rsidRPr="00174A45">
        <w:rPr>
          <w:rFonts w:ascii="Bookman Old Style" w:hAnsi="Bookman Old Style"/>
          <w:b w:val="0"/>
        </w:rPr>
        <w:t>, bajo el Rad. CREG E-201</w:t>
      </w:r>
      <w:r>
        <w:rPr>
          <w:rFonts w:ascii="Bookman Old Style" w:hAnsi="Bookman Old Style"/>
          <w:b w:val="0"/>
        </w:rPr>
        <w:t>1</w:t>
      </w:r>
      <w:r w:rsidRPr="00174A45">
        <w:rPr>
          <w:rFonts w:ascii="Bookman Old Style" w:hAnsi="Bookman Old Style"/>
          <w:b w:val="0"/>
        </w:rPr>
        <w:t>-0</w:t>
      </w:r>
      <w:r>
        <w:rPr>
          <w:rFonts w:ascii="Bookman Old Style" w:hAnsi="Bookman Old Style"/>
          <w:b w:val="0"/>
        </w:rPr>
        <w:t>0</w:t>
      </w:r>
      <w:r w:rsidR="00692CE9">
        <w:rPr>
          <w:rFonts w:ascii="Bookman Old Style" w:hAnsi="Bookman Old Style"/>
          <w:b w:val="0"/>
        </w:rPr>
        <w:t>1370</w:t>
      </w:r>
      <w:r>
        <w:rPr>
          <w:rFonts w:ascii="Bookman Old Style" w:hAnsi="Bookman Old Style"/>
          <w:b w:val="0"/>
        </w:rPr>
        <w:t xml:space="preserve"> (</w:t>
      </w:r>
      <w:r w:rsidR="00692CE9">
        <w:rPr>
          <w:rFonts w:ascii="Bookman Old Style" w:hAnsi="Bookman Old Style"/>
          <w:b w:val="0"/>
        </w:rPr>
        <w:t>3</w:t>
      </w:r>
      <w:r>
        <w:rPr>
          <w:rFonts w:ascii="Bookman Old Style" w:hAnsi="Bookman Old Style"/>
          <w:b w:val="0"/>
        </w:rPr>
        <w:t xml:space="preserve"> folios)</w:t>
      </w:r>
      <w:r w:rsidRPr="00174A45">
        <w:rPr>
          <w:rFonts w:ascii="Bookman Old Style" w:hAnsi="Bookman Old Style"/>
          <w:b w:val="0"/>
        </w:rPr>
        <w:t xml:space="preserve">, en el cual se </w:t>
      </w:r>
      <w:r w:rsidR="00692CE9">
        <w:rPr>
          <w:rFonts w:ascii="Bookman Old Style" w:hAnsi="Bookman Old Style"/>
          <w:b w:val="0"/>
        </w:rPr>
        <w:t>dice</w:t>
      </w:r>
      <w:r w:rsidRPr="00174A45">
        <w:rPr>
          <w:rFonts w:ascii="Bookman Old Style" w:hAnsi="Bookman Old Style"/>
          <w:b w:val="0"/>
        </w:rPr>
        <w:t xml:space="preserve">: </w:t>
      </w:r>
    </w:p>
    <w:p w:rsidR="009F720B" w:rsidRDefault="009F720B" w:rsidP="009F720B">
      <w:pPr>
        <w:pStyle w:val="Textoindependiente"/>
        <w:ind w:left="360"/>
        <w:jc w:val="both"/>
        <w:rPr>
          <w:rFonts w:ascii="Bookman Old Style" w:hAnsi="Bookman Old Style"/>
          <w:b w:val="0"/>
        </w:rPr>
      </w:pPr>
    </w:p>
    <w:p w:rsidR="005F0957" w:rsidRDefault="005F0957" w:rsidP="005F0957">
      <w:pPr>
        <w:ind w:left="872" w:right="826"/>
        <w:jc w:val="both"/>
        <w:rPr>
          <w:rFonts w:ascii="Bookman Old Style" w:hAnsi="Bookman Old Style"/>
          <w:i/>
          <w:sz w:val="22"/>
          <w:szCs w:val="22"/>
        </w:rPr>
      </w:pPr>
      <w:r w:rsidRPr="009F720B">
        <w:rPr>
          <w:rFonts w:ascii="Bookman Old Style" w:hAnsi="Bookman Old Style"/>
          <w:sz w:val="22"/>
          <w:szCs w:val="22"/>
        </w:rPr>
        <w:t>“(</w:t>
      </w:r>
      <w:r w:rsidRPr="009F720B">
        <w:rPr>
          <w:rFonts w:ascii="Bookman Old Style" w:hAnsi="Bookman Old Style" w:cs="Arial"/>
          <w:i/>
          <w:sz w:val="22"/>
          <w:szCs w:val="22"/>
        </w:rPr>
        <w:t>…</w:t>
      </w:r>
      <w:r w:rsidRPr="009F720B">
        <w:rPr>
          <w:rFonts w:ascii="Bookman Old Style" w:hAnsi="Bookman Old Style"/>
          <w:i/>
          <w:sz w:val="22"/>
          <w:szCs w:val="22"/>
        </w:rPr>
        <w:t xml:space="preserve">) </w:t>
      </w:r>
    </w:p>
    <w:p w:rsidR="005F0957" w:rsidRDefault="005F0957" w:rsidP="005F0957">
      <w:pPr>
        <w:ind w:left="872" w:right="826"/>
        <w:jc w:val="both"/>
        <w:rPr>
          <w:rFonts w:ascii="Bookman Old Style" w:hAnsi="Bookman Old Style"/>
          <w:sz w:val="22"/>
          <w:szCs w:val="22"/>
        </w:rPr>
      </w:pPr>
    </w:p>
    <w:p w:rsidR="005F0957" w:rsidRPr="005F0957" w:rsidRDefault="005F0957" w:rsidP="005F0957">
      <w:pPr>
        <w:ind w:left="872" w:right="826"/>
        <w:jc w:val="both"/>
        <w:rPr>
          <w:rFonts w:ascii="Bookman Old Style" w:hAnsi="Bookman Old Style"/>
          <w:i/>
          <w:sz w:val="22"/>
          <w:szCs w:val="22"/>
        </w:rPr>
      </w:pPr>
      <w:r w:rsidRPr="005F0957">
        <w:rPr>
          <w:rFonts w:ascii="Bookman Old Style" w:hAnsi="Bookman Old Style"/>
          <w:i/>
          <w:sz w:val="22"/>
          <w:szCs w:val="22"/>
        </w:rPr>
        <w:t xml:space="preserve">Asunto: </w:t>
      </w:r>
      <w:r w:rsidRPr="005F0957">
        <w:rPr>
          <w:rFonts w:ascii="Bookman Old Style" w:hAnsi="Bookman Old Style"/>
          <w:i/>
          <w:sz w:val="22"/>
          <w:szCs w:val="22"/>
        </w:rPr>
        <w:tab/>
        <w:t>Proyecto Hidroeléctrico Porce IV.</w:t>
      </w:r>
    </w:p>
    <w:p w:rsidR="005F0957" w:rsidRPr="005F0957" w:rsidRDefault="005F0957" w:rsidP="005F0957">
      <w:pPr>
        <w:ind w:left="2124" w:right="826"/>
        <w:jc w:val="both"/>
        <w:rPr>
          <w:rFonts w:ascii="Bookman Old Style" w:hAnsi="Bookman Old Style"/>
          <w:i/>
          <w:sz w:val="22"/>
          <w:szCs w:val="22"/>
        </w:rPr>
      </w:pPr>
      <w:r w:rsidRPr="005F0957">
        <w:rPr>
          <w:rFonts w:ascii="Bookman Old Style" w:hAnsi="Bookman Old Style"/>
          <w:i/>
          <w:sz w:val="22"/>
          <w:szCs w:val="22"/>
        </w:rPr>
        <w:t>Solicitud de inicio de actuación administrativa para el reconocimiento de un evento eximente de responsabilidad.</w:t>
      </w:r>
    </w:p>
    <w:p w:rsidR="005F0957" w:rsidRPr="005F0957" w:rsidRDefault="005F0957" w:rsidP="005F0957">
      <w:pPr>
        <w:ind w:left="872" w:right="826"/>
        <w:jc w:val="both"/>
        <w:rPr>
          <w:rFonts w:ascii="Bookman Old Style" w:hAnsi="Bookman Old Style"/>
          <w:i/>
          <w:sz w:val="22"/>
          <w:szCs w:val="22"/>
        </w:rPr>
      </w:pPr>
    </w:p>
    <w:p w:rsidR="005F0957" w:rsidRDefault="005F0957" w:rsidP="005F0957">
      <w:pPr>
        <w:ind w:left="872" w:right="826"/>
        <w:jc w:val="both"/>
        <w:rPr>
          <w:rFonts w:ascii="Bookman Old Style" w:hAnsi="Bookman Old Style" w:cs="Arial"/>
          <w:i/>
          <w:sz w:val="22"/>
          <w:szCs w:val="22"/>
        </w:rPr>
      </w:pPr>
      <w:r>
        <w:rPr>
          <w:rFonts w:ascii="Bookman Old Style" w:hAnsi="Bookman Old Style" w:cs="Arial"/>
          <w:i/>
          <w:sz w:val="22"/>
          <w:szCs w:val="22"/>
        </w:rPr>
        <w:t>(…)</w:t>
      </w:r>
    </w:p>
    <w:p w:rsidR="005F0957" w:rsidRDefault="005F0957" w:rsidP="009F720B">
      <w:pPr>
        <w:ind w:left="872" w:right="826"/>
        <w:jc w:val="both"/>
        <w:rPr>
          <w:rFonts w:ascii="Bookman Old Style" w:hAnsi="Bookman Old Style"/>
          <w:i/>
          <w:sz w:val="22"/>
          <w:szCs w:val="22"/>
        </w:rPr>
      </w:pPr>
    </w:p>
    <w:p w:rsidR="009F720B" w:rsidRDefault="00692CE9" w:rsidP="009F720B">
      <w:pPr>
        <w:ind w:left="872" w:right="826"/>
        <w:jc w:val="both"/>
        <w:rPr>
          <w:rFonts w:ascii="Bookman Old Style" w:hAnsi="Bookman Old Style"/>
          <w:i/>
          <w:sz w:val="22"/>
          <w:szCs w:val="22"/>
        </w:rPr>
      </w:pPr>
      <w:r w:rsidRPr="009F720B">
        <w:rPr>
          <w:rFonts w:ascii="Bookman Old Style" w:hAnsi="Bookman Old Style"/>
          <w:i/>
          <w:sz w:val="22"/>
          <w:szCs w:val="22"/>
        </w:rPr>
        <w:t xml:space="preserve">Mediante el </w:t>
      </w:r>
      <w:r w:rsidR="00CD2DD6" w:rsidRPr="009F720B">
        <w:rPr>
          <w:rFonts w:ascii="Bookman Old Style" w:hAnsi="Bookman Old Style"/>
          <w:i/>
          <w:sz w:val="22"/>
          <w:szCs w:val="22"/>
        </w:rPr>
        <w:t>documento</w:t>
      </w:r>
      <w:r w:rsidRPr="009F720B">
        <w:rPr>
          <w:rFonts w:ascii="Bookman Old Style" w:hAnsi="Bookman Old Style"/>
          <w:i/>
          <w:sz w:val="22"/>
          <w:szCs w:val="22"/>
        </w:rPr>
        <w:t xml:space="preserve"> con el radicado en la </w:t>
      </w:r>
      <w:r w:rsidR="00CD2DD6" w:rsidRPr="009F720B">
        <w:rPr>
          <w:rFonts w:ascii="Bookman Old Style" w:hAnsi="Bookman Old Style"/>
          <w:i/>
          <w:sz w:val="22"/>
          <w:szCs w:val="22"/>
        </w:rPr>
        <w:t>Comisión</w:t>
      </w:r>
      <w:r w:rsidRPr="009F720B">
        <w:rPr>
          <w:rFonts w:ascii="Bookman Old Style" w:hAnsi="Bookman Old Style"/>
          <w:i/>
          <w:sz w:val="22"/>
          <w:szCs w:val="22"/>
        </w:rPr>
        <w:t xml:space="preserve"> de </w:t>
      </w:r>
      <w:r w:rsidR="00CD2DD6" w:rsidRPr="009F720B">
        <w:rPr>
          <w:rFonts w:ascii="Bookman Old Style" w:hAnsi="Bookman Old Style"/>
          <w:i/>
          <w:sz w:val="22"/>
          <w:szCs w:val="22"/>
        </w:rPr>
        <w:t>Regulación</w:t>
      </w:r>
      <w:r w:rsidRPr="009F720B">
        <w:rPr>
          <w:rFonts w:ascii="Bookman Old Style" w:hAnsi="Bookman Old Style"/>
          <w:i/>
          <w:sz w:val="22"/>
          <w:szCs w:val="22"/>
        </w:rPr>
        <w:t xml:space="preserve"> de </w:t>
      </w:r>
      <w:r w:rsidR="00CD2DD6" w:rsidRPr="009F720B">
        <w:rPr>
          <w:rFonts w:ascii="Bookman Old Style" w:hAnsi="Bookman Old Style"/>
          <w:i/>
          <w:sz w:val="22"/>
          <w:szCs w:val="22"/>
        </w:rPr>
        <w:t>Energía</w:t>
      </w:r>
      <w:r w:rsidRPr="009F720B">
        <w:rPr>
          <w:rFonts w:ascii="Bookman Old Style" w:hAnsi="Bookman Old Style"/>
          <w:i/>
          <w:sz w:val="22"/>
          <w:szCs w:val="22"/>
        </w:rPr>
        <w:t xml:space="preserve"> Eléctrica y Gas –CREG con el número E-2010-012362 del 30 de diciembre de 2010, (…)</w:t>
      </w:r>
      <w:r w:rsidR="00CD2DD6" w:rsidRPr="009F720B">
        <w:rPr>
          <w:rFonts w:ascii="Bookman Old Style" w:hAnsi="Bookman Old Style"/>
          <w:i/>
          <w:sz w:val="22"/>
          <w:szCs w:val="22"/>
        </w:rPr>
        <w:t xml:space="preserve"> Después</w:t>
      </w:r>
      <w:r w:rsidRPr="009F720B">
        <w:rPr>
          <w:rFonts w:ascii="Bookman Old Style" w:hAnsi="Bookman Old Style"/>
          <w:i/>
          <w:sz w:val="22"/>
          <w:szCs w:val="22"/>
        </w:rPr>
        <w:t xml:space="preserve"> de la fecha de presentación de la solicitud de inicio de la actuación administrativa, se han presentado nuevos hechos de orden público en la zona de ubicación del Proyecto, es decir de la misma naturaleza de los hechos expuestos a la </w:t>
      </w:r>
      <w:r w:rsidR="00CD2DD6" w:rsidRPr="009F720B">
        <w:rPr>
          <w:rFonts w:ascii="Bookman Old Style" w:hAnsi="Bookman Old Style"/>
          <w:i/>
          <w:sz w:val="22"/>
          <w:szCs w:val="22"/>
        </w:rPr>
        <w:t>Comisión</w:t>
      </w:r>
      <w:r w:rsidRPr="009F720B">
        <w:rPr>
          <w:rFonts w:ascii="Bookman Old Style" w:hAnsi="Bookman Old Style"/>
          <w:i/>
          <w:sz w:val="22"/>
          <w:szCs w:val="22"/>
        </w:rPr>
        <w:t xml:space="preserve"> en el documentos 2010-012362 del 30 de diciembre de 2010, los cuales </w:t>
      </w:r>
      <w:r w:rsidRPr="009F720B">
        <w:rPr>
          <w:rFonts w:ascii="Bookman Old Style" w:hAnsi="Bookman Old Style"/>
          <w:i/>
          <w:sz w:val="22"/>
          <w:szCs w:val="22"/>
        </w:rPr>
        <w:lastRenderedPageBreak/>
        <w:t xml:space="preserve">continúan agravando de manera imprevisible e irresistible las circunstancias </w:t>
      </w:r>
      <w:r w:rsidR="00CD2DD6" w:rsidRPr="009F720B">
        <w:rPr>
          <w:rFonts w:ascii="Bookman Old Style" w:hAnsi="Bookman Old Style"/>
          <w:i/>
          <w:sz w:val="22"/>
          <w:szCs w:val="22"/>
        </w:rPr>
        <w:t>inicialmente</w:t>
      </w:r>
      <w:r w:rsidRPr="009F720B">
        <w:rPr>
          <w:rFonts w:ascii="Bookman Old Style" w:hAnsi="Bookman Old Style"/>
          <w:i/>
          <w:sz w:val="22"/>
          <w:szCs w:val="22"/>
        </w:rPr>
        <w:t xml:space="preserve"> prevista para la construcción </w:t>
      </w:r>
      <w:r w:rsidR="00CD2DD6" w:rsidRPr="009F720B">
        <w:rPr>
          <w:rFonts w:ascii="Bookman Old Style" w:hAnsi="Bookman Old Style"/>
          <w:i/>
          <w:sz w:val="22"/>
          <w:szCs w:val="22"/>
        </w:rPr>
        <w:t>de Porce IV (…)</w:t>
      </w:r>
    </w:p>
    <w:p w:rsidR="009F720B" w:rsidRDefault="009F720B" w:rsidP="009F720B">
      <w:pPr>
        <w:ind w:left="872" w:right="826"/>
        <w:jc w:val="both"/>
        <w:rPr>
          <w:rFonts w:ascii="Bookman Old Style" w:hAnsi="Bookman Old Style"/>
          <w:i/>
          <w:sz w:val="22"/>
          <w:szCs w:val="22"/>
        </w:rPr>
      </w:pPr>
    </w:p>
    <w:p w:rsidR="00174A45" w:rsidRPr="009F720B" w:rsidRDefault="00CD2DD6" w:rsidP="009F720B">
      <w:pPr>
        <w:ind w:left="872" w:right="826"/>
        <w:jc w:val="both"/>
        <w:rPr>
          <w:rFonts w:ascii="Bookman Old Style" w:hAnsi="Bookman Old Style"/>
          <w:i/>
          <w:sz w:val="22"/>
          <w:szCs w:val="22"/>
        </w:rPr>
      </w:pPr>
      <w:r w:rsidRPr="009F720B">
        <w:rPr>
          <w:rFonts w:ascii="Bookman Old Style" w:hAnsi="Bookman Old Style"/>
          <w:i/>
          <w:sz w:val="22"/>
          <w:szCs w:val="22"/>
          <w:u w:val="single"/>
        </w:rPr>
        <w:t>No obstante que los hechos descritos tuvieron un importante despliegue en los medios de comunicación locales, regionales y nacionales, EPM adjunta a la presente comunicación, un disco duro compacto con los archivos de prensa que detallan la gravedad de los hechos, y respetuosamente solicita a la Comisión sean valorados en el trámite de la actuación administrativa cuyo inicio pidió el pasado 30 de diciembre de 2010</w:t>
      </w:r>
      <w:r w:rsidRPr="009F720B">
        <w:rPr>
          <w:rFonts w:ascii="Bookman Old Style" w:hAnsi="Bookman Old Style"/>
          <w:i/>
          <w:sz w:val="22"/>
          <w:szCs w:val="22"/>
        </w:rPr>
        <w:t xml:space="preserve"> (…)”</w:t>
      </w:r>
      <w:r w:rsidR="00E931CB" w:rsidRPr="009F720B">
        <w:rPr>
          <w:rFonts w:ascii="Bookman Old Style" w:hAnsi="Bookman Old Style"/>
          <w:i/>
          <w:sz w:val="22"/>
          <w:szCs w:val="22"/>
        </w:rPr>
        <w:t xml:space="preserve"> (Subraya fuera del original).</w:t>
      </w:r>
      <w:r w:rsidRPr="009F720B">
        <w:rPr>
          <w:rFonts w:ascii="Bookman Old Style" w:hAnsi="Bookman Old Style"/>
          <w:i/>
          <w:sz w:val="22"/>
          <w:szCs w:val="22"/>
        </w:rPr>
        <w:t xml:space="preserve"> </w:t>
      </w:r>
      <w:r w:rsidR="00174A45" w:rsidRPr="009F720B">
        <w:rPr>
          <w:rFonts w:ascii="Bookman Old Style" w:hAnsi="Bookman Old Style" w:cs="Arial"/>
          <w:i/>
          <w:sz w:val="22"/>
          <w:szCs w:val="22"/>
        </w:rPr>
        <w:t xml:space="preserve"> </w:t>
      </w:r>
    </w:p>
    <w:p w:rsidR="00174A45" w:rsidRPr="00174A45" w:rsidRDefault="00174A45" w:rsidP="00174A45">
      <w:pPr>
        <w:pStyle w:val="Textoindependiente"/>
        <w:ind w:left="1952"/>
        <w:jc w:val="both"/>
        <w:rPr>
          <w:rFonts w:ascii="Bookman Old Style" w:hAnsi="Bookman Old Style"/>
          <w:b w:val="0"/>
          <w:i/>
        </w:rPr>
      </w:pPr>
    </w:p>
    <w:p w:rsidR="00174A45" w:rsidRDefault="00CD2DD6" w:rsidP="00CD2DD6">
      <w:pPr>
        <w:pStyle w:val="Textoindependiente"/>
        <w:ind w:left="0"/>
        <w:jc w:val="both"/>
        <w:rPr>
          <w:rFonts w:ascii="Bookman Old Style" w:hAnsi="Bookman Old Style"/>
          <w:b w:val="0"/>
        </w:rPr>
      </w:pPr>
      <w:r>
        <w:rPr>
          <w:rFonts w:ascii="Bookman Old Style" w:hAnsi="Bookman Old Style"/>
          <w:b w:val="0"/>
        </w:rPr>
        <w:t>Para la Comisión es claro (se concluye de la simple lectura) que el objeto de la comunicación del 11 de febrero del 2011 Rad. CREG E-2011-001370, era complementar la solicitud inicial del 30 de diciembre de 2010.</w:t>
      </w:r>
    </w:p>
    <w:p w:rsidR="00CD2DD6" w:rsidRDefault="00CD2DD6" w:rsidP="00CD2DD6">
      <w:pPr>
        <w:pStyle w:val="Textoindependiente"/>
        <w:ind w:left="0"/>
        <w:jc w:val="both"/>
        <w:rPr>
          <w:rFonts w:ascii="Bookman Old Style" w:hAnsi="Bookman Old Style"/>
          <w:b w:val="0"/>
        </w:rPr>
      </w:pPr>
    </w:p>
    <w:p w:rsidR="009F720B" w:rsidRDefault="00CD2DD6" w:rsidP="00CD2DD6">
      <w:pPr>
        <w:pStyle w:val="Textoindependiente"/>
        <w:numPr>
          <w:ilvl w:val="0"/>
          <w:numId w:val="31"/>
        </w:numPr>
        <w:jc w:val="both"/>
        <w:rPr>
          <w:rFonts w:ascii="Bookman Old Style" w:hAnsi="Bookman Old Style"/>
          <w:b w:val="0"/>
        </w:rPr>
      </w:pPr>
      <w:r w:rsidRPr="00174A45">
        <w:rPr>
          <w:rFonts w:ascii="Bookman Old Style" w:hAnsi="Bookman Old Style"/>
          <w:b w:val="0"/>
        </w:rPr>
        <w:t xml:space="preserve">Documento del </w:t>
      </w:r>
      <w:r>
        <w:rPr>
          <w:rFonts w:ascii="Bookman Old Style" w:hAnsi="Bookman Old Style"/>
          <w:b w:val="0"/>
        </w:rPr>
        <w:t>1</w:t>
      </w:r>
      <w:r w:rsidRPr="00174A45">
        <w:rPr>
          <w:rFonts w:ascii="Bookman Old Style" w:hAnsi="Bookman Old Style"/>
          <w:b w:val="0"/>
        </w:rPr>
        <w:t xml:space="preserve"> de </w:t>
      </w:r>
      <w:r w:rsidR="00E931CB">
        <w:rPr>
          <w:rFonts w:ascii="Bookman Old Style" w:hAnsi="Bookman Old Style"/>
          <w:b w:val="0"/>
        </w:rPr>
        <w:t>julio</w:t>
      </w:r>
      <w:r>
        <w:rPr>
          <w:rFonts w:ascii="Bookman Old Style" w:hAnsi="Bookman Old Style"/>
          <w:b w:val="0"/>
        </w:rPr>
        <w:t xml:space="preserve"> </w:t>
      </w:r>
      <w:r w:rsidRPr="00174A45">
        <w:rPr>
          <w:rFonts w:ascii="Bookman Old Style" w:hAnsi="Bookman Old Style"/>
          <w:b w:val="0"/>
        </w:rPr>
        <w:t>del 201</w:t>
      </w:r>
      <w:r>
        <w:rPr>
          <w:rFonts w:ascii="Bookman Old Style" w:hAnsi="Bookman Old Style"/>
          <w:b w:val="0"/>
        </w:rPr>
        <w:t>1</w:t>
      </w:r>
      <w:r w:rsidRPr="00174A45">
        <w:rPr>
          <w:rFonts w:ascii="Bookman Old Style" w:hAnsi="Bookman Old Style"/>
          <w:b w:val="0"/>
        </w:rPr>
        <w:t>, bajo el Rad. CREG E-201</w:t>
      </w:r>
      <w:r>
        <w:rPr>
          <w:rFonts w:ascii="Bookman Old Style" w:hAnsi="Bookman Old Style"/>
          <w:b w:val="0"/>
        </w:rPr>
        <w:t>1</w:t>
      </w:r>
      <w:r w:rsidRPr="00174A45">
        <w:rPr>
          <w:rFonts w:ascii="Bookman Old Style" w:hAnsi="Bookman Old Style"/>
          <w:b w:val="0"/>
        </w:rPr>
        <w:t>-0</w:t>
      </w:r>
      <w:r>
        <w:rPr>
          <w:rFonts w:ascii="Bookman Old Style" w:hAnsi="Bookman Old Style"/>
          <w:b w:val="0"/>
        </w:rPr>
        <w:t>0</w:t>
      </w:r>
      <w:r w:rsidR="00E931CB">
        <w:rPr>
          <w:rFonts w:ascii="Bookman Old Style" w:hAnsi="Bookman Old Style"/>
          <w:b w:val="0"/>
        </w:rPr>
        <w:t>6</w:t>
      </w:r>
      <w:r>
        <w:rPr>
          <w:rFonts w:ascii="Bookman Old Style" w:hAnsi="Bookman Old Style"/>
          <w:b w:val="0"/>
        </w:rPr>
        <w:t>3</w:t>
      </w:r>
      <w:r w:rsidR="00E931CB">
        <w:rPr>
          <w:rFonts w:ascii="Bookman Old Style" w:hAnsi="Bookman Old Style"/>
          <w:b w:val="0"/>
        </w:rPr>
        <w:t>58</w:t>
      </w:r>
      <w:r>
        <w:rPr>
          <w:rFonts w:ascii="Bookman Old Style" w:hAnsi="Bookman Old Style"/>
          <w:b w:val="0"/>
        </w:rPr>
        <w:t xml:space="preserve"> (</w:t>
      </w:r>
      <w:r w:rsidR="00E931CB">
        <w:rPr>
          <w:rFonts w:ascii="Bookman Old Style" w:hAnsi="Bookman Old Style"/>
          <w:b w:val="0"/>
        </w:rPr>
        <w:t>1</w:t>
      </w:r>
      <w:r>
        <w:rPr>
          <w:rFonts w:ascii="Bookman Old Style" w:hAnsi="Bookman Old Style"/>
          <w:b w:val="0"/>
        </w:rPr>
        <w:t xml:space="preserve"> folio)</w:t>
      </w:r>
      <w:r w:rsidRPr="00174A45">
        <w:rPr>
          <w:rFonts w:ascii="Bookman Old Style" w:hAnsi="Bookman Old Style"/>
          <w:b w:val="0"/>
        </w:rPr>
        <w:t xml:space="preserve">, en el cual se </w:t>
      </w:r>
      <w:r>
        <w:rPr>
          <w:rFonts w:ascii="Bookman Old Style" w:hAnsi="Bookman Old Style"/>
          <w:b w:val="0"/>
        </w:rPr>
        <w:t>dice</w:t>
      </w:r>
      <w:r w:rsidRPr="00174A45">
        <w:rPr>
          <w:rFonts w:ascii="Bookman Old Style" w:hAnsi="Bookman Old Style"/>
          <w:b w:val="0"/>
        </w:rPr>
        <w:t xml:space="preserve">: </w:t>
      </w:r>
    </w:p>
    <w:p w:rsidR="009F720B" w:rsidRDefault="009F720B" w:rsidP="009F720B">
      <w:pPr>
        <w:pStyle w:val="Textoindependiente"/>
        <w:ind w:left="360"/>
        <w:jc w:val="both"/>
        <w:rPr>
          <w:rFonts w:ascii="Bookman Old Style" w:hAnsi="Bookman Old Style"/>
          <w:b w:val="0"/>
        </w:rPr>
      </w:pPr>
    </w:p>
    <w:p w:rsidR="00043971" w:rsidRPr="00B25AE5" w:rsidRDefault="00CD2DD6" w:rsidP="009F720B">
      <w:pPr>
        <w:ind w:left="872" w:right="826"/>
        <w:jc w:val="both"/>
        <w:rPr>
          <w:rFonts w:ascii="Bookman Old Style" w:hAnsi="Bookman Old Style"/>
          <w:i/>
          <w:sz w:val="22"/>
          <w:szCs w:val="22"/>
        </w:rPr>
      </w:pPr>
      <w:r w:rsidRPr="00B25AE5">
        <w:rPr>
          <w:rFonts w:ascii="Bookman Old Style" w:hAnsi="Bookman Old Style"/>
          <w:i/>
          <w:sz w:val="22"/>
          <w:szCs w:val="22"/>
        </w:rPr>
        <w:t>“</w:t>
      </w:r>
      <w:r w:rsidR="00043971" w:rsidRPr="00B25AE5">
        <w:rPr>
          <w:rFonts w:ascii="Bookman Old Style" w:hAnsi="Bookman Old Style"/>
          <w:i/>
          <w:sz w:val="22"/>
          <w:szCs w:val="22"/>
        </w:rPr>
        <w:t>(</w:t>
      </w:r>
      <w:r w:rsidRPr="00B25AE5">
        <w:rPr>
          <w:rFonts w:ascii="Bookman Old Style" w:hAnsi="Bookman Old Style"/>
          <w:i/>
          <w:sz w:val="22"/>
          <w:szCs w:val="22"/>
        </w:rPr>
        <w:t>…</w:t>
      </w:r>
      <w:r w:rsidR="00043971" w:rsidRPr="00B25AE5">
        <w:rPr>
          <w:rFonts w:ascii="Bookman Old Style" w:hAnsi="Bookman Old Style"/>
          <w:i/>
          <w:sz w:val="22"/>
          <w:szCs w:val="22"/>
        </w:rPr>
        <w:t xml:space="preserve">) </w:t>
      </w:r>
    </w:p>
    <w:p w:rsidR="009F720B" w:rsidRPr="00B25AE5" w:rsidRDefault="009F720B" w:rsidP="009F720B">
      <w:pPr>
        <w:ind w:left="872" w:right="826"/>
        <w:jc w:val="both"/>
        <w:rPr>
          <w:rFonts w:ascii="Bookman Old Style" w:hAnsi="Bookman Old Style"/>
          <w:i/>
          <w:sz w:val="22"/>
          <w:szCs w:val="22"/>
        </w:rPr>
      </w:pPr>
    </w:p>
    <w:p w:rsidR="00043971" w:rsidRPr="005F0957" w:rsidRDefault="00043971" w:rsidP="009F720B">
      <w:pPr>
        <w:ind w:left="872" w:right="826"/>
        <w:jc w:val="both"/>
        <w:rPr>
          <w:rFonts w:ascii="Bookman Old Style" w:hAnsi="Bookman Old Style"/>
          <w:i/>
          <w:sz w:val="22"/>
          <w:szCs w:val="22"/>
        </w:rPr>
      </w:pPr>
      <w:r w:rsidRPr="005F0957">
        <w:rPr>
          <w:rFonts w:ascii="Bookman Old Style" w:hAnsi="Bookman Old Style"/>
          <w:i/>
          <w:sz w:val="22"/>
          <w:szCs w:val="22"/>
        </w:rPr>
        <w:t xml:space="preserve">Asunto: </w:t>
      </w:r>
      <w:r w:rsidRPr="005F0957">
        <w:rPr>
          <w:rFonts w:ascii="Bookman Old Style" w:hAnsi="Bookman Old Style"/>
          <w:i/>
          <w:sz w:val="22"/>
          <w:szCs w:val="22"/>
        </w:rPr>
        <w:tab/>
        <w:t>Proyecto Hidroeléctrico Porce IV.</w:t>
      </w:r>
    </w:p>
    <w:p w:rsidR="00043971" w:rsidRPr="005F0957" w:rsidRDefault="00043971" w:rsidP="009F720B">
      <w:pPr>
        <w:ind w:left="2124" w:right="826"/>
        <w:jc w:val="both"/>
        <w:rPr>
          <w:rFonts w:ascii="Bookman Old Style" w:hAnsi="Bookman Old Style"/>
          <w:i/>
          <w:sz w:val="22"/>
          <w:szCs w:val="22"/>
        </w:rPr>
      </w:pPr>
      <w:r w:rsidRPr="005F0957">
        <w:rPr>
          <w:rFonts w:ascii="Bookman Old Style" w:hAnsi="Bookman Old Style"/>
          <w:i/>
          <w:sz w:val="22"/>
          <w:szCs w:val="22"/>
        </w:rPr>
        <w:t>Solicitud de inicio de actuación administrativa para el reconocimiento de un evento eximente de responsabilidad.</w:t>
      </w:r>
    </w:p>
    <w:p w:rsidR="00043971" w:rsidRPr="005F0957" w:rsidRDefault="00043971" w:rsidP="009F720B">
      <w:pPr>
        <w:ind w:left="1580" w:right="826" w:firstLine="544"/>
        <w:jc w:val="both"/>
        <w:rPr>
          <w:rFonts w:ascii="Bookman Old Style" w:hAnsi="Bookman Old Style"/>
          <w:i/>
          <w:sz w:val="22"/>
          <w:szCs w:val="22"/>
        </w:rPr>
      </w:pPr>
      <w:r w:rsidRPr="005F0957">
        <w:rPr>
          <w:rFonts w:ascii="Bookman Old Style" w:hAnsi="Bookman Old Style"/>
          <w:i/>
          <w:sz w:val="22"/>
          <w:szCs w:val="22"/>
        </w:rPr>
        <w:t>Entrega nueva información</w:t>
      </w:r>
      <w:r w:rsidR="009F720B" w:rsidRPr="005F0957">
        <w:rPr>
          <w:rFonts w:ascii="Bookman Old Style" w:hAnsi="Bookman Old Style"/>
          <w:i/>
          <w:sz w:val="22"/>
          <w:szCs w:val="22"/>
        </w:rPr>
        <w:t>.</w:t>
      </w:r>
    </w:p>
    <w:p w:rsidR="00043971" w:rsidRPr="005F0957" w:rsidRDefault="00043971" w:rsidP="009F720B">
      <w:pPr>
        <w:ind w:left="872" w:right="826"/>
        <w:jc w:val="both"/>
        <w:rPr>
          <w:rFonts w:ascii="Bookman Old Style" w:hAnsi="Bookman Old Style"/>
          <w:i/>
          <w:sz w:val="22"/>
          <w:szCs w:val="22"/>
        </w:rPr>
      </w:pPr>
    </w:p>
    <w:p w:rsidR="00043971" w:rsidRPr="005F0957" w:rsidRDefault="00043971" w:rsidP="009F720B">
      <w:pPr>
        <w:ind w:left="872" w:right="826"/>
        <w:jc w:val="both"/>
        <w:rPr>
          <w:rFonts w:ascii="Bookman Old Style" w:hAnsi="Bookman Old Style"/>
          <w:i/>
          <w:sz w:val="22"/>
          <w:szCs w:val="22"/>
        </w:rPr>
      </w:pPr>
      <w:r w:rsidRPr="005F0957">
        <w:rPr>
          <w:rFonts w:ascii="Bookman Old Style" w:hAnsi="Bookman Old Style"/>
          <w:i/>
          <w:sz w:val="22"/>
          <w:szCs w:val="22"/>
        </w:rPr>
        <w:t>Respetado doctor Javier Augusto:</w:t>
      </w:r>
    </w:p>
    <w:p w:rsidR="00043971" w:rsidRPr="005F0957" w:rsidRDefault="00043971" w:rsidP="009F720B">
      <w:pPr>
        <w:ind w:left="872" w:right="826"/>
        <w:jc w:val="both"/>
        <w:rPr>
          <w:rFonts w:ascii="Bookman Old Style" w:hAnsi="Bookman Old Style"/>
          <w:i/>
          <w:sz w:val="22"/>
          <w:szCs w:val="22"/>
        </w:rPr>
      </w:pPr>
    </w:p>
    <w:p w:rsidR="00E931CB" w:rsidRPr="005F0957" w:rsidRDefault="00043971" w:rsidP="009F720B">
      <w:pPr>
        <w:ind w:left="872" w:right="826"/>
        <w:jc w:val="both"/>
        <w:rPr>
          <w:rFonts w:ascii="Bookman Old Style" w:hAnsi="Bookman Old Style"/>
          <w:i/>
          <w:sz w:val="22"/>
          <w:szCs w:val="22"/>
        </w:rPr>
      </w:pPr>
      <w:r w:rsidRPr="005F0957">
        <w:rPr>
          <w:rFonts w:ascii="Bookman Old Style" w:hAnsi="Bookman Old Style"/>
          <w:i/>
          <w:sz w:val="22"/>
          <w:szCs w:val="22"/>
        </w:rPr>
        <w:t>Mediante</w:t>
      </w:r>
      <w:r w:rsidR="00E931CB" w:rsidRPr="005F0957">
        <w:rPr>
          <w:rFonts w:ascii="Bookman Old Style" w:hAnsi="Bookman Old Style"/>
          <w:i/>
          <w:sz w:val="22"/>
          <w:szCs w:val="22"/>
        </w:rPr>
        <w:t xml:space="preserve"> los documentos radicados en la </w:t>
      </w:r>
      <w:r w:rsidRPr="005F0957">
        <w:rPr>
          <w:rFonts w:ascii="Bookman Old Style" w:hAnsi="Bookman Old Style"/>
          <w:i/>
          <w:sz w:val="22"/>
          <w:szCs w:val="22"/>
        </w:rPr>
        <w:t>Comisión</w:t>
      </w:r>
      <w:r w:rsidR="00E931CB" w:rsidRPr="005F0957">
        <w:rPr>
          <w:rFonts w:ascii="Bookman Old Style" w:hAnsi="Bookman Old Style"/>
          <w:i/>
          <w:sz w:val="22"/>
          <w:szCs w:val="22"/>
        </w:rPr>
        <w:t xml:space="preserve"> de </w:t>
      </w:r>
      <w:r w:rsidRPr="005F0957">
        <w:rPr>
          <w:rFonts w:ascii="Bookman Old Style" w:hAnsi="Bookman Old Style"/>
          <w:i/>
          <w:sz w:val="22"/>
          <w:szCs w:val="22"/>
        </w:rPr>
        <w:t>Regulación</w:t>
      </w:r>
      <w:r w:rsidR="00E931CB" w:rsidRPr="005F0957">
        <w:rPr>
          <w:rFonts w:ascii="Bookman Old Style" w:hAnsi="Bookman Old Style"/>
          <w:i/>
          <w:sz w:val="22"/>
          <w:szCs w:val="22"/>
        </w:rPr>
        <w:t xml:space="preserve"> de </w:t>
      </w:r>
      <w:r w:rsidRPr="005F0957">
        <w:rPr>
          <w:rFonts w:ascii="Bookman Old Style" w:hAnsi="Bookman Old Style"/>
          <w:i/>
          <w:sz w:val="22"/>
          <w:szCs w:val="22"/>
        </w:rPr>
        <w:t>Energía</w:t>
      </w:r>
      <w:r w:rsidR="00E931CB" w:rsidRPr="005F0957">
        <w:rPr>
          <w:rFonts w:ascii="Bookman Old Style" w:hAnsi="Bookman Old Style"/>
          <w:i/>
          <w:sz w:val="22"/>
          <w:szCs w:val="22"/>
        </w:rPr>
        <w:t xml:space="preserve"> Eléctrica y Gas-CREG, con los números E-2010-012362 del 30 de diciembre de 2010 y el E-2011-001370 del 11 de febrero de 2011, (…) EPM, solicito previo trámite de una actuación administrativa, reconocer que la no entrada en operación del Proyecto </w:t>
      </w:r>
      <w:r w:rsidRPr="005F0957">
        <w:rPr>
          <w:rFonts w:ascii="Bookman Old Style" w:hAnsi="Bookman Old Style"/>
          <w:i/>
          <w:sz w:val="22"/>
          <w:szCs w:val="22"/>
        </w:rPr>
        <w:t>Hidroeléctrico</w:t>
      </w:r>
      <w:r w:rsidR="00E931CB" w:rsidRPr="005F0957">
        <w:rPr>
          <w:rFonts w:ascii="Bookman Old Style" w:hAnsi="Bookman Old Style"/>
          <w:i/>
          <w:sz w:val="22"/>
          <w:szCs w:val="22"/>
        </w:rPr>
        <w:t xml:space="preserve"> Porce IV en la Fecha de Entrada Declarada (1 de diciembre de 2015), obedece a hechos imprevisibles e </w:t>
      </w:r>
      <w:r w:rsidRPr="005F0957">
        <w:rPr>
          <w:rFonts w:ascii="Bookman Old Style" w:hAnsi="Bookman Old Style"/>
          <w:i/>
          <w:sz w:val="22"/>
          <w:szCs w:val="22"/>
        </w:rPr>
        <w:t>irresistibles</w:t>
      </w:r>
      <w:r w:rsidR="00E931CB" w:rsidRPr="005F0957">
        <w:rPr>
          <w:rFonts w:ascii="Bookman Old Style" w:hAnsi="Bookman Old Style"/>
          <w:i/>
          <w:sz w:val="22"/>
          <w:szCs w:val="22"/>
        </w:rPr>
        <w:t xml:space="preserve"> que eximen de responsabilidad a EPM.</w:t>
      </w:r>
    </w:p>
    <w:p w:rsidR="00E931CB" w:rsidRPr="005F0957" w:rsidRDefault="00E931CB" w:rsidP="009F720B">
      <w:pPr>
        <w:ind w:left="872" w:right="826"/>
        <w:jc w:val="both"/>
        <w:rPr>
          <w:rFonts w:ascii="Bookman Old Style" w:hAnsi="Bookman Old Style"/>
          <w:i/>
          <w:sz w:val="22"/>
          <w:szCs w:val="22"/>
        </w:rPr>
      </w:pPr>
    </w:p>
    <w:p w:rsidR="00CD2DD6" w:rsidRPr="005F0957" w:rsidRDefault="00E931CB" w:rsidP="009F720B">
      <w:pPr>
        <w:ind w:left="872" w:right="826"/>
        <w:jc w:val="both"/>
        <w:rPr>
          <w:rFonts w:ascii="Bookman Old Style" w:hAnsi="Bookman Old Style"/>
          <w:i/>
          <w:sz w:val="22"/>
          <w:szCs w:val="22"/>
        </w:rPr>
      </w:pPr>
      <w:r w:rsidRPr="005F0957">
        <w:rPr>
          <w:rFonts w:ascii="Bookman Old Style" w:hAnsi="Bookman Old Style"/>
          <w:i/>
          <w:sz w:val="22"/>
          <w:szCs w:val="22"/>
        </w:rPr>
        <w:t xml:space="preserve">En las comunicaciones anteriormente mencionadas, EPM arguyó que la difícil problemática social, de conflicto armado y orden público permiten sostener que las circunstancias </w:t>
      </w:r>
      <w:r w:rsidR="00043971" w:rsidRPr="005F0957">
        <w:rPr>
          <w:rFonts w:ascii="Bookman Old Style" w:hAnsi="Bookman Old Style"/>
          <w:i/>
          <w:sz w:val="22"/>
          <w:szCs w:val="22"/>
        </w:rPr>
        <w:t>inicialmente</w:t>
      </w:r>
      <w:r w:rsidRPr="005F0957">
        <w:rPr>
          <w:rFonts w:ascii="Bookman Old Style" w:hAnsi="Bookman Old Style"/>
          <w:i/>
          <w:sz w:val="22"/>
          <w:szCs w:val="22"/>
        </w:rPr>
        <w:t xml:space="preserve"> previstas para la construcción del Proyecto </w:t>
      </w:r>
      <w:r w:rsidR="00043971" w:rsidRPr="005F0957">
        <w:rPr>
          <w:rFonts w:ascii="Bookman Old Style" w:hAnsi="Bookman Old Style"/>
          <w:i/>
          <w:sz w:val="22"/>
          <w:szCs w:val="22"/>
        </w:rPr>
        <w:t>Hidroeléctrico</w:t>
      </w:r>
      <w:r w:rsidRPr="005F0957">
        <w:rPr>
          <w:rFonts w:ascii="Bookman Old Style" w:hAnsi="Bookman Old Style"/>
          <w:i/>
          <w:sz w:val="22"/>
          <w:szCs w:val="22"/>
        </w:rPr>
        <w:t xml:space="preserve"> Porce IV, continúan agravándose, situación que se registra en nuevos hechos de orden público en la zona del proyecto, es decir de la misma </w:t>
      </w:r>
      <w:r w:rsidR="00043971" w:rsidRPr="005F0957">
        <w:rPr>
          <w:rFonts w:ascii="Bookman Old Style" w:hAnsi="Bookman Old Style"/>
          <w:i/>
          <w:sz w:val="22"/>
          <w:szCs w:val="22"/>
        </w:rPr>
        <w:t>naturaleza</w:t>
      </w:r>
      <w:r w:rsidRPr="005F0957">
        <w:rPr>
          <w:rFonts w:ascii="Bookman Old Style" w:hAnsi="Bookman Old Style"/>
          <w:i/>
          <w:sz w:val="22"/>
          <w:szCs w:val="22"/>
        </w:rPr>
        <w:t xml:space="preserve"> que fueron expuestos a la </w:t>
      </w:r>
      <w:r w:rsidR="00043971" w:rsidRPr="005F0957">
        <w:rPr>
          <w:rFonts w:ascii="Bookman Old Style" w:hAnsi="Bookman Old Style"/>
          <w:i/>
          <w:sz w:val="22"/>
          <w:szCs w:val="22"/>
        </w:rPr>
        <w:t>Comisión</w:t>
      </w:r>
      <w:r w:rsidRPr="005F0957">
        <w:rPr>
          <w:rFonts w:ascii="Bookman Old Style" w:hAnsi="Bookman Old Style"/>
          <w:i/>
          <w:sz w:val="22"/>
          <w:szCs w:val="22"/>
        </w:rPr>
        <w:t xml:space="preserve"> en los documentos E-2010-012362 del 30 de diciembre de 2010 y E-2011-001370 de febrero 11 de 2011.</w:t>
      </w:r>
    </w:p>
    <w:p w:rsidR="00E931CB" w:rsidRPr="005F0957" w:rsidRDefault="00E931CB" w:rsidP="009F720B">
      <w:pPr>
        <w:ind w:left="872" w:right="826"/>
        <w:jc w:val="both"/>
        <w:rPr>
          <w:rFonts w:ascii="Bookman Old Style" w:hAnsi="Bookman Old Style"/>
          <w:i/>
          <w:sz w:val="22"/>
          <w:szCs w:val="22"/>
        </w:rPr>
      </w:pPr>
    </w:p>
    <w:p w:rsidR="00E931CB" w:rsidRPr="005F0957" w:rsidRDefault="00E931CB" w:rsidP="009F720B">
      <w:pPr>
        <w:ind w:left="872" w:right="826"/>
        <w:jc w:val="both"/>
        <w:rPr>
          <w:rFonts w:ascii="Bookman Old Style" w:hAnsi="Bookman Old Style"/>
          <w:i/>
          <w:sz w:val="22"/>
          <w:szCs w:val="22"/>
        </w:rPr>
      </w:pPr>
      <w:r w:rsidRPr="005F0957">
        <w:rPr>
          <w:rFonts w:ascii="Bookman Old Style" w:hAnsi="Bookman Old Style"/>
          <w:i/>
          <w:sz w:val="22"/>
          <w:szCs w:val="22"/>
        </w:rPr>
        <w:t xml:space="preserve">En los </w:t>
      </w:r>
      <w:r w:rsidR="00043971" w:rsidRPr="005F0957">
        <w:rPr>
          <w:rFonts w:ascii="Bookman Old Style" w:hAnsi="Bookman Old Style"/>
          <w:i/>
          <w:sz w:val="22"/>
          <w:szCs w:val="22"/>
        </w:rPr>
        <w:t xml:space="preserve">últimos 5 meses del año se han registrado nuevos hechos, entre los que se destacan, acciones violentas de grupos armados ilegales presentes en la zona contra la infraestructura energética y vial, atentados contra instalaciones públicas en </w:t>
      </w:r>
      <w:proofErr w:type="spellStart"/>
      <w:r w:rsidR="00043971" w:rsidRPr="005F0957">
        <w:rPr>
          <w:rFonts w:ascii="Bookman Old Style" w:hAnsi="Bookman Old Style"/>
          <w:i/>
          <w:sz w:val="22"/>
          <w:szCs w:val="22"/>
        </w:rPr>
        <w:t>Anorí</w:t>
      </w:r>
      <w:proofErr w:type="spellEnd"/>
      <w:r w:rsidR="00043971" w:rsidRPr="005F0957">
        <w:rPr>
          <w:rFonts w:ascii="Bookman Old Style" w:hAnsi="Bookman Old Style"/>
          <w:i/>
          <w:sz w:val="22"/>
          <w:szCs w:val="22"/>
        </w:rPr>
        <w:t>, y situaciones que vulneran los derechos humanos como desplazamientos forzados e intimidaciones a la población civil.</w:t>
      </w:r>
    </w:p>
    <w:p w:rsidR="00043971" w:rsidRPr="005F0957" w:rsidRDefault="00043971" w:rsidP="009F720B">
      <w:pPr>
        <w:ind w:left="872" w:right="826"/>
        <w:jc w:val="both"/>
        <w:rPr>
          <w:rFonts w:ascii="Bookman Old Style" w:hAnsi="Bookman Old Style"/>
          <w:i/>
          <w:sz w:val="22"/>
          <w:szCs w:val="22"/>
        </w:rPr>
      </w:pPr>
    </w:p>
    <w:p w:rsidR="00043971" w:rsidRDefault="00043971" w:rsidP="009F720B">
      <w:pPr>
        <w:ind w:left="872" w:right="826"/>
        <w:jc w:val="both"/>
        <w:rPr>
          <w:rFonts w:ascii="Bookman Old Style" w:hAnsi="Bookman Old Style"/>
          <w:b/>
          <w:i/>
        </w:rPr>
      </w:pPr>
      <w:r w:rsidRPr="005F0957">
        <w:rPr>
          <w:rFonts w:ascii="Bookman Old Style" w:hAnsi="Bookman Old Style"/>
          <w:i/>
          <w:sz w:val="22"/>
          <w:szCs w:val="22"/>
        </w:rPr>
        <w:t xml:space="preserve">Estos hechos tuvieron un despliegue en los diferentes medios de comunicación del orden local, regional y nacional. No obstante, EPM adjunta a la presente comunicación, un disco compacto con los archivos </w:t>
      </w:r>
      <w:r w:rsidRPr="005F0957">
        <w:rPr>
          <w:rFonts w:ascii="Bookman Old Style" w:hAnsi="Bookman Old Style"/>
          <w:i/>
          <w:sz w:val="22"/>
          <w:szCs w:val="22"/>
        </w:rPr>
        <w:lastRenderedPageBreak/>
        <w:t>de prensa, que detallan la gravedad de los hechos y solicita a la Comisión de manera respetuoso su valoración en el marco del trámite de la actuación administrativa</w:t>
      </w:r>
      <w:r w:rsidR="009F720B" w:rsidRPr="009F720B">
        <w:rPr>
          <w:rFonts w:ascii="Bookman Old Style" w:hAnsi="Bookman Old Style"/>
          <w:sz w:val="22"/>
          <w:szCs w:val="22"/>
        </w:rPr>
        <w:t xml:space="preserve"> </w:t>
      </w:r>
      <w:r w:rsidRPr="009F720B">
        <w:rPr>
          <w:rFonts w:ascii="Bookman Old Style" w:hAnsi="Bookman Old Style"/>
          <w:sz w:val="22"/>
          <w:szCs w:val="22"/>
        </w:rPr>
        <w:t>(…)”</w:t>
      </w:r>
      <w:r w:rsidR="009F720B" w:rsidRPr="009F720B">
        <w:rPr>
          <w:rFonts w:ascii="Bookman Old Style" w:hAnsi="Bookman Old Style"/>
          <w:sz w:val="22"/>
          <w:szCs w:val="22"/>
        </w:rPr>
        <w:t>.</w:t>
      </w:r>
    </w:p>
    <w:p w:rsidR="00043971" w:rsidRDefault="00043971" w:rsidP="00E931CB">
      <w:pPr>
        <w:pStyle w:val="Textoindependiente"/>
        <w:ind w:left="360"/>
        <w:jc w:val="both"/>
        <w:rPr>
          <w:rFonts w:ascii="Bookman Old Style" w:hAnsi="Bookman Old Style"/>
          <w:b w:val="0"/>
          <w:i/>
        </w:rPr>
      </w:pPr>
    </w:p>
    <w:p w:rsidR="00043971" w:rsidRDefault="004F45B0" w:rsidP="00E931CB">
      <w:pPr>
        <w:pStyle w:val="Textoindependiente"/>
        <w:ind w:left="360"/>
        <w:jc w:val="both"/>
        <w:rPr>
          <w:rFonts w:ascii="Bookman Old Style" w:hAnsi="Bookman Old Style"/>
          <w:b w:val="0"/>
        </w:rPr>
      </w:pPr>
      <w:r>
        <w:rPr>
          <w:rFonts w:ascii="Bookman Old Style" w:hAnsi="Bookman Old Style"/>
          <w:b w:val="0"/>
        </w:rPr>
        <w:t xml:space="preserve">Como se puede notar del documento, este no tiene la naturaleza de una petición diferente a la </w:t>
      </w:r>
      <w:r w:rsidR="009F720B">
        <w:rPr>
          <w:rFonts w:ascii="Bookman Old Style" w:hAnsi="Bookman Old Style"/>
          <w:b w:val="0"/>
        </w:rPr>
        <w:t>realizada</w:t>
      </w:r>
      <w:r>
        <w:rPr>
          <w:rFonts w:ascii="Bookman Old Style" w:hAnsi="Bookman Old Style"/>
          <w:b w:val="0"/>
        </w:rPr>
        <w:t xml:space="preserve"> mediante la comunicación del 30 de diciembre de 2010 </w:t>
      </w:r>
      <w:r w:rsidR="006D3EAF">
        <w:rPr>
          <w:rFonts w:ascii="Bookman Old Style" w:hAnsi="Bookman Old Style"/>
          <w:b w:val="0"/>
        </w:rPr>
        <w:t>(</w:t>
      </w:r>
      <w:r>
        <w:rPr>
          <w:rFonts w:ascii="Bookman Old Style" w:hAnsi="Bookman Old Style"/>
          <w:b w:val="0"/>
        </w:rPr>
        <w:t>Rad. CREG 2010-012362</w:t>
      </w:r>
      <w:r w:rsidR="006D3EAF">
        <w:rPr>
          <w:rFonts w:ascii="Bookman Old Style" w:hAnsi="Bookman Old Style"/>
          <w:b w:val="0"/>
        </w:rPr>
        <w:t>)</w:t>
      </w:r>
      <w:r>
        <w:rPr>
          <w:rFonts w:ascii="Bookman Old Style" w:hAnsi="Bookman Old Style"/>
          <w:b w:val="0"/>
        </w:rPr>
        <w:t xml:space="preserve">, </w:t>
      </w:r>
      <w:r w:rsidR="006D3EAF">
        <w:rPr>
          <w:rFonts w:ascii="Bookman Old Style" w:hAnsi="Bookman Old Style"/>
          <w:b w:val="0"/>
        </w:rPr>
        <w:t>tratándose</w:t>
      </w:r>
      <w:r w:rsidR="006D1B2E">
        <w:rPr>
          <w:rFonts w:ascii="Bookman Old Style" w:hAnsi="Bookman Old Style"/>
          <w:b w:val="0"/>
        </w:rPr>
        <w:t xml:space="preserve"> la misma</w:t>
      </w:r>
      <w:r>
        <w:rPr>
          <w:rFonts w:ascii="Bookman Old Style" w:hAnsi="Bookman Old Style"/>
          <w:b w:val="0"/>
        </w:rPr>
        <w:t xml:space="preserve"> de una comunicación donde EPM se limita a entregar nueva </w:t>
      </w:r>
      <w:r w:rsidR="009F720B">
        <w:rPr>
          <w:rFonts w:ascii="Bookman Old Style" w:hAnsi="Bookman Old Style"/>
          <w:b w:val="0"/>
        </w:rPr>
        <w:t>información</w:t>
      </w:r>
      <w:r w:rsidR="006D3EAF">
        <w:rPr>
          <w:rFonts w:ascii="Bookman Old Style" w:hAnsi="Bookman Old Style"/>
          <w:b w:val="0"/>
        </w:rPr>
        <w:t>,</w:t>
      </w:r>
      <w:r>
        <w:rPr>
          <w:rFonts w:ascii="Bookman Old Style" w:hAnsi="Bookman Old Style"/>
          <w:b w:val="0"/>
        </w:rPr>
        <w:t xml:space="preserve"> sobre los </w:t>
      </w:r>
      <w:r w:rsidR="009F720B">
        <w:rPr>
          <w:rFonts w:ascii="Bookman Old Style" w:hAnsi="Bookman Old Style"/>
          <w:b w:val="0"/>
        </w:rPr>
        <w:t>hechos</w:t>
      </w:r>
      <w:r>
        <w:rPr>
          <w:rFonts w:ascii="Bookman Old Style" w:hAnsi="Bookman Old Style"/>
          <w:b w:val="0"/>
        </w:rPr>
        <w:t xml:space="preserve"> narrados en la comunicación del 30 de diciembre de 2010.</w:t>
      </w:r>
    </w:p>
    <w:p w:rsidR="004F45B0" w:rsidRDefault="004F45B0" w:rsidP="00E931CB">
      <w:pPr>
        <w:pStyle w:val="Textoindependiente"/>
        <w:ind w:left="360"/>
        <w:jc w:val="both"/>
        <w:rPr>
          <w:rFonts w:ascii="Bookman Old Style" w:hAnsi="Bookman Old Style"/>
          <w:b w:val="0"/>
        </w:rPr>
      </w:pPr>
    </w:p>
    <w:p w:rsidR="009F720B" w:rsidRDefault="00E20727" w:rsidP="00E931CB">
      <w:pPr>
        <w:pStyle w:val="Textoindependiente"/>
        <w:ind w:left="360"/>
        <w:jc w:val="both"/>
        <w:rPr>
          <w:rFonts w:ascii="Bookman Old Style" w:hAnsi="Bookman Old Style"/>
          <w:b w:val="0"/>
          <w:iCs/>
        </w:rPr>
      </w:pPr>
      <w:r>
        <w:rPr>
          <w:rFonts w:ascii="Bookman Old Style" w:hAnsi="Bookman Old Style"/>
          <w:b w:val="0"/>
        </w:rPr>
        <w:t>Adicionalmente</w:t>
      </w:r>
      <w:r w:rsidR="004F45B0">
        <w:rPr>
          <w:rFonts w:ascii="Bookman Old Style" w:hAnsi="Bookman Old Style"/>
          <w:b w:val="0"/>
        </w:rPr>
        <w:t xml:space="preserve"> el documento se refiere es a la</w:t>
      </w:r>
      <w:r>
        <w:rPr>
          <w:rFonts w:ascii="Bookman Old Style" w:hAnsi="Bookman Old Style"/>
          <w:b w:val="0"/>
        </w:rPr>
        <w:t>:</w:t>
      </w:r>
      <w:r w:rsidR="004F45B0">
        <w:rPr>
          <w:rFonts w:ascii="Bookman Old Style" w:hAnsi="Bookman Old Style"/>
          <w:b w:val="0"/>
        </w:rPr>
        <w:t xml:space="preserve"> “</w:t>
      </w:r>
      <w:r w:rsidR="004F45B0">
        <w:rPr>
          <w:rFonts w:ascii="Bookman Old Style" w:hAnsi="Bookman Old Style"/>
          <w:b w:val="0"/>
          <w:i/>
        </w:rPr>
        <w:t>Solicitud de inicio de actuación administrativa para el reconocimiento de un evento eximente de responsabilidad”</w:t>
      </w:r>
      <w:r w:rsidR="004F45B0">
        <w:rPr>
          <w:rFonts w:ascii="Bookman Old Style" w:hAnsi="Bookman Old Style"/>
          <w:b w:val="0"/>
        </w:rPr>
        <w:t xml:space="preserve"> y nunca menciona que el destino de dicha </w:t>
      </w:r>
      <w:r w:rsidR="009F720B">
        <w:rPr>
          <w:rFonts w:ascii="Bookman Old Style" w:hAnsi="Bookman Old Style"/>
          <w:b w:val="0"/>
        </w:rPr>
        <w:t>información</w:t>
      </w:r>
      <w:r w:rsidR="004F45B0">
        <w:rPr>
          <w:rFonts w:ascii="Bookman Old Style" w:hAnsi="Bookman Old Style"/>
          <w:b w:val="0"/>
        </w:rPr>
        <w:t xml:space="preserve"> sea la actuación administrativa 2011-004</w:t>
      </w:r>
      <w:r w:rsidR="006D3EAF">
        <w:rPr>
          <w:rFonts w:ascii="Bookman Old Style" w:hAnsi="Bookman Old Style"/>
          <w:b w:val="0"/>
        </w:rPr>
        <w:t>9, la cual fue iniciada por la CREG mediante auto del 30 de mayo de 2011, y comunicada a EPM por estado del 1 de junio del 2011 y enviada</w:t>
      </w:r>
      <w:r w:rsidR="006D3EAF" w:rsidRPr="006D3EAF">
        <w:rPr>
          <w:rFonts w:ascii="Bookman Old Style" w:hAnsi="Bookman Old Style"/>
          <w:b w:val="0"/>
          <w:iCs/>
        </w:rPr>
        <w:t xml:space="preserve"> </w:t>
      </w:r>
      <w:r w:rsidR="006D3EAF" w:rsidRPr="00DB6A55">
        <w:rPr>
          <w:rFonts w:ascii="Bookman Old Style" w:hAnsi="Bookman Old Style"/>
          <w:b w:val="0"/>
          <w:iCs/>
        </w:rPr>
        <w:t xml:space="preserve">carta de información mediante </w:t>
      </w:r>
      <w:r>
        <w:rPr>
          <w:rFonts w:ascii="Bookman Old Style" w:hAnsi="Bookman Old Style"/>
          <w:b w:val="0"/>
          <w:iCs/>
        </w:rPr>
        <w:t xml:space="preserve">comunicación S-2011-002723, al </w:t>
      </w:r>
      <w:r w:rsidR="006D3EAF" w:rsidRPr="00DB6A55">
        <w:rPr>
          <w:rFonts w:ascii="Bookman Old Style" w:hAnsi="Bookman Old Style"/>
          <w:b w:val="0"/>
          <w:iCs/>
        </w:rPr>
        <w:t>representante legal de EPM</w:t>
      </w:r>
      <w:r w:rsidR="006D3EAF">
        <w:rPr>
          <w:rFonts w:ascii="Bookman Old Style" w:hAnsi="Bookman Old Style"/>
          <w:b w:val="0"/>
          <w:iCs/>
        </w:rPr>
        <w:t>.</w:t>
      </w:r>
    </w:p>
    <w:p w:rsidR="006D3EAF" w:rsidRDefault="006D3EAF" w:rsidP="00E931CB">
      <w:pPr>
        <w:pStyle w:val="Textoindependiente"/>
        <w:ind w:left="360"/>
        <w:jc w:val="both"/>
        <w:rPr>
          <w:rFonts w:ascii="Bookman Old Style" w:hAnsi="Bookman Old Style"/>
          <w:b w:val="0"/>
          <w:iCs/>
        </w:rPr>
      </w:pPr>
    </w:p>
    <w:p w:rsidR="006D3EAF" w:rsidRDefault="006A60E3" w:rsidP="00E931CB">
      <w:pPr>
        <w:pStyle w:val="Textoindependiente"/>
        <w:ind w:left="360"/>
        <w:jc w:val="both"/>
        <w:rPr>
          <w:rFonts w:ascii="Bookman Old Style" w:hAnsi="Bookman Old Style"/>
          <w:b w:val="0"/>
          <w:iCs/>
        </w:rPr>
      </w:pPr>
      <w:r>
        <w:rPr>
          <w:rFonts w:ascii="Bookman Old Style" w:hAnsi="Bookman Old Style"/>
          <w:b w:val="0"/>
          <w:iCs/>
        </w:rPr>
        <w:t>Por lo anterior, e</w:t>
      </w:r>
      <w:r w:rsidR="006D3EAF">
        <w:rPr>
          <w:rFonts w:ascii="Bookman Old Style" w:hAnsi="Bookman Old Style"/>
          <w:b w:val="0"/>
          <w:iCs/>
        </w:rPr>
        <w:t>s claro que</w:t>
      </w:r>
      <w:r>
        <w:rPr>
          <w:rFonts w:ascii="Bookman Old Style" w:hAnsi="Bookman Old Style"/>
          <w:b w:val="0"/>
          <w:iCs/>
        </w:rPr>
        <w:t xml:space="preserve"> al momento de la comunicación del 1 de julio del 2011,</w:t>
      </w:r>
      <w:r w:rsidR="006D3EAF">
        <w:rPr>
          <w:rFonts w:ascii="Bookman Old Style" w:hAnsi="Bookman Old Style"/>
          <w:b w:val="0"/>
          <w:iCs/>
        </w:rPr>
        <w:t xml:space="preserve"> EPM conocía de la actuación administrativa 2011-0049 y el destino de dicha comunicación no era la actuación 2011</w:t>
      </w:r>
      <w:r w:rsidR="005F0957">
        <w:rPr>
          <w:rFonts w:ascii="Bookman Old Style" w:hAnsi="Bookman Old Style"/>
          <w:b w:val="0"/>
          <w:iCs/>
        </w:rPr>
        <w:t>-</w:t>
      </w:r>
      <w:r w:rsidR="006D3EAF">
        <w:rPr>
          <w:rFonts w:ascii="Bookman Old Style" w:hAnsi="Bookman Old Style"/>
          <w:b w:val="0"/>
          <w:iCs/>
        </w:rPr>
        <w:t>0049</w:t>
      </w:r>
      <w:r w:rsidR="005F0957">
        <w:rPr>
          <w:rFonts w:ascii="Bookman Old Style" w:hAnsi="Bookman Old Style"/>
          <w:b w:val="0"/>
          <w:iCs/>
        </w:rPr>
        <w:t>,</w:t>
      </w:r>
      <w:r w:rsidR="006D3EAF">
        <w:rPr>
          <w:rFonts w:ascii="Bookman Old Style" w:hAnsi="Bookman Old Style"/>
          <w:b w:val="0"/>
          <w:iCs/>
        </w:rPr>
        <w:t xml:space="preserve"> en la cual se expidió la Resolución CREG 104-2011, sino </w:t>
      </w:r>
      <w:r w:rsidR="00E20727">
        <w:rPr>
          <w:rFonts w:ascii="Bookman Old Style" w:hAnsi="Bookman Old Style"/>
          <w:b w:val="0"/>
          <w:iCs/>
        </w:rPr>
        <w:t xml:space="preserve">adicionar más información </w:t>
      </w:r>
      <w:r w:rsidR="006D3EAF">
        <w:rPr>
          <w:rFonts w:ascii="Bookman Old Style" w:hAnsi="Bookman Old Style"/>
          <w:b w:val="0"/>
          <w:iCs/>
        </w:rPr>
        <w:t>a su petición del 30 de diciembre del 2011.</w:t>
      </w:r>
    </w:p>
    <w:p w:rsidR="006A60E3" w:rsidRDefault="006A60E3" w:rsidP="00E931CB">
      <w:pPr>
        <w:pStyle w:val="Textoindependiente"/>
        <w:ind w:left="360"/>
        <w:jc w:val="both"/>
        <w:rPr>
          <w:rFonts w:ascii="Bookman Old Style" w:hAnsi="Bookman Old Style"/>
          <w:b w:val="0"/>
          <w:iCs/>
        </w:rPr>
      </w:pPr>
    </w:p>
    <w:p w:rsidR="006A60E3" w:rsidRDefault="006A60E3" w:rsidP="00E931CB">
      <w:pPr>
        <w:pStyle w:val="Textoindependiente"/>
        <w:ind w:left="360"/>
        <w:jc w:val="both"/>
        <w:rPr>
          <w:rFonts w:ascii="Bookman Old Style" w:hAnsi="Bookman Old Style"/>
          <w:b w:val="0"/>
          <w:iCs/>
        </w:rPr>
      </w:pPr>
      <w:r>
        <w:rPr>
          <w:rFonts w:ascii="Bookman Old Style" w:hAnsi="Bookman Old Style"/>
          <w:b w:val="0"/>
          <w:iCs/>
        </w:rPr>
        <w:t xml:space="preserve">No existe una sola referencia en la comunicación del 1 de julio del 2011 donde se mencione la actuación administrativa 2011-0049 o que el destino de dicha petición es dicha actuación administrativa. </w:t>
      </w:r>
    </w:p>
    <w:p w:rsidR="006D3EAF" w:rsidRDefault="006D3EAF" w:rsidP="00E931CB">
      <w:pPr>
        <w:pStyle w:val="Textoindependiente"/>
        <w:ind w:left="360"/>
        <w:jc w:val="both"/>
        <w:rPr>
          <w:rFonts w:ascii="Bookman Old Style" w:hAnsi="Bookman Old Style"/>
          <w:b w:val="0"/>
        </w:rPr>
      </w:pPr>
    </w:p>
    <w:p w:rsidR="009F720B" w:rsidRDefault="009F720B" w:rsidP="006D3EAF">
      <w:pPr>
        <w:pStyle w:val="Textoindependiente"/>
        <w:numPr>
          <w:ilvl w:val="0"/>
          <w:numId w:val="31"/>
        </w:numPr>
        <w:jc w:val="both"/>
        <w:rPr>
          <w:rFonts w:ascii="Bookman Old Style" w:hAnsi="Bookman Old Style"/>
          <w:b w:val="0"/>
        </w:rPr>
      </w:pPr>
      <w:r>
        <w:rPr>
          <w:rFonts w:ascii="Bookman Old Style" w:hAnsi="Bookman Old Style"/>
          <w:b w:val="0"/>
        </w:rPr>
        <w:t>Finalmente mediante documento del 4 de octubre del 2011</w:t>
      </w:r>
      <w:r w:rsidR="006D3EAF">
        <w:rPr>
          <w:rFonts w:ascii="Bookman Old Style" w:hAnsi="Bookman Old Style"/>
          <w:b w:val="0"/>
        </w:rPr>
        <w:t xml:space="preserve"> Rad. CREG E-2011-</w:t>
      </w:r>
      <w:r w:rsidR="005F0957">
        <w:rPr>
          <w:rFonts w:ascii="Bookman Old Style" w:hAnsi="Bookman Old Style"/>
          <w:b w:val="0"/>
        </w:rPr>
        <w:t>009426</w:t>
      </w:r>
      <w:r w:rsidR="006D1B2E">
        <w:rPr>
          <w:rFonts w:ascii="Bookman Old Style" w:hAnsi="Bookman Old Style"/>
          <w:b w:val="0"/>
        </w:rPr>
        <w:t>, se dijo</w:t>
      </w:r>
      <w:r>
        <w:rPr>
          <w:rFonts w:ascii="Bookman Old Style" w:hAnsi="Bookman Old Style"/>
          <w:b w:val="0"/>
        </w:rPr>
        <w:t xml:space="preserve">: </w:t>
      </w:r>
    </w:p>
    <w:p w:rsidR="005F0957" w:rsidRDefault="005F0957" w:rsidP="005F0957">
      <w:pPr>
        <w:pStyle w:val="Textoindependiente"/>
        <w:ind w:left="360"/>
        <w:jc w:val="both"/>
        <w:rPr>
          <w:rFonts w:ascii="Bookman Old Style" w:hAnsi="Bookman Old Style"/>
          <w:b w:val="0"/>
        </w:rPr>
      </w:pPr>
    </w:p>
    <w:p w:rsidR="005F0957" w:rsidRDefault="005F0957" w:rsidP="005F0957">
      <w:pPr>
        <w:pStyle w:val="Textoindependiente"/>
        <w:ind w:left="360"/>
        <w:jc w:val="both"/>
        <w:rPr>
          <w:rFonts w:ascii="Bookman Old Style" w:hAnsi="Bookman Old Style"/>
          <w:b w:val="0"/>
        </w:rPr>
      </w:pPr>
      <w:r>
        <w:rPr>
          <w:rFonts w:ascii="Bookman Old Style" w:hAnsi="Bookman Old Style"/>
          <w:b w:val="0"/>
        </w:rPr>
        <w:t>“(…)</w:t>
      </w:r>
    </w:p>
    <w:p w:rsidR="005F0957" w:rsidRDefault="005F0957" w:rsidP="005F0957">
      <w:pPr>
        <w:ind w:left="872" w:right="826"/>
        <w:jc w:val="both"/>
        <w:rPr>
          <w:rFonts w:ascii="Bookman Old Style" w:hAnsi="Bookman Old Style"/>
          <w:sz w:val="22"/>
          <w:szCs w:val="22"/>
        </w:rPr>
      </w:pPr>
    </w:p>
    <w:p w:rsidR="005F0957" w:rsidRPr="00B25AE5" w:rsidRDefault="005F0957" w:rsidP="005F0957">
      <w:pPr>
        <w:ind w:left="2124" w:right="826" w:hanging="1252"/>
        <w:jc w:val="both"/>
        <w:rPr>
          <w:rFonts w:ascii="Bookman Old Style" w:hAnsi="Bookman Old Style"/>
          <w:i/>
          <w:sz w:val="22"/>
          <w:szCs w:val="22"/>
        </w:rPr>
      </w:pPr>
      <w:r w:rsidRPr="00B25AE5">
        <w:rPr>
          <w:rFonts w:ascii="Bookman Old Style" w:hAnsi="Bookman Old Style"/>
          <w:i/>
          <w:sz w:val="22"/>
          <w:szCs w:val="22"/>
        </w:rPr>
        <w:t xml:space="preserve">Asunto: </w:t>
      </w:r>
      <w:r w:rsidRPr="00B25AE5">
        <w:rPr>
          <w:rFonts w:ascii="Bookman Old Style" w:hAnsi="Bookman Old Style"/>
          <w:i/>
          <w:sz w:val="22"/>
          <w:szCs w:val="22"/>
        </w:rPr>
        <w:tab/>
        <w:t xml:space="preserve">Actuación Administrativa iniciada con fundamento en el informe adicional de verificación de la curva S y del cronograma del proyecto y puesta en operación de la planta hidroeléctrica, Porce IV, elaborado por SEDIC S.A. </w:t>
      </w:r>
    </w:p>
    <w:p w:rsidR="005F0957" w:rsidRPr="00B25AE5" w:rsidRDefault="005F0957" w:rsidP="005F0957">
      <w:pPr>
        <w:ind w:left="1580" w:right="826" w:firstLine="544"/>
        <w:jc w:val="both"/>
        <w:rPr>
          <w:rFonts w:ascii="Bookman Old Style" w:hAnsi="Bookman Old Style"/>
          <w:i/>
          <w:sz w:val="22"/>
          <w:szCs w:val="22"/>
        </w:rPr>
      </w:pPr>
      <w:r w:rsidRPr="00B25AE5">
        <w:rPr>
          <w:rFonts w:ascii="Bookman Old Style" w:hAnsi="Bookman Old Style"/>
          <w:i/>
          <w:sz w:val="22"/>
          <w:szCs w:val="22"/>
        </w:rPr>
        <w:t>Expediente 2011-0049.</w:t>
      </w:r>
    </w:p>
    <w:p w:rsidR="005F0957" w:rsidRPr="009F720B" w:rsidRDefault="005F0957" w:rsidP="005F0957">
      <w:pPr>
        <w:ind w:left="872" w:right="826"/>
        <w:jc w:val="both"/>
        <w:rPr>
          <w:rFonts w:ascii="Bookman Old Style" w:hAnsi="Bookman Old Style"/>
          <w:sz w:val="22"/>
          <w:szCs w:val="22"/>
        </w:rPr>
      </w:pPr>
    </w:p>
    <w:p w:rsidR="00FE0DA0" w:rsidRDefault="005F0957" w:rsidP="005F0957">
      <w:pPr>
        <w:ind w:left="872" w:right="826"/>
        <w:jc w:val="both"/>
        <w:rPr>
          <w:rFonts w:ascii="Bookman Old Style" w:hAnsi="Bookman Old Style"/>
          <w:i/>
          <w:sz w:val="22"/>
          <w:szCs w:val="22"/>
        </w:rPr>
      </w:pPr>
      <w:r w:rsidRPr="005F0957">
        <w:rPr>
          <w:rFonts w:ascii="Bookman Old Style" w:hAnsi="Bookman Old Style"/>
          <w:i/>
          <w:sz w:val="22"/>
          <w:szCs w:val="22"/>
        </w:rPr>
        <w:t>(…) En consecuencia y como la presente actuación administrativa no puede ser decidida sin que los argumentos presentados por EPM sean valorados por las autoridades competentes, ya que ello implicaría una violación de su derecho de defensa; y según lo expresado por la misma CREG, el competente para asumir tal actuación no es la Comisión de Regulación de Energía y Gas, EPM respetuosamente solicita a la Comisión abstenerse de decidir la presente actuación administrativa, por cualquier pronunciamiento implica valorar el evento eximente de responsabilidad que imposibilitó la entrada en operación del Proyecto Hidroeléctrico Porce IV para el 1º de diciembre de 2015</w:t>
      </w:r>
      <w:r>
        <w:rPr>
          <w:rFonts w:ascii="Bookman Old Style" w:hAnsi="Bookman Old Style"/>
          <w:i/>
          <w:sz w:val="22"/>
          <w:szCs w:val="22"/>
        </w:rPr>
        <w:t xml:space="preserve"> </w:t>
      </w:r>
    </w:p>
    <w:p w:rsidR="00FE0DA0" w:rsidRDefault="00FE0DA0" w:rsidP="005F0957">
      <w:pPr>
        <w:ind w:left="872" w:right="826"/>
        <w:jc w:val="both"/>
        <w:rPr>
          <w:rFonts w:ascii="Bookman Old Style" w:hAnsi="Bookman Old Style"/>
          <w:i/>
          <w:sz w:val="22"/>
          <w:szCs w:val="22"/>
        </w:rPr>
      </w:pPr>
    </w:p>
    <w:p w:rsidR="005F0957" w:rsidRPr="005F0957" w:rsidRDefault="00FE0DA0" w:rsidP="005F0957">
      <w:pPr>
        <w:ind w:left="872" w:right="826"/>
        <w:jc w:val="both"/>
        <w:rPr>
          <w:rFonts w:ascii="Bookman Old Style" w:hAnsi="Bookman Old Style"/>
          <w:i/>
          <w:sz w:val="22"/>
          <w:szCs w:val="22"/>
        </w:rPr>
      </w:pPr>
      <w:r w:rsidRPr="00A836E2">
        <w:rPr>
          <w:rFonts w:ascii="Bookman Old Style" w:hAnsi="Bookman Old Style"/>
          <w:i/>
          <w:sz w:val="22"/>
          <w:szCs w:val="22"/>
        </w:rPr>
        <w:t xml:space="preserve">Finalmente, EPM reitera su solicitud de que las comunicaciones </w:t>
      </w:r>
      <w:r w:rsidR="00A836E2" w:rsidRPr="00A836E2">
        <w:rPr>
          <w:rFonts w:ascii="Bookman Old Style" w:hAnsi="Bookman Old Style" w:cs="Arial"/>
          <w:i/>
          <w:sz w:val="22"/>
          <w:szCs w:val="22"/>
        </w:rPr>
        <w:t>CREG E-2010-012362 del 30 de diciembre de 2010, E-2011-001370 del 11 de febrero de 2011, E-2011-006348 del 1° de julio de 2011 ni E-2011-</w:t>
      </w:r>
      <w:r w:rsidR="00A836E2" w:rsidRPr="00A836E2">
        <w:rPr>
          <w:rFonts w:ascii="Bookman Old Style" w:hAnsi="Bookman Old Style" w:cs="Arial"/>
          <w:i/>
          <w:sz w:val="22"/>
          <w:szCs w:val="22"/>
        </w:rPr>
        <w:lastRenderedPageBreak/>
        <w:t xml:space="preserve">09426 del 4 de octubre de 2011, incluidas sus solicitudes de pruebas y sus anexos, hagan parte del expediente administrativo y sean tenidas como prueba dentro de la actuación, </w:t>
      </w:r>
      <w:r w:rsidR="006A60E3">
        <w:rPr>
          <w:rFonts w:ascii="Bookman Old Style" w:hAnsi="Bookman Old Style" w:cs="Arial"/>
          <w:i/>
          <w:sz w:val="22"/>
          <w:szCs w:val="22"/>
        </w:rPr>
        <w:t>t</w:t>
      </w:r>
      <w:r w:rsidR="00A836E2" w:rsidRPr="00A836E2">
        <w:rPr>
          <w:rFonts w:ascii="Bookman Old Style" w:hAnsi="Bookman Old Style" w:cs="Arial"/>
          <w:i/>
          <w:sz w:val="22"/>
          <w:szCs w:val="22"/>
        </w:rPr>
        <w:t>al como se solicitó en el último de los documentos mencionados</w:t>
      </w:r>
      <w:r w:rsidR="00A836E2">
        <w:rPr>
          <w:rFonts w:ascii="Bookman Old Style" w:hAnsi="Bookman Old Style"/>
          <w:i/>
          <w:sz w:val="22"/>
          <w:szCs w:val="22"/>
        </w:rPr>
        <w:t xml:space="preserve"> </w:t>
      </w:r>
      <w:r w:rsidR="005F0957">
        <w:rPr>
          <w:rFonts w:ascii="Bookman Old Style" w:hAnsi="Bookman Old Style"/>
          <w:i/>
          <w:sz w:val="22"/>
          <w:szCs w:val="22"/>
        </w:rPr>
        <w:t>(…)</w:t>
      </w:r>
      <w:r w:rsidR="005F0957" w:rsidRPr="005F0957">
        <w:rPr>
          <w:rFonts w:ascii="Bookman Old Style" w:hAnsi="Bookman Old Style"/>
          <w:i/>
          <w:sz w:val="22"/>
          <w:szCs w:val="22"/>
        </w:rPr>
        <w:t>”</w:t>
      </w:r>
      <w:r w:rsidR="005F0957">
        <w:rPr>
          <w:rFonts w:ascii="Bookman Old Style" w:hAnsi="Bookman Old Style"/>
          <w:i/>
          <w:sz w:val="22"/>
          <w:szCs w:val="22"/>
        </w:rPr>
        <w:t>.</w:t>
      </w:r>
    </w:p>
    <w:p w:rsidR="00B25AE5" w:rsidRDefault="00B25AE5" w:rsidP="00B25AE5">
      <w:pPr>
        <w:pStyle w:val="Textoindependiente"/>
        <w:ind w:left="0"/>
        <w:jc w:val="both"/>
        <w:rPr>
          <w:rFonts w:ascii="Bookman Old Style" w:hAnsi="Bookman Old Style"/>
          <w:b w:val="0"/>
        </w:rPr>
      </w:pPr>
    </w:p>
    <w:p w:rsidR="00B25AE5" w:rsidRDefault="00B25AE5" w:rsidP="00B25AE5">
      <w:pPr>
        <w:pStyle w:val="Textoindependiente"/>
        <w:ind w:left="0"/>
        <w:jc w:val="both"/>
        <w:rPr>
          <w:rFonts w:ascii="Bookman Old Style" w:hAnsi="Bookman Old Style"/>
          <w:b w:val="0"/>
        </w:rPr>
      </w:pPr>
      <w:r>
        <w:rPr>
          <w:rFonts w:ascii="Bookman Old Style" w:hAnsi="Bookman Old Style"/>
          <w:b w:val="0"/>
        </w:rPr>
        <w:t>Dicha comunicación fue radicada en la CREG el 4 de octubre de 2011, cuando la CREG ya había decidido la actuación administrativa 2011-0049, con la Resolución CREG</w:t>
      </w:r>
      <w:r w:rsidR="006D1B2E">
        <w:rPr>
          <w:rFonts w:ascii="Bookman Old Style" w:hAnsi="Bookman Old Style"/>
          <w:b w:val="0"/>
        </w:rPr>
        <w:t xml:space="preserve"> </w:t>
      </w:r>
      <w:r>
        <w:rPr>
          <w:rFonts w:ascii="Bookman Old Style" w:hAnsi="Bookman Old Style"/>
          <w:b w:val="0"/>
        </w:rPr>
        <w:t>104</w:t>
      </w:r>
      <w:r w:rsidR="006D1B2E">
        <w:rPr>
          <w:rFonts w:ascii="Bookman Old Style" w:hAnsi="Bookman Old Style"/>
          <w:b w:val="0"/>
        </w:rPr>
        <w:t xml:space="preserve"> de 2011</w:t>
      </w:r>
      <w:r>
        <w:rPr>
          <w:rFonts w:ascii="Bookman Old Style" w:hAnsi="Bookman Old Style"/>
          <w:b w:val="0"/>
        </w:rPr>
        <w:t xml:space="preserve">, la cual ya se encontraba aprobada por el cuerpo colegiado de la CREG y </w:t>
      </w:r>
      <w:r w:rsidR="006D1B2E">
        <w:rPr>
          <w:rFonts w:ascii="Bookman Old Style" w:hAnsi="Bookman Old Style"/>
          <w:b w:val="0"/>
        </w:rPr>
        <w:t xml:space="preserve">estaba </w:t>
      </w:r>
      <w:r>
        <w:rPr>
          <w:rFonts w:ascii="Bookman Old Style" w:hAnsi="Bookman Old Style"/>
          <w:b w:val="0"/>
        </w:rPr>
        <w:t>en proceso de recolección de firmas para su posterior notificación.</w:t>
      </w:r>
    </w:p>
    <w:p w:rsidR="00B25AE5" w:rsidRDefault="00B25AE5" w:rsidP="00B25AE5">
      <w:pPr>
        <w:pStyle w:val="Textoindependiente"/>
        <w:ind w:left="0"/>
        <w:jc w:val="both"/>
        <w:rPr>
          <w:rFonts w:ascii="Bookman Old Style" w:hAnsi="Bookman Old Style"/>
          <w:b w:val="0"/>
        </w:rPr>
      </w:pPr>
    </w:p>
    <w:p w:rsidR="00B25AE5" w:rsidRDefault="00B25AE5" w:rsidP="00B25AE5">
      <w:pPr>
        <w:pStyle w:val="Textoindependiente"/>
        <w:ind w:left="0"/>
        <w:jc w:val="both"/>
        <w:rPr>
          <w:rFonts w:ascii="Bookman Old Style" w:hAnsi="Bookman Old Style"/>
          <w:b w:val="0"/>
        </w:rPr>
      </w:pPr>
      <w:r>
        <w:rPr>
          <w:rFonts w:ascii="Bookman Old Style" w:hAnsi="Bookman Old Style"/>
          <w:b w:val="0"/>
          <w:spacing w:val="-5"/>
        </w:rPr>
        <w:t>Lo cierto es que EPM mediante su comunicación del 1 de julio del 2011, con el Rad. CREG E-2011-006358 insistía en un trámite para el cual la CREG ya había manifestado su</w:t>
      </w:r>
      <w:r w:rsidR="00B42867">
        <w:rPr>
          <w:rFonts w:ascii="Bookman Old Style" w:hAnsi="Bookman Old Style"/>
          <w:b w:val="0"/>
          <w:spacing w:val="-5"/>
        </w:rPr>
        <w:t xml:space="preserve"> falta de competencia</w:t>
      </w:r>
      <w:r w:rsidR="006D1B2E">
        <w:rPr>
          <w:rFonts w:ascii="Bookman Old Style" w:hAnsi="Bookman Old Style"/>
          <w:b w:val="0"/>
          <w:spacing w:val="-5"/>
        </w:rPr>
        <w:t xml:space="preserve">, lo cual se había informado con el </w:t>
      </w:r>
      <w:r>
        <w:rPr>
          <w:rFonts w:ascii="Bookman Old Style" w:hAnsi="Bookman Old Style"/>
          <w:b w:val="0"/>
          <w:spacing w:val="-5"/>
        </w:rPr>
        <w:t>documento</w:t>
      </w:r>
      <w:r w:rsidR="00B42867">
        <w:rPr>
          <w:rFonts w:ascii="Bookman Old Style" w:hAnsi="Bookman Old Style"/>
          <w:b w:val="0"/>
          <w:spacing w:val="-5"/>
        </w:rPr>
        <w:t xml:space="preserve"> del 8 de febrero del 2011 (Rad.</w:t>
      </w:r>
      <w:r w:rsidR="00FE0DA0">
        <w:rPr>
          <w:rFonts w:ascii="Bookman Old Style" w:hAnsi="Bookman Old Style"/>
          <w:b w:val="0"/>
          <w:spacing w:val="-5"/>
        </w:rPr>
        <w:t xml:space="preserve"> </w:t>
      </w:r>
      <w:r w:rsidR="00B42867">
        <w:rPr>
          <w:rFonts w:ascii="Bookman Old Style" w:hAnsi="Bookman Old Style"/>
          <w:b w:val="0"/>
          <w:spacing w:val="-5"/>
        </w:rPr>
        <w:t>CREG S-2011-000325) en el cual se dijo:</w:t>
      </w:r>
      <w:r>
        <w:rPr>
          <w:rFonts w:ascii="Bookman Old Style" w:hAnsi="Bookman Old Style"/>
          <w:b w:val="0"/>
          <w:spacing w:val="-5"/>
        </w:rPr>
        <w:t xml:space="preserve"> </w:t>
      </w:r>
    </w:p>
    <w:p w:rsidR="00B25AE5" w:rsidRDefault="00B25AE5" w:rsidP="00B25AE5">
      <w:pPr>
        <w:pStyle w:val="Textoindependiente"/>
        <w:ind w:left="0"/>
        <w:jc w:val="both"/>
        <w:rPr>
          <w:rFonts w:ascii="Bookman Old Style" w:hAnsi="Bookman Old Style"/>
          <w:b w:val="0"/>
        </w:rPr>
      </w:pPr>
    </w:p>
    <w:p w:rsidR="00B42867" w:rsidRDefault="00B42867" w:rsidP="00B25AE5">
      <w:pPr>
        <w:pStyle w:val="Textoindependiente"/>
        <w:ind w:left="0"/>
        <w:jc w:val="both"/>
        <w:rPr>
          <w:rFonts w:ascii="Bookman Old Style" w:hAnsi="Bookman Old Style"/>
          <w:b w:val="0"/>
        </w:rPr>
      </w:pPr>
      <w:r>
        <w:rPr>
          <w:rFonts w:ascii="Bookman Old Style" w:hAnsi="Bookman Old Style"/>
          <w:b w:val="0"/>
        </w:rPr>
        <w:t>“(…)</w:t>
      </w:r>
    </w:p>
    <w:p w:rsidR="00B42867" w:rsidRPr="00B42867" w:rsidRDefault="00B42867" w:rsidP="00B42867">
      <w:pPr>
        <w:ind w:left="872" w:right="826"/>
        <w:jc w:val="both"/>
        <w:rPr>
          <w:rFonts w:ascii="Bookman Old Style" w:hAnsi="Bookman Old Style"/>
          <w:i/>
          <w:sz w:val="22"/>
          <w:szCs w:val="22"/>
        </w:rPr>
      </w:pPr>
      <w:r w:rsidRPr="00B42867">
        <w:rPr>
          <w:rFonts w:ascii="Bookman Old Style" w:hAnsi="Bookman Old Style"/>
          <w:i/>
          <w:sz w:val="22"/>
          <w:szCs w:val="22"/>
        </w:rPr>
        <w:t xml:space="preserve">En un Estado Social de Derecho, las competencias de las autoridades públicas corresponderán a lo determinado por la Constitución y las Leyes, y en ese orden de ideas, de manera general podemos decir que la determinación de la responsabilidad de las personas, es una tarea que ha sido asignada por el Código de Procedimiento Civil a los Jueces de la jurisdicción ordinaria, o en caso de existir el Estado como parte de la </w:t>
      </w:r>
      <w:proofErr w:type="spellStart"/>
      <w:r w:rsidRPr="00B42867">
        <w:rPr>
          <w:rFonts w:ascii="Bookman Old Style" w:hAnsi="Bookman Old Style"/>
          <w:i/>
          <w:sz w:val="22"/>
          <w:szCs w:val="22"/>
        </w:rPr>
        <w:t>littis</w:t>
      </w:r>
      <w:proofErr w:type="spellEnd"/>
      <w:r w:rsidRPr="00B42867">
        <w:rPr>
          <w:rFonts w:ascii="Bookman Old Style" w:hAnsi="Bookman Old Style"/>
          <w:i/>
          <w:sz w:val="22"/>
          <w:szCs w:val="22"/>
        </w:rPr>
        <w:t>, esta será una labor adelantada por la jurisdicción de lo Contencioso Administrativo (Artículo 82 del Código Contencioso Administrativo). Además de lo anterior, existe la posibilidad del reconocimiento por parte de una entidad administrativa del acaecimiento de una causal de vis mayor (fuerza mayor o caso fortuito), cuando la Ley la ha facultado para realizar tal labor.</w:t>
      </w:r>
    </w:p>
    <w:p w:rsidR="00B42867" w:rsidRPr="00B42867" w:rsidRDefault="00B42867" w:rsidP="00B42867">
      <w:pPr>
        <w:ind w:left="872" w:right="826"/>
        <w:jc w:val="both"/>
        <w:rPr>
          <w:rFonts w:ascii="Bookman Old Style" w:hAnsi="Bookman Old Style"/>
          <w:i/>
          <w:sz w:val="22"/>
          <w:szCs w:val="22"/>
        </w:rPr>
      </w:pPr>
    </w:p>
    <w:p w:rsidR="00B42867" w:rsidRPr="00B42867" w:rsidRDefault="00B42867" w:rsidP="00B42867">
      <w:pPr>
        <w:ind w:left="872" w:right="826"/>
        <w:jc w:val="both"/>
        <w:rPr>
          <w:rFonts w:ascii="Bookman Old Style" w:hAnsi="Bookman Old Style"/>
          <w:i/>
          <w:sz w:val="22"/>
          <w:szCs w:val="22"/>
        </w:rPr>
      </w:pPr>
      <w:r w:rsidRPr="00B42867">
        <w:rPr>
          <w:rFonts w:ascii="Bookman Old Style" w:hAnsi="Bookman Old Style"/>
          <w:i/>
          <w:sz w:val="22"/>
          <w:szCs w:val="22"/>
        </w:rPr>
        <w:t>Las Leyes 142 y 143 de 1994, crearon, organizaron y atribuyeron funciones explícitas a la Comisión de Regulación de Energía y Gas “CREG”, cuya labor primordial consiste en la regulación de los Servicios Públicos Domiciliarios de Energía Eléctrica y Gas combustible, garantizando una oferta energética eficiente para el sector.</w:t>
      </w:r>
    </w:p>
    <w:p w:rsidR="00B42867" w:rsidRPr="00B42867" w:rsidRDefault="00B42867" w:rsidP="00B42867">
      <w:pPr>
        <w:ind w:left="872" w:right="826"/>
        <w:jc w:val="both"/>
        <w:rPr>
          <w:rFonts w:ascii="Bookman Old Style" w:hAnsi="Bookman Old Style"/>
          <w:i/>
          <w:sz w:val="22"/>
          <w:szCs w:val="22"/>
        </w:rPr>
      </w:pPr>
    </w:p>
    <w:p w:rsidR="00B42867" w:rsidRPr="00B42867" w:rsidRDefault="00B42867" w:rsidP="00B42867">
      <w:pPr>
        <w:ind w:left="872" w:right="826"/>
        <w:jc w:val="both"/>
        <w:rPr>
          <w:rFonts w:ascii="Bookman Old Style" w:hAnsi="Bookman Old Style"/>
          <w:i/>
          <w:sz w:val="22"/>
          <w:szCs w:val="22"/>
        </w:rPr>
      </w:pPr>
      <w:r w:rsidRPr="00B42867">
        <w:rPr>
          <w:rFonts w:ascii="Bookman Old Style" w:hAnsi="Bookman Old Style"/>
          <w:i/>
          <w:sz w:val="22"/>
          <w:szCs w:val="22"/>
        </w:rPr>
        <w:t>Mediante los Artículos 106 a 114 de la Ley 142 de 1994, se establecieron los procedimientos para los actos administrativos unilaterales a que dé origen el cumplimiento de las disposiciones de dicha Ley.</w:t>
      </w:r>
    </w:p>
    <w:p w:rsidR="00B42867" w:rsidRPr="00B42867" w:rsidRDefault="00B42867" w:rsidP="00B42867">
      <w:pPr>
        <w:ind w:left="872" w:right="826"/>
        <w:jc w:val="both"/>
        <w:rPr>
          <w:rFonts w:ascii="Bookman Old Style" w:hAnsi="Bookman Old Style"/>
          <w:i/>
          <w:sz w:val="22"/>
          <w:szCs w:val="22"/>
        </w:rPr>
      </w:pPr>
    </w:p>
    <w:p w:rsidR="00B42867" w:rsidRPr="00B42867" w:rsidRDefault="00B42867" w:rsidP="00B42867">
      <w:pPr>
        <w:ind w:left="872" w:right="826"/>
        <w:jc w:val="both"/>
        <w:rPr>
          <w:rFonts w:ascii="Bookman Old Style" w:hAnsi="Bookman Old Style"/>
          <w:i/>
          <w:sz w:val="22"/>
          <w:szCs w:val="22"/>
        </w:rPr>
      </w:pPr>
      <w:r w:rsidRPr="00B42867">
        <w:rPr>
          <w:rFonts w:ascii="Bookman Old Style" w:hAnsi="Bookman Old Style"/>
          <w:i/>
          <w:sz w:val="22"/>
          <w:szCs w:val="22"/>
        </w:rPr>
        <w:t xml:space="preserve">En cumplimiento del Artículo 126 de la Ley 142 de 1994, se permite  a la CREG valorar la ocurrencia del caso fortuito o la fuerza mayor, únicamente para la  revisión de las fórmulas tarifarias. </w:t>
      </w:r>
    </w:p>
    <w:p w:rsidR="00B42867" w:rsidRPr="00B42867" w:rsidRDefault="00B42867" w:rsidP="00B42867">
      <w:pPr>
        <w:ind w:left="872" w:right="826"/>
        <w:jc w:val="both"/>
        <w:rPr>
          <w:rFonts w:ascii="Bookman Old Style" w:hAnsi="Bookman Old Style"/>
          <w:i/>
          <w:sz w:val="22"/>
          <w:szCs w:val="22"/>
        </w:rPr>
      </w:pPr>
    </w:p>
    <w:p w:rsidR="00B42867" w:rsidRPr="00B42867" w:rsidRDefault="00B42867" w:rsidP="00B42867">
      <w:pPr>
        <w:ind w:left="872" w:right="826"/>
        <w:jc w:val="both"/>
        <w:rPr>
          <w:rFonts w:ascii="Bookman Old Style" w:hAnsi="Bookman Old Style"/>
          <w:i/>
          <w:sz w:val="22"/>
          <w:szCs w:val="22"/>
        </w:rPr>
      </w:pPr>
      <w:r w:rsidRPr="00B42867">
        <w:rPr>
          <w:rFonts w:ascii="Bookman Old Style" w:hAnsi="Bookman Old Style"/>
          <w:i/>
          <w:sz w:val="22"/>
          <w:szCs w:val="22"/>
        </w:rPr>
        <w:t xml:space="preserve">Según lo anterior, y considerando el ámbito de actuación del Artículo 106 de la Ley 142 de 1994, (esto es, los actos administrativos unilaterales para el cumplimiento de las disposiciones de la propia Ley 142 de 1994), no existe disposición legal o reglamentaria alguna, que atribuya competencia a la CREG para la realización de una actuación administrativa tendiente a reconocer la ocurrencia de una causal eximente de responsabilidad (caso fortuito o fuerza mayor). </w:t>
      </w:r>
    </w:p>
    <w:p w:rsidR="00B42867" w:rsidRPr="00B42867" w:rsidRDefault="00B42867" w:rsidP="00B42867">
      <w:pPr>
        <w:ind w:left="872" w:right="826"/>
        <w:jc w:val="both"/>
        <w:rPr>
          <w:rFonts w:ascii="Bookman Old Style" w:hAnsi="Bookman Old Style"/>
          <w:i/>
          <w:sz w:val="22"/>
          <w:szCs w:val="22"/>
        </w:rPr>
      </w:pPr>
    </w:p>
    <w:p w:rsidR="00B42867" w:rsidRDefault="00B42867" w:rsidP="00B42867">
      <w:pPr>
        <w:ind w:left="872" w:right="826"/>
        <w:jc w:val="both"/>
        <w:rPr>
          <w:rFonts w:ascii="Bookman Old Style" w:hAnsi="Bookman Old Style"/>
          <w:i/>
          <w:sz w:val="22"/>
          <w:szCs w:val="22"/>
        </w:rPr>
      </w:pPr>
      <w:r w:rsidRPr="00B42867">
        <w:rPr>
          <w:rFonts w:ascii="Bookman Old Style" w:hAnsi="Bookman Old Style"/>
          <w:i/>
          <w:sz w:val="22"/>
          <w:szCs w:val="22"/>
        </w:rPr>
        <w:lastRenderedPageBreak/>
        <w:t>En virtud de lo anterior la CREG debe informar a EPM E.S.P, que no cuenta con las facultades jurídicas para iniciar o conocer de la solicitud elevada por dicha empresa ante esta entidad.</w:t>
      </w:r>
      <w:r>
        <w:rPr>
          <w:rFonts w:ascii="Bookman Old Style" w:hAnsi="Bookman Old Style"/>
          <w:i/>
          <w:sz w:val="22"/>
          <w:szCs w:val="22"/>
        </w:rPr>
        <w:t xml:space="preserve"> (…)”</w:t>
      </w:r>
    </w:p>
    <w:p w:rsidR="00B42867" w:rsidRDefault="00B42867" w:rsidP="00B42867">
      <w:pPr>
        <w:ind w:left="0" w:right="826"/>
        <w:jc w:val="both"/>
        <w:rPr>
          <w:rFonts w:ascii="Bookman Old Style" w:hAnsi="Bookman Old Style"/>
          <w:i/>
          <w:sz w:val="22"/>
          <w:szCs w:val="22"/>
        </w:rPr>
      </w:pPr>
    </w:p>
    <w:p w:rsidR="00B42867" w:rsidRPr="00E2516D" w:rsidRDefault="006D1B2E" w:rsidP="00E2516D">
      <w:pPr>
        <w:pStyle w:val="Textoindependiente"/>
        <w:ind w:left="0"/>
        <w:jc w:val="both"/>
        <w:rPr>
          <w:rFonts w:ascii="Bookman Old Style" w:hAnsi="Bookman Old Style"/>
          <w:b w:val="0"/>
          <w:bCs w:val="0"/>
          <w:spacing w:val="-5"/>
        </w:rPr>
      </w:pPr>
      <w:r>
        <w:rPr>
          <w:rFonts w:ascii="Bookman Old Style" w:hAnsi="Bookman Old Style"/>
          <w:b w:val="0"/>
          <w:bCs w:val="0"/>
          <w:spacing w:val="-5"/>
        </w:rPr>
        <w:t>Ante e</w:t>
      </w:r>
      <w:r w:rsidR="00B42867" w:rsidRPr="00E2516D">
        <w:rPr>
          <w:rFonts w:ascii="Bookman Old Style" w:hAnsi="Bookman Old Style"/>
          <w:b w:val="0"/>
          <w:bCs w:val="0"/>
          <w:spacing w:val="-5"/>
        </w:rPr>
        <w:t>sta insistencia de EPM</w:t>
      </w:r>
      <w:r w:rsidR="00E20727">
        <w:rPr>
          <w:rFonts w:ascii="Bookman Old Style" w:hAnsi="Bookman Old Style"/>
          <w:b w:val="0"/>
          <w:bCs w:val="0"/>
          <w:spacing w:val="-5"/>
        </w:rPr>
        <w:t>,</w:t>
      </w:r>
      <w:r w:rsidR="00B42867" w:rsidRPr="00E2516D">
        <w:rPr>
          <w:rFonts w:ascii="Bookman Old Style" w:hAnsi="Bookman Old Style"/>
          <w:b w:val="0"/>
          <w:bCs w:val="0"/>
          <w:spacing w:val="-5"/>
        </w:rPr>
        <w:t xml:space="preserve"> de una actuación administrativa para la cual la CREG no tiene competencia</w:t>
      </w:r>
      <w:r w:rsidR="006A60E3">
        <w:rPr>
          <w:rStyle w:val="Refdenotaalpie"/>
          <w:rFonts w:ascii="Bookman Old Style" w:hAnsi="Bookman Old Style"/>
          <w:b w:val="0"/>
          <w:bCs w:val="0"/>
          <w:spacing w:val="-5"/>
        </w:rPr>
        <w:footnoteReference w:id="8"/>
      </w:r>
      <w:r w:rsidR="00B42867" w:rsidRPr="00E2516D">
        <w:rPr>
          <w:rFonts w:ascii="Bookman Old Style" w:hAnsi="Bookman Old Style"/>
          <w:b w:val="0"/>
          <w:bCs w:val="0"/>
          <w:spacing w:val="-5"/>
        </w:rPr>
        <w:t xml:space="preserve">, la Comisión </w:t>
      </w:r>
      <w:r>
        <w:rPr>
          <w:rFonts w:ascii="Bookman Old Style" w:hAnsi="Bookman Old Style"/>
          <w:b w:val="0"/>
          <w:bCs w:val="0"/>
          <w:spacing w:val="-5"/>
        </w:rPr>
        <w:t xml:space="preserve">decidió que </w:t>
      </w:r>
      <w:r w:rsidR="00B42867" w:rsidRPr="00E2516D">
        <w:rPr>
          <w:rFonts w:ascii="Bookman Old Style" w:hAnsi="Bookman Old Style"/>
          <w:b w:val="0"/>
          <w:bCs w:val="0"/>
          <w:spacing w:val="-5"/>
        </w:rPr>
        <w:t>en cumplimiento y en garantía del debido proceso, atendiendo el derecho de defensa que le asiste a EPM, expedir dentro de la actuación administrativa 2011-0049, el auto del 2</w:t>
      </w:r>
      <w:r w:rsidR="00A836E2">
        <w:rPr>
          <w:rFonts w:ascii="Bookman Old Style" w:hAnsi="Bookman Old Style"/>
          <w:b w:val="0"/>
          <w:bCs w:val="0"/>
          <w:spacing w:val="-5"/>
        </w:rPr>
        <w:t>9</w:t>
      </w:r>
      <w:r w:rsidR="00B42867" w:rsidRPr="00E2516D">
        <w:rPr>
          <w:rFonts w:ascii="Bookman Old Style" w:hAnsi="Bookman Old Style"/>
          <w:b w:val="0"/>
          <w:bCs w:val="0"/>
          <w:spacing w:val="-5"/>
        </w:rPr>
        <w:t xml:space="preserve"> de julio del 2011, en cual se dijo:</w:t>
      </w:r>
    </w:p>
    <w:p w:rsidR="00B42867" w:rsidRPr="00E2516D" w:rsidRDefault="00B42867" w:rsidP="00B42867">
      <w:pPr>
        <w:ind w:left="0" w:right="826"/>
        <w:jc w:val="both"/>
        <w:rPr>
          <w:rFonts w:ascii="Bookman Old Style" w:hAnsi="Bookman Old Style" w:cs="Arial"/>
          <w:bCs/>
          <w:spacing w:val="-5"/>
        </w:rPr>
      </w:pPr>
    </w:p>
    <w:p w:rsidR="00B42867" w:rsidRPr="00B42867" w:rsidRDefault="00B42867" w:rsidP="00B42867">
      <w:pPr>
        <w:ind w:left="872" w:right="826"/>
        <w:jc w:val="both"/>
        <w:rPr>
          <w:rFonts w:ascii="Bookman Old Style" w:hAnsi="Bookman Old Style"/>
          <w:i/>
          <w:sz w:val="22"/>
          <w:szCs w:val="22"/>
        </w:rPr>
      </w:pPr>
      <w:r>
        <w:rPr>
          <w:rFonts w:ascii="Bookman Old Style" w:hAnsi="Bookman Old Style"/>
          <w:i/>
          <w:sz w:val="22"/>
          <w:szCs w:val="22"/>
        </w:rPr>
        <w:t>“(…)</w:t>
      </w:r>
      <w:r w:rsidR="00BF5665">
        <w:rPr>
          <w:rFonts w:ascii="Bookman Old Style" w:hAnsi="Bookman Old Style"/>
          <w:i/>
          <w:sz w:val="22"/>
          <w:szCs w:val="22"/>
        </w:rPr>
        <w:t xml:space="preserve"> </w:t>
      </w:r>
      <w:r w:rsidRPr="00B42867">
        <w:rPr>
          <w:rFonts w:ascii="Bookman Old Style" w:hAnsi="Bookman Old Style"/>
          <w:i/>
          <w:sz w:val="22"/>
          <w:szCs w:val="22"/>
        </w:rPr>
        <w:t>Que las actuaciones administrativas en un Estado Social de Derecho se encuentran sujetas a reglas y límites previamente establecidos en normas constitucionales y legales</w:t>
      </w:r>
      <w:r w:rsidRPr="00FE0DA0">
        <w:rPr>
          <w:rStyle w:val="Refdenotaalpie"/>
        </w:rPr>
        <w:footnoteReference w:id="9"/>
      </w:r>
      <w:r w:rsidRPr="00B42867">
        <w:rPr>
          <w:rFonts w:ascii="Bookman Old Style" w:hAnsi="Bookman Old Style"/>
          <w:i/>
          <w:sz w:val="22"/>
          <w:szCs w:val="22"/>
        </w:rPr>
        <w:t>, las cuales en ningún momento pueden ser omitidas o violentadas por la administración pública. Es así como el artículo 29 de la Constitución Política de 1991 establece que “[e]l debido proceso se aplicará a toda clase de actuaciones judiciales y administrativas”. Lo anterior implica que todas las garantías constitucionales previstas para las actuaciones judiciales establecidas a favor de los ciudadanos son también predicables de cualquier actuación administrativa.</w:t>
      </w:r>
    </w:p>
    <w:p w:rsidR="00B42867" w:rsidRPr="00B42867" w:rsidRDefault="00B42867" w:rsidP="00B42867">
      <w:pPr>
        <w:ind w:left="872" w:right="826"/>
        <w:jc w:val="both"/>
        <w:rPr>
          <w:rFonts w:ascii="Bookman Old Style" w:hAnsi="Bookman Old Style"/>
          <w:i/>
          <w:sz w:val="22"/>
          <w:szCs w:val="22"/>
        </w:rPr>
      </w:pPr>
    </w:p>
    <w:p w:rsidR="00B42867" w:rsidRPr="00B42867" w:rsidRDefault="00B42867" w:rsidP="00B42867">
      <w:pPr>
        <w:ind w:left="872" w:right="826"/>
        <w:jc w:val="both"/>
        <w:rPr>
          <w:rFonts w:ascii="Bookman Old Style" w:hAnsi="Bookman Old Style"/>
          <w:i/>
          <w:sz w:val="22"/>
          <w:szCs w:val="22"/>
        </w:rPr>
      </w:pPr>
      <w:r w:rsidRPr="00B42867">
        <w:rPr>
          <w:rFonts w:ascii="Bookman Old Style" w:hAnsi="Bookman Old Style"/>
          <w:i/>
          <w:sz w:val="22"/>
          <w:szCs w:val="22"/>
        </w:rPr>
        <w:t>Que la finalidad última del debido proceso, es garantizarles a los asociados la imparcialidad de la administración y la consecución adecuada de sus derechos.</w:t>
      </w:r>
    </w:p>
    <w:p w:rsidR="00B42867" w:rsidRPr="00B42867" w:rsidRDefault="00B42867" w:rsidP="00B42867">
      <w:pPr>
        <w:ind w:left="872" w:right="826"/>
        <w:jc w:val="both"/>
        <w:rPr>
          <w:rFonts w:ascii="Bookman Old Style" w:hAnsi="Bookman Old Style"/>
          <w:i/>
          <w:sz w:val="22"/>
          <w:szCs w:val="22"/>
        </w:rPr>
      </w:pPr>
    </w:p>
    <w:p w:rsidR="00B42867" w:rsidRPr="00B42867" w:rsidRDefault="00B42867" w:rsidP="00B42867">
      <w:pPr>
        <w:ind w:left="872" w:right="826"/>
        <w:jc w:val="both"/>
        <w:rPr>
          <w:rFonts w:ascii="Bookman Old Style" w:hAnsi="Bookman Old Style"/>
          <w:i/>
          <w:sz w:val="22"/>
          <w:szCs w:val="22"/>
        </w:rPr>
      </w:pPr>
      <w:r w:rsidRPr="00B42867">
        <w:rPr>
          <w:rFonts w:ascii="Bookman Old Style" w:hAnsi="Bookman Old Style"/>
          <w:i/>
          <w:sz w:val="22"/>
          <w:szCs w:val="22"/>
        </w:rPr>
        <w:t>Que la h. Corte Constitucional ha señalado como elementos característicos del debido proceso los siguientes</w:t>
      </w:r>
      <w:r w:rsidRPr="00FE0DA0">
        <w:rPr>
          <w:rStyle w:val="Refdenotaalpie"/>
        </w:rPr>
        <w:footnoteReference w:id="10"/>
      </w:r>
      <w:r w:rsidRPr="00B42867">
        <w:rPr>
          <w:rFonts w:ascii="Bookman Old Style" w:hAnsi="Bookman Old Style"/>
          <w:i/>
          <w:sz w:val="22"/>
          <w:szCs w:val="22"/>
        </w:rPr>
        <w:t>:</w:t>
      </w:r>
    </w:p>
    <w:p w:rsidR="00B42867" w:rsidRPr="00B42867" w:rsidRDefault="00B42867" w:rsidP="00B42867">
      <w:pPr>
        <w:ind w:left="872" w:right="826"/>
        <w:jc w:val="both"/>
        <w:rPr>
          <w:rFonts w:ascii="Bookman Old Style" w:hAnsi="Bookman Old Style"/>
          <w:i/>
          <w:sz w:val="22"/>
          <w:szCs w:val="22"/>
        </w:rPr>
      </w:pPr>
    </w:p>
    <w:p w:rsidR="00B42867" w:rsidRPr="00B42867" w:rsidRDefault="00B42867" w:rsidP="00B42867">
      <w:pPr>
        <w:ind w:left="872" w:right="826"/>
        <w:jc w:val="both"/>
        <w:rPr>
          <w:rFonts w:ascii="Bookman Old Style" w:hAnsi="Bookman Old Style"/>
          <w:i/>
          <w:sz w:val="22"/>
          <w:szCs w:val="22"/>
        </w:rPr>
      </w:pPr>
      <w:r w:rsidRPr="00B42867">
        <w:rPr>
          <w:rFonts w:ascii="Bookman Old Style" w:hAnsi="Bookman Old Style"/>
          <w:i/>
          <w:sz w:val="22"/>
          <w:szCs w:val="22"/>
        </w:rPr>
        <w:t>El derecho al debido proceso administrativo es de rango constitucional, consagrado por el artículo 29 de la Constitución.</w:t>
      </w:r>
    </w:p>
    <w:p w:rsidR="00B42867" w:rsidRPr="00B42867" w:rsidRDefault="00B42867" w:rsidP="00B42867">
      <w:pPr>
        <w:ind w:left="872" w:right="826"/>
        <w:jc w:val="both"/>
        <w:rPr>
          <w:rFonts w:ascii="Bookman Old Style" w:hAnsi="Bookman Old Style"/>
          <w:i/>
          <w:sz w:val="22"/>
          <w:szCs w:val="22"/>
        </w:rPr>
      </w:pPr>
    </w:p>
    <w:p w:rsidR="00B42867" w:rsidRPr="00B42867" w:rsidRDefault="00B42867" w:rsidP="00B42867">
      <w:pPr>
        <w:ind w:left="872" w:right="826"/>
        <w:jc w:val="both"/>
        <w:rPr>
          <w:rFonts w:ascii="Bookman Old Style" w:hAnsi="Bookman Old Style"/>
          <w:i/>
          <w:sz w:val="22"/>
          <w:szCs w:val="22"/>
        </w:rPr>
      </w:pPr>
      <w:r w:rsidRPr="00B42867">
        <w:rPr>
          <w:rFonts w:ascii="Bookman Old Style" w:hAnsi="Bookman Old Style"/>
          <w:i/>
          <w:sz w:val="22"/>
          <w:szCs w:val="22"/>
        </w:rPr>
        <w:t>El debido proceso administrativo involucra todas las garantías propias del derecho al debido proceso en general.</w:t>
      </w:r>
    </w:p>
    <w:p w:rsidR="00B42867" w:rsidRPr="00B42867" w:rsidRDefault="00B42867" w:rsidP="00B42867">
      <w:pPr>
        <w:ind w:left="872" w:right="826"/>
        <w:jc w:val="both"/>
        <w:rPr>
          <w:rFonts w:ascii="Bookman Old Style" w:hAnsi="Bookman Old Style"/>
          <w:i/>
          <w:sz w:val="22"/>
          <w:szCs w:val="22"/>
        </w:rPr>
      </w:pPr>
    </w:p>
    <w:p w:rsidR="00B42867" w:rsidRPr="00B42867" w:rsidRDefault="00B42867" w:rsidP="00B42867">
      <w:pPr>
        <w:ind w:left="872" w:right="826"/>
        <w:jc w:val="both"/>
        <w:rPr>
          <w:rFonts w:ascii="Bookman Old Style" w:hAnsi="Bookman Old Style"/>
          <w:i/>
          <w:sz w:val="22"/>
          <w:szCs w:val="22"/>
        </w:rPr>
      </w:pPr>
      <w:r w:rsidRPr="00B42867">
        <w:rPr>
          <w:rFonts w:ascii="Bookman Old Style" w:hAnsi="Bookman Old Style"/>
          <w:i/>
          <w:sz w:val="22"/>
          <w:szCs w:val="22"/>
        </w:rPr>
        <w:t>El derecho al debido proceso no se limita únicamente a la impugnación de la decisión, sino que se extiende durante toda la actuación administrativa que regula la expedición del acto y posteriormente en el momento de su comunicación e impugnación.</w:t>
      </w:r>
    </w:p>
    <w:p w:rsidR="00B42867" w:rsidRPr="00B42867" w:rsidRDefault="00B42867" w:rsidP="00B42867">
      <w:pPr>
        <w:ind w:left="872" w:right="826"/>
        <w:jc w:val="both"/>
        <w:rPr>
          <w:rFonts w:ascii="Bookman Old Style" w:hAnsi="Bookman Old Style"/>
          <w:i/>
          <w:sz w:val="22"/>
          <w:szCs w:val="22"/>
        </w:rPr>
      </w:pPr>
    </w:p>
    <w:p w:rsidR="00B42867" w:rsidRPr="00B42867" w:rsidRDefault="00B42867" w:rsidP="00B42867">
      <w:pPr>
        <w:ind w:left="872" w:right="826"/>
        <w:jc w:val="both"/>
        <w:rPr>
          <w:rFonts w:ascii="Bookman Old Style" w:hAnsi="Bookman Old Style"/>
          <w:i/>
          <w:sz w:val="22"/>
          <w:szCs w:val="22"/>
        </w:rPr>
      </w:pPr>
      <w:r w:rsidRPr="00B42867">
        <w:rPr>
          <w:rFonts w:ascii="Bookman Old Style" w:hAnsi="Bookman Old Style"/>
          <w:i/>
          <w:sz w:val="22"/>
          <w:szCs w:val="22"/>
        </w:rPr>
        <w:t>El debido proceso administrativo no sólo responde a las garantías procesales, sino también a la efectividad de los principios que informan el ejercicio de la función pública (igualdad, moralidad, eficacia, economía, celeridad, imparcialidad y publicidad).</w:t>
      </w:r>
    </w:p>
    <w:p w:rsidR="00B42867" w:rsidRPr="00B42867" w:rsidRDefault="00B42867" w:rsidP="00B42867">
      <w:pPr>
        <w:ind w:left="872" w:right="826"/>
        <w:jc w:val="both"/>
        <w:rPr>
          <w:rFonts w:ascii="Bookman Old Style" w:hAnsi="Bookman Old Style"/>
          <w:i/>
          <w:sz w:val="22"/>
          <w:szCs w:val="22"/>
        </w:rPr>
      </w:pPr>
    </w:p>
    <w:p w:rsidR="00B42867" w:rsidRPr="00B42867" w:rsidRDefault="00B42867" w:rsidP="00B42867">
      <w:pPr>
        <w:ind w:left="872" w:right="826"/>
        <w:jc w:val="both"/>
        <w:rPr>
          <w:rFonts w:ascii="Bookman Old Style" w:hAnsi="Bookman Old Style"/>
          <w:i/>
          <w:sz w:val="22"/>
          <w:szCs w:val="22"/>
        </w:rPr>
      </w:pPr>
      <w:r w:rsidRPr="00B42867">
        <w:rPr>
          <w:rFonts w:ascii="Bookman Old Style" w:hAnsi="Bookman Old Style"/>
          <w:i/>
          <w:sz w:val="22"/>
          <w:szCs w:val="22"/>
        </w:rPr>
        <w:t>El debido proceso implica una adecuada notificación de los actos administrativos de carácter particular, asegurando el principio de publicidad y celeridad de la función administrativa.</w:t>
      </w:r>
    </w:p>
    <w:p w:rsidR="00B42867" w:rsidRPr="00B42867" w:rsidRDefault="00B42867" w:rsidP="00B42867">
      <w:pPr>
        <w:ind w:left="872" w:right="826"/>
        <w:jc w:val="both"/>
        <w:rPr>
          <w:rFonts w:ascii="Bookman Old Style" w:hAnsi="Bookman Old Style"/>
          <w:i/>
          <w:sz w:val="22"/>
          <w:szCs w:val="22"/>
        </w:rPr>
      </w:pPr>
    </w:p>
    <w:p w:rsidR="00B42867" w:rsidRPr="00B42867" w:rsidRDefault="00B42867" w:rsidP="00B42867">
      <w:pPr>
        <w:ind w:left="872" w:right="826"/>
        <w:jc w:val="both"/>
        <w:rPr>
          <w:rFonts w:ascii="Bookman Old Style" w:hAnsi="Bookman Old Style"/>
          <w:i/>
          <w:sz w:val="22"/>
          <w:szCs w:val="22"/>
        </w:rPr>
      </w:pPr>
      <w:r w:rsidRPr="00B42867">
        <w:rPr>
          <w:rFonts w:ascii="Bookman Old Style" w:hAnsi="Bookman Old Style"/>
          <w:i/>
          <w:sz w:val="22"/>
          <w:szCs w:val="22"/>
        </w:rPr>
        <w:lastRenderedPageBreak/>
        <w:t>El debido proceso, como regla general, establece que las actuaciones administrativas de carácter general o particular están reguladas por el Código Contencioso Administrativo, sin desconocer que existen procedimientos administrativos especiales, regulados por leyes especiales.</w:t>
      </w:r>
    </w:p>
    <w:p w:rsidR="00B42867" w:rsidRPr="00B42867" w:rsidRDefault="00B42867" w:rsidP="00B42867">
      <w:pPr>
        <w:ind w:left="872" w:right="826"/>
        <w:jc w:val="both"/>
        <w:rPr>
          <w:rFonts w:ascii="Bookman Old Style" w:hAnsi="Bookman Old Style"/>
          <w:i/>
          <w:sz w:val="22"/>
          <w:szCs w:val="22"/>
        </w:rPr>
      </w:pPr>
    </w:p>
    <w:p w:rsidR="00B42867" w:rsidRPr="00B42867" w:rsidRDefault="00B42867" w:rsidP="00B42867">
      <w:pPr>
        <w:ind w:left="872" w:right="826"/>
        <w:jc w:val="both"/>
        <w:rPr>
          <w:rFonts w:ascii="Bookman Old Style" w:hAnsi="Bookman Old Style"/>
          <w:i/>
          <w:sz w:val="22"/>
          <w:szCs w:val="22"/>
        </w:rPr>
      </w:pPr>
      <w:r w:rsidRPr="00B42867">
        <w:rPr>
          <w:rFonts w:ascii="Bookman Old Style" w:hAnsi="Bookman Old Style"/>
          <w:i/>
          <w:sz w:val="22"/>
          <w:szCs w:val="22"/>
        </w:rPr>
        <w:t xml:space="preserve">Que de conformidad con lo dispuesto en el artículo 9 de la Resolución CREG 071 de 2006 (modificado por el artículo 13 de la Resolución CREG 061 de 2007), corresponde a la Comisión iniciar una actuación administrativa con el propósito de establecer plenamente la existencia del incumplimiento grave e insalvable, determinando así sus consecuencias y garantizando el derecho de defensa de los afectados. </w:t>
      </w:r>
    </w:p>
    <w:p w:rsidR="00B42867" w:rsidRPr="00B42867" w:rsidRDefault="00B42867" w:rsidP="00B42867">
      <w:pPr>
        <w:ind w:left="872" w:right="826"/>
        <w:jc w:val="both"/>
        <w:rPr>
          <w:rFonts w:ascii="Bookman Old Style" w:hAnsi="Bookman Old Style"/>
          <w:i/>
          <w:sz w:val="22"/>
          <w:szCs w:val="22"/>
        </w:rPr>
      </w:pPr>
    </w:p>
    <w:p w:rsidR="00B42867" w:rsidRPr="00B42867" w:rsidRDefault="00B42867" w:rsidP="00B42867">
      <w:pPr>
        <w:ind w:left="872" w:right="826"/>
        <w:jc w:val="both"/>
        <w:rPr>
          <w:rFonts w:ascii="Bookman Old Style" w:hAnsi="Bookman Old Style"/>
          <w:i/>
          <w:sz w:val="22"/>
          <w:szCs w:val="22"/>
        </w:rPr>
      </w:pPr>
      <w:r w:rsidRPr="00B42867">
        <w:rPr>
          <w:rFonts w:ascii="Bookman Old Style" w:hAnsi="Bookman Old Style"/>
          <w:i/>
          <w:sz w:val="22"/>
          <w:szCs w:val="22"/>
        </w:rPr>
        <w:t>Que el artículo 9 de la Resolución CREG 071 de 2006 (modificado por el artículo 13 de la Resolución CREG 061 de 2007), determina como consecuencia del incumplimiento grave e insalvable de la puesta en operación de la planta o unidad de generación, la ejecución de la garantía y la pérdida para el generador de la asignación de la Obligación de Energía Firme y la remuneración asociada a ella.</w:t>
      </w:r>
    </w:p>
    <w:p w:rsidR="00B42867" w:rsidRPr="00B42867" w:rsidRDefault="00B42867" w:rsidP="00B42867">
      <w:pPr>
        <w:ind w:left="872" w:right="826"/>
        <w:jc w:val="both"/>
        <w:rPr>
          <w:rFonts w:ascii="Bookman Old Style" w:hAnsi="Bookman Old Style"/>
          <w:i/>
          <w:sz w:val="22"/>
          <w:szCs w:val="22"/>
        </w:rPr>
      </w:pPr>
    </w:p>
    <w:p w:rsidR="00B42867" w:rsidRPr="00B42867" w:rsidRDefault="00B42867" w:rsidP="00B42867">
      <w:pPr>
        <w:ind w:left="872" w:right="826"/>
        <w:jc w:val="both"/>
        <w:rPr>
          <w:rFonts w:ascii="Bookman Old Style" w:hAnsi="Bookman Old Style"/>
          <w:i/>
          <w:sz w:val="22"/>
          <w:szCs w:val="22"/>
        </w:rPr>
      </w:pPr>
      <w:r w:rsidRPr="00B42867">
        <w:rPr>
          <w:rFonts w:ascii="Bookman Old Style" w:hAnsi="Bookman Old Style"/>
          <w:i/>
          <w:sz w:val="22"/>
          <w:szCs w:val="22"/>
        </w:rPr>
        <w:t>Que mediante auto del 23 de junio del 2011, se dio traslado al interesado del informe adicional de verificación de la curva S y del cronograma del proyecto y puesta en operación de la planta hidroeléctrica Porce IV, elaborado por SEDIC S.A.</w:t>
      </w:r>
    </w:p>
    <w:p w:rsidR="00B42867" w:rsidRPr="00B42867" w:rsidRDefault="00B42867" w:rsidP="00B42867">
      <w:pPr>
        <w:ind w:left="872" w:right="826"/>
        <w:jc w:val="both"/>
        <w:rPr>
          <w:rFonts w:ascii="Bookman Old Style" w:hAnsi="Bookman Old Style"/>
          <w:i/>
          <w:sz w:val="22"/>
          <w:szCs w:val="22"/>
        </w:rPr>
      </w:pPr>
    </w:p>
    <w:p w:rsidR="00B42867" w:rsidRPr="00B42867" w:rsidRDefault="00B42867" w:rsidP="00B42867">
      <w:pPr>
        <w:ind w:left="872" w:right="826"/>
        <w:jc w:val="both"/>
        <w:rPr>
          <w:rFonts w:ascii="Bookman Old Style" w:hAnsi="Bookman Old Style"/>
          <w:i/>
          <w:sz w:val="22"/>
          <w:szCs w:val="22"/>
        </w:rPr>
      </w:pPr>
      <w:r w:rsidRPr="00B42867">
        <w:rPr>
          <w:rFonts w:ascii="Bookman Old Style" w:hAnsi="Bookman Old Style"/>
          <w:i/>
          <w:sz w:val="22"/>
          <w:szCs w:val="22"/>
        </w:rPr>
        <w:t>Que mediante comunicación E-2011-006723, la empresa “EPM” manifestó su opinión y ejerció su derecho de defensa, sobre el informe adicional de verificación de la curva S y del cronograma del proyecto y puesta en operación de la planta hidroeléctrica Porce IV, elaborado por SEDIC S.A.</w:t>
      </w:r>
    </w:p>
    <w:p w:rsidR="00B42867" w:rsidRPr="00B42867" w:rsidRDefault="00B42867" w:rsidP="00B42867">
      <w:pPr>
        <w:ind w:left="872" w:right="826"/>
        <w:jc w:val="both"/>
        <w:rPr>
          <w:rFonts w:ascii="Bookman Old Style" w:hAnsi="Bookman Old Style"/>
          <w:i/>
          <w:sz w:val="22"/>
          <w:szCs w:val="22"/>
        </w:rPr>
      </w:pPr>
    </w:p>
    <w:p w:rsidR="00B42867" w:rsidRPr="00B42867" w:rsidRDefault="00B42867" w:rsidP="00B42867">
      <w:pPr>
        <w:ind w:left="872" w:right="826"/>
        <w:jc w:val="both"/>
        <w:rPr>
          <w:rFonts w:ascii="Bookman Old Style" w:hAnsi="Bookman Old Style"/>
          <w:i/>
          <w:sz w:val="22"/>
          <w:szCs w:val="22"/>
        </w:rPr>
      </w:pPr>
      <w:r w:rsidRPr="00B42867">
        <w:rPr>
          <w:rFonts w:ascii="Bookman Old Style" w:hAnsi="Bookman Old Style"/>
          <w:i/>
          <w:sz w:val="22"/>
          <w:szCs w:val="22"/>
        </w:rPr>
        <w:t>Que existe en los archivos de la CREG, una petición de la empresa “EPM” sobre el proyecto hidroeléctrico Porce IV y que la misma tiene relación con el objeto de esta actuación administrativa. Por lo tanto en aras de procurar el debido proceso y garantizar el derecho de defensa del interesado, la CREG;</w:t>
      </w:r>
    </w:p>
    <w:p w:rsidR="00B42867" w:rsidRPr="00B42867" w:rsidRDefault="00B42867" w:rsidP="00B42867">
      <w:pPr>
        <w:ind w:left="872" w:right="826"/>
        <w:jc w:val="both"/>
        <w:rPr>
          <w:rFonts w:ascii="Bookman Old Style" w:hAnsi="Bookman Old Style"/>
          <w:i/>
          <w:sz w:val="22"/>
          <w:szCs w:val="22"/>
        </w:rPr>
      </w:pPr>
      <w:r w:rsidRPr="00B42867">
        <w:rPr>
          <w:rFonts w:ascii="Bookman Old Style" w:hAnsi="Bookman Old Style"/>
          <w:i/>
          <w:sz w:val="22"/>
          <w:szCs w:val="22"/>
        </w:rPr>
        <w:t xml:space="preserve"> </w:t>
      </w:r>
    </w:p>
    <w:p w:rsidR="00B42867" w:rsidRPr="00B42867" w:rsidRDefault="00B42867" w:rsidP="00B42867">
      <w:pPr>
        <w:ind w:left="872" w:right="826"/>
        <w:jc w:val="both"/>
        <w:rPr>
          <w:rFonts w:ascii="Bookman Old Style" w:hAnsi="Bookman Old Style"/>
          <w:i/>
          <w:sz w:val="22"/>
          <w:szCs w:val="22"/>
        </w:rPr>
      </w:pPr>
      <w:r w:rsidRPr="00B42867">
        <w:rPr>
          <w:rFonts w:ascii="Bookman Old Style" w:hAnsi="Bookman Old Style"/>
          <w:i/>
          <w:sz w:val="22"/>
          <w:szCs w:val="22"/>
        </w:rPr>
        <w:t>RESUELVE:</w:t>
      </w:r>
    </w:p>
    <w:p w:rsidR="00B42867" w:rsidRPr="00B42867" w:rsidRDefault="00B42867" w:rsidP="00B42867">
      <w:pPr>
        <w:ind w:left="872" w:right="826"/>
        <w:jc w:val="both"/>
        <w:rPr>
          <w:rFonts w:ascii="Bookman Old Style" w:hAnsi="Bookman Old Style"/>
          <w:i/>
          <w:sz w:val="22"/>
          <w:szCs w:val="22"/>
        </w:rPr>
      </w:pPr>
    </w:p>
    <w:p w:rsidR="00B42867" w:rsidRPr="00B42867" w:rsidRDefault="00B42867" w:rsidP="00B42867">
      <w:pPr>
        <w:ind w:left="872" w:right="826"/>
        <w:jc w:val="both"/>
        <w:rPr>
          <w:rFonts w:ascii="Bookman Old Style" w:hAnsi="Bookman Old Style"/>
          <w:i/>
          <w:sz w:val="22"/>
          <w:szCs w:val="22"/>
        </w:rPr>
      </w:pPr>
      <w:r w:rsidRPr="00B42867">
        <w:rPr>
          <w:rFonts w:ascii="Bookman Old Style" w:hAnsi="Bookman Old Style"/>
          <w:i/>
          <w:sz w:val="22"/>
          <w:szCs w:val="22"/>
        </w:rPr>
        <w:t xml:space="preserve">PRIMERO.  </w:t>
      </w:r>
      <w:r w:rsidRPr="006D1B2E">
        <w:rPr>
          <w:rFonts w:ascii="Bookman Old Style" w:hAnsi="Bookman Old Style"/>
          <w:b/>
          <w:i/>
          <w:sz w:val="22"/>
          <w:szCs w:val="22"/>
        </w:rPr>
        <w:t>Solicitar a Empresas Públicas de Medellín “EPM” S.A E.S.P, pronunciarse si es su interés que las comunicaciones aportadas con los radicados CREG E-2010-012362, E-2011-000206 y E-2011-001370, sean consideradas por la CREG al resolver la actuación administrativa de la referencia</w:t>
      </w:r>
      <w:r w:rsidRPr="00B42867">
        <w:rPr>
          <w:rFonts w:ascii="Bookman Old Style" w:hAnsi="Bookman Old Style"/>
          <w:i/>
          <w:sz w:val="22"/>
          <w:szCs w:val="22"/>
        </w:rPr>
        <w:t>.</w:t>
      </w:r>
    </w:p>
    <w:p w:rsidR="00B42867" w:rsidRPr="00B42867" w:rsidRDefault="00B42867" w:rsidP="00B42867">
      <w:pPr>
        <w:ind w:left="872" w:right="826"/>
        <w:jc w:val="both"/>
        <w:rPr>
          <w:rFonts w:ascii="Bookman Old Style" w:hAnsi="Bookman Old Style"/>
          <w:i/>
          <w:sz w:val="22"/>
          <w:szCs w:val="22"/>
        </w:rPr>
      </w:pPr>
    </w:p>
    <w:p w:rsidR="00B42867" w:rsidRDefault="00B42867" w:rsidP="00B42867">
      <w:pPr>
        <w:ind w:left="872" w:right="826"/>
        <w:jc w:val="both"/>
        <w:rPr>
          <w:rFonts w:ascii="Bookman Old Style" w:hAnsi="Bookman Old Style"/>
          <w:i/>
          <w:sz w:val="22"/>
          <w:szCs w:val="22"/>
        </w:rPr>
      </w:pPr>
      <w:r w:rsidRPr="00B42867">
        <w:rPr>
          <w:rFonts w:ascii="Bookman Old Style" w:hAnsi="Bookman Old Style"/>
          <w:i/>
          <w:sz w:val="22"/>
          <w:szCs w:val="22"/>
        </w:rPr>
        <w:t>SEGUNDO. En virtud de lo anterior se otorga a EPM el término de tres (3) días, para dar respuesta a la petición, consagrada en el artículo primero de este auto.</w:t>
      </w:r>
      <w:r>
        <w:rPr>
          <w:rFonts w:ascii="Bookman Old Style" w:hAnsi="Bookman Old Style"/>
          <w:i/>
          <w:sz w:val="22"/>
          <w:szCs w:val="22"/>
        </w:rPr>
        <w:t xml:space="preserve"> (…)”</w:t>
      </w:r>
      <w:r w:rsidR="006D1B2E">
        <w:rPr>
          <w:rFonts w:ascii="Bookman Old Style" w:hAnsi="Bookman Old Style"/>
          <w:i/>
          <w:sz w:val="22"/>
          <w:szCs w:val="22"/>
        </w:rPr>
        <w:t xml:space="preserve"> (Negrilla fuera del original).</w:t>
      </w:r>
    </w:p>
    <w:p w:rsidR="00B42867" w:rsidRDefault="00B42867" w:rsidP="00B42867">
      <w:pPr>
        <w:ind w:left="872" w:right="826"/>
        <w:jc w:val="both"/>
        <w:rPr>
          <w:rFonts w:ascii="Bookman Old Style" w:hAnsi="Bookman Old Style"/>
          <w:i/>
          <w:sz w:val="22"/>
          <w:szCs w:val="22"/>
        </w:rPr>
      </w:pPr>
    </w:p>
    <w:p w:rsidR="00B42867" w:rsidRPr="00E2516D" w:rsidRDefault="00B42867" w:rsidP="00E2516D">
      <w:pPr>
        <w:pStyle w:val="Textoindependiente"/>
        <w:ind w:left="0"/>
        <w:jc w:val="both"/>
        <w:rPr>
          <w:rFonts w:ascii="Bookman Old Style" w:hAnsi="Bookman Old Style"/>
          <w:b w:val="0"/>
          <w:bCs w:val="0"/>
          <w:spacing w:val="-5"/>
        </w:rPr>
      </w:pPr>
      <w:r w:rsidRPr="00E2516D">
        <w:rPr>
          <w:rFonts w:ascii="Bookman Old Style" w:hAnsi="Bookman Old Style"/>
          <w:b w:val="0"/>
          <w:bCs w:val="0"/>
          <w:spacing w:val="-5"/>
        </w:rPr>
        <w:t xml:space="preserve">Lo realizado por la CREG consistió en respetar el derecho de defensa de EPM garantizándole el debido proceso, al consultarle si las comunicaciones donde esta alegaba un </w:t>
      </w:r>
      <w:r w:rsidR="00FD0744">
        <w:rPr>
          <w:rFonts w:ascii="Bookman Old Style" w:hAnsi="Bookman Old Style"/>
          <w:b w:val="0"/>
          <w:bCs w:val="0"/>
          <w:spacing w:val="-5"/>
        </w:rPr>
        <w:t>evento</w:t>
      </w:r>
      <w:r w:rsidRPr="00E2516D">
        <w:rPr>
          <w:rFonts w:ascii="Bookman Old Style" w:hAnsi="Bookman Old Style"/>
          <w:b w:val="0"/>
          <w:bCs w:val="0"/>
          <w:spacing w:val="-5"/>
        </w:rPr>
        <w:t xml:space="preserve"> eximente de responsabilidad, debían ser o no tenidas en cuenta por la CREG al momento de decidir la actuación administrativa 2011-0049 (actuación a la cual nunca se aportaron esos documentos), recordemos que ya estando vigente la actuación que culminó con la Resolución CREG 104 de 2011, </w:t>
      </w:r>
      <w:r w:rsidRPr="00E2516D">
        <w:rPr>
          <w:rFonts w:ascii="Bookman Old Style" w:hAnsi="Bookman Old Style"/>
          <w:b w:val="0"/>
          <w:bCs w:val="0"/>
          <w:spacing w:val="-5"/>
        </w:rPr>
        <w:lastRenderedPageBreak/>
        <w:t>EPM insistía en la apertura de una actuación administrativa para el reconocimiento de un evento eximente de responsabilidad</w:t>
      </w:r>
      <w:r w:rsidR="00FD0744">
        <w:rPr>
          <w:rFonts w:ascii="Bookman Old Style" w:hAnsi="Bookman Old Style"/>
          <w:b w:val="0"/>
          <w:bCs w:val="0"/>
          <w:spacing w:val="-5"/>
        </w:rPr>
        <w:t>,</w:t>
      </w:r>
      <w:r w:rsidR="006D1B2E">
        <w:rPr>
          <w:rFonts w:ascii="Bookman Old Style" w:hAnsi="Bookman Old Style"/>
          <w:b w:val="0"/>
          <w:bCs w:val="0"/>
          <w:spacing w:val="-5"/>
        </w:rPr>
        <w:t xml:space="preserve"> diferente a la </w:t>
      </w:r>
      <w:r w:rsidR="000C75F2">
        <w:rPr>
          <w:rFonts w:ascii="Bookman Old Style" w:hAnsi="Bookman Old Style"/>
          <w:b w:val="0"/>
          <w:bCs w:val="0"/>
          <w:spacing w:val="-5"/>
        </w:rPr>
        <w:t>resuelta</w:t>
      </w:r>
      <w:r w:rsidR="006D1B2E">
        <w:rPr>
          <w:rFonts w:ascii="Bookman Old Style" w:hAnsi="Bookman Old Style"/>
          <w:b w:val="0"/>
          <w:bCs w:val="0"/>
          <w:spacing w:val="-5"/>
        </w:rPr>
        <w:t xml:space="preserve"> con la Resolución CREG 104 de 2011</w:t>
      </w:r>
      <w:r w:rsidRPr="00E2516D">
        <w:rPr>
          <w:rFonts w:ascii="Bookman Old Style" w:hAnsi="Bookman Old Style"/>
          <w:b w:val="0"/>
          <w:bCs w:val="0"/>
          <w:spacing w:val="-5"/>
        </w:rPr>
        <w:t>.</w:t>
      </w:r>
    </w:p>
    <w:p w:rsidR="000C75F2" w:rsidRDefault="000C75F2" w:rsidP="000C75F2">
      <w:pPr>
        <w:pStyle w:val="Textoindependiente"/>
        <w:ind w:left="0"/>
        <w:jc w:val="both"/>
        <w:rPr>
          <w:rFonts w:ascii="Bookman Old Style" w:hAnsi="Bookman Old Style"/>
          <w:b w:val="0"/>
          <w:bCs w:val="0"/>
          <w:spacing w:val="-5"/>
        </w:rPr>
      </w:pPr>
    </w:p>
    <w:p w:rsidR="000C75F2" w:rsidRPr="000C75F2" w:rsidRDefault="00FD0744" w:rsidP="000C75F2">
      <w:pPr>
        <w:pStyle w:val="Textoindependiente"/>
        <w:ind w:left="0"/>
        <w:jc w:val="both"/>
        <w:rPr>
          <w:rFonts w:ascii="Bookman Old Style" w:hAnsi="Bookman Old Style"/>
          <w:b w:val="0"/>
          <w:bCs w:val="0"/>
          <w:spacing w:val="-5"/>
        </w:rPr>
      </w:pPr>
      <w:r>
        <w:rPr>
          <w:rFonts w:ascii="Bookman Old Style" w:hAnsi="Bookman Old Style"/>
          <w:b w:val="0"/>
          <w:bCs w:val="0"/>
          <w:spacing w:val="-5"/>
        </w:rPr>
        <w:t>De lo anterior, vemos que el actuar</w:t>
      </w:r>
      <w:r w:rsidR="000C75F2" w:rsidRPr="000C75F2">
        <w:rPr>
          <w:rFonts w:ascii="Bookman Old Style" w:hAnsi="Bookman Old Style"/>
          <w:b w:val="0"/>
          <w:bCs w:val="0"/>
          <w:spacing w:val="-5"/>
        </w:rPr>
        <w:t xml:space="preserve"> </w:t>
      </w:r>
      <w:r>
        <w:rPr>
          <w:rFonts w:ascii="Bookman Old Style" w:hAnsi="Bookman Old Style"/>
          <w:b w:val="0"/>
          <w:bCs w:val="0"/>
          <w:spacing w:val="-5"/>
        </w:rPr>
        <w:t>de</w:t>
      </w:r>
      <w:r w:rsidR="000C75F2" w:rsidRPr="000C75F2">
        <w:rPr>
          <w:rFonts w:ascii="Bookman Old Style" w:hAnsi="Bookman Old Style"/>
          <w:b w:val="0"/>
          <w:bCs w:val="0"/>
          <w:spacing w:val="-5"/>
        </w:rPr>
        <w:t xml:space="preserve"> la CREG no consistió en imponer su voluntad sobre la de EPM, todo lo contrario, creo un espacio para que EPM manifestara si era de su interés que las comunicaciones </w:t>
      </w:r>
      <w:r w:rsidR="000C75F2" w:rsidRPr="000C75F2">
        <w:rPr>
          <w:rFonts w:ascii="Bookman Old Style" w:hAnsi="Bookman Old Style"/>
          <w:b w:val="0"/>
        </w:rPr>
        <w:t>con los radicados CREG E-2010-012362, E-2011-000206 y E-2011-001370, fueran consideradas por la CREG al resolver la actuación administrativa 2011-0049</w:t>
      </w:r>
      <w:r w:rsidR="000C75F2" w:rsidRPr="000C75F2">
        <w:rPr>
          <w:rFonts w:ascii="Bookman Old Style" w:hAnsi="Bookman Old Style"/>
          <w:b w:val="0"/>
          <w:bCs w:val="0"/>
          <w:spacing w:val="-5"/>
        </w:rPr>
        <w:t xml:space="preserve">, esto es la actuación administrativa en la cual se </w:t>
      </w:r>
      <w:r w:rsidR="00E74B49">
        <w:rPr>
          <w:rFonts w:ascii="Bookman Old Style" w:hAnsi="Bookman Old Style"/>
          <w:b w:val="0"/>
          <w:bCs w:val="0"/>
          <w:spacing w:val="-5"/>
        </w:rPr>
        <w:t>expidió</w:t>
      </w:r>
      <w:r w:rsidR="000C75F2" w:rsidRPr="000C75F2">
        <w:rPr>
          <w:rFonts w:ascii="Bookman Old Style" w:hAnsi="Bookman Old Style"/>
          <w:b w:val="0"/>
          <w:bCs w:val="0"/>
          <w:spacing w:val="-5"/>
        </w:rPr>
        <w:t xml:space="preserve"> la Resolución CREG 104 de 2011.</w:t>
      </w:r>
    </w:p>
    <w:p w:rsidR="00B42867" w:rsidRPr="00E2516D" w:rsidRDefault="00B42867" w:rsidP="00E2516D">
      <w:pPr>
        <w:pStyle w:val="Textoindependiente"/>
        <w:ind w:left="0"/>
        <w:jc w:val="both"/>
        <w:rPr>
          <w:rFonts w:ascii="Bookman Old Style" w:hAnsi="Bookman Old Style"/>
          <w:b w:val="0"/>
          <w:bCs w:val="0"/>
          <w:spacing w:val="-5"/>
        </w:rPr>
      </w:pPr>
    </w:p>
    <w:p w:rsidR="00B42867" w:rsidRPr="00E2516D" w:rsidRDefault="00E2516D" w:rsidP="00E2516D">
      <w:pPr>
        <w:pStyle w:val="Textoindependiente"/>
        <w:ind w:left="0"/>
        <w:jc w:val="both"/>
        <w:rPr>
          <w:rFonts w:ascii="Bookman Old Style" w:hAnsi="Bookman Old Style"/>
          <w:b w:val="0"/>
          <w:bCs w:val="0"/>
          <w:spacing w:val="-5"/>
        </w:rPr>
      </w:pPr>
      <w:r w:rsidRPr="00E2516D">
        <w:rPr>
          <w:rFonts w:ascii="Bookman Old Style" w:hAnsi="Bookman Old Style"/>
          <w:b w:val="0"/>
          <w:bCs w:val="0"/>
          <w:spacing w:val="-5"/>
        </w:rPr>
        <w:t xml:space="preserve">Recordemos lo dicho por la H. Corte Constitucional sobre el debido proceso administrativo: </w:t>
      </w:r>
    </w:p>
    <w:p w:rsidR="00E2516D" w:rsidRDefault="00E2516D" w:rsidP="00B42867">
      <w:pPr>
        <w:ind w:left="0" w:right="826"/>
        <w:jc w:val="both"/>
        <w:rPr>
          <w:rFonts w:ascii="Bookman Old Style" w:hAnsi="Bookman Old Style" w:cs="Arial"/>
          <w:bCs/>
          <w:spacing w:val="-5"/>
        </w:rPr>
      </w:pPr>
    </w:p>
    <w:p w:rsidR="00E2516D" w:rsidRDefault="00E2516D" w:rsidP="00E2516D">
      <w:pPr>
        <w:ind w:left="872" w:right="826"/>
        <w:jc w:val="both"/>
        <w:rPr>
          <w:rFonts w:ascii="Bookman Old Style" w:hAnsi="Bookman Old Style"/>
          <w:i/>
          <w:sz w:val="22"/>
          <w:szCs w:val="22"/>
        </w:rPr>
      </w:pPr>
      <w:r w:rsidRPr="00E2516D">
        <w:rPr>
          <w:rFonts w:ascii="Bookman Old Style" w:hAnsi="Bookman Old Style"/>
          <w:i/>
          <w:sz w:val="22"/>
          <w:szCs w:val="22"/>
        </w:rPr>
        <w:t>“(…)</w:t>
      </w:r>
      <w:r w:rsidR="00FE0DA0">
        <w:rPr>
          <w:rFonts w:ascii="Bookman Old Style" w:hAnsi="Bookman Old Style"/>
          <w:i/>
          <w:sz w:val="22"/>
          <w:szCs w:val="22"/>
        </w:rPr>
        <w:t xml:space="preserve"> </w:t>
      </w:r>
      <w:r w:rsidRPr="00E2516D">
        <w:rPr>
          <w:rFonts w:ascii="Bookman Old Style" w:hAnsi="Bookman Old Style"/>
          <w:i/>
          <w:sz w:val="22"/>
          <w:szCs w:val="22"/>
        </w:rPr>
        <w:t>En último término, de lo que se trata es de evitar que la suerte del particular quede en manos del ente administrativo. Por lo cual, todo acto arbitrario de éste, entendido por tal el que se aparta de las normas aplicables, para realizar su propia voluntad, implica violación del debido proceso (…)”</w:t>
      </w:r>
      <w:r>
        <w:rPr>
          <w:rStyle w:val="Refdenotaalpie"/>
          <w:rFonts w:ascii="Bookman Old Style" w:hAnsi="Bookman Old Style"/>
          <w:i/>
          <w:sz w:val="22"/>
          <w:szCs w:val="22"/>
        </w:rPr>
        <w:footnoteReference w:id="11"/>
      </w:r>
    </w:p>
    <w:p w:rsidR="00E2516D" w:rsidRDefault="00E2516D" w:rsidP="00E2516D">
      <w:pPr>
        <w:ind w:left="872" w:right="826"/>
        <w:jc w:val="both"/>
        <w:rPr>
          <w:rFonts w:ascii="Bookman Old Style" w:hAnsi="Bookman Old Style" w:cs="Arial"/>
          <w:bCs/>
          <w:spacing w:val="-5"/>
        </w:rPr>
      </w:pPr>
    </w:p>
    <w:p w:rsidR="00A836E2" w:rsidRDefault="00A836E2" w:rsidP="00E2516D">
      <w:pPr>
        <w:pStyle w:val="Textoindependiente"/>
        <w:ind w:left="0"/>
        <w:jc w:val="both"/>
        <w:rPr>
          <w:rFonts w:ascii="Bookman Old Style" w:hAnsi="Bookman Old Style"/>
          <w:b w:val="0"/>
        </w:rPr>
      </w:pPr>
      <w:r w:rsidRPr="00A836E2">
        <w:rPr>
          <w:rFonts w:ascii="Bookman Old Style" w:hAnsi="Bookman Old Style"/>
          <w:b w:val="0"/>
          <w:bCs w:val="0"/>
          <w:spacing w:val="-5"/>
        </w:rPr>
        <w:t xml:space="preserve">Lo anterior nos demuestra dos cosas: </w:t>
      </w:r>
      <w:r w:rsidR="000C75F2">
        <w:rPr>
          <w:rFonts w:ascii="Bookman Old Style" w:hAnsi="Bookman Old Style"/>
          <w:b w:val="0"/>
          <w:bCs w:val="0"/>
          <w:spacing w:val="-5"/>
        </w:rPr>
        <w:t xml:space="preserve">Primero </w:t>
      </w:r>
      <w:r w:rsidRPr="00A836E2">
        <w:rPr>
          <w:rFonts w:ascii="Bookman Old Style" w:hAnsi="Bookman Old Style"/>
          <w:b w:val="0"/>
          <w:bCs w:val="0"/>
          <w:spacing w:val="-5"/>
        </w:rPr>
        <w:t xml:space="preserve">(1) no es cierto que EPM hubiera solicitado la inclusión y consideración en la actuación administrativa de las </w:t>
      </w:r>
      <w:r w:rsidRPr="00A836E2">
        <w:rPr>
          <w:rFonts w:ascii="Bookman Old Style" w:hAnsi="Bookman Old Style"/>
          <w:b w:val="0"/>
        </w:rPr>
        <w:t>comunicaciones CREG E-2010-012362 del 30 de diciembre de 2010, E-2011-001370 del 11 de febre</w:t>
      </w:r>
      <w:r>
        <w:rPr>
          <w:rFonts w:ascii="Bookman Old Style" w:hAnsi="Bookman Old Style"/>
          <w:b w:val="0"/>
        </w:rPr>
        <w:t>ro de 2011, E-2011-006348 del 1</w:t>
      </w:r>
      <w:r w:rsidRPr="00A836E2">
        <w:rPr>
          <w:rFonts w:ascii="Bookman Old Style" w:hAnsi="Bookman Old Style"/>
          <w:b w:val="0"/>
        </w:rPr>
        <w:t xml:space="preserve"> de julio de 2011</w:t>
      </w:r>
      <w:r>
        <w:rPr>
          <w:rFonts w:ascii="Bookman Old Style" w:hAnsi="Bookman Old Style"/>
          <w:b w:val="0"/>
        </w:rPr>
        <w:t xml:space="preserve">. Quien le solcito a EPM si estos documentos debían hacer parte de la actuación administrativa y considerados al momento de decidirla fue la CREG. </w:t>
      </w:r>
    </w:p>
    <w:p w:rsidR="00A836E2" w:rsidRDefault="00A836E2" w:rsidP="00E2516D">
      <w:pPr>
        <w:pStyle w:val="Textoindependiente"/>
        <w:ind w:left="0"/>
        <w:jc w:val="both"/>
        <w:rPr>
          <w:rFonts w:ascii="Bookman Old Style" w:hAnsi="Bookman Old Style"/>
          <w:b w:val="0"/>
        </w:rPr>
      </w:pPr>
    </w:p>
    <w:p w:rsidR="00C1437E" w:rsidRDefault="000C75F2" w:rsidP="00E2516D">
      <w:pPr>
        <w:pStyle w:val="Textoindependiente"/>
        <w:ind w:left="0"/>
        <w:jc w:val="both"/>
        <w:rPr>
          <w:rFonts w:ascii="Bookman Old Style" w:hAnsi="Bookman Old Style"/>
          <w:b w:val="0"/>
        </w:rPr>
      </w:pPr>
      <w:r>
        <w:rPr>
          <w:rFonts w:ascii="Bookman Old Style" w:hAnsi="Bookman Old Style"/>
          <w:b w:val="0"/>
        </w:rPr>
        <w:t xml:space="preserve">Segundo (2), </w:t>
      </w:r>
      <w:r w:rsidR="00A836E2">
        <w:rPr>
          <w:rFonts w:ascii="Bookman Old Style" w:hAnsi="Bookman Old Style"/>
          <w:b w:val="0"/>
        </w:rPr>
        <w:t>EPM nunca respondió tal solicitud y guardo silencio sobre la misma, nuca recibió la CREG respuesta por parte de dicha empresa, sobre si estas comunicaciones</w:t>
      </w:r>
      <w:r w:rsidR="00E20727">
        <w:rPr>
          <w:rFonts w:ascii="Bookman Old Style" w:hAnsi="Bookman Old Style"/>
          <w:b w:val="0"/>
        </w:rPr>
        <w:t>,</w:t>
      </w:r>
      <w:r w:rsidR="00A836E2">
        <w:rPr>
          <w:rFonts w:ascii="Bookman Old Style" w:hAnsi="Bookman Old Style"/>
          <w:b w:val="0"/>
        </w:rPr>
        <w:t xml:space="preserve"> </w:t>
      </w:r>
      <w:r w:rsidR="00A836E2" w:rsidRPr="00E20727">
        <w:rPr>
          <w:rFonts w:ascii="Bookman Old Style" w:hAnsi="Bookman Old Style"/>
        </w:rPr>
        <w:t xml:space="preserve">recordemos que la E-2010-012362 es la </w:t>
      </w:r>
      <w:r w:rsidR="00E20727" w:rsidRPr="00E20727">
        <w:rPr>
          <w:rFonts w:ascii="Bookman Old Style" w:hAnsi="Bookman Old Style"/>
        </w:rPr>
        <w:t>primera</w:t>
      </w:r>
      <w:r w:rsidR="00E20727">
        <w:rPr>
          <w:rFonts w:ascii="Bookman Old Style" w:hAnsi="Bookman Old Style"/>
        </w:rPr>
        <w:t xml:space="preserve"> solicitud</w:t>
      </w:r>
      <w:r w:rsidR="00A836E2" w:rsidRPr="00E20727">
        <w:rPr>
          <w:rFonts w:ascii="Bookman Old Style" w:hAnsi="Bookman Old Style"/>
        </w:rPr>
        <w:t>,</w:t>
      </w:r>
      <w:r w:rsidR="00E20727">
        <w:rPr>
          <w:rFonts w:ascii="Bookman Old Style" w:hAnsi="Bookman Old Style"/>
        </w:rPr>
        <w:t xml:space="preserve"> la cual será</w:t>
      </w:r>
      <w:r w:rsidR="00A836E2" w:rsidRPr="00E20727">
        <w:rPr>
          <w:rFonts w:ascii="Bookman Old Style" w:hAnsi="Bookman Old Style"/>
        </w:rPr>
        <w:t xml:space="preserve"> complementada con las otras</w:t>
      </w:r>
      <w:r w:rsidR="00E20727">
        <w:rPr>
          <w:rFonts w:ascii="Bookman Old Style" w:hAnsi="Bookman Old Style"/>
          <w:b w:val="0"/>
        </w:rPr>
        <w:t>,</w:t>
      </w:r>
      <w:r w:rsidR="00C1437E">
        <w:rPr>
          <w:rFonts w:ascii="Bookman Old Style" w:hAnsi="Bookman Old Style"/>
          <w:b w:val="0"/>
        </w:rPr>
        <w:t xml:space="preserve"> debían ser consideradas o no, en la actuación administrativa 2011-0049.</w:t>
      </w:r>
    </w:p>
    <w:p w:rsidR="00A836E2" w:rsidRDefault="00C1437E" w:rsidP="00E2516D">
      <w:pPr>
        <w:pStyle w:val="Textoindependiente"/>
        <w:ind w:left="0"/>
        <w:jc w:val="both"/>
        <w:rPr>
          <w:rFonts w:ascii="Bookman Old Style" w:hAnsi="Bookman Old Style"/>
          <w:b w:val="0"/>
        </w:rPr>
      </w:pPr>
      <w:r>
        <w:rPr>
          <w:rFonts w:ascii="Bookman Old Style" w:hAnsi="Bookman Old Style"/>
          <w:b w:val="0"/>
        </w:rPr>
        <w:t xml:space="preserve"> </w:t>
      </w:r>
    </w:p>
    <w:p w:rsidR="00A836E2" w:rsidRDefault="00FD0744" w:rsidP="00A836E2">
      <w:pPr>
        <w:pStyle w:val="Textoindependiente"/>
        <w:ind w:left="0"/>
        <w:jc w:val="both"/>
        <w:rPr>
          <w:rFonts w:ascii="Bookman Old Style" w:hAnsi="Bookman Old Style"/>
          <w:b w:val="0"/>
        </w:rPr>
      </w:pPr>
      <w:r>
        <w:rPr>
          <w:rFonts w:ascii="Bookman Old Style" w:hAnsi="Bookman Old Style"/>
          <w:b w:val="0"/>
        </w:rPr>
        <w:t xml:space="preserve">Volviendo a la </w:t>
      </w:r>
      <w:r w:rsidR="00A836E2">
        <w:rPr>
          <w:rFonts w:ascii="Bookman Old Style" w:hAnsi="Bookman Old Style"/>
          <w:b w:val="0"/>
        </w:rPr>
        <w:t>solicitud de EPM del 4 de octubre del 2011,</w:t>
      </w:r>
      <w:r>
        <w:rPr>
          <w:rFonts w:ascii="Bookman Old Style" w:hAnsi="Bookman Old Style"/>
          <w:b w:val="0"/>
        </w:rPr>
        <w:t xml:space="preserve"> podemos ver que la misma </w:t>
      </w:r>
      <w:r w:rsidR="00A836E2">
        <w:rPr>
          <w:rFonts w:ascii="Bookman Old Style" w:hAnsi="Bookman Old Style"/>
          <w:b w:val="0"/>
        </w:rPr>
        <w:t xml:space="preserve">es en esencia </w:t>
      </w:r>
      <w:r>
        <w:rPr>
          <w:rFonts w:ascii="Bookman Old Style" w:hAnsi="Bookman Old Style"/>
          <w:b w:val="0"/>
        </w:rPr>
        <w:t>igual</w:t>
      </w:r>
      <w:r w:rsidR="00A836E2">
        <w:rPr>
          <w:rFonts w:ascii="Bookman Old Style" w:hAnsi="Bookman Old Style"/>
          <w:b w:val="0"/>
        </w:rPr>
        <w:t xml:space="preserve"> a la realizada por la CREG mediante el auto del 29 de julio del 2011, con la diferencia que la del auto se realizó antes que la Comisión en sesión del 19 de agosto del 2011, adoptara</w:t>
      </w:r>
      <w:r w:rsidR="00C1437E">
        <w:rPr>
          <w:rFonts w:ascii="Bookman Old Style" w:hAnsi="Bookman Old Style"/>
          <w:b w:val="0"/>
        </w:rPr>
        <w:t xml:space="preserve"> la Resolución CREG 104 de 2011, es decir; mediante la comunicación del 4 de octubre del 2011, EPM pretende beneficiarse de su propia culpa, ya q</w:t>
      </w:r>
      <w:r>
        <w:rPr>
          <w:rFonts w:ascii="Bookman Old Style" w:hAnsi="Bookman Old Style"/>
          <w:b w:val="0"/>
        </w:rPr>
        <w:t xml:space="preserve">ue de haber manifestado su intención </w:t>
      </w:r>
      <w:r w:rsidR="00C1437E">
        <w:rPr>
          <w:rFonts w:ascii="Bookman Old Style" w:hAnsi="Bookman Old Style"/>
          <w:b w:val="0"/>
        </w:rPr>
        <w:t>para que dichas comunicaciones (</w:t>
      </w:r>
      <w:r w:rsidR="00C1437E" w:rsidRPr="00A836E2">
        <w:rPr>
          <w:rFonts w:ascii="Bookman Old Style" w:hAnsi="Bookman Old Style"/>
          <w:b w:val="0"/>
        </w:rPr>
        <w:t>comunicaciones CREG E-2010-012362 del 30 de diciembre de 2010, E-2011-001370 del 11 de febre</w:t>
      </w:r>
      <w:r w:rsidR="00C1437E">
        <w:rPr>
          <w:rFonts w:ascii="Bookman Old Style" w:hAnsi="Bookman Old Style"/>
          <w:b w:val="0"/>
        </w:rPr>
        <w:t>ro de 2011, E-2011-006348 del 1</w:t>
      </w:r>
      <w:r w:rsidR="00C1437E" w:rsidRPr="00A836E2">
        <w:rPr>
          <w:rFonts w:ascii="Bookman Old Style" w:hAnsi="Bookman Old Style"/>
          <w:b w:val="0"/>
        </w:rPr>
        <w:t xml:space="preserve"> de julio de 2011</w:t>
      </w:r>
      <w:r w:rsidR="00C1437E">
        <w:rPr>
          <w:rFonts w:ascii="Bookman Old Style" w:hAnsi="Bookman Old Style"/>
          <w:b w:val="0"/>
        </w:rPr>
        <w:t>) fueran consideradas por la CREG, esta Comisión las hubiera tenido en cuenta.</w:t>
      </w:r>
    </w:p>
    <w:p w:rsidR="00A836E2" w:rsidRDefault="00A836E2" w:rsidP="00A836E2">
      <w:pPr>
        <w:pStyle w:val="Textoindependiente"/>
        <w:ind w:left="0"/>
        <w:jc w:val="both"/>
        <w:rPr>
          <w:rFonts w:ascii="Bookman Old Style" w:hAnsi="Bookman Old Style"/>
          <w:b w:val="0"/>
        </w:rPr>
      </w:pPr>
    </w:p>
    <w:p w:rsidR="00A836E2" w:rsidRDefault="00A836E2" w:rsidP="00A836E2">
      <w:pPr>
        <w:pStyle w:val="Textoindependiente"/>
        <w:ind w:left="0"/>
        <w:jc w:val="both"/>
        <w:rPr>
          <w:rFonts w:ascii="Bookman Old Style" w:hAnsi="Bookman Old Style"/>
          <w:b w:val="0"/>
        </w:rPr>
      </w:pPr>
      <w:r>
        <w:rPr>
          <w:rFonts w:ascii="Bookman Old Style" w:hAnsi="Bookman Old Style"/>
          <w:b w:val="0"/>
        </w:rPr>
        <w:t>No ocurre como lo plantea el recurso</w:t>
      </w:r>
      <w:r w:rsidR="00FD0744">
        <w:rPr>
          <w:rFonts w:ascii="Bookman Old Style" w:hAnsi="Bookman Old Style"/>
          <w:b w:val="0"/>
        </w:rPr>
        <w:t>,</w:t>
      </w:r>
      <w:r w:rsidR="005F7CB6">
        <w:rPr>
          <w:rFonts w:ascii="Bookman Old Style" w:hAnsi="Bookman Old Style"/>
          <w:b w:val="0"/>
        </w:rPr>
        <w:t xml:space="preserve"> que la CREG no consideró</w:t>
      </w:r>
      <w:r>
        <w:rPr>
          <w:rFonts w:ascii="Bookman Old Style" w:hAnsi="Bookman Old Style"/>
          <w:b w:val="0"/>
        </w:rPr>
        <w:t xml:space="preserve"> los argumentos de EPM expuestos en la</w:t>
      </w:r>
      <w:r w:rsidR="00E74B49">
        <w:rPr>
          <w:rFonts w:ascii="Bookman Old Style" w:hAnsi="Bookman Old Style"/>
          <w:b w:val="0"/>
        </w:rPr>
        <w:t>s</w:t>
      </w:r>
      <w:r>
        <w:rPr>
          <w:rFonts w:ascii="Bookman Old Style" w:hAnsi="Bookman Old Style"/>
          <w:b w:val="0"/>
        </w:rPr>
        <w:t xml:space="preserve"> comunicaciones </w:t>
      </w:r>
      <w:r w:rsidRPr="00A836E2">
        <w:rPr>
          <w:rFonts w:ascii="Bookman Old Style" w:hAnsi="Bookman Old Style"/>
          <w:b w:val="0"/>
        </w:rPr>
        <w:t>CREG E-2010-012362 del 30 de diciembre de 2010, E-2011-001370 del 11 de febre</w:t>
      </w:r>
      <w:r>
        <w:rPr>
          <w:rFonts w:ascii="Bookman Old Style" w:hAnsi="Bookman Old Style"/>
          <w:b w:val="0"/>
        </w:rPr>
        <w:t>ro de 2011, E-2011-006348 del 1</w:t>
      </w:r>
      <w:r w:rsidRPr="00A836E2">
        <w:rPr>
          <w:rFonts w:ascii="Bookman Old Style" w:hAnsi="Bookman Old Style"/>
          <w:b w:val="0"/>
        </w:rPr>
        <w:t xml:space="preserve"> de julio de 2011</w:t>
      </w:r>
      <w:r>
        <w:rPr>
          <w:rFonts w:ascii="Bookman Old Style" w:hAnsi="Bookman Old Style"/>
          <w:b w:val="0"/>
        </w:rPr>
        <w:t xml:space="preserve">. </w:t>
      </w:r>
      <w:r w:rsidRPr="00FD0744">
        <w:rPr>
          <w:rFonts w:ascii="Bookman Old Style" w:hAnsi="Bookman Old Style"/>
        </w:rPr>
        <w:t>Ocurre que la CREG pregunt</w:t>
      </w:r>
      <w:r w:rsidR="005F7CB6">
        <w:rPr>
          <w:rFonts w:ascii="Bookman Old Style" w:hAnsi="Bookman Old Style"/>
        </w:rPr>
        <w:t>ó</w:t>
      </w:r>
      <w:r w:rsidRPr="00FD0744">
        <w:rPr>
          <w:rFonts w:ascii="Bookman Old Style" w:hAnsi="Bookman Old Style"/>
        </w:rPr>
        <w:t xml:space="preserve"> a EPM si era de su interés que dichas comunicaciones fueran </w:t>
      </w:r>
      <w:r w:rsidR="00E219B1" w:rsidRPr="00FD0744">
        <w:rPr>
          <w:rFonts w:ascii="Bookman Old Style" w:hAnsi="Bookman Old Style"/>
        </w:rPr>
        <w:t>consideradas</w:t>
      </w:r>
      <w:r w:rsidRPr="00FD0744">
        <w:rPr>
          <w:rFonts w:ascii="Bookman Old Style" w:hAnsi="Bookman Old Style"/>
        </w:rPr>
        <w:t xml:space="preserve"> y esta</w:t>
      </w:r>
      <w:r w:rsidR="00C1437E" w:rsidRPr="00FD0744">
        <w:rPr>
          <w:rFonts w:ascii="Bookman Old Style" w:hAnsi="Bookman Old Style"/>
        </w:rPr>
        <w:t xml:space="preserve"> empresa</w:t>
      </w:r>
      <w:r w:rsidRPr="00FD0744">
        <w:rPr>
          <w:rFonts w:ascii="Bookman Old Style" w:hAnsi="Bookman Old Style"/>
        </w:rPr>
        <w:t xml:space="preserve"> nunca </w:t>
      </w:r>
      <w:r w:rsidR="00E219B1" w:rsidRPr="00FD0744">
        <w:rPr>
          <w:rFonts w:ascii="Bookman Old Style" w:hAnsi="Bookman Old Style"/>
        </w:rPr>
        <w:t>respondió</w:t>
      </w:r>
      <w:r w:rsidR="00C1437E" w:rsidRPr="00FD0744">
        <w:rPr>
          <w:rFonts w:ascii="Bookman Old Style" w:hAnsi="Bookman Old Style"/>
        </w:rPr>
        <w:t xml:space="preserve"> a tal solicitud</w:t>
      </w:r>
      <w:r w:rsidRPr="00FD0744">
        <w:rPr>
          <w:rFonts w:ascii="Bookman Old Style" w:hAnsi="Bookman Old Style"/>
        </w:rPr>
        <w:t>.</w:t>
      </w:r>
    </w:p>
    <w:p w:rsidR="00A836E2" w:rsidRDefault="00A836E2" w:rsidP="00A836E2">
      <w:pPr>
        <w:pStyle w:val="Textoindependiente"/>
        <w:ind w:left="0"/>
        <w:jc w:val="both"/>
        <w:rPr>
          <w:rFonts w:ascii="Bookman Old Style" w:hAnsi="Bookman Old Style"/>
          <w:b w:val="0"/>
        </w:rPr>
      </w:pPr>
    </w:p>
    <w:p w:rsidR="00E219B1" w:rsidRPr="00B329EA" w:rsidRDefault="00E219B1" w:rsidP="00E219B1">
      <w:pPr>
        <w:pStyle w:val="Textoindependiente"/>
        <w:ind w:left="0"/>
        <w:jc w:val="both"/>
        <w:rPr>
          <w:rFonts w:ascii="Bookman Old Style" w:hAnsi="Bookman Old Style"/>
          <w:b w:val="0"/>
        </w:rPr>
      </w:pPr>
      <w:r w:rsidRPr="00FD0744">
        <w:rPr>
          <w:rFonts w:ascii="Bookman Old Style" w:hAnsi="Bookman Old Style"/>
        </w:rPr>
        <w:t>Por lo anterior, cuando corresponde al administrado realizar la carga de la prueba o ejercer según su criterio y buen juicio el derecho a la defensa, no le es aceptable a la administración pública suplir la voluntad solicitada al administrado o entrar a asumir que la misma seria en un sentido u otro, lo cierto es que dada la oportunidad y esta no ejercida por el interesado, se sigue de esto que el Estado ha garantizado el correcto devenir de la actuación y la posibilidad para el ejercicio de los derechos que el ordenamiento jurídico le debe y garantiza al administrado</w:t>
      </w:r>
      <w:r w:rsidR="00C1437E" w:rsidRPr="00FD0744">
        <w:rPr>
          <w:rStyle w:val="Refdenotaalpie"/>
          <w:rFonts w:ascii="Bookman Old Style" w:hAnsi="Bookman Old Style"/>
          <w:b w:val="0"/>
        </w:rPr>
        <w:footnoteReference w:id="12"/>
      </w:r>
      <w:r w:rsidRPr="00B329EA">
        <w:rPr>
          <w:rFonts w:ascii="Bookman Old Style" w:hAnsi="Bookman Old Style"/>
          <w:b w:val="0"/>
        </w:rPr>
        <w:t xml:space="preserve">. </w:t>
      </w:r>
    </w:p>
    <w:p w:rsidR="00E219B1" w:rsidRPr="00B329EA" w:rsidRDefault="00E219B1" w:rsidP="00E219B1">
      <w:pPr>
        <w:pStyle w:val="Textoindependiente"/>
        <w:ind w:left="0"/>
        <w:jc w:val="both"/>
        <w:rPr>
          <w:rFonts w:ascii="Bookman Old Style" w:hAnsi="Bookman Old Style"/>
          <w:b w:val="0"/>
        </w:rPr>
      </w:pPr>
    </w:p>
    <w:p w:rsidR="00E219B1" w:rsidRDefault="00E219B1" w:rsidP="00A836E2">
      <w:pPr>
        <w:pStyle w:val="Textoindependiente"/>
        <w:ind w:left="0"/>
        <w:jc w:val="both"/>
        <w:rPr>
          <w:rFonts w:ascii="Bookman Old Style" w:hAnsi="Bookman Old Style"/>
          <w:b w:val="0"/>
        </w:rPr>
      </w:pPr>
      <w:r>
        <w:rPr>
          <w:rFonts w:ascii="Bookman Old Style" w:hAnsi="Bookman Old Style"/>
          <w:b w:val="0"/>
        </w:rPr>
        <w:t>En ese orden de ideas, es necesario considerar los artículos 34 y 35 del código Contencioso Administrativo</w:t>
      </w:r>
      <w:r w:rsidR="00C1437E">
        <w:rPr>
          <w:rFonts w:ascii="Bookman Old Style" w:hAnsi="Bookman Old Style"/>
          <w:b w:val="0"/>
        </w:rPr>
        <w:t>,</w:t>
      </w:r>
      <w:r>
        <w:rPr>
          <w:rFonts w:ascii="Bookman Old Style" w:hAnsi="Bookman Old Style"/>
          <w:b w:val="0"/>
        </w:rPr>
        <w:t xml:space="preserve"> los cuales establece</w:t>
      </w:r>
      <w:r w:rsidR="00C1437E">
        <w:rPr>
          <w:rFonts w:ascii="Bookman Old Style" w:hAnsi="Bookman Old Style"/>
          <w:b w:val="0"/>
        </w:rPr>
        <w:t>n</w:t>
      </w:r>
      <w:r>
        <w:rPr>
          <w:rFonts w:ascii="Bookman Old Style" w:hAnsi="Bookman Old Style"/>
          <w:b w:val="0"/>
        </w:rPr>
        <w:t>:</w:t>
      </w:r>
    </w:p>
    <w:p w:rsidR="00E219B1" w:rsidRDefault="00E219B1" w:rsidP="00A836E2">
      <w:pPr>
        <w:pStyle w:val="Textoindependiente"/>
        <w:ind w:left="0"/>
        <w:jc w:val="both"/>
        <w:rPr>
          <w:rFonts w:ascii="Bookman Old Style" w:hAnsi="Bookman Old Style"/>
          <w:b w:val="0"/>
        </w:rPr>
      </w:pPr>
    </w:p>
    <w:p w:rsidR="00C1437E" w:rsidRDefault="00C1437E" w:rsidP="00A836E2">
      <w:pPr>
        <w:pStyle w:val="Textoindependiente"/>
        <w:ind w:left="0"/>
        <w:jc w:val="both"/>
        <w:rPr>
          <w:rFonts w:ascii="Bookman Old Style" w:hAnsi="Bookman Old Style"/>
          <w:b w:val="0"/>
        </w:rPr>
      </w:pPr>
      <w:r>
        <w:rPr>
          <w:rFonts w:ascii="Bookman Old Style" w:hAnsi="Bookman Old Style"/>
          <w:b w:val="0"/>
        </w:rPr>
        <w:t xml:space="preserve">Artículo </w:t>
      </w:r>
      <w:r w:rsidR="00E219B1">
        <w:rPr>
          <w:rFonts w:ascii="Bookman Old Style" w:hAnsi="Bookman Old Style"/>
          <w:b w:val="0"/>
        </w:rPr>
        <w:t>3</w:t>
      </w:r>
      <w:r>
        <w:rPr>
          <w:rFonts w:ascii="Bookman Old Style" w:hAnsi="Bookman Old Style"/>
          <w:b w:val="0"/>
        </w:rPr>
        <w:t xml:space="preserve">4: </w:t>
      </w:r>
    </w:p>
    <w:p w:rsidR="00C1437E" w:rsidRDefault="00C1437E" w:rsidP="00A836E2">
      <w:pPr>
        <w:pStyle w:val="Textoindependiente"/>
        <w:ind w:left="0"/>
        <w:jc w:val="both"/>
        <w:rPr>
          <w:rFonts w:ascii="Bookman Old Style" w:hAnsi="Bookman Old Style"/>
          <w:b w:val="0"/>
        </w:rPr>
      </w:pPr>
    </w:p>
    <w:p w:rsidR="00E219B1" w:rsidRPr="00C1437E" w:rsidRDefault="00C1437E" w:rsidP="00C1437E">
      <w:pPr>
        <w:ind w:left="872" w:right="826"/>
        <w:jc w:val="both"/>
        <w:rPr>
          <w:rFonts w:ascii="Bookman Old Style" w:hAnsi="Bookman Old Style"/>
          <w:bCs/>
          <w:i/>
          <w:sz w:val="22"/>
          <w:szCs w:val="22"/>
        </w:rPr>
      </w:pPr>
      <w:r w:rsidRPr="00C1437E">
        <w:rPr>
          <w:rFonts w:ascii="Bookman Old Style" w:hAnsi="Bookman Old Style"/>
          <w:bCs/>
          <w:i/>
          <w:sz w:val="22"/>
          <w:szCs w:val="22"/>
        </w:rPr>
        <w:t>“(…)</w:t>
      </w:r>
      <w:r>
        <w:rPr>
          <w:rFonts w:ascii="Bookman Old Style" w:hAnsi="Bookman Old Style"/>
          <w:bCs/>
          <w:i/>
          <w:sz w:val="22"/>
          <w:szCs w:val="22"/>
        </w:rPr>
        <w:t xml:space="preserve"> </w:t>
      </w:r>
      <w:r w:rsidRPr="00C1437E">
        <w:rPr>
          <w:rFonts w:ascii="Bookman Old Style" w:hAnsi="Bookman Old Style"/>
          <w:bCs/>
          <w:i/>
          <w:sz w:val="22"/>
          <w:szCs w:val="22"/>
        </w:rPr>
        <w:t xml:space="preserve">Durante la </w:t>
      </w:r>
      <w:r w:rsidRPr="00C1437E">
        <w:rPr>
          <w:rFonts w:ascii="Bookman Old Style" w:hAnsi="Bookman Old Style"/>
          <w:i/>
          <w:sz w:val="22"/>
          <w:szCs w:val="22"/>
        </w:rPr>
        <w:t>actuación</w:t>
      </w:r>
      <w:r w:rsidRPr="00C1437E">
        <w:rPr>
          <w:rFonts w:ascii="Bookman Old Style" w:hAnsi="Bookman Old Style"/>
          <w:bCs/>
          <w:i/>
          <w:sz w:val="22"/>
          <w:szCs w:val="22"/>
        </w:rPr>
        <w:t xml:space="preserve"> administrativa se podrán pedir y decretar pruebas y allegar informaciones, sin requisitos ni términos especiales, de oficio o a petición del interesado (…)”.</w:t>
      </w:r>
      <w:r w:rsidR="00E219B1" w:rsidRPr="00C1437E">
        <w:rPr>
          <w:rFonts w:ascii="Bookman Old Style" w:hAnsi="Bookman Old Style"/>
          <w:bCs/>
          <w:i/>
          <w:sz w:val="22"/>
          <w:szCs w:val="22"/>
        </w:rPr>
        <w:t xml:space="preserve"> </w:t>
      </w:r>
    </w:p>
    <w:p w:rsidR="00E219B1" w:rsidRDefault="00E219B1" w:rsidP="00A836E2">
      <w:pPr>
        <w:pStyle w:val="Textoindependiente"/>
        <w:ind w:left="0"/>
        <w:jc w:val="both"/>
        <w:rPr>
          <w:rFonts w:ascii="Bookman Old Style" w:hAnsi="Bookman Old Style"/>
          <w:b w:val="0"/>
        </w:rPr>
      </w:pPr>
    </w:p>
    <w:p w:rsidR="00E219B1" w:rsidRDefault="00C1437E" w:rsidP="00A836E2">
      <w:pPr>
        <w:pStyle w:val="Textoindependiente"/>
        <w:ind w:left="0"/>
        <w:jc w:val="both"/>
        <w:rPr>
          <w:rFonts w:ascii="Bookman Old Style" w:hAnsi="Bookman Old Style"/>
          <w:b w:val="0"/>
        </w:rPr>
      </w:pPr>
      <w:r>
        <w:rPr>
          <w:rFonts w:ascii="Bookman Old Style" w:hAnsi="Bookman Old Style"/>
          <w:b w:val="0"/>
        </w:rPr>
        <w:t>Artículo 35:</w:t>
      </w:r>
    </w:p>
    <w:p w:rsidR="00C1437E" w:rsidRDefault="00C1437E" w:rsidP="00A836E2">
      <w:pPr>
        <w:pStyle w:val="Textoindependiente"/>
        <w:ind w:left="0"/>
        <w:jc w:val="both"/>
        <w:rPr>
          <w:rFonts w:ascii="Bookman Old Style" w:hAnsi="Bookman Old Style"/>
          <w:b w:val="0"/>
        </w:rPr>
      </w:pPr>
    </w:p>
    <w:p w:rsidR="00C1437E" w:rsidRDefault="00C1437E" w:rsidP="00C1437E">
      <w:pPr>
        <w:ind w:left="872" w:right="826"/>
        <w:jc w:val="both"/>
        <w:rPr>
          <w:rFonts w:ascii="Bookman Old Style" w:hAnsi="Bookman Old Style"/>
          <w:bCs/>
          <w:i/>
          <w:sz w:val="22"/>
          <w:szCs w:val="22"/>
        </w:rPr>
      </w:pPr>
      <w:r w:rsidRPr="00C1437E">
        <w:rPr>
          <w:rFonts w:ascii="Bookman Old Style" w:hAnsi="Bookman Old Style"/>
          <w:bCs/>
          <w:i/>
          <w:sz w:val="22"/>
          <w:szCs w:val="22"/>
        </w:rPr>
        <w:t>“(…)</w:t>
      </w:r>
      <w:r>
        <w:rPr>
          <w:rFonts w:ascii="Bookman Old Style" w:hAnsi="Bookman Old Style"/>
          <w:bCs/>
          <w:i/>
          <w:sz w:val="22"/>
          <w:szCs w:val="22"/>
        </w:rPr>
        <w:t xml:space="preserve"> </w:t>
      </w:r>
      <w:r w:rsidRPr="00C1437E">
        <w:rPr>
          <w:rFonts w:ascii="Bookman Old Style" w:hAnsi="Bookman Old Style"/>
          <w:b/>
          <w:bCs/>
          <w:i/>
          <w:sz w:val="22"/>
          <w:szCs w:val="22"/>
        </w:rPr>
        <w:t>Habiéndose dado oportunidad a los interesados para expresar sus opiniones, y con base en las pruebas e informes disponibles, se tomará la decisión que será motivada al menos en forma sumaria si afecta a particulares</w:t>
      </w:r>
      <w:r w:rsidRPr="00C1437E">
        <w:rPr>
          <w:rFonts w:ascii="Bookman Old Style" w:hAnsi="Bookman Old Style"/>
          <w:bCs/>
          <w:i/>
          <w:sz w:val="22"/>
          <w:szCs w:val="22"/>
        </w:rPr>
        <w:t xml:space="preserve">. </w:t>
      </w:r>
    </w:p>
    <w:p w:rsidR="00C1437E" w:rsidRPr="00C1437E" w:rsidRDefault="00C1437E" w:rsidP="00C1437E">
      <w:pPr>
        <w:ind w:left="872" w:right="826"/>
        <w:jc w:val="both"/>
        <w:rPr>
          <w:rFonts w:ascii="Bookman Old Style" w:hAnsi="Bookman Old Style"/>
          <w:bCs/>
          <w:i/>
          <w:sz w:val="22"/>
          <w:szCs w:val="22"/>
        </w:rPr>
      </w:pPr>
    </w:p>
    <w:p w:rsidR="00C1437E" w:rsidRPr="00C1437E" w:rsidRDefault="00C1437E" w:rsidP="00C1437E">
      <w:pPr>
        <w:ind w:left="872" w:right="826"/>
        <w:jc w:val="both"/>
        <w:rPr>
          <w:rFonts w:ascii="Bookman Old Style" w:hAnsi="Bookman Old Style"/>
          <w:bCs/>
          <w:i/>
          <w:sz w:val="22"/>
          <w:szCs w:val="22"/>
        </w:rPr>
      </w:pPr>
      <w:r w:rsidRPr="00C1437E">
        <w:rPr>
          <w:rFonts w:ascii="Bookman Old Style" w:hAnsi="Bookman Old Style"/>
          <w:bCs/>
          <w:i/>
          <w:sz w:val="22"/>
          <w:szCs w:val="22"/>
        </w:rPr>
        <w:t xml:space="preserve">En la decisión se resolverán todas las cuestiones planteadas, tanto inicialmente como durante el trámite. </w:t>
      </w:r>
    </w:p>
    <w:p w:rsidR="00C1437E" w:rsidRDefault="00C1437E" w:rsidP="00C1437E">
      <w:pPr>
        <w:ind w:left="872" w:right="826"/>
        <w:jc w:val="both"/>
        <w:rPr>
          <w:rFonts w:ascii="Bookman Old Style" w:hAnsi="Bookman Old Style"/>
          <w:bCs/>
          <w:i/>
          <w:sz w:val="22"/>
          <w:szCs w:val="22"/>
        </w:rPr>
      </w:pPr>
    </w:p>
    <w:p w:rsidR="00C1437E" w:rsidRPr="00C1437E" w:rsidRDefault="00C1437E" w:rsidP="00C1437E">
      <w:pPr>
        <w:ind w:left="872" w:right="826"/>
        <w:jc w:val="both"/>
        <w:rPr>
          <w:rFonts w:ascii="Bookman Old Style" w:hAnsi="Bookman Old Style"/>
          <w:bCs/>
          <w:i/>
          <w:sz w:val="22"/>
          <w:szCs w:val="22"/>
        </w:rPr>
      </w:pPr>
      <w:r w:rsidRPr="00C1437E">
        <w:rPr>
          <w:rFonts w:ascii="Bookman Old Style" w:hAnsi="Bookman Old Style"/>
          <w:bCs/>
          <w:i/>
          <w:sz w:val="22"/>
          <w:szCs w:val="22"/>
        </w:rPr>
        <w:t>Cuando el peticionario no fuere titular del interés necesario para obtener lo solicitado o pedido, las autoridades negarán la petición y notificarán esta decisión a quienes aparezcan como titulares del derecho invocado, para que puedan hacerse parte durante la vía gubernativa, si la hay</w:t>
      </w:r>
      <w:r>
        <w:rPr>
          <w:rFonts w:ascii="Bookman Old Style" w:hAnsi="Bookman Old Style"/>
          <w:bCs/>
          <w:i/>
          <w:sz w:val="22"/>
          <w:szCs w:val="22"/>
        </w:rPr>
        <w:t xml:space="preserve"> </w:t>
      </w:r>
      <w:r w:rsidRPr="00C1437E">
        <w:rPr>
          <w:rFonts w:ascii="Bookman Old Style" w:hAnsi="Bookman Old Style"/>
          <w:bCs/>
          <w:i/>
          <w:sz w:val="22"/>
          <w:szCs w:val="22"/>
        </w:rPr>
        <w:t>(…)”</w:t>
      </w:r>
      <w:r>
        <w:rPr>
          <w:rFonts w:ascii="Bookman Old Style" w:hAnsi="Bookman Old Style"/>
          <w:bCs/>
          <w:i/>
          <w:sz w:val="22"/>
          <w:szCs w:val="22"/>
        </w:rPr>
        <w:t xml:space="preserve"> (Negrilla fuera del original).</w:t>
      </w:r>
    </w:p>
    <w:p w:rsidR="00E219B1" w:rsidRDefault="00E219B1" w:rsidP="00A836E2">
      <w:pPr>
        <w:pStyle w:val="Textoindependiente"/>
        <w:ind w:left="0"/>
        <w:jc w:val="both"/>
        <w:rPr>
          <w:rFonts w:ascii="Bookman Old Style" w:hAnsi="Bookman Old Style"/>
          <w:b w:val="0"/>
        </w:rPr>
      </w:pPr>
    </w:p>
    <w:p w:rsidR="00E219B1" w:rsidRDefault="00E219B1" w:rsidP="00A836E2">
      <w:pPr>
        <w:pStyle w:val="Textoindependiente"/>
        <w:ind w:left="0"/>
        <w:jc w:val="both"/>
        <w:rPr>
          <w:rFonts w:ascii="Bookman Old Style" w:hAnsi="Bookman Old Style"/>
          <w:b w:val="0"/>
        </w:rPr>
      </w:pPr>
      <w:r>
        <w:rPr>
          <w:rFonts w:ascii="Bookman Old Style" w:hAnsi="Bookman Old Style"/>
          <w:b w:val="0"/>
        </w:rPr>
        <w:t>De lo expresado por la</w:t>
      </w:r>
      <w:r w:rsidR="00B329EA">
        <w:rPr>
          <w:rFonts w:ascii="Bookman Old Style" w:hAnsi="Bookman Old Style"/>
          <w:b w:val="0"/>
        </w:rPr>
        <w:t>s</w:t>
      </w:r>
      <w:r>
        <w:rPr>
          <w:rFonts w:ascii="Bookman Old Style" w:hAnsi="Bookman Old Style"/>
          <w:b w:val="0"/>
        </w:rPr>
        <w:t xml:space="preserve"> normas, esto es que la </w:t>
      </w:r>
      <w:r w:rsidR="00B329EA">
        <w:rPr>
          <w:rFonts w:ascii="Bookman Old Style" w:hAnsi="Bookman Old Style"/>
          <w:b w:val="0"/>
        </w:rPr>
        <w:t>administración</w:t>
      </w:r>
      <w:r>
        <w:rPr>
          <w:rFonts w:ascii="Bookman Old Style" w:hAnsi="Bookman Old Style"/>
          <w:b w:val="0"/>
        </w:rPr>
        <w:t xml:space="preserve"> puede pedir y </w:t>
      </w:r>
      <w:r w:rsidR="00B329EA">
        <w:rPr>
          <w:rFonts w:ascii="Bookman Old Style" w:hAnsi="Bookman Old Style"/>
          <w:b w:val="0"/>
        </w:rPr>
        <w:t>decretar</w:t>
      </w:r>
      <w:r>
        <w:rPr>
          <w:rFonts w:ascii="Bookman Old Style" w:hAnsi="Bookman Old Style"/>
          <w:b w:val="0"/>
        </w:rPr>
        <w:t xml:space="preserve"> </w:t>
      </w:r>
      <w:r w:rsidR="00B329EA">
        <w:rPr>
          <w:rFonts w:ascii="Bookman Old Style" w:hAnsi="Bookman Old Style"/>
          <w:b w:val="0"/>
        </w:rPr>
        <w:t>pruebas</w:t>
      </w:r>
      <w:r>
        <w:rPr>
          <w:rFonts w:ascii="Bookman Old Style" w:hAnsi="Bookman Old Style"/>
          <w:b w:val="0"/>
        </w:rPr>
        <w:t xml:space="preserve"> de oficio,</w:t>
      </w:r>
      <w:r w:rsidR="00A53385">
        <w:rPr>
          <w:rFonts w:ascii="Bookman Old Style" w:hAnsi="Bookman Old Style"/>
          <w:b w:val="0"/>
        </w:rPr>
        <w:t xml:space="preserve"> </w:t>
      </w:r>
      <w:r w:rsidR="00AD75AA">
        <w:rPr>
          <w:rFonts w:ascii="Bookman Old Style" w:hAnsi="Bookman Old Style"/>
          <w:b w:val="0"/>
        </w:rPr>
        <w:t xml:space="preserve">vemos que </w:t>
      </w:r>
      <w:r w:rsidR="00A53385">
        <w:rPr>
          <w:rFonts w:ascii="Bookman Old Style" w:hAnsi="Bookman Old Style"/>
          <w:b w:val="0"/>
        </w:rPr>
        <w:t xml:space="preserve">la </w:t>
      </w:r>
      <w:r>
        <w:rPr>
          <w:rFonts w:ascii="Bookman Old Style" w:hAnsi="Bookman Old Style"/>
          <w:b w:val="0"/>
        </w:rPr>
        <w:t xml:space="preserve">CREG utilizo esta facultad para </w:t>
      </w:r>
      <w:r w:rsidR="00AD75AA">
        <w:rPr>
          <w:rFonts w:ascii="Bookman Old Style" w:hAnsi="Bookman Old Style"/>
          <w:b w:val="0"/>
        </w:rPr>
        <w:t>facilitarle</w:t>
      </w:r>
      <w:r w:rsidR="00B329EA">
        <w:rPr>
          <w:rFonts w:ascii="Bookman Old Style" w:hAnsi="Bookman Old Style"/>
          <w:b w:val="0"/>
        </w:rPr>
        <w:t xml:space="preserve"> a EPM un espacio que le </w:t>
      </w:r>
      <w:r>
        <w:rPr>
          <w:rFonts w:ascii="Bookman Old Style" w:hAnsi="Bookman Old Style"/>
          <w:b w:val="0"/>
        </w:rPr>
        <w:t>permiti</w:t>
      </w:r>
      <w:r w:rsidR="00B329EA">
        <w:rPr>
          <w:rFonts w:ascii="Bookman Old Style" w:hAnsi="Bookman Old Style"/>
          <w:b w:val="0"/>
        </w:rPr>
        <w:t>era e</w:t>
      </w:r>
      <w:r>
        <w:rPr>
          <w:rFonts w:ascii="Bookman Old Style" w:hAnsi="Bookman Old Style"/>
          <w:b w:val="0"/>
        </w:rPr>
        <w:t xml:space="preserve">jercer su derecho de defensa dentro de la </w:t>
      </w:r>
      <w:r w:rsidR="00B329EA">
        <w:rPr>
          <w:rFonts w:ascii="Bookman Old Style" w:hAnsi="Bookman Old Style"/>
          <w:b w:val="0"/>
        </w:rPr>
        <w:t>actuación administrativa 2011-0049</w:t>
      </w:r>
      <w:r>
        <w:rPr>
          <w:rFonts w:ascii="Bookman Old Style" w:hAnsi="Bookman Old Style"/>
          <w:b w:val="0"/>
        </w:rPr>
        <w:t>,</w:t>
      </w:r>
      <w:r w:rsidR="00E20727">
        <w:rPr>
          <w:rFonts w:ascii="Bookman Old Style" w:hAnsi="Bookman Old Style"/>
          <w:b w:val="0"/>
        </w:rPr>
        <w:t xml:space="preserve"> tanto para objetar el informe adicional de auditoria, como para que </w:t>
      </w:r>
      <w:r w:rsidR="00B329EA">
        <w:rPr>
          <w:rFonts w:ascii="Bookman Old Style" w:hAnsi="Bookman Old Style"/>
          <w:b w:val="0"/>
        </w:rPr>
        <w:t>los argumentos dados</w:t>
      </w:r>
      <w:r>
        <w:rPr>
          <w:rFonts w:ascii="Bookman Old Style" w:hAnsi="Bookman Old Style"/>
          <w:b w:val="0"/>
        </w:rPr>
        <w:t xml:space="preserve"> </w:t>
      </w:r>
      <w:r w:rsidR="00B329EA">
        <w:rPr>
          <w:rFonts w:ascii="Bookman Old Style" w:hAnsi="Bookman Old Style"/>
          <w:b w:val="0"/>
        </w:rPr>
        <w:t xml:space="preserve">en </w:t>
      </w:r>
      <w:r>
        <w:rPr>
          <w:rFonts w:ascii="Bookman Old Style" w:hAnsi="Bookman Old Style"/>
          <w:b w:val="0"/>
        </w:rPr>
        <w:t xml:space="preserve">sus comunicaciones encaminadas a </w:t>
      </w:r>
      <w:r w:rsidR="00B329EA">
        <w:rPr>
          <w:rFonts w:ascii="Bookman Old Style" w:hAnsi="Bookman Old Style"/>
          <w:b w:val="0"/>
        </w:rPr>
        <w:t>solicitar</w:t>
      </w:r>
      <w:r>
        <w:rPr>
          <w:rFonts w:ascii="Bookman Old Style" w:hAnsi="Bookman Old Style"/>
          <w:b w:val="0"/>
        </w:rPr>
        <w:t xml:space="preserve"> una </w:t>
      </w:r>
      <w:r w:rsidR="00B329EA">
        <w:rPr>
          <w:rFonts w:ascii="Bookman Old Style" w:hAnsi="Bookman Old Style"/>
          <w:b w:val="0"/>
        </w:rPr>
        <w:t>actuación</w:t>
      </w:r>
      <w:r>
        <w:rPr>
          <w:rFonts w:ascii="Bookman Old Style" w:hAnsi="Bookman Old Style"/>
          <w:b w:val="0"/>
        </w:rPr>
        <w:t xml:space="preserve"> </w:t>
      </w:r>
      <w:r w:rsidR="00B329EA">
        <w:rPr>
          <w:rFonts w:ascii="Bookman Old Style" w:hAnsi="Bookman Old Style"/>
          <w:b w:val="0"/>
        </w:rPr>
        <w:t>administrativa</w:t>
      </w:r>
      <w:r>
        <w:rPr>
          <w:rFonts w:ascii="Bookman Old Style" w:hAnsi="Bookman Old Style"/>
          <w:b w:val="0"/>
        </w:rPr>
        <w:t xml:space="preserve"> para el </w:t>
      </w:r>
      <w:r w:rsidR="00B329EA">
        <w:rPr>
          <w:rFonts w:ascii="Bookman Old Style" w:hAnsi="Bookman Old Style"/>
          <w:b w:val="0"/>
        </w:rPr>
        <w:t>reconocimiento</w:t>
      </w:r>
      <w:r>
        <w:rPr>
          <w:rFonts w:ascii="Bookman Old Style" w:hAnsi="Bookman Old Style"/>
          <w:b w:val="0"/>
        </w:rPr>
        <w:t xml:space="preserve"> de un evento eximente de responsabilidad</w:t>
      </w:r>
      <w:r w:rsidR="00B329EA">
        <w:rPr>
          <w:rFonts w:ascii="Bookman Old Style" w:hAnsi="Bookman Old Style"/>
          <w:b w:val="0"/>
        </w:rPr>
        <w:t>,</w:t>
      </w:r>
      <w:r>
        <w:rPr>
          <w:rFonts w:ascii="Bookman Old Style" w:hAnsi="Bookman Old Style"/>
          <w:b w:val="0"/>
        </w:rPr>
        <w:t xml:space="preserve"> fueran considera</w:t>
      </w:r>
      <w:r w:rsidR="00A53385">
        <w:rPr>
          <w:rFonts w:ascii="Bookman Old Style" w:hAnsi="Bookman Old Style"/>
          <w:b w:val="0"/>
        </w:rPr>
        <w:t>d</w:t>
      </w:r>
      <w:r>
        <w:rPr>
          <w:rFonts w:ascii="Bookman Old Style" w:hAnsi="Bookman Old Style"/>
          <w:b w:val="0"/>
        </w:rPr>
        <w:t xml:space="preserve">os en la </w:t>
      </w:r>
      <w:r w:rsidR="00B329EA">
        <w:rPr>
          <w:rFonts w:ascii="Bookman Old Style" w:hAnsi="Bookman Old Style"/>
          <w:b w:val="0"/>
        </w:rPr>
        <w:t>actuación</w:t>
      </w:r>
      <w:r>
        <w:rPr>
          <w:rFonts w:ascii="Bookman Old Style" w:hAnsi="Bookman Old Style"/>
          <w:b w:val="0"/>
        </w:rPr>
        <w:t xml:space="preserve"> 2011-0049.</w:t>
      </w:r>
    </w:p>
    <w:p w:rsidR="00E219B1" w:rsidRDefault="00E219B1" w:rsidP="00A836E2">
      <w:pPr>
        <w:pStyle w:val="Textoindependiente"/>
        <w:ind w:left="0"/>
        <w:jc w:val="both"/>
        <w:rPr>
          <w:rFonts w:ascii="Bookman Old Style" w:hAnsi="Bookman Old Style"/>
          <w:b w:val="0"/>
        </w:rPr>
      </w:pPr>
    </w:p>
    <w:p w:rsidR="00B329EA" w:rsidRDefault="00AD75AA" w:rsidP="00A836E2">
      <w:pPr>
        <w:pStyle w:val="Textoindependiente"/>
        <w:ind w:left="0"/>
        <w:jc w:val="both"/>
        <w:rPr>
          <w:rFonts w:ascii="Bookman Old Style" w:hAnsi="Bookman Old Style"/>
          <w:b w:val="0"/>
        </w:rPr>
      </w:pPr>
      <w:r>
        <w:rPr>
          <w:rFonts w:ascii="Bookman Old Style" w:hAnsi="Bookman Old Style"/>
          <w:b w:val="0"/>
        </w:rPr>
        <w:t>Reiteramos que para el mes de julio del 2011, EPM ya conocía la existencia de la actuación administrativa CREG 2011-0049, y esta empresa seguía insistiendo en la apertura de una actuación administrativa para el reconocimiento de un evento eximente de responsabilidad en el caso de Porce IV, petición frente a la cual desde el 8 de febrero del 2011, la CREG había manifestado su falta de competencia, razón por la cual la CREG pregunt</w:t>
      </w:r>
      <w:r w:rsidR="005F7CB6">
        <w:rPr>
          <w:rFonts w:ascii="Bookman Old Style" w:hAnsi="Bookman Old Style"/>
          <w:b w:val="0"/>
        </w:rPr>
        <w:t>ó</w:t>
      </w:r>
      <w:r>
        <w:rPr>
          <w:rFonts w:ascii="Bookman Old Style" w:hAnsi="Bookman Old Style"/>
          <w:b w:val="0"/>
        </w:rPr>
        <w:t xml:space="preserve"> a EPM</w:t>
      </w:r>
      <w:r w:rsidR="005F7CB6">
        <w:rPr>
          <w:rFonts w:ascii="Bookman Old Style" w:hAnsi="Bookman Old Style"/>
          <w:b w:val="0"/>
        </w:rPr>
        <w:t>,</w:t>
      </w:r>
      <w:r>
        <w:rPr>
          <w:rFonts w:ascii="Bookman Old Style" w:hAnsi="Bookman Old Style"/>
          <w:b w:val="0"/>
        </w:rPr>
        <w:t xml:space="preserve"> mediante el auto del 29 de julio del 2011, si era de su interés que las </w:t>
      </w:r>
      <w:r>
        <w:rPr>
          <w:rFonts w:ascii="Bookman Old Style" w:hAnsi="Bookman Old Style"/>
          <w:b w:val="0"/>
        </w:rPr>
        <w:lastRenderedPageBreak/>
        <w:t>comunicaciones relacionadas con Porce IV (</w:t>
      </w:r>
      <w:r w:rsidRPr="006D1B2E">
        <w:rPr>
          <w:rFonts w:ascii="Bookman Old Style" w:hAnsi="Bookman Old Style"/>
          <w:b w:val="0"/>
          <w:i/>
          <w:sz w:val="22"/>
          <w:szCs w:val="22"/>
        </w:rPr>
        <w:t>radicados CREG E-2010-012362, E-2011-000206 y E-2011-001370</w:t>
      </w:r>
      <w:r>
        <w:rPr>
          <w:rFonts w:ascii="Bookman Old Style" w:hAnsi="Bookman Old Style"/>
          <w:b w:val="0"/>
        </w:rPr>
        <w:t>) fueran o no consideradas en la actuación administrativa 2011-0049.</w:t>
      </w:r>
    </w:p>
    <w:p w:rsidR="00A53385" w:rsidRDefault="00A53385" w:rsidP="00A836E2">
      <w:pPr>
        <w:pStyle w:val="Textoindependiente"/>
        <w:ind w:left="0"/>
        <w:jc w:val="both"/>
        <w:rPr>
          <w:rFonts w:ascii="Bookman Old Style" w:hAnsi="Bookman Old Style"/>
          <w:b w:val="0"/>
        </w:rPr>
      </w:pPr>
    </w:p>
    <w:p w:rsidR="00AD75AA" w:rsidRDefault="00FD0744" w:rsidP="00A836E2">
      <w:pPr>
        <w:pStyle w:val="Textoindependiente"/>
        <w:ind w:left="0"/>
        <w:jc w:val="both"/>
        <w:rPr>
          <w:rFonts w:ascii="Bookman Old Style" w:hAnsi="Bookman Old Style"/>
          <w:b w:val="0"/>
        </w:rPr>
      </w:pPr>
      <w:r>
        <w:rPr>
          <w:rFonts w:ascii="Bookman Old Style" w:hAnsi="Bookman Old Style"/>
          <w:b w:val="0"/>
        </w:rPr>
        <w:t>Aplicando el</w:t>
      </w:r>
      <w:r w:rsidR="00E219B1">
        <w:rPr>
          <w:rFonts w:ascii="Bookman Old Style" w:hAnsi="Bookman Old Style"/>
          <w:b w:val="0"/>
        </w:rPr>
        <w:t xml:space="preserve"> </w:t>
      </w:r>
      <w:r w:rsidR="00A53385">
        <w:rPr>
          <w:rFonts w:ascii="Bookman Old Style" w:hAnsi="Bookman Old Style"/>
          <w:b w:val="0"/>
        </w:rPr>
        <w:t>A</w:t>
      </w:r>
      <w:r w:rsidR="00E219B1">
        <w:rPr>
          <w:rFonts w:ascii="Bookman Old Style" w:hAnsi="Bookman Old Style"/>
          <w:b w:val="0"/>
        </w:rPr>
        <w:t>rtículo 35</w:t>
      </w:r>
      <w:r w:rsidR="00A53385">
        <w:rPr>
          <w:rFonts w:ascii="Bookman Old Style" w:hAnsi="Bookman Old Style"/>
          <w:b w:val="0"/>
        </w:rPr>
        <w:t xml:space="preserve"> del </w:t>
      </w:r>
      <w:r w:rsidR="00AD75AA">
        <w:rPr>
          <w:rFonts w:ascii="Bookman Old Style" w:hAnsi="Bookman Old Style"/>
          <w:b w:val="0"/>
        </w:rPr>
        <w:t>C</w:t>
      </w:r>
      <w:r>
        <w:rPr>
          <w:rFonts w:ascii="Bookman Old Style" w:hAnsi="Bookman Old Style"/>
          <w:b w:val="0"/>
        </w:rPr>
        <w:t>ódigo Contencioso Administrativo</w:t>
      </w:r>
      <w:r w:rsidR="00A53385">
        <w:rPr>
          <w:rFonts w:ascii="Bookman Old Style" w:hAnsi="Bookman Old Style"/>
          <w:b w:val="0"/>
        </w:rPr>
        <w:t>,</w:t>
      </w:r>
      <w:r w:rsidR="00E219B1">
        <w:rPr>
          <w:rFonts w:ascii="Bookman Old Style" w:hAnsi="Bookman Old Style"/>
          <w:b w:val="0"/>
        </w:rPr>
        <w:t xml:space="preserve"> </w:t>
      </w:r>
      <w:r>
        <w:rPr>
          <w:rFonts w:ascii="Bookman Old Style" w:hAnsi="Bookman Old Style"/>
          <w:b w:val="0"/>
        </w:rPr>
        <w:t>en el cual se establece que</w:t>
      </w:r>
      <w:r w:rsidR="00A53385">
        <w:rPr>
          <w:rFonts w:ascii="Bookman Old Style" w:hAnsi="Bookman Old Style"/>
          <w:b w:val="0"/>
        </w:rPr>
        <w:t xml:space="preserve"> </w:t>
      </w:r>
      <w:r w:rsidR="00E219B1">
        <w:rPr>
          <w:rFonts w:ascii="Bookman Old Style" w:hAnsi="Bookman Old Style"/>
          <w:b w:val="0"/>
        </w:rPr>
        <w:t>habiéndosele dado oportunidad a</w:t>
      </w:r>
      <w:r w:rsidR="00AD75AA">
        <w:rPr>
          <w:rFonts w:ascii="Bookman Old Style" w:hAnsi="Bookman Old Style"/>
          <w:b w:val="0"/>
        </w:rPr>
        <w:t>l</w:t>
      </w:r>
      <w:r w:rsidR="00A53385">
        <w:rPr>
          <w:rFonts w:ascii="Bookman Old Style" w:hAnsi="Bookman Old Style"/>
          <w:b w:val="0"/>
        </w:rPr>
        <w:t xml:space="preserve"> interesado</w:t>
      </w:r>
      <w:r w:rsidR="00E219B1">
        <w:rPr>
          <w:rFonts w:ascii="Bookman Old Style" w:hAnsi="Bookman Old Style"/>
          <w:b w:val="0"/>
        </w:rPr>
        <w:t xml:space="preserve"> para expresas sus opiniones</w:t>
      </w:r>
      <w:r w:rsidR="00A53385">
        <w:rPr>
          <w:rFonts w:ascii="Bookman Old Style" w:hAnsi="Bookman Old Style"/>
          <w:b w:val="0"/>
        </w:rPr>
        <w:t xml:space="preserve"> y solicitar pruebas,</w:t>
      </w:r>
      <w:r w:rsidR="00AD75AA">
        <w:rPr>
          <w:rFonts w:ascii="Bookman Old Style" w:hAnsi="Bookman Old Style"/>
          <w:b w:val="0"/>
        </w:rPr>
        <w:t xml:space="preserve"> y con base en la</w:t>
      </w:r>
      <w:r>
        <w:rPr>
          <w:rFonts w:ascii="Bookman Old Style" w:hAnsi="Bookman Old Style"/>
          <w:b w:val="0"/>
        </w:rPr>
        <w:t>s</w:t>
      </w:r>
      <w:r w:rsidR="00AD75AA">
        <w:rPr>
          <w:rFonts w:ascii="Bookman Old Style" w:hAnsi="Bookman Old Style"/>
          <w:b w:val="0"/>
        </w:rPr>
        <w:t xml:space="preserve"> pruebas obrantes dentro de la actuación la administración </w:t>
      </w:r>
      <w:r>
        <w:rPr>
          <w:rFonts w:ascii="Bookman Old Style" w:hAnsi="Bookman Old Style"/>
          <w:b w:val="0"/>
        </w:rPr>
        <w:t xml:space="preserve">debe </w:t>
      </w:r>
      <w:r w:rsidR="00AD75AA">
        <w:rPr>
          <w:rFonts w:ascii="Bookman Old Style" w:hAnsi="Bookman Old Style"/>
          <w:b w:val="0"/>
        </w:rPr>
        <w:t>tomar una decisión.</w:t>
      </w:r>
      <w:r>
        <w:rPr>
          <w:rFonts w:ascii="Bookman Old Style" w:hAnsi="Bookman Old Style"/>
          <w:b w:val="0"/>
        </w:rPr>
        <w:t xml:space="preserve"> Notamos que en el presente caso, la administración dio un espacio para manifestar sus opiniones, solicitar pru</w:t>
      </w:r>
      <w:r w:rsidR="00E20727">
        <w:rPr>
          <w:rFonts w:ascii="Bookman Old Style" w:hAnsi="Bookman Old Style"/>
          <w:b w:val="0"/>
        </w:rPr>
        <w:t>ebas e inclusive controvertirlas, por lo tanto,</w:t>
      </w:r>
      <w:r>
        <w:rPr>
          <w:rFonts w:ascii="Bookman Old Style" w:hAnsi="Bookman Old Style"/>
          <w:b w:val="0"/>
        </w:rPr>
        <w:t xml:space="preserve"> tenía la CREG el deber de </w:t>
      </w:r>
      <w:r w:rsidR="005F7CB6">
        <w:rPr>
          <w:rFonts w:ascii="Bookman Old Style" w:hAnsi="Bookman Old Style"/>
          <w:b w:val="0"/>
        </w:rPr>
        <w:t>decidir</w:t>
      </w:r>
      <w:r>
        <w:rPr>
          <w:rFonts w:ascii="Bookman Old Style" w:hAnsi="Bookman Old Style"/>
          <w:b w:val="0"/>
        </w:rPr>
        <w:t xml:space="preserve"> con las pruebas obrantes dentro de la actuación administrativa 2011-0049, tal y como lo hizo con la Resolución CREG 104 de 2011. </w:t>
      </w:r>
      <w:r w:rsidR="00AD75AA">
        <w:rPr>
          <w:rFonts w:ascii="Bookman Old Style" w:hAnsi="Bookman Old Style"/>
          <w:b w:val="0"/>
        </w:rPr>
        <w:t xml:space="preserve"> </w:t>
      </w:r>
    </w:p>
    <w:p w:rsidR="00AD75AA" w:rsidRDefault="00AD75AA" w:rsidP="00A836E2">
      <w:pPr>
        <w:pStyle w:val="Textoindependiente"/>
        <w:ind w:left="0"/>
        <w:jc w:val="both"/>
        <w:rPr>
          <w:rFonts w:ascii="Bookman Old Style" w:hAnsi="Bookman Old Style"/>
          <w:b w:val="0"/>
        </w:rPr>
      </w:pPr>
    </w:p>
    <w:p w:rsidR="00AD75AA" w:rsidRDefault="00FD0744" w:rsidP="00A836E2">
      <w:pPr>
        <w:pStyle w:val="Textoindependiente"/>
        <w:ind w:left="0"/>
        <w:jc w:val="both"/>
        <w:rPr>
          <w:rFonts w:ascii="Bookman Old Style" w:hAnsi="Bookman Old Style"/>
          <w:b w:val="0"/>
        </w:rPr>
      </w:pPr>
      <w:r>
        <w:rPr>
          <w:rFonts w:ascii="Bookman Old Style" w:hAnsi="Bookman Old Style"/>
          <w:b w:val="0"/>
        </w:rPr>
        <w:t>S</w:t>
      </w:r>
      <w:r w:rsidR="00AD75AA">
        <w:rPr>
          <w:rFonts w:ascii="Bookman Old Style" w:hAnsi="Bookman Old Style"/>
          <w:b w:val="0"/>
        </w:rPr>
        <w:t xml:space="preserve">e </w:t>
      </w:r>
      <w:r>
        <w:rPr>
          <w:rFonts w:ascii="Bookman Old Style" w:hAnsi="Bookman Old Style"/>
          <w:b w:val="0"/>
        </w:rPr>
        <w:t>trasladó</w:t>
      </w:r>
      <w:r w:rsidR="00AD75AA">
        <w:rPr>
          <w:rFonts w:ascii="Bookman Old Style" w:hAnsi="Bookman Old Style"/>
          <w:b w:val="0"/>
        </w:rPr>
        <w:t xml:space="preserve"> el informe del auditor a EPM</w:t>
      </w:r>
      <w:r>
        <w:rPr>
          <w:rFonts w:ascii="Bookman Old Style" w:hAnsi="Bookman Old Style"/>
          <w:b w:val="0"/>
        </w:rPr>
        <w:t>,</w:t>
      </w:r>
      <w:r w:rsidR="00AD75AA">
        <w:rPr>
          <w:rFonts w:ascii="Bookman Old Style" w:hAnsi="Bookman Old Style"/>
          <w:b w:val="0"/>
        </w:rPr>
        <w:t xml:space="preserve"> acepta</w:t>
      </w:r>
      <w:r>
        <w:rPr>
          <w:rFonts w:ascii="Bookman Old Style" w:hAnsi="Bookman Old Style"/>
          <w:b w:val="0"/>
        </w:rPr>
        <w:t xml:space="preserve">ndo las </w:t>
      </w:r>
      <w:r w:rsidR="00AD75AA">
        <w:rPr>
          <w:rFonts w:ascii="Bookman Old Style" w:hAnsi="Bookman Old Style"/>
          <w:b w:val="0"/>
        </w:rPr>
        <w:t xml:space="preserve">conclusiones </w:t>
      </w:r>
      <w:r>
        <w:rPr>
          <w:rFonts w:ascii="Bookman Old Style" w:hAnsi="Bookman Old Style"/>
          <w:b w:val="0"/>
        </w:rPr>
        <w:t>del mismo</w:t>
      </w:r>
      <w:r w:rsidR="00EA4675">
        <w:rPr>
          <w:rFonts w:ascii="Bookman Old Style" w:hAnsi="Bookman Old Style"/>
          <w:b w:val="0"/>
        </w:rPr>
        <w:t xml:space="preserve"> y</w:t>
      </w:r>
      <w:r w:rsidR="00AD75AA">
        <w:rPr>
          <w:rFonts w:ascii="Bookman Old Style" w:hAnsi="Bookman Old Style"/>
          <w:b w:val="0"/>
        </w:rPr>
        <w:t xml:space="preserve"> </w:t>
      </w:r>
      <w:r w:rsidR="00EA4675">
        <w:rPr>
          <w:rFonts w:ascii="Bookman Old Style" w:hAnsi="Bookman Old Style"/>
          <w:b w:val="0"/>
        </w:rPr>
        <w:t>s</w:t>
      </w:r>
      <w:r w:rsidR="00AD75AA">
        <w:rPr>
          <w:rFonts w:ascii="Bookman Old Style" w:hAnsi="Bookman Old Style"/>
          <w:b w:val="0"/>
        </w:rPr>
        <w:t xml:space="preserve">e </w:t>
      </w:r>
      <w:r>
        <w:rPr>
          <w:rFonts w:ascii="Bookman Old Style" w:hAnsi="Bookman Old Style"/>
          <w:b w:val="0"/>
        </w:rPr>
        <w:t>solicitó</w:t>
      </w:r>
      <w:r w:rsidR="00AD75AA">
        <w:rPr>
          <w:rFonts w:ascii="Bookman Old Style" w:hAnsi="Bookman Old Style"/>
          <w:b w:val="0"/>
        </w:rPr>
        <w:t xml:space="preserve"> a EPM si quería que las comunicaciones </w:t>
      </w:r>
      <w:r w:rsidR="00AD75AA" w:rsidRPr="00FE3D6E">
        <w:rPr>
          <w:rFonts w:ascii="Bookman Old Style" w:hAnsi="Bookman Old Style" w:cs="Times New Roman"/>
          <w:b w:val="0"/>
        </w:rPr>
        <w:t xml:space="preserve">E-2010-012362, E-2011-000206 y E-2011-001370, fueran consideradas en la decisión </w:t>
      </w:r>
      <w:r w:rsidR="00FE3D6E">
        <w:rPr>
          <w:rFonts w:ascii="Bookman Old Style" w:hAnsi="Bookman Old Style" w:cs="Times New Roman"/>
          <w:b w:val="0"/>
        </w:rPr>
        <w:t xml:space="preserve">y esta guarda silencio, </w:t>
      </w:r>
      <w:r w:rsidR="00AD75AA" w:rsidRPr="00FE3D6E">
        <w:rPr>
          <w:rFonts w:ascii="Bookman Old Style" w:hAnsi="Bookman Old Style" w:cs="Times New Roman"/>
          <w:b w:val="0"/>
        </w:rPr>
        <w:t>l</w:t>
      </w:r>
      <w:r w:rsidR="00FE3D6E">
        <w:rPr>
          <w:rFonts w:ascii="Bookman Old Style" w:hAnsi="Bookman Old Style" w:cs="Times New Roman"/>
          <w:b w:val="0"/>
        </w:rPr>
        <w:t xml:space="preserve">a Resolución CREG </w:t>
      </w:r>
      <w:r>
        <w:rPr>
          <w:rFonts w:ascii="Bookman Old Style" w:hAnsi="Bookman Old Style" w:cs="Times New Roman"/>
          <w:b w:val="0"/>
        </w:rPr>
        <w:t>1</w:t>
      </w:r>
      <w:r w:rsidR="00FE3D6E">
        <w:rPr>
          <w:rFonts w:ascii="Bookman Old Style" w:hAnsi="Bookman Old Style" w:cs="Times New Roman"/>
          <w:b w:val="0"/>
        </w:rPr>
        <w:t xml:space="preserve">04 de 2011 </w:t>
      </w:r>
      <w:r w:rsidR="00AD75AA" w:rsidRPr="00FE3D6E">
        <w:rPr>
          <w:rFonts w:ascii="Bookman Old Style" w:hAnsi="Bookman Old Style" w:cs="Times New Roman"/>
          <w:b w:val="0"/>
        </w:rPr>
        <w:t xml:space="preserve">no puede ser ahora considera </w:t>
      </w:r>
      <w:r w:rsidR="00FE3D6E">
        <w:rPr>
          <w:rFonts w:ascii="Bookman Old Style" w:hAnsi="Bookman Old Style" w:cs="Times New Roman"/>
          <w:b w:val="0"/>
        </w:rPr>
        <w:t xml:space="preserve">como </w:t>
      </w:r>
      <w:r w:rsidR="00EA4675">
        <w:rPr>
          <w:rFonts w:ascii="Bookman Old Style" w:hAnsi="Bookman Old Style" w:cs="Times New Roman"/>
          <w:b w:val="0"/>
        </w:rPr>
        <w:t xml:space="preserve">una vulneración </w:t>
      </w:r>
      <w:r w:rsidR="00AD75AA" w:rsidRPr="00FE3D6E">
        <w:rPr>
          <w:rFonts w:ascii="Bookman Old Style" w:hAnsi="Bookman Old Style" w:cs="Times New Roman"/>
          <w:b w:val="0"/>
        </w:rPr>
        <w:t>del</w:t>
      </w:r>
      <w:r w:rsidR="00FE3D6E">
        <w:rPr>
          <w:rFonts w:ascii="Bookman Old Style" w:hAnsi="Bookman Old Style" w:cs="Times New Roman"/>
          <w:b w:val="0"/>
        </w:rPr>
        <w:t xml:space="preserve"> debido proceso o del</w:t>
      </w:r>
      <w:r w:rsidR="00AD75AA" w:rsidRPr="00FE3D6E">
        <w:rPr>
          <w:rFonts w:ascii="Bookman Old Style" w:hAnsi="Bookman Old Style" w:cs="Times New Roman"/>
          <w:b w:val="0"/>
        </w:rPr>
        <w:t xml:space="preserve"> derecho de defensa,</w:t>
      </w:r>
      <w:r w:rsidR="00FE3D6E">
        <w:rPr>
          <w:rFonts w:ascii="Bookman Old Style" w:hAnsi="Bookman Old Style" w:cs="Times New Roman"/>
          <w:b w:val="0"/>
        </w:rPr>
        <w:t xml:space="preserve"> por la no consideración de estos argumentos, cuando se </w:t>
      </w:r>
      <w:r w:rsidR="00EA4675">
        <w:rPr>
          <w:rFonts w:ascii="Bookman Old Style" w:hAnsi="Bookman Old Style" w:cs="Times New Roman"/>
          <w:b w:val="0"/>
        </w:rPr>
        <w:t>preguntó</w:t>
      </w:r>
      <w:r w:rsidR="00FE3D6E">
        <w:rPr>
          <w:rFonts w:ascii="Bookman Old Style" w:hAnsi="Bookman Old Style" w:cs="Times New Roman"/>
          <w:b w:val="0"/>
        </w:rPr>
        <w:t xml:space="preserve"> a EPM si los mismo debían ser considerados.</w:t>
      </w:r>
    </w:p>
    <w:p w:rsidR="00AD75AA" w:rsidRDefault="00AD75AA" w:rsidP="00A836E2">
      <w:pPr>
        <w:pStyle w:val="Textoindependiente"/>
        <w:ind w:left="0"/>
        <w:jc w:val="both"/>
        <w:rPr>
          <w:rFonts w:ascii="Bookman Old Style" w:hAnsi="Bookman Old Style"/>
          <w:b w:val="0"/>
        </w:rPr>
      </w:pPr>
    </w:p>
    <w:p w:rsidR="00A53385" w:rsidRPr="00FE3D6E" w:rsidRDefault="00A53385" w:rsidP="00A836E2">
      <w:pPr>
        <w:pStyle w:val="Textoindependiente"/>
        <w:ind w:left="0"/>
        <w:jc w:val="both"/>
        <w:rPr>
          <w:rFonts w:ascii="Bookman Old Style" w:hAnsi="Bookman Old Style" w:cs="Times New Roman"/>
        </w:rPr>
      </w:pPr>
      <w:r w:rsidRPr="00FE3D6E">
        <w:rPr>
          <w:rFonts w:ascii="Bookman Old Style" w:hAnsi="Bookman Old Style" w:cs="Times New Roman"/>
        </w:rPr>
        <w:t xml:space="preserve">De lo anterior vemos que </w:t>
      </w:r>
      <w:r w:rsidR="00E219B1" w:rsidRPr="00FE3D6E">
        <w:rPr>
          <w:rFonts w:ascii="Bookman Old Style" w:hAnsi="Bookman Old Style" w:cs="Times New Roman"/>
        </w:rPr>
        <w:t xml:space="preserve">la CREG podía proceder a decidir la </w:t>
      </w:r>
      <w:r w:rsidR="00FE3D6E" w:rsidRPr="00FE3D6E">
        <w:rPr>
          <w:rFonts w:ascii="Bookman Old Style" w:hAnsi="Bookman Old Style" w:cs="Times New Roman"/>
        </w:rPr>
        <w:t>actuación</w:t>
      </w:r>
      <w:r w:rsidR="00FE3D6E">
        <w:rPr>
          <w:rFonts w:ascii="Bookman Old Style" w:hAnsi="Bookman Old Style" w:cs="Times New Roman"/>
        </w:rPr>
        <w:t xml:space="preserve"> administrativa 2011-0049</w:t>
      </w:r>
      <w:r w:rsidR="00E219B1" w:rsidRPr="00FE3D6E">
        <w:rPr>
          <w:rFonts w:ascii="Bookman Old Style" w:hAnsi="Bookman Old Style" w:cs="Times New Roman"/>
        </w:rPr>
        <w:t>, tal y como lo hizo</w:t>
      </w:r>
      <w:r w:rsidRPr="00FE3D6E">
        <w:rPr>
          <w:rFonts w:ascii="Bookman Old Style" w:hAnsi="Bookman Old Style" w:cs="Times New Roman"/>
        </w:rPr>
        <w:t xml:space="preserve">, ya que no se trata que la </w:t>
      </w:r>
      <w:r w:rsidR="00FE3D6E" w:rsidRPr="00FE3D6E">
        <w:rPr>
          <w:rFonts w:ascii="Bookman Old Style" w:hAnsi="Bookman Old Style" w:cs="Times New Roman"/>
        </w:rPr>
        <w:t>Comisión</w:t>
      </w:r>
      <w:r w:rsidRPr="00FE3D6E">
        <w:rPr>
          <w:rFonts w:ascii="Bookman Old Style" w:hAnsi="Bookman Old Style" w:cs="Times New Roman"/>
        </w:rPr>
        <w:t xml:space="preserve"> dejo de considerar las comunicaciones hoy alegadas, se trata que EMP nunca </w:t>
      </w:r>
      <w:r w:rsidR="00FE3D6E" w:rsidRPr="00FE3D6E">
        <w:rPr>
          <w:rFonts w:ascii="Bookman Old Style" w:hAnsi="Bookman Old Style" w:cs="Times New Roman"/>
        </w:rPr>
        <w:t>respondió</w:t>
      </w:r>
      <w:r w:rsidRPr="00FE3D6E">
        <w:rPr>
          <w:rFonts w:ascii="Bookman Old Style" w:hAnsi="Bookman Old Style" w:cs="Times New Roman"/>
        </w:rPr>
        <w:t xml:space="preserve"> la solicitud</w:t>
      </w:r>
      <w:r w:rsidR="00FE3D6E">
        <w:rPr>
          <w:rFonts w:ascii="Bookman Old Style" w:hAnsi="Bookman Old Style" w:cs="Times New Roman"/>
        </w:rPr>
        <w:t xml:space="preserve"> para</w:t>
      </w:r>
      <w:r w:rsidRPr="00FE3D6E">
        <w:rPr>
          <w:rFonts w:ascii="Bookman Old Style" w:hAnsi="Bookman Old Style" w:cs="Times New Roman"/>
        </w:rPr>
        <w:t xml:space="preserve"> que dichas comunicaciones fueran consideradas.</w:t>
      </w:r>
    </w:p>
    <w:p w:rsidR="00E219B1" w:rsidRDefault="00A53385" w:rsidP="00A836E2">
      <w:pPr>
        <w:pStyle w:val="Textoindependiente"/>
        <w:ind w:left="0"/>
        <w:jc w:val="both"/>
        <w:rPr>
          <w:rFonts w:ascii="Bookman Old Style" w:hAnsi="Bookman Old Style" w:cs="Times New Roman"/>
          <w:i/>
          <w:sz w:val="22"/>
          <w:szCs w:val="22"/>
        </w:rPr>
      </w:pPr>
      <w:r>
        <w:rPr>
          <w:rFonts w:ascii="Bookman Old Style" w:hAnsi="Bookman Old Style" w:cs="Times New Roman"/>
          <w:i/>
          <w:sz w:val="22"/>
          <w:szCs w:val="22"/>
        </w:rPr>
        <w:t xml:space="preserve"> </w:t>
      </w:r>
    </w:p>
    <w:p w:rsidR="00E219B1" w:rsidRDefault="00E219B1" w:rsidP="00A836E2">
      <w:pPr>
        <w:pStyle w:val="Textoindependiente"/>
        <w:ind w:left="0"/>
        <w:jc w:val="both"/>
        <w:rPr>
          <w:rFonts w:ascii="Bookman Old Style" w:hAnsi="Bookman Old Style" w:cs="Times New Roman"/>
          <w:b w:val="0"/>
          <w:szCs w:val="22"/>
        </w:rPr>
      </w:pPr>
      <w:r w:rsidRPr="00FE3D6E">
        <w:rPr>
          <w:rFonts w:ascii="Bookman Old Style" w:hAnsi="Bookman Old Style" w:cs="Times New Roman"/>
          <w:b w:val="0"/>
          <w:szCs w:val="22"/>
        </w:rPr>
        <w:t>Si dado el especio procesal para la defensa de sus intereses y este no ejercido, es claro que el</w:t>
      </w:r>
      <w:r w:rsidR="00FE3D6E">
        <w:rPr>
          <w:rFonts w:ascii="Bookman Old Style" w:hAnsi="Bookman Old Style" w:cs="Times New Roman"/>
          <w:b w:val="0"/>
          <w:szCs w:val="22"/>
        </w:rPr>
        <w:t xml:space="preserve"> A</w:t>
      </w:r>
      <w:r w:rsidR="00FE3D6E" w:rsidRPr="00FE3D6E">
        <w:rPr>
          <w:rFonts w:ascii="Bookman Old Style" w:hAnsi="Bookman Old Style" w:cs="Times New Roman"/>
          <w:b w:val="0"/>
          <w:szCs w:val="22"/>
        </w:rPr>
        <w:t>rtículo</w:t>
      </w:r>
      <w:r w:rsidRPr="00FE3D6E">
        <w:rPr>
          <w:rFonts w:ascii="Bookman Old Style" w:hAnsi="Bookman Old Style" w:cs="Times New Roman"/>
          <w:b w:val="0"/>
          <w:szCs w:val="22"/>
        </w:rPr>
        <w:t xml:space="preserve"> 35 del CCA, </w:t>
      </w:r>
      <w:r w:rsidR="004C0204" w:rsidRPr="00FE3D6E">
        <w:rPr>
          <w:rFonts w:ascii="Bookman Old Style" w:hAnsi="Bookman Old Style" w:cs="Times New Roman"/>
          <w:b w:val="0"/>
          <w:szCs w:val="22"/>
        </w:rPr>
        <w:t>faculta  a la administración para resolver el asunto.</w:t>
      </w:r>
    </w:p>
    <w:p w:rsidR="00FE3D6E" w:rsidRDefault="00FE3D6E" w:rsidP="00A836E2">
      <w:pPr>
        <w:pStyle w:val="Textoindependiente"/>
        <w:ind w:left="0"/>
        <w:jc w:val="both"/>
        <w:rPr>
          <w:rFonts w:ascii="Bookman Old Style" w:hAnsi="Bookman Old Style" w:cs="Times New Roman"/>
          <w:b w:val="0"/>
          <w:szCs w:val="22"/>
        </w:rPr>
      </w:pPr>
    </w:p>
    <w:p w:rsidR="006D430F" w:rsidRDefault="00FE3D6E" w:rsidP="006D430F">
      <w:pPr>
        <w:pStyle w:val="Textoindependiente"/>
        <w:ind w:left="0"/>
        <w:jc w:val="both"/>
        <w:rPr>
          <w:rFonts w:ascii="Bookman Old Style" w:hAnsi="Bookman Old Style"/>
          <w:b w:val="0"/>
        </w:rPr>
      </w:pPr>
      <w:r>
        <w:rPr>
          <w:rFonts w:ascii="Bookman Old Style" w:hAnsi="Bookman Old Style"/>
          <w:b w:val="0"/>
        </w:rPr>
        <w:t>El segundo (2) sub-cargo planteado por EPM, consiste en la indebida notificación del auto del 30 de Mayo de 2011, por el cual se dio inicio de la actuación administrativa 2011-0049; “</w:t>
      </w:r>
      <w:r w:rsidRPr="0035206F">
        <w:rPr>
          <w:rFonts w:ascii="Bookman Old Style" w:hAnsi="Bookman Old Style"/>
          <w:b w:val="0"/>
          <w:i/>
          <w:spacing w:val="-5"/>
        </w:rPr>
        <w:t>iniciada con fundamento en el informe adicional de verificación de la curva S y del cronograma del proyecto y puesta en operación de la planta hidroeléctrica Porce IV</w:t>
      </w:r>
      <w:r>
        <w:rPr>
          <w:rFonts w:ascii="Bookman Old Style" w:hAnsi="Bookman Old Style"/>
          <w:b w:val="0"/>
        </w:rPr>
        <w:t xml:space="preserve">”, la cual culmino con la expedición de la Resolución CREG 104 de 2011, notificación </w:t>
      </w:r>
      <w:r w:rsidR="00EA4675">
        <w:rPr>
          <w:rFonts w:ascii="Bookman Old Style" w:hAnsi="Bookman Old Style"/>
          <w:b w:val="0"/>
        </w:rPr>
        <w:t xml:space="preserve">supuestamente </w:t>
      </w:r>
      <w:r>
        <w:rPr>
          <w:rFonts w:ascii="Bookman Old Style" w:hAnsi="Bookman Old Style"/>
          <w:b w:val="0"/>
        </w:rPr>
        <w:t>errada que generó confusión en EPM, impidiéndole ejercer debidamente su derecho de defensa durante la actuación.</w:t>
      </w:r>
    </w:p>
    <w:p w:rsidR="006D430F" w:rsidRDefault="006D430F" w:rsidP="006D430F">
      <w:pPr>
        <w:pStyle w:val="Textoindependiente"/>
        <w:ind w:left="0"/>
        <w:jc w:val="both"/>
        <w:rPr>
          <w:rFonts w:ascii="Bookman Old Style" w:hAnsi="Bookman Old Style"/>
          <w:b w:val="0"/>
        </w:rPr>
      </w:pPr>
    </w:p>
    <w:p w:rsidR="00D95151" w:rsidRDefault="00D95151" w:rsidP="006D430F">
      <w:pPr>
        <w:pStyle w:val="Textoindependiente"/>
        <w:ind w:left="0"/>
        <w:jc w:val="both"/>
        <w:rPr>
          <w:rFonts w:ascii="Bookman Old Style" w:hAnsi="Bookman Old Style"/>
          <w:b w:val="0"/>
        </w:rPr>
      </w:pPr>
    </w:p>
    <w:p w:rsidR="006D430F" w:rsidRDefault="006D430F" w:rsidP="006D430F">
      <w:pPr>
        <w:pStyle w:val="Textoindependiente"/>
        <w:ind w:left="0"/>
        <w:jc w:val="both"/>
        <w:rPr>
          <w:rFonts w:ascii="Bookman Old Style" w:hAnsi="Bookman Old Style"/>
          <w:b w:val="0"/>
        </w:rPr>
      </w:pPr>
      <w:r w:rsidRPr="006D430F">
        <w:rPr>
          <w:rFonts w:ascii="Bookman Old Style" w:hAnsi="Bookman Old Style"/>
          <w:b w:val="0"/>
        </w:rPr>
        <w:t>Frente a la</w:t>
      </w:r>
      <w:r>
        <w:rPr>
          <w:rFonts w:ascii="Bookman Old Style" w:hAnsi="Bookman Old Style"/>
          <w:b w:val="0"/>
        </w:rPr>
        <w:t xml:space="preserve"> supuesta</w:t>
      </w:r>
      <w:r w:rsidRPr="006D430F">
        <w:rPr>
          <w:rFonts w:ascii="Bookman Old Style" w:hAnsi="Bookman Old Style"/>
          <w:b w:val="0"/>
        </w:rPr>
        <w:t xml:space="preserve"> indebida notificación del auto del 30 de mayo de 2011, con el cual se </w:t>
      </w:r>
      <w:r>
        <w:rPr>
          <w:rFonts w:ascii="Bookman Old Style" w:hAnsi="Bookman Old Style"/>
          <w:b w:val="0"/>
        </w:rPr>
        <w:t xml:space="preserve">dio </w:t>
      </w:r>
      <w:r w:rsidRPr="006D430F">
        <w:rPr>
          <w:rFonts w:ascii="Bookman Old Style" w:hAnsi="Bookman Old Style"/>
          <w:b w:val="0"/>
        </w:rPr>
        <w:t>inici</w:t>
      </w:r>
      <w:r>
        <w:rPr>
          <w:rFonts w:ascii="Bookman Old Style" w:hAnsi="Bookman Old Style"/>
          <w:b w:val="0"/>
        </w:rPr>
        <w:t xml:space="preserve">o </w:t>
      </w:r>
      <w:r w:rsidRPr="006D430F">
        <w:rPr>
          <w:rFonts w:ascii="Bookman Old Style" w:hAnsi="Bookman Old Style"/>
          <w:b w:val="0"/>
        </w:rPr>
        <w:t xml:space="preserve">a la actuación administrativa 2011-0049, </w:t>
      </w:r>
      <w:r>
        <w:rPr>
          <w:rFonts w:ascii="Bookman Old Style" w:hAnsi="Bookman Old Style"/>
          <w:b w:val="0"/>
        </w:rPr>
        <w:t xml:space="preserve">por </w:t>
      </w:r>
      <w:r w:rsidRPr="006D430F">
        <w:rPr>
          <w:rFonts w:ascii="Bookman Old Style" w:hAnsi="Bookman Old Style"/>
          <w:b w:val="0"/>
        </w:rPr>
        <w:t>l</w:t>
      </w:r>
      <w:r>
        <w:rPr>
          <w:rFonts w:ascii="Bookman Old Style" w:hAnsi="Bookman Old Style"/>
          <w:b w:val="0"/>
        </w:rPr>
        <w:t>a</w:t>
      </w:r>
      <w:r w:rsidRPr="006D430F">
        <w:rPr>
          <w:rFonts w:ascii="Bookman Old Style" w:hAnsi="Bookman Old Style"/>
          <w:b w:val="0"/>
        </w:rPr>
        <w:t xml:space="preserve"> no </w:t>
      </w:r>
      <w:r>
        <w:rPr>
          <w:rFonts w:ascii="Bookman Old Style" w:hAnsi="Bookman Old Style"/>
          <w:b w:val="0"/>
        </w:rPr>
        <w:t>aplicación de</w:t>
      </w:r>
      <w:r w:rsidRPr="006D430F">
        <w:rPr>
          <w:rFonts w:ascii="Bookman Old Style" w:hAnsi="Bookman Old Style"/>
          <w:b w:val="0"/>
        </w:rPr>
        <w:t xml:space="preserve"> lo previsto en el artículo 106</w:t>
      </w:r>
      <w:r w:rsidR="00EA4675">
        <w:rPr>
          <w:rFonts w:ascii="Bookman Old Style" w:hAnsi="Bookman Old Style"/>
          <w:b w:val="0"/>
        </w:rPr>
        <w:t xml:space="preserve"> y </w:t>
      </w:r>
      <w:proofErr w:type="spellStart"/>
      <w:r w:rsidR="00EA4675">
        <w:rPr>
          <w:rFonts w:ascii="Bookman Old Style" w:hAnsi="Bookman Old Style"/>
          <w:b w:val="0"/>
        </w:rPr>
        <w:t>ss</w:t>
      </w:r>
      <w:proofErr w:type="spellEnd"/>
      <w:r w:rsidRPr="006D430F">
        <w:rPr>
          <w:rFonts w:ascii="Bookman Old Style" w:hAnsi="Bookman Old Style"/>
          <w:b w:val="0"/>
        </w:rPr>
        <w:t xml:space="preserve"> de la Ley 142 de 1994.</w:t>
      </w:r>
      <w:r>
        <w:rPr>
          <w:rFonts w:ascii="Bookman Old Style" w:hAnsi="Bookman Old Style"/>
          <w:b w:val="0"/>
        </w:rPr>
        <w:t xml:space="preserve"> </w:t>
      </w:r>
      <w:r w:rsidRPr="006D430F">
        <w:rPr>
          <w:rFonts w:ascii="Bookman Old Style" w:hAnsi="Bookman Old Style"/>
          <w:b w:val="0"/>
        </w:rPr>
        <w:t>Debe decirse que la anterior violación no es cierta, ya que la aplicación del Artículo 106 de la Ley 142 de 1994, no correspondía al auto del 30</w:t>
      </w:r>
      <w:r>
        <w:rPr>
          <w:rFonts w:ascii="Bookman Old Style" w:hAnsi="Bookman Old Style"/>
          <w:b w:val="0"/>
        </w:rPr>
        <w:t xml:space="preserve"> de mayo de 2011, veamos porque:</w:t>
      </w:r>
    </w:p>
    <w:p w:rsidR="006D430F" w:rsidRDefault="006D430F" w:rsidP="006D430F">
      <w:pPr>
        <w:pStyle w:val="Textoindependiente"/>
        <w:ind w:left="0"/>
        <w:jc w:val="both"/>
        <w:rPr>
          <w:rFonts w:ascii="Bookman Old Style" w:hAnsi="Bookman Old Style"/>
          <w:b w:val="0"/>
        </w:rPr>
      </w:pPr>
    </w:p>
    <w:p w:rsidR="006D430F" w:rsidRPr="006D430F" w:rsidRDefault="006D430F" w:rsidP="006D430F">
      <w:pPr>
        <w:pStyle w:val="Textoindependiente"/>
        <w:ind w:left="0"/>
        <w:jc w:val="both"/>
        <w:rPr>
          <w:rFonts w:ascii="Bookman Old Style" w:hAnsi="Bookman Old Style"/>
          <w:b w:val="0"/>
        </w:rPr>
      </w:pPr>
      <w:r w:rsidRPr="006D430F">
        <w:rPr>
          <w:rFonts w:ascii="Bookman Old Style" w:hAnsi="Bookman Old Style"/>
          <w:b w:val="0"/>
        </w:rPr>
        <w:t>E</w:t>
      </w:r>
      <w:r w:rsidR="00EA4675">
        <w:rPr>
          <w:rFonts w:ascii="Bookman Old Style" w:hAnsi="Bookman Old Style"/>
          <w:b w:val="0"/>
        </w:rPr>
        <w:t>l</w:t>
      </w:r>
      <w:r w:rsidRPr="006D430F">
        <w:rPr>
          <w:rFonts w:ascii="Bookman Old Style" w:hAnsi="Bookman Old Style"/>
          <w:b w:val="0"/>
        </w:rPr>
        <w:t xml:space="preserve"> auto del 30 de mayo de 2011 es un acto administrativo de trámite, el cual debe notificarse por estado, debido a la remisión que el Código Contencioso </w:t>
      </w:r>
      <w:r w:rsidRPr="006D430F">
        <w:rPr>
          <w:rFonts w:ascii="Bookman Old Style" w:hAnsi="Bookman Old Style"/>
          <w:b w:val="0"/>
        </w:rPr>
        <w:lastRenderedPageBreak/>
        <w:t xml:space="preserve">Administrativo hace al Código de Procedimiento Civil, por lo que no se debe confundir que la notificación es la prevista </w:t>
      </w:r>
      <w:r w:rsidR="00EA4675">
        <w:rPr>
          <w:rFonts w:ascii="Bookman Old Style" w:hAnsi="Bookman Old Style"/>
          <w:b w:val="0"/>
        </w:rPr>
        <w:t>en el artículo 107</w:t>
      </w:r>
      <w:r w:rsidRPr="006D430F">
        <w:rPr>
          <w:rFonts w:ascii="Bookman Old Style" w:hAnsi="Bookman Old Style"/>
          <w:b w:val="0"/>
        </w:rPr>
        <w:t xml:space="preserve"> de la Ley 142 de 1994, al alegarlo como una norma especial. </w:t>
      </w:r>
    </w:p>
    <w:p w:rsidR="006D430F" w:rsidRPr="006D430F" w:rsidRDefault="006D430F" w:rsidP="006D430F">
      <w:pPr>
        <w:pStyle w:val="Textoindependiente"/>
        <w:ind w:left="0"/>
        <w:jc w:val="both"/>
        <w:rPr>
          <w:rFonts w:ascii="Bookman Old Style" w:hAnsi="Bookman Old Style"/>
          <w:b w:val="0"/>
        </w:rPr>
      </w:pPr>
    </w:p>
    <w:p w:rsidR="006D430F" w:rsidRPr="00BD5E22" w:rsidRDefault="006D430F" w:rsidP="006D430F">
      <w:pPr>
        <w:pStyle w:val="Textoindependiente"/>
        <w:ind w:left="0"/>
        <w:jc w:val="both"/>
        <w:rPr>
          <w:rFonts w:ascii="Ebrima" w:hAnsi="Ebrima"/>
        </w:rPr>
      </w:pPr>
      <w:r w:rsidRPr="006D430F">
        <w:rPr>
          <w:rFonts w:ascii="Bookman Old Style" w:hAnsi="Bookman Old Style"/>
          <w:b w:val="0"/>
        </w:rPr>
        <w:t>Lo anterior se debe a que el auto en mención no es de aquellos que deban ser notificados personalmente, por lo que se ha de aplicar el artículo 321 del Código de Procedimiento Civil el cual expresa lo siguiente</w:t>
      </w:r>
      <w:r w:rsidRPr="00BD5E22">
        <w:rPr>
          <w:rFonts w:ascii="Ebrima" w:hAnsi="Ebrima"/>
        </w:rPr>
        <w:t>:</w:t>
      </w:r>
    </w:p>
    <w:p w:rsidR="006D430F" w:rsidRPr="00BD5E22" w:rsidRDefault="006D430F" w:rsidP="006D430F">
      <w:pPr>
        <w:jc w:val="both"/>
        <w:rPr>
          <w:rFonts w:ascii="Ebrima" w:hAnsi="Ebrima" w:cs="Arial"/>
        </w:rPr>
      </w:pPr>
    </w:p>
    <w:p w:rsidR="006D430F" w:rsidRPr="006D430F" w:rsidRDefault="006D430F" w:rsidP="006D430F">
      <w:pPr>
        <w:ind w:left="872" w:right="826"/>
        <w:jc w:val="both"/>
        <w:rPr>
          <w:rFonts w:ascii="Bookman Old Style" w:hAnsi="Bookman Old Style"/>
          <w:bCs/>
          <w:i/>
          <w:sz w:val="22"/>
          <w:szCs w:val="22"/>
        </w:rPr>
      </w:pPr>
      <w:r w:rsidRPr="006D430F">
        <w:rPr>
          <w:rFonts w:ascii="Bookman Old Style" w:hAnsi="Bookman Old Style"/>
          <w:bCs/>
          <w:i/>
          <w:sz w:val="22"/>
          <w:szCs w:val="22"/>
        </w:rPr>
        <w:t>“</w:t>
      </w:r>
      <w:r>
        <w:rPr>
          <w:rFonts w:ascii="Bookman Old Style" w:hAnsi="Bookman Old Style"/>
          <w:bCs/>
          <w:i/>
          <w:sz w:val="22"/>
          <w:szCs w:val="22"/>
        </w:rPr>
        <w:t xml:space="preserve">(…) </w:t>
      </w:r>
      <w:r w:rsidRPr="006D430F">
        <w:rPr>
          <w:rFonts w:ascii="Bookman Old Style" w:hAnsi="Bookman Old Style"/>
          <w:bCs/>
          <w:i/>
          <w:sz w:val="22"/>
          <w:szCs w:val="22"/>
        </w:rPr>
        <w:t xml:space="preserve">ARTÍCULO 321. NOTIFICACIONES POR ESTADO. La notificación de los autos que no deba hacerse personalmente, se cumplirá por medio de anotación en estados que elaborara el secretario. La inserción en el estado se hará pasado un día de la fecha del auto, y en ella ha de constar: </w:t>
      </w:r>
    </w:p>
    <w:p w:rsidR="006D430F" w:rsidRPr="006D430F" w:rsidRDefault="006D430F" w:rsidP="006D430F">
      <w:pPr>
        <w:ind w:left="872" w:right="826"/>
        <w:jc w:val="both"/>
        <w:rPr>
          <w:rFonts w:ascii="Bookman Old Style" w:hAnsi="Bookman Old Style"/>
          <w:bCs/>
          <w:i/>
          <w:sz w:val="22"/>
          <w:szCs w:val="22"/>
        </w:rPr>
      </w:pPr>
    </w:p>
    <w:p w:rsidR="006D430F" w:rsidRPr="006D430F" w:rsidRDefault="006D430F" w:rsidP="006D430F">
      <w:pPr>
        <w:ind w:left="872" w:right="826"/>
        <w:jc w:val="both"/>
        <w:rPr>
          <w:rFonts w:ascii="Bookman Old Style" w:hAnsi="Bookman Old Style"/>
          <w:bCs/>
          <w:i/>
          <w:sz w:val="22"/>
          <w:szCs w:val="22"/>
        </w:rPr>
      </w:pPr>
      <w:r w:rsidRPr="006D430F">
        <w:rPr>
          <w:rFonts w:ascii="Bookman Old Style" w:hAnsi="Bookman Old Style"/>
          <w:bCs/>
          <w:i/>
          <w:sz w:val="22"/>
          <w:szCs w:val="22"/>
        </w:rPr>
        <w:t xml:space="preserve">1. La determinación de cada proceso por su clase. </w:t>
      </w:r>
    </w:p>
    <w:p w:rsidR="006D430F" w:rsidRPr="006D430F" w:rsidRDefault="006D430F" w:rsidP="006D430F">
      <w:pPr>
        <w:ind w:left="872" w:right="826"/>
        <w:jc w:val="both"/>
        <w:rPr>
          <w:rFonts w:ascii="Bookman Old Style" w:hAnsi="Bookman Old Style"/>
          <w:bCs/>
          <w:i/>
          <w:sz w:val="22"/>
          <w:szCs w:val="22"/>
        </w:rPr>
      </w:pPr>
    </w:p>
    <w:p w:rsidR="006D430F" w:rsidRPr="006D430F" w:rsidRDefault="006D430F" w:rsidP="006D430F">
      <w:pPr>
        <w:ind w:left="872" w:right="826"/>
        <w:jc w:val="both"/>
        <w:rPr>
          <w:rFonts w:ascii="Bookman Old Style" w:hAnsi="Bookman Old Style"/>
          <w:bCs/>
          <w:i/>
          <w:sz w:val="22"/>
          <w:szCs w:val="22"/>
        </w:rPr>
      </w:pPr>
      <w:r w:rsidRPr="006D430F">
        <w:rPr>
          <w:rFonts w:ascii="Bookman Old Style" w:hAnsi="Bookman Old Style"/>
          <w:bCs/>
          <w:i/>
          <w:sz w:val="22"/>
          <w:szCs w:val="22"/>
        </w:rPr>
        <w:t xml:space="preserve">2. La indicación de los nombres del demandante y el demandado, o de las personas interesadas en el proceso o diligencia. Si varias personas integran una parte, bastará la designación de la primera de ellas añadiendo la expresión: y otros. </w:t>
      </w:r>
    </w:p>
    <w:p w:rsidR="006D430F" w:rsidRPr="006D430F" w:rsidRDefault="006D430F" w:rsidP="006D430F">
      <w:pPr>
        <w:ind w:left="872" w:right="826"/>
        <w:jc w:val="both"/>
        <w:rPr>
          <w:rFonts w:ascii="Bookman Old Style" w:hAnsi="Bookman Old Style"/>
          <w:bCs/>
          <w:i/>
          <w:sz w:val="22"/>
          <w:szCs w:val="22"/>
        </w:rPr>
      </w:pPr>
    </w:p>
    <w:p w:rsidR="006D430F" w:rsidRPr="006D430F" w:rsidRDefault="006D430F" w:rsidP="006D430F">
      <w:pPr>
        <w:ind w:left="872" w:right="826"/>
        <w:jc w:val="both"/>
        <w:rPr>
          <w:rFonts w:ascii="Bookman Old Style" w:hAnsi="Bookman Old Style"/>
          <w:bCs/>
          <w:i/>
          <w:sz w:val="22"/>
          <w:szCs w:val="22"/>
        </w:rPr>
      </w:pPr>
      <w:r w:rsidRPr="006D430F">
        <w:rPr>
          <w:rFonts w:ascii="Bookman Old Style" w:hAnsi="Bookman Old Style"/>
          <w:bCs/>
          <w:i/>
          <w:sz w:val="22"/>
          <w:szCs w:val="22"/>
        </w:rPr>
        <w:t xml:space="preserve">3. La fecha del auto y el cuaderno en que se halla. </w:t>
      </w:r>
    </w:p>
    <w:p w:rsidR="006D430F" w:rsidRPr="006D430F" w:rsidRDefault="006D430F" w:rsidP="006D430F">
      <w:pPr>
        <w:ind w:left="872" w:right="826"/>
        <w:jc w:val="both"/>
        <w:rPr>
          <w:rFonts w:ascii="Bookman Old Style" w:hAnsi="Bookman Old Style"/>
          <w:bCs/>
          <w:i/>
          <w:sz w:val="22"/>
          <w:szCs w:val="22"/>
        </w:rPr>
      </w:pPr>
    </w:p>
    <w:p w:rsidR="006D430F" w:rsidRPr="006D430F" w:rsidRDefault="006D430F" w:rsidP="006D430F">
      <w:pPr>
        <w:ind w:left="872" w:right="826"/>
        <w:jc w:val="both"/>
        <w:rPr>
          <w:rFonts w:ascii="Bookman Old Style" w:hAnsi="Bookman Old Style"/>
          <w:bCs/>
          <w:i/>
          <w:sz w:val="22"/>
          <w:szCs w:val="22"/>
        </w:rPr>
      </w:pPr>
      <w:r w:rsidRPr="006D430F">
        <w:rPr>
          <w:rFonts w:ascii="Bookman Old Style" w:hAnsi="Bookman Old Style"/>
          <w:bCs/>
          <w:i/>
          <w:sz w:val="22"/>
          <w:szCs w:val="22"/>
        </w:rPr>
        <w:t xml:space="preserve">4. La fecha del estado y la firma del secretario. </w:t>
      </w:r>
    </w:p>
    <w:p w:rsidR="006D430F" w:rsidRPr="006D430F" w:rsidRDefault="006D430F" w:rsidP="006D430F">
      <w:pPr>
        <w:ind w:left="872" w:right="826"/>
        <w:jc w:val="both"/>
        <w:rPr>
          <w:rFonts w:ascii="Bookman Old Style" w:hAnsi="Bookman Old Style"/>
          <w:bCs/>
          <w:i/>
          <w:sz w:val="22"/>
          <w:szCs w:val="22"/>
        </w:rPr>
      </w:pPr>
    </w:p>
    <w:p w:rsidR="006D430F" w:rsidRPr="006D430F" w:rsidRDefault="006D430F" w:rsidP="006D430F">
      <w:pPr>
        <w:ind w:left="872" w:right="826"/>
        <w:jc w:val="both"/>
        <w:rPr>
          <w:rFonts w:ascii="Bookman Old Style" w:hAnsi="Bookman Old Style"/>
          <w:bCs/>
          <w:i/>
          <w:sz w:val="22"/>
          <w:szCs w:val="22"/>
        </w:rPr>
      </w:pPr>
      <w:r w:rsidRPr="006D430F">
        <w:rPr>
          <w:rFonts w:ascii="Bookman Old Style" w:hAnsi="Bookman Old Style"/>
          <w:bCs/>
          <w:i/>
          <w:sz w:val="22"/>
          <w:szCs w:val="22"/>
        </w:rPr>
        <w:t xml:space="preserve">El estado se fijará en un lugar visible de la secretaría y permanecerá allí durante las horas de trabajo del respectivo día. </w:t>
      </w:r>
    </w:p>
    <w:p w:rsidR="006D430F" w:rsidRDefault="006D430F" w:rsidP="006D430F">
      <w:pPr>
        <w:ind w:left="872" w:right="826"/>
        <w:jc w:val="both"/>
        <w:rPr>
          <w:rFonts w:ascii="Bookman Old Style" w:hAnsi="Bookman Old Style"/>
          <w:bCs/>
          <w:i/>
          <w:sz w:val="22"/>
          <w:szCs w:val="22"/>
        </w:rPr>
      </w:pPr>
    </w:p>
    <w:p w:rsidR="006D430F" w:rsidRDefault="006D430F" w:rsidP="006D430F">
      <w:pPr>
        <w:ind w:left="872" w:right="826"/>
        <w:jc w:val="both"/>
        <w:rPr>
          <w:rFonts w:ascii="Bookman Old Style" w:hAnsi="Bookman Old Style"/>
          <w:bCs/>
          <w:i/>
          <w:sz w:val="22"/>
          <w:szCs w:val="22"/>
        </w:rPr>
      </w:pPr>
      <w:r w:rsidRPr="006D430F">
        <w:rPr>
          <w:rFonts w:ascii="Bookman Old Style" w:hAnsi="Bookman Old Style"/>
          <w:bCs/>
          <w:i/>
          <w:sz w:val="22"/>
          <w:szCs w:val="22"/>
        </w:rPr>
        <w:t xml:space="preserve">De las notificaciones hechas por estado el secretario dejará testimonio con su firma al pie de la providencia notificada. </w:t>
      </w:r>
    </w:p>
    <w:p w:rsidR="006D430F" w:rsidRPr="006D430F" w:rsidRDefault="006D430F" w:rsidP="006D430F">
      <w:pPr>
        <w:ind w:left="872" w:right="826"/>
        <w:jc w:val="both"/>
        <w:rPr>
          <w:rFonts w:ascii="Bookman Old Style" w:hAnsi="Bookman Old Style"/>
          <w:bCs/>
          <w:i/>
          <w:sz w:val="22"/>
          <w:szCs w:val="22"/>
        </w:rPr>
      </w:pPr>
    </w:p>
    <w:p w:rsidR="006D430F" w:rsidRPr="004C1D09" w:rsidRDefault="006D430F" w:rsidP="006D430F">
      <w:pPr>
        <w:ind w:left="872" w:right="826"/>
        <w:jc w:val="both"/>
        <w:rPr>
          <w:rFonts w:ascii="Ebrima" w:hAnsi="Ebrima" w:cs="Arial"/>
          <w:i/>
          <w:iCs/>
          <w:szCs w:val="20"/>
        </w:rPr>
      </w:pPr>
      <w:r w:rsidRPr="006D430F">
        <w:rPr>
          <w:rFonts w:ascii="Bookman Old Style" w:hAnsi="Bookman Old Style"/>
          <w:bCs/>
          <w:i/>
          <w:sz w:val="22"/>
          <w:szCs w:val="22"/>
        </w:rPr>
        <w:t>De los estados se dejará un duplicado autorizado por el secretario; ambos ejemplares se coleccionarán por separado en orden riguroso de fechas para su conservación en el archivo, y uno de ellos podrá ser examinado por las partes o sus apodera</w:t>
      </w:r>
      <w:r>
        <w:rPr>
          <w:rFonts w:ascii="Bookman Old Style" w:hAnsi="Bookman Old Style"/>
          <w:bCs/>
          <w:i/>
          <w:sz w:val="22"/>
          <w:szCs w:val="22"/>
        </w:rPr>
        <w:t>dos bajo la vigilancia de aquél (…)</w:t>
      </w:r>
      <w:r w:rsidRPr="006D430F">
        <w:rPr>
          <w:rFonts w:ascii="Bookman Old Style" w:hAnsi="Bookman Old Style"/>
          <w:bCs/>
          <w:i/>
          <w:sz w:val="22"/>
          <w:szCs w:val="22"/>
        </w:rPr>
        <w:t xml:space="preserve">” </w:t>
      </w:r>
    </w:p>
    <w:p w:rsidR="006D430F" w:rsidRPr="006D430F" w:rsidRDefault="006D430F" w:rsidP="006D430F">
      <w:pPr>
        <w:jc w:val="both"/>
        <w:rPr>
          <w:rFonts w:ascii="Ebrima" w:hAnsi="Ebrima" w:cs="Arial"/>
        </w:rPr>
      </w:pPr>
    </w:p>
    <w:p w:rsidR="006D430F" w:rsidRDefault="006D430F" w:rsidP="006D430F">
      <w:pPr>
        <w:pStyle w:val="Textoindependiente"/>
        <w:ind w:left="0"/>
        <w:jc w:val="both"/>
        <w:rPr>
          <w:rFonts w:ascii="Bookman Old Style" w:hAnsi="Bookman Old Style"/>
          <w:b w:val="0"/>
          <w:bCs w:val="0"/>
        </w:rPr>
      </w:pPr>
      <w:r w:rsidRPr="006D430F">
        <w:rPr>
          <w:rFonts w:ascii="Bookman Old Style" w:hAnsi="Bookman Old Style"/>
          <w:b w:val="0"/>
          <w:bCs w:val="0"/>
        </w:rPr>
        <w:t>La referencia al artículo 106 que hace el accionante no invalida la actuación, debido a que la comunicación que se envía, en este caso el oficio S-2011-002723 se hace a modo informativo y el mismo no tiene implicaciones para efecto del derecho de audiencia y defensa</w:t>
      </w:r>
      <w:r w:rsidR="00EA4675">
        <w:rPr>
          <w:rFonts w:ascii="Bookman Old Style" w:hAnsi="Bookman Old Style"/>
          <w:b w:val="0"/>
          <w:bCs w:val="0"/>
        </w:rPr>
        <w:t>;</w:t>
      </w:r>
      <w:r w:rsidRPr="006D430F">
        <w:rPr>
          <w:rFonts w:ascii="Bookman Old Style" w:hAnsi="Bookman Old Style"/>
          <w:b w:val="0"/>
          <w:bCs w:val="0"/>
        </w:rPr>
        <w:t xml:space="preserve"> es decir</w:t>
      </w:r>
      <w:r w:rsidR="00EA4675">
        <w:rPr>
          <w:rFonts w:ascii="Bookman Old Style" w:hAnsi="Bookman Old Style"/>
          <w:b w:val="0"/>
          <w:bCs w:val="0"/>
        </w:rPr>
        <w:t>,</w:t>
      </w:r>
      <w:r w:rsidRPr="006D430F">
        <w:rPr>
          <w:rFonts w:ascii="Bookman Old Style" w:hAnsi="Bookman Old Style"/>
          <w:b w:val="0"/>
          <w:bCs w:val="0"/>
        </w:rPr>
        <w:t xml:space="preserve"> además de notificar en la forma legal, la CREG envía una comunicación informativa al interesado, con el único propósito de brindar un medio adicional de información que sin suplir el medio oficial, permita al interesado conocer la actuación administrativa</w:t>
      </w:r>
      <w:r w:rsidR="00EA4675">
        <w:rPr>
          <w:rFonts w:ascii="Bookman Old Style" w:hAnsi="Bookman Old Style"/>
          <w:b w:val="0"/>
          <w:bCs w:val="0"/>
        </w:rPr>
        <w:t xml:space="preserve"> para que esté</w:t>
      </w:r>
      <w:r w:rsidRPr="006D430F">
        <w:rPr>
          <w:rFonts w:ascii="Bookman Old Style" w:hAnsi="Bookman Old Style"/>
          <w:b w:val="0"/>
          <w:bCs w:val="0"/>
        </w:rPr>
        <w:t xml:space="preserve"> ejer</w:t>
      </w:r>
      <w:r w:rsidR="00B35698">
        <w:rPr>
          <w:rFonts w:ascii="Bookman Old Style" w:hAnsi="Bookman Old Style"/>
          <w:b w:val="0"/>
          <w:bCs w:val="0"/>
        </w:rPr>
        <w:t>za</w:t>
      </w:r>
      <w:r w:rsidRPr="006D430F">
        <w:rPr>
          <w:rFonts w:ascii="Bookman Old Style" w:hAnsi="Bookman Old Style"/>
          <w:b w:val="0"/>
          <w:bCs w:val="0"/>
        </w:rPr>
        <w:t xml:space="preserve"> según su criterio y buen juicio, el derecho de defensa que le reconoce el ordenamiento jurídico.</w:t>
      </w:r>
    </w:p>
    <w:p w:rsidR="006D430F" w:rsidRDefault="006D430F" w:rsidP="006D430F">
      <w:pPr>
        <w:pStyle w:val="Textoindependiente"/>
        <w:ind w:left="0"/>
        <w:jc w:val="both"/>
        <w:rPr>
          <w:rFonts w:ascii="Bookman Old Style" w:hAnsi="Bookman Old Style"/>
          <w:b w:val="0"/>
          <w:bCs w:val="0"/>
        </w:rPr>
      </w:pPr>
    </w:p>
    <w:p w:rsidR="00B35698" w:rsidRDefault="00B35698" w:rsidP="006D430F">
      <w:pPr>
        <w:pStyle w:val="Textoindependiente"/>
        <w:ind w:left="0"/>
        <w:jc w:val="both"/>
        <w:rPr>
          <w:rFonts w:ascii="Bookman Old Style" w:hAnsi="Bookman Old Style"/>
          <w:b w:val="0"/>
          <w:bCs w:val="0"/>
        </w:rPr>
      </w:pPr>
      <w:r>
        <w:rPr>
          <w:rFonts w:ascii="Bookman Old Style" w:hAnsi="Bookman Old Style"/>
          <w:b w:val="0"/>
          <w:bCs w:val="0"/>
        </w:rPr>
        <w:t>Se trata de un acto de mero trámite, el cual no  debe ser notificado personalmente y no admite recurso alguno en su contra.</w:t>
      </w:r>
    </w:p>
    <w:p w:rsidR="00B35698" w:rsidRDefault="00B35698" w:rsidP="006D430F">
      <w:pPr>
        <w:pStyle w:val="Textoindependiente"/>
        <w:ind w:left="0"/>
        <w:jc w:val="both"/>
        <w:rPr>
          <w:rFonts w:ascii="Bookman Old Style" w:hAnsi="Bookman Old Style"/>
          <w:b w:val="0"/>
          <w:bCs w:val="0"/>
        </w:rPr>
      </w:pPr>
    </w:p>
    <w:p w:rsidR="006D430F" w:rsidRDefault="006D430F" w:rsidP="006D430F">
      <w:pPr>
        <w:pStyle w:val="Textoindependiente"/>
        <w:ind w:left="0"/>
        <w:jc w:val="both"/>
        <w:rPr>
          <w:rFonts w:ascii="Bookman Old Style" w:hAnsi="Bookman Old Style"/>
          <w:b w:val="0"/>
          <w:bCs w:val="0"/>
        </w:rPr>
      </w:pPr>
      <w:r>
        <w:rPr>
          <w:rFonts w:ascii="Bookman Old Style" w:hAnsi="Bookman Old Style"/>
          <w:b w:val="0"/>
          <w:bCs w:val="0"/>
        </w:rPr>
        <w:t xml:space="preserve">Recordemos que el fin de la </w:t>
      </w:r>
      <w:r w:rsidR="008E6326">
        <w:rPr>
          <w:rFonts w:ascii="Bookman Old Style" w:hAnsi="Bookman Old Style"/>
          <w:b w:val="0"/>
          <w:bCs w:val="0"/>
        </w:rPr>
        <w:t>notificación</w:t>
      </w:r>
      <w:r>
        <w:rPr>
          <w:rFonts w:ascii="Bookman Old Style" w:hAnsi="Bookman Old Style"/>
          <w:b w:val="0"/>
          <w:bCs w:val="0"/>
        </w:rPr>
        <w:t xml:space="preserve"> es darle al interesado un </w:t>
      </w:r>
      <w:r w:rsidR="008E6326">
        <w:rPr>
          <w:rFonts w:ascii="Bookman Old Style" w:hAnsi="Bookman Old Style"/>
          <w:b w:val="0"/>
          <w:bCs w:val="0"/>
        </w:rPr>
        <w:t>medio</w:t>
      </w:r>
      <w:r>
        <w:rPr>
          <w:rFonts w:ascii="Bookman Old Style" w:hAnsi="Bookman Old Style"/>
          <w:b w:val="0"/>
          <w:bCs w:val="0"/>
        </w:rPr>
        <w:t xml:space="preserve"> que le permita conocer la existencia de una </w:t>
      </w:r>
      <w:r w:rsidR="008E6326">
        <w:rPr>
          <w:rFonts w:ascii="Bookman Old Style" w:hAnsi="Bookman Old Style"/>
          <w:b w:val="0"/>
          <w:bCs w:val="0"/>
        </w:rPr>
        <w:t>actuación</w:t>
      </w:r>
      <w:r>
        <w:rPr>
          <w:rFonts w:ascii="Bookman Old Style" w:hAnsi="Bookman Old Style"/>
          <w:b w:val="0"/>
          <w:bCs w:val="0"/>
        </w:rPr>
        <w:t xml:space="preserve"> administrativa, y que de esta </w:t>
      </w:r>
      <w:r>
        <w:rPr>
          <w:rFonts w:ascii="Bookman Old Style" w:hAnsi="Bookman Old Style"/>
          <w:b w:val="0"/>
          <w:bCs w:val="0"/>
        </w:rPr>
        <w:lastRenderedPageBreak/>
        <w:t>forma se entere de su existencia, permitiéndole ejercer según su criterio y buen juicio, los derechos que el ordenamiento jurídico le ha reconocido.</w:t>
      </w:r>
    </w:p>
    <w:p w:rsidR="006D430F" w:rsidRDefault="006D430F" w:rsidP="006D430F">
      <w:pPr>
        <w:pStyle w:val="Textoindependiente"/>
        <w:ind w:left="0"/>
        <w:jc w:val="both"/>
        <w:rPr>
          <w:rFonts w:ascii="Bookman Old Style" w:hAnsi="Bookman Old Style"/>
          <w:b w:val="0"/>
          <w:bCs w:val="0"/>
        </w:rPr>
      </w:pPr>
    </w:p>
    <w:p w:rsidR="006D430F" w:rsidRDefault="008E6326" w:rsidP="006D430F">
      <w:pPr>
        <w:pStyle w:val="Textoindependiente"/>
        <w:ind w:left="0"/>
        <w:jc w:val="both"/>
        <w:rPr>
          <w:rFonts w:ascii="Bookman Old Style" w:hAnsi="Bookman Old Style"/>
          <w:b w:val="0"/>
          <w:bCs w:val="0"/>
        </w:rPr>
      </w:pPr>
      <w:r>
        <w:rPr>
          <w:rFonts w:ascii="Bookman Old Style" w:hAnsi="Bookman Old Style"/>
          <w:b w:val="0"/>
          <w:bCs w:val="0"/>
        </w:rPr>
        <w:t xml:space="preserve">Frente al presente argumento, resulta </w:t>
      </w:r>
      <w:r w:rsidR="006D430F">
        <w:rPr>
          <w:rFonts w:ascii="Bookman Old Style" w:hAnsi="Bookman Old Style"/>
          <w:b w:val="0"/>
          <w:bCs w:val="0"/>
        </w:rPr>
        <w:t>de</w:t>
      </w:r>
      <w:r>
        <w:rPr>
          <w:rFonts w:ascii="Bookman Old Style" w:hAnsi="Bookman Old Style"/>
          <w:b w:val="0"/>
          <w:bCs w:val="0"/>
        </w:rPr>
        <w:t xml:space="preserve"> la mayor relevancia citar lo expuesto por la H. Sala Penal del Tribunal Superior de Medellín, la cual en fallo de tutela sobre actuación administrativa 2011-0049</w:t>
      </w:r>
      <w:r w:rsidR="00EA4675">
        <w:rPr>
          <w:rFonts w:ascii="Bookman Old Style" w:hAnsi="Bookman Old Style"/>
          <w:b w:val="0"/>
          <w:bCs w:val="0"/>
        </w:rPr>
        <w:t>, interpuesta por EPM,</w:t>
      </w:r>
      <w:r>
        <w:rPr>
          <w:rFonts w:ascii="Bookman Old Style" w:hAnsi="Bookman Old Style"/>
          <w:b w:val="0"/>
          <w:bCs w:val="0"/>
        </w:rPr>
        <w:t xml:space="preserve"> dijo: </w:t>
      </w:r>
    </w:p>
    <w:p w:rsidR="008E6326" w:rsidRDefault="008E6326" w:rsidP="006D430F">
      <w:pPr>
        <w:pStyle w:val="Textoindependiente"/>
        <w:ind w:left="0"/>
        <w:jc w:val="both"/>
        <w:rPr>
          <w:rFonts w:ascii="Bookman Old Style" w:hAnsi="Bookman Old Style"/>
          <w:b w:val="0"/>
          <w:bCs w:val="0"/>
        </w:rPr>
      </w:pPr>
    </w:p>
    <w:p w:rsidR="008E6326" w:rsidRPr="00EA4675" w:rsidRDefault="008E6326" w:rsidP="008E6326">
      <w:pPr>
        <w:ind w:left="872" w:right="826"/>
        <w:jc w:val="both"/>
        <w:rPr>
          <w:rFonts w:ascii="Bookman Old Style" w:hAnsi="Bookman Old Style" w:cs="Arial"/>
          <w:sz w:val="22"/>
          <w:szCs w:val="22"/>
        </w:rPr>
      </w:pPr>
      <w:r w:rsidRPr="00EA4675">
        <w:rPr>
          <w:rFonts w:ascii="Bookman Old Style" w:hAnsi="Bookman Old Style" w:cs="Arial"/>
          <w:i/>
          <w:iCs/>
          <w:sz w:val="22"/>
          <w:szCs w:val="22"/>
        </w:rPr>
        <w:t>“(…) Adicionalmente,</w:t>
      </w:r>
      <w:r w:rsidR="00EA4675">
        <w:rPr>
          <w:rFonts w:ascii="Bookman Old Style" w:hAnsi="Bookman Old Style" w:cs="Arial"/>
          <w:i/>
          <w:iCs/>
          <w:sz w:val="22"/>
          <w:szCs w:val="22"/>
        </w:rPr>
        <w:t xml:space="preserve"> </w:t>
      </w:r>
      <w:r w:rsidRPr="00EA4675">
        <w:rPr>
          <w:rFonts w:ascii="Bookman Old Style" w:hAnsi="Bookman Old Style" w:cs="Arial"/>
          <w:i/>
          <w:iCs/>
          <w:sz w:val="22"/>
          <w:szCs w:val="22"/>
        </w:rPr>
        <w:t xml:space="preserve">no puede desconocerse que </w:t>
      </w:r>
      <w:r w:rsidRPr="00EA4675">
        <w:rPr>
          <w:rFonts w:ascii="Bookman Old Style" w:hAnsi="Bookman Old Style" w:cs="Arial"/>
          <w:b/>
          <w:i/>
          <w:iCs/>
          <w:sz w:val="22"/>
          <w:szCs w:val="22"/>
        </w:rPr>
        <w:t>en el trámite administrativo las Empresas Públicas de Medellín siempre fue enterado de todas las actuaciones, sin embargo asumió una posición pasiva e incluso en ningún momento controvirtió lo establecido por el auditor</w:t>
      </w:r>
      <w:r w:rsidRPr="00EA4675">
        <w:rPr>
          <w:rFonts w:ascii="Bookman Old Style" w:hAnsi="Bookman Old Style" w:cs="Arial"/>
          <w:i/>
          <w:iCs/>
          <w:sz w:val="22"/>
          <w:szCs w:val="22"/>
        </w:rPr>
        <w:t xml:space="preserve"> y que fue el fundamento de la Resolución CREG 104 de 2011 (…)</w:t>
      </w:r>
      <w:r w:rsidRPr="00EA4675">
        <w:rPr>
          <w:rStyle w:val="Refdenotaalpie"/>
          <w:rFonts w:ascii="Bookman Old Style" w:hAnsi="Bookman Old Style" w:cs="Arial"/>
          <w:i/>
          <w:iCs/>
          <w:sz w:val="22"/>
          <w:szCs w:val="22"/>
        </w:rPr>
        <w:footnoteReference w:id="13"/>
      </w:r>
      <w:r w:rsidRPr="00EA4675">
        <w:rPr>
          <w:rFonts w:ascii="Bookman Old Style" w:hAnsi="Bookman Old Style" w:cs="Arial"/>
          <w:i/>
          <w:iCs/>
          <w:sz w:val="22"/>
          <w:szCs w:val="22"/>
        </w:rPr>
        <w:t>” (Negrilla fuera del original).</w:t>
      </w:r>
    </w:p>
    <w:p w:rsidR="006D430F" w:rsidRPr="00EA4675" w:rsidRDefault="006D430F" w:rsidP="006D430F">
      <w:pPr>
        <w:pStyle w:val="Textoindependiente"/>
        <w:ind w:left="0"/>
        <w:jc w:val="both"/>
        <w:rPr>
          <w:rFonts w:ascii="Bookman Old Style" w:hAnsi="Bookman Old Style"/>
          <w:b w:val="0"/>
          <w:bCs w:val="0"/>
          <w:sz w:val="22"/>
          <w:szCs w:val="22"/>
        </w:rPr>
      </w:pPr>
    </w:p>
    <w:p w:rsidR="006D430F" w:rsidRDefault="00B35698" w:rsidP="006D430F">
      <w:pPr>
        <w:pStyle w:val="Textoindependiente"/>
        <w:ind w:left="0"/>
        <w:jc w:val="both"/>
        <w:rPr>
          <w:rFonts w:ascii="Bookman Old Style" w:hAnsi="Bookman Old Style"/>
          <w:b w:val="0"/>
          <w:bCs w:val="0"/>
        </w:rPr>
      </w:pPr>
      <w:r>
        <w:rPr>
          <w:rFonts w:ascii="Bookman Old Style" w:hAnsi="Bookman Old Style"/>
          <w:b w:val="0"/>
          <w:bCs w:val="0"/>
        </w:rPr>
        <w:t xml:space="preserve">Cualquier inquietud sobre la notificación, es solucionada </w:t>
      </w:r>
      <w:r w:rsidR="006D430F">
        <w:rPr>
          <w:rFonts w:ascii="Bookman Old Style" w:hAnsi="Bookman Old Style"/>
          <w:b w:val="0"/>
          <w:bCs w:val="0"/>
        </w:rPr>
        <w:t xml:space="preserve">definitivamente </w:t>
      </w:r>
      <w:r>
        <w:rPr>
          <w:rFonts w:ascii="Bookman Old Style" w:hAnsi="Bookman Old Style"/>
          <w:b w:val="0"/>
          <w:bCs w:val="0"/>
        </w:rPr>
        <w:t xml:space="preserve">por el </w:t>
      </w:r>
      <w:r w:rsidR="006D430F">
        <w:rPr>
          <w:rFonts w:ascii="Bookman Old Style" w:hAnsi="Bookman Old Style"/>
          <w:b w:val="0"/>
          <w:bCs w:val="0"/>
        </w:rPr>
        <w:t xml:space="preserve"> Artículo 48 del Código Contencioso Administrativo, el cual </w:t>
      </w:r>
      <w:r>
        <w:rPr>
          <w:rFonts w:ascii="Bookman Old Style" w:hAnsi="Bookman Old Style"/>
          <w:b w:val="0"/>
          <w:bCs w:val="0"/>
        </w:rPr>
        <w:t>establece que</w:t>
      </w:r>
      <w:r w:rsidR="006D430F">
        <w:rPr>
          <w:rFonts w:ascii="Bookman Old Style" w:hAnsi="Bookman Old Style"/>
          <w:b w:val="0"/>
          <w:bCs w:val="0"/>
        </w:rPr>
        <w:t>:</w:t>
      </w:r>
    </w:p>
    <w:p w:rsidR="006D430F" w:rsidRDefault="006D430F" w:rsidP="006D430F">
      <w:pPr>
        <w:pStyle w:val="Textoindependiente"/>
        <w:ind w:left="0"/>
        <w:jc w:val="both"/>
        <w:rPr>
          <w:rFonts w:ascii="Bookman Old Style" w:hAnsi="Bookman Old Style"/>
          <w:b w:val="0"/>
          <w:bCs w:val="0"/>
        </w:rPr>
      </w:pPr>
    </w:p>
    <w:p w:rsidR="006D430F" w:rsidRPr="008E6326" w:rsidRDefault="008E6326" w:rsidP="008E6326">
      <w:pPr>
        <w:ind w:left="872" w:right="826"/>
        <w:jc w:val="both"/>
        <w:rPr>
          <w:rFonts w:ascii="Bookman Old Style" w:hAnsi="Bookman Old Style" w:cs="Arial"/>
          <w:bCs/>
          <w:i/>
          <w:sz w:val="22"/>
          <w:szCs w:val="22"/>
        </w:rPr>
      </w:pPr>
      <w:r w:rsidRPr="008E6326">
        <w:rPr>
          <w:rFonts w:ascii="Bookman Old Style" w:hAnsi="Bookman Old Style" w:cs="Arial"/>
          <w:bCs/>
          <w:i/>
          <w:sz w:val="22"/>
          <w:szCs w:val="22"/>
        </w:rPr>
        <w:t>“(…)</w:t>
      </w:r>
      <w:r w:rsidRPr="008E6326">
        <w:rPr>
          <w:rFonts w:ascii="Bookman Old Style" w:hAnsi="Bookman Old Style"/>
          <w:i/>
          <w:sz w:val="22"/>
          <w:szCs w:val="22"/>
        </w:rPr>
        <w:t xml:space="preserve">Sin el lleno de los anteriores requisitos no se tendrá por hecha la notificación ni producirá efectos legales la decisión, </w:t>
      </w:r>
      <w:r w:rsidRPr="00EA4675">
        <w:rPr>
          <w:rFonts w:ascii="Bookman Old Style" w:hAnsi="Bookman Old Style"/>
          <w:b/>
          <w:i/>
          <w:sz w:val="22"/>
          <w:szCs w:val="22"/>
          <w:u w:val="single"/>
        </w:rPr>
        <w:t>a menos que la parte interesada, dándose por suficientemente enterada</w:t>
      </w:r>
      <w:r w:rsidRPr="008E6326">
        <w:rPr>
          <w:rFonts w:ascii="Bookman Old Style" w:hAnsi="Bookman Old Style"/>
          <w:i/>
          <w:sz w:val="22"/>
          <w:szCs w:val="22"/>
        </w:rPr>
        <w:t xml:space="preserve">, convenga en ella o </w:t>
      </w:r>
      <w:r w:rsidRPr="008E6326">
        <w:rPr>
          <w:rFonts w:ascii="Bookman Old Style" w:hAnsi="Bookman Old Style"/>
          <w:b/>
          <w:i/>
          <w:sz w:val="22"/>
          <w:szCs w:val="22"/>
          <w:u w:val="single"/>
        </w:rPr>
        <w:t>utilice en tiempo los recursos legales</w:t>
      </w:r>
      <w:r w:rsidRPr="008E6326">
        <w:rPr>
          <w:rFonts w:ascii="Bookman Old Style" w:hAnsi="Bookman Old Style" w:cs="Arial"/>
          <w:bCs/>
          <w:i/>
          <w:sz w:val="22"/>
          <w:szCs w:val="22"/>
        </w:rPr>
        <w:t xml:space="preserve"> (…)”</w:t>
      </w:r>
      <w:r w:rsidR="00EA4675">
        <w:rPr>
          <w:rFonts w:ascii="Bookman Old Style" w:hAnsi="Bookman Old Style" w:cs="Arial"/>
          <w:bCs/>
          <w:i/>
          <w:sz w:val="22"/>
          <w:szCs w:val="22"/>
        </w:rPr>
        <w:t xml:space="preserve"> (Negrilla y subraya fuera del original).</w:t>
      </w:r>
    </w:p>
    <w:p w:rsidR="006D430F" w:rsidRPr="006D430F" w:rsidRDefault="006D430F" w:rsidP="00A836E2">
      <w:pPr>
        <w:pStyle w:val="Textoindependiente"/>
        <w:ind w:left="0"/>
        <w:jc w:val="both"/>
        <w:rPr>
          <w:rFonts w:ascii="Bookman Old Style" w:hAnsi="Bookman Old Style" w:cs="Times New Roman"/>
          <w:b w:val="0"/>
          <w:szCs w:val="22"/>
        </w:rPr>
      </w:pPr>
    </w:p>
    <w:p w:rsidR="00D77D34" w:rsidRDefault="00D77D34" w:rsidP="00A836E2">
      <w:pPr>
        <w:pStyle w:val="Textoindependiente"/>
        <w:ind w:left="0"/>
        <w:jc w:val="both"/>
        <w:rPr>
          <w:rFonts w:ascii="Bookman Old Style" w:hAnsi="Bookman Old Style" w:cs="Times New Roman"/>
          <w:b w:val="0"/>
        </w:rPr>
      </w:pPr>
      <w:r w:rsidRPr="00D77D34">
        <w:rPr>
          <w:rFonts w:ascii="Bookman Old Style" w:hAnsi="Bookman Old Style" w:cs="Times New Roman"/>
          <w:b w:val="0"/>
        </w:rPr>
        <w:t>Es</w:t>
      </w:r>
      <w:r w:rsidR="00B35698">
        <w:rPr>
          <w:rFonts w:ascii="Bookman Old Style" w:hAnsi="Bookman Old Style" w:cs="Times New Roman"/>
          <w:b w:val="0"/>
        </w:rPr>
        <w:t xml:space="preserve"> objeto de la actual Resolución, </w:t>
      </w:r>
      <w:r w:rsidRPr="00D77D34">
        <w:rPr>
          <w:rFonts w:ascii="Bookman Old Style" w:hAnsi="Bookman Old Style" w:cs="Times New Roman"/>
          <w:b w:val="0"/>
        </w:rPr>
        <w:t>resolver el recurso de reposición interpuesto por EPM en contra de la Resolución CREG 104 de 2011, recurso interpuesto frente al funcionario competente y en el tiempo legal. Por lo cual, en aplicación del Artículo 48 del Código</w:t>
      </w:r>
      <w:r>
        <w:rPr>
          <w:rFonts w:ascii="Bookman Old Style" w:hAnsi="Bookman Old Style" w:cs="Times New Roman"/>
          <w:b w:val="0"/>
        </w:rPr>
        <w:t xml:space="preserve"> </w:t>
      </w:r>
      <w:r w:rsidRPr="00D77D34">
        <w:rPr>
          <w:rFonts w:ascii="Bookman Old Style" w:hAnsi="Bookman Old Style" w:cs="Times New Roman"/>
          <w:b w:val="0"/>
        </w:rPr>
        <w:t>Contencioso</w:t>
      </w:r>
      <w:r>
        <w:rPr>
          <w:rFonts w:ascii="Bookman Old Style" w:hAnsi="Bookman Old Style" w:cs="Times New Roman"/>
          <w:b w:val="0"/>
        </w:rPr>
        <w:t xml:space="preserve"> Administrativo</w:t>
      </w:r>
      <w:r w:rsidRPr="00D77D34">
        <w:rPr>
          <w:rFonts w:ascii="Bookman Old Style" w:hAnsi="Bookman Old Style" w:cs="Times New Roman"/>
          <w:b w:val="0"/>
        </w:rPr>
        <w:t>, la supuesta nulidad por indebida notificación fue subsana</w:t>
      </w:r>
      <w:r>
        <w:rPr>
          <w:rFonts w:ascii="Bookman Old Style" w:hAnsi="Bookman Old Style" w:cs="Times New Roman"/>
          <w:b w:val="0"/>
        </w:rPr>
        <w:t>da</w:t>
      </w:r>
      <w:r w:rsidRPr="00D77D34">
        <w:rPr>
          <w:rFonts w:ascii="Bookman Old Style" w:hAnsi="Bookman Old Style" w:cs="Times New Roman"/>
          <w:b w:val="0"/>
        </w:rPr>
        <w:t xml:space="preserve"> por EPM</w:t>
      </w:r>
      <w:r>
        <w:rPr>
          <w:rFonts w:ascii="Bookman Old Style" w:hAnsi="Bookman Old Style" w:cs="Times New Roman"/>
          <w:b w:val="0"/>
        </w:rPr>
        <w:t>,</w:t>
      </w:r>
      <w:r w:rsidRPr="00D77D34">
        <w:rPr>
          <w:rFonts w:ascii="Bookman Old Style" w:hAnsi="Bookman Old Style" w:cs="Times New Roman"/>
          <w:b w:val="0"/>
        </w:rPr>
        <w:t xml:space="preserve"> cuando utiliz</w:t>
      </w:r>
      <w:r w:rsidR="005F7CB6">
        <w:rPr>
          <w:rFonts w:ascii="Bookman Old Style" w:hAnsi="Bookman Old Style" w:cs="Times New Roman"/>
          <w:b w:val="0"/>
        </w:rPr>
        <w:t>ó</w:t>
      </w:r>
      <w:r w:rsidRPr="00D77D34">
        <w:rPr>
          <w:rFonts w:ascii="Bookman Old Style" w:hAnsi="Bookman Old Style" w:cs="Times New Roman"/>
          <w:b w:val="0"/>
        </w:rPr>
        <w:t xml:space="preserve"> en tiempo el recurso legal de reposición en</w:t>
      </w:r>
      <w:r>
        <w:rPr>
          <w:rFonts w:ascii="Bookman Old Style" w:hAnsi="Bookman Old Style" w:cs="Times New Roman"/>
          <w:b w:val="0"/>
        </w:rPr>
        <w:t xml:space="preserve"> </w:t>
      </w:r>
      <w:r w:rsidRPr="00D77D34">
        <w:rPr>
          <w:rFonts w:ascii="Bookman Old Style" w:hAnsi="Bookman Old Style" w:cs="Times New Roman"/>
          <w:b w:val="0"/>
        </w:rPr>
        <w:t>contra de la Resolución CREG 104 de 2011.</w:t>
      </w:r>
    </w:p>
    <w:p w:rsidR="00D77D34" w:rsidRDefault="00D77D34" w:rsidP="00A836E2">
      <w:pPr>
        <w:pStyle w:val="Textoindependiente"/>
        <w:ind w:left="0"/>
        <w:jc w:val="both"/>
        <w:rPr>
          <w:rFonts w:ascii="Bookman Old Style" w:hAnsi="Bookman Old Style" w:cs="Times New Roman"/>
          <w:b w:val="0"/>
        </w:rPr>
      </w:pPr>
    </w:p>
    <w:p w:rsidR="00D77D34" w:rsidRPr="00D77D34" w:rsidRDefault="00D77D34" w:rsidP="00A836E2">
      <w:pPr>
        <w:pStyle w:val="Textoindependiente"/>
        <w:ind w:left="0"/>
        <w:jc w:val="both"/>
        <w:rPr>
          <w:rFonts w:ascii="Bookman Old Style" w:hAnsi="Bookman Old Style" w:cs="Times New Roman"/>
          <w:b w:val="0"/>
        </w:rPr>
      </w:pPr>
      <w:r w:rsidRPr="00D77D34">
        <w:rPr>
          <w:rFonts w:ascii="Bookman Old Style" w:hAnsi="Bookman Old Style" w:cs="Times New Roman"/>
        </w:rPr>
        <w:t>Conclusión del primer cargo</w:t>
      </w:r>
      <w:r>
        <w:rPr>
          <w:rFonts w:ascii="Bookman Old Style" w:hAnsi="Bookman Old Style" w:cs="Times New Roman"/>
          <w:b w:val="0"/>
        </w:rPr>
        <w:t>: por las razones expuestas el primer cargo no está llamado a prosperar.</w:t>
      </w:r>
    </w:p>
    <w:p w:rsidR="00D77D34" w:rsidRDefault="00D77D34" w:rsidP="00A836E2">
      <w:pPr>
        <w:pStyle w:val="Textoindependiente"/>
        <w:ind w:left="0"/>
        <w:jc w:val="both"/>
        <w:rPr>
          <w:rFonts w:ascii="Bookman Old Style" w:hAnsi="Bookman Old Style" w:cs="Times New Roman"/>
          <w:b w:val="0"/>
          <w:sz w:val="22"/>
          <w:szCs w:val="22"/>
        </w:rPr>
      </w:pPr>
    </w:p>
    <w:p w:rsidR="00D77D34" w:rsidRDefault="00D77D34" w:rsidP="00D77D34">
      <w:pPr>
        <w:pStyle w:val="Textoindependiente"/>
        <w:ind w:left="0"/>
        <w:jc w:val="both"/>
        <w:rPr>
          <w:rFonts w:ascii="Bookman Old Style" w:hAnsi="Bookman Old Style"/>
        </w:rPr>
      </w:pPr>
      <w:r>
        <w:rPr>
          <w:rFonts w:ascii="Bookman Old Style" w:hAnsi="Bookman Old Style"/>
        </w:rPr>
        <w:t>4.2.2 Solución al Segundo Cargo.</w:t>
      </w:r>
    </w:p>
    <w:p w:rsidR="00D77D34" w:rsidRDefault="00D77D34" w:rsidP="00A836E2">
      <w:pPr>
        <w:pStyle w:val="Textoindependiente"/>
        <w:ind w:left="0"/>
        <w:jc w:val="both"/>
        <w:rPr>
          <w:rFonts w:ascii="Bookman Old Style" w:hAnsi="Bookman Old Style" w:cs="Times New Roman"/>
          <w:b w:val="0"/>
          <w:sz w:val="22"/>
          <w:szCs w:val="22"/>
        </w:rPr>
      </w:pPr>
    </w:p>
    <w:p w:rsidR="00187529" w:rsidRDefault="00187529" w:rsidP="00187529">
      <w:pPr>
        <w:pStyle w:val="Textoindependiente"/>
        <w:ind w:left="0"/>
        <w:jc w:val="both"/>
        <w:rPr>
          <w:rFonts w:ascii="Bookman Old Style" w:hAnsi="Bookman Old Style"/>
        </w:rPr>
      </w:pPr>
      <w:r w:rsidRPr="00315A19">
        <w:rPr>
          <w:rFonts w:ascii="Bookman Old Style" w:hAnsi="Bookman Old Style"/>
          <w:b w:val="0"/>
        </w:rPr>
        <w:t>El se</w:t>
      </w:r>
      <w:r w:rsidR="00D77D34" w:rsidRPr="00315A19">
        <w:rPr>
          <w:rFonts w:ascii="Bookman Old Style" w:hAnsi="Bookman Old Style"/>
          <w:b w:val="0"/>
        </w:rPr>
        <w:t>gundo cargo</w:t>
      </w:r>
      <w:r w:rsidR="00D77D34">
        <w:rPr>
          <w:rFonts w:ascii="Bookman Old Style" w:hAnsi="Bookman Old Style"/>
        </w:rPr>
        <w:t>:</w:t>
      </w:r>
      <w:r w:rsidR="00D77D34" w:rsidRPr="0035206F">
        <w:rPr>
          <w:rFonts w:ascii="Bookman Old Style" w:hAnsi="Bookman Old Style"/>
          <w:b w:val="0"/>
          <w:i/>
        </w:rPr>
        <w:t xml:space="preserve"> Ilegalidad de la competencia de la CREG</w:t>
      </w:r>
      <w:r w:rsidR="00D77D34">
        <w:rPr>
          <w:rStyle w:val="Refdenotaalpie"/>
          <w:rFonts w:ascii="Bookman Old Style" w:hAnsi="Bookman Old Style"/>
          <w:b w:val="0"/>
          <w:i/>
        </w:rPr>
        <w:footnoteReference w:id="14"/>
      </w:r>
      <w:r w:rsidR="00D77D34" w:rsidRPr="0035206F">
        <w:rPr>
          <w:rFonts w:ascii="Bookman Old Style" w:hAnsi="Bookman Old Style"/>
          <w:b w:val="0"/>
        </w:rPr>
        <w:t>,</w:t>
      </w:r>
      <w:r w:rsidR="00D77D34">
        <w:rPr>
          <w:rFonts w:ascii="Bookman Old Style" w:hAnsi="Bookman Old Style"/>
          <w:b w:val="0"/>
        </w:rPr>
        <w:t xml:space="preserve"> </w:t>
      </w:r>
      <w:r>
        <w:rPr>
          <w:rFonts w:ascii="Bookman Old Style" w:hAnsi="Bookman Old Style"/>
          <w:b w:val="0"/>
        </w:rPr>
        <w:t xml:space="preserve"> propone que la </w:t>
      </w:r>
      <w:r w:rsidR="00D77D34">
        <w:rPr>
          <w:rFonts w:ascii="Bookman Old Style" w:hAnsi="Bookman Old Style"/>
          <w:b w:val="0"/>
        </w:rPr>
        <w:t xml:space="preserve"> CREG ha realizado una actuación administrativa sancionatoria con la Resolución CREG 104 de 2011, actuación sancionatoria para la cual la CREG no tiene competencia.</w:t>
      </w:r>
      <w:r w:rsidR="00D77D34">
        <w:rPr>
          <w:rFonts w:ascii="Bookman Old Style" w:hAnsi="Bookman Old Style"/>
        </w:rPr>
        <w:t xml:space="preserve">  </w:t>
      </w:r>
    </w:p>
    <w:p w:rsidR="00187529" w:rsidRPr="00187529" w:rsidRDefault="00187529" w:rsidP="00187529">
      <w:pPr>
        <w:pStyle w:val="Textoindependiente"/>
        <w:ind w:left="0"/>
        <w:jc w:val="both"/>
        <w:rPr>
          <w:rFonts w:ascii="Bookman Old Style" w:hAnsi="Bookman Old Style"/>
          <w:b w:val="0"/>
        </w:rPr>
      </w:pPr>
    </w:p>
    <w:p w:rsidR="00CE0138" w:rsidRDefault="00CE0138" w:rsidP="00187529">
      <w:pPr>
        <w:pStyle w:val="Textoindependiente"/>
        <w:ind w:left="0"/>
        <w:jc w:val="both"/>
        <w:rPr>
          <w:rFonts w:ascii="Bookman Old Style" w:hAnsi="Bookman Old Style"/>
          <w:b w:val="0"/>
        </w:rPr>
      </w:pPr>
    </w:p>
    <w:p w:rsidR="00187529" w:rsidRDefault="00187529" w:rsidP="00187529">
      <w:pPr>
        <w:pStyle w:val="Textoindependiente"/>
        <w:ind w:left="0"/>
        <w:jc w:val="both"/>
        <w:rPr>
          <w:rFonts w:ascii="Bookman Old Style" w:hAnsi="Bookman Old Style"/>
          <w:b w:val="0"/>
        </w:rPr>
      </w:pPr>
      <w:r w:rsidRPr="00187529">
        <w:rPr>
          <w:rFonts w:ascii="Bookman Old Style" w:hAnsi="Bookman Old Style"/>
          <w:b w:val="0"/>
        </w:rPr>
        <w:t>Pretende el apoderado de EPM, demostrar que la Regulación del cargo por confiabilidad, resulta violatoria del principio de legalidad, en razón a que la CREG no tiene competencia legal para deducir la responsabilidad civil de EPM y mucho menos para sancionarla.</w:t>
      </w:r>
    </w:p>
    <w:p w:rsidR="00187529" w:rsidRDefault="00187529" w:rsidP="00187529">
      <w:pPr>
        <w:pStyle w:val="Textoindependiente"/>
        <w:ind w:left="0"/>
        <w:jc w:val="both"/>
        <w:rPr>
          <w:rFonts w:ascii="Bookman Old Style" w:hAnsi="Bookman Old Style"/>
          <w:b w:val="0"/>
        </w:rPr>
      </w:pPr>
    </w:p>
    <w:p w:rsidR="00187529" w:rsidRPr="00187529" w:rsidRDefault="00187529" w:rsidP="00187529">
      <w:pPr>
        <w:pStyle w:val="Textoindependiente"/>
        <w:ind w:left="0"/>
        <w:jc w:val="both"/>
        <w:rPr>
          <w:rFonts w:ascii="Bookman Old Style" w:hAnsi="Bookman Old Style"/>
          <w:b w:val="0"/>
        </w:rPr>
      </w:pPr>
      <w:r w:rsidRPr="00187529">
        <w:rPr>
          <w:rFonts w:ascii="Bookman Old Style" w:hAnsi="Bookman Old Style"/>
          <w:b w:val="0"/>
        </w:rPr>
        <w:t xml:space="preserve">Frente a dicha afirmación, debemos aclarar los antecedentes y fundamentos del ejercicio de la función de regulación de la CREG, para el establecimiento del </w:t>
      </w:r>
      <w:r w:rsidRPr="00187529">
        <w:rPr>
          <w:rFonts w:ascii="Bookman Old Style" w:hAnsi="Bookman Old Style"/>
          <w:b w:val="0"/>
        </w:rPr>
        <w:lastRenderedPageBreak/>
        <w:t>Cargo por confiabilidad y la función de la CREG frente a un incumplimiento grave e insalvable.</w:t>
      </w:r>
    </w:p>
    <w:p w:rsidR="00187529" w:rsidRPr="00187529" w:rsidRDefault="00187529" w:rsidP="00187529">
      <w:pPr>
        <w:pStyle w:val="Textoindependiente"/>
        <w:ind w:left="0"/>
        <w:jc w:val="both"/>
        <w:rPr>
          <w:rFonts w:ascii="Bookman Old Style" w:hAnsi="Bookman Old Style"/>
          <w:b w:val="0"/>
        </w:rPr>
      </w:pPr>
    </w:p>
    <w:p w:rsidR="00187529" w:rsidRPr="00187529" w:rsidRDefault="00187529" w:rsidP="00187529">
      <w:pPr>
        <w:pStyle w:val="Textoindependiente"/>
        <w:numPr>
          <w:ilvl w:val="0"/>
          <w:numId w:val="38"/>
        </w:numPr>
        <w:jc w:val="both"/>
        <w:rPr>
          <w:rFonts w:ascii="Bookman Old Style" w:hAnsi="Bookman Old Style"/>
          <w:b w:val="0"/>
        </w:rPr>
      </w:pPr>
      <w:r w:rsidRPr="00187529">
        <w:rPr>
          <w:rFonts w:ascii="Bookman Old Style" w:hAnsi="Bookman Old Style"/>
        </w:rPr>
        <w:t>Antecedentes y fundamentos del ejercicio de la función de regulación de la CREG para el establecimiento del Cargo por Confiabilidad.</w:t>
      </w:r>
    </w:p>
    <w:p w:rsidR="00187529" w:rsidRPr="00187529" w:rsidRDefault="00187529" w:rsidP="00187529">
      <w:pPr>
        <w:pStyle w:val="Textoindependiente"/>
        <w:ind w:left="758"/>
        <w:jc w:val="both"/>
        <w:rPr>
          <w:rFonts w:ascii="Bookman Old Style" w:hAnsi="Bookman Old Style"/>
        </w:rPr>
      </w:pPr>
    </w:p>
    <w:p w:rsidR="00187529" w:rsidRPr="00187529" w:rsidRDefault="00187529" w:rsidP="00187529">
      <w:pPr>
        <w:pStyle w:val="Textoindependiente"/>
        <w:ind w:left="0"/>
        <w:jc w:val="both"/>
        <w:rPr>
          <w:rFonts w:ascii="Bookman Old Style" w:hAnsi="Bookman Old Style"/>
          <w:b w:val="0"/>
        </w:rPr>
      </w:pPr>
      <w:r w:rsidRPr="00187529">
        <w:rPr>
          <w:rFonts w:ascii="Bookman Old Style" w:hAnsi="Bookman Old Style"/>
          <w:b w:val="0"/>
        </w:rPr>
        <w:t>Dada la importancia de los servicios  públicos domiciliarios, la Constitución establece las bases para su régimen, por lo cual encontramos las siguientes normas:</w:t>
      </w:r>
    </w:p>
    <w:p w:rsidR="00187529" w:rsidRPr="00187529" w:rsidRDefault="00187529" w:rsidP="00187529">
      <w:pPr>
        <w:pStyle w:val="Textoindependiente"/>
        <w:ind w:left="0"/>
        <w:jc w:val="both"/>
        <w:rPr>
          <w:rFonts w:ascii="Bookman Old Style" w:hAnsi="Bookman Old Style"/>
          <w:b w:val="0"/>
        </w:rPr>
      </w:pPr>
    </w:p>
    <w:p w:rsidR="00187529" w:rsidRPr="00187529" w:rsidRDefault="00187529" w:rsidP="00187529">
      <w:pPr>
        <w:pStyle w:val="Textoindependiente"/>
        <w:ind w:left="0"/>
        <w:jc w:val="both"/>
        <w:rPr>
          <w:rFonts w:ascii="Bookman Old Style" w:hAnsi="Bookman Old Style"/>
        </w:rPr>
      </w:pPr>
      <w:r w:rsidRPr="00187529">
        <w:rPr>
          <w:rFonts w:ascii="Bookman Old Style" w:hAnsi="Bookman Old Style"/>
          <w:b w:val="0"/>
        </w:rPr>
        <w:t>El Artículo</w:t>
      </w:r>
      <w:r w:rsidRPr="00187529">
        <w:rPr>
          <w:rFonts w:ascii="Bookman Old Style" w:hAnsi="Bookman Old Style"/>
        </w:rPr>
        <w:t xml:space="preserve"> </w:t>
      </w:r>
      <w:r w:rsidRPr="00187529">
        <w:rPr>
          <w:rFonts w:ascii="Bookman Old Style" w:hAnsi="Bookman Old Style"/>
          <w:b w:val="0"/>
        </w:rPr>
        <w:t>365 de la Constitución dispone:</w:t>
      </w:r>
    </w:p>
    <w:p w:rsidR="00187529" w:rsidRPr="00AC5EF2" w:rsidRDefault="00187529" w:rsidP="00187529">
      <w:pPr>
        <w:ind w:left="709"/>
        <w:jc w:val="both"/>
        <w:rPr>
          <w:rFonts w:ascii="Ebrima" w:hAnsi="Ebrima" w:cs="Arial"/>
          <w:i/>
          <w:iCs/>
        </w:rPr>
      </w:pPr>
    </w:p>
    <w:p w:rsidR="00187529" w:rsidRPr="00187529" w:rsidRDefault="00187529" w:rsidP="00187529">
      <w:pPr>
        <w:ind w:left="872" w:right="826"/>
        <w:jc w:val="both"/>
        <w:rPr>
          <w:rFonts w:ascii="Bookman Old Style" w:hAnsi="Bookman Old Style" w:cs="Arial"/>
          <w:i/>
          <w:iCs/>
          <w:sz w:val="22"/>
          <w:szCs w:val="22"/>
        </w:rPr>
      </w:pPr>
      <w:r w:rsidRPr="00187529">
        <w:rPr>
          <w:rFonts w:ascii="Bookman Old Style" w:hAnsi="Bookman Old Style" w:cs="Arial"/>
          <w:i/>
          <w:iCs/>
          <w:sz w:val="22"/>
          <w:szCs w:val="22"/>
        </w:rPr>
        <w:t>“</w:t>
      </w:r>
      <w:r>
        <w:rPr>
          <w:rFonts w:ascii="Bookman Old Style" w:hAnsi="Bookman Old Style" w:cs="Arial"/>
          <w:i/>
          <w:iCs/>
          <w:sz w:val="22"/>
          <w:szCs w:val="22"/>
        </w:rPr>
        <w:t xml:space="preserve">(…) </w:t>
      </w:r>
      <w:r w:rsidRPr="00187529">
        <w:rPr>
          <w:rFonts w:ascii="Bookman Old Style" w:hAnsi="Bookman Old Style"/>
          <w:i/>
          <w:sz w:val="22"/>
          <w:szCs w:val="22"/>
        </w:rPr>
        <w:t>Los</w:t>
      </w:r>
      <w:r w:rsidRPr="00187529">
        <w:rPr>
          <w:rFonts w:ascii="Bookman Old Style" w:hAnsi="Bookman Old Style" w:cs="Arial"/>
          <w:i/>
          <w:iCs/>
          <w:sz w:val="22"/>
          <w:szCs w:val="22"/>
        </w:rPr>
        <w:t xml:space="preserve"> servicios públicos son  inheren</w:t>
      </w:r>
      <w:r w:rsidRPr="00187529">
        <w:rPr>
          <w:rFonts w:ascii="Bookman Old Style" w:hAnsi="Bookman Old Style" w:cs="Arial"/>
          <w:i/>
          <w:iCs/>
          <w:sz w:val="22"/>
          <w:szCs w:val="22"/>
        </w:rPr>
        <w:softHyphen/>
        <w:t>tes  a  la  finalidad social del Estado. Es deber del Estado asegurar  su  prestación  eficiente  a todos los habi</w:t>
      </w:r>
      <w:r w:rsidRPr="00187529">
        <w:rPr>
          <w:rFonts w:ascii="Bookman Old Style" w:hAnsi="Bookman Old Style" w:cs="Arial"/>
          <w:i/>
          <w:iCs/>
          <w:sz w:val="22"/>
          <w:szCs w:val="22"/>
        </w:rPr>
        <w:softHyphen/>
        <w:t xml:space="preserve">tantes  del  territorio  nacional (…)  </w:t>
      </w:r>
    </w:p>
    <w:p w:rsidR="00187529" w:rsidRPr="00187529" w:rsidRDefault="00187529" w:rsidP="00187529">
      <w:pPr>
        <w:ind w:left="872" w:right="826"/>
        <w:jc w:val="both"/>
        <w:rPr>
          <w:rFonts w:ascii="Bookman Old Style" w:hAnsi="Bookman Old Style" w:cs="Arial"/>
          <w:i/>
          <w:iCs/>
          <w:sz w:val="22"/>
          <w:szCs w:val="22"/>
        </w:rPr>
      </w:pPr>
    </w:p>
    <w:p w:rsidR="00187529" w:rsidRPr="00187529" w:rsidRDefault="00187529" w:rsidP="00187529">
      <w:pPr>
        <w:ind w:left="872" w:right="826"/>
        <w:jc w:val="both"/>
        <w:rPr>
          <w:rFonts w:ascii="Bookman Old Style" w:hAnsi="Bookman Old Style" w:cs="Arial"/>
          <w:i/>
          <w:iCs/>
          <w:sz w:val="22"/>
          <w:szCs w:val="22"/>
        </w:rPr>
      </w:pPr>
      <w:r w:rsidRPr="00187529">
        <w:rPr>
          <w:rFonts w:ascii="Bookman Old Style" w:hAnsi="Bookman Old Style" w:cs="Arial"/>
          <w:i/>
          <w:iCs/>
          <w:sz w:val="22"/>
          <w:szCs w:val="22"/>
        </w:rPr>
        <w:t>Los servicios públicos estarán sometidos al régimen  jurídi</w:t>
      </w:r>
      <w:r w:rsidRPr="00187529">
        <w:rPr>
          <w:rFonts w:ascii="Bookman Old Style" w:hAnsi="Bookman Old Style" w:cs="Arial"/>
          <w:i/>
          <w:iCs/>
          <w:sz w:val="22"/>
          <w:szCs w:val="22"/>
        </w:rPr>
        <w:softHyphen/>
        <w:t>co  que fije la ley, podrán ser prestados por el Estado,  directa  o   indirectamente,  por  comunidades  organizadas,   o   por  particulares.   En   todo  caso,  el  Estado   mantendrá   la  regulación,  el control y la vigilancia de dichos  servicios (…)”.</w:t>
      </w:r>
    </w:p>
    <w:p w:rsidR="00187529" w:rsidRPr="00AC5EF2" w:rsidRDefault="00187529" w:rsidP="00187529">
      <w:pPr>
        <w:jc w:val="both"/>
        <w:rPr>
          <w:rFonts w:ascii="Ebrima" w:hAnsi="Ebrima" w:cs="Arial"/>
        </w:rPr>
      </w:pPr>
    </w:p>
    <w:p w:rsidR="00187529" w:rsidRPr="00187529" w:rsidRDefault="00187529" w:rsidP="00187529">
      <w:pPr>
        <w:pStyle w:val="Textoindependiente"/>
        <w:ind w:left="0"/>
        <w:jc w:val="both"/>
        <w:rPr>
          <w:rFonts w:ascii="Bookman Old Style" w:hAnsi="Bookman Old Style"/>
          <w:b w:val="0"/>
        </w:rPr>
      </w:pPr>
      <w:r w:rsidRPr="00187529">
        <w:rPr>
          <w:rFonts w:ascii="Bookman Old Style" w:hAnsi="Bookman Old Style"/>
          <w:b w:val="0"/>
        </w:rPr>
        <w:t>Señala el Artículo 367 de la Constitución que:</w:t>
      </w:r>
    </w:p>
    <w:p w:rsidR="00187529" w:rsidRPr="00187529" w:rsidRDefault="00187529" w:rsidP="00187529">
      <w:pPr>
        <w:jc w:val="both"/>
        <w:rPr>
          <w:rFonts w:ascii="Bookman Old Style" w:hAnsi="Bookman Old Style" w:cs="Arial"/>
          <w:sz w:val="22"/>
        </w:rPr>
      </w:pPr>
    </w:p>
    <w:p w:rsidR="00187529" w:rsidRPr="00187529" w:rsidRDefault="00187529" w:rsidP="00187529">
      <w:pPr>
        <w:ind w:left="872" w:right="826"/>
        <w:jc w:val="both"/>
        <w:rPr>
          <w:rFonts w:ascii="Bookman Old Style" w:hAnsi="Bookman Old Style" w:cs="Arial"/>
          <w:i/>
          <w:iCs/>
          <w:sz w:val="22"/>
        </w:rPr>
      </w:pPr>
      <w:r w:rsidRPr="00187529">
        <w:rPr>
          <w:rFonts w:ascii="Bookman Old Style" w:hAnsi="Bookman Old Style" w:cs="Arial"/>
          <w:i/>
          <w:iCs/>
          <w:sz w:val="22"/>
        </w:rPr>
        <w:t>“(…) La ley fijará las competencias y responsabilidades relativas a la prestación de los servicios públicos domiciliarios, su cobertura, calidad y financiación, y el régimen tarifario que tendrá en cuenta además de los criterios de costos, los de solidaridad y redistribución de ingresos (…)”.</w:t>
      </w:r>
    </w:p>
    <w:p w:rsidR="00187529" w:rsidRPr="008E1626" w:rsidRDefault="00187529" w:rsidP="00187529">
      <w:pPr>
        <w:ind w:left="872" w:right="826"/>
        <w:jc w:val="both"/>
        <w:rPr>
          <w:rFonts w:ascii="Ebrima" w:hAnsi="Ebrima" w:cs="Arial"/>
          <w:i/>
          <w:iCs/>
        </w:rPr>
      </w:pPr>
    </w:p>
    <w:p w:rsidR="00187529" w:rsidRPr="00187529" w:rsidRDefault="00187529" w:rsidP="00187529">
      <w:pPr>
        <w:pStyle w:val="Textoindependiente"/>
        <w:ind w:left="0"/>
        <w:jc w:val="both"/>
        <w:rPr>
          <w:rFonts w:ascii="Bookman Old Style" w:hAnsi="Bookman Old Style"/>
          <w:b w:val="0"/>
          <w:i/>
        </w:rPr>
      </w:pPr>
      <w:r w:rsidRPr="00187529">
        <w:rPr>
          <w:rFonts w:ascii="Bookman Old Style" w:hAnsi="Bookman Old Style"/>
          <w:b w:val="0"/>
        </w:rPr>
        <w:t>Por su parte el Artículo 370 de la Carta dispone:</w:t>
      </w:r>
    </w:p>
    <w:p w:rsidR="00187529" w:rsidRPr="00AC5EF2" w:rsidRDefault="00187529" w:rsidP="00187529">
      <w:pPr>
        <w:jc w:val="both"/>
        <w:rPr>
          <w:rFonts w:ascii="Ebrima" w:hAnsi="Ebrima" w:cs="Arial"/>
        </w:rPr>
      </w:pPr>
    </w:p>
    <w:p w:rsidR="00187529" w:rsidRPr="00187529" w:rsidRDefault="00187529" w:rsidP="00187529">
      <w:pPr>
        <w:ind w:left="872" w:right="826"/>
        <w:jc w:val="both"/>
        <w:rPr>
          <w:rFonts w:ascii="Bookman Old Style" w:hAnsi="Bookman Old Style" w:cs="Arial"/>
          <w:i/>
          <w:iCs/>
          <w:sz w:val="22"/>
        </w:rPr>
      </w:pPr>
      <w:r w:rsidRPr="00187529">
        <w:rPr>
          <w:rFonts w:ascii="Bookman Old Style" w:hAnsi="Bookman Old Style" w:cs="Arial"/>
          <w:i/>
          <w:iCs/>
          <w:sz w:val="22"/>
        </w:rPr>
        <w:t>“(…) Corresponde  al Presidente  de  la  República  señalar,  con sujeción a la ley, las políticas  generales  de  administración  y  control  de eficiencia  de  los  servicios  públicos   domiciliarios   y   ejercer  por   medio   de   la  Superintendencia  de  Servicios  Públicos  Domicilia</w:t>
      </w:r>
      <w:r w:rsidRPr="00187529">
        <w:rPr>
          <w:rFonts w:ascii="Bookman Old Style" w:hAnsi="Bookman Old Style" w:cs="Arial"/>
          <w:i/>
          <w:iCs/>
          <w:sz w:val="22"/>
        </w:rPr>
        <w:softHyphen/>
        <w:t>rios,  el  control, la inspección y vigilancia de las entidades que  los  presten (…)”.</w:t>
      </w:r>
    </w:p>
    <w:p w:rsidR="00187529" w:rsidRDefault="00187529" w:rsidP="00187529">
      <w:pPr>
        <w:jc w:val="both"/>
        <w:rPr>
          <w:rFonts w:ascii="Ebrima" w:hAnsi="Ebrima" w:cs="Arial"/>
        </w:rPr>
      </w:pPr>
    </w:p>
    <w:p w:rsidR="00187529" w:rsidRPr="00187529" w:rsidRDefault="00187529" w:rsidP="00187529">
      <w:pPr>
        <w:pStyle w:val="Textoindependiente"/>
        <w:ind w:left="0"/>
        <w:jc w:val="both"/>
        <w:rPr>
          <w:rFonts w:ascii="Bookman Old Style" w:hAnsi="Bookman Old Style"/>
          <w:b w:val="0"/>
        </w:rPr>
      </w:pPr>
      <w:r w:rsidRPr="00187529">
        <w:rPr>
          <w:rFonts w:ascii="Bookman Old Style" w:hAnsi="Bookman Old Style"/>
          <w:b w:val="0"/>
        </w:rPr>
        <w:t>Del articulado constitucional mencionado, podemos establecen varios principios fundamentales para el régimen de los servicios públicos, valiendo la pena destacar los siguientes:</w:t>
      </w:r>
    </w:p>
    <w:p w:rsidR="00187529" w:rsidRDefault="00187529" w:rsidP="00187529">
      <w:pPr>
        <w:jc w:val="both"/>
        <w:rPr>
          <w:rFonts w:ascii="Bookman Old Style" w:hAnsi="Bookman Old Style" w:cs="Arial"/>
        </w:rPr>
      </w:pPr>
    </w:p>
    <w:p w:rsidR="00CE0138" w:rsidRDefault="00CE0138" w:rsidP="00187529">
      <w:pPr>
        <w:jc w:val="both"/>
        <w:rPr>
          <w:rFonts w:ascii="Bookman Old Style" w:hAnsi="Bookman Old Style" w:cs="Arial"/>
        </w:rPr>
      </w:pPr>
    </w:p>
    <w:p w:rsidR="00CE0138" w:rsidRPr="00187529" w:rsidRDefault="00CE0138" w:rsidP="00187529">
      <w:pPr>
        <w:jc w:val="both"/>
        <w:rPr>
          <w:rFonts w:ascii="Bookman Old Style" w:hAnsi="Bookman Old Style" w:cs="Arial"/>
        </w:rPr>
      </w:pPr>
    </w:p>
    <w:p w:rsidR="00187529" w:rsidRPr="00187529" w:rsidRDefault="00187529" w:rsidP="00187529">
      <w:pPr>
        <w:numPr>
          <w:ilvl w:val="0"/>
          <w:numId w:val="36"/>
        </w:numPr>
        <w:tabs>
          <w:tab w:val="num" w:pos="426"/>
        </w:tabs>
        <w:jc w:val="both"/>
        <w:rPr>
          <w:rFonts w:ascii="Bookman Old Style" w:hAnsi="Bookman Old Style" w:cs="Arial"/>
        </w:rPr>
      </w:pPr>
      <w:r w:rsidRPr="00187529">
        <w:rPr>
          <w:rFonts w:ascii="Bookman Old Style" w:hAnsi="Bookman Old Style" w:cs="Arial"/>
        </w:rPr>
        <w:t>La obligación del Estado de asegurar la prestación eficiente de los servicios públicos a todos los habi</w:t>
      </w:r>
      <w:r w:rsidRPr="00187529">
        <w:rPr>
          <w:rFonts w:ascii="Bookman Old Style" w:hAnsi="Bookman Old Style" w:cs="Arial"/>
        </w:rPr>
        <w:softHyphen/>
        <w:t xml:space="preserve">tantes del territorio nacional, lo cual implica la continuidad del servicio. </w:t>
      </w:r>
    </w:p>
    <w:p w:rsidR="00187529" w:rsidRDefault="00187529" w:rsidP="00187529">
      <w:pPr>
        <w:tabs>
          <w:tab w:val="num" w:pos="426"/>
        </w:tabs>
        <w:ind w:left="426" w:hanging="426"/>
        <w:jc w:val="both"/>
        <w:rPr>
          <w:rFonts w:ascii="Bookman Old Style" w:hAnsi="Bookman Old Style" w:cs="Arial"/>
        </w:rPr>
      </w:pPr>
    </w:p>
    <w:p w:rsidR="00187529" w:rsidRPr="00187529" w:rsidRDefault="00187529" w:rsidP="00187529">
      <w:pPr>
        <w:numPr>
          <w:ilvl w:val="0"/>
          <w:numId w:val="36"/>
        </w:numPr>
        <w:tabs>
          <w:tab w:val="num" w:pos="426"/>
        </w:tabs>
        <w:jc w:val="both"/>
        <w:rPr>
          <w:rFonts w:ascii="Bookman Old Style" w:hAnsi="Bookman Old Style" w:cs="Arial"/>
        </w:rPr>
      </w:pPr>
      <w:r w:rsidRPr="00187529">
        <w:rPr>
          <w:rFonts w:ascii="Bookman Old Style" w:hAnsi="Bookman Old Style" w:cs="Arial"/>
        </w:rPr>
        <w:t>El Estado mantiene la regulación del servicio público independientemente de quien preste el servicio.</w:t>
      </w:r>
    </w:p>
    <w:p w:rsidR="00187529" w:rsidRPr="00187529" w:rsidRDefault="00187529" w:rsidP="00187529">
      <w:pPr>
        <w:tabs>
          <w:tab w:val="num" w:pos="426"/>
        </w:tabs>
        <w:ind w:left="426" w:hanging="426"/>
        <w:jc w:val="both"/>
        <w:rPr>
          <w:rFonts w:ascii="Bookman Old Style" w:hAnsi="Bookman Old Style" w:cs="Arial"/>
        </w:rPr>
      </w:pPr>
    </w:p>
    <w:p w:rsidR="00187529" w:rsidRPr="00187529" w:rsidRDefault="00187529" w:rsidP="00187529">
      <w:pPr>
        <w:numPr>
          <w:ilvl w:val="0"/>
          <w:numId w:val="36"/>
        </w:numPr>
        <w:tabs>
          <w:tab w:val="num" w:pos="426"/>
        </w:tabs>
        <w:jc w:val="both"/>
        <w:rPr>
          <w:rFonts w:ascii="Bookman Old Style" w:hAnsi="Bookman Old Style" w:cs="Arial"/>
        </w:rPr>
      </w:pPr>
      <w:r w:rsidRPr="00187529">
        <w:rPr>
          <w:rFonts w:ascii="Bookman Old Style" w:hAnsi="Bookman Old Style" w:cs="Arial"/>
        </w:rPr>
        <w:lastRenderedPageBreak/>
        <w:t xml:space="preserve">En el caso de servicios públicos domiciliarios, la Constitución atribuye al Presidente de la Republica, el deber de señalar las políticas generales de administración. </w:t>
      </w:r>
    </w:p>
    <w:p w:rsidR="00187529" w:rsidRPr="00187529" w:rsidRDefault="00187529" w:rsidP="00187529">
      <w:pPr>
        <w:pStyle w:val="Prrafodelista"/>
        <w:jc w:val="both"/>
        <w:rPr>
          <w:rFonts w:ascii="Bookman Old Style" w:hAnsi="Bookman Old Style" w:cs="Arial"/>
          <w:sz w:val="24"/>
          <w:szCs w:val="24"/>
        </w:rPr>
      </w:pPr>
    </w:p>
    <w:p w:rsidR="00187529" w:rsidRDefault="00187529" w:rsidP="00187529">
      <w:pPr>
        <w:numPr>
          <w:ilvl w:val="0"/>
          <w:numId w:val="36"/>
        </w:numPr>
        <w:tabs>
          <w:tab w:val="num" w:pos="426"/>
        </w:tabs>
        <w:jc w:val="both"/>
        <w:rPr>
          <w:rFonts w:ascii="Bookman Old Style" w:hAnsi="Bookman Old Style" w:cs="Arial"/>
        </w:rPr>
      </w:pPr>
      <w:r w:rsidRPr="00187529">
        <w:rPr>
          <w:rFonts w:ascii="Bookman Old Style" w:hAnsi="Bookman Old Style" w:cs="Arial"/>
        </w:rPr>
        <w:t>El régimen tarifario debe tener en cuenta el criterio de costos.</w:t>
      </w:r>
    </w:p>
    <w:p w:rsidR="00187529" w:rsidRDefault="00187529" w:rsidP="00187529">
      <w:pPr>
        <w:pStyle w:val="Prrafodelista"/>
        <w:rPr>
          <w:rFonts w:ascii="Ebrima" w:hAnsi="Ebrima" w:cs="Arial"/>
        </w:rPr>
      </w:pPr>
    </w:p>
    <w:p w:rsidR="00187529" w:rsidRPr="00187529" w:rsidRDefault="00187529" w:rsidP="00187529">
      <w:pPr>
        <w:pStyle w:val="Textoindependiente"/>
        <w:ind w:left="0"/>
        <w:jc w:val="both"/>
        <w:rPr>
          <w:rFonts w:ascii="Bookman Old Style" w:hAnsi="Bookman Old Style"/>
          <w:b w:val="0"/>
        </w:rPr>
      </w:pPr>
      <w:r w:rsidRPr="00187529">
        <w:rPr>
          <w:rFonts w:ascii="Bookman Old Style" w:hAnsi="Bookman Old Style"/>
          <w:b w:val="0"/>
        </w:rPr>
        <w:t>En desarrollo de los citados postulados constitucionales las Leyes 142 y 143 de 1994 establecieron el régimen de los servicios públicos</w:t>
      </w:r>
      <w:r w:rsidR="00B35698">
        <w:rPr>
          <w:rFonts w:ascii="Bookman Old Style" w:hAnsi="Bookman Old Style"/>
          <w:b w:val="0"/>
        </w:rPr>
        <w:t xml:space="preserve"> domiciliarios y el del servicio publico domiciliario de energía el</w:t>
      </w:r>
      <w:r w:rsidR="00CE0138">
        <w:rPr>
          <w:rFonts w:ascii="Bookman Old Style" w:hAnsi="Bookman Old Style"/>
          <w:b w:val="0"/>
        </w:rPr>
        <w:t>é</w:t>
      </w:r>
      <w:r w:rsidR="00B35698">
        <w:rPr>
          <w:rFonts w:ascii="Bookman Old Style" w:hAnsi="Bookman Old Style"/>
          <w:b w:val="0"/>
        </w:rPr>
        <w:t>ctrica</w:t>
      </w:r>
      <w:r w:rsidRPr="00187529">
        <w:rPr>
          <w:rFonts w:ascii="Bookman Old Style" w:hAnsi="Bookman Old Style"/>
          <w:b w:val="0"/>
        </w:rPr>
        <w:t>.</w:t>
      </w:r>
    </w:p>
    <w:p w:rsidR="00187529" w:rsidRPr="00AC5EF2" w:rsidRDefault="00187529" w:rsidP="00187529">
      <w:pPr>
        <w:jc w:val="both"/>
        <w:rPr>
          <w:rFonts w:ascii="Ebrima" w:hAnsi="Ebrima" w:cs="Arial"/>
        </w:rPr>
      </w:pPr>
    </w:p>
    <w:p w:rsidR="00187529" w:rsidRPr="00187529" w:rsidRDefault="00187529" w:rsidP="00187529">
      <w:pPr>
        <w:pStyle w:val="Textoindependiente"/>
        <w:ind w:left="0"/>
        <w:jc w:val="both"/>
        <w:rPr>
          <w:rFonts w:ascii="Bookman Old Style" w:hAnsi="Bookman Old Style"/>
          <w:b w:val="0"/>
        </w:rPr>
      </w:pPr>
      <w:r w:rsidRPr="00187529">
        <w:rPr>
          <w:rFonts w:ascii="Bookman Old Style" w:hAnsi="Bookman Old Style"/>
          <w:b w:val="0"/>
        </w:rPr>
        <w:t xml:space="preserve">En particular, en relación con las funciones presidenciales en materia de servicios públicos, la Ley 142 de 1994 dispone en su Artículo 68, lo siguiente: </w:t>
      </w:r>
    </w:p>
    <w:p w:rsidR="00187529" w:rsidRPr="00AC5EF2" w:rsidRDefault="00187529" w:rsidP="00187529">
      <w:pPr>
        <w:jc w:val="both"/>
        <w:rPr>
          <w:rFonts w:ascii="Ebrima" w:hAnsi="Ebrima" w:cs="Arial"/>
        </w:rPr>
      </w:pPr>
    </w:p>
    <w:p w:rsidR="00187529" w:rsidRPr="00187529" w:rsidRDefault="00187529" w:rsidP="00187529">
      <w:pPr>
        <w:ind w:left="872" w:right="826"/>
        <w:jc w:val="both"/>
        <w:rPr>
          <w:rFonts w:ascii="Bookman Old Style" w:hAnsi="Bookman Old Style" w:cs="Arial"/>
          <w:i/>
          <w:iCs/>
          <w:sz w:val="22"/>
        </w:rPr>
      </w:pPr>
      <w:r w:rsidRPr="00997FCC">
        <w:rPr>
          <w:rFonts w:ascii="Ebrima" w:hAnsi="Ebrima" w:cs="Arial"/>
          <w:i/>
          <w:iCs/>
        </w:rPr>
        <w:t>“</w:t>
      </w:r>
      <w:r w:rsidRPr="00187529">
        <w:rPr>
          <w:rFonts w:ascii="Bookman Old Style" w:hAnsi="Bookman Old Style" w:cs="Arial"/>
          <w:i/>
          <w:iCs/>
          <w:sz w:val="22"/>
        </w:rPr>
        <w:t>El Presidente de la República señalará las políticas generales de administración y control de eficiencia de los servicios públicos domiciliarios, que le encomienda el artículo 370 de la Constitución Política, y de los demás a los que se refiere esta ley, por medio de las comisiones de regulación de los servicios públicos, si decide delegarlas, en los términos de esta ley.</w:t>
      </w:r>
    </w:p>
    <w:p w:rsidR="00187529" w:rsidRPr="00187529" w:rsidRDefault="00187529" w:rsidP="00187529">
      <w:pPr>
        <w:ind w:left="872" w:right="826"/>
        <w:jc w:val="both"/>
        <w:rPr>
          <w:rFonts w:ascii="Bookman Old Style" w:hAnsi="Bookman Old Style" w:cs="Arial"/>
          <w:i/>
          <w:iCs/>
          <w:sz w:val="22"/>
        </w:rPr>
      </w:pPr>
    </w:p>
    <w:p w:rsidR="00187529" w:rsidRPr="00187529" w:rsidRDefault="00187529" w:rsidP="00187529">
      <w:pPr>
        <w:ind w:left="872" w:right="826"/>
        <w:jc w:val="both"/>
        <w:rPr>
          <w:rFonts w:ascii="Bookman Old Style" w:hAnsi="Bookman Old Style" w:cs="Arial"/>
          <w:i/>
          <w:iCs/>
          <w:sz w:val="22"/>
        </w:rPr>
      </w:pPr>
      <w:r w:rsidRPr="00187529">
        <w:rPr>
          <w:rFonts w:ascii="Bookman Old Style" w:hAnsi="Bookman Old Style" w:cs="Arial"/>
          <w:i/>
          <w:iCs/>
          <w:sz w:val="22"/>
        </w:rPr>
        <w:t xml:space="preserve">“Las normas de esta ley que se refieren a las comisiones de regulación se aplicarán si el Presidente resuelve delegar la función aludida; en caso contrario, el Presidente ejercerá las funciones que aquí se atribuyen a las comisiones”. </w:t>
      </w:r>
    </w:p>
    <w:p w:rsidR="00187529" w:rsidRPr="00187529" w:rsidRDefault="00187529" w:rsidP="00187529">
      <w:pPr>
        <w:ind w:left="872" w:right="826"/>
        <w:jc w:val="both"/>
        <w:rPr>
          <w:rFonts w:ascii="Bookman Old Style" w:hAnsi="Bookman Old Style" w:cs="Arial"/>
          <w:i/>
          <w:iCs/>
          <w:sz w:val="22"/>
        </w:rPr>
      </w:pPr>
    </w:p>
    <w:p w:rsidR="00187529" w:rsidRPr="00187529" w:rsidRDefault="00187529" w:rsidP="00187529">
      <w:pPr>
        <w:pStyle w:val="Textoindependiente"/>
        <w:ind w:left="0"/>
        <w:jc w:val="both"/>
        <w:rPr>
          <w:rFonts w:ascii="Bookman Old Style" w:hAnsi="Bookman Old Style"/>
          <w:b w:val="0"/>
        </w:rPr>
      </w:pPr>
      <w:r w:rsidRPr="00187529">
        <w:rPr>
          <w:rFonts w:ascii="Bookman Old Style" w:hAnsi="Bookman Old Style"/>
          <w:b w:val="0"/>
        </w:rPr>
        <w:t>En desarrollo de lo anterior, mediante los Decretos 1524  y 2253 de 1994 el Presidente de la República delegó en las Comisiones de Regulación las funciones que las leyes le atribuían, como un desarrollo de su función de fijar las políticas generales de administración de los servicios públicos domiciliarios.</w:t>
      </w:r>
    </w:p>
    <w:p w:rsidR="00187529" w:rsidRPr="00187529" w:rsidRDefault="00187529" w:rsidP="00187529">
      <w:pPr>
        <w:pStyle w:val="Textoindependiente"/>
        <w:ind w:left="0"/>
        <w:jc w:val="both"/>
        <w:rPr>
          <w:rFonts w:ascii="Bookman Old Style" w:hAnsi="Bookman Old Style"/>
          <w:b w:val="0"/>
        </w:rPr>
      </w:pPr>
    </w:p>
    <w:p w:rsidR="00187529" w:rsidRPr="00187529" w:rsidRDefault="00187529" w:rsidP="00187529">
      <w:pPr>
        <w:pStyle w:val="Textoindependiente"/>
        <w:ind w:left="0"/>
        <w:jc w:val="both"/>
        <w:rPr>
          <w:rFonts w:ascii="Bookman Old Style" w:hAnsi="Bookman Old Style"/>
          <w:b w:val="0"/>
        </w:rPr>
      </w:pPr>
      <w:r w:rsidRPr="00187529">
        <w:rPr>
          <w:rFonts w:ascii="Bookman Old Style" w:hAnsi="Bookman Old Style"/>
          <w:b w:val="0"/>
        </w:rPr>
        <w:t>Ahora bien, la Ley 143 de 1994 estableció el régimen para la generación, interconexión, transmisión, distribución y comercialización de electricidad. Uno de los aspectos fundamentales que inspira la ley y que es un desarrollo de los principios constitucionales</w:t>
      </w:r>
      <w:r w:rsidR="00B35698">
        <w:rPr>
          <w:rFonts w:ascii="Bookman Old Style" w:hAnsi="Bookman Old Style"/>
          <w:b w:val="0"/>
        </w:rPr>
        <w:t>,</w:t>
      </w:r>
      <w:r w:rsidRPr="00187529">
        <w:rPr>
          <w:rFonts w:ascii="Bookman Old Style" w:hAnsi="Bookman Old Style"/>
          <w:b w:val="0"/>
        </w:rPr>
        <w:t xml:space="preserve"> es el de asegurar la continuidad del servicio, de tal manera que el mismo se preste de forma eficiente, para lo cual el Estado a través de la regulación debe adoptar medidas apropiadas.</w:t>
      </w:r>
    </w:p>
    <w:p w:rsidR="00187529" w:rsidRPr="00187529" w:rsidRDefault="00187529" w:rsidP="00187529">
      <w:pPr>
        <w:pStyle w:val="Textoindependiente"/>
        <w:ind w:left="0"/>
        <w:jc w:val="both"/>
        <w:rPr>
          <w:rFonts w:ascii="Bookman Old Style" w:hAnsi="Bookman Old Style"/>
          <w:b w:val="0"/>
        </w:rPr>
      </w:pPr>
    </w:p>
    <w:p w:rsidR="00187529" w:rsidRPr="00187529" w:rsidRDefault="00187529" w:rsidP="00187529">
      <w:pPr>
        <w:pStyle w:val="Textoindependiente"/>
        <w:ind w:left="0"/>
        <w:jc w:val="both"/>
        <w:rPr>
          <w:rFonts w:ascii="Bookman Old Style" w:hAnsi="Bookman Old Style"/>
          <w:b w:val="0"/>
        </w:rPr>
      </w:pPr>
      <w:r w:rsidRPr="00187529">
        <w:rPr>
          <w:rFonts w:ascii="Bookman Old Style" w:hAnsi="Bookman Old Style"/>
          <w:b w:val="0"/>
        </w:rPr>
        <w:t>Así se desprende del Artículo 4 de la citada ley, que dispone:</w:t>
      </w:r>
    </w:p>
    <w:p w:rsidR="00187529" w:rsidRPr="00187529" w:rsidRDefault="00187529" w:rsidP="00187529">
      <w:pPr>
        <w:pStyle w:val="Textoindependiente"/>
        <w:ind w:left="0"/>
        <w:jc w:val="both"/>
        <w:rPr>
          <w:rFonts w:ascii="Bookman Old Style" w:hAnsi="Bookman Old Style"/>
          <w:b w:val="0"/>
        </w:rPr>
      </w:pPr>
    </w:p>
    <w:p w:rsidR="00187529" w:rsidRPr="00187529" w:rsidRDefault="00187529" w:rsidP="00187529">
      <w:pPr>
        <w:ind w:left="872" w:right="826"/>
        <w:jc w:val="both"/>
        <w:rPr>
          <w:rFonts w:ascii="Bookman Old Style" w:hAnsi="Bookman Old Style" w:cs="Arial"/>
          <w:i/>
          <w:iCs/>
          <w:sz w:val="22"/>
          <w:szCs w:val="22"/>
        </w:rPr>
      </w:pPr>
      <w:r w:rsidRPr="00187529">
        <w:rPr>
          <w:rFonts w:ascii="Bookman Old Style" w:hAnsi="Bookman Old Style" w:cs="Arial"/>
          <w:i/>
          <w:iCs/>
          <w:sz w:val="22"/>
          <w:szCs w:val="22"/>
        </w:rPr>
        <w:t>“(…) El Estado, en relación con el servicio de electricidad tendrá los siguientes objetivos en el cumplimiento de sus funciones:</w:t>
      </w:r>
    </w:p>
    <w:p w:rsidR="00187529" w:rsidRPr="00187529" w:rsidRDefault="00187529" w:rsidP="00187529">
      <w:pPr>
        <w:ind w:left="872" w:right="826"/>
        <w:jc w:val="both"/>
        <w:rPr>
          <w:rFonts w:ascii="Bookman Old Style" w:hAnsi="Bookman Old Style" w:cs="Arial"/>
          <w:i/>
          <w:iCs/>
          <w:sz w:val="22"/>
          <w:szCs w:val="22"/>
        </w:rPr>
      </w:pPr>
    </w:p>
    <w:p w:rsidR="00187529" w:rsidRPr="00187529" w:rsidRDefault="00187529" w:rsidP="00187529">
      <w:pPr>
        <w:ind w:left="872" w:right="826"/>
        <w:jc w:val="both"/>
        <w:rPr>
          <w:rFonts w:ascii="Bookman Old Style" w:hAnsi="Bookman Old Style" w:cs="Arial"/>
          <w:i/>
          <w:iCs/>
          <w:sz w:val="22"/>
          <w:szCs w:val="22"/>
        </w:rPr>
      </w:pPr>
      <w:r w:rsidRPr="00187529">
        <w:rPr>
          <w:rFonts w:ascii="Bookman Old Style" w:hAnsi="Bookman Old Style" w:cs="Arial"/>
          <w:i/>
          <w:iCs/>
          <w:sz w:val="22"/>
          <w:szCs w:val="22"/>
        </w:rPr>
        <w:t>“a.</w:t>
      </w:r>
      <w:r w:rsidRPr="00187529">
        <w:rPr>
          <w:rFonts w:ascii="Bookman Old Style" w:hAnsi="Bookman Old Style" w:cs="Arial"/>
          <w:i/>
          <w:iCs/>
          <w:sz w:val="22"/>
          <w:szCs w:val="22"/>
        </w:rPr>
        <w:tab/>
        <w:t>Abastecer la demanda de electricidad de la comunidad bajo criterios económicos y de viabilidad financiera,  asegurando su cubrimiento en un marco de uso racional y eficiente de los diferentes recursos energéticos del país.</w:t>
      </w:r>
    </w:p>
    <w:p w:rsidR="00187529" w:rsidRPr="00187529" w:rsidRDefault="00187529" w:rsidP="00187529">
      <w:pPr>
        <w:ind w:left="872" w:right="826"/>
        <w:jc w:val="both"/>
        <w:rPr>
          <w:rFonts w:ascii="Bookman Old Style" w:hAnsi="Bookman Old Style" w:cs="Arial"/>
          <w:i/>
          <w:iCs/>
          <w:sz w:val="22"/>
          <w:szCs w:val="22"/>
        </w:rPr>
      </w:pPr>
    </w:p>
    <w:p w:rsidR="00187529" w:rsidRPr="00187529" w:rsidRDefault="00187529" w:rsidP="00187529">
      <w:pPr>
        <w:ind w:left="872" w:right="826"/>
        <w:jc w:val="both"/>
        <w:rPr>
          <w:rFonts w:ascii="Bookman Old Style" w:hAnsi="Bookman Old Style" w:cs="Arial"/>
          <w:i/>
          <w:iCs/>
          <w:sz w:val="22"/>
        </w:rPr>
      </w:pPr>
      <w:r w:rsidRPr="00187529">
        <w:rPr>
          <w:rFonts w:ascii="Bookman Old Style" w:hAnsi="Bookman Old Style" w:cs="Arial"/>
          <w:i/>
          <w:iCs/>
          <w:sz w:val="22"/>
          <w:szCs w:val="22"/>
        </w:rPr>
        <w:t>“b.</w:t>
      </w:r>
      <w:r w:rsidRPr="00187529">
        <w:rPr>
          <w:rFonts w:ascii="Bookman Old Style" w:hAnsi="Bookman Old Style" w:cs="Arial"/>
          <w:i/>
          <w:iCs/>
          <w:sz w:val="22"/>
          <w:szCs w:val="22"/>
        </w:rPr>
        <w:tab/>
        <w:t>Asegurar una operación eficiente, segura y confiable en las actividades del sector (…)”.</w:t>
      </w:r>
      <w:r w:rsidRPr="00187529">
        <w:rPr>
          <w:rFonts w:ascii="Bookman Old Style" w:hAnsi="Bookman Old Style" w:cs="Arial"/>
          <w:i/>
          <w:iCs/>
          <w:sz w:val="22"/>
        </w:rPr>
        <w:t xml:space="preserve">  </w:t>
      </w:r>
    </w:p>
    <w:p w:rsidR="00187529" w:rsidRPr="00187529" w:rsidRDefault="00187529" w:rsidP="00187529">
      <w:pPr>
        <w:pStyle w:val="Encabezado"/>
        <w:jc w:val="both"/>
        <w:rPr>
          <w:rFonts w:ascii="Bookman Old Style" w:hAnsi="Bookman Old Style" w:cs="Arial"/>
          <w:i/>
          <w:iCs/>
          <w:sz w:val="22"/>
          <w:szCs w:val="24"/>
          <w:lang w:val="es-ES"/>
        </w:rPr>
      </w:pPr>
    </w:p>
    <w:p w:rsidR="00187529" w:rsidRPr="00187529" w:rsidRDefault="00187529" w:rsidP="00187529">
      <w:pPr>
        <w:pStyle w:val="Textoindependiente"/>
        <w:ind w:left="0"/>
        <w:jc w:val="both"/>
        <w:rPr>
          <w:rFonts w:ascii="Bookman Old Style" w:hAnsi="Bookman Old Style"/>
          <w:b w:val="0"/>
        </w:rPr>
      </w:pPr>
      <w:r w:rsidRPr="00187529">
        <w:rPr>
          <w:rFonts w:ascii="Bookman Old Style" w:hAnsi="Bookman Old Style"/>
          <w:b w:val="0"/>
        </w:rPr>
        <w:t>En el mismo sentido, el Artículo 5o de la referida ley señala:</w:t>
      </w:r>
    </w:p>
    <w:p w:rsidR="00187529" w:rsidRPr="002D07C1" w:rsidRDefault="00187529" w:rsidP="00187529">
      <w:pPr>
        <w:jc w:val="both"/>
        <w:rPr>
          <w:rFonts w:ascii="Ebrima" w:hAnsi="Ebrima" w:cs="Arial"/>
        </w:rPr>
      </w:pPr>
    </w:p>
    <w:p w:rsidR="00187529" w:rsidRPr="002D07C1" w:rsidRDefault="00187529" w:rsidP="00187529">
      <w:pPr>
        <w:ind w:left="872" w:right="826"/>
        <w:jc w:val="both"/>
        <w:rPr>
          <w:rFonts w:ascii="Ebrima" w:hAnsi="Ebrima" w:cs="Arial"/>
          <w:i/>
          <w:iCs/>
        </w:rPr>
      </w:pPr>
      <w:r w:rsidRPr="00187529">
        <w:rPr>
          <w:rFonts w:ascii="Bookman Old Style" w:hAnsi="Bookman Old Style" w:cs="Arial"/>
          <w:i/>
          <w:iCs/>
          <w:sz w:val="22"/>
        </w:rPr>
        <w:lastRenderedPageBreak/>
        <w:t>“</w:t>
      </w:r>
      <w:r>
        <w:rPr>
          <w:rFonts w:ascii="Bookman Old Style" w:hAnsi="Bookman Old Style" w:cs="Arial"/>
          <w:i/>
          <w:iCs/>
          <w:sz w:val="22"/>
        </w:rPr>
        <w:t xml:space="preserve">(…) </w:t>
      </w:r>
      <w:r w:rsidRPr="00187529">
        <w:rPr>
          <w:rFonts w:ascii="Bookman Old Style" w:hAnsi="Bookman Old Style" w:cs="Arial"/>
          <w:i/>
          <w:iCs/>
          <w:sz w:val="22"/>
        </w:rPr>
        <w:t>La generación, interconexión, transmisión, distribución y comercialización de electricidad están destinadas a satisfacer necesidades colectivas primordiales en forma permanente; por esta razón, son consideradas servicios públicos de carácter esencial, obligatorio y solidario, y de utilidad pública</w:t>
      </w:r>
      <w:r>
        <w:rPr>
          <w:rFonts w:ascii="Bookman Old Style" w:hAnsi="Bookman Old Style" w:cs="Arial"/>
          <w:i/>
          <w:iCs/>
          <w:sz w:val="22"/>
        </w:rPr>
        <w:t xml:space="preserve"> (…)</w:t>
      </w:r>
      <w:r w:rsidRPr="00187529">
        <w:rPr>
          <w:rFonts w:ascii="Bookman Old Style" w:hAnsi="Bookman Old Style" w:cs="Arial"/>
          <w:i/>
          <w:iCs/>
          <w:sz w:val="22"/>
        </w:rPr>
        <w:t>”.</w:t>
      </w:r>
    </w:p>
    <w:p w:rsidR="00187529" w:rsidRPr="002D07C1" w:rsidRDefault="00187529" w:rsidP="00187529">
      <w:pPr>
        <w:jc w:val="both"/>
        <w:rPr>
          <w:rFonts w:ascii="Ebrima" w:hAnsi="Ebrima" w:cs="Arial"/>
        </w:rPr>
      </w:pPr>
    </w:p>
    <w:p w:rsidR="00187529" w:rsidRPr="00187529" w:rsidRDefault="00187529" w:rsidP="00187529">
      <w:pPr>
        <w:pStyle w:val="Textoindependiente"/>
        <w:ind w:left="0"/>
        <w:jc w:val="both"/>
        <w:rPr>
          <w:rFonts w:ascii="Bookman Old Style" w:hAnsi="Bookman Old Style"/>
          <w:b w:val="0"/>
        </w:rPr>
      </w:pPr>
      <w:r w:rsidRPr="00187529">
        <w:rPr>
          <w:rFonts w:ascii="Bookman Old Style" w:hAnsi="Bookman Old Style"/>
          <w:b w:val="0"/>
        </w:rPr>
        <w:t>Así mismo, el Artículo 6o dispone:</w:t>
      </w:r>
    </w:p>
    <w:p w:rsidR="00187529" w:rsidRPr="002D07C1" w:rsidRDefault="00187529" w:rsidP="00187529">
      <w:pPr>
        <w:jc w:val="both"/>
        <w:rPr>
          <w:rFonts w:ascii="Ebrima" w:hAnsi="Ebrima" w:cs="Arial"/>
        </w:rPr>
      </w:pPr>
    </w:p>
    <w:p w:rsidR="00187529" w:rsidRPr="00187529" w:rsidRDefault="00187529" w:rsidP="00187529">
      <w:pPr>
        <w:ind w:left="709" w:right="459"/>
        <w:jc w:val="both"/>
        <w:rPr>
          <w:rFonts w:ascii="Bookman Old Style" w:hAnsi="Bookman Old Style" w:cs="Arial"/>
          <w:i/>
          <w:iCs/>
          <w:sz w:val="22"/>
        </w:rPr>
      </w:pPr>
      <w:r w:rsidRPr="00187529">
        <w:rPr>
          <w:rFonts w:ascii="Bookman Old Style" w:hAnsi="Bookman Old Style" w:cs="Arial"/>
          <w:i/>
          <w:iCs/>
          <w:sz w:val="22"/>
        </w:rPr>
        <w:t>“</w:t>
      </w:r>
      <w:r>
        <w:rPr>
          <w:rFonts w:ascii="Bookman Old Style" w:hAnsi="Bookman Old Style" w:cs="Arial"/>
          <w:i/>
          <w:iCs/>
          <w:sz w:val="22"/>
        </w:rPr>
        <w:t xml:space="preserve">(…) </w:t>
      </w:r>
      <w:r w:rsidRPr="00187529">
        <w:rPr>
          <w:rFonts w:ascii="Bookman Old Style" w:hAnsi="Bookman Old Style" w:cs="Arial"/>
          <w:i/>
          <w:iCs/>
          <w:sz w:val="22"/>
        </w:rPr>
        <w:t>Las actividades relacionadas con el servicio de electricidad se regirán por principios de eficiencia, calidad, continuidad, adaptabilidad, neutralidad, solidaridad y equidad (…)</w:t>
      </w:r>
    </w:p>
    <w:p w:rsidR="00187529" w:rsidRPr="00187529" w:rsidRDefault="00187529" w:rsidP="00187529">
      <w:pPr>
        <w:ind w:left="709" w:right="459"/>
        <w:jc w:val="both"/>
        <w:rPr>
          <w:rFonts w:ascii="Bookman Old Style" w:hAnsi="Bookman Old Style" w:cs="Arial"/>
          <w:i/>
          <w:iCs/>
          <w:sz w:val="22"/>
        </w:rPr>
      </w:pPr>
    </w:p>
    <w:p w:rsidR="00187529" w:rsidRPr="00187529" w:rsidRDefault="00187529" w:rsidP="00187529">
      <w:pPr>
        <w:ind w:left="709" w:right="459"/>
        <w:jc w:val="both"/>
        <w:rPr>
          <w:rFonts w:ascii="Bookman Old Style" w:hAnsi="Bookman Old Style" w:cs="Arial"/>
          <w:i/>
          <w:iCs/>
          <w:sz w:val="22"/>
        </w:rPr>
      </w:pPr>
      <w:r w:rsidRPr="00187529">
        <w:rPr>
          <w:rFonts w:ascii="Bookman Old Style" w:hAnsi="Bookman Old Style" w:cs="Arial"/>
          <w:i/>
          <w:iCs/>
          <w:sz w:val="22"/>
        </w:rPr>
        <w:t>“El principio de continuidad implica que el servicio se deberá prestar aún en casos de quiebra, liquidación, intervención, sustitución o terminación de contratos de las empresas responsables del mismo, sin interrupciones diferentes a las programadas por razones técnicas, fuerza mayor, caso fortuito, o por las sanciones impuestas al usuario por el incumplimiento de sus obligaciones (…).”</w:t>
      </w:r>
    </w:p>
    <w:p w:rsidR="00187529" w:rsidRPr="002D07C1" w:rsidRDefault="00187529" w:rsidP="00187529">
      <w:pPr>
        <w:ind w:left="708"/>
        <w:jc w:val="both"/>
        <w:rPr>
          <w:rFonts w:ascii="Ebrima" w:hAnsi="Ebrima" w:cs="Arial"/>
          <w:i/>
          <w:iCs/>
        </w:rPr>
      </w:pPr>
    </w:p>
    <w:p w:rsidR="00187529" w:rsidRPr="00187529" w:rsidRDefault="00187529" w:rsidP="00187529">
      <w:pPr>
        <w:pStyle w:val="Textoindependiente"/>
        <w:ind w:left="0"/>
        <w:jc w:val="both"/>
        <w:rPr>
          <w:rFonts w:ascii="Bookman Old Style" w:hAnsi="Bookman Old Style"/>
          <w:b w:val="0"/>
        </w:rPr>
      </w:pPr>
      <w:r w:rsidRPr="00187529">
        <w:rPr>
          <w:rFonts w:ascii="Bookman Old Style" w:hAnsi="Bookman Old Style"/>
          <w:b w:val="0"/>
        </w:rPr>
        <w:t xml:space="preserve">De otra parte, el Artículo 20 señala: </w:t>
      </w:r>
    </w:p>
    <w:p w:rsidR="00187529" w:rsidRPr="00187529" w:rsidRDefault="00187529" w:rsidP="00187529">
      <w:pPr>
        <w:pStyle w:val="Textoindependiente"/>
        <w:ind w:left="0"/>
        <w:jc w:val="both"/>
        <w:rPr>
          <w:rFonts w:ascii="Bookman Old Style" w:hAnsi="Bookman Old Style"/>
          <w:b w:val="0"/>
        </w:rPr>
      </w:pPr>
    </w:p>
    <w:p w:rsidR="00187529" w:rsidRPr="00187529" w:rsidRDefault="00187529" w:rsidP="00187529">
      <w:pPr>
        <w:ind w:left="709" w:right="459"/>
        <w:jc w:val="both"/>
        <w:rPr>
          <w:rFonts w:ascii="Bookman Old Style" w:hAnsi="Bookman Old Style" w:cs="Arial"/>
          <w:i/>
          <w:iCs/>
          <w:sz w:val="22"/>
        </w:rPr>
      </w:pPr>
      <w:r w:rsidRPr="00187529">
        <w:rPr>
          <w:rFonts w:ascii="Bookman Old Style" w:hAnsi="Bookman Old Style" w:cs="Arial"/>
          <w:i/>
          <w:iCs/>
          <w:sz w:val="22"/>
        </w:rPr>
        <w:t xml:space="preserve">“En relación con el sector energético </w:t>
      </w:r>
      <w:r w:rsidRPr="00187529">
        <w:rPr>
          <w:rFonts w:ascii="Bookman Old Style" w:hAnsi="Bookman Old Style" w:cs="Arial"/>
          <w:b/>
          <w:i/>
          <w:iCs/>
          <w:sz w:val="22"/>
        </w:rPr>
        <w:t>la función de regulación por parte del Estado tendrá como objetivo básico asegurar una adecuada prestación del servicio mediante el aprovechamiento eficiente de los diferentes recursos energéticos, en beneficio del usuario en términos de calidad, oportunidad y costo del servicio.</w:t>
      </w:r>
      <w:r w:rsidRPr="00187529">
        <w:rPr>
          <w:rFonts w:ascii="Bookman Old Style" w:hAnsi="Bookman Old Style" w:cs="Arial"/>
          <w:i/>
          <w:iCs/>
          <w:sz w:val="22"/>
        </w:rPr>
        <w:t xml:space="preserve"> Para el logro de este objetivo, promoverá la competencia, creará y preservará las condiciones que la hagan posible (…)” (negrilla fuera del original).</w:t>
      </w:r>
    </w:p>
    <w:p w:rsidR="00187529" w:rsidRPr="00187529" w:rsidRDefault="00187529" w:rsidP="00187529">
      <w:pPr>
        <w:ind w:left="709" w:right="459"/>
        <w:jc w:val="both"/>
        <w:rPr>
          <w:rFonts w:ascii="Bookman Old Style" w:hAnsi="Bookman Old Style" w:cs="Arial"/>
          <w:i/>
          <w:iCs/>
          <w:sz w:val="22"/>
        </w:rPr>
      </w:pPr>
    </w:p>
    <w:p w:rsidR="00187529" w:rsidRPr="00187529" w:rsidRDefault="00187529" w:rsidP="00187529">
      <w:pPr>
        <w:pStyle w:val="Textoindependiente"/>
        <w:ind w:left="0"/>
        <w:jc w:val="both"/>
        <w:rPr>
          <w:rFonts w:ascii="Bookman Old Style" w:hAnsi="Bookman Old Style"/>
          <w:b w:val="0"/>
        </w:rPr>
      </w:pPr>
      <w:r w:rsidRPr="00187529">
        <w:rPr>
          <w:rFonts w:ascii="Bookman Old Style" w:hAnsi="Bookman Old Style"/>
          <w:b w:val="0"/>
        </w:rPr>
        <w:t>En  igual sentido, el Artículo 33 de la Ley 143, ordena:</w:t>
      </w:r>
    </w:p>
    <w:p w:rsidR="00187529" w:rsidRPr="002D07C1" w:rsidRDefault="00187529" w:rsidP="00187529">
      <w:pPr>
        <w:ind w:left="709"/>
        <w:jc w:val="both"/>
        <w:rPr>
          <w:rFonts w:ascii="Ebrima" w:hAnsi="Ebrima" w:cs="Arial"/>
          <w:i/>
          <w:iCs/>
        </w:rPr>
      </w:pPr>
    </w:p>
    <w:p w:rsidR="00187529" w:rsidRPr="00187529" w:rsidRDefault="00187529" w:rsidP="00187529">
      <w:pPr>
        <w:ind w:left="709" w:right="459"/>
        <w:jc w:val="both"/>
        <w:rPr>
          <w:rFonts w:ascii="Bookman Old Style" w:hAnsi="Bookman Old Style" w:cs="Arial"/>
          <w:i/>
          <w:iCs/>
          <w:sz w:val="22"/>
        </w:rPr>
      </w:pPr>
      <w:r w:rsidRPr="00187529">
        <w:rPr>
          <w:rFonts w:ascii="Bookman Old Style" w:hAnsi="Bookman Old Style" w:cs="Arial"/>
          <w:i/>
          <w:iCs/>
          <w:sz w:val="22"/>
        </w:rPr>
        <w:t>“La operación del Sistema Interconectado se hará procurando atender la demanda en forma confiable, segura y con calidad del servicio mediante la utilización de los recursos disponibles en forma económica y conveniente para el país (…)”.</w:t>
      </w:r>
    </w:p>
    <w:p w:rsidR="00187529" w:rsidRPr="002D07C1" w:rsidRDefault="00187529" w:rsidP="00187529">
      <w:pPr>
        <w:jc w:val="both"/>
        <w:rPr>
          <w:rFonts w:ascii="Ebrima" w:hAnsi="Ebrima" w:cs="Arial"/>
        </w:rPr>
      </w:pPr>
    </w:p>
    <w:p w:rsidR="00187529" w:rsidRPr="00187529" w:rsidRDefault="00187529" w:rsidP="00187529">
      <w:pPr>
        <w:pStyle w:val="Textoindependiente"/>
        <w:ind w:left="0"/>
        <w:jc w:val="both"/>
        <w:rPr>
          <w:rFonts w:ascii="Bookman Old Style" w:hAnsi="Bookman Old Style"/>
          <w:b w:val="0"/>
        </w:rPr>
      </w:pPr>
      <w:r w:rsidRPr="00187529">
        <w:rPr>
          <w:rFonts w:ascii="Bookman Old Style" w:hAnsi="Bookman Old Style"/>
          <w:b w:val="0"/>
          <w:bCs w:val="0"/>
        </w:rPr>
        <w:t>Dentro de dicho contexto, la Ley 143 de 1994, estableció las funciones de la Comisión de Regulación de Energía y Gas para el cumplimiento del objetivo previsto en el Artículo 20 de dicha norma, esto es, la regulación del sector, entre las cuales incluyó en su Artículo 23 las siguientes</w:t>
      </w:r>
      <w:r w:rsidRPr="00187529">
        <w:rPr>
          <w:rFonts w:ascii="Bookman Old Style" w:hAnsi="Bookman Old Style"/>
          <w:b w:val="0"/>
        </w:rPr>
        <w:t>:</w:t>
      </w:r>
    </w:p>
    <w:p w:rsidR="00187529" w:rsidRPr="002D07C1" w:rsidRDefault="00187529" w:rsidP="00187529">
      <w:pPr>
        <w:jc w:val="both"/>
        <w:rPr>
          <w:rFonts w:ascii="Ebrima" w:hAnsi="Ebrima" w:cs="Arial"/>
        </w:rPr>
      </w:pPr>
      <w:r w:rsidRPr="002D07C1">
        <w:rPr>
          <w:rFonts w:ascii="Ebrima" w:hAnsi="Ebrima" w:cs="Arial"/>
        </w:rPr>
        <w:t xml:space="preserve"> </w:t>
      </w:r>
    </w:p>
    <w:p w:rsidR="00187529" w:rsidRPr="00187529" w:rsidRDefault="00187529" w:rsidP="00187529">
      <w:pPr>
        <w:ind w:left="709" w:right="459"/>
        <w:jc w:val="both"/>
        <w:rPr>
          <w:rFonts w:ascii="Bookman Old Style" w:hAnsi="Bookman Old Style" w:cs="Arial"/>
          <w:i/>
          <w:iCs/>
          <w:sz w:val="22"/>
        </w:rPr>
      </w:pPr>
      <w:r w:rsidRPr="00187529">
        <w:rPr>
          <w:rFonts w:ascii="Bookman Old Style" w:hAnsi="Bookman Old Style" w:cs="Arial"/>
          <w:i/>
          <w:iCs/>
          <w:sz w:val="22"/>
        </w:rPr>
        <w:t>“a) Crear las condiciones para asegurar la disponibilidad de una oferta energética eficiente capaz de abastecer la demanda bajo criterios sociales, económicos, ambientales y de viabilidad financiera, promover y preservar la competencia.</w:t>
      </w:r>
    </w:p>
    <w:p w:rsidR="00187529" w:rsidRPr="00187529" w:rsidRDefault="00187529" w:rsidP="00187529">
      <w:pPr>
        <w:ind w:left="709" w:right="459"/>
        <w:jc w:val="both"/>
        <w:rPr>
          <w:rFonts w:ascii="Bookman Old Style" w:hAnsi="Bookman Old Style" w:cs="Arial"/>
          <w:i/>
          <w:iCs/>
          <w:sz w:val="22"/>
        </w:rPr>
      </w:pPr>
    </w:p>
    <w:p w:rsidR="00187529" w:rsidRPr="00187529" w:rsidRDefault="00187529" w:rsidP="00187529">
      <w:pPr>
        <w:ind w:left="709" w:right="459"/>
        <w:jc w:val="both"/>
        <w:rPr>
          <w:rFonts w:ascii="Bookman Old Style" w:hAnsi="Bookman Old Style" w:cs="Arial"/>
          <w:i/>
          <w:iCs/>
          <w:sz w:val="22"/>
        </w:rPr>
      </w:pPr>
      <w:r w:rsidRPr="00187529">
        <w:rPr>
          <w:rFonts w:ascii="Bookman Old Style" w:hAnsi="Bookman Old Style" w:cs="Arial"/>
          <w:i/>
          <w:iCs/>
          <w:sz w:val="22"/>
        </w:rPr>
        <w:t>En el sector eléctrico, la oferta eficiente tendrá en cuenta la capacidad de generación de respaldo, la cual será valorada por la Comisión de Regulación de Energía y Gas, según los criterios que establezca la Unidad de Planeación Minero - Energética en el plan de expansión. (...)</w:t>
      </w:r>
    </w:p>
    <w:p w:rsidR="00D95151" w:rsidRPr="00187529" w:rsidRDefault="00D95151" w:rsidP="00187529">
      <w:pPr>
        <w:ind w:left="709" w:right="459"/>
        <w:jc w:val="both"/>
        <w:rPr>
          <w:rFonts w:ascii="Bookman Old Style" w:hAnsi="Bookman Old Style" w:cs="Arial"/>
          <w:i/>
          <w:iCs/>
          <w:sz w:val="22"/>
        </w:rPr>
      </w:pPr>
    </w:p>
    <w:p w:rsidR="00187529" w:rsidRPr="00187529" w:rsidRDefault="00187529" w:rsidP="00187529">
      <w:pPr>
        <w:ind w:left="709" w:right="459"/>
        <w:jc w:val="both"/>
        <w:rPr>
          <w:rFonts w:ascii="Bookman Old Style" w:hAnsi="Bookman Old Style" w:cs="Arial"/>
          <w:i/>
          <w:iCs/>
          <w:sz w:val="22"/>
        </w:rPr>
      </w:pPr>
      <w:r w:rsidRPr="00187529">
        <w:rPr>
          <w:rFonts w:ascii="Bookman Old Style" w:hAnsi="Bookman Old Style" w:cs="Arial"/>
          <w:i/>
          <w:iCs/>
          <w:sz w:val="22"/>
        </w:rPr>
        <w:t>i) Establecer el Reglamento de operación para realizar el planeamiento y la coordinación de la operación del Sistema Interconectado Nacional, después de haber oído los conceptos del Consejo Nacional de Operación. (...)</w:t>
      </w:r>
    </w:p>
    <w:p w:rsidR="00187529" w:rsidRPr="00187529" w:rsidRDefault="00187529" w:rsidP="00187529">
      <w:pPr>
        <w:ind w:left="709" w:right="459"/>
        <w:jc w:val="both"/>
        <w:rPr>
          <w:rFonts w:ascii="Bookman Old Style" w:hAnsi="Bookman Old Style" w:cs="Arial"/>
          <w:i/>
          <w:iCs/>
          <w:sz w:val="22"/>
        </w:rPr>
      </w:pPr>
    </w:p>
    <w:p w:rsidR="00187529" w:rsidRPr="00187529" w:rsidRDefault="00187529" w:rsidP="00187529">
      <w:pPr>
        <w:ind w:left="709" w:right="459"/>
        <w:jc w:val="both"/>
        <w:rPr>
          <w:rFonts w:ascii="Bookman Old Style" w:hAnsi="Bookman Old Style" w:cs="Arial"/>
          <w:i/>
          <w:iCs/>
          <w:sz w:val="22"/>
        </w:rPr>
      </w:pPr>
      <w:r w:rsidRPr="00187529">
        <w:rPr>
          <w:rFonts w:ascii="Bookman Old Style" w:hAnsi="Bookman Old Style" w:cs="Arial"/>
          <w:i/>
          <w:iCs/>
          <w:sz w:val="22"/>
        </w:rPr>
        <w:t>n) Definir y hacer operativos los criterios técnicos de calidad, confiabilidad  y seguridad del servicio de energía (…)</w:t>
      </w:r>
      <w:r>
        <w:rPr>
          <w:rFonts w:ascii="Bookman Old Style" w:hAnsi="Bookman Old Style" w:cs="Arial"/>
          <w:i/>
          <w:iCs/>
          <w:sz w:val="22"/>
        </w:rPr>
        <w:t>”</w:t>
      </w:r>
      <w:r w:rsidRPr="00187529">
        <w:rPr>
          <w:rFonts w:ascii="Bookman Old Style" w:hAnsi="Bookman Old Style" w:cs="Arial"/>
          <w:i/>
          <w:iCs/>
          <w:sz w:val="22"/>
        </w:rPr>
        <w:t>.</w:t>
      </w:r>
    </w:p>
    <w:p w:rsidR="00187529" w:rsidRPr="002D07C1" w:rsidRDefault="00187529" w:rsidP="00187529">
      <w:pPr>
        <w:jc w:val="both"/>
        <w:rPr>
          <w:rFonts w:ascii="Ebrima" w:hAnsi="Ebrima" w:cs="Arial"/>
        </w:rPr>
      </w:pPr>
    </w:p>
    <w:p w:rsidR="00187529" w:rsidRPr="00187529" w:rsidRDefault="00187529" w:rsidP="00187529">
      <w:pPr>
        <w:pStyle w:val="Textoindependiente"/>
        <w:ind w:left="0"/>
        <w:jc w:val="both"/>
        <w:rPr>
          <w:rFonts w:ascii="Bookman Old Style" w:hAnsi="Bookman Old Style"/>
          <w:b w:val="0"/>
        </w:rPr>
      </w:pPr>
      <w:r w:rsidRPr="00187529">
        <w:rPr>
          <w:rFonts w:ascii="Bookman Old Style" w:hAnsi="Bookman Old Style"/>
          <w:b w:val="0"/>
        </w:rPr>
        <w:t>Igualmente, la Ley 142 de 1994, Artículo 74.1, le atribuye las siguientes funciones a la CREG:</w:t>
      </w:r>
    </w:p>
    <w:p w:rsidR="00187529" w:rsidRPr="00187529" w:rsidRDefault="00187529" w:rsidP="00187529">
      <w:pPr>
        <w:jc w:val="both"/>
        <w:rPr>
          <w:rFonts w:ascii="Ebrima" w:hAnsi="Ebrima" w:cs="Arial"/>
        </w:rPr>
      </w:pPr>
    </w:p>
    <w:p w:rsidR="00187529" w:rsidRPr="00187529" w:rsidRDefault="00187529" w:rsidP="00187529">
      <w:pPr>
        <w:ind w:left="709" w:right="459"/>
        <w:jc w:val="both"/>
        <w:rPr>
          <w:rFonts w:ascii="Bookman Old Style" w:hAnsi="Bookman Old Style" w:cs="Arial"/>
          <w:i/>
          <w:iCs/>
          <w:sz w:val="22"/>
        </w:rPr>
      </w:pPr>
      <w:r w:rsidRPr="00187529">
        <w:rPr>
          <w:rFonts w:ascii="Bookman Old Style" w:hAnsi="Bookman Old Style" w:cs="Arial"/>
          <w:i/>
          <w:iCs/>
          <w:sz w:val="22"/>
        </w:rPr>
        <w:t>“</w:t>
      </w:r>
      <w:r w:rsidR="00315A19">
        <w:rPr>
          <w:rFonts w:ascii="Bookman Old Style" w:hAnsi="Bookman Old Style" w:cs="Arial"/>
          <w:i/>
          <w:iCs/>
          <w:sz w:val="22"/>
        </w:rPr>
        <w:t xml:space="preserve">(…) </w:t>
      </w:r>
      <w:r w:rsidRPr="00187529">
        <w:rPr>
          <w:rFonts w:ascii="Bookman Old Style" w:hAnsi="Bookman Old Style" w:cs="Arial"/>
          <w:i/>
          <w:iCs/>
          <w:sz w:val="22"/>
        </w:rPr>
        <w:t xml:space="preserve">a. Regular el ejercicio de las actividades de los sectores de energía y gas combustible </w:t>
      </w:r>
      <w:r w:rsidRPr="00187529">
        <w:rPr>
          <w:rFonts w:ascii="Bookman Old Style" w:hAnsi="Bookman Old Style" w:cs="Arial"/>
          <w:b/>
          <w:bCs/>
          <w:i/>
          <w:iCs/>
          <w:sz w:val="22"/>
        </w:rPr>
        <w:t xml:space="preserve">para asegurar la disponibilidad de una oferta energética eficiente, </w:t>
      </w:r>
      <w:r w:rsidRPr="00187529">
        <w:rPr>
          <w:rFonts w:ascii="Bookman Old Style" w:hAnsi="Bookman Old Style" w:cs="Arial"/>
          <w:i/>
          <w:iCs/>
          <w:sz w:val="22"/>
        </w:rPr>
        <w:t>propiciar la competencia en el sector de minas y energía y proponer la adopción de las medidas necesarias para impedir abusos de posición dominante y buscar la liberación gradual de los mercados hacia la libre competencia. La comisión podrá adoptar reglas de comportamiento diferencial, según la posición de las empresas en el mercado. (…)</w:t>
      </w:r>
    </w:p>
    <w:p w:rsidR="00187529" w:rsidRPr="00187529" w:rsidRDefault="00187529" w:rsidP="00187529">
      <w:pPr>
        <w:jc w:val="both"/>
        <w:rPr>
          <w:rFonts w:ascii="Bookman Old Style" w:hAnsi="Bookman Old Style" w:cs="Arial"/>
          <w:sz w:val="22"/>
        </w:rPr>
      </w:pPr>
    </w:p>
    <w:p w:rsidR="00187529" w:rsidRPr="00187529" w:rsidRDefault="00187529" w:rsidP="00187529">
      <w:pPr>
        <w:ind w:left="709" w:right="459"/>
        <w:jc w:val="both"/>
        <w:rPr>
          <w:rFonts w:ascii="Bookman Old Style" w:hAnsi="Bookman Old Style" w:cs="Arial"/>
          <w:i/>
          <w:iCs/>
          <w:sz w:val="22"/>
        </w:rPr>
      </w:pPr>
      <w:r w:rsidRPr="00187529">
        <w:rPr>
          <w:rFonts w:ascii="Bookman Old Style" w:hAnsi="Bookman Old Style" w:cs="Arial"/>
          <w:i/>
          <w:iCs/>
          <w:sz w:val="22"/>
        </w:rPr>
        <w:t xml:space="preserve">c. </w:t>
      </w:r>
      <w:r w:rsidRPr="00187529">
        <w:rPr>
          <w:rFonts w:ascii="Bookman Old Style" w:hAnsi="Bookman Old Style" w:cs="Arial"/>
          <w:b/>
          <w:bCs/>
          <w:i/>
          <w:iCs/>
          <w:sz w:val="22"/>
        </w:rPr>
        <w:t xml:space="preserve">Establecer el reglamento de operación </w:t>
      </w:r>
      <w:r w:rsidRPr="00187529">
        <w:rPr>
          <w:rFonts w:ascii="Bookman Old Style" w:hAnsi="Bookman Old Style" w:cs="Arial"/>
          <w:i/>
          <w:iCs/>
          <w:sz w:val="22"/>
        </w:rPr>
        <w:t xml:space="preserve">para realizar el planeamiento y la coordinación de la operación del sistema interconectado nacional y </w:t>
      </w:r>
      <w:r w:rsidRPr="00187529">
        <w:rPr>
          <w:rFonts w:ascii="Bookman Old Style" w:hAnsi="Bookman Old Style" w:cs="Arial"/>
          <w:b/>
          <w:bCs/>
          <w:i/>
          <w:iCs/>
          <w:sz w:val="22"/>
        </w:rPr>
        <w:t xml:space="preserve">para regular el funcionamiento del mercado mayorista de energía </w:t>
      </w:r>
      <w:r w:rsidRPr="00187529">
        <w:rPr>
          <w:rFonts w:ascii="Bookman Old Style" w:hAnsi="Bookman Old Style" w:cs="Arial"/>
          <w:i/>
          <w:iCs/>
          <w:sz w:val="22"/>
        </w:rPr>
        <w:t>y gas combustible</w:t>
      </w:r>
      <w:r w:rsidR="00315A19">
        <w:rPr>
          <w:rFonts w:ascii="Bookman Old Style" w:hAnsi="Bookman Old Style" w:cs="Arial"/>
          <w:i/>
          <w:iCs/>
          <w:sz w:val="22"/>
        </w:rPr>
        <w:t xml:space="preserve"> (…)” (Negrilla fuera del original</w:t>
      </w:r>
      <w:r w:rsidRPr="00187529">
        <w:rPr>
          <w:rFonts w:ascii="Bookman Old Style" w:hAnsi="Bookman Old Style" w:cs="Arial"/>
          <w:i/>
          <w:iCs/>
          <w:sz w:val="22"/>
        </w:rPr>
        <w:t xml:space="preserve">). </w:t>
      </w:r>
    </w:p>
    <w:p w:rsidR="00187529" w:rsidRPr="00187529" w:rsidRDefault="00187529" w:rsidP="00187529">
      <w:pPr>
        <w:pStyle w:val="Textoindependiente21"/>
        <w:rPr>
          <w:rFonts w:ascii="Bookman Old Style" w:hAnsi="Bookman Old Style" w:cs="Arial"/>
          <w:sz w:val="22"/>
          <w:szCs w:val="24"/>
        </w:rPr>
      </w:pPr>
    </w:p>
    <w:p w:rsidR="00187529" w:rsidRPr="00187529" w:rsidRDefault="00187529" w:rsidP="00187529">
      <w:pPr>
        <w:pStyle w:val="Textoindependiente"/>
        <w:ind w:left="0"/>
        <w:jc w:val="both"/>
        <w:rPr>
          <w:rFonts w:ascii="Bookman Old Style" w:hAnsi="Bookman Old Style"/>
          <w:b w:val="0"/>
        </w:rPr>
      </w:pPr>
      <w:r w:rsidRPr="00187529">
        <w:rPr>
          <w:rFonts w:ascii="Bookman Old Style" w:hAnsi="Bookman Old Style"/>
          <w:b w:val="0"/>
        </w:rPr>
        <w:t>El reglamento de operación de conformidad con el Artículo 11 de la Ley 143 de 1994 es el “</w:t>
      </w:r>
      <w:r w:rsidRPr="00EA4675">
        <w:rPr>
          <w:rFonts w:ascii="Bookman Old Style" w:hAnsi="Bookman Old Style"/>
          <w:b w:val="0"/>
          <w:i/>
        </w:rPr>
        <w:t>Conjunto de principios, criterios y procedimientos establecidos  para realizar el planeamiento, la coordinación y la ejecución de la operación del sistema interco</w:t>
      </w:r>
      <w:r w:rsidRPr="00EA4675">
        <w:rPr>
          <w:rFonts w:ascii="Bookman Old Style" w:hAnsi="Bookman Old Style"/>
          <w:b w:val="0"/>
          <w:i/>
        </w:rPr>
        <w:softHyphen/>
        <w:t>nectado nacional y para regular el funcionamiento del mercado mayorista de energía eléctrica. El Reglamento de Operación comprende varios documentos que se organizarán conforme a los temas propios del funcionamiento del sistema interconectado nacional</w:t>
      </w:r>
      <w:r w:rsidRPr="00187529">
        <w:rPr>
          <w:rFonts w:ascii="Bookman Old Style" w:hAnsi="Bookman Old Style"/>
          <w:b w:val="0"/>
        </w:rPr>
        <w:t>”.</w:t>
      </w:r>
    </w:p>
    <w:p w:rsidR="00187529" w:rsidRPr="00187529" w:rsidRDefault="00187529" w:rsidP="00187529">
      <w:pPr>
        <w:pStyle w:val="Textoindependiente"/>
        <w:ind w:left="0"/>
        <w:jc w:val="both"/>
        <w:rPr>
          <w:rFonts w:ascii="Bookman Old Style" w:hAnsi="Bookman Old Style"/>
          <w:b w:val="0"/>
        </w:rPr>
      </w:pPr>
    </w:p>
    <w:p w:rsidR="00187529" w:rsidRPr="00187529" w:rsidRDefault="00187529" w:rsidP="00187529">
      <w:pPr>
        <w:pStyle w:val="Textoindependiente"/>
        <w:ind w:left="0"/>
        <w:jc w:val="both"/>
        <w:rPr>
          <w:rFonts w:ascii="Bookman Old Style" w:hAnsi="Bookman Old Style"/>
          <w:b w:val="0"/>
        </w:rPr>
      </w:pPr>
      <w:r w:rsidRPr="00187529">
        <w:rPr>
          <w:rFonts w:ascii="Bookman Old Style" w:hAnsi="Bookman Old Style"/>
          <w:b w:val="0"/>
        </w:rPr>
        <w:t>De todo lo anterior resulta que: (1) uno de los propósitos básicos de la acción del Estado en relación con el sector eléctrico es asegurar el suministro continuo de energía eléctrica; (2) que la regulación de dicho sector le corresponde adoptarla a la Comisión de Regulación de Energía y Gas, y que para tal efecto la ley la dotó de claras competencias, pues previó que debían adoptarse condiciones para asegurar una oferta eficiente, lo cual incluye la capacidad de generación y respaldo, que por mandato expreso del Artículo 23, Literal a) de la Ley 143</w:t>
      </w:r>
      <w:r w:rsidR="00EA4675">
        <w:rPr>
          <w:rFonts w:ascii="Bookman Old Style" w:hAnsi="Bookman Old Style"/>
          <w:b w:val="0"/>
        </w:rPr>
        <w:t xml:space="preserve"> de 1994</w:t>
      </w:r>
      <w:r w:rsidRPr="00187529">
        <w:rPr>
          <w:rFonts w:ascii="Bookman Old Style" w:hAnsi="Bookman Old Style"/>
          <w:b w:val="0"/>
        </w:rPr>
        <w:t xml:space="preserve"> la CREG debe valorar; (3) que debía adoptar y hacer operativos criterios de seguridad y confiabilidad</w:t>
      </w:r>
      <w:r w:rsidR="00EA4675">
        <w:rPr>
          <w:rFonts w:ascii="Bookman Old Style" w:hAnsi="Bookman Old Style"/>
          <w:b w:val="0"/>
        </w:rPr>
        <w:t>,</w:t>
      </w:r>
      <w:r w:rsidRPr="00187529">
        <w:rPr>
          <w:rFonts w:ascii="Bookman Old Style" w:hAnsi="Bookman Old Style"/>
          <w:b w:val="0"/>
        </w:rPr>
        <w:t xml:space="preserve"> y que además debía adoptar el reglamento de operación, en el cual debe reflejarse lo anterior.</w:t>
      </w:r>
    </w:p>
    <w:p w:rsidR="00187529" w:rsidRPr="00187529" w:rsidRDefault="00187529" w:rsidP="00187529">
      <w:pPr>
        <w:pStyle w:val="Textoindependiente"/>
        <w:ind w:left="0"/>
        <w:jc w:val="both"/>
        <w:rPr>
          <w:rFonts w:ascii="Bookman Old Style" w:hAnsi="Bookman Old Style"/>
          <w:b w:val="0"/>
        </w:rPr>
      </w:pPr>
    </w:p>
    <w:p w:rsidR="00187529" w:rsidRPr="00187529" w:rsidRDefault="00187529" w:rsidP="00187529">
      <w:pPr>
        <w:pStyle w:val="Textoindependiente"/>
        <w:ind w:left="0"/>
        <w:jc w:val="both"/>
        <w:rPr>
          <w:rFonts w:ascii="Bookman Old Style" w:hAnsi="Bookman Old Style"/>
          <w:b w:val="0"/>
        </w:rPr>
      </w:pPr>
      <w:r w:rsidRPr="00187529">
        <w:rPr>
          <w:rFonts w:ascii="Bookman Old Style" w:hAnsi="Bookman Old Style"/>
          <w:b w:val="0"/>
        </w:rPr>
        <w:t xml:space="preserve">Para la mejor comprensión de los objetivos de estas disposiciones legales, debe recordarse que uno de los hechos, tal vez el más significativo que incidió en la expedición de las Leyes 142 y 143 de 1994, fue el racionamiento de energía de marzo de 1992, el cual puede explicar la insistencia del legislador en garantizar la disponibilidad de la oferta energética eficiente, incluida la capacidad de generación y de respaldo, para </w:t>
      </w:r>
      <w:r w:rsidR="00B35698">
        <w:rPr>
          <w:rFonts w:ascii="Bookman Old Style" w:hAnsi="Bookman Old Style"/>
          <w:b w:val="0"/>
        </w:rPr>
        <w:t>asegura</w:t>
      </w:r>
      <w:r w:rsidRPr="00187529">
        <w:rPr>
          <w:rFonts w:ascii="Bookman Old Style" w:hAnsi="Bookman Old Style"/>
          <w:b w:val="0"/>
        </w:rPr>
        <w:t xml:space="preserve">r la confiabilidad y continuidad del </w:t>
      </w:r>
      <w:r w:rsidR="00824444">
        <w:rPr>
          <w:rFonts w:ascii="Bookman Old Style" w:hAnsi="Bookman Old Style"/>
          <w:b w:val="0"/>
        </w:rPr>
        <w:t>servicio</w:t>
      </w:r>
      <w:r w:rsidRPr="00187529">
        <w:rPr>
          <w:rFonts w:ascii="Bookman Old Style" w:hAnsi="Bookman Old Style"/>
          <w:b w:val="0"/>
        </w:rPr>
        <w:t xml:space="preserve"> a través de la regulación</w:t>
      </w:r>
      <w:r w:rsidR="00B35698">
        <w:rPr>
          <w:rFonts w:ascii="Bookman Old Style" w:hAnsi="Bookman Old Style"/>
          <w:b w:val="0"/>
        </w:rPr>
        <w:t xml:space="preserve"> expedida por la CREG</w:t>
      </w:r>
      <w:r w:rsidR="004D3B7B">
        <w:rPr>
          <w:rStyle w:val="Refdenotaalpie"/>
          <w:rFonts w:ascii="Bookman Old Style" w:hAnsi="Bookman Old Style"/>
          <w:b w:val="0"/>
        </w:rPr>
        <w:footnoteReference w:id="15"/>
      </w:r>
      <w:r w:rsidRPr="00187529">
        <w:rPr>
          <w:rFonts w:ascii="Bookman Old Style" w:hAnsi="Bookman Old Style"/>
          <w:b w:val="0"/>
        </w:rPr>
        <w:t>.</w:t>
      </w:r>
    </w:p>
    <w:p w:rsidR="00187529" w:rsidRPr="00187529" w:rsidRDefault="00187529" w:rsidP="00187529">
      <w:pPr>
        <w:pStyle w:val="Textoindependiente"/>
        <w:ind w:left="0"/>
        <w:jc w:val="both"/>
        <w:rPr>
          <w:rFonts w:ascii="Bookman Old Style" w:hAnsi="Bookman Old Style"/>
          <w:b w:val="0"/>
        </w:rPr>
      </w:pPr>
    </w:p>
    <w:p w:rsidR="00187529" w:rsidRPr="00187529" w:rsidRDefault="00187529" w:rsidP="00187529">
      <w:pPr>
        <w:pStyle w:val="Textoindependiente"/>
        <w:ind w:left="0"/>
        <w:jc w:val="both"/>
        <w:rPr>
          <w:rFonts w:ascii="Bookman Old Style" w:hAnsi="Bookman Old Style"/>
          <w:b w:val="0"/>
        </w:rPr>
      </w:pPr>
      <w:r w:rsidRPr="00187529">
        <w:rPr>
          <w:rFonts w:ascii="Bookman Old Style" w:hAnsi="Bookman Old Style"/>
          <w:b w:val="0"/>
        </w:rPr>
        <w:t>Como consecuencia de lo anterior, la Comisión de Regulación de Energía y Gas creó el cargo por capacidad, con fundamento en las normas citadas con anterioridad.</w:t>
      </w:r>
    </w:p>
    <w:p w:rsidR="00187529" w:rsidRPr="00187529" w:rsidRDefault="00187529" w:rsidP="00187529">
      <w:pPr>
        <w:pStyle w:val="Textoindependiente"/>
        <w:ind w:left="0"/>
        <w:jc w:val="both"/>
        <w:rPr>
          <w:rFonts w:ascii="Bookman Old Style" w:hAnsi="Bookman Old Style"/>
          <w:b w:val="0"/>
        </w:rPr>
      </w:pPr>
    </w:p>
    <w:p w:rsidR="00187529" w:rsidRPr="00187529" w:rsidRDefault="00187529" w:rsidP="00187529">
      <w:pPr>
        <w:pStyle w:val="Textoindependiente"/>
        <w:ind w:left="0"/>
        <w:jc w:val="both"/>
        <w:rPr>
          <w:rFonts w:ascii="Bookman Old Style" w:hAnsi="Bookman Old Style"/>
          <w:b w:val="0"/>
        </w:rPr>
      </w:pPr>
      <w:r w:rsidRPr="00187529">
        <w:rPr>
          <w:rFonts w:ascii="Bookman Old Style" w:hAnsi="Bookman Old Style"/>
          <w:b w:val="0"/>
        </w:rPr>
        <w:t xml:space="preserve">La creación del Cargo por Capacidad obedeció a las características propias de la conformación del parque de generación del país, donde actualmente, aproximadamente, el 65% de la capacidad instalada corresponde a generación hidroeléctrica (generación mediante la utilización de agua), y el 35% a generación térmica (a base de gas natural, fuel </w:t>
      </w:r>
      <w:proofErr w:type="spellStart"/>
      <w:r w:rsidRPr="00187529">
        <w:rPr>
          <w:rFonts w:ascii="Bookman Old Style" w:hAnsi="Bookman Old Style"/>
          <w:b w:val="0"/>
        </w:rPr>
        <w:t>oil</w:t>
      </w:r>
      <w:proofErr w:type="spellEnd"/>
      <w:r w:rsidRPr="00187529">
        <w:rPr>
          <w:rFonts w:ascii="Bookman Old Style" w:hAnsi="Bookman Old Style"/>
          <w:b w:val="0"/>
        </w:rPr>
        <w:t xml:space="preserve">, carbón y otros combustibles). </w:t>
      </w:r>
    </w:p>
    <w:p w:rsidR="00187529" w:rsidRPr="00187529" w:rsidRDefault="00187529" w:rsidP="00187529">
      <w:pPr>
        <w:pStyle w:val="Textoindependiente"/>
        <w:ind w:left="0"/>
        <w:jc w:val="both"/>
        <w:rPr>
          <w:rFonts w:ascii="Bookman Old Style" w:hAnsi="Bookman Old Style"/>
          <w:b w:val="0"/>
        </w:rPr>
      </w:pPr>
    </w:p>
    <w:p w:rsidR="00187529" w:rsidRPr="00187529" w:rsidRDefault="00187529" w:rsidP="00187529">
      <w:pPr>
        <w:pStyle w:val="Textoindependiente"/>
        <w:ind w:left="0"/>
        <w:jc w:val="both"/>
        <w:rPr>
          <w:rFonts w:ascii="Bookman Old Style" w:hAnsi="Bookman Old Style"/>
          <w:b w:val="0"/>
        </w:rPr>
      </w:pPr>
      <w:r w:rsidRPr="00187529">
        <w:rPr>
          <w:rFonts w:ascii="Bookman Old Style" w:hAnsi="Bookman Old Style"/>
          <w:b w:val="0"/>
        </w:rPr>
        <w:t xml:space="preserve">Las características de las plantas hidráulicas instaladas en el país, corresponden en su mayoría a reservorios con poca capacidad de embalse. Esto hace que durante las estaciones de alta hidrología (periodos lluviosos), la demanda del país sea cubierta principalmente con energía hidroeléctrica, dados los bajos costos relativos del recurso hídrico, abundante en dicho periodo, pero que en épocas de hidrologías críticas, por la escasez del recurso hídrico, la generación hidroeléctrica  con las características a que se ha hecho referencia, no sea suficiente para atender toda la demanda del país y, por tanto, se requieran mecanismos que aseguren una generación de energía  en dichas épocas para así cumplir el deber constitucional de asegurar la prestación continua del servicio.  </w:t>
      </w:r>
    </w:p>
    <w:p w:rsidR="00187529" w:rsidRPr="00187529" w:rsidRDefault="00187529" w:rsidP="00187529">
      <w:pPr>
        <w:pStyle w:val="Textoindependiente"/>
        <w:ind w:left="0"/>
        <w:jc w:val="both"/>
        <w:rPr>
          <w:rFonts w:ascii="Bookman Old Style" w:hAnsi="Bookman Old Style"/>
          <w:b w:val="0"/>
        </w:rPr>
      </w:pPr>
    </w:p>
    <w:p w:rsidR="00187529" w:rsidRPr="00BD5E22" w:rsidRDefault="00187529" w:rsidP="00187529">
      <w:pPr>
        <w:pStyle w:val="Textoindependiente"/>
        <w:ind w:left="0"/>
        <w:jc w:val="both"/>
        <w:rPr>
          <w:rFonts w:ascii="Ebrima" w:eastAsia="Calibri" w:hAnsi="Ebrima"/>
        </w:rPr>
      </w:pPr>
      <w:r w:rsidRPr="00187529">
        <w:rPr>
          <w:rFonts w:ascii="Bookman Old Style" w:hAnsi="Bookman Old Style"/>
          <w:b w:val="0"/>
        </w:rPr>
        <w:t>Es este uno de los casos en que se tipifica lo que la ciencia económica a denominado una falla del mercado, la cual, como lo reconoce la Honorable Corte Constitucional, está constituidas por fenómenos tales como las externalidades, la ausencia de información perfecta, los monopolios naturales y las barreras de entrada o de salida, competencia destructiva, entre otros:</w:t>
      </w:r>
    </w:p>
    <w:p w:rsidR="00187529" w:rsidRPr="00BD5E22" w:rsidRDefault="00187529" w:rsidP="00187529">
      <w:pPr>
        <w:rPr>
          <w:rFonts w:ascii="Ebrima" w:eastAsia="Calibri" w:hAnsi="Ebrima" w:cs="Arial"/>
          <w:i/>
          <w:iCs/>
        </w:rPr>
      </w:pPr>
    </w:p>
    <w:p w:rsidR="00187529" w:rsidRPr="00187529" w:rsidRDefault="00187529" w:rsidP="00187529">
      <w:pPr>
        <w:ind w:left="709" w:right="459"/>
        <w:jc w:val="both"/>
        <w:rPr>
          <w:rFonts w:ascii="Bookman Old Style" w:hAnsi="Bookman Old Style" w:cs="Arial"/>
          <w:i/>
          <w:iCs/>
          <w:sz w:val="22"/>
        </w:rPr>
      </w:pPr>
      <w:r w:rsidRPr="000825B7">
        <w:rPr>
          <w:rFonts w:ascii="Ebrima" w:hAnsi="Ebrima" w:cs="Arial"/>
          <w:i/>
          <w:iCs/>
        </w:rPr>
        <w:t>“</w:t>
      </w:r>
      <w:r>
        <w:rPr>
          <w:rFonts w:ascii="Ebrima" w:hAnsi="Ebrima" w:cs="Arial"/>
          <w:i/>
          <w:iCs/>
        </w:rPr>
        <w:t xml:space="preserve">(…) </w:t>
      </w:r>
      <w:r w:rsidRPr="00187529">
        <w:rPr>
          <w:rFonts w:ascii="Bookman Old Style" w:hAnsi="Bookman Old Style" w:cs="Arial"/>
          <w:i/>
          <w:iCs/>
          <w:sz w:val="22"/>
        </w:rPr>
        <w:t>La literatura sobre "fallas del mercado" versa sobre este problema.</w:t>
      </w:r>
      <w:r w:rsidRPr="00187529">
        <w:rPr>
          <w:rStyle w:val="Refdenotaalpie"/>
          <w:rFonts w:ascii="Bookman Old Style" w:hAnsi="Bookman Old Style" w:cs="Arial"/>
          <w:i/>
          <w:iCs/>
          <w:sz w:val="22"/>
        </w:rPr>
        <w:footnoteReference w:id="16"/>
      </w:r>
      <w:r w:rsidRPr="00187529">
        <w:rPr>
          <w:rFonts w:ascii="Bookman Old Style" w:hAnsi="Bookman Old Style" w:cs="Arial"/>
          <w:i/>
          <w:iCs/>
          <w:sz w:val="22"/>
        </w:rPr>
        <w:t xml:space="preserve"> Fenómenos tales como las externalidades, la ausencia de información perfecta, los monopolios naturales y las barreras de entrada o de salida, competencia destructiva, entre otros, conllevan a que el precio y la calidad de los bienes, servicios y oportunidades que hay en el mercado no sean ofrecidos de acuerdo con la interacción de la oferta y la demanda, sino en las condiciones impuestas por algunas personas en perjuicio de otras (…)”</w:t>
      </w:r>
      <w:r w:rsidRPr="00187529">
        <w:rPr>
          <w:rStyle w:val="Refdenotaalpie"/>
          <w:rFonts w:ascii="Bookman Old Style" w:hAnsi="Bookman Old Style" w:cs="Arial"/>
          <w:i/>
          <w:iCs/>
          <w:sz w:val="22"/>
        </w:rPr>
        <w:footnoteReference w:id="17"/>
      </w:r>
      <w:r w:rsidRPr="00187529">
        <w:rPr>
          <w:rFonts w:ascii="Bookman Old Style" w:hAnsi="Bookman Old Style" w:cs="Arial"/>
          <w:i/>
          <w:iCs/>
          <w:sz w:val="22"/>
        </w:rPr>
        <w:t xml:space="preserve">. </w:t>
      </w:r>
    </w:p>
    <w:p w:rsidR="00187529" w:rsidRPr="00BD5E22" w:rsidRDefault="00187529" w:rsidP="00187529">
      <w:pPr>
        <w:widowControl w:val="0"/>
        <w:ind w:left="540" w:right="587"/>
        <w:rPr>
          <w:rFonts w:ascii="Ebrima" w:eastAsia="Calibri" w:hAnsi="Ebrima" w:cs="Arial"/>
          <w:color w:val="000000"/>
        </w:rPr>
      </w:pPr>
    </w:p>
    <w:p w:rsidR="00D95151" w:rsidRDefault="00D95151" w:rsidP="00187529">
      <w:pPr>
        <w:pStyle w:val="Textoindependiente"/>
        <w:ind w:left="0"/>
        <w:jc w:val="both"/>
        <w:rPr>
          <w:rFonts w:ascii="Bookman Old Style" w:hAnsi="Bookman Old Style"/>
          <w:b w:val="0"/>
        </w:rPr>
      </w:pPr>
    </w:p>
    <w:p w:rsidR="00187529" w:rsidRPr="00187529" w:rsidRDefault="00187529" w:rsidP="00187529">
      <w:pPr>
        <w:pStyle w:val="Textoindependiente"/>
        <w:ind w:left="0"/>
        <w:jc w:val="both"/>
        <w:rPr>
          <w:rFonts w:ascii="Bookman Old Style" w:hAnsi="Bookman Old Style"/>
          <w:b w:val="0"/>
        </w:rPr>
      </w:pPr>
      <w:r w:rsidRPr="00187529">
        <w:rPr>
          <w:rFonts w:ascii="Bookman Old Style" w:hAnsi="Bookman Old Style"/>
          <w:b w:val="0"/>
        </w:rPr>
        <w:t xml:space="preserve">En este caso, se trata de una externalidad que consiste en que un sistema de generación como el nuestro, integrado mayoritariamente por plantas hidráulicas, se encuentra expuesto al carácter estacional de la hidrología porque frente a periodos extremadamente secos asociados al fenómeno de El Niño y que se producen en periodos no predeterminados de entre 4 y 7 años, los usuarios y generadores no internalizan los costos que demanda la </w:t>
      </w:r>
      <w:r w:rsidRPr="00187529">
        <w:rPr>
          <w:rFonts w:ascii="Bookman Old Style" w:hAnsi="Bookman Old Style"/>
          <w:b w:val="0"/>
        </w:rPr>
        <w:lastRenderedPageBreak/>
        <w:t>confiabilidad necesaria para superar estos periodos y se produce el riesgo de racionamiento y el ejercicio de un poder de mercado absoluto por los pocos agentes con capacidad de producir energía ante este fenómeno hidrológico frente a los consumidores.</w:t>
      </w:r>
    </w:p>
    <w:p w:rsidR="00187529" w:rsidRPr="00187529" w:rsidRDefault="00187529" w:rsidP="00187529">
      <w:pPr>
        <w:pStyle w:val="Textoindependiente"/>
        <w:ind w:left="0"/>
        <w:jc w:val="both"/>
        <w:rPr>
          <w:rFonts w:ascii="Bookman Old Style" w:hAnsi="Bookman Old Style"/>
          <w:b w:val="0"/>
        </w:rPr>
      </w:pPr>
    </w:p>
    <w:p w:rsidR="00187529" w:rsidRPr="00187529" w:rsidRDefault="00187529" w:rsidP="00187529">
      <w:pPr>
        <w:pStyle w:val="Textoindependiente"/>
        <w:ind w:left="0"/>
        <w:jc w:val="both"/>
        <w:rPr>
          <w:rFonts w:ascii="Bookman Old Style" w:hAnsi="Bookman Old Style"/>
          <w:b w:val="0"/>
        </w:rPr>
      </w:pPr>
      <w:r w:rsidRPr="00187529">
        <w:rPr>
          <w:rFonts w:ascii="Bookman Old Style" w:hAnsi="Bookman Old Style"/>
          <w:b w:val="0"/>
        </w:rPr>
        <w:t>La creación en aquel momento del Cargo por Capacidad</w:t>
      </w:r>
      <w:r w:rsidR="004D3B7B">
        <w:rPr>
          <w:rStyle w:val="Refdenotaalpie"/>
          <w:rFonts w:ascii="Bookman Old Style" w:hAnsi="Bookman Old Style"/>
          <w:b w:val="0"/>
        </w:rPr>
        <w:footnoteReference w:id="18"/>
      </w:r>
      <w:r w:rsidRPr="00187529">
        <w:rPr>
          <w:rFonts w:ascii="Bookman Old Style" w:hAnsi="Bookman Old Style"/>
          <w:b w:val="0"/>
        </w:rPr>
        <w:t xml:space="preserve"> obedeció a la necesidad de resolver esta falla identificada en el mercado de generación de energía, internalizando la referida externalidad a través del cobro que se le hace a los usuarios del respaldo que necesitan en periodos extremadamente secos o críticos y pagando a los generadores por la firmeza  que brindan.</w:t>
      </w:r>
    </w:p>
    <w:p w:rsidR="00187529" w:rsidRPr="00187529" w:rsidRDefault="00187529" w:rsidP="00187529">
      <w:pPr>
        <w:pStyle w:val="Textoindependiente"/>
        <w:ind w:left="0"/>
        <w:jc w:val="both"/>
        <w:rPr>
          <w:rFonts w:ascii="Bookman Old Style" w:hAnsi="Bookman Old Style"/>
          <w:b w:val="0"/>
        </w:rPr>
      </w:pPr>
    </w:p>
    <w:p w:rsidR="00187529" w:rsidRPr="00187529" w:rsidRDefault="00187529" w:rsidP="00187529">
      <w:pPr>
        <w:pStyle w:val="Textoindependiente"/>
        <w:ind w:left="0"/>
        <w:jc w:val="both"/>
        <w:rPr>
          <w:rFonts w:ascii="Bookman Old Style" w:eastAsia="Calibri" w:hAnsi="Bookman Old Style"/>
        </w:rPr>
      </w:pPr>
      <w:r w:rsidRPr="00187529">
        <w:rPr>
          <w:rFonts w:ascii="Bookman Old Style" w:hAnsi="Bookman Old Style"/>
          <w:b w:val="0"/>
        </w:rPr>
        <w:t xml:space="preserve">Tras diez años de aplicación ininterrumpida del Cargo por Capacidad, la CREG consideró necesario diseñar un nuevo esquema de remuneración que permita hacer más viable la inversión en los recursos de generación necesarios para atender la demanda de manera eficiente, en condiciones críticas de abastecimiento hídrico, a través de la estabilización de los ingresos del generador. Este esquema </w:t>
      </w:r>
      <w:proofErr w:type="spellStart"/>
      <w:r w:rsidRPr="00187529">
        <w:rPr>
          <w:rFonts w:ascii="Bookman Old Style" w:hAnsi="Bookman Old Style"/>
          <w:b w:val="0"/>
        </w:rPr>
        <w:t>reemplazó</w:t>
      </w:r>
      <w:proofErr w:type="spellEnd"/>
      <w:r w:rsidRPr="00187529">
        <w:rPr>
          <w:rFonts w:ascii="Bookman Old Style" w:hAnsi="Bookman Old Style"/>
          <w:b w:val="0"/>
        </w:rPr>
        <w:t xml:space="preserve"> el del Cargo por Capacidad para dar cumplimiento a los objetivos y el mandato incorporados en la Ley 143 de </w:t>
      </w:r>
      <w:r w:rsidR="004D3B7B">
        <w:rPr>
          <w:rFonts w:ascii="Bookman Old Style" w:eastAsia="Calibri" w:hAnsi="Bookman Old Style"/>
          <w:b w:val="0"/>
        </w:rPr>
        <w:t>1994, A</w:t>
      </w:r>
      <w:r w:rsidRPr="00187529">
        <w:rPr>
          <w:rFonts w:ascii="Bookman Old Style" w:eastAsia="Calibri" w:hAnsi="Bookman Old Style"/>
          <w:b w:val="0"/>
        </w:rPr>
        <w:t>rtículo 23,</w:t>
      </w:r>
      <w:r w:rsidRPr="00187529">
        <w:rPr>
          <w:rFonts w:ascii="Bookman Old Style" w:eastAsia="Calibri" w:hAnsi="Bookman Old Style"/>
        </w:rPr>
        <w:t xml:space="preserve"> denominándose como el esquema de Cargo por Confiabilidad.</w:t>
      </w:r>
    </w:p>
    <w:p w:rsidR="00187529" w:rsidRDefault="00187529" w:rsidP="00187529">
      <w:pPr>
        <w:tabs>
          <w:tab w:val="left" w:pos="284"/>
        </w:tabs>
        <w:contextualSpacing/>
        <w:jc w:val="both"/>
        <w:rPr>
          <w:rFonts w:ascii="Ebrima" w:eastAsia="Calibri" w:hAnsi="Ebrima" w:cs="Arial"/>
        </w:rPr>
      </w:pPr>
    </w:p>
    <w:p w:rsidR="00187529" w:rsidRPr="00187529" w:rsidRDefault="00187529" w:rsidP="00187529">
      <w:pPr>
        <w:pStyle w:val="Textoindependiente"/>
        <w:ind w:left="0"/>
        <w:jc w:val="both"/>
        <w:rPr>
          <w:rFonts w:ascii="Bookman Old Style" w:hAnsi="Bookman Old Style"/>
          <w:b w:val="0"/>
          <w:bCs w:val="0"/>
        </w:rPr>
      </w:pPr>
      <w:r w:rsidRPr="00187529">
        <w:rPr>
          <w:rFonts w:ascii="Bookman Old Style" w:hAnsi="Bookman Old Style"/>
          <w:b w:val="0"/>
          <w:bCs w:val="0"/>
        </w:rPr>
        <w:t>Se puede observar que las facultades constitucionales, legales y reglamentarias usadas para establecer el esquema del Cargo por Capacidad, son las mismas normas que fundamentan el establecimiento del sistema de Cargo por Confiabilidad.</w:t>
      </w:r>
    </w:p>
    <w:p w:rsidR="00187529" w:rsidRPr="00187529" w:rsidRDefault="00187529" w:rsidP="00187529">
      <w:pPr>
        <w:tabs>
          <w:tab w:val="left" w:pos="284"/>
        </w:tabs>
        <w:ind w:left="284"/>
        <w:contextualSpacing/>
        <w:jc w:val="both"/>
        <w:rPr>
          <w:rFonts w:ascii="Bookman Old Style" w:hAnsi="Bookman Old Style" w:cs="Arial"/>
          <w:bCs/>
        </w:rPr>
      </w:pPr>
    </w:p>
    <w:p w:rsidR="00187529" w:rsidRPr="00187529" w:rsidRDefault="00187529" w:rsidP="00187529">
      <w:pPr>
        <w:pStyle w:val="Textoindependiente"/>
        <w:ind w:left="0"/>
        <w:jc w:val="both"/>
        <w:rPr>
          <w:rFonts w:ascii="Bookman Old Style" w:hAnsi="Bookman Old Style"/>
          <w:b w:val="0"/>
          <w:bCs w:val="0"/>
        </w:rPr>
      </w:pPr>
      <w:r w:rsidRPr="00187529">
        <w:rPr>
          <w:rFonts w:ascii="Bookman Old Style" w:hAnsi="Bookman Old Style"/>
          <w:b w:val="0"/>
          <w:bCs w:val="0"/>
        </w:rPr>
        <w:t>Después de un largo proceso de análisis y de consulta con la industria, buscando diferentes alternativas para la remuneración de los generadores</w:t>
      </w:r>
      <w:r w:rsidR="00B35698">
        <w:rPr>
          <w:rFonts w:ascii="Bookman Old Style" w:hAnsi="Bookman Old Style"/>
          <w:b w:val="0"/>
          <w:bCs w:val="0"/>
        </w:rPr>
        <w:t>,</w:t>
      </w:r>
      <w:r w:rsidRPr="00187529">
        <w:rPr>
          <w:rFonts w:ascii="Bookman Old Style" w:hAnsi="Bookman Old Style"/>
          <w:b w:val="0"/>
          <w:bCs w:val="0"/>
        </w:rPr>
        <w:t xml:space="preserve"> </w:t>
      </w:r>
      <w:r w:rsidR="00B35698">
        <w:rPr>
          <w:rFonts w:ascii="Bookman Old Style" w:hAnsi="Bookman Old Style"/>
          <w:b w:val="0"/>
          <w:bCs w:val="0"/>
        </w:rPr>
        <w:t xml:space="preserve">que </w:t>
      </w:r>
      <w:r w:rsidRPr="00187529">
        <w:rPr>
          <w:rFonts w:ascii="Bookman Old Style" w:hAnsi="Bookman Old Style"/>
          <w:b w:val="0"/>
          <w:bCs w:val="0"/>
        </w:rPr>
        <w:t>asegura</w:t>
      </w:r>
      <w:r w:rsidR="00B35698">
        <w:rPr>
          <w:rFonts w:ascii="Bookman Old Style" w:hAnsi="Bookman Old Style"/>
          <w:b w:val="0"/>
          <w:bCs w:val="0"/>
        </w:rPr>
        <w:t>ra</w:t>
      </w:r>
      <w:r w:rsidRPr="00187529">
        <w:rPr>
          <w:rFonts w:ascii="Bookman Old Style" w:hAnsi="Bookman Old Style"/>
          <w:b w:val="0"/>
          <w:bCs w:val="0"/>
        </w:rPr>
        <w:t xml:space="preserve"> la prestación continua y eficiente del servicio público domiciliario de energía eléctrica, la Comisión aprobó la Resolución CREG 071 de 2006 “Por la cual se adopta la metodología para la remuneración del Cargo por Confiabilidad en el Mercado Mayorista de Energía”.  </w:t>
      </w:r>
    </w:p>
    <w:p w:rsidR="00187529" w:rsidRPr="00187529" w:rsidRDefault="00187529" w:rsidP="00187529">
      <w:pPr>
        <w:tabs>
          <w:tab w:val="left" w:pos="284"/>
        </w:tabs>
        <w:contextualSpacing/>
        <w:jc w:val="both"/>
        <w:rPr>
          <w:rFonts w:ascii="Bookman Old Style" w:hAnsi="Bookman Old Style" w:cs="Arial"/>
          <w:bCs/>
        </w:rPr>
      </w:pPr>
    </w:p>
    <w:p w:rsidR="00187529" w:rsidRPr="00187529" w:rsidRDefault="00187529" w:rsidP="00187529">
      <w:pPr>
        <w:pStyle w:val="Textoindependiente"/>
        <w:ind w:left="0"/>
        <w:jc w:val="both"/>
        <w:rPr>
          <w:rFonts w:ascii="Bookman Old Style" w:hAnsi="Bookman Old Style"/>
          <w:b w:val="0"/>
          <w:bCs w:val="0"/>
        </w:rPr>
      </w:pPr>
      <w:r w:rsidRPr="00187529">
        <w:rPr>
          <w:rFonts w:ascii="Bookman Old Style" w:hAnsi="Bookman Old Style"/>
          <w:b w:val="0"/>
          <w:bCs w:val="0"/>
        </w:rPr>
        <w:t>El nuevo esquema se basa en un mecanismo de mercado, que opera desde diciembre de 2006 y conserva lo esencial del esquema de liquidación, facturación y recaudo que garantizó con éxito, durante los diez años continuos el pago a los generadores, creado por el Cargo por Capacidad.</w:t>
      </w:r>
    </w:p>
    <w:p w:rsidR="00187529" w:rsidRPr="00187529" w:rsidRDefault="00187529" w:rsidP="00187529">
      <w:pPr>
        <w:pStyle w:val="Textoindependiente"/>
        <w:ind w:left="0"/>
        <w:jc w:val="both"/>
        <w:rPr>
          <w:rFonts w:ascii="Bookman Old Style" w:hAnsi="Bookman Old Style"/>
          <w:b w:val="0"/>
          <w:bCs w:val="0"/>
        </w:rPr>
      </w:pPr>
    </w:p>
    <w:p w:rsidR="00187529" w:rsidRPr="00187529" w:rsidRDefault="00187529" w:rsidP="00187529">
      <w:pPr>
        <w:pStyle w:val="Textoindependiente"/>
        <w:ind w:left="0"/>
        <w:jc w:val="both"/>
        <w:rPr>
          <w:rFonts w:ascii="Bookman Old Style" w:hAnsi="Bookman Old Style"/>
          <w:b w:val="0"/>
          <w:bCs w:val="0"/>
        </w:rPr>
      </w:pPr>
      <w:r w:rsidRPr="00187529">
        <w:rPr>
          <w:rFonts w:ascii="Bookman Old Style" w:hAnsi="Bookman Old Style"/>
          <w:b w:val="0"/>
          <w:bCs w:val="0"/>
        </w:rPr>
        <w:t xml:space="preserve">Uno de los componentes esenciales del nuevo esquema de Cargo por Confiabilidad, es la existencia de las Obligaciones de Energía Firme (OEF), que corresponden a un compromiso que adquieren los generadores que voluntariamente participan en el esquema. Compromiso que debe estar respaldado por activos de generación capaces de producir energía firme durante condiciones críticas de abastecimiento. </w:t>
      </w:r>
    </w:p>
    <w:p w:rsidR="00187529" w:rsidRPr="00187529" w:rsidRDefault="00187529" w:rsidP="00187529">
      <w:pPr>
        <w:pStyle w:val="Textoindependiente"/>
        <w:ind w:left="0"/>
        <w:jc w:val="both"/>
        <w:rPr>
          <w:rFonts w:ascii="Bookman Old Style" w:hAnsi="Bookman Old Style"/>
          <w:b w:val="0"/>
          <w:bCs w:val="0"/>
        </w:rPr>
      </w:pPr>
    </w:p>
    <w:p w:rsidR="00187529" w:rsidRPr="00187529" w:rsidRDefault="00187529" w:rsidP="00187529">
      <w:pPr>
        <w:pStyle w:val="Textoindependiente"/>
        <w:ind w:left="0"/>
        <w:jc w:val="both"/>
        <w:rPr>
          <w:rFonts w:ascii="Bookman Old Style" w:hAnsi="Bookman Old Style"/>
          <w:b w:val="0"/>
          <w:bCs w:val="0"/>
        </w:rPr>
      </w:pPr>
      <w:r w:rsidRPr="00187529">
        <w:rPr>
          <w:rFonts w:ascii="Bookman Old Style" w:hAnsi="Bookman Old Style"/>
          <w:b w:val="0"/>
          <w:bCs w:val="0"/>
        </w:rPr>
        <w:t>El nuevo esquema permite asegurar la confiabilidad en el suministro de energía en el largo plazo a precios eficientes, permitiendo la satisfacción de los usuarios.</w:t>
      </w:r>
    </w:p>
    <w:p w:rsidR="00187529" w:rsidRPr="00BD5E22" w:rsidRDefault="00187529" w:rsidP="00187529">
      <w:pPr>
        <w:ind w:left="284"/>
        <w:jc w:val="both"/>
        <w:rPr>
          <w:rFonts w:ascii="Ebrima" w:eastAsia="Calibri" w:hAnsi="Ebrima" w:cs="Arial"/>
        </w:rPr>
      </w:pPr>
    </w:p>
    <w:p w:rsidR="00187529" w:rsidRPr="00187529" w:rsidRDefault="00187529" w:rsidP="00187529">
      <w:pPr>
        <w:pStyle w:val="Textoindependiente"/>
        <w:ind w:left="0"/>
        <w:jc w:val="both"/>
        <w:rPr>
          <w:rFonts w:ascii="Bookman Old Style" w:hAnsi="Bookman Old Style"/>
          <w:b w:val="0"/>
          <w:bCs w:val="0"/>
        </w:rPr>
      </w:pPr>
      <w:r w:rsidRPr="00187529">
        <w:rPr>
          <w:rFonts w:ascii="Bookman Old Style" w:hAnsi="Bookman Old Style"/>
          <w:b w:val="0"/>
          <w:bCs w:val="0"/>
        </w:rPr>
        <w:lastRenderedPageBreak/>
        <w:t xml:space="preserve">Para estos propósitos, se subastan entre los generadores las OEF que se requieren para cubrir la demanda del Sistema. El generador al que se le asigna una OEF recibe una remuneración conocida y estable durante un plazo determinado, y a cambio </w:t>
      </w:r>
      <w:r w:rsidRPr="00EF120B">
        <w:rPr>
          <w:rFonts w:ascii="Bookman Old Style" w:hAnsi="Bookman Old Style"/>
          <w:bCs w:val="0"/>
        </w:rPr>
        <w:t>se compromete</w:t>
      </w:r>
      <w:r w:rsidRPr="00187529">
        <w:rPr>
          <w:rFonts w:ascii="Bookman Old Style" w:hAnsi="Bookman Old Style"/>
          <w:b w:val="0"/>
          <w:bCs w:val="0"/>
        </w:rPr>
        <w:t xml:space="preserve"> a entregar determinada cantidad de energía cuando el precio de bolsa supera un umbral previamente establecido por la CREG, denominado precio de escasez. Esta  remuneración es liquidada y recaudada por el ASIC (X.M S.A E.S.P) y pagada por los usuarios del SIN (Sistema Interconectado Nacional) a través de las tarifas que cobran los comercializadores.</w:t>
      </w:r>
    </w:p>
    <w:p w:rsidR="00187529" w:rsidRPr="00187529" w:rsidRDefault="00187529" w:rsidP="00187529">
      <w:pPr>
        <w:pStyle w:val="Textoindependiente"/>
        <w:ind w:left="0"/>
        <w:jc w:val="both"/>
        <w:rPr>
          <w:rFonts w:ascii="Bookman Old Style" w:hAnsi="Bookman Old Style"/>
          <w:b w:val="0"/>
          <w:bCs w:val="0"/>
        </w:rPr>
      </w:pPr>
    </w:p>
    <w:p w:rsidR="00EF120B" w:rsidRDefault="00187529" w:rsidP="00EF120B">
      <w:pPr>
        <w:pStyle w:val="Textoindependiente"/>
        <w:ind w:left="0"/>
        <w:jc w:val="both"/>
        <w:rPr>
          <w:rFonts w:ascii="Bookman Old Style" w:hAnsi="Bookman Old Style"/>
          <w:b w:val="0"/>
          <w:bCs w:val="0"/>
        </w:rPr>
      </w:pPr>
      <w:r w:rsidRPr="00187529">
        <w:rPr>
          <w:rFonts w:ascii="Bookman Old Style" w:hAnsi="Bookman Old Style"/>
          <w:b w:val="0"/>
          <w:bCs w:val="0"/>
        </w:rPr>
        <w:t>Las OEF del nuevo Cargo por Confiabilidad establecen un vínculo jurídico entre la demanda del MEN (Mercado de Energía Mayorista) y los generadores, que permite tanto a los generadores como a los usuarios del sistema, obtener los beneficios derivados de un mecanismo estable en el largo plazo y que da señales e incentivos para la inversión en nuevos recursos de generación, garantizando de esta forma el suministro de energía eléctrica.</w:t>
      </w:r>
    </w:p>
    <w:p w:rsidR="00EF120B" w:rsidRPr="00300121" w:rsidRDefault="00EF120B" w:rsidP="00EF120B">
      <w:pPr>
        <w:pStyle w:val="Textoindependiente"/>
        <w:ind w:left="0"/>
        <w:jc w:val="both"/>
        <w:rPr>
          <w:rFonts w:ascii="Bookman Old Style" w:hAnsi="Bookman Old Style"/>
          <w:b w:val="0"/>
          <w:bCs w:val="0"/>
          <w:sz w:val="20"/>
        </w:rPr>
      </w:pPr>
    </w:p>
    <w:p w:rsidR="00187529" w:rsidRPr="00EF120B" w:rsidRDefault="00187529" w:rsidP="00EF120B">
      <w:pPr>
        <w:pStyle w:val="Textoindependiente"/>
        <w:ind w:left="0"/>
        <w:jc w:val="both"/>
        <w:rPr>
          <w:rFonts w:ascii="Bookman Old Style" w:eastAsia="Calibri" w:hAnsi="Bookman Old Style"/>
          <w:b w:val="0"/>
        </w:rPr>
      </w:pPr>
      <w:r w:rsidRPr="00EF120B">
        <w:rPr>
          <w:rFonts w:ascii="Bookman Old Style" w:eastAsia="Calibri" w:hAnsi="Bookman Old Style"/>
          <w:b w:val="0"/>
        </w:rPr>
        <w:t>En resumen, la regulación define las Obligaciones de Energía firme (OEF), el alcance de las mismas y la forma de calcular el monto de estas, establece las reglas aplicables a la subasta en la que participan los generadores que desean comprometerse a suministrar la energía en las condiciones antes descritas, a cambio de una remuneración y se establece en qué forma se determina la energía que puede comprometer cada planta, esto es la energía firme</w:t>
      </w:r>
      <w:r w:rsidRPr="00EF120B">
        <w:rPr>
          <w:rFonts w:ascii="Bookman Old Style" w:eastAsia="Calibri" w:hAnsi="Bookman Old Style"/>
          <w:b w:val="0"/>
          <w:vertAlign w:val="superscript"/>
        </w:rPr>
        <w:footnoteReference w:id="19"/>
      </w:r>
      <w:r w:rsidRPr="00EF120B">
        <w:rPr>
          <w:rFonts w:ascii="Bookman Old Style" w:eastAsia="Calibri" w:hAnsi="Bookman Old Style"/>
          <w:b w:val="0"/>
        </w:rPr>
        <w:t xml:space="preserve">. </w:t>
      </w:r>
    </w:p>
    <w:p w:rsidR="00187529" w:rsidRPr="00300121" w:rsidRDefault="00187529" w:rsidP="00187529">
      <w:pPr>
        <w:tabs>
          <w:tab w:val="left" w:pos="284"/>
        </w:tabs>
        <w:ind w:left="284"/>
        <w:contextualSpacing/>
        <w:jc w:val="both"/>
        <w:rPr>
          <w:rFonts w:ascii="Bookman Old Style" w:eastAsia="Calibri" w:hAnsi="Bookman Old Style" w:cs="Arial"/>
          <w:sz w:val="20"/>
        </w:rPr>
      </w:pPr>
    </w:p>
    <w:p w:rsidR="00187529" w:rsidRPr="00EF120B" w:rsidRDefault="00187529" w:rsidP="00EF120B">
      <w:pPr>
        <w:pStyle w:val="Textoindependiente"/>
        <w:ind w:left="0"/>
        <w:jc w:val="both"/>
        <w:rPr>
          <w:rFonts w:ascii="Bookman Old Style" w:eastAsia="Calibri" w:hAnsi="Bookman Old Style"/>
          <w:b w:val="0"/>
          <w:bCs w:val="0"/>
        </w:rPr>
      </w:pPr>
      <w:r w:rsidRPr="00EF120B">
        <w:rPr>
          <w:rFonts w:ascii="Bookman Old Style" w:eastAsia="Calibri" w:hAnsi="Bookman Old Style"/>
          <w:b w:val="0"/>
          <w:bCs w:val="0"/>
        </w:rPr>
        <w:t xml:space="preserve">Adicionalmente, con el fin de incentivar la instalación de nueva capacidad de generación, la Resolución CREG 071 de 2006 estableció la posibilidad que generadores con plantas de generación que aún no estén instaladas y generado energía, participen en el esquema de subasta.  </w:t>
      </w:r>
      <w:r w:rsidRPr="00824444">
        <w:rPr>
          <w:rFonts w:ascii="Bookman Old Style" w:eastAsia="Calibri" w:hAnsi="Bookman Old Style"/>
          <w:b w:val="0"/>
          <w:bCs w:val="0"/>
        </w:rPr>
        <w:t>Por lo cual,</w:t>
      </w:r>
      <w:r w:rsidRPr="00EF120B">
        <w:rPr>
          <w:rFonts w:ascii="Bookman Old Style" w:eastAsia="Calibri" w:hAnsi="Bookman Old Style"/>
          <w:bCs w:val="0"/>
        </w:rPr>
        <w:t xml:space="preserve"> la norma establece que el agente que como resultado de la subasta resulte asignado con una OEF a ser respaldada con una de estas plantas, se compromete a realizar la construcción e instalación de la planta, que esta esté instalada y en condiciones de entregar la energía  durante el período de vigencia de la OEF. </w:t>
      </w:r>
      <w:r w:rsidRPr="00824444">
        <w:rPr>
          <w:rFonts w:ascii="Bookman Old Style" w:eastAsia="Calibri" w:hAnsi="Bookman Old Style"/>
          <w:b w:val="0"/>
          <w:bCs w:val="0"/>
        </w:rPr>
        <w:t xml:space="preserve">Es a esto </w:t>
      </w:r>
      <w:r w:rsidR="00EF120B" w:rsidRPr="00824444">
        <w:rPr>
          <w:rFonts w:ascii="Bookman Old Style" w:eastAsia="Calibri" w:hAnsi="Bookman Old Style"/>
          <w:b w:val="0"/>
          <w:bCs w:val="0"/>
        </w:rPr>
        <w:t>h</w:t>
      </w:r>
      <w:r w:rsidRPr="00824444">
        <w:rPr>
          <w:rFonts w:ascii="Bookman Old Style" w:eastAsia="Calibri" w:hAnsi="Bookman Old Style"/>
          <w:b w:val="0"/>
          <w:bCs w:val="0"/>
        </w:rPr>
        <w:t>a lo que se comprometió EPM con la proyecto de generación Porce IV</w:t>
      </w:r>
      <w:r w:rsidRPr="00EF120B">
        <w:rPr>
          <w:rFonts w:ascii="Bookman Old Style" w:eastAsia="Calibri" w:hAnsi="Bookman Old Style"/>
          <w:b w:val="0"/>
          <w:bCs w:val="0"/>
        </w:rPr>
        <w:t xml:space="preserve">.  </w:t>
      </w:r>
    </w:p>
    <w:p w:rsidR="00187529" w:rsidRPr="00300121" w:rsidRDefault="00187529" w:rsidP="00187529">
      <w:pPr>
        <w:tabs>
          <w:tab w:val="left" w:pos="284"/>
        </w:tabs>
        <w:contextualSpacing/>
        <w:jc w:val="both"/>
        <w:rPr>
          <w:rFonts w:ascii="Ebrima" w:eastAsia="Calibri" w:hAnsi="Ebrima" w:cs="Arial"/>
          <w:sz w:val="14"/>
        </w:rPr>
      </w:pPr>
    </w:p>
    <w:p w:rsidR="00187529" w:rsidRPr="00EF120B" w:rsidRDefault="00187529" w:rsidP="00300121">
      <w:pPr>
        <w:pStyle w:val="Textoindependiente"/>
        <w:ind w:left="0"/>
        <w:jc w:val="both"/>
        <w:rPr>
          <w:rFonts w:ascii="Bookman Old Style" w:eastAsia="Calibri" w:hAnsi="Bookman Old Style"/>
          <w:b w:val="0"/>
          <w:bCs w:val="0"/>
        </w:rPr>
      </w:pPr>
      <w:r w:rsidRPr="00EF120B">
        <w:rPr>
          <w:rFonts w:ascii="Bookman Old Style" w:eastAsia="Calibri" w:hAnsi="Bookman Old Style"/>
          <w:b w:val="0"/>
          <w:bCs w:val="0"/>
        </w:rPr>
        <w:t xml:space="preserve">La regulación dispone la práctica de una auditoría en la ejecución del proyecto para verificar el cumplimiento de estas obligaciones y señala expresamente que se debe garantizar </w:t>
      </w:r>
      <w:r w:rsidR="00B35698">
        <w:rPr>
          <w:rFonts w:ascii="Bookman Old Style" w:eastAsia="Calibri" w:hAnsi="Bookman Old Style"/>
          <w:b w:val="0"/>
          <w:bCs w:val="0"/>
        </w:rPr>
        <w:t>su</w:t>
      </w:r>
      <w:r w:rsidRPr="00EF120B">
        <w:rPr>
          <w:rFonts w:ascii="Bookman Old Style" w:eastAsia="Calibri" w:hAnsi="Bookman Old Style"/>
          <w:b w:val="0"/>
          <w:bCs w:val="0"/>
        </w:rPr>
        <w:t xml:space="preserve"> cumplimiento</w:t>
      </w:r>
      <w:r w:rsidR="00B35698">
        <w:rPr>
          <w:rFonts w:ascii="Bookman Old Style" w:eastAsia="Calibri" w:hAnsi="Bookman Old Style"/>
          <w:b w:val="0"/>
          <w:bCs w:val="0"/>
        </w:rPr>
        <w:t>,</w:t>
      </w:r>
      <w:r w:rsidRPr="00EF120B">
        <w:rPr>
          <w:rFonts w:ascii="Bookman Old Style" w:eastAsia="Calibri" w:hAnsi="Bookman Old Style"/>
          <w:b w:val="0"/>
          <w:bCs w:val="0"/>
        </w:rPr>
        <w:t xml:space="preserve"> mediante una garantía que debe </w:t>
      </w:r>
      <w:r w:rsidR="00B35698">
        <w:rPr>
          <w:rFonts w:ascii="Bookman Old Style" w:eastAsia="Calibri" w:hAnsi="Bookman Old Style"/>
          <w:b w:val="0"/>
          <w:bCs w:val="0"/>
        </w:rPr>
        <w:t xml:space="preserve">otorgarse según las </w:t>
      </w:r>
      <w:r w:rsidRPr="00EF120B">
        <w:rPr>
          <w:rFonts w:ascii="Bookman Old Style" w:eastAsia="Calibri" w:hAnsi="Bookman Old Style"/>
          <w:b w:val="0"/>
          <w:bCs w:val="0"/>
        </w:rPr>
        <w:t>condiciones previstas en la regulación</w:t>
      </w:r>
      <w:r w:rsidR="004D3B7B">
        <w:rPr>
          <w:rStyle w:val="Refdenotaalpie"/>
          <w:rFonts w:ascii="Bookman Old Style" w:eastAsia="Calibri" w:hAnsi="Bookman Old Style"/>
          <w:b w:val="0"/>
          <w:bCs w:val="0"/>
        </w:rPr>
        <w:footnoteReference w:id="20"/>
      </w:r>
      <w:r w:rsidRPr="00EF120B">
        <w:rPr>
          <w:rFonts w:ascii="Bookman Old Style" w:eastAsia="Calibri" w:hAnsi="Bookman Old Style"/>
          <w:b w:val="0"/>
          <w:bCs w:val="0"/>
        </w:rPr>
        <w:t xml:space="preserve">. </w:t>
      </w:r>
    </w:p>
    <w:p w:rsidR="00187529" w:rsidRPr="00EF120B" w:rsidRDefault="00187529" w:rsidP="00EF120B">
      <w:pPr>
        <w:pStyle w:val="Textoindependiente"/>
        <w:ind w:left="0"/>
        <w:jc w:val="both"/>
        <w:rPr>
          <w:rFonts w:ascii="Bookman Old Style" w:eastAsia="Calibri" w:hAnsi="Bookman Old Style"/>
          <w:b w:val="0"/>
          <w:bCs w:val="0"/>
        </w:rPr>
      </w:pPr>
    </w:p>
    <w:p w:rsidR="007F731A" w:rsidRDefault="007F731A" w:rsidP="00EF120B">
      <w:pPr>
        <w:pStyle w:val="Textoindependiente"/>
        <w:ind w:left="0"/>
        <w:jc w:val="both"/>
        <w:rPr>
          <w:rFonts w:ascii="Bookman Old Style" w:eastAsia="Calibri" w:hAnsi="Bookman Old Style"/>
          <w:b w:val="0"/>
          <w:bCs w:val="0"/>
        </w:rPr>
      </w:pPr>
    </w:p>
    <w:p w:rsidR="007F731A" w:rsidRDefault="007F731A" w:rsidP="00EF120B">
      <w:pPr>
        <w:pStyle w:val="Textoindependiente"/>
        <w:ind w:left="0"/>
        <w:jc w:val="both"/>
        <w:rPr>
          <w:rFonts w:ascii="Bookman Old Style" w:eastAsia="Calibri" w:hAnsi="Bookman Old Style"/>
          <w:b w:val="0"/>
          <w:bCs w:val="0"/>
        </w:rPr>
      </w:pPr>
    </w:p>
    <w:p w:rsidR="00187529" w:rsidRPr="00EF120B" w:rsidRDefault="00187529" w:rsidP="00EF120B">
      <w:pPr>
        <w:pStyle w:val="Textoindependiente"/>
        <w:ind w:left="0"/>
        <w:jc w:val="both"/>
        <w:rPr>
          <w:rFonts w:ascii="Bookman Old Style" w:eastAsia="Calibri" w:hAnsi="Bookman Old Style"/>
          <w:b w:val="0"/>
          <w:bCs w:val="0"/>
        </w:rPr>
      </w:pPr>
      <w:r w:rsidRPr="00EF120B">
        <w:rPr>
          <w:rFonts w:ascii="Bookman Old Style" w:eastAsia="Calibri" w:hAnsi="Bookman Old Style"/>
          <w:b w:val="0"/>
          <w:bCs w:val="0"/>
        </w:rPr>
        <w:t xml:space="preserve">Específicamente el artículo 7 de la Resolución CREG 071 de 2006 señala las obligaciones que adquieren quienes participan en la subasta bajo esta modalidad del esquema. </w:t>
      </w:r>
    </w:p>
    <w:p w:rsidR="00187529" w:rsidRPr="00BD5E22" w:rsidRDefault="00187529" w:rsidP="00187529">
      <w:pPr>
        <w:tabs>
          <w:tab w:val="left" w:pos="284"/>
        </w:tabs>
        <w:contextualSpacing/>
        <w:jc w:val="both"/>
        <w:rPr>
          <w:rFonts w:ascii="Ebrima" w:eastAsia="Calibri" w:hAnsi="Ebrima" w:cs="Arial"/>
        </w:rPr>
      </w:pPr>
    </w:p>
    <w:p w:rsidR="00187529" w:rsidRPr="00EF120B" w:rsidRDefault="00187529" w:rsidP="00187529">
      <w:pPr>
        <w:ind w:left="709" w:right="459"/>
        <w:jc w:val="both"/>
        <w:rPr>
          <w:rFonts w:ascii="Bookman Old Style" w:hAnsi="Bookman Old Style" w:cs="Arial"/>
          <w:i/>
          <w:iCs/>
          <w:sz w:val="22"/>
        </w:rPr>
      </w:pPr>
      <w:r w:rsidRPr="00EF120B">
        <w:rPr>
          <w:rFonts w:ascii="Bookman Old Style" w:hAnsi="Bookman Old Style" w:cs="Arial"/>
          <w:i/>
          <w:iCs/>
          <w:sz w:val="22"/>
        </w:rPr>
        <w:t>“</w:t>
      </w:r>
      <w:r w:rsidR="00EF120B" w:rsidRPr="00EF120B">
        <w:rPr>
          <w:rFonts w:ascii="Bookman Old Style" w:hAnsi="Bookman Old Style" w:cs="Arial"/>
          <w:i/>
          <w:iCs/>
          <w:sz w:val="22"/>
        </w:rPr>
        <w:t xml:space="preserve">(…) </w:t>
      </w:r>
      <w:r w:rsidRPr="00EF120B">
        <w:rPr>
          <w:rFonts w:ascii="Bookman Old Style" w:hAnsi="Bookman Old Style" w:cs="Arial"/>
          <w:i/>
          <w:iCs/>
          <w:sz w:val="22"/>
        </w:rPr>
        <w:t>Artículo 7.</w:t>
      </w:r>
      <w:r w:rsidRPr="00EF120B">
        <w:rPr>
          <w:rFonts w:ascii="Bookman Old Style" w:hAnsi="Bookman Old Style" w:cs="Arial"/>
          <w:i/>
          <w:iCs/>
          <w:sz w:val="22"/>
        </w:rPr>
        <w:tab/>
        <w:t xml:space="preserve"> Modificado por el Artículo 12 de la Resolución CREG-061 de 2007.  Obligaciones adicionales para los agentes con plantas y/o </w:t>
      </w:r>
      <w:r w:rsidRPr="00EF120B">
        <w:rPr>
          <w:rFonts w:ascii="Bookman Old Style" w:hAnsi="Bookman Old Style" w:cs="Arial"/>
          <w:i/>
          <w:iCs/>
          <w:sz w:val="22"/>
        </w:rPr>
        <w:lastRenderedPageBreak/>
        <w:t>unidades de generación nuevas o especiales: Además de las establecidas en otros artículos de esta resolución, los agentes con plantas y/o unidades de generación nuevas o especiales a quienes les hayan sido asignadas obligaciones de energía firme, tendrán las siguientes obligaciones:</w:t>
      </w:r>
    </w:p>
    <w:p w:rsidR="00187529" w:rsidRPr="00EF120B" w:rsidRDefault="00187529" w:rsidP="00187529">
      <w:pPr>
        <w:tabs>
          <w:tab w:val="left" w:pos="284"/>
          <w:tab w:val="left" w:pos="1843"/>
        </w:tabs>
        <w:ind w:left="708"/>
        <w:contextualSpacing/>
        <w:jc w:val="both"/>
        <w:rPr>
          <w:rFonts w:ascii="Bookman Old Style" w:hAnsi="Bookman Old Style" w:cs="Arial"/>
          <w:i/>
          <w:iCs/>
          <w:sz w:val="22"/>
        </w:rPr>
      </w:pPr>
    </w:p>
    <w:p w:rsidR="00187529" w:rsidRPr="00EF120B" w:rsidRDefault="00187529" w:rsidP="00187529">
      <w:pPr>
        <w:ind w:left="709" w:right="459"/>
        <w:jc w:val="both"/>
        <w:rPr>
          <w:rFonts w:ascii="Bookman Old Style" w:hAnsi="Bookman Old Style" w:cs="Arial"/>
          <w:i/>
          <w:iCs/>
          <w:sz w:val="22"/>
        </w:rPr>
      </w:pPr>
      <w:r w:rsidRPr="00EF120B">
        <w:rPr>
          <w:rFonts w:ascii="Bookman Old Style" w:hAnsi="Bookman Old Style" w:cs="Arial"/>
          <w:i/>
          <w:iCs/>
          <w:sz w:val="22"/>
        </w:rPr>
        <w:t>1.</w:t>
      </w:r>
      <w:r w:rsidRPr="00EF120B">
        <w:rPr>
          <w:rFonts w:ascii="Bookman Old Style" w:hAnsi="Bookman Old Style" w:cs="Arial"/>
          <w:i/>
          <w:iCs/>
          <w:sz w:val="22"/>
        </w:rPr>
        <w:tab/>
        <w:t>Poner en operación comercial la planta y/o unidad de generación a más tardar en la fecha de inicio del Período de Vigencia de la Obligación y con la ENFICC asignada en la Subasta.</w:t>
      </w:r>
    </w:p>
    <w:p w:rsidR="00187529" w:rsidRPr="00EF120B" w:rsidRDefault="00187529" w:rsidP="00187529">
      <w:pPr>
        <w:ind w:left="709" w:right="459"/>
        <w:jc w:val="both"/>
        <w:rPr>
          <w:rFonts w:ascii="Bookman Old Style" w:hAnsi="Bookman Old Style" w:cs="Arial"/>
          <w:i/>
          <w:iCs/>
          <w:sz w:val="22"/>
        </w:rPr>
      </w:pPr>
    </w:p>
    <w:p w:rsidR="00187529" w:rsidRPr="00EF120B" w:rsidRDefault="00187529" w:rsidP="00187529">
      <w:pPr>
        <w:ind w:left="709" w:right="459"/>
        <w:jc w:val="both"/>
        <w:rPr>
          <w:rFonts w:ascii="Bookman Old Style" w:hAnsi="Bookman Old Style" w:cs="Arial"/>
          <w:i/>
          <w:iCs/>
          <w:sz w:val="22"/>
        </w:rPr>
      </w:pPr>
      <w:r w:rsidRPr="00EF120B">
        <w:rPr>
          <w:rFonts w:ascii="Bookman Old Style" w:hAnsi="Bookman Old Style" w:cs="Arial"/>
          <w:i/>
          <w:iCs/>
          <w:sz w:val="22"/>
        </w:rPr>
        <w:t>2.</w:t>
      </w:r>
      <w:r w:rsidRPr="00EF120B">
        <w:rPr>
          <w:rFonts w:ascii="Bookman Old Style" w:hAnsi="Bookman Old Style" w:cs="Arial"/>
          <w:i/>
          <w:iCs/>
          <w:sz w:val="22"/>
        </w:rPr>
        <w:tab/>
        <w:t xml:space="preserve">Cumplir el cronograma de construcción o repotenciación de la planta y la Curva S. </w:t>
      </w:r>
    </w:p>
    <w:p w:rsidR="00187529" w:rsidRPr="00EF120B" w:rsidRDefault="00187529" w:rsidP="00187529">
      <w:pPr>
        <w:ind w:left="709" w:right="459"/>
        <w:jc w:val="both"/>
        <w:rPr>
          <w:rFonts w:ascii="Bookman Old Style" w:hAnsi="Bookman Old Style" w:cs="Arial"/>
          <w:i/>
          <w:iCs/>
          <w:sz w:val="22"/>
        </w:rPr>
      </w:pPr>
    </w:p>
    <w:p w:rsidR="00187529" w:rsidRPr="00EF120B" w:rsidRDefault="00187529" w:rsidP="00187529">
      <w:pPr>
        <w:ind w:left="709" w:right="459"/>
        <w:jc w:val="both"/>
        <w:rPr>
          <w:rFonts w:ascii="Bookman Old Style" w:hAnsi="Bookman Old Style" w:cs="Arial"/>
          <w:i/>
          <w:iCs/>
          <w:sz w:val="22"/>
        </w:rPr>
      </w:pPr>
      <w:r w:rsidRPr="00EF120B">
        <w:rPr>
          <w:rFonts w:ascii="Bookman Old Style" w:hAnsi="Bookman Old Style" w:cs="Arial"/>
          <w:i/>
          <w:iCs/>
          <w:sz w:val="22"/>
        </w:rPr>
        <w:t>3.</w:t>
      </w:r>
      <w:r w:rsidRPr="00EF120B">
        <w:rPr>
          <w:rFonts w:ascii="Bookman Old Style" w:hAnsi="Bookman Old Style" w:cs="Arial"/>
          <w:i/>
          <w:iCs/>
          <w:sz w:val="22"/>
        </w:rPr>
        <w:tab/>
      </w:r>
      <w:r w:rsidRPr="00EF120B">
        <w:rPr>
          <w:rFonts w:ascii="Bookman Old Style" w:hAnsi="Bookman Old Style" w:cs="Arial"/>
          <w:i/>
          <w:iCs/>
          <w:sz w:val="22"/>
          <w:u w:val="single"/>
        </w:rPr>
        <w:t>Pagar el costo de la auditoría establecida en el artículo 8 de esta Resolución</w:t>
      </w:r>
      <w:r w:rsidRPr="00EF120B">
        <w:rPr>
          <w:rFonts w:ascii="Bookman Old Style" w:hAnsi="Bookman Old Style" w:cs="Arial"/>
          <w:i/>
          <w:iCs/>
          <w:sz w:val="22"/>
        </w:rPr>
        <w:t>, periódicamente en forma anticipada. El incumplimiento en el pago de la auditoría, dará lugar a la ejecución de la garantía a que se refiere el numeral 4 de este artículo y la pérdida para el generador de la Obligación de Energía Firme y la remuneración asociada a ella.</w:t>
      </w:r>
    </w:p>
    <w:p w:rsidR="00187529" w:rsidRPr="00EF120B" w:rsidRDefault="00187529" w:rsidP="00187529">
      <w:pPr>
        <w:ind w:left="709" w:right="459"/>
        <w:jc w:val="both"/>
        <w:rPr>
          <w:rFonts w:ascii="Bookman Old Style" w:hAnsi="Bookman Old Style" w:cs="Arial"/>
          <w:i/>
          <w:iCs/>
          <w:sz w:val="22"/>
        </w:rPr>
      </w:pPr>
    </w:p>
    <w:p w:rsidR="00187529" w:rsidRPr="00EF120B" w:rsidRDefault="00187529" w:rsidP="00187529">
      <w:pPr>
        <w:ind w:left="709" w:right="459"/>
        <w:jc w:val="both"/>
        <w:rPr>
          <w:rFonts w:ascii="Bookman Old Style" w:hAnsi="Bookman Old Style" w:cs="Arial"/>
          <w:i/>
          <w:iCs/>
          <w:sz w:val="22"/>
        </w:rPr>
      </w:pPr>
      <w:r w:rsidRPr="00EF120B">
        <w:rPr>
          <w:rFonts w:ascii="Bookman Old Style" w:hAnsi="Bookman Old Style" w:cs="Arial"/>
          <w:i/>
          <w:iCs/>
          <w:sz w:val="22"/>
        </w:rPr>
        <w:t>4.</w:t>
      </w:r>
      <w:r w:rsidRPr="00EF120B">
        <w:rPr>
          <w:rFonts w:ascii="Bookman Old Style" w:hAnsi="Bookman Old Style" w:cs="Arial"/>
          <w:i/>
          <w:iCs/>
          <w:sz w:val="22"/>
        </w:rPr>
        <w:tab/>
      </w:r>
      <w:r w:rsidRPr="00EF120B">
        <w:rPr>
          <w:rFonts w:ascii="Bookman Old Style" w:hAnsi="Bookman Old Style" w:cs="Arial"/>
          <w:i/>
          <w:iCs/>
          <w:sz w:val="22"/>
          <w:u w:val="single"/>
        </w:rPr>
        <w:t>Constituir y mantener vigente la garantía de cumplimiento de la fecha de inicio de la operación comercial de las plantas o unidades de generación en instalación o por instalar o repotenciar con la ENFICC asignada en la Subasta, y del pago de la auditoría. Estas garantías deben cumplir las disposiciones contenidas en el Capítulo VIII de esta resolución</w:t>
      </w:r>
      <w:r w:rsidRPr="00EF120B">
        <w:rPr>
          <w:rFonts w:ascii="Bookman Old Style" w:hAnsi="Bookman Old Style" w:cs="Arial"/>
          <w:i/>
          <w:iCs/>
          <w:sz w:val="22"/>
        </w:rPr>
        <w:t>.</w:t>
      </w:r>
    </w:p>
    <w:p w:rsidR="00187529" w:rsidRPr="00EF120B" w:rsidRDefault="00187529" w:rsidP="00187529">
      <w:pPr>
        <w:ind w:left="709" w:right="459"/>
        <w:jc w:val="both"/>
        <w:rPr>
          <w:rFonts w:ascii="Bookman Old Style" w:hAnsi="Bookman Old Style" w:cs="Arial"/>
          <w:i/>
          <w:iCs/>
          <w:sz w:val="22"/>
        </w:rPr>
      </w:pPr>
    </w:p>
    <w:p w:rsidR="00187529" w:rsidRPr="00EF120B" w:rsidRDefault="00187529" w:rsidP="00187529">
      <w:pPr>
        <w:ind w:left="709" w:right="459"/>
        <w:jc w:val="both"/>
        <w:rPr>
          <w:rFonts w:ascii="Bookman Old Style" w:hAnsi="Bookman Old Style" w:cs="Arial"/>
          <w:i/>
          <w:iCs/>
          <w:sz w:val="22"/>
        </w:rPr>
      </w:pPr>
      <w:r w:rsidRPr="00EF120B">
        <w:rPr>
          <w:rFonts w:ascii="Bookman Old Style" w:hAnsi="Bookman Old Style" w:cs="Arial"/>
          <w:i/>
          <w:iCs/>
          <w:sz w:val="22"/>
        </w:rPr>
        <w:t>5.</w:t>
      </w:r>
      <w:r w:rsidRPr="00EF120B">
        <w:rPr>
          <w:rFonts w:ascii="Bookman Old Style" w:hAnsi="Bookman Old Style" w:cs="Arial"/>
          <w:i/>
          <w:iCs/>
          <w:sz w:val="22"/>
        </w:rPr>
        <w:tab/>
        <w:t>Haberse constituido en Empresa de Servicios Públicos con anterioridad al plazo fijado por la CREG para el otorgamiento de las garantías exigibles para el cumplimiento de las Obligaciones de Energía Firme.” (Hemos subrayado)</w:t>
      </w:r>
    </w:p>
    <w:p w:rsidR="00187529" w:rsidRPr="00BD5E22" w:rsidRDefault="00187529" w:rsidP="00187529">
      <w:pPr>
        <w:tabs>
          <w:tab w:val="left" w:pos="284"/>
        </w:tabs>
        <w:ind w:left="708"/>
        <w:contextualSpacing/>
        <w:jc w:val="both"/>
        <w:rPr>
          <w:rFonts w:ascii="Ebrima" w:eastAsia="Calibri" w:hAnsi="Ebrima" w:cs="Arial"/>
          <w:i/>
        </w:rPr>
      </w:pPr>
    </w:p>
    <w:p w:rsidR="00187529" w:rsidRPr="00EF120B" w:rsidRDefault="00187529" w:rsidP="00EF120B">
      <w:pPr>
        <w:pStyle w:val="Textoindependiente"/>
        <w:ind w:left="0"/>
        <w:jc w:val="both"/>
        <w:rPr>
          <w:rFonts w:ascii="Bookman Old Style" w:eastAsia="Calibri" w:hAnsi="Bookman Old Style"/>
          <w:b w:val="0"/>
        </w:rPr>
      </w:pPr>
      <w:r w:rsidRPr="00EF120B">
        <w:rPr>
          <w:rFonts w:ascii="Bookman Old Style" w:eastAsia="Calibri" w:hAnsi="Bookman Old Style"/>
          <w:b w:val="0"/>
        </w:rPr>
        <w:t xml:space="preserve">El artículo 8 de la Resolución en cita, señala la obligación de realizar la auditoría: </w:t>
      </w:r>
    </w:p>
    <w:p w:rsidR="00187529" w:rsidRPr="00EF120B" w:rsidRDefault="00187529" w:rsidP="00187529">
      <w:pPr>
        <w:tabs>
          <w:tab w:val="left" w:pos="284"/>
        </w:tabs>
        <w:ind w:left="708"/>
        <w:contextualSpacing/>
        <w:jc w:val="both"/>
        <w:rPr>
          <w:rFonts w:ascii="Bookman Old Style" w:eastAsia="Calibri" w:hAnsi="Bookman Old Style" w:cs="Arial"/>
          <w:i/>
          <w:sz w:val="22"/>
        </w:rPr>
      </w:pPr>
    </w:p>
    <w:p w:rsidR="00187529" w:rsidRPr="00EF120B" w:rsidRDefault="00187529" w:rsidP="00187529">
      <w:pPr>
        <w:ind w:left="709" w:right="459"/>
        <w:jc w:val="both"/>
        <w:rPr>
          <w:rFonts w:ascii="Bookman Old Style" w:hAnsi="Bookman Old Style" w:cs="Arial"/>
          <w:i/>
          <w:iCs/>
          <w:sz w:val="22"/>
        </w:rPr>
      </w:pPr>
      <w:r w:rsidRPr="00EF120B">
        <w:rPr>
          <w:rFonts w:ascii="Bookman Old Style" w:hAnsi="Bookman Old Style" w:cs="Arial"/>
          <w:i/>
          <w:iCs/>
          <w:sz w:val="22"/>
        </w:rPr>
        <w:t>“</w:t>
      </w:r>
      <w:r w:rsidR="00EF120B" w:rsidRPr="00EF120B">
        <w:rPr>
          <w:rFonts w:ascii="Bookman Old Style" w:hAnsi="Bookman Old Style" w:cs="Arial"/>
          <w:i/>
          <w:iCs/>
          <w:sz w:val="22"/>
        </w:rPr>
        <w:t xml:space="preserve">(…) </w:t>
      </w:r>
      <w:r w:rsidRPr="00EF120B">
        <w:rPr>
          <w:rFonts w:ascii="Bookman Old Style" w:hAnsi="Bookman Old Style" w:cs="Arial"/>
          <w:i/>
          <w:iCs/>
          <w:sz w:val="22"/>
        </w:rPr>
        <w:t>Auditoría para plantas y/o unidades de generación nuevas o especiales. La obligación de cumplir con la Curva S, con el cronograma de construcción o repotenciación de la planta o unidad de generación y con la puesta en operación de la misma, será objeto de verificación mediante una auditoría que deberá ser contratada por el Administrador de la Subasta de acuerdo con las disposiciones contenidas en el numeral 1.5 del Anexo 1 de esta resolución</w:t>
      </w:r>
      <w:r w:rsidR="002C721F">
        <w:rPr>
          <w:rFonts w:ascii="Bookman Old Style" w:hAnsi="Bookman Old Style" w:cs="Arial"/>
          <w:i/>
          <w:iCs/>
          <w:sz w:val="22"/>
        </w:rPr>
        <w:t xml:space="preserve"> (…)</w:t>
      </w:r>
      <w:r w:rsidRPr="00EF120B">
        <w:rPr>
          <w:rFonts w:ascii="Bookman Old Style" w:hAnsi="Bookman Old Style" w:cs="Arial"/>
          <w:i/>
          <w:iCs/>
          <w:sz w:val="22"/>
        </w:rPr>
        <w:t>”</w:t>
      </w:r>
      <w:r w:rsidR="002C721F">
        <w:rPr>
          <w:rFonts w:ascii="Bookman Old Style" w:hAnsi="Bookman Old Style" w:cs="Arial"/>
          <w:i/>
          <w:iCs/>
          <w:sz w:val="22"/>
        </w:rPr>
        <w:t>.</w:t>
      </w:r>
      <w:r w:rsidRPr="00EF120B">
        <w:rPr>
          <w:rFonts w:ascii="Bookman Old Style" w:hAnsi="Bookman Old Style" w:cs="Arial"/>
          <w:i/>
          <w:iCs/>
          <w:sz w:val="22"/>
        </w:rPr>
        <w:t xml:space="preserve"> </w:t>
      </w:r>
    </w:p>
    <w:p w:rsidR="00187529" w:rsidRPr="00EF120B" w:rsidRDefault="00187529" w:rsidP="00187529">
      <w:pPr>
        <w:tabs>
          <w:tab w:val="left" w:pos="284"/>
        </w:tabs>
        <w:ind w:left="708"/>
        <w:contextualSpacing/>
        <w:jc w:val="both"/>
        <w:rPr>
          <w:rFonts w:ascii="Bookman Old Style" w:eastAsia="Calibri" w:hAnsi="Bookman Old Style" w:cs="Arial"/>
          <w:i/>
          <w:sz w:val="22"/>
        </w:rPr>
      </w:pPr>
    </w:p>
    <w:p w:rsidR="00187529" w:rsidRPr="00EF120B" w:rsidRDefault="00187529" w:rsidP="00EF120B">
      <w:pPr>
        <w:pStyle w:val="Textoindependiente"/>
        <w:ind w:left="0"/>
        <w:jc w:val="both"/>
        <w:rPr>
          <w:rFonts w:ascii="Bookman Old Style" w:eastAsia="Calibri" w:hAnsi="Bookman Old Style"/>
          <w:b w:val="0"/>
        </w:rPr>
      </w:pPr>
      <w:r w:rsidRPr="00EF120B">
        <w:rPr>
          <w:rFonts w:ascii="Bookman Old Style" w:eastAsia="Calibri" w:hAnsi="Bookman Old Style"/>
          <w:b w:val="0"/>
        </w:rPr>
        <w:t>Así mismo</w:t>
      </w:r>
      <w:r w:rsidR="001F001F">
        <w:rPr>
          <w:rFonts w:ascii="Bookman Old Style" w:eastAsia="Calibri" w:hAnsi="Bookman Old Style"/>
          <w:b w:val="0"/>
        </w:rPr>
        <w:t>, en el Artículo 9 de</w:t>
      </w:r>
      <w:r w:rsidRPr="00EF120B">
        <w:rPr>
          <w:rFonts w:ascii="Bookman Old Style" w:eastAsia="Calibri" w:hAnsi="Bookman Old Style"/>
          <w:b w:val="0"/>
        </w:rPr>
        <w:t xml:space="preserve"> la Resolución CREG 071 de 2006</w:t>
      </w:r>
      <w:r w:rsidR="001F001F">
        <w:rPr>
          <w:rFonts w:ascii="Bookman Old Style" w:eastAsia="Calibri" w:hAnsi="Bookman Old Style"/>
          <w:b w:val="0"/>
        </w:rPr>
        <w:t xml:space="preserve"> modificado por el Artículo 13 de la Resolución CREG 061 de 2007, se</w:t>
      </w:r>
      <w:r w:rsidRPr="00EF120B">
        <w:rPr>
          <w:rFonts w:ascii="Bookman Old Style" w:eastAsia="Calibri" w:hAnsi="Bookman Old Style"/>
          <w:b w:val="0"/>
        </w:rPr>
        <w:t xml:space="preserve"> establece las consecuencias que se derivan del incumplimiento del cronograma de construcción o de la puesta en operación de la planta:</w:t>
      </w:r>
    </w:p>
    <w:p w:rsidR="00187529" w:rsidRPr="00BD5E22" w:rsidRDefault="00187529" w:rsidP="00187529">
      <w:pPr>
        <w:tabs>
          <w:tab w:val="left" w:pos="284"/>
        </w:tabs>
        <w:ind w:left="284"/>
        <w:contextualSpacing/>
        <w:jc w:val="both"/>
        <w:rPr>
          <w:rFonts w:ascii="Ebrima" w:eastAsia="Calibri" w:hAnsi="Ebrima" w:cs="Arial"/>
        </w:rPr>
      </w:pPr>
    </w:p>
    <w:p w:rsidR="00187529" w:rsidRPr="002C721F" w:rsidRDefault="00187529" w:rsidP="00187529">
      <w:pPr>
        <w:ind w:left="709" w:right="459"/>
        <w:jc w:val="both"/>
        <w:rPr>
          <w:rFonts w:ascii="Bookman Old Style" w:hAnsi="Bookman Old Style" w:cs="Arial"/>
          <w:i/>
          <w:iCs/>
          <w:sz w:val="22"/>
          <w:szCs w:val="22"/>
        </w:rPr>
      </w:pPr>
      <w:r w:rsidRPr="002C721F">
        <w:rPr>
          <w:rFonts w:ascii="Bookman Old Style" w:hAnsi="Bookman Old Style" w:cs="Arial"/>
          <w:i/>
          <w:iCs/>
          <w:sz w:val="22"/>
          <w:szCs w:val="22"/>
        </w:rPr>
        <w:t>“</w:t>
      </w:r>
      <w:r w:rsidR="002C721F" w:rsidRPr="002C721F">
        <w:rPr>
          <w:rFonts w:ascii="Bookman Old Style" w:hAnsi="Bookman Old Style" w:cs="Arial"/>
          <w:i/>
          <w:iCs/>
          <w:sz w:val="22"/>
          <w:szCs w:val="22"/>
        </w:rPr>
        <w:t xml:space="preserve">(…) </w:t>
      </w:r>
      <w:r w:rsidR="001F001F">
        <w:rPr>
          <w:rFonts w:ascii="Bookman Old Style" w:hAnsi="Bookman Old Style" w:cs="Arial"/>
          <w:i/>
          <w:iCs/>
          <w:sz w:val="22"/>
          <w:szCs w:val="22"/>
        </w:rPr>
        <w:t xml:space="preserve"> </w:t>
      </w:r>
      <w:r w:rsidRPr="002C721F">
        <w:rPr>
          <w:rFonts w:ascii="Bookman Old Style" w:hAnsi="Bookman Old Style" w:cs="Arial"/>
          <w:i/>
          <w:iCs/>
          <w:sz w:val="22"/>
          <w:szCs w:val="22"/>
        </w:rPr>
        <w:t>2.</w:t>
      </w:r>
      <w:r w:rsidRPr="002C721F">
        <w:rPr>
          <w:rFonts w:ascii="Bookman Old Style" w:hAnsi="Bookman Old Style" w:cs="Arial"/>
          <w:i/>
          <w:iCs/>
          <w:sz w:val="22"/>
          <w:szCs w:val="22"/>
        </w:rPr>
        <w:tab/>
        <w:t>El retraso en el cronograma de construcción o repotenciación de la planta o unidad de generación frente a la Curva S que no constituya incumplimiento grave e insalvable, dará lugar al ajuste de la garantía de conformidad con los procedimientos que se definan en el Reglamento de Garantías para el Cargo por Confiabilidad de que trata el Artículo 78 de esta resolución.</w:t>
      </w:r>
    </w:p>
    <w:p w:rsidR="00187529" w:rsidRPr="002C721F" w:rsidRDefault="00187529" w:rsidP="00187529">
      <w:pPr>
        <w:ind w:left="709" w:right="459"/>
        <w:jc w:val="both"/>
        <w:rPr>
          <w:rFonts w:ascii="Bookman Old Style" w:hAnsi="Bookman Old Style" w:cs="Arial"/>
          <w:i/>
          <w:iCs/>
          <w:sz w:val="22"/>
          <w:szCs w:val="22"/>
        </w:rPr>
      </w:pPr>
    </w:p>
    <w:p w:rsidR="00187529" w:rsidRPr="002C721F" w:rsidRDefault="00187529" w:rsidP="00187529">
      <w:pPr>
        <w:ind w:left="709" w:right="459"/>
        <w:jc w:val="both"/>
        <w:rPr>
          <w:rFonts w:ascii="Bookman Old Style" w:hAnsi="Bookman Old Style" w:cs="Arial"/>
          <w:i/>
          <w:iCs/>
          <w:sz w:val="22"/>
          <w:szCs w:val="22"/>
        </w:rPr>
      </w:pPr>
      <w:r w:rsidRPr="002C721F">
        <w:rPr>
          <w:rFonts w:ascii="Bookman Old Style" w:hAnsi="Bookman Old Style" w:cs="Arial"/>
          <w:i/>
          <w:iCs/>
          <w:sz w:val="22"/>
          <w:szCs w:val="22"/>
        </w:rPr>
        <w:t>3.</w:t>
      </w:r>
      <w:r w:rsidRPr="002C721F">
        <w:rPr>
          <w:rFonts w:ascii="Bookman Old Style" w:hAnsi="Bookman Old Style" w:cs="Arial"/>
          <w:i/>
          <w:iCs/>
          <w:sz w:val="22"/>
          <w:szCs w:val="22"/>
        </w:rPr>
        <w:tab/>
      </w:r>
      <w:r w:rsidRPr="002C721F">
        <w:rPr>
          <w:rFonts w:ascii="Bookman Old Style" w:hAnsi="Bookman Old Style" w:cs="Arial"/>
          <w:i/>
          <w:iCs/>
          <w:sz w:val="22"/>
          <w:szCs w:val="22"/>
          <w:u w:val="single"/>
        </w:rPr>
        <w:t>El incumplimiento grave e insalvable de la puesta en operación de la planta o unidad de generación, dará lugar a</w:t>
      </w:r>
      <w:r w:rsidRPr="002C721F">
        <w:rPr>
          <w:rFonts w:ascii="Bookman Old Style" w:hAnsi="Bookman Old Style" w:cs="Arial"/>
          <w:i/>
          <w:iCs/>
          <w:sz w:val="22"/>
          <w:szCs w:val="22"/>
        </w:rPr>
        <w:t>:</w:t>
      </w:r>
    </w:p>
    <w:p w:rsidR="00187529" w:rsidRPr="002C721F" w:rsidRDefault="00187529" w:rsidP="00187529">
      <w:pPr>
        <w:ind w:left="709" w:right="459"/>
        <w:jc w:val="both"/>
        <w:rPr>
          <w:rFonts w:ascii="Bookman Old Style" w:hAnsi="Bookman Old Style" w:cs="Arial"/>
          <w:i/>
          <w:iCs/>
          <w:sz w:val="22"/>
          <w:szCs w:val="22"/>
        </w:rPr>
      </w:pPr>
    </w:p>
    <w:p w:rsidR="00187529" w:rsidRPr="002C721F" w:rsidRDefault="00187529" w:rsidP="00187529">
      <w:pPr>
        <w:ind w:left="709" w:right="459"/>
        <w:jc w:val="both"/>
        <w:rPr>
          <w:rFonts w:ascii="Bookman Old Style" w:hAnsi="Bookman Old Style" w:cs="Arial"/>
          <w:i/>
          <w:iCs/>
          <w:sz w:val="22"/>
          <w:szCs w:val="22"/>
        </w:rPr>
      </w:pPr>
      <w:r w:rsidRPr="002C721F">
        <w:rPr>
          <w:rFonts w:ascii="Bookman Old Style" w:hAnsi="Bookman Old Style" w:cs="Arial"/>
          <w:i/>
          <w:iCs/>
          <w:sz w:val="22"/>
          <w:szCs w:val="22"/>
        </w:rPr>
        <w:lastRenderedPageBreak/>
        <w:t>a)</w:t>
      </w:r>
      <w:r w:rsidRPr="002C721F">
        <w:rPr>
          <w:rFonts w:ascii="Bookman Old Style" w:hAnsi="Bookman Old Style" w:cs="Arial"/>
          <w:i/>
          <w:iCs/>
          <w:sz w:val="22"/>
          <w:szCs w:val="22"/>
        </w:rPr>
        <w:tab/>
      </w:r>
      <w:r w:rsidRPr="002C721F">
        <w:rPr>
          <w:rFonts w:ascii="Bookman Old Style" w:hAnsi="Bookman Old Style" w:cs="Arial"/>
          <w:i/>
          <w:iCs/>
          <w:sz w:val="22"/>
          <w:szCs w:val="22"/>
          <w:u w:val="single"/>
        </w:rPr>
        <w:t>La ejecución de la garantía</w:t>
      </w:r>
      <w:r w:rsidRPr="002C721F">
        <w:rPr>
          <w:rFonts w:ascii="Bookman Old Style" w:hAnsi="Bookman Old Style" w:cs="Arial"/>
          <w:i/>
          <w:iCs/>
          <w:sz w:val="22"/>
          <w:szCs w:val="22"/>
        </w:rPr>
        <w:t xml:space="preserve">. </w:t>
      </w:r>
    </w:p>
    <w:p w:rsidR="00187529" w:rsidRPr="002C721F" w:rsidRDefault="00187529" w:rsidP="00187529">
      <w:pPr>
        <w:ind w:left="709" w:right="459"/>
        <w:jc w:val="both"/>
        <w:rPr>
          <w:rFonts w:ascii="Bookman Old Style" w:hAnsi="Bookman Old Style" w:cs="Arial"/>
          <w:i/>
          <w:iCs/>
          <w:sz w:val="22"/>
          <w:szCs w:val="22"/>
        </w:rPr>
      </w:pPr>
    </w:p>
    <w:p w:rsidR="00187529" w:rsidRPr="002C721F" w:rsidRDefault="00187529" w:rsidP="00187529">
      <w:pPr>
        <w:ind w:left="709" w:right="459"/>
        <w:jc w:val="both"/>
        <w:rPr>
          <w:rFonts w:ascii="Bookman Old Style" w:hAnsi="Bookman Old Style" w:cs="Arial"/>
          <w:i/>
          <w:iCs/>
          <w:sz w:val="22"/>
          <w:szCs w:val="22"/>
        </w:rPr>
      </w:pPr>
      <w:r w:rsidRPr="002C721F">
        <w:rPr>
          <w:rFonts w:ascii="Bookman Old Style" w:hAnsi="Bookman Old Style" w:cs="Arial"/>
          <w:i/>
          <w:iCs/>
          <w:sz w:val="22"/>
          <w:szCs w:val="22"/>
        </w:rPr>
        <w:t>b)</w:t>
      </w:r>
      <w:r w:rsidRPr="002C721F">
        <w:rPr>
          <w:rFonts w:ascii="Bookman Old Style" w:hAnsi="Bookman Old Style" w:cs="Arial"/>
          <w:i/>
          <w:iCs/>
          <w:sz w:val="22"/>
          <w:szCs w:val="22"/>
        </w:rPr>
        <w:tab/>
      </w:r>
      <w:r w:rsidRPr="002C721F">
        <w:rPr>
          <w:rFonts w:ascii="Bookman Old Style" w:hAnsi="Bookman Old Style" w:cs="Arial"/>
          <w:i/>
          <w:iCs/>
          <w:sz w:val="22"/>
          <w:szCs w:val="22"/>
          <w:u w:val="single"/>
        </w:rPr>
        <w:t>La pérdida para el generador de la asignación de la Obligación de Energía Firme y la remuneración asociada a ella</w:t>
      </w:r>
      <w:r w:rsidRPr="002C721F">
        <w:rPr>
          <w:rFonts w:ascii="Bookman Old Style" w:hAnsi="Bookman Old Style" w:cs="Arial"/>
          <w:i/>
          <w:iCs/>
          <w:sz w:val="22"/>
          <w:szCs w:val="22"/>
        </w:rPr>
        <w:t>.</w:t>
      </w:r>
    </w:p>
    <w:p w:rsidR="00187529" w:rsidRPr="002C721F" w:rsidRDefault="00187529" w:rsidP="00187529">
      <w:pPr>
        <w:ind w:left="709" w:right="459"/>
        <w:jc w:val="both"/>
        <w:rPr>
          <w:rFonts w:ascii="Bookman Old Style" w:hAnsi="Bookman Old Style" w:cs="Arial"/>
          <w:i/>
          <w:iCs/>
          <w:sz w:val="22"/>
          <w:szCs w:val="22"/>
        </w:rPr>
      </w:pPr>
    </w:p>
    <w:p w:rsidR="00187529" w:rsidRPr="000825B7" w:rsidRDefault="002C721F" w:rsidP="00187529">
      <w:pPr>
        <w:ind w:left="709" w:right="459"/>
        <w:jc w:val="both"/>
        <w:rPr>
          <w:rFonts w:ascii="Ebrima" w:hAnsi="Ebrima" w:cs="Arial"/>
          <w:i/>
          <w:iCs/>
        </w:rPr>
      </w:pPr>
      <w:r>
        <w:rPr>
          <w:rFonts w:ascii="Bookman Old Style" w:hAnsi="Bookman Old Style" w:cs="Arial"/>
          <w:i/>
          <w:iCs/>
          <w:sz w:val="22"/>
          <w:szCs w:val="22"/>
        </w:rPr>
        <w:t xml:space="preserve"> (…)</w:t>
      </w:r>
      <w:r w:rsidR="00187529" w:rsidRPr="002C721F">
        <w:rPr>
          <w:rFonts w:ascii="Bookman Old Style" w:hAnsi="Bookman Old Style" w:cs="Arial"/>
          <w:i/>
          <w:iCs/>
          <w:sz w:val="22"/>
          <w:szCs w:val="22"/>
        </w:rPr>
        <w:t xml:space="preserve">” </w:t>
      </w:r>
      <w:r w:rsidR="00187529" w:rsidRPr="002C721F">
        <w:rPr>
          <w:rFonts w:ascii="Bookman Old Style" w:hAnsi="Bookman Old Style" w:cs="Arial"/>
          <w:iCs/>
          <w:sz w:val="22"/>
          <w:szCs w:val="22"/>
        </w:rPr>
        <w:t>(subraya fuera del original).</w:t>
      </w:r>
      <w:r w:rsidR="00187529" w:rsidRPr="002C721F">
        <w:rPr>
          <w:rFonts w:ascii="Bookman Old Style" w:hAnsi="Bookman Old Style" w:cs="Arial"/>
          <w:i/>
          <w:iCs/>
          <w:sz w:val="22"/>
          <w:szCs w:val="22"/>
        </w:rPr>
        <w:t xml:space="preserve"> </w:t>
      </w:r>
      <w:r w:rsidR="00187529" w:rsidRPr="000825B7">
        <w:rPr>
          <w:rFonts w:ascii="Ebrima" w:hAnsi="Ebrima" w:cs="Arial"/>
          <w:i/>
          <w:iCs/>
        </w:rPr>
        <w:t xml:space="preserve"> </w:t>
      </w:r>
    </w:p>
    <w:p w:rsidR="002C721F" w:rsidRDefault="002C721F" w:rsidP="00187529">
      <w:pPr>
        <w:tabs>
          <w:tab w:val="left" w:pos="284"/>
        </w:tabs>
        <w:contextualSpacing/>
        <w:jc w:val="both"/>
        <w:rPr>
          <w:rFonts w:ascii="Ebrima" w:eastAsia="Calibri" w:hAnsi="Ebrima" w:cs="Arial"/>
        </w:rPr>
      </w:pPr>
    </w:p>
    <w:p w:rsidR="00187529" w:rsidRPr="002C721F" w:rsidRDefault="00B35698" w:rsidP="002C721F">
      <w:pPr>
        <w:pStyle w:val="Textoindependiente"/>
        <w:ind w:left="0"/>
        <w:jc w:val="both"/>
        <w:rPr>
          <w:rFonts w:ascii="Bookman Old Style" w:eastAsia="Calibri" w:hAnsi="Bookman Old Style"/>
          <w:b w:val="0"/>
        </w:rPr>
      </w:pPr>
      <w:r>
        <w:rPr>
          <w:rFonts w:ascii="Bookman Old Style" w:eastAsia="Calibri" w:hAnsi="Bookman Old Style"/>
          <w:b w:val="0"/>
        </w:rPr>
        <w:t xml:space="preserve">Esta </w:t>
      </w:r>
      <w:r w:rsidR="007F731A">
        <w:rPr>
          <w:rFonts w:ascii="Bookman Old Style" w:eastAsia="Calibri" w:hAnsi="Bookman Old Style"/>
          <w:b w:val="0"/>
        </w:rPr>
        <w:t>ú</w:t>
      </w:r>
      <w:r>
        <w:rPr>
          <w:rFonts w:ascii="Bookman Old Style" w:eastAsia="Calibri" w:hAnsi="Bookman Old Style"/>
          <w:b w:val="0"/>
        </w:rPr>
        <w:t xml:space="preserve">ltima </w:t>
      </w:r>
      <w:r w:rsidR="00187529" w:rsidRPr="002C721F">
        <w:rPr>
          <w:rFonts w:ascii="Bookman Old Style" w:eastAsia="Calibri" w:hAnsi="Bookman Old Style"/>
          <w:b w:val="0"/>
        </w:rPr>
        <w:t xml:space="preserve">norma prevé dos posibilidades: </w:t>
      </w:r>
    </w:p>
    <w:p w:rsidR="00187529" w:rsidRPr="002C721F" w:rsidRDefault="00187529" w:rsidP="002C721F">
      <w:pPr>
        <w:pStyle w:val="Textoindependiente"/>
        <w:ind w:left="0"/>
        <w:jc w:val="both"/>
        <w:rPr>
          <w:rFonts w:ascii="Bookman Old Style" w:eastAsia="Calibri" w:hAnsi="Bookman Old Style"/>
          <w:b w:val="0"/>
        </w:rPr>
      </w:pPr>
    </w:p>
    <w:p w:rsidR="00187529" w:rsidRPr="002C721F" w:rsidRDefault="00187529" w:rsidP="002C721F">
      <w:pPr>
        <w:pStyle w:val="Textoindependiente"/>
        <w:ind w:left="0"/>
        <w:jc w:val="both"/>
        <w:rPr>
          <w:rFonts w:ascii="Bookman Old Style" w:eastAsia="Calibri" w:hAnsi="Bookman Old Style"/>
          <w:b w:val="0"/>
        </w:rPr>
      </w:pPr>
      <w:r w:rsidRPr="002C721F">
        <w:rPr>
          <w:rFonts w:ascii="Bookman Old Style" w:eastAsia="Calibri" w:hAnsi="Bookman Old Style"/>
          <w:b w:val="0"/>
        </w:rPr>
        <w:t xml:space="preserve">La primera consiste en que se presente un incumplimiento en el cronograma que no sea, a la luz de la norma, grave e insalvable.  En tal caso, la resolución permite la posibilidad que el agente suscriba un contrato de respaldo con otro agente generador, realice un ajuste a la garantía, sin perder la asignación de la obligación de energía firme (OEF), ni se ejecute la garantía que ha constituido. </w:t>
      </w:r>
    </w:p>
    <w:p w:rsidR="00187529" w:rsidRPr="002C721F" w:rsidRDefault="00187529" w:rsidP="002C721F">
      <w:pPr>
        <w:pStyle w:val="Textoindependiente"/>
        <w:ind w:left="0"/>
        <w:jc w:val="both"/>
        <w:rPr>
          <w:rFonts w:ascii="Bookman Old Style" w:eastAsia="Calibri" w:hAnsi="Bookman Old Style"/>
          <w:b w:val="0"/>
        </w:rPr>
      </w:pPr>
    </w:p>
    <w:p w:rsidR="00187529" w:rsidRPr="002C721F" w:rsidRDefault="00187529" w:rsidP="002C721F">
      <w:pPr>
        <w:pStyle w:val="Textoindependiente"/>
        <w:ind w:left="0"/>
        <w:jc w:val="both"/>
        <w:rPr>
          <w:rFonts w:ascii="Bookman Old Style" w:eastAsia="Calibri" w:hAnsi="Bookman Old Style"/>
          <w:b w:val="0"/>
        </w:rPr>
      </w:pPr>
      <w:r w:rsidRPr="002C721F">
        <w:rPr>
          <w:rFonts w:ascii="Bookman Old Style" w:eastAsia="Calibri" w:hAnsi="Bookman Old Style"/>
          <w:b w:val="0"/>
        </w:rPr>
        <w:t>El segundo caso se presenta cuando el incumplimiento en que incurre el agente es grave e insalvable, que en el caso de la construcción de una planta nueva significa un “Incumplimiento Calificado de Cronograma que implique que la puesta en operación de la planta o unidad de generación, ocurrirá en un plazo superior a un (1) año contado a partir del IPVO”</w:t>
      </w:r>
      <w:r w:rsidR="004D3B7B">
        <w:rPr>
          <w:rStyle w:val="Refdenotaalpie"/>
          <w:rFonts w:ascii="Bookman Old Style" w:eastAsia="Calibri" w:hAnsi="Bookman Old Style"/>
          <w:b w:val="0"/>
        </w:rPr>
        <w:footnoteReference w:id="21"/>
      </w:r>
      <w:r w:rsidRPr="002C721F">
        <w:rPr>
          <w:rFonts w:ascii="Bookman Old Style" w:eastAsia="Calibri" w:hAnsi="Bookman Old Style"/>
          <w:b w:val="0"/>
        </w:rPr>
        <w:t xml:space="preserve">.   </w:t>
      </w:r>
    </w:p>
    <w:p w:rsidR="00187529" w:rsidRPr="002C721F" w:rsidRDefault="00187529" w:rsidP="002C721F">
      <w:pPr>
        <w:pStyle w:val="Textoindependiente"/>
        <w:ind w:left="0"/>
        <w:jc w:val="both"/>
        <w:rPr>
          <w:rFonts w:ascii="Bookman Old Style" w:eastAsia="Calibri" w:hAnsi="Bookman Old Style"/>
          <w:b w:val="0"/>
        </w:rPr>
      </w:pPr>
    </w:p>
    <w:p w:rsidR="00187529" w:rsidRPr="002C721F" w:rsidRDefault="00187529" w:rsidP="002C721F">
      <w:pPr>
        <w:pStyle w:val="Textoindependiente"/>
        <w:ind w:left="0"/>
        <w:jc w:val="both"/>
        <w:rPr>
          <w:rFonts w:ascii="Bookman Old Style" w:eastAsia="Calibri" w:hAnsi="Bookman Old Style"/>
          <w:b w:val="0"/>
        </w:rPr>
      </w:pPr>
      <w:r w:rsidRPr="002C721F">
        <w:rPr>
          <w:rFonts w:ascii="Bookman Old Style" w:eastAsia="Calibri" w:hAnsi="Bookman Old Style"/>
          <w:b w:val="0"/>
        </w:rPr>
        <w:t xml:space="preserve">Para el caso anterior, tal y como se observa en el </w:t>
      </w:r>
      <w:r w:rsidR="00B35698">
        <w:rPr>
          <w:rFonts w:ascii="Bookman Old Style" w:hAnsi="Bookman Old Style"/>
          <w:b w:val="0"/>
          <w:bCs w:val="0"/>
        </w:rPr>
        <w:t xml:space="preserve">Artículo </w:t>
      </w:r>
      <w:r w:rsidR="00B35698" w:rsidRPr="004D3B7B">
        <w:rPr>
          <w:rFonts w:ascii="Bookman Old Style" w:hAnsi="Bookman Old Style"/>
          <w:b w:val="0"/>
          <w:bCs w:val="0"/>
        </w:rPr>
        <w:t xml:space="preserve">9 de la Resolución CREG 071 de 2006, modificada por el </w:t>
      </w:r>
      <w:r w:rsidR="00B35698">
        <w:rPr>
          <w:rFonts w:ascii="Bookman Old Style" w:hAnsi="Bookman Old Style"/>
          <w:b w:val="0"/>
          <w:bCs w:val="0"/>
        </w:rPr>
        <w:t>A</w:t>
      </w:r>
      <w:r w:rsidR="00B35698" w:rsidRPr="004D3B7B">
        <w:rPr>
          <w:rFonts w:ascii="Bookman Old Style" w:hAnsi="Bookman Old Style"/>
          <w:b w:val="0"/>
          <w:bCs w:val="0"/>
        </w:rPr>
        <w:t>rtículo 13 de la Resolución CREG 061 de 2007</w:t>
      </w:r>
      <w:r w:rsidR="00B35698">
        <w:rPr>
          <w:rFonts w:ascii="Bookman Old Style" w:hAnsi="Bookman Old Style"/>
          <w:b w:val="0"/>
          <w:bCs w:val="0"/>
        </w:rPr>
        <w:t>,</w:t>
      </w:r>
      <w:r w:rsidRPr="002C721F">
        <w:rPr>
          <w:rFonts w:ascii="Bookman Old Style" w:eastAsia="Calibri" w:hAnsi="Bookman Old Style"/>
          <w:b w:val="0"/>
        </w:rPr>
        <w:t xml:space="preserve"> trascrito anteriormente, la regulación prevé que se debe adelantar una actuación administrativa que tiene como objetivo principal la verificación del incumplimiento, determinar sus consecuencias y garantizar el derecho de defensa de los afectados. Claro está, si se configuran las condiciones fácticas que la regulación </w:t>
      </w:r>
      <w:r w:rsidR="00117D90">
        <w:rPr>
          <w:rFonts w:ascii="Bookman Old Style" w:eastAsia="Calibri" w:hAnsi="Bookman Old Style"/>
          <w:b w:val="0"/>
        </w:rPr>
        <w:t>consagra</w:t>
      </w:r>
      <w:r w:rsidRPr="002C721F">
        <w:rPr>
          <w:rFonts w:ascii="Bookman Old Style" w:eastAsia="Calibri" w:hAnsi="Bookman Old Style"/>
          <w:b w:val="0"/>
        </w:rPr>
        <w:t xml:space="preserve"> para iniciar dicha actuación, esto</w:t>
      </w:r>
      <w:r w:rsidR="00824444">
        <w:rPr>
          <w:rFonts w:ascii="Bookman Old Style" w:eastAsia="Calibri" w:hAnsi="Bookman Old Style"/>
          <w:b w:val="0"/>
        </w:rPr>
        <w:t xml:space="preserve"> es que</w:t>
      </w:r>
      <w:r w:rsidRPr="002C721F">
        <w:rPr>
          <w:rFonts w:ascii="Bookman Old Style" w:eastAsia="Calibri" w:hAnsi="Bookman Old Style"/>
          <w:b w:val="0"/>
        </w:rPr>
        <w:t xml:space="preserve"> el informe del auditor indique que la puesta en operación de la planta o unidad de generación tiene un atraso superior a un año. </w:t>
      </w:r>
    </w:p>
    <w:p w:rsidR="00187529" w:rsidRPr="002C721F" w:rsidRDefault="00187529" w:rsidP="002C721F">
      <w:pPr>
        <w:pStyle w:val="Textoindependiente"/>
        <w:ind w:left="0"/>
        <w:jc w:val="both"/>
        <w:rPr>
          <w:rFonts w:ascii="Bookman Old Style" w:eastAsia="Calibri" w:hAnsi="Bookman Old Style"/>
          <w:b w:val="0"/>
        </w:rPr>
      </w:pPr>
    </w:p>
    <w:p w:rsidR="00187529" w:rsidRPr="002C721F" w:rsidRDefault="00187529" w:rsidP="002C721F">
      <w:pPr>
        <w:pStyle w:val="Textoindependiente"/>
        <w:ind w:left="0"/>
        <w:jc w:val="both"/>
        <w:rPr>
          <w:rFonts w:ascii="Bookman Old Style" w:eastAsia="Calibri" w:hAnsi="Bookman Old Style"/>
          <w:b w:val="0"/>
        </w:rPr>
      </w:pPr>
      <w:r w:rsidRPr="002C721F">
        <w:rPr>
          <w:rFonts w:ascii="Bookman Old Style" w:eastAsia="Calibri" w:hAnsi="Bookman Old Style"/>
          <w:b w:val="0"/>
        </w:rPr>
        <w:t xml:space="preserve">Todas estas normas y condiciones son conocidas por los agentes cuando participan en la subasta para la asignación de </w:t>
      </w:r>
      <w:r w:rsidR="00824444">
        <w:rPr>
          <w:rFonts w:ascii="Bookman Old Style" w:eastAsia="Calibri" w:hAnsi="Bookman Old Style"/>
          <w:b w:val="0"/>
        </w:rPr>
        <w:t xml:space="preserve">obligaciones de energía firme, en otras palabras, </w:t>
      </w:r>
      <w:r w:rsidRPr="002C721F">
        <w:rPr>
          <w:rFonts w:ascii="Bookman Old Style" w:eastAsia="Calibri" w:hAnsi="Bookman Old Style"/>
          <w:b w:val="0"/>
        </w:rPr>
        <w:t>quien se presenta para participar voluntariamente en la asignación de OEF con una planta nueva</w:t>
      </w:r>
      <w:r w:rsidR="00824444">
        <w:rPr>
          <w:rFonts w:ascii="Bookman Old Style" w:eastAsia="Calibri" w:hAnsi="Bookman Old Style"/>
          <w:b w:val="0"/>
        </w:rPr>
        <w:t>,</w:t>
      </w:r>
      <w:r w:rsidRPr="002C721F">
        <w:rPr>
          <w:rFonts w:ascii="Bookman Old Style" w:eastAsia="Calibri" w:hAnsi="Bookman Old Style"/>
          <w:b w:val="0"/>
        </w:rPr>
        <w:t xml:space="preserve"> conoce las obligaciones que adquiere y como es lógico,</w:t>
      </w:r>
      <w:r w:rsidR="00117D90">
        <w:rPr>
          <w:rFonts w:ascii="Bookman Old Style" w:eastAsia="Calibri" w:hAnsi="Bookman Old Style"/>
          <w:b w:val="0"/>
        </w:rPr>
        <w:t xml:space="preserve"> </w:t>
      </w:r>
      <w:r w:rsidRPr="002C721F">
        <w:rPr>
          <w:rFonts w:ascii="Bookman Old Style" w:eastAsia="Calibri" w:hAnsi="Bookman Old Style"/>
          <w:b w:val="0"/>
        </w:rPr>
        <w:t>también</w:t>
      </w:r>
      <w:r w:rsidR="00117D90">
        <w:rPr>
          <w:rFonts w:ascii="Bookman Old Style" w:eastAsia="Calibri" w:hAnsi="Bookman Old Style"/>
          <w:b w:val="0"/>
        </w:rPr>
        <w:t xml:space="preserve"> sabe</w:t>
      </w:r>
      <w:r w:rsidRPr="002C721F">
        <w:rPr>
          <w:rFonts w:ascii="Bookman Old Style" w:eastAsia="Calibri" w:hAnsi="Bookman Old Style"/>
          <w:b w:val="0"/>
        </w:rPr>
        <w:t xml:space="preserve"> las consecuencias que se derivan de su incumplimiento. </w:t>
      </w:r>
    </w:p>
    <w:p w:rsidR="00D95151" w:rsidRDefault="00D95151" w:rsidP="004D3B7B">
      <w:pPr>
        <w:pStyle w:val="Textoindependiente"/>
        <w:ind w:left="0"/>
        <w:jc w:val="both"/>
        <w:rPr>
          <w:rFonts w:ascii="Bookman Old Style" w:eastAsia="Calibri" w:hAnsi="Bookman Old Style"/>
          <w:b w:val="0"/>
        </w:rPr>
      </w:pPr>
    </w:p>
    <w:p w:rsidR="004D3B7B" w:rsidRDefault="004D3B7B" w:rsidP="004D3B7B">
      <w:pPr>
        <w:pStyle w:val="Textoindependiente"/>
        <w:ind w:left="0"/>
        <w:jc w:val="both"/>
        <w:rPr>
          <w:rFonts w:ascii="Bookman Old Style" w:eastAsia="Calibri" w:hAnsi="Bookman Old Style"/>
          <w:b w:val="0"/>
        </w:rPr>
      </w:pPr>
      <w:r>
        <w:rPr>
          <w:rFonts w:ascii="Bookman Old Style" w:eastAsia="Calibri" w:hAnsi="Bookman Old Style"/>
          <w:b w:val="0"/>
        </w:rPr>
        <w:t>Es claro</w:t>
      </w:r>
      <w:r w:rsidR="00187529" w:rsidRPr="002C721F">
        <w:rPr>
          <w:rFonts w:ascii="Bookman Old Style" w:eastAsia="Calibri" w:hAnsi="Bookman Old Style"/>
          <w:b w:val="0"/>
        </w:rPr>
        <w:t xml:space="preserve"> que en ningún momento la CREG ha vulnerado el principio de legalidad o ninguna otra disposición constitucional, legal o reglamentaria, en la labor de expedir el cargo por confiabilidad. Dicha función encuentra un claro sustento en las normas constitucionales, legales y reglamentarias mencionadas.</w:t>
      </w:r>
    </w:p>
    <w:p w:rsidR="004D3B7B" w:rsidRDefault="004D3B7B" w:rsidP="004D3B7B">
      <w:pPr>
        <w:pStyle w:val="Textoindependiente"/>
        <w:ind w:left="0"/>
        <w:jc w:val="both"/>
        <w:rPr>
          <w:rFonts w:ascii="Bookman Old Style" w:eastAsia="Calibri" w:hAnsi="Bookman Old Style"/>
          <w:b w:val="0"/>
        </w:rPr>
      </w:pPr>
    </w:p>
    <w:p w:rsidR="00187529" w:rsidRPr="004D3B7B" w:rsidRDefault="00187529" w:rsidP="004D3B7B">
      <w:pPr>
        <w:pStyle w:val="Textoindependiente"/>
        <w:numPr>
          <w:ilvl w:val="0"/>
          <w:numId w:val="38"/>
        </w:numPr>
        <w:jc w:val="both"/>
        <w:rPr>
          <w:rFonts w:ascii="Bookman Old Style" w:eastAsia="Calibri" w:hAnsi="Bookman Old Style"/>
        </w:rPr>
      </w:pPr>
      <w:r w:rsidRPr="004D3B7B">
        <w:rPr>
          <w:rFonts w:ascii="Bookman Old Style" w:eastAsia="Calibri" w:hAnsi="Bookman Old Style"/>
          <w:bCs w:val="0"/>
        </w:rPr>
        <w:t xml:space="preserve">La función de la Comisión de Regulación de Energía y Gas, frente a un incumplimiento grave e insalvable. </w:t>
      </w:r>
    </w:p>
    <w:p w:rsidR="00187529" w:rsidRPr="000825B7" w:rsidRDefault="00187529" w:rsidP="00187529">
      <w:pPr>
        <w:ind w:left="1080"/>
        <w:contextualSpacing/>
        <w:rPr>
          <w:rFonts w:ascii="Ebrima" w:eastAsia="Calibri" w:hAnsi="Ebrima" w:cs="Arial"/>
          <w:bCs/>
        </w:rPr>
      </w:pPr>
    </w:p>
    <w:p w:rsidR="00187529" w:rsidRPr="004D3B7B" w:rsidRDefault="00187529" w:rsidP="004D3B7B">
      <w:pPr>
        <w:pStyle w:val="Textoindependiente"/>
        <w:ind w:left="0"/>
        <w:jc w:val="both"/>
        <w:rPr>
          <w:rFonts w:ascii="Bookman Old Style" w:eastAsia="Calibri" w:hAnsi="Bookman Old Style"/>
          <w:bCs w:val="0"/>
        </w:rPr>
      </w:pPr>
      <w:r w:rsidRPr="004D3B7B">
        <w:rPr>
          <w:rFonts w:ascii="Bookman Old Style" w:eastAsia="Calibri" w:hAnsi="Bookman Old Style"/>
          <w:b w:val="0"/>
          <w:bCs w:val="0"/>
        </w:rPr>
        <w:t xml:space="preserve">La función de la CREG de </w:t>
      </w:r>
      <w:r w:rsidR="00117D90">
        <w:rPr>
          <w:rFonts w:ascii="Bookman Old Style" w:eastAsia="Calibri" w:hAnsi="Bookman Old Style"/>
          <w:b w:val="0"/>
          <w:bCs w:val="0"/>
        </w:rPr>
        <w:t xml:space="preserve">verificar y determinar los alcances de </w:t>
      </w:r>
      <w:r w:rsidRPr="004D3B7B">
        <w:rPr>
          <w:rFonts w:ascii="Bookman Old Style" w:eastAsia="Calibri" w:hAnsi="Bookman Old Style"/>
          <w:b w:val="0"/>
          <w:bCs w:val="0"/>
        </w:rPr>
        <w:t xml:space="preserve">un incumplimiento grave e insalvable en la construcción y puesta en operación de </w:t>
      </w:r>
      <w:r w:rsidRPr="004D3B7B">
        <w:rPr>
          <w:rFonts w:ascii="Bookman Old Style" w:eastAsia="Calibri" w:hAnsi="Bookman Old Style"/>
          <w:b w:val="0"/>
          <w:bCs w:val="0"/>
        </w:rPr>
        <w:lastRenderedPageBreak/>
        <w:t>una planta o unidad de generación, después de adelantar una actuación administrativa,</w:t>
      </w:r>
      <w:r w:rsidRPr="004D3B7B">
        <w:rPr>
          <w:rFonts w:ascii="Bookman Old Style" w:eastAsia="Calibri" w:hAnsi="Bookman Old Style"/>
          <w:bCs w:val="0"/>
        </w:rPr>
        <w:t xml:space="preserve">  no es nada diferente al ejercicio de la función de la CREG de definir las reglas de asignación del beneficio financiero que conlleva el Cargo por Confiabilidad, cumpliendo con su deber legal de valorar </w:t>
      </w:r>
      <w:r w:rsidR="00824444">
        <w:rPr>
          <w:rFonts w:ascii="Bookman Old Style" w:eastAsia="Calibri" w:hAnsi="Bookman Old Style"/>
          <w:bCs w:val="0"/>
        </w:rPr>
        <w:t xml:space="preserve">que </w:t>
      </w:r>
      <w:r w:rsidRPr="004D3B7B">
        <w:rPr>
          <w:rFonts w:ascii="Bookman Old Style" w:eastAsia="Calibri" w:hAnsi="Bookman Old Style"/>
          <w:bCs w:val="0"/>
        </w:rPr>
        <w:t xml:space="preserve">la capacidad de generación de respaldo garantice una oferta energética eficiente. </w:t>
      </w:r>
      <w:r w:rsidRPr="00824444">
        <w:rPr>
          <w:rFonts w:ascii="Bookman Old Style" w:eastAsia="Calibri" w:hAnsi="Bookman Old Style"/>
          <w:b w:val="0"/>
          <w:bCs w:val="0"/>
        </w:rPr>
        <w:t>No solo no difiere</w:t>
      </w:r>
      <w:r w:rsidR="00B9325A" w:rsidRPr="00824444">
        <w:rPr>
          <w:rFonts w:ascii="Bookman Old Style" w:eastAsia="Calibri" w:hAnsi="Bookman Old Style"/>
          <w:b w:val="0"/>
          <w:bCs w:val="0"/>
        </w:rPr>
        <w:t>,</w:t>
      </w:r>
      <w:r w:rsidRPr="00824444">
        <w:rPr>
          <w:rFonts w:ascii="Bookman Old Style" w:eastAsia="Calibri" w:hAnsi="Bookman Old Style"/>
          <w:b w:val="0"/>
          <w:bCs w:val="0"/>
        </w:rPr>
        <w:t xml:space="preserve"> sino que es parte de tal función.</w:t>
      </w:r>
    </w:p>
    <w:p w:rsidR="00187529" w:rsidRPr="004D3B7B" w:rsidRDefault="00187529" w:rsidP="00187529">
      <w:pPr>
        <w:jc w:val="both"/>
        <w:rPr>
          <w:rFonts w:ascii="Bookman Old Style" w:eastAsia="Calibri" w:hAnsi="Bookman Old Style" w:cs="Arial"/>
          <w:bCs/>
        </w:rPr>
      </w:pPr>
    </w:p>
    <w:p w:rsidR="004D3B7B" w:rsidRDefault="00187529" w:rsidP="004D3B7B">
      <w:pPr>
        <w:pStyle w:val="Textoindependiente"/>
        <w:ind w:left="0"/>
        <w:jc w:val="both"/>
        <w:rPr>
          <w:rFonts w:ascii="Bookman Old Style" w:eastAsia="Calibri" w:hAnsi="Bookman Old Style"/>
          <w:b w:val="0"/>
          <w:bCs w:val="0"/>
        </w:rPr>
      </w:pPr>
      <w:r w:rsidRPr="004D3B7B">
        <w:rPr>
          <w:rFonts w:ascii="Bookman Old Style" w:eastAsia="Calibri" w:hAnsi="Bookman Old Style"/>
          <w:b w:val="0"/>
          <w:bCs w:val="0"/>
        </w:rPr>
        <w:t>Adicionalmente, debe señalarse que el cargo por confiabilidad es un componente de la tarifa que se cobra al usuario final, conforme a lo establecido por la regulación.</w:t>
      </w:r>
    </w:p>
    <w:p w:rsidR="004D3B7B" w:rsidRDefault="004D3B7B" w:rsidP="004D3B7B">
      <w:pPr>
        <w:pStyle w:val="Textoindependiente"/>
        <w:ind w:left="0"/>
        <w:jc w:val="both"/>
        <w:rPr>
          <w:rFonts w:ascii="Bookman Old Style" w:eastAsia="Calibri" w:hAnsi="Bookman Old Style"/>
          <w:b w:val="0"/>
          <w:bCs w:val="0"/>
        </w:rPr>
      </w:pPr>
    </w:p>
    <w:p w:rsidR="00370CCC" w:rsidRDefault="00187529" w:rsidP="004D3B7B">
      <w:pPr>
        <w:pStyle w:val="Textoindependiente"/>
        <w:ind w:left="0"/>
        <w:jc w:val="both"/>
        <w:rPr>
          <w:rFonts w:ascii="Bookman Old Style" w:hAnsi="Bookman Old Style"/>
          <w:b w:val="0"/>
        </w:rPr>
      </w:pPr>
      <w:r w:rsidRPr="004D3B7B">
        <w:rPr>
          <w:rFonts w:ascii="Bookman Old Style" w:eastAsia="Calibri" w:hAnsi="Bookman Old Style"/>
          <w:b w:val="0"/>
          <w:bCs w:val="0"/>
        </w:rPr>
        <w:t>No cabe duda que en este caso</w:t>
      </w:r>
      <w:r w:rsidRPr="004D3B7B">
        <w:rPr>
          <w:rFonts w:ascii="Bookman Old Style" w:hAnsi="Bookman Old Style"/>
          <w:b w:val="0"/>
        </w:rPr>
        <w:t xml:space="preserve"> la CREG cumple una función típicamente administrativa</w:t>
      </w:r>
      <w:r w:rsidR="00824444">
        <w:rPr>
          <w:rFonts w:ascii="Bookman Old Style" w:hAnsi="Bookman Old Style"/>
          <w:b w:val="0"/>
        </w:rPr>
        <w:t>,</w:t>
      </w:r>
      <w:r w:rsidRPr="004D3B7B">
        <w:rPr>
          <w:rFonts w:ascii="Bookman Old Style" w:hAnsi="Bookman Old Style"/>
          <w:b w:val="0"/>
        </w:rPr>
        <w:t xml:space="preserve"> consistente en determinan sí un agente prestador de</w:t>
      </w:r>
      <w:r w:rsidR="00370CCC">
        <w:rPr>
          <w:rFonts w:ascii="Bookman Old Style" w:hAnsi="Bookman Old Style"/>
          <w:b w:val="0"/>
        </w:rPr>
        <w:t>l servicio público domiciliario de energía eléctrica</w:t>
      </w:r>
      <w:r w:rsidRPr="004D3B7B">
        <w:rPr>
          <w:rFonts w:ascii="Bookman Old Style" w:hAnsi="Bookman Old Style"/>
          <w:b w:val="0"/>
        </w:rPr>
        <w:t xml:space="preserve"> puede acceder a una remuneración incluida en la tarifa de</w:t>
      </w:r>
      <w:r w:rsidR="00370CCC">
        <w:rPr>
          <w:rFonts w:ascii="Bookman Old Style" w:hAnsi="Bookman Old Style"/>
          <w:b w:val="0"/>
        </w:rPr>
        <w:t xml:space="preserve"> dicho </w:t>
      </w:r>
      <w:r w:rsidRPr="004D3B7B">
        <w:rPr>
          <w:rFonts w:ascii="Bookman Old Style" w:hAnsi="Bookman Old Style"/>
          <w:b w:val="0"/>
        </w:rPr>
        <w:t>servicio</w:t>
      </w:r>
      <w:r w:rsidR="00370CCC">
        <w:rPr>
          <w:rFonts w:ascii="Bookman Old Style" w:hAnsi="Bookman Old Style"/>
          <w:b w:val="0"/>
        </w:rPr>
        <w:t>,</w:t>
      </w:r>
      <w:r w:rsidRPr="004D3B7B">
        <w:rPr>
          <w:rFonts w:ascii="Bookman Old Style" w:hAnsi="Bookman Old Style"/>
          <w:b w:val="0"/>
        </w:rPr>
        <w:t xml:space="preserve"> </w:t>
      </w:r>
      <w:r w:rsidR="00370CCC">
        <w:rPr>
          <w:rFonts w:ascii="Bookman Old Style" w:hAnsi="Bookman Old Style"/>
          <w:b w:val="0"/>
        </w:rPr>
        <w:t>c</w:t>
      </w:r>
      <w:r w:rsidRPr="004D3B7B">
        <w:rPr>
          <w:rFonts w:ascii="Bookman Old Style" w:hAnsi="Bookman Old Style"/>
          <w:b w:val="0"/>
        </w:rPr>
        <w:t xml:space="preserve">on el propósito que los usuarios puedan disponer de la oferta energética suficiente en periodos de hidrología crítica, esto es periodos de sequía. </w:t>
      </w:r>
    </w:p>
    <w:p w:rsidR="00370CCC" w:rsidRDefault="00370CCC" w:rsidP="004D3B7B">
      <w:pPr>
        <w:pStyle w:val="Textoindependiente"/>
        <w:ind w:left="0"/>
        <w:jc w:val="both"/>
        <w:rPr>
          <w:rFonts w:ascii="Bookman Old Style" w:hAnsi="Bookman Old Style"/>
          <w:b w:val="0"/>
        </w:rPr>
      </w:pPr>
    </w:p>
    <w:p w:rsidR="004D3B7B" w:rsidRDefault="00187529" w:rsidP="004D3B7B">
      <w:pPr>
        <w:pStyle w:val="Textoindependiente"/>
        <w:ind w:left="0"/>
        <w:jc w:val="both"/>
        <w:rPr>
          <w:rFonts w:ascii="Bookman Old Style" w:hAnsi="Bookman Old Style"/>
          <w:b w:val="0"/>
        </w:rPr>
      </w:pPr>
      <w:r w:rsidRPr="004D3B7B">
        <w:rPr>
          <w:rFonts w:ascii="Bookman Old Style" w:hAnsi="Bookman Old Style"/>
          <w:b w:val="0"/>
        </w:rPr>
        <w:t xml:space="preserve">Se trata de una función típicamente administrativa, inherente a la función de las Comisiones de Regulación de servicios públicos domiciliarios en lo que atañe a la competencia de fijar las tarifas con las cuales se remuneran los prestadores del servicio que son por demás, pagadas por todos los usuarios del servicio. </w:t>
      </w:r>
    </w:p>
    <w:p w:rsidR="004D3B7B" w:rsidRDefault="004D3B7B" w:rsidP="004D3B7B">
      <w:pPr>
        <w:pStyle w:val="Textoindependiente"/>
        <w:ind w:left="0"/>
        <w:jc w:val="both"/>
        <w:rPr>
          <w:rFonts w:ascii="Bookman Old Style" w:hAnsi="Bookman Old Style"/>
          <w:b w:val="0"/>
        </w:rPr>
      </w:pPr>
    </w:p>
    <w:p w:rsidR="004D3B7B" w:rsidRDefault="00187529" w:rsidP="004D3B7B">
      <w:pPr>
        <w:pStyle w:val="Textoindependiente"/>
        <w:ind w:left="0"/>
        <w:jc w:val="both"/>
        <w:rPr>
          <w:rFonts w:ascii="Bookman Old Style" w:hAnsi="Bookman Old Style"/>
          <w:b w:val="0"/>
        </w:rPr>
      </w:pPr>
      <w:r w:rsidRPr="004D3B7B">
        <w:rPr>
          <w:rFonts w:ascii="Bookman Old Style" w:hAnsi="Bookman Old Style"/>
          <w:b w:val="0"/>
        </w:rPr>
        <w:t xml:space="preserve">No existe en alguna parte de la regulación y del actuar de la CREG, el carácter judicial que el </w:t>
      </w:r>
      <w:r w:rsidR="004D3B7B" w:rsidRPr="004D3B7B">
        <w:rPr>
          <w:rFonts w:ascii="Bookman Old Style" w:hAnsi="Bookman Old Style"/>
          <w:b w:val="0"/>
        </w:rPr>
        <w:t xml:space="preserve">recurrente </w:t>
      </w:r>
      <w:r w:rsidRPr="004D3B7B">
        <w:rPr>
          <w:rFonts w:ascii="Bookman Old Style" w:hAnsi="Bookman Old Style"/>
          <w:b w:val="0"/>
        </w:rPr>
        <w:t>le quiere atribuir al ejercicio de esta función, a menos, claro está, que se crea que los jueces están para definir la remuneración que a través de la tarifa del servicio público domiciliario de energía eléctrica se paga a los prestadores de dicho servicio y para verificar los parámetros con los cuales se calcula la remuneración del Cargo por Confiabilidad.</w:t>
      </w:r>
    </w:p>
    <w:p w:rsidR="004D3B7B" w:rsidRDefault="004D3B7B" w:rsidP="004D3B7B">
      <w:pPr>
        <w:pStyle w:val="Textoindependiente"/>
        <w:ind w:left="0"/>
        <w:jc w:val="both"/>
        <w:rPr>
          <w:rFonts w:ascii="Bookman Old Style" w:hAnsi="Bookman Old Style"/>
          <w:b w:val="0"/>
        </w:rPr>
      </w:pPr>
    </w:p>
    <w:p w:rsidR="00187529" w:rsidRPr="004D3B7B" w:rsidRDefault="00187529" w:rsidP="004D3B7B">
      <w:pPr>
        <w:pStyle w:val="Textoindependiente"/>
        <w:numPr>
          <w:ilvl w:val="0"/>
          <w:numId w:val="38"/>
        </w:numPr>
        <w:jc w:val="both"/>
        <w:rPr>
          <w:rFonts w:ascii="Bookman Old Style" w:eastAsia="Calibri" w:hAnsi="Bookman Old Style"/>
          <w:bCs w:val="0"/>
        </w:rPr>
      </w:pPr>
      <w:r w:rsidRPr="004D3B7B">
        <w:rPr>
          <w:rFonts w:ascii="Bookman Old Style" w:eastAsia="Calibri" w:hAnsi="Bookman Old Style"/>
          <w:bCs w:val="0"/>
        </w:rPr>
        <w:t>Inexistencia de la supuesta faculta</w:t>
      </w:r>
      <w:r w:rsidR="005F7CB6">
        <w:rPr>
          <w:rFonts w:ascii="Bookman Old Style" w:eastAsia="Calibri" w:hAnsi="Bookman Old Style"/>
          <w:bCs w:val="0"/>
        </w:rPr>
        <w:t>d</w:t>
      </w:r>
      <w:r w:rsidRPr="004D3B7B">
        <w:rPr>
          <w:rFonts w:ascii="Bookman Old Style" w:eastAsia="Calibri" w:hAnsi="Bookman Old Style"/>
          <w:bCs w:val="0"/>
        </w:rPr>
        <w:t xml:space="preserve"> sancionatoria e indebida interpretación del ejercicio regulator</w:t>
      </w:r>
      <w:r w:rsidR="00370CCC">
        <w:rPr>
          <w:rFonts w:ascii="Bookman Old Style" w:eastAsia="Calibri" w:hAnsi="Bookman Old Style"/>
          <w:bCs w:val="0"/>
        </w:rPr>
        <w:t>io</w:t>
      </w:r>
      <w:r w:rsidRPr="004D3B7B">
        <w:rPr>
          <w:rFonts w:ascii="Bookman Old Style" w:eastAsia="Calibri" w:hAnsi="Bookman Old Style"/>
          <w:bCs w:val="0"/>
        </w:rPr>
        <w:t xml:space="preserve"> de esta Comisión.</w:t>
      </w:r>
    </w:p>
    <w:p w:rsidR="00187529" w:rsidRPr="00BD5E22" w:rsidRDefault="00187529" w:rsidP="00187529">
      <w:pPr>
        <w:ind w:left="360"/>
        <w:jc w:val="both"/>
        <w:rPr>
          <w:rFonts w:ascii="Ebrima" w:hAnsi="Ebrima" w:cs="Arial"/>
          <w:b/>
        </w:rPr>
      </w:pPr>
    </w:p>
    <w:p w:rsidR="00187529" w:rsidRPr="004D3B7B" w:rsidRDefault="009C4827" w:rsidP="004D3B7B">
      <w:pPr>
        <w:pStyle w:val="Textoindependiente"/>
        <w:ind w:left="0"/>
        <w:jc w:val="both"/>
        <w:rPr>
          <w:rFonts w:ascii="Bookman Old Style" w:hAnsi="Bookman Old Style"/>
          <w:b w:val="0"/>
          <w:bCs w:val="0"/>
        </w:rPr>
      </w:pPr>
      <w:r>
        <w:rPr>
          <w:rFonts w:ascii="Bookman Old Style" w:hAnsi="Bookman Old Style"/>
          <w:b w:val="0"/>
          <w:bCs w:val="0"/>
        </w:rPr>
        <w:t xml:space="preserve">Hemos </w:t>
      </w:r>
      <w:r w:rsidR="00370CCC">
        <w:rPr>
          <w:rFonts w:ascii="Bookman Old Style" w:hAnsi="Bookman Old Style"/>
          <w:b w:val="0"/>
          <w:bCs w:val="0"/>
        </w:rPr>
        <w:t xml:space="preserve">visto que lo establecido </w:t>
      </w:r>
      <w:r w:rsidR="00187529" w:rsidRPr="004D3B7B">
        <w:rPr>
          <w:rFonts w:ascii="Bookman Old Style" w:hAnsi="Bookman Old Style"/>
          <w:b w:val="0"/>
          <w:bCs w:val="0"/>
        </w:rPr>
        <w:t>en el parágrafo</w:t>
      </w:r>
      <w:r>
        <w:rPr>
          <w:rFonts w:ascii="Bookman Old Style" w:hAnsi="Bookman Old Style"/>
          <w:b w:val="0"/>
          <w:bCs w:val="0"/>
        </w:rPr>
        <w:t xml:space="preserve"> del Artículo </w:t>
      </w:r>
      <w:r w:rsidR="00187529" w:rsidRPr="004D3B7B">
        <w:rPr>
          <w:rFonts w:ascii="Bookman Old Style" w:hAnsi="Bookman Old Style"/>
          <w:b w:val="0"/>
          <w:bCs w:val="0"/>
        </w:rPr>
        <w:t xml:space="preserve">9 de la Resolución CREG 071 de 2006, modificada por el </w:t>
      </w:r>
      <w:r>
        <w:rPr>
          <w:rFonts w:ascii="Bookman Old Style" w:hAnsi="Bookman Old Style"/>
          <w:b w:val="0"/>
          <w:bCs w:val="0"/>
        </w:rPr>
        <w:t>A</w:t>
      </w:r>
      <w:r w:rsidR="00187529" w:rsidRPr="004D3B7B">
        <w:rPr>
          <w:rFonts w:ascii="Bookman Old Style" w:hAnsi="Bookman Old Style"/>
          <w:b w:val="0"/>
          <w:bCs w:val="0"/>
        </w:rPr>
        <w:t>rtículo 13 de la Resolución CREG 061 de 2007, corresponde a una función netamente regulatoria y no sancionatoria, como lo pretende hacer ver</w:t>
      </w:r>
      <w:r w:rsidR="00370CCC">
        <w:rPr>
          <w:rFonts w:ascii="Bookman Old Style" w:hAnsi="Bookman Old Style"/>
          <w:b w:val="0"/>
          <w:bCs w:val="0"/>
        </w:rPr>
        <w:t xml:space="preserve"> el recurso de EP</w:t>
      </w:r>
      <w:r>
        <w:rPr>
          <w:rFonts w:ascii="Bookman Old Style" w:hAnsi="Bookman Old Style"/>
          <w:b w:val="0"/>
          <w:bCs w:val="0"/>
        </w:rPr>
        <w:t>M</w:t>
      </w:r>
      <w:r w:rsidR="00187529" w:rsidRPr="004D3B7B">
        <w:rPr>
          <w:rFonts w:ascii="Bookman Old Style" w:hAnsi="Bookman Old Style"/>
          <w:b w:val="0"/>
          <w:bCs w:val="0"/>
        </w:rPr>
        <w:t>.</w:t>
      </w:r>
    </w:p>
    <w:p w:rsidR="00187529" w:rsidRPr="004D3B7B" w:rsidRDefault="00187529" w:rsidP="00187529">
      <w:pPr>
        <w:jc w:val="both"/>
        <w:rPr>
          <w:rFonts w:ascii="Bookman Old Style" w:hAnsi="Bookman Old Style" w:cs="Arial"/>
          <w:bCs/>
        </w:rPr>
      </w:pPr>
    </w:p>
    <w:p w:rsidR="00187529" w:rsidRPr="004D3B7B" w:rsidRDefault="00187529" w:rsidP="004D3B7B">
      <w:pPr>
        <w:pStyle w:val="Textoindependiente"/>
        <w:ind w:left="0"/>
        <w:jc w:val="both"/>
        <w:rPr>
          <w:rFonts w:ascii="Bookman Old Style" w:hAnsi="Bookman Old Style"/>
          <w:b w:val="0"/>
          <w:bCs w:val="0"/>
        </w:rPr>
      </w:pPr>
      <w:r w:rsidRPr="004D3B7B">
        <w:rPr>
          <w:rFonts w:ascii="Bookman Old Style" w:hAnsi="Bookman Old Style"/>
          <w:b w:val="0"/>
          <w:bCs w:val="0"/>
        </w:rPr>
        <w:t>Sobre el asunto si se ejerció una sanción sobre EPM, debemos empezar por aclarar el contenido del denominado derecho administrativo sancionador, sobre el cual la H. Corte Constitucional ha precisado lo siguiente:</w:t>
      </w:r>
    </w:p>
    <w:p w:rsidR="00187529" w:rsidRPr="004D3B7B" w:rsidRDefault="00187529" w:rsidP="00187529">
      <w:pPr>
        <w:jc w:val="both"/>
        <w:rPr>
          <w:rFonts w:ascii="Bookman Old Style" w:hAnsi="Bookman Old Style" w:cs="Arial"/>
          <w:bCs/>
        </w:rPr>
      </w:pPr>
    </w:p>
    <w:p w:rsidR="00187529" w:rsidRPr="001F001F" w:rsidRDefault="00187529" w:rsidP="00187529">
      <w:pPr>
        <w:ind w:left="709" w:right="459"/>
        <w:jc w:val="both"/>
        <w:rPr>
          <w:rFonts w:ascii="Bookman Old Style" w:hAnsi="Bookman Old Style" w:cs="Arial"/>
          <w:sz w:val="22"/>
        </w:rPr>
      </w:pPr>
      <w:r w:rsidRPr="001F001F">
        <w:rPr>
          <w:rFonts w:ascii="Bookman Old Style" w:hAnsi="Bookman Old Style" w:cs="Arial"/>
          <w:i/>
          <w:sz w:val="22"/>
        </w:rPr>
        <w:t>“</w:t>
      </w:r>
      <w:r w:rsidR="004D3B7B" w:rsidRPr="001F001F">
        <w:rPr>
          <w:rFonts w:ascii="Bookman Old Style" w:hAnsi="Bookman Old Style" w:cs="Arial"/>
          <w:i/>
          <w:sz w:val="22"/>
        </w:rPr>
        <w:t xml:space="preserve">(…) </w:t>
      </w:r>
      <w:r w:rsidRPr="001F001F">
        <w:rPr>
          <w:rFonts w:ascii="Bookman Old Style" w:hAnsi="Bookman Old Style" w:cs="Arial"/>
          <w:i/>
          <w:sz w:val="22"/>
        </w:rPr>
        <w:t xml:space="preserve">Derecho administrativo sancionador que constituye una expresión de poder jurídico indispensable para la regulación de la vida en sociedad y así pueda la Administración cometer apropiadamente sus funciones y realizar sus fines. Si bien se activa a partir del desconocimiento de reglas </w:t>
      </w:r>
      <w:proofErr w:type="spellStart"/>
      <w:r w:rsidRPr="001F001F">
        <w:rPr>
          <w:rFonts w:ascii="Bookman Old Style" w:hAnsi="Bookman Old Style" w:cs="Arial"/>
          <w:i/>
          <w:sz w:val="22"/>
        </w:rPr>
        <w:t>preestablecidas</w:t>
      </w:r>
      <w:proofErr w:type="spellEnd"/>
      <w:r w:rsidRPr="001F001F">
        <w:rPr>
          <w:rFonts w:ascii="Bookman Old Style" w:hAnsi="Bookman Old Style" w:cs="Arial"/>
          <w:i/>
          <w:sz w:val="22"/>
        </w:rPr>
        <w:t>, tiene una cierta finalidad preventiva al proponer un cuadro sancionador como consecuencia del incumplimiento de las prescripciones normativas</w:t>
      </w:r>
      <w:r w:rsidRPr="001F001F">
        <w:rPr>
          <w:rFonts w:ascii="Bookman Old Style" w:hAnsi="Bookman Old Style" w:cs="Arial"/>
          <w:sz w:val="22"/>
        </w:rPr>
        <w:t>.</w:t>
      </w:r>
    </w:p>
    <w:p w:rsidR="00187529" w:rsidRPr="001F001F" w:rsidRDefault="00187529" w:rsidP="00187529">
      <w:pPr>
        <w:ind w:left="709" w:right="459"/>
        <w:jc w:val="both"/>
        <w:rPr>
          <w:rFonts w:ascii="Bookman Old Style" w:hAnsi="Bookman Old Style" w:cs="Arial"/>
          <w:i/>
          <w:sz w:val="22"/>
        </w:rPr>
      </w:pPr>
    </w:p>
    <w:p w:rsidR="00187529" w:rsidRPr="001F001F" w:rsidRDefault="00187529" w:rsidP="00187529">
      <w:pPr>
        <w:ind w:left="709" w:right="459"/>
        <w:jc w:val="both"/>
        <w:rPr>
          <w:rFonts w:ascii="Bookman Old Style" w:hAnsi="Bookman Old Style" w:cs="Arial"/>
          <w:i/>
          <w:sz w:val="22"/>
        </w:rPr>
      </w:pPr>
      <w:r w:rsidRPr="001F001F">
        <w:rPr>
          <w:rFonts w:ascii="Bookman Old Style" w:hAnsi="Bookman Old Style" w:cs="Arial"/>
          <w:i/>
          <w:sz w:val="22"/>
        </w:rPr>
        <w:lastRenderedPageBreak/>
        <w:t>Por sanción ha de entenderse “un mal infligido por la Administración a un administrado como consecuencia de una conducta ilegal. Este mal (fin aflictivo de la sanción) consistirá siempre en la privación de un bien o de un derecho, imposición de una obligación de pago de una multa (...)</w:t>
      </w:r>
    </w:p>
    <w:p w:rsidR="00187529" w:rsidRPr="001F001F" w:rsidRDefault="00187529" w:rsidP="00187529">
      <w:pPr>
        <w:ind w:left="709" w:right="459"/>
        <w:jc w:val="both"/>
        <w:rPr>
          <w:rFonts w:ascii="Bookman Old Style" w:hAnsi="Bookman Old Style" w:cs="Arial"/>
          <w:i/>
          <w:sz w:val="22"/>
        </w:rPr>
      </w:pPr>
    </w:p>
    <w:p w:rsidR="00187529" w:rsidRPr="001F001F" w:rsidRDefault="00187529" w:rsidP="00187529">
      <w:pPr>
        <w:ind w:left="709" w:right="459"/>
        <w:jc w:val="both"/>
        <w:rPr>
          <w:rFonts w:ascii="Bookman Old Style" w:hAnsi="Bookman Old Style" w:cs="Arial"/>
          <w:i/>
          <w:sz w:val="22"/>
        </w:rPr>
      </w:pPr>
      <w:r w:rsidRPr="001F001F">
        <w:rPr>
          <w:rFonts w:ascii="Bookman Old Style" w:hAnsi="Bookman Old Style" w:cs="Arial"/>
          <w:i/>
          <w:sz w:val="22"/>
        </w:rPr>
        <w:t>Potestad de la administración que se traduce normalmente en la facultad de imponer i) sanciones disciplinarias para reprimir las acciones u omisiones antijurídicas en las que incurren los servidores públicos o aquellas personas que sin tener dicha calidad están habilitadas para ejercer transitoriamente funciones públicas y ii) sanciones correctivas que se aplican a los particulares que infringen las obligaciones y restricciones que se les han impuesto.</w:t>
      </w:r>
    </w:p>
    <w:p w:rsidR="00187529" w:rsidRPr="001F001F" w:rsidRDefault="00187529" w:rsidP="00187529">
      <w:pPr>
        <w:ind w:left="709" w:right="459"/>
        <w:jc w:val="both"/>
        <w:rPr>
          <w:rFonts w:ascii="Bookman Old Style" w:hAnsi="Bookman Old Style" w:cs="Arial"/>
          <w:i/>
          <w:sz w:val="22"/>
        </w:rPr>
      </w:pPr>
      <w:r w:rsidRPr="001F001F">
        <w:rPr>
          <w:rFonts w:ascii="Bookman Old Style" w:hAnsi="Bookman Old Style" w:cs="Arial"/>
          <w:i/>
          <w:sz w:val="22"/>
        </w:rPr>
        <w:t xml:space="preserve"> </w:t>
      </w:r>
    </w:p>
    <w:p w:rsidR="00187529" w:rsidRPr="001F001F" w:rsidRDefault="00187529" w:rsidP="00187529">
      <w:pPr>
        <w:ind w:left="709" w:right="459"/>
        <w:jc w:val="both"/>
        <w:rPr>
          <w:rFonts w:ascii="Bookman Old Style" w:hAnsi="Bookman Old Style" w:cs="Arial"/>
          <w:i/>
          <w:sz w:val="22"/>
        </w:rPr>
      </w:pPr>
      <w:r w:rsidRPr="001F001F">
        <w:rPr>
          <w:rFonts w:ascii="Bookman Old Style" w:hAnsi="Bookman Old Style" w:cs="Arial"/>
          <w:i/>
          <w:sz w:val="22"/>
        </w:rPr>
        <w:t>Dicha potestad igualmente ha sido relacionada con la función de policía “que supone el ejercicio de facultades asignadas al ejecutivo por el legislador, con miras a garantizar el orden público en sus diversas facetas. Así las facultades administrativas relativas, por ejemplo, a la organización del transporte público, la comercialización de alimentos, a la preservación del medio ambiente, al régimen de cambios internacionales, etc., tienen su justificación en la necesidad de mantener las condiciones de salubridad, tranquilidad y seguridad implicadas en la noción de orden público”.</w:t>
      </w:r>
    </w:p>
    <w:p w:rsidR="00187529" w:rsidRPr="001F001F" w:rsidRDefault="00187529" w:rsidP="00187529">
      <w:pPr>
        <w:ind w:left="709" w:right="459"/>
        <w:jc w:val="both"/>
        <w:rPr>
          <w:rFonts w:ascii="Bookman Old Style" w:hAnsi="Bookman Old Style" w:cs="Arial"/>
          <w:i/>
          <w:sz w:val="22"/>
        </w:rPr>
      </w:pPr>
    </w:p>
    <w:p w:rsidR="00187529" w:rsidRPr="001F001F" w:rsidRDefault="00187529" w:rsidP="00187529">
      <w:pPr>
        <w:ind w:left="709" w:right="459"/>
        <w:jc w:val="both"/>
        <w:rPr>
          <w:rFonts w:ascii="Bookman Old Style" w:hAnsi="Bookman Old Style" w:cs="Arial"/>
          <w:i/>
          <w:sz w:val="22"/>
        </w:rPr>
      </w:pPr>
      <w:r w:rsidRPr="001F001F">
        <w:rPr>
          <w:rFonts w:ascii="Bookman Old Style" w:hAnsi="Bookman Old Style" w:cs="Arial"/>
          <w:i/>
          <w:sz w:val="22"/>
        </w:rPr>
        <w:t>Igualmente ha sido vinculada por un sector de la doctrina administrativa tradicional como una expresión del  poder de policía “en cuya virtud el Estado tiene la atribución de regular el ejercicio de las libertades individuales con el fin de garantizar el orden público. La sanción viene a ser el instrumento coactivo para hacer cumplir la medida de policía.”</w:t>
      </w:r>
      <w:r w:rsidR="001F001F" w:rsidRPr="001F001F">
        <w:rPr>
          <w:rStyle w:val="Refdenotaalpie"/>
          <w:rFonts w:ascii="Bookman Old Style" w:hAnsi="Bookman Old Style" w:cs="Arial"/>
          <w:i/>
          <w:sz w:val="22"/>
        </w:rPr>
        <w:footnoteReference w:id="22"/>
      </w:r>
    </w:p>
    <w:p w:rsidR="00187529" w:rsidRPr="00BD6DFD" w:rsidRDefault="00187529" w:rsidP="00187529">
      <w:pPr>
        <w:ind w:left="709" w:right="459"/>
        <w:jc w:val="both"/>
        <w:rPr>
          <w:rFonts w:ascii="Ebrima" w:hAnsi="Ebrima" w:cs="Arial"/>
          <w:i/>
        </w:rPr>
      </w:pPr>
    </w:p>
    <w:p w:rsidR="00370CCC" w:rsidRDefault="00187529" w:rsidP="009C4827">
      <w:pPr>
        <w:pStyle w:val="Textoindependiente"/>
        <w:ind w:left="0"/>
        <w:jc w:val="both"/>
        <w:rPr>
          <w:rFonts w:ascii="Bookman Old Style" w:hAnsi="Bookman Old Style"/>
          <w:b w:val="0"/>
          <w:bCs w:val="0"/>
        </w:rPr>
      </w:pPr>
      <w:r w:rsidRPr="009C4827">
        <w:rPr>
          <w:rFonts w:ascii="Bookman Old Style" w:hAnsi="Bookman Old Style"/>
          <w:b w:val="0"/>
          <w:bCs w:val="0"/>
        </w:rPr>
        <w:t>El ejercicio de lo previsto en el parágrafo 9 de la Resolución CREG 071 de 2006, modificado por el artículo 13 de la Resolución CREG 061 de 2007, no es un instrumento coactivo, ni hace parte de una medida de policía. Este instrumento hace parte de la función regulatoria de la CREG, que se realiza en el marco de una actuación administrativa cuyo objetivo último consiste en determinar si el sistema eléctrico nacional interconectado, contar</w:t>
      </w:r>
      <w:r w:rsidR="005F7CB6">
        <w:rPr>
          <w:rFonts w:ascii="Bookman Old Style" w:hAnsi="Bookman Old Style"/>
          <w:b w:val="0"/>
          <w:bCs w:val="0"/>
        </w:rPr>
        <w:t>á</w:t>
      </w:r>
      <w:r w:rsidRPr="009C4827">
        <w:rPr>
          <w:rFonts w:ascii="Bookman Old Style" w:hAnsi="Bookman Old Style"/>
          <w:b w:val="0"/>
          <w:bCs w:val="0"/>
        </w:rPr>
        <w:t xml:space="preserve"> o no, con la energía que se había comprometido a entregarle el oferente en la subasta. </w:t>
      </w:r>
    </w:p>
    <w:p w:rsidR="00370CCC" w:rsidRDefault="00370CCC" w:rsidP="009C4827">
      <w:pPr>
        <w:pStyle w:val="Textoindependiente"/>
        <w:ind w:left="0"/>
        <w:jc w:val="both"/>
        <w:rPr>
          <w:rFonts w:ascii="Bookman Old Style" w:hAnsi="Bookman Old Style"/>
          <w:b w:val="0"/>
          <w:bCs w:val="0"/>
        </w:rPr>
      </w:pPr>
    </w:p>
    <w:p w:rsidR="00187529" w:rsidRPr="009C4827" w:rsidRDefault="00187529" w:rsidP="009C4827">
      <w:pPr>
        <w:pStyle w:val="Textoindependiente"/>
        <w:ind w:left="0"/>
        <w:jc w:val="both"/>
        <w:rPr>
          <w:rFonts w:ascii="Bookman Old Style" w:hAnsi="Bookman Old Style"/>
          <w:b w:val="0"/>
          <w:bCs w:val="0"/>
        </w:rPr>
      </w:pPr>
      <w:r w:rsidRPr="009C4827">
        <w:rPr>
          <w:rFonts w:ascii="Bookman Old Style" w:hAnsi="Bookman Old Style"/>
          <w:b w:val="0"/>
          <w:bCs w:val="0"/>
        </w:rPr>
        <w:t>En nuestro caso, lo que finalmente se persigue es determinar si EPM cumpliría con lo pactado en la subasta</w:t>
      </w:r>
      <w:r w:rsidR="00117D90">
        <w:rPr>
          <w:rFonts w:ascii="Bookman Old Style" w:hAnsi="Bookman Old Style"/>
          <w:b w:val="0"/>
          <w:bCs w:val="0"/>
        </w:rPr>
        <w:t xml:space="preserve"> del</w:t>
      </w:r>
      <w:r w:rsidRPr="009C4827">
        <w:rPr>
          <w:rFonts w:ascii="Bookman Old Style" w:hAnsi="Bookman Old Style"/>
          <w:b w:val="0"/>
          <w:bCs w:val="0"/>
        </w:rPr>
        <w:t xml:space="preserve"> 2008</w:t>
      </w:r>
      <w:r w:rsidR="00370CCC">
        <w:rPr>
          <w:rFonts w:ascii="Bookman Old Style" w:hAnsi="Bookman Old Style"/>
          <w:b w:val="0"/>
          <w:bCs w:val="0"/>
        </w:rPr>
        <w:t xml:space="preserve">, esto es </w:t>
      </w:r>
      <w:r w:rsidRPr="009C4827">
        <w:rPr>
          <w:rFonts w:ascii="Bookman Old Style" w:hAnsi="Bookman Old Style"/>
          <w:b w:val="0"/>
          <w:bCs w:val="0"/>
        </w:rPr>
        <w:t xml:space="preserve">poner en funcionamiento la planta de generación Porce IV, con la cual entregaba al sistema la energía asignada mediante </w:t>
      </w:r>
      <w:r w:rsidR="00370CCC" w:rsidRPr="009C4827">
        <w:rPr>
          <w:rFonts w:ascii="Bookman Old Style" w:hAnsi="Bookman Old Style"/>
          <w:b w:val="0"/>
          <w:bCs w:val="0"/>
        </w:rPr>
        <w:t>O</w:t>
      </w:r>
      <w:r w:rsidR="00370CCC">
        <w:rPr>
          <w:rFonts w:ascii="Bookman Old Style" w:hAnsi="Bookman Old Style"/>
          <w:b w:val="0"/>
          <w:bCs w:val="0"/>
        </w:rPr>
        <w:t xml:space="preserve">bligación de </w:t>
      </w:r>
      <w:r w:rsidR="00370CCC" w:rsidRPr="009C4827">
        <w:rPr>
          <w:rFonts w:ascii="Bookman Old Style" w:hAnsi="Bookman Old Style"/>
          <w:b w:val="0"/>
          <w:bCs w:val="0"/>
        </w:rPr>
        <w:t>E</w:t>
      </w:r>
      <w:r w:rsidR="00370CCC">
        <w:rPr>
          <w:rFonts w:ascii="Bookman Old Style" w:hAnsi="Bookman Old Style"/>
          <w:b w:val="0"/>
          <w:bCs w:val="0"/>
        </w:rPr>
        <w:t xml:space="preserve">nergía </w:t>
      </w:r>
      <w:r w:rsidRPr="009C4827">
        <w:rPr>
          <w:rFonts w:ascii="Bookman Old Style" w:hAnsi="Bookman Old Style"/>
          <w:b w:val="0"/>
          <w:bCs w:val="0"/>
        </w:rPr>
        <w:t>F</w:t>
      </w:r>
      <w:r w:rsidR="00370CCC">
        <w:rPr>
          <w:rFonts w:ascii="Bookman Old Style" w:hAnsi="Bookman Old Style"/>
          <w:b w:val="0"/>
          <w:bCs w:val="0"/>
        </w:rPr>
        <w:t>irme</w:t>
      </w:r>
      <w:r w:rsidRPr="009C4827">
        <w:rPr>
          <w:rFonts w:ascii="Bookman Old Style" w:hAnsi="Bookman Old Style"/>
          <w:b w:val="0"/>
          <w:bCs w:val="0"/>
        </w:rPr>
        <w:t xml:space="preserve">, </w:t>
      </w:r>
      <w:r w:rsidR="00370CCC">
        <w:rPr>
          <w:rFonts w:ascii="Bookman Old Style" w:hAnsi="Bookman Old Style"/>
          <w:b w:val="0"/>
          <w:bCs w:val="0"/>
        </w:rPr>
        <w:t xml:space="preserve">por la </w:t>
      </w:r>
      <w:r w:rsidR="00117D90">
        <w:rPr>
          <w:rFonts w:ascii="Bookman Old Style" w:hAnsi="Bookman Old Style"/>
          <w:b w:val="0"/>
          <w:bCs w:val="0"/>
        </w:rPr>
        <w:t xml:space="preserve">que </w:t>
      </w:r>
      <w:r w:rsidR="00370CCC">
        <w:rPr>
          <w:rFonts w:ascii="Bookman Old Style" w:hAnsi="Bookman Old Style"/>
          <w:b w:val="0"/>
          <w:bCs w:val="0"/>
        </w:rPr>
        <w:t xml:space="preserve">recibiría </w:t>
      </w:r>
      <w:r w:rsidRPr="009C4827">
        <w:rPr>
          <w:rFonts w:ascii="Bookman Old Style" w:hAnsi="Bookman Old Style"/>
          <w:b w:val="0"/>
          <w:bCs w:val="0"/>
        </w:rPr>
        <w:t xml:space="preserve">a cambio una remuneración de acuerdo a lo determinado por el Cargo </w:t>
      </w:r>
      <w:r w:rsidR="00370CCC">
        <w:rPr>
          <w:rFonts w:ascii="Bookman Old Style" w:hAnsi="Bookman Old Style"/>
          <w:b w:val="0"/>
          <w:bCs w:val="0"/>
        </w:rPr>
        <w:t>por</w:t>
      </w:r>
      <w:r w:rsidRPr="009C4827">
        <w:rPr>
          <w:rFonts w:ascii="Bookman Old Style" w:hAnsi="Bookman Old Style"/>
          <w:b w:val="0"/>
          <w:bCs w:val="0"/>
        </w:rPr>
        <w:t xml:space="preserve"> Confiabilidad.</w:t>
      </w:r>
    </w:p>
    <w:p w:rsidR="007F731A" w:rsidRPr="007F731A" w:rsidRDefault="007F731A" w:rsidP="009C4827">
      <w:pPr>
        <w:pStyle w:val="Textoindependiente"/>
        <w:ind w:left="0"/>
        <w:jc w:val="both"/>
        <w:rPr>
          <w:rFonts w:ascii="Bookman Old Style" w:hAnsi="Bookman Old Style"/>
          <w:b w:val="0"/>
          <w:bCs w:val="0"/>
          <w:sz w:val="18"/>
        </w:rPr>
      </w:pPr>
    </w:p>
    <w:p w:rsidR="00187529" w:rsidRPr="009C4827" w:rsidRDefault="00187529" w:rsidP="009C4827">
      <w:pPr>
        <w:pStyle w:val="Textoindependiente"/>
        <w:ind w:left="0"/>
        <w:jc w:val="both"/>
        <w:rPr>
          <w:rFonts w:ascii="Bookman Old Style" w:hAnsi="Bookman Old Style"/>
          <w:b w:val="0"/>
          <w:bCs w:val="0"/>
        </w:rPr>
      </w:pPr>
      <w:r w:rsidRPr="009C4827">
        <w:rPr>
          <w:rFonts w:ascii="Bookman Old Style" w:hAnsi="Bookman Old Style"/>
          <w:b w:val="0"/>
          <w:bCs w:val="0"/>
        </w:rPr>
        <w:t>Lo anterior hace parte de las funciones que se han sido atribuidas a esta Comisión en el marco de las Leyes 142 y 143 de 1994, esto es la facultad de establecer el Reglamento de Operación, el cual incluye los principios, criterios y procedimientos para regular el funcionamiento del Mercado Mayorista de Energía, teniendo como objetivo fundamental de la Regulación en el sector eléctrico, asegurar una adecuada prestación del servicio mediante el aprovechamiento eficiente de los diferentes recursos energéticos, en beneficio del usuario en términos de calidad, oportunidad, continuidad y costo del servicio, y claramente valorar la oferta energética de generación en Colombia.</w:t>
      </w:r>
    </w:p>
    <w:p w:rsidR="00187529" w:rsidRPr="00BD5E22" w:rsidRDefault="00187529" w:rsidP="00187529">
      <w:pPr>
        <w:jc w:val="both"/>
        <w:rPr>
          <w:rFonts w:ascii="Ebrima" w:hAnsi="Ebrima" w:cs="Arial"/>
        </w:rPr>
      </w:pPr>
    </w:p>
    <w:p w:rsidR="00187529" w:rsidRPr="009C4827" w:rsidRDefault="00187529" w:rsidP="009C4827">
      <w:pPr>
        <w:pStyle w:val="Textoindependiente"/>
        <w:ind w:left="0"/>
        <w:jc w:val="both"/>
        <w:rPr>
          <w:rFonts w:ascii="Bookman Old Style" w:hAnsi="Bookman Old Style"/>
          <w:b w:val="0"/>
          <w:bCs w:val="0"/>
        </w:rPr>
      </w:pPr>
      <w:r w:rsidRPr="009C4827">
        <w:rPr>
          <w:rFonts w:ascii="Bookman Old Style" w:hAnsi="Bookman Old Style"/>
          <w:b w:val="0"/>
          <w:bCs w:val="0"/>
        </w:rPr>
        <w:lastRenderedPageBreak/>
        <w:t>Según el Artículo 74.1, literal c), de la Ley 142 de 1994, la Comisión de Regulación de Energía y Gas tiene la facultad legal de establecer el Reglamento de Operación, el cual incluye los principios, criterios y procedimientos para regular el funcionamiento del mercado mayorista de energía eléctrica.</w:t>
      </w:r>
    </w:p>
    <w:p w:rsidR="00187529" w:rsidRPr="009C4827" w:rsidRDefault="00187529" w:rsidP="009C4827">
      <w:pPr>
        <w:pStyle w:val="Textoindependiente"/>
        <w:ind w:left="0"/>
        <w:jc w:val="both"/>
        <w:rPr>
          <w:rFonts w:ascii="Bookman Old Style" w:hAnsi="Bookman Old Style"/>
          <w:b w:val="0"/>
          <w:bCs w:val="0"/>
        </w:rPr>
      </w:pPr>
    </w:p>
    <w:p w:rsidR="00187529" w:rsidRPr="009C4827" w:rsidRDefault="00187529" w:rsidP="009C4827">
      <w:pPr>
        <w:pStyle w:val="Textoindependiente"/>
        <w:ind w:left="0"/>
        <w:jc w:val="both"/>
        <w:rPr>
          <w:rFonts w:ascii="Bookman Old Style" w:hAnsi="Bookman Old Style"/>
          <w:b w:val="0"/>
          <w:bCs w:val="0"/>
        </w:rPr>
      </w:pPr>
      <w:r w:rsidRPr="009C4827">
        <w:rPr>
          <w:rFonts w:ascii="Bookman Old Style" w:hAnsi="Bookman Old Style"/>
          <w:b w:val="0"/>
          <w:bCs w:val="0"/>
        </w:rPr>
        <w:t xml:space="preserve">Recordemos </w:t>
      </w:r>
      <w:r w:rsidRPr="00370CCC">
        <w:rPr>
          <w:rFonts w:ascii="Bookman Old Style" w:hAnsi="Bookman Old Style"/>
          <w:bCs w:val="0"/>
        </w:rPr>
        <w:t>que lo pretendido por el Cargo</w:t>
      </w:r>
      <w:r w:rsidR="005F7CB6">
        <w:rPr>
          <w:rFonts w:ascii="Bookman Old Style" w:hAnsi="Bookman Old Style"/>
          <w:bCs w:val="0"/>
        </w:rPr>
        <w:t xml:space="preserve"> por Confiabilidad</w:t>
      </w:r>
      <w:r w:rsidRPr="00370CCC">
        <w:rPr>
          <w:rFonts w:ascii="Bookman Old Style" w:hAnsi="Bookman Old Style"/>
          <w:bCs w:val="0"/>
        </w:rPr>
        <w:t xml:space="preserve"> es remunerar a un agente generador por la disponibilidad de activos de generación con las características y parámetros declarados para el cálculo de la ENFICC (Energía en Firme), que garantiza el cumplimiento de la OEF (Obligación de Energía Firme</w:t>
      </w:r>
      <w:r w:rsidRPr="009C4827">
        <w:rPr>
          <w:rFonts w:ascii="Bookman Old Style" w:hAnsi="Bookman Old Style"/>
          <w:b w:val="0"/>
          <w:bCs w:val="0"/>
        </w:rPr>
        <w:t xml:space="preserve">) </w:t>
      </w:r>
      <w:r w:rsidRPr="00E4604B">
        <w:rPr>
          <w:rFonts w:ascii="Bookman Old Style" w:hAnsi="Bookman Old Style"/>
          <w:bCs w:val="0"/>
        </w:rPr>
        <w:t>que le fue asignada en una Subasta</w:t>
      </w:r>
      <w:r w:rsidRPr="009C4827">
        <w:rPr>
          <w:rFonts w:ascii="Bookman Old Style" w:hAnsi="Bookman Old Style"/>
          <w:b w:val="0"/>
          <w:bCs w:val="0"/>
        </w:rPr>
        <w:t xml:space="preserve"> para la Asignación de Obligaciones de Energía Firme o en el mecanismo que haga sus veces. </w:t>
      </w:r>
    </w:p>
    <w:p w:rsidR="00187529" w:rsidRPr="009C4827" w:rsidRDefault="00187529" w:rsidP="009C4827">
      <w:pPr>
        <w:pStyle w:val="Textoindependiente"/>
        <w:ind w:left="0"/>
        <w:jc w:val="both"/>
        <w:rPr>
          <w:rFonts w:ascii="Bookman Old Style" w:hAnsi="Bookman Old Style"/>
          <w:b w:val="0"/>
          <w:bCs w:val="0"/>
        </w:rPr>
      </w:pPr>
    </w:p>
    <w:p w:rsidR="009C4827" w:rsidRDefault="00187529" w:rsidP="009C4827">
      <w:pPr>
        <w:pStyle w:val="Textoindependiente"/>
        <w:ind w:left="0"/>
        <w:jc w:val="both"/>
        <w:rPr>
          <w:rFonts w:ascii="Bookman Old Style" w:hAnsi="Bookman Old Style"/>
          <w:b w:val="0"/>
          <w:bCs w:val="0"/>
        </w:rPr>
      </w:pPr>
      <w:r w:rsidRPr="009C4827">
        <w:rPr>
          <w:rFonts w:ascii="Bookman Old Style" w:hAnsi="Bookman Old Style"/>
          <w:b w:val="0"/>
          <w:bCs w:val="0"/>
        </w:rPr>
        <w:t>Esta energía está asociada a la Capacidad de Generación de Respaldo que trata el Artículo 23 de la Ley 143 de 1994 y es la que puede comprometerse para garantizar a los usuarios la confiabilidad en la prestación del servicio de energía eléctrica bajo condiciones críticas.</w:t>
      </w:r>
    </w:p>
    <w:p w:rsidR="009C4827" w:rsidRDefault="009C4827" w:rsidP="009C4827">
      <w:pPr>
        <w:pStyle w:val="Textoindependiente"/>
        <w:ind w:left="0"/>
        <w:jc w:val="both"/>
        <w:rPr>
          <w:rFonts w:ascii="Bookman Old Style" w:hAnsi="Bookman Old Style"/>
          <w:b w:val="0"/>
          <w:bCs w:val="0"/>
        </w:rPr>
      </w:pPr>
    </w:p>
    <w:p w:rsidR="00E4604B" w:rsidRPr="00FB5BD5" w:rsidRDefault="00E4604B" w:rsidP="00E4604B">
      <w:pPr>
        <w:pStyle w:val="Textoindependiente"/>
        <w:ind w:left="0"/>
        <w:jc w:val="both"/>
        <w:rPr>
          <w:rFonts w:ascii="Bookman Old Style" w:hAnsi="Bookman Old Style"/>
          <w:b w:val="0"/>
        </w:rPr>
      </w:pPr>
      <w:r w:rsidRPr="00FB5BD5">
        <w:rPr>
          <w:rFonts w:ascii="Bookman Old Style" w:hAnsi="Bookman Old Style"/>
          <w:b w:val="0"/>
        </w:rPr>
        <w:t>Es muy diferente a</w:t>
      </w:r>
      <w:r>
        <w:rPr>
          <w:rFonts w:ascii="Bookman Old Style" w:hAnsi="Bookman Old Style"/>
          <w:b w:val="0"/>
        </w:rPr>
        <w:t xml:space="preserve"> una facultad sancionatoria lo establecido </w:t>
      </w:r>
      <w:r w:rsidRPr="00FB5BD5">
        <w:rPr>
          <w:rFonts w:ascii="Bookman Old Style" w:hAnsi="Bookman Old Style"/>
          <w:b w:val="0"/>
        </w:rPr>
        <w:t>en la Resolución CREG 071 de 2006,</w:t>
      </w:r>
      <w:r>
        <w:rPr>
          <w:rFonts w:ascii="Bookman Old Style" w:hAnsi="Bookman Old Style"/>
          <w:b w:val="0"/>
        </w:rPr>
        <w:t xml:space="preserve"> esta hace referencia a</w:t>
      </w:r>
      <w:r w:rsidRPr="00FB5BD5">
        <w:rPr>
          <w:rFonts w:ascii="Bookman Old Style" w:hAnsi="Bookman Old Style"/>
          <w:b w:val="0"/>
        </w:rPr>
        <w:t xml:space="preserve"> la metodología del cargo por confiabilidad</w:t>
      </w:r>
      <w:r>
        <w:rPr>
          <w:rFonts w:ascii="Bookman Old Style" w:hAnsi="Bookman Old Style"/>
          <w:b w:val="0"/>
        </w:rPr>
        <w:t>, la cual se expide en razón de</w:t>
      </w:r>
      <w:r w:rsidRPr="00FB5BD5">
        <w:rPr>
          <w:rFonts w:ascii="Bookman Old Style" w:hAnsi="Bookman Old Style"/>
          <w:b w:val="0"/>
        </w:rPr>
        <w:t xml:space="preserve"> las consideraciones constitucionales mencionadas y </w:t>
      </w:r>
      <w:r>
        <w:rPr>
          <w:rFonts w:ascii="Bookman Old Style" w:hAnsi="Bookman Old Style"/>
          <w:b w:val="0"/>
        </w:rPr>
        <w:t xml:space="preserve">de </w:t>
      </w:r>
      <w:r w:rsidRPr="00FB5BD5">
        <w:rPr>
          <w:rFonts w:ascii="Bookman Old Style" w:hAnsi="Bookman Old Style"/>
          <w:b w:val="0"/>
        </w:rPr>
        <w:t>las facultades de las Leyes 142 y 143 de 1994, dentro de las cuales encontramos como funciones especiales de la CREG, regular el ejercicio de las actividades de los sectores de energía y gas combustible, buscando asegurar una disponibilidad eficiente en la oferta energética; propiciar la competencia en el sector de minas y energía y proponer la adopción de las medidas necesarias para impedir abusos de posición dominante; buscar la liberación gradual de los mercados hacia la libre competencia; y establecer criterios para la fijación de compromisos de ventas garantizadas de energía y potencia entre las empresas eléctricas y entre éstas y los grandes usuarios.</w:t>
      </w:r>
    </w:p>
    <w:p w:rsidR="00E4604B" w:rsidRDefault="00E4604B" w:rsidP="009C4827">
      <w:pPr>
        <w:pStyle w:val="Textoindependiente"/>
        <w:ind w:left="0"/>
        <w:jc w:val="both"/>
        <w:rPr>
          <w:rFonts w:ascii="Bookman Old Style" w:hAnsi="Bookman Old Style"/>
          <w:b w:val="0"/>
          <w:bCs w:val="0"/>
        </w:rPr>
      </w:pPr>
    </w:p>
    <w:p w:rsidR="00187529" w:rsidRPr="00646BD4" w:rsidRDefault="009C4827" w:rsidP="009C4827">
      <w:pPr>
        <w:pStyle w:val="Textoindependiente"/>
        <w:ind w:left="0"/>
        <w:jc w:val="both"/>
        <w:rPr>
          <w:rFonts w:ascii="Bookman Old Style" w:hAnsi="Bookman Old Style"/>
        </w:rPr>
      </w:pPr>
      <w:r w:rsidRPr="00646BD4">
        <w:rPr>
          <w:rFonts w:ascii="Bookman Old Style" w:hAnsi="Bookman Old Style"/>
          <w:b w:val="0"/>
          <w:bCs w:val="0"/>
        </w:rPr>
        <w:t xml:space="preserve">Estas consideraciones demuestran que </w:t>
      </w:r>
      <w:r w:rsidRPr="00B9299A">
        <w:rPr>
          <w:rFonts w:ascii="Bookman Old Style" w:hAnsi="Bookman Old Style"/>
          <w:b w:val="0"/>
          <w:bCs w:val="0"/>
        </w:rPr>
        <w:t xml:space="preserve">el </w:t>
      </w:r>
      <w:r w:rsidR="00B9299A" w:rsidRPr="00B9299A">
        <w:rPr>
          <w:rFonts w:ascii="Bookman Old Style" w:hAnsi="Bookman Old Style"/>
          <w:b w:val="0"/>
          <w:bCs w:val="0"/>
        </w:rPr>
        <w:t xml:space="preserve">recurrente </w:t>
      </w:r>
      <w:r w:rsidR="00187529" w:rsidRPr="00B9299A">
        <w:rPr>
          <w:rFonts w:ascii="Bookman Old Style" w:hAnsi="Bookman Old Style"/>
          <w:b w:val="0"/>
        </w:rPr>
        <w:t xml:space="preserve">desdibuja el ejercicio de una función regulatoria, </w:t>
      </w:r>
      <w:r w:rsidR="00315A19">
        <w:rPr>
          <w:rFonts w:ascii="Bookman Old Style" w:hAnsi="Bookman Old Style"/>
          <w:b w:val="0"/>
        </w:rPr>
        <w:t xml:space="preserve">esto es una </w:t>
      </w:r>
      <w:r w:rsidR="00187529" w:rsidRPr="00646BD4">
        <w:rPr>
          <w:rFonts w:ascii="Bookman Old Style" w:hAnsi="Bookman Old Style"/>
        </w:rPr>
        <w:t>actuación administrativa adelanta</w:t>
      </w:r>
      <w:r w:rsidR="00E4604B">
        <w:rPr>
          <w:rFonts w:ascii="Bookman Old Style" w:hAnsi="Bookman Old Style"/>
        </w:rPr>
        <w:t xml:space="preserve"> según lo determinado por la regulación del Cargo por Confiabilidad</w:t>
      </w:r>
      <w:r w:rsidR="00187529" w:rsidRPr="00646BD4">
        <w:rPr>
          <w:rFonts w:ascii="Bookman Old Style" w:hAnsi="Bookman Old Style"/>
        </w:rPr>
        <w:t>, como un proceso administrativo sancionado</w:t>
      </w:r>
      <w:r w:rsidR="00315A19">
        <w:rPr>
          <w:rFonts w:ascii="Bookman Old Style" w:hAnsi="Bookman Old Style"/>
        </w:rPr>
        <w:t>r</w:t>
      </w:r>
      <w:r w:rsidR="00187529" w:rsidRPr="00646BD4">
        <w:rPr>
          <w:rFonts w:ascii="Bookman Old Style" w:hAnsi="Bookman Old Style"/>
        </w:rPr>
        <w:t>, lo cual es absolutamente falso, ya que dicha actuación</w:t>
      </w:r>
      <w:r w:rsidR="00315A19">
        <w:rPr>
          <w:rFonts w:ascii="Bookman Old Style" w:hAnsi="Bookman Old Style"/>
        </w:rPr>
        <w:t xml:space="preserve"> administrativa</w:t>
      </w:r>
      <w:r w:rsidR="00187529" w:rsidRPr="00646BD4">
        <w:rPr>
          <w:rFonts w:ascii="Bookman Old Style" w:hAnsi="Bookman Old Style"/>
        </w:rPr>
        <w:t xml:space="preserve"> se realiza en el marco del Cargo por Confiabilidad, lo cual exige que el agente tenga disponible la Planta que respalda la Obligación de Energía Firme </w:t>
      </w:r>
      <w:r w:rsidR="00187529" w:rsidRPr="00E4604B">
        <w:rPr>
          <w:rFonts w:ascii="Bookman Old Style" w:hAnsi="Bookman Old Style"/>
          <w:b w:val="0"/>
        </w:rPr>
        <w:t>con los parámetros que declaró durante todo el periodo de vigencia de la obligación asignada.</w:t>
      </w:r>
    </w:p>
    <w:p w:rsidR="00D77D34" w:rsidRDefault="00D77D34" w:rsidP="00A836E2">
      <w:pPr>
        <w:pStyle w:val="Textoindependiente"/>
        <w:ind w:left="0"/>
        <w:jc w:val="both"/>
        <w:rPr>
          <w:rFonts w:ascii="Bookman Old Style" w:hAnsi="Bookman Old Style" w:cs="Times New Roman"/>
          <w:b w:val="0"/>
          <w:sz w:val="22"/>
          <w:szCs w:val="22"/>
        </w:rPr>
      </w:pPr>
    </w:p>
    <w:p w:rsidR="00B9299A" w:rsidRPr="00D77D34" w:rsidRDefault="00B9299A" w:rsidP="00B9299A">
      <w:pPr>
        <w:pStyle w:val="Textoindependiente"/>
        <w:ind w:left="0"/>
        <w:jc w:val="both"/>
        <w:rPr>
          <w:rFonts w:ascii="Bookman Old Style" w:hAnsi="Bookman Old Style" w:cs="Times New Roman"/>
          <w:b w:val="0"/>
        </w:rPr>
      </w:pPr>
      <w:r w:rsidRPr="00D77D34">
        <w:rPr>
          <w:rFonts w:ascii="Bookman Old Style" w:hAnsi="Bookman Old Style" w:cs="Times New Roman"/>
        </w:rPr>
        <w:t xml:space="preserve">Conclusión del </w:t>
      </w:r>
      <w:r>
        <w:rPr>
          <w:rFonts w:ascii="Bookman Old Style" w:hAnsi="Bookman Old Style" w:cs="Times New Roman"/>
        </w:rPr>
        <w:t xml:space="preserve">segundo </w:t>
      </w:r>
      <w:r w:rsidRPr="00D77D34">
        <w:rPr>
          <w:rFonts w:ascii="Bookman Old Style" w:hAnsi="Bookman Old Style" w:cs="Times New Roman"/>
        </w:rPr>
        <w:t>cargo</w:t>
      </w:r>
      <w:r>
        <w:rPr>
          <w:rFonts w:ascii="Bookman Old Style" w:hAnsi="Bookman Old Style" w:cs="Times New Roman"/>
          <w:b w:val="0"/>
        </w:rPr>
        <w:t>: por las razones expuestas el segundo cargo no está llamado a prosperar.</w:t>
      </w:r>
    </w:p>
    <w:p w:rsidR="00B9299A" w:rsidRDefault="00B9299A" w:rsidP="00A836E2">
      <w:pPr>
        <w:pStyle w:val="Textoindependiente"/>
        <w:ind w:left="0"/>
        <w:jc w:val="both"/>
        <w:rPr>
          <w:rFonts w:ascii="Bookman Old Style" w:hAnsi="Bookman Old Style" w:cs="Times New Roman"/>
          <w:b w:val="0"/>
          <w:sz w:val="22"/>
          <w:szCs w:val="22"/>
        </w:rPr>
      </w:pPr>
    </w:p>
    <w:p w:rsidR="007F731A" w:rsidRDefault="007F731A" w:rsidP="00B9325A">
      <w:pPr>
        <w:pStyle w:val="Textoindependiente"/>
        <w:ind w:left="0"/>
        <w:jc w:val="both"/>
        <w:rPr>
          <w:rFonts w:ascii="Bookman Old Style" w:hAnsi="Bookman Old Style"/>
        </w:rPr>
      </w:pPr>
    </w:p>
    <w:p w:rsidR="00B9325A" w:rsidRDefault="00B9325A" w:rsidP="00B9325A">
      <w:pPr>
        <w:pStyle w:val="Textoindependiente"/>
        <w:ind w:left="0"/>
        <w:jc w:val="both"/>
        <w:rPr>
          <w:rFonts w:ascii="Bookman Old Style" w:hAnsi="Bookman Old Style"/>
        </w:rPr>
      </w:pPr>
      <w:r>
        <w:rPr>
          <w:rFonts w:ascii="Bookman Old Style" w:hAnsi="Bookman Old Style"/>
        </w:rPr>
        <w:t>4.2.</w:t>
      </w:r>
      <w:r w:rsidR="00BF5665">
        <w:rPr>
          <w:rFonts w:ascii="Bookman Old Style" w:hAnsi="Bookman Old Style"/>
        </w:rPr>
        <w:t>3</w:t>
      </w:r>
      <w:r>
        <w:rPr>
          <w:rFonts w:ascii="Bookman Old Style" w:hAnsi="Bookman Old Style"/>
        </w:rPr>
        <w:t xml:space="preserve"> Solución al </w:t>
      </w:r>
      <w:r w:rsidR="00BF5665">
        <w:rPr>
          <w:rFonts w:ascii="Bookman Old Style" w:hAnsi="Bookman Old Style"/>
        </w:rPr>
        <w:t xml:space="preserve">Tercer </w:t>
      </w:r>
      <w:r>
        <w:rPr>
          <w:rFonts w:ascii="Bookman Old Style" w:hAnsi="Bookman Old Style"/>
        </w:rPr>
        <w:t>Cargo.</w:t>
      </w:r>
    </w:p>
    <w:p w:rsidR="00B9325A" w:rsidRPr="007F731A" w:rsidRDefault="00B9325A" w:rsidP="00A836E2">
      <w:pPr>
        <w:pStyle w:val="Textoindependiente"/>
        <w:ind w:left="0"/>
        <w:jc w:val="both"/>
        <w:rPr>
          <w:rFonts w:ascii="Bookman Old Style" w:hAnsi="Bookman Old Style" w:cs="Times New Roman"/>
          <w:b w:val="0"/>
          <w:sz w:val="16"/>
          <w:szCs w:val="22"/>
        </w:rPr>
      </w:pPr>
    </w:p>
    <w:p w:rsidR="00FB5BD5" w:rsidRDefault="00BF5665" w:rsidP="00FB5BD5">
      <w:pPr>
        <w:pStyle w:val="Textoindependiente"/>
        <w:ind w:left="0"/>
        <w:jc w:val="both"/>
        <w:rPr>
          <w:rFonts w:ascii="Bookman Old Style" w:hAnsi="Bookman Old Style"/>
          <w:b w:val="0"/>
        </w:rPr>
      </w:pPr>
      <w:r w:rsidRPr="00BF5665">
        <w:rPr>
          <w:rFonts w:ascii="Bookman Old Style" w:hAnsi="Bookman Old Style"/>
          <w:b w:val="0"/>
        </w:rPr>
        <w:t xml:space="preserve">El </w:t>
      </w:r>
      <w:r w:rsidR="00B9325A" w:rsidRPr="00BF5665">
        <w:rPr>
          <w:rFonts w:ascii="Bookman Old Style" w:hAnsi="Bookman Old Style"/>
          <w:b w:val="0"/>
        </w:rPr>
        <w:t>Tercer cargo</w:t>
      </w:r>
      <w:r>
        <w:rPr>
          <w:rFonts w:ascii="Bookman Old Style" w:hAnsi="Bookman Old Style"/>
          <w:b w:val="0"/>
        </w:rPr>
        <w:t xml:space="preserve"> denominado;</w:t>
      </w:r>
      <w:r w:rsidR="00B9325A" w:rsidRPr="0035206F">
        <w:rPr>
          <w:rFonts w:ascii="Bookman Old Style" w:hAnsi="Bookman Old Style"/>
          <w:b w:val="0"/>
          <w:i/>
        </w:rPr>
        <w:t xml:space="preserve"> Otra inconformidad</w:t>
      </w:r>
      <w:r w:rsidR="00B9325A">
        <w:rPr>
          <w:rStyle w:val="Refdenotaalpie"/>
          <w:rFonts w:ascii="Bookman Old Style" w:hAnsi="Bookman Old Style"/>
          <w:b w:val="0"/>
          <w:i/>
        </w:rPr>
        <w:footnoteReference w:id="23"/>
      </w:r>
      <w:r w:rsidR="00B9325A" w:rsidRPr="0035206F">
        <w:rPr>
          <w:rFonts w:ascii="Bookman Old Style" w:hAnsi="Bookman Old Style"/>
          <w:b w:val="0"/>
          <w:i/>
        </w:rPr>
        <w:t>,</w:t>
      </w:r>
      <w:r w:rsidR="00B9325A">
        <w:rPr>
          <w:rFonts w:ascii="Bookman Old Style" w:hAnsi="Bookman Old Style"/>
          <w:b w:val="0"/>
          <w:i/>
        </w:rPr>
        <w:t xml:space="preserve"> </w:t>
      </w:r>
      <w:r w:rsidR="00B9325A" w:rsidRPr="00671ED4">
        <w:rPr>
          <w:rFonts w:ascii="Bookman Old Style" w:hAnsi="Bookman Old Style"/>
          <w:b w:val="0"/>
        </w:rPr>
        <w:t>puede ser resumido en la disconformidad de EPM por la no valoración de la CREG del supuesto evento eximente de responsabilidad en la Resolución CREG 104 de 2011</w:t>
      </w:r>
      <w:r w:rsidR="00B9325A">
        <w:rPr>
          <w:rFonts w:ascii="Bookman Old Style" w:hAnsi="Bookman Old Style"/>
          <w:b w:val="0"/>
        </w:rPr>
        <w:t xml:space="preserve"> para el caso de Porce IV</w:t>
      </w:r>
      <w:r w:rsidR="00B9325A" w:rsidRPr="00671ED4">
        <w:rPr>
          <w:rFonts w:ascii="Bookman Old Style" w:hAnsi="Bookman Old Style"/>
          <w:b w:val="0"/>
        </w:rPr>
        <w:t xml:space="preserve">, frente al derecho de defensa de EPM de alegar tal situación y el </w:t>
      </w:r>
      <w:r w:rsidR="00B9325A" w:rsidRPr="00671ED4">
        <w:rPr>
          <w:rFonts w:ascii="Bookman Old Style" w:hAnsi="Bookman Old Style"/>
          <w:b w:val="0"/>
        </w:rPr>
        <w:lastRenderedPageBreak/>
        <w:t>pronunciamiento previo de la CREG, en el cual no inicio el trámite de una actuación administrativa para declarar un evento eximente de responsabilidad.</w:t>
      </w:r>
    </w:p>
    <w:p w:rsidR="00FB5BD5" w:rsidRPr="007F731A" w:rsidRDefault="00FB5BD5" w:rsidP="00FB5BD5">
      <w:pPr>
        <w:pStyle w:val="Textoindependiente"/>
        <w:ind w:left="0"/>
        <w:jc w:val="both"/>
        <w:rPr>
          <w:rFonts w:ascii="Bookman Old Style" w:hAnsi="Bookman Old Style"/>
          <w:b w:val="0"/>
          <w:sz w:val="16"/>
        </w:rPr>
      </w:pPr>
    </w:p>
    <w:p w:rsidR="00FB5BD5" w:rsidRDefault="0088146F" w:rsidP="00FB5BD5">
      <w:pPr>
        <w:pStyle w:val="Textoindependiente"/>
        <w:ind w:left="0"/>
        <w:jc w:val="both"/>
        <w:rPr>
          <w:rFonts w:ascii="Bookman Old Style" w:hAnsi="Bookman Old Style"/>
          <w:b w:val="0"/>
        </w:rPr>
      </w:pPr>
      <w:r w:rsidRPr="00FB5BD5">
        <w:rPr>
          <w:rFonts w:ascii="Bookman Old Style" w:hAnsi="Bookman Old Style"/>
          <w:b w:val="0"/>
        </w:rPr>
        <w:t>Frente a este argumento, es importante precisar que está Comisión no tienen dentro de sus facultades, el iniciar una actuación administrativa con el objeto de establecer la existencia de un evento eximente de responsabilidad, si esta era la defensa de EPM se debió haber alegado en la actuación administrativa iniciada para verificar el incumplimiento grave e insalvable</w:t>
      </w:r>
      <w:r w:rsidR="00E4604B">
        <w:rPr>
          <w:rFonts w:ascii="Bookman Old Style" w:hAnsi="Bookman Old Style"/>
          <w:b w:val="0"/>
        </w:rPr>
        <w:t xml:space="preserve"> (Parágrafo del Artículo 9 de la Resolución CREG 071 de 2006 modificado por el artículo 13 de la Resolución CREG 061 de 2007)</w:t>
      </w:r>
      <w:r w:rsidRPr="00FB5BD5">
        <w:rPr>
          <w:rFonts w:ascii="Bookman Old Style" w:hAnsi="Bookman Old Style"/>
          <w:b w:val="0"/>
        </w:rPr>
        <w:t xml:space="preserve"> en el proyecto Porce IV, situación que no ocurrió, inclusive con el auto del 29 de julio de 2011, en el cual se solicitaba a EPM manifestar si era su intención que las peticiones donde solicitaba el inicio de una actuación administrativa para reconocer un evento eximente de responsabilidad</w:t>
      </w:r>
      <w:r w:rsidR="00FB5BD5">
        <w:rPr>
          <w:rFonts w:ascii="Bookman Old Style" w:hAnsi="Bookman Old Style"/>
          <w:b w:val="0"/>
        </w:rPr>
        <w:t>,</w:t>
      </w:r>
      <w:r w:rsidRPr="00FB5BD5">
        <w:rPr>
          <w:rFonts w:ascii="Bookman Old Style" w:hAnsi="Bookman Old Style"/>
          <w:b w:val="0"/>
        </w:rPr>
        <w:t xml:space="preserve"> fueran consideradas en la actuación administrativa iniciada para verificar el incumplimiento grave e insalvable en Porce IV, a dicha petición nunca le fue dada respuesta por parte de EPM. </w:t>
      </w:r>
    </w:p>
    <w:p w:rsidR="00FB5BD5" w:rsidRPr="007F731A" w:rsidRDefault="00FB5BD5" w:rsidP="00FB5BD5">
      <w:pPr>
        <w:pStyle w:val="Textoindependiente"/>
        <w:ind w:left="0"/>
        <w:jc w:val="both"/>
        <w:rPr>
          <w:rFonts w:ascii="Bookman Old Style" w:hAnsi="Bookman Old Style"/>
          <w:b w:val="0"/>
          <w:sz w:val="14"/>
        </w:rPr>
      </w:pPr>
    </w:p>
    <w:p w:rsidR="0088146F" w:rsidRPr="00FB5BD5" w:rsidRDefault="00117D90" w:rsidP="00FB5BD5">
      <w:pPr>
        <w:pStyle w:val="Textoindependiente"/>
        <w:ind w:left="0"/>
        <w:jc w:val="both"/>
        <w:rPr>
          <w:rFonts w:ascii="Bookman Old Style" w:hAnsi="Bookman Old Style"/>
          <w:b w:val="0"/>
        </w:rPr>
      </w:pPr>
      <w:r>
        <w:rPr>
          <w:rFonts w:ascii="Bookman Old Style" w:hAnsi="Bookman Old Style"/>
          <w:b w:val="0"/>
        </w:rPr>
        <w:t>D</w:t>
      </w:r>
      <w:r w:rsidR="0088146F" w:rsidRPr="00FB5BD5">
        <w:rPr>
          <w:rFonts w:ascii="Bookman Old Style" w:hAnsi="Bookman Old Style"/>
          <w:b w:val="0"/>
        </w:rPr>
        <w:t>e</w:t>
      </w:r>
      <w:r>
        <w:rPr>
          <w:rFonts w:ascii="Bookman Old Style" w:hAnsi="Bookman Old Style"/>
          <w:b w:val="0"/>
        </w:rPr>
        <w:t>ntro de</w:t>
      </w:r>
      <w:r w:rsidR="0088146F" w:rsidRPr="00FB5BD5">
        <w:rPr>
          <w:rFonts w:ascii="Bookman Old Style" w:hAnsi="Bookman Old Style"/>
          <w:b w:val="0"/>
        </w:rPr>
        <w:t xml:space="preserve"> las facultades de esta Entidad, está la expedición de la metodología para la remuneración del Cargo por Confiabilidad en el Mercado Mayorista de Energía; más no la de la declaratoria de un evento eximente de responsabilidad (fuerza mayor o de un caso fortuito),</w:t>
      </w:r>
      <w:r w:rsidR="00FB5BD5">
        <w:rPr>
          <w:rFonts w:ascii="Bookman Old Style" w:hAnsi="Bookman Old Style"/>
          <w:b w:val="0"/>
        </w:rPr>
        <w:t xml:space="preserve"> tal y como</w:t>
      </w:r>
      <w:r w:rsidR="0088146F" w:rsidRPr="00FB5BD5">
        <w:rPr>
          <w:rFonts w:ascii="Bookman Old Style" w:hAnsi="Bookman Old Style"/>
          <w:b w:val="0"/>
        </w:rPr>
        <w:t xml:space="preserve"> se expuso a EPM en oficio S-2011-000325</w:t>
      </w:r>
      <w:r w:rsidR="00FB5BD5">
        <w:rPr>
          <w:rFonts w:ascii="Bookman Old Style" w:hAnsi="Bookman Old Style"/>
          <w:b w:val="0"/>
        </w:rPr>
        <w:t xml:space="preserve"> del 8 de febrero del 2011</w:t>
      </w:r>
      <w:r w:rsidR="00FB5BD5">
        <w:rPr>
          <w:rStyle w:val="Refdenotaalpie"/>
          <w:rFonts w:ascii="Bookman Old Style" w:hAnsi="Bookman Old Style"/>
          <w:b w:val="0"/>
        </w:rPr>
        <w:footnoteReference w:id="24"/>
      </w:r>
      <w:r w:rsidR="00FB5BD5">
        <w:rPr>
          <w:rFonts w:ascii="Bookman Old Style" w:hAnsi="Bookman Old Style"/>
          <w:b w:val="0"/>
        </w:rPr>
        <w:t>.</w:t>
      </w:r>
      <w:r>
        <w:rPr>
          <w:rFonts w:ascii="Bookman Old Style" w:hAnsi="Bookman Old Style"/>
          <w:b w:val="0"/>
        </w:rPr>
        <w:t xml:space="preserve"> En otras palabras, la actuación administrativa 2011-0049 se adelanta como parte de la metodología establecida para la remuneración del Cargo por Confiabilidad, mientras que la petición de EPM de iniciar una actuación administrativa para determinar un evento eximente de responsabilidad, no corresponde a la labor regulatoria de la CREG, encaminándose únicamente a establecer la responsabilidad o ausencia de la misma, por parte de EPM, en la construcción de Porce IV.</w:t>
      </w:r>
    </w:p>
    <w:p w:rsidR="0088146F" w:rsidRPr="007F731A" w:rsidRDefault="0088146F" w:rsidP="0088146F">
      <w:pPr>
        <w:jc w:val="both"/>
        <w:rPr>
          <w:rFonts w:ascii="Ebrima" w:hAnsi="Ebrima" w:cs="Arial"/>
          <w:sz w:val="14"/>
        </w:rPr>
      </w:pPr>
    </w:p>
    <w:p w:rsidR="0088146F" w:rsidRDefault="00FB5BD5" w:rsidP="007F731A">
      <w:pPr>
        <w:pStyle w:val="Textoindependiente"/>
        <w:ind w:left="0"/>
        <w:jc w:val="both"/>
        <w:rPr>
          <w:rFonts w:ascii="Bookman Old Style" w:hAnsi="Bookman Old Style"/>
          <w:b w:val="0"/>
        </w:rPr>
      </w:pPr>
      <w:r>
        <w:rPr>
          <w:rFonts w:ascii="Bookman Old Style" w:hAnsi="Bookman Old Style"/>
          <w:b w:val="0"/>
        </w:rPr>
        <w:t>La</w:t>
      </w:r>
      <w:r w:rsidR="0088146F" w:rsidRPr="00FB5BD5">
        <w:rPr>
          <w:rFonts w:ascii="Bookman Old Style" w:hAnsi="Bookman Old Style"/>
          <w:b w:val="0"/>
        </w:rPr>
        <w:t>s solicitudes realizadas por EMP,</w:t>
      </w:r>
      <w:r>
        <w:rPr>
          <w:rFonts w:ascii="Bookman Old Style" w:hAnsi="Bookman Old Style"/>
          <w:b w:val="0"/>
        </w:rPr>
        <w:t xml:space="preserve"> de “inicio de actuación administrativa para el reconocimiento de un evento eximente de responsabilidad” </w:t>
      </w:r>
      <w:r w:rsidR="0088146F" w:rsidRPr="00FB5BD5">
        <w:rPr>
          <w:rFonts w:ascii="Bookman Old Style" w:hAnsi="Bookman Old Style"/>
          <w:b w:val="0"/>
        </w:rPr>
        <w:t xml:space="preserve"> no se ajustan a las funciones</w:t>
      </w:r>
      <w:r w:rsidR="00E4604B">
        <w:rPr>
          <w:rFonts w:ascii="Bookman Old Style" w:hAnsi="Bookman Old Style"/>
          <w:b w:val="0"/>
        </w:rPr>
        <w:t xml:space="preserve"> de esta Comisión, ya que mal</w:t>
      </w:r>
      <w:r w:rsidR="0088146F" w:rsidRPr="00FB5BD5">
        <w:rPr>
          <w:rFonts w:ascii="Bookman Old Style" w:hAnsi="Bookman Old Style"/>
          <w:b w:val="0"/>
        </w:rPr>
        <w:t xml:space="preserve"> haría</w:t>
      </w:r>
      <w:r w:rsidR="00E163D3">
        <w:rPr>
          <w:rFonts w:ascii="Bookman Old Style" w:hAnsi="Bookman Old Style"/>
          <w:b w:val="0"/>
        </w:rPr>
        <w:t xml:space="preserve"> la CREG</w:t>
      </w:r>
      <w:r w:rsidR="0088146F" w:rsidRPr="00FB5BD5">
        <w:rPr>
          <w:rFonts w:ascii="Bookman Old Style" w:hAnsi="Bookman Old Style"/>
          <w:b w:val="0"/>
        </w:rPr>
        <w:t xml:space="preserve"> en iniciar o ejecutar actuaciones administrativas por fuera del marco legal que extralimitan el ejercicio de las facultades de esta Comisión. Esto sería un ejercicio directo de extralimitación de funciones por parte de la CREG, debido a que la solicitud de EPM se remitía a un ejercicio que escapa al ámbito de competencia de esta Comisión, </w:t>
      </w:r>
      <w:r w:rsidR="00E163D3" w:rsidRPr="00FB5BD5">
        <w:rPr>
          <w:rFonts w:ascii="Bookman Old Style" w:hAnsi="Bookman Old Style"/>
          <w:b w:val="0"/>
        </w:rPr>
        <w:t>nóte</w:t>
      </w:r>
      <w:r w:rsidR="00E163D3">
        <w:rPr>
          <w:rFonts w:ascii="Bookman Old Style" w:hAnsi="Bookman Old Style"/>
          <w:b w:val="0"/>
        </w:rPr>
        <w:t>se nuevamente</w:t>
      </w:r>
      <w:r w:rsidR="0088146F" w:rsidRPr="00FB5BD5">
        <w:rPr>
          <w:rFonts w:ascii="Bookman Old Style" w:hAnsi="Bookman Old Style"/>
          <w:b w:val="0"/>
        </w:rPr>
        <w:t xml:space="preserve"> lo solicitado:</w:t>
      </w:r>
    </w:p>
    <w:p w:rsidR="007F731A" w:rsidRPr="007F731A" w:rsidRDefault="007F731A" w:rsidP="007F731A">
      <w:pPr>
        <w:pStyle w:val="Textoindependiente"/>
        <w:ind w:left="0"/>
        <w:jc w:val="both"/>
        <w:rPr>
          <w:rFonts w:ascii="Ebrima" w:hAnsi="Ebrima"/>
          <w:b w:val="0"/>
          <w:sz w:val="16"/>
        </w:rPr>
      </w:pPr>
    </w:p>
    <w:p w:rsidR="0088146F" w:rsidRPr="00E4604B" w:rsidRDefault="0088146F" w:rsidP="0088146F">
      <w:pPr>
        <w:ind w:left="709" w:right="459"/>
        <w:jc w:val="both"/>
        <w:rPr>
          <w:rFonts w:ascii="Bookman Old Style" w:hAnsi="Bookman Old Style" w:cs="Arial"/>
          <w:i/>
          <w:sz w:val="22"/>
          <w:szCs w:val="22"/>
        </w:rPr>
      </w:pPr>
      <w:r w:rsidRPr="00E4604B">
        <w:rPr>
          <w:rFonts w:ascii="Bookman Old Style" w:hAnsi="Bookman Old Style" w:cs="Arial"/>
          <w:i/>
          <w:sz w:val="22"/>
          <w:szCs w:val="22"/>
        </w:rPr>
        <w:t xml:space="preserve">“(…) Con fundamento en todo lo anterior y previo el trámite de una actuación administrativa que permita la verificación de los hechos expuestos, respetuosamente se solicita a la Comisión de Regulación de Energía y Gas, </w:t>
      </w:r>
    </w:p>
    <w:p w:rsidR="0088146F" w:rsidRPr="007F731A" w:rsidRDefault="0088146F" w:rsidP="0088146F">
      <w:pPr>
        <w:ind w:left="709" w:right="459"/>
        <w:jc w:val="both"/>
        <w:rPr>
          <w:rFonts w:ascii="Bookman Old Style" w:hAnsi="Bookman Old Style" w:cs="Arial"/>
          <w:i/>
          <w:sz w:val="16"/>
          <w:szCs w:val="22"/>
        </w:rPr>
      </w:pPr>
    </w:p>
    <w:p w:rsidR="0088146F" w:rsidRPr="00E4604B" w:rsidRDefault="0088146F" w:rsidP="0088146F">
      <w:pPr>
        <w:pStyle w:val="Prrafodelista"/>
        <w:numPr>
          <w:ilvl w:val="0"/>
          <w:numId w:val="42"/>
        </w:numPr>
        <w:ind w:right="459"/>
        <w:contextualSpacing/>
        <w:jc w:val="both"/>
        <w:rPr>
          <w:rFonts w:ascii="Bookman Old Style" w:hAnsi="Bookman Old Style" w:cs="Arial"/>
          <w:i/>
          <w:sz w:val="22"/>
          <w:szCs w:val="22"/>
          <w:lang w:val="es-ES"/>
        </w:rPr>
      </w:pPr>
      <w:r w:rsidRPr="00E4604B">
        <w:rPr>
          <w:rFonts w:ascii="Bookman Old Style" w:hAnsi="Bookman Old Style" w:cs="Arial"/>
          <w:i/>
          <w:sz w:val="22"/>
          <w:szCs w:val="22"/>
          <w:lang w:val="es-ES"/>
        </w:rPr>
        <w:t>Reconocer que la no entrada en operación del Proyecto Hidroeléctrico Porce IV en la Fecha de Entrada Declarada (1 de diciembre de 2015), obedece a hechos imprevisibles e irresistibles que eximen de responsabilidad a EPM; y consecuentemente,</w:t>
      </w:r>
    </w:p>
    <w:p w:rsidR="00300121" w:rsidRPr="007F731A" w:rsidRDefault="00300121" w:rsidP="0088146F">
      <w:pPr>
        <w:ind w:left="709" w:right="459"/>
        <w:jc w:val="both"/>
        <w:rPr>
          <w:rFonts w:ascii="Bookman Old Style" w:hAnsi="Bookman Old Style" w:cs="Arial"/>
          <w:i/>
          <w:sz w:val="12"/>
          <w:szCs w:val="22"/>
        </w:rPr>
      </w:pPr>
    </w:p>
    <w:p w:rsidR="0088146F" w:rsidRPr="004A5DB9" w:rsidRDefault="0088146F" w:rsidP="0088146F">
      <w:pPr>
        <w:pStyle w:val="Prrafodelista"/>
        <w:numPr>
          <w:ilvl w:val="0"/>
          <w:numId w:val="42"/>
        </w:numPr>
        <w:ind w:right="459"/>
        <w:contextualSpacing/>
        <w:jc w:val="both"/>
        <w:rPr>
          <w:rFonts w:ascii="Ebrima" w:hAnsi="Ebrima" w:cs="Arial"/>
          <w:i/>
          <w:lang w:val="es-ES"/>
        </w:rPr>
      </w:pPr>
      <w:r w:rsidRPr="00E4604B">
        <w:rPr>
          <w:rFonts w:ascii="Bookman Old Style" w:hAnsi="Bookman Old Style" w:cs="Arial"/>
          <w:i/>
          <w:sz w:val="22"/>
          <w:szCs w:val="22"/>
          <w:lang w:val="es-ES"/>
        </w:rPr>
        <w:t xml:space="preserve">Disponer que XM S.A E.S.P. no debe hacer efectiva la garantía otorgada por EPM para amparar el cumplimiento de la obligación de entrada en operación del </w:t>
      </w:r>
      <w:r w:rsidRPr="004A5DB9">
        <w:rPr>
          <w:rFonts w:ascii="Ebrima" w:hAnsi="Ebrima" w:cs="Arial"/>
          <w:i/>
          <w:lang w:val="es-ES"/>
        </w:rPr>
        <w:t xml:space="preserve">Proyecto Hidroeléctrico Porce IV, la cual fue emitida </w:t>
      </w:r>
      <w:r w:rsidRPr="004A5DB9">
        <w:rPr>
          <w:rFonts w:ascii="Ebrima" w:hAnsi="Ebrima" w:cs="Arial"/>
          <w:i/>
          <w:lang w:val="es-ES"/>
        </w:rPr>
        <w:lastRenderedPageBreak/>
        <w:t>por BNP PARIBAS NY, por una cuantía de USD 13.831.830,29 y una vigencia hasta el 8 de abril de 2011</w:t>
      </w:r>
      <w:r>
        <w:rPr>
          <w:rFonts w:ascii="Ebrima" w:hAnsi="Ebrima" w:cs="Arial"/>
          <w:i/>
          <w:lang w:val="es-ES"/>
        </w:rPr>
        <w:t xml:space="preserve"> (</w:t>
      </w:r>
      <w:r w:rsidRPr="004A5DB9">
        <w:rPr>
          <w:rFonts w:ascii="Ebrima" w:hAnsi="Ebrima" w:cs="Arial"/>
          <w:i/>
          <w:lang w:val="es-ES"/>
        </w:rPr>
        <w:t>…</w:t>
      </w:r>
      <w:r>
        <w:rPr>
          <w:rFonts w:ascii="Ebrima" w:hAnsi="Ebrima" w:cs="Arial"/>
          <w:i/>
          <w:lang w:val="es-ES"/>
        </w:rPr>
        <w:t>)</w:t>
      </w:r>
      <w:r w:rsidRPr="004A5DB9">
        <w:rPr>
          <w:rFonts w:ascii="Ebrima" w:hAnsi="Ebrima" w:cs="Arial"/>
          <w:i/>
          <w:lang w:val="es-ES"/>
        </w:rPr>
        <w:t>”</w:t>
      </w:r>
      <w:r>
        <w:rPr>
          <w:rStyle w:val="Refdenotaalpie"/>
          <w:rFonts w:ascii="Ebrima" w:hAnsi="Ebrima" w:cs="Arial"/>
          <w:i/>
          <w:lang w:val="es-ES"/>
        </w:rPr>
        <w:footnoteReference w:id="25"/>
      </w:r>
      <w:r>
        <w:rPr>
          <w:rFonts w:ascii="Ebrima" w:hAnsi="Ebrima" w:cs="Arial"/>
          <w:i/>
          <w:lang w:val="es-ES"/>
        </w:rPr>
        <w:t>.</w:t>
      </w:r>
    </w:p>
    <w:p w:rsidR="0088146F" w:rsidRPr="007F731A" w:rsidRDefault="0088146F" w:rsidP="0088146F">
      <w:pPr>
        <w:ind w:left="709" w:right="459"/>
        <w:jc w:val="both"/>
        <w:rPr>
          <w:rFonts w:ascii="Ebrima" w:hAnsi="Ebrima" w:cs="Arial"/>
          <w:i/>
          <w:sz w:val="12"/>
        </w:rPr>
      </w:pPr>
    </w:p>
    <w:p w:rsidR="0088146F" w:rsidRPr="00E163D3" w:rsidRDefault="0088146F" w:rsidP="00E163D3">
      <w:pPr>
        <w:pStyle w:val="Textoindependiente"/>
        <w:ind w:left="0"/>
        <w:jc w:val="both"/>
        <w:rPr>
          <w:rFonts w:ascii="Bookman Old Style" w:hAnsi="Bookman Old Style"/>
          <w:b w:val="0"/>
        </w:rPr>
      </w:pPr>
      <w:r w:rsidRPr="00E163D3">
        <w:rPr>
          <w:rFonts w:ascii="Bookman Old Style" w:hAnsi="Bookman Old Style"/>
        </w:rPr>
        <w:t>Una cosa es</w:t>
      </w:r>
      <w:r w:rsidR="00E163D3">
        <w:rPr>
          <w:rFonts w:ascii="Bookman Old Style" w:hAnsi="Bookman Old Style"/>
        </w:rPr>
        <w:t xml:space="preserve"> solicitar el</w:t>
      </w:r>
      <w:r w:rsidRPr="00E163D3">
        <w:rPr>
          <w:rFonts w:ascii="Bookman Old Style" w:hAnsi="Bookman Old Style"/>
        </w:rPr>
        <w:t xml:space="preserve"> inic</w:t>
      </w:r>
      <w:r w:rsidR="00E163D3">
        <w:rPr>
          <w:rFonts w:ascii="Bookman Old Style" w:hAnsi="Bookman Old Style"/>
        </w:rPr>
        <w:t>io de</w:t>
      </w:r>
      <w:r w:rsidRPr="00E163D3">
        <w:rPr>
          <w:rFonts w:ascii="Bookman Old Style" w:hAnsi="Bookman Old Style"/>
        </w:rPr>
        <w:t xml:space="preserve"> una actuación administrativa</w:t>
      </w:r>
      <w:r w:rsidR="00E163D3">
        <w:rPr>
          <w:rFonts w:ascii="Bookman Old Style" w:hAnsi="Bookman Old Style"/>
        </w:rPr>
        <w:t xml:space="preserve"> </w:t>
      </w:r>
      <w:r w:rsidR="00E163D3" w:rsidRPr="00E163D3">
        <w:rPr>
          <w:rFonts w:ascii="Bookman Old Style" w:hAnsi="Bookman Old Style"/>
        </w:rPr>
        <w:t>para declarar un evento eximente de responsabilidad</w:t>
      </w:r>
      <w:r w:rsidR="00E163D3">
        <w:rPr>
          <w:rFonts w:ascii="Bookman Old Style" w:hAnsi="Bookman Old Style"/>
        </w:rPr>
        <w:t>, cuya competencia en la CREG surge</w:t>
      </w:r>
      <w:r w:rsidRPr="00E163D3">
        <w:rPr>
          <w:rFonts w:ascii="Bookman Old Style" w:hAnsi="Bookman Old Style"/>
        </w:rPr>
        <w:t xml:space="preserve"> del imaginario de EPM, para la cual no exista una sola dispos</w:t>
      </w:r>
      <w:r w:rsidR="00AA2EDE">
        <w:rPr>
          <w:rFonts w:ascii="Bookman Old Style" w:hAnsi="Bookman Old Style"/>
        </w:rPr>
        <w:t>ición normativa que faculte a esta Comisión para</w:t>
      </w:r>
      <w:r w:rsidRPr="00E163D3">
        <w:rPr>
          <w:rFonts w:ascii="Bookman Old Style" w:hAnsi="Bookman Old Style"/>
        </w:rPr>
        <w:t xml:space="preserve"> realizar tal actividad, frente a una actuación administrativa que se desarrolla según lo establecido por la regulación y como parte fundamental de la actividad regulatoria de la CREG, en el esquema del Cargo por Confiabilidad</w:t>
      </w:r>
      <w:r w:rsidRPr="00E163D3">
        <w:rPr>
          <w:rFonts w:ascii="Bookman Old Style" w:hAnsi="Bookman Old Style"/>
          <w:b w:val="0"/>
        </w:rPr>
        <w:t xml:space="preserve">. </w:t>
      </w:r>
    </w:p>
    <w:p w:rsidR="0088146F" w:rsidRPr="007F731A" w:rsidRDefault="0088146F" w:rsidP="00E163D3">
      <w:pPr>
        <w:pStyle w:val="Textoindependiente"/>
        <w:ind w:left="0"/>
        <w:jc w:val="both"/>
        <w:rPr>
          <w:rFonts w:ascii="Bookman Old Style" w:hAnsi="Bookman Old Style"/>
          <w:b w:val="0"/>
          <w:sz w:val="20"/>
        </w:rPr>
      </w:pPr>
    </w:p>
    <w:p w:rsidR="00E163D3" w:rsidRDefault="00E163D3" w:rsidP="00E163D3">
      <w:pPr>
        <w:pStyle w:val="Textoindependiente"/>
        <w:ind w:left="0"/>
        <w:jc w:val="both"/>
        <w:rPr>
          <w:rFonts w:ascii="Bookman Old Style" w:hAnsi="Bookman Old Style"/>
          <w:b w:val="0"/>
        </w:rPr>
      </w:pPr>
      <w:r>
        <w:rPr>
          <w:rFonts w:ascii="Bookman Old Style" w:hAnsi="Bookman Old Style"/>
          <w:b w:val="0"/>
        </w:rPr>
        <w:t>No se trata lo anterior de plantear que la defensa de EPM está encaminada</w:t>
      </w:r>
      <w:r w:rsidR="00AA2EDE">
        <w:rPr>
          <w:rFonts w:ascii="Bookman Old Style" w:hAnsi="Bookman Old Style"/>
          <w:b w:val="0"/>
        </w:rPr>
        <w:t xml:space="preserve"> a</w:t>
      </w:r>
      <w:r>
        <w:rPr>
          <w:rFonts w:ascii="Bookman Old Style" w:hAnsi="Bookman Old Style"/>
          <w:b w:val="0"/>
        </w:rPr>
        <w:t xml:space="preserve"> la ineficacia, esto no es cierto, lo que ocurre es que el momento para alegar la existencia de un evento eximente de responsabilidad era dentro de la actuación administrativa 2011-0049, (la cual se inicia en el momento ordenado por la norma</w:t>
      </w:r>
      <w:r w:rsidR="00AA2EDE">
        <w:rPr>
          <w:rFonts w:ascii="Bookman Old Style" w:hAnsi="Bookman Old Style"/>
          <w:b w:val="0"/>
        </w:rPr>
        <w:t>, que cuando el informe del auditor cumple los supuestos dados</w:t>
      </w:r>
      <w:r>
        <w:rPr>
          <w:rFonts w:ascii="Bookman Old Style" w:hAnsi="Bookman Old Style"/>
          <w:b w:val="0"/>
        </w:rPr>
        <w:t>), tan es así que fue la propia Comisión quien le pregunt</w:t>
      </w:r>
      <w:r w:rsidR="005F7CB6">
        <w:rPr>
          <w:rFonts w:ascii="Bookman Old Style" w:hAnsi="Bookman Old Style"/>
          <w:b w:val="0"/>
        </w:rPr>
        <w:t>ó</w:t>
      </w:r>
      <w:r>
        <w:rPr>
          <w:rFonts w:ascii="Bookman Old Style" w:hAnsi="Bookman Old Style"/>
          <w:b w:val="0"/>
        </w:rPr>
        <w:t xml:space="preserve"> a EPM, si era de su interés que se consideraran dentro de la actuación las comunicaciones donde se exponía la ocurrencia de dicho evento, frente a lo cual EPM guard</w:t>
      </w:r>
      <w:r w:rsidR="005F7CB6">
        <w:rPr>
          <w:rFonts w:ascii="Bookman Old Style" w:hAnsi="Bookman Old Style"/>
          <w:b w:val="0"/>
        </w:rPr>
        <w:t>ó</w:t>
      </w:r>
      <w:r>
        <w:rPr>
          <w:rFonts w:ascii="Bookman Old Style" w:hAnsi="Bookman Old Style"/>
          <w:b w:val="0"/>
        </w:rPr>
        <w:t xml:space="preserve"> silencio.</w:t>
      </w:r>
    </w:p>
    <w:p w:rsidR="00E163D3" w:rsidRPr="007F731A" w:rsidRDefault="00E163D3" w:rsidP="00E163D3">
      <w:pPr>
        <w:ind w:left="0"/>
        <w:jc w:val="both"/>
        <w:rPr>
          <w:rFonts w:ascii="Bookman Old Style" w:hAnsi="Bookman Old Style" w:cs="Arial"/>
          <w:sz w:val="20"/>
        </w:rPr>
      </w:pPr>
    </w:p>
    <w:p w:rsidR="0088146F" w:rsidRPr="00E163D3" w:rsidRDefault="0088146F" w:rsidP="00E163D3">
      <w:pPr>
        <w:ind w:left="0"/>
        <w:jc w:val="both"/>
        <w:rPr>
          <w:rFonts w:ascii="Bookman Old Style" w:hAnsi="Bookman Old Style" w:cs="Arial"/>
        </w:rPr>
      </w:pPr>
      <w:r w:rsidRPr="00E163D3">
        <w:rPr>
          <w:rFonts w:ascii="Bookman Old Style" w:hAnsi="Bookman Old Style" w:cs="Arial"/>
        </w:rPr>
        <w:t>En ese orden argumentativo, en la actuación administrativa 2011-0049, EPM ha contado con los medios necesarios para alegar la existencia del supuesto evento eximente de responsabilidad (caso fortuito o fuerza mayor) cuando tal</w:t>
      </w:r>
      <w:r w:rsidR="00E163D3">
        <w:rPr>
          <w:rFonts w:ascii="Bookman Old Style" w:hAnsi="Bookman Old Style" w:cs="Arial"/>
        </w:rPr>
        <w:t xml:space="preserve"> y</w:t>
      </w:r>
      <w:r w:rsidRPr="00E163D3">
        <w:rPr>
          <w:rFonts w:ascii="Bookman Old Style" w:hAnsi="Bookman Old Style" w:cs="Arial"/>
        </w:rPr>
        <w:t xml:space="preserve"> como lo expone la Resolución CREG 104 de 2011, se solicitó su opinión para considerar o no dicho argumento:</w:t>
      </w:r>
    </w:p>
    <w:p w:rsidR="0088146F" w:rsidRPr="007F731A" w:rsidRDefault="0088146F" w:rsidP="0088146F">
      <w:pPr>
        <w:jc w:val="both"/>
        <w:rPr>
          <w:rFonts w:ascii="Ebrima" w:hAnsi="Ebrima" w:cs="Arial"/>
          <w:sz w:val="18"/>
        </w:rPr>
      </w:pPr>
    </w:p>
    <w:p w:rsidR="0088146F" w:rsidRPr="00E163D3" w:rsidRDefault="0088146F" w:rsidP="0088146F">
      <w:pPr>
        <w:ind w:left="709" w:right="459"/>
        <w:jc w:val="both"/>
        <w:rPr>
          <w:rFonts w:ascii="Bookman Old Style" w:hAnsi="Bookman Old Style" w:cs="Arial"/>
          <w:i/>
          <w:sz w:val="22"/>
          <w:szCs w:val="22"/>
        </w:rPr>
      </w:pPr>
      <w:r w:rsidRPr="00E163D3">
        <w:rPr>
          <w:rFonts w:ascii="Bookman Old Style" w:hAnsi="Bookman Old Style" w:cs="Arial"/>
          <w:i/>
          <w:sz w:val="22"/>
          <w:szCs w:val="22"/>
        </w:rPr>
        <w:t>“</w:t>
      </w:r>
      <w:r w:rsidR="00E163D3" w:rsidRPr="00E163D3">
        <w:rPr>
          <w:rFonts w:ascii="Bookman Old Style" w:hAnsi="Bookman Old Style" w:cs="Arial"/>
          <w:i/>
          <w:sz w:val="22"/>
          <w:szCs w:val="22"/>
        </w:rPr>
        <w:t xml:space="preserve">(…) </w:t>
      </w:r>
      <w:r w:rsidRPr="00E163D3">
        <w:rPr>
          <w:rFonts w:ascii="Bookman Old Style" w:hAnsi="Bookman Old Style" w:cs="Arial"/>
          <w:i/>
          <w:sz w:val="22"/>
          <w:szCs w:val="22"/>
        </w:rPr>
        <w:t>En auto del 29 de julio del 2011, la CREG solicitó a EPM manifestar su interés para que las comunicaciones anteriores a esta actuación, referentes al proyecto hidroeléctrico de generación Porce IV (enviadas por la propia EPM), con los radicados CREG E-2010-012362, E-2011-000206 y E-2011-001370, fueran o no consideradas en la actuación administrativa de la referencia, otorgándosele un plazo de 3 días para realizar dicha manifestación.</w:t>
      </w:r>
    </w:p>
    <w:p w:rsidR="0088146F" w:rsidRPr="007F731A" w:rsidRDefault="0088146F" w:rsidP="0088146F">
      <w:pPr>
        <w:ind w:left="709" w:right="459"/>
        <w:jc w:val="both"/>
        <w:rPr>
          <w:rFonts w:ascii="Bookman Old Style" w:hAnsi="Bookman Old Style" w:cs="Arial"/>
          <w:i/>
          <w:sz w:val="18"/>
          <w:szCs w:val="22"/>
        </w:rPr>
      </w:pPr>
    </w:p>
    <w:p w:rsidR="0088146F" w:rsidRPr="00E163D3" w:rsidRDefault="0088146F" w:rsidP="0088146F">
      <w:pPr>
        <w:ind w:left="709" w:right="459"/>
        <w:jc w:val="both"/>
        <w:rPr>
          <w:rFonts w:ascii="Bookman Old Style" w:hAnsi="Bookman Old Style" w:cs="Arial"/>
          <w:i/>
          <w:sz w:val="22"/>
          <w:szCs w:val="22"/>
        </w:rPr>
      </w:pPr>
      <w:r w:rsidRPr="00E163D3">
        <w:rPr>
          <w:rFonts w:ascii="Bookman Old Style" w:hAnsi="Bookman Old Style" w:cs="Arial"/>
          <w:i/>
          <w:sz w:val="22"/>
          <w:szCs w:val="22"/>
        </w:rPr>
        <w:t>Dicho auto fue notificado mediante estado del 1 de agosto del 2011 y enviada comunicación sobre el asunto, mediante carta con el radicado CREG S-2011-003532 del 29 de julio del presente año.</w:t>
      </w:r>
    </w:p>
    <w:p w:rsidR="00D65B8E" w:rsidRPr="007F731A" w:rsidRDefault="00D65B8E" w:rsidP="0088146F">
      <w:pPr>
        <w:ind w:left="709" w:right="459"/>
        <w:jc w:val="both"/>
        <w:rPr>
          <w:rFonts w:ascii="Bookman Old Style" w:hAnsi="Bookman Old Style" w:cs="Arial"/>
          <w:i/>
          <w:sz w:val="18"/>
          <w:szCs w:val="22"/>
        </w:rPr>
      </w:pPr>
    </w:p>
    <w:p w:rsidR="0088146F" w:rsidRPr="00E163D3" w:rsidRDefault="0088146F" w:rsidP="0088146F">
      <w:pPr>
        <w:ind w:left="709" w:right="459"/>
        <w:jc w:val="both"/>
        <w:rPr>
          <w:rFonts w:ascii="Bookman Old Style" w:hAnsi="Bookman Old Style" w:cs="Arial"/>
          <w:i/>
          <w:sz w:val="22"/>
          <w:szCs w:val="22"/>
        </w:rPr>
      </w:pPr>
      <w:r w:rsidRPr="00E163D3">
        <w:rPr>
          <w:rFonts w:ascii="Bookman Old Style" w:hAnsi="Bookman Old Style" w:cs="Arial"/>
          <w:i/>
          <w:sz w:val="22"/>
          <w:szCs w:val="22"/>
        </w:rPr>
        <w:t>Vencido dicho término, la empresa EPM no manifestó interés alguno sobre la materia, desechando el espacio procesal asignado para su respuesta, guardando silencio sobre la información solicitada</w:t>
      </w:r>
      <w:r w:rsidR="00E163D3" w:rsidRPr="00E163D3">
        <w:rPr>
          <w:rFonts w:ascii="Bookman Old Style" w:hAnsi="Bookman Old Style" w:cs="Arial"/>
          <w:i/>
          <w:sz w:val="22"/>
          <w:szCs w:val="22"/>
        </w:rPr>
        <w:t xml:space="preserve"> (…)</w:t>
      </w:r>
      <w:r w:rsidRPr="00E163D3">
        <w:rPr>
          <w:rFonts w:ascii="Bookman Old Style" w:hAnsi="Bookman Old Style" w:cs="Arial"/>
          <w:i/>
          <w:sz w:val="22"/>
          <w:szCs w:val="22"/>
        </w:rPr>
        <w:t>”</w:t>
      </w:r>
      <w:r w:rsidR="00E163D3" w:rsidRPr="00E163D3">
        <w:rPr>
          <w:rFonts w:ascii="Bookman Old Style" w:hAnsi="Bookman Old Style" w:cs="Arial"/>
          <w:i/>
          <w:sz w:val="22"/>
          <w:szCs w:val="22"/>
        </w:rPr>
        <w:t>.</w:t>
      </w:r>
    </w:p>
    <w:p w:rsidR="0088146F" w:rsidRPr="007F731A" w:rsidRDefault="0088146F" w:rsidP="0088146F">
      <w:pPr>
        <w:jc w:val="both"/>
        <w:rPr>
          <w:rFonts w:ascii="Ebrima" w:hAnsi="Ebrima" w:cs="Arial"/>
          <w:i/>
          <w:sz w:val="14"/>
          <w:szCs w:val="20"/>
        </w:rPr>
      </w:pPr>
    </w:p>
    <w:p w:rsidR="0088146F" w:rsidRPr="00B9737B" w:rsidRDefault="0088146F" w:rsidP="00E163D3">
      <w:pPr>
        <w:ind w:left="0"/>
        <w:jc w:val="both"/>
        <w:rPr>
          <w:rFonts w:ascii="Bookman Old Style" w:hAnsi="Bookman Old Style" w:cs="Arial"/>
        </w:rPr>
      </w:pPr>
      <w:r w:rsidRPr="00B9737B">
        <w:rPr>
          <w:rFonts w:ascii="Bookman Old Style" w:hAnsi="Bookman Old Style" w:cs="Arial"/>
        </w:rPr>
        <w:t>Súmese a lo anterior que utilizando el mismo método de notificación</w:t>
      </w:r>
      <w:r w:rsidR="00B9737B" w:rsidRPr="00B9737B">
        <w:rPr>
          <w:rFonts w:ascii="Bookman Old Style" w:hAnsi="Bookman Old Style" w:cs="Arial"/>
        </w:rPr>
        <w:t>,</w:t>
      </w:r>
      <w:r w:rsidRPr="00B9737B">
        <w:rPr>
          <w:rFonts w:ascii="Bookman Old Style" w:hAnsi="Bookman Old Style" w:cs="Arial"/>
        </w:rPr>
        <w:t xml:space="preserve"> </w:t>
      </w:r>
      <w:r w:rsidR="00B9737B" w:rsidRPr="00B9737B">
        <w:rPr>
          <w:rFonts w:ascii="Bookman Old Style" w:hAnsi="Bookman Old Style" w:cs="Arial"/>
        </w:rPr>
        <w:t>h</w:t>
      </w:r>
      <w:r w:rsidRPr="00B9737B">
        <w:rPr>
          <w:rFonts w:ascii="Bookman Old Style" w:hAnsi="Bookman Old Style" w:cs="Arial"/>
        </w:rPr>
        <w:t>a EPM le fue trasladado el informe adicional de auditoría de verificación del cronograma de construcción y curva S del proyecto de generación Porce IV,  otorgándosele el mismo plazo de tres días, frente a lo cual la empresa dijo</w:t>
      </w:r>
      <w:r w:rsidRPr="00B9737B">
        <w:rPr>
          <w:rFonts w:ascii="Bookman Old Style" w:hAnsi="Bookman Old Style" w:cs="Arial"/>
          <w:spacing w:val="-5"/>
        </w:rPr>
        <w:t>:</w:t>
      </w:r>
      <w:r w:rsidRPr="00B9737B">
        <w:rPr>
          <w:rFonts w:ascii="Bookman Old Style" w:hAnsi="Bookman Old Style" w:cs="Arial"/>
        </w:rPr>
        <w:t xml:space="preserve"> </w:t>
      </w:r>
    </w:p>
    <w:p w:rsidR="0088146F" w:rsidRPr="007F731A" w:rsidRDefault="0088146F" w:rsidP="0088146F">
      <w:pPr>
        <w:jc w:val="both"/>
        <w:rPr>
          <w:rFonts w:ascii="Bookman Old Style" w:hAnsi="Bookman Old Style" w:cs="Arial"/>
          <w:sz w:val="18"/>
          <w:szCs w:val="20"/>
        </w:rPr>
      </w:pPr>
    </w:p>
    <w:p w:rsidR="0088146F" w:rsidRPr="00B9737B" w:rsidRDefault="0088146F" w:rsidP="0088146F">
      <w:pPr>
        <w:ind w:left="872" w:right="826"/>
        <w:jc w:val="both"/>
        <w:rPr>
          <w:rFonts w:ascii="Bookman Old Style" w:hAnsi="Bookman Old Style" w:cs="Arial"/>
          <w:i/>
          <w:iCs/>
          <w:sz w:val="22"/>
          <w:szCs w:val="22"/>
        </w:rPr>
      </w:pPr>
      <w:r w:rsidRPr="00B9737B">
        <w:rPr>
          <w:rFonts w:ascii="Bookman Old Style" w:hAnsi="Bookman Old Style" w:cs="Arial"/>
          <w:i/>
          <w:iCs/>
          <w:sz w:val="22"/>
          <w:szCs w:val="22"/>
        </w:rPr>
        <w:t>“(…) EPM considera que la conclusión del Auditor tiene un claro sustento en lo expresado en los capítulos 6, 7  y 8 del informe, en los cuales se relacionan los datos y análisis técnicos sobre los contratos y el avance de la obra del proyecto.</w:t>
      </w:r>
    </w:p>
    <w:p w:rsidR="0088146F" w:rsidRPr="007F731A" w:rsidRDefault="0088146F" w:rsidP="0088146F">
      <w:pPr>
        <w:ind w:left="872" w:right="826"/>
        <w:jc w:val="both"/>
        <w:rPr>
          <w:rFonts w:ascii="Bookman Old Style" w:hAnsi="Bookman Old Style" w:cs="Arial"/>
          <w:i/>
          <w:iCs/>
          <w:sz w:val="16"/>
          <w:szCs w:val="22"/>
        </w:rPr>
      </w:pPr>
    </w:p>
    <w:p w:rsidR="0088146F" w:rsidRPr="00B9737B" w:rsidRDefault="0088146F" w:rsidP="0088146F">
      <w:pPr>
        <w:ind w:left="872" w:right="826"/>
        <w:jc w:val="both"/>
        <w:rPr>
          <w:rFonts w:ascii="Bookman Old Style" w:hAnsi="Bookman Old Style" w:cs="Arial"/>
          <w:i/>
          <w:iCs/>
          <w:sz w:val="22"/>
          <w:szCs w:val="22"/>
        </w:rPr>
      </w:pPr>
      <w:r w:rsidRPr="00B9737B">
        <w:rPr>
          <w:rFonts w:ascii="Bookman Old Style" w:hAnsi="Bookman Old Style" w:cs="Arial"/>
          <w:i/>
          <w:iCs/>
          <w:sz w:val="22"/>
          <w:szCs w:val="22"/>
        </w:rPr>
        <w:lastRenderedPageBreak/>
        <w:t>En el capítulo 6, en el que el Auditor especifica el resumen de los contratos de ingeniería y administración, obras de infraestructura vial y explanaciones para campamentos, obras para la construcción de la línea, subestación y campamentos, obras principales y equipos electromecánicos; el análisis es  correcto teniendo en cuenta la difícil problemática social y de orden público que atraviesa la zona del Proyecto Hidroeléctrico Porce IV, la Junta Directiva de EPM, en su sesión del 7 de diciembre de 2010, tomó la decisión de suspenderlo de manera indefinida, teniendo en cuenta múltiples asuntos críticos que hoy hacen inviable su construcción, lo que conllevo la decisión de suspender y (o) terminar estos contratos.</w:t>
      </w:r>
    </w:p>
    <w:p w:rsidR="0088146F" w:rsidRPr="007F731A" w:rsidRDefault="0088146F" w:rsidP="0088146F">
      <w:pPr>
        <w:ind w:left="872" w:right="826"/>
        <w:jc w:val="both"/>
        <w:rPr>
          <w:rFonts w:ascii="Bookman Old Style" w:hAnsi="Bookman Old Style" w:cs="Arial"/>
          <w:i/>
          <w:iCs/>
          <w:sz w:val="16"/>
          <w:szCs w:val="22"/>
        </w:rPr>
      </w:pPr>
    </w:p>
    <w:p w:rsidR="0088146F" w:rsidRPr="00B9737B" w:rsidRDefault="0088146F" w:rsidP="0088146F">
      <w:pPr>
        <w:ind w:left="872" w:right="826"/>
        <w:jc w:val="both"/>
        <w:rPr>
          <w:rFonts w:ascii="Bookman Old Style" w:hAnsi="Bookman Old Style" w:cs="Arial"/>
          <w:i/>
          <w:iCs/>
          <w:sz w:val="22"/>
          <w:szCs w:val="22"/>
        </w:rPr>
      </w:pPr>
      <w:r w:rsidRPr="00B9737B">
        <w:rPr>
          <w:rFonts w:ascii="Bookman Old Style" w:hAnsi="Bookman Old Style" w:cs="Arial"/>
          <w:i/>
          <w:iCs/>
          <w:sz w:val="22"/>
          <w:szCs w:val="22"/>
        </w:rPr>
        <w:t>Frente a lo tratado en el capítulo 7, EPM está de acuerdo con lo expresado por el Auditor debido a que como consecuencia de la terminación y (o) suspensión de los diferentes contratos por las razones explicadas en el párrafo anterior, se genera la afectación descrita en el estado de avance de los frentes de obra y el cálculo de la curva S analizados en dicho capitulo.</w:t>
      </w:r>
    </w:p>
    <w:p w:rsidR="0088146F" w:rsidRPr="007F731A" w:rsidRDefault="0088146F" w:rsidP="0088146F">
      <w:pPr>
        <w:ind w:left="872" w:right="826"/>
        <w:jc w:val="both"/>
        <w:rPr>
          <w:rFonts w:ascii="Bookman Old Style" w:hAnsi="Bookman Old Style" w:cs="Arial"/>
          <w:i/>
          <w:iCs/>
          <w:sz w:val="16"/>
          <w:szCs w:val="22"/>
        </w:rPr>
      </w:pPr>
    </w:p>
    <w:p w:rsidR="0088146F" w:rsidRPr="00B9737B" w:rsidRDefault="0088146F" w:rsidP="0088146F">
      <w:pPr>
        <w:ind w:left="872" w:right="826"/>
        <w:jc w:val="both"/>
        <w:rPr>
          <w:rFonts w:ascii="Bookman Old Style" w:hAnsi="Bookman Old Style" w:cs="Arial"/>
          <w:i/>
          <w:iCs/>
          <w:szCs w:val="20"/>
        </w:rPr>
      </w:pPr>
      <w:r w:rsidRPr="00B9737B">
        <w:rPr>
          <w:rFonts w:ascii="Bookman Old Style" w:hAnsi="Bookman Old Style" w:cs="Arial"/>
          <w:i/>
          <w:iCs/>
          <w:sz w:val="22"/>
          <w:szCs w:val="22"/>
        </w:rPr>
        <w:t>Y en lo que respecta al capítulo 8, EPM estima ajustadas a la realidad las premisas asumidas y la conclusión en el tiempo de atraso de la entrada en operación de las unidades de generación, ya que por la suspensión de los contratos, y después de calcular los tiempos requeridos para terminar con las obras, efectivamente se entra en una situación de atraso de más de 576 días, que conlleva a que no sea posible cumplir con la obligación de entrada en operación del proyecto el 1° de diciembre de 2015 (…)”.</w:t>
      </w:r>
    </w:p>
    <w:p w:rsidR="0088146F" w:rsidRPr="007F731A" w:rsidRDefault="0088146F" w:rsidP="0088146F">
      <w:pPr>
        <w:pStyle w:val="Textoindependiente"/>
        <w:ind w:left="360"/>
        <w:jc w:val="both"/>
        <w:rPr>
          <w:rFonts w:ascii="Bookman Old Style" w:hAnsi="Bookman Old Style"/>
          <w:sz w:val="16"/>
        </w:rPr>
      </w:pPr>
    </w:p>
    <w:p w:rsidR="00B9737B" w:rsidRPr="00B9737B" w:rsidRDefault="0088146F" w:rsidP="00B9737B">
      <w:pPr>
        <w:ind w:left="0"/>
        <w:jc w:val="both"/>
        <w:rPr>
          <w:rFonts w:ascii="Bookman Old Style" w:hAnsi="Bookman Old Style"/>
        </w:rPr>
      </w:pPr>
      <w:r w:rsidRPr="00B9737B">
        <w:rPr>
          <w:rFonts w:ascii="Bookman Old Style" w:hAnsi="Bookman Old Style"/>
        </w:rPr>
        <w:t>Nótese como EPM cumplió diligentemente con el auto que le traslado el informe adicional de auditor</w:t>
      </w:r>
      <w:r w:rsidR="005F7CB6">
        <w:rPr>
          <w:rFonts w:ascii="Bookman Old Style" w:hAnsi="Bookman Old Style"/>
        </w:rPr>
        <w:t>í</w:t>
      </w:r>
      <w:r w:rsidRPr="00B9737B">
        <w:rPr>
          <w:rFonts w:ascii="Bookman Old Style" w:hAnsi="Bookman Old Style"/>
        </w:rPr>
        <w:t>a, mientras que para la consideración de las comunicaciones donde solicitaba el evento eximente de responsabilidad (que son anteriores a la actuación y habían tenido respuesta por parte de la CREG) guardo absoluto silencio.</w:t>
      </w:r>
    </w:p>
    <w:p w:rsidR="00B9737B" w:rsidRPr="007F731A" w:rsidRDefault="00B9737B" w:rsidP="00B9737B">
      <w:pPr>
        <w:ind w:left="0"/>
        <w:jc w:val="both"/>
        <w:rPr>
          <w:rFonts w:ascii="Ebrima" w:hAnsi="Ebrima"/>
          <w:sz w:val="18"/>
        </w:rPr>
      </w:pPr>
    </w:p>
    <w:p w:rsidR="00B9737B" w:rsidRDefault="00B9737B" w:rsidP="00B9737B">
      <w:pPr>
        <w:ind w:left="0"/>
        <w:jc w:val="both"/>
        <w:rPr>
          <w:rFonts w:ascii="Ebrima" w:hAnsi="Ebrima"/>
        </w:rPr>
      </w:pPr>
      <w:r w:rsidRPr="00AA2EDE">
        <w:rPr>
          <w:rFonts w:ascii="Bookman Old Style" w:hAnsi="Bookman Old Style"/>
        </w:rPr>
        <w:t>E</w:t>
      </w:r>
      <w:r w:rsidR="0088146F" w:rsidRPr="00AA2EDE">
        <w:rPr>
          <w:rFonts w:ascii="Bookman Old Style" w:hAnsi="Bookman Old Style"/>
        </w:rPr>
        <w:t xml:space="preserve">l parágrafo del Artículo 9 de la Resolución CREG 071 de 2006 (modificado por el Artículo 13 de la Resolución CREG 061 de 2007), realiza una referencia semántica clara, al </w:t>
      </w:r>
      <w:r w:rsidR="00AA2EDE" w:rsidRPr="00AA2EDE">
        <w:rPr>
          <w:rFonts w:ascii="Bookman Old Style" w:hAnsi="Bookman Old Style"/>
        </w:rPr>
        <w:t>establecer</w:t>
      </w:r>
      <w:r w:rsidR="0088146F" w:rsidRPr="00AA2EDE">
        <w:rPr>
          <w:rFonts w:ascii="Bookman Old Style" w:hAnsi="Bookman Old Style"/>
        </w:rPr>
        <w:t xml:space="preserve"> circunstancias de tiempo modo y lugar, para que la CREG inicie la actuación administrativa con el fin de determinar el incumplimiento grave e insalvable, ésta referencia ocurre cuando llega el informe del auditor, ni antes ni después</w:t>
      </w:r>
      <w:r w:rsidR="0088146F">
        <w:rPr>
          <w:rFonts w:ascii="Ebrima" w:hAnsi="Ebrima"/>
        </w:rPr>
        <w:t>.</w:t>
      </w:r>
    </w:p>
    <w:p w:rsidR="00B9737B" w:rsidRPr="007F731A" w:rsidRDefault="00B9737B" w:rsidP="00B9737B">
      <w:pPr>
        <w:ind w:left="0"/>
        <w:jc w:val="both"/>
        <w:rPr>
          <w:rFonts w:ascii="Ebrima" w:hAnsi="Ebrima"/>
          <w:sz w:val="10"/>
        </w:rPr>
      </w:pPr>
    </w:p>
    <w:p w:rsidR="00B9737B" w:rsidRPr="00C85C68" w:rsidRDefault="00B9737B" w:rsidP="00B9737B">
      <w:pPr>
        <w:ind w:left="0"/>
        <w:jc w:val="both"/>
        <w:rPr>
          <w:rFonts w:ascii="Bookman Old Style" w:hAnsi="Bookman Old Style"/>
        </w:rPr>
      </w:pPr>
      <w:r w:rsidRPr="00C85C68">
        <w:rPr>
          <w:rFonts w:ascii="Bookman Old Style" w:hAnsi="Bookman Old Style"/>
        </w:rPr>
        <w:t>Al respecto</w:t>
      </w:r>
      <w:r w:rsidR="00AA2EDE">
        <w:rPr>
          <w:rFonts w:ascii="Bookman Old Style" w:hAnsi="Bookman Old Style"/>
        </w:rPr>
        <w:t>,</w:t>
      </w:r>
      <w:r w:rsidRPr="00C85C68">
        <w:rPr>
          <w:rFonts w:ascii="Bookman Old Style" w:hAnsi="Bookman Old Style"/>
        </w:rPr>
        <w:t xml:space="preserve"> la teoría general de las normas nos enseña:</w:t>
      </w:r>
    </w:p>
    <w:p w:rsidR="00D65B8E" w:rsidRPr="007F731A" w:rsidRDefault="00D65B8E" w:rsidP="00B9737B">
      <w:pPr>
        <w:ind w:left="0"/>
        <w:jc w:val="both"/>
        <w:rPr>
          <w:rFonts w:ascii="Bookman Old Style" w:hAnsi="Bookman Old Style"/>
          <w:sz w:val="16"/>
        </w:rPr>
      </w:pPr>
    </w:p>
    <w:p w:rsidR="00B9737B" w:rsidRPr="00B9737B" w:rsidRDefault="00B9737B" w:rsidP="007F731A">
      <w:pPr>
        <w:ind w:left="872" w:right="826"/>
        <w:jc w:val="both"/>
        <w:rPr>
          <w:rFonts w:ascii="Bookman Old Style" w:hAnsi="Bookman Old Style" w:cs="Arial"/>
          <w:i/>
          <w:iCs/>
          <w:sz w:val="22"/>
          <w:szCs w:val="22"/>
        </w:rPr>
      </w:pPr>
      <w:r w:rsidRPr="00B9737B">
        <w:rPr>
          <w:rFonts w:ascii="Bookman Old Style" w:hAnsi="Bookman Old Style" w:cs="Arial"/>
          <w:i/>
          <w:iCs/>
          <w:sz w:val="22"/>
          <w:szCs w:val="22"/>
        </w:rPr>
        <w:t>“(…) pues</w:t>
      </w:r>
      <w:r>
        <w:rPr>
          <w:rFonts w:ascii="Bookman Old Style" w:hAnsi="Bookman Old Style" w:cs="Arial"/>
          <w:i/>
          <w:iCs/>
          <w:sz w:val="22"/>
          <w:szCs w:val="22"/>
        </w:rPr>
        <w:t>t</w:t>
      </w:r>
      <w:r w:rsidRPr="00B9737B">
        <w:rPr>
          <w:rFonts w:ascii="Bookman Old Style" w:hAnsi="Bookman Old Style" w:cs="Arial"/>
          <w:i/>
          <w:iCs/>
          <w:sz w:val="22"/>
          <w:szCs w:val="22"/>
        </w:rPr>
        <w:t>o que la conducta humana y también sus condiciones y consecuencias  tienen lugar en espacio y tiempo, entonces en el contenido de la norma tien</w:t>
      </w:r>
      <w:r>
        <w:rPr>
          <w:rFonts w:ascii="Bookman Old Style" w:hAnsi="Bookman Old Style" w:cs="Arial"/>
          <w:i/>
          <w:iCs/>
          <w:sz w:val="22"/>
          <w:szCs w:val="22"/>
        </w:rPr>
        <w:t>e</w:t>
      </w:r>
      <w:r w:rsidRPr="00B9737B">
        <w:rPr>
          <w:rFonts w:ascii="Bookman Old Style" w:hAnsi="Bookman Old Style" w:cs="Arial"/>
          <w:i/>
          <w:iCs/>
          <w:sz w:val="22"/>
          <w:szCs w:val="22"/>
        </w:rPr>
        <w:t xml:space="preserve">n que fijarse el espacio al igual que el </w:t>
      </w:r>
      <w:r w:rsidR="007F731A">
        <w:rPr>
          <w:rFonts w:ascii="Bookman Old Style" w:hAnsi="Bookman Old Style" w:cs="Arial"/>
          <w:i/>
          <w:iCs/>
          <w:sz w:val="22"/>
          <w:szCs w:val="22"/>
        </w:rPr>
        <w:t>t</w:t>
      </w:r>
      <w:r w:rsidRPr="00B9737B">
        <w:rPr>
          <w:rFonts w:ascii="Bookman Old Style" w:hAnsi="Bookman Old Style" w:cs="Arial"/>
          <w:i/>
          <w:iCs/>
          <w:sz w:val="22"/>
          <w:szCs w:val="22"/>
        </w:rPr>
        <w:t>iempo, en lo</w:t>
      </w:r>
      <w:r>
        <w:rPr>
          <w:rFonts w:ascii="Bookman Old Style" w:hAnsi="Bookman Old Style" w:cs="Arial"/>
          <w:i/>
          <w:iCs/>
          <w:sz w:val="22"/>
          <w:szCs w:val="22"/>
        </w:rPr>
        <w:t>s</w:t>
      </w:r>
      <w:r w:rsidRPr="00B9737B">
        <w:rPr>
          <w:rFonts w:ascii="Bookman Old Style" w:hAnsi="Bookman Old Style" w:cs="Arial"/>
          <w:i/>
          <w:iCs/>
          <w:sz w:val="22"/>
          <w:szCs w:val="22"/>
        </w:rPr>
        <w:t xml:space="preserve"> cuales suceden los acontecimientos determinados por la norma (…)”</w:t>
      </w:r>
      <w:r>
        <w:rPr>
          <w:rStyle w:val="Refdenotaalpie"/>
          <w:rFonts w:ascii="Bookman Old Style" w:hAnsi="Bookman Old Style" w:cs="Arial"/>
          <w:i/>
          <w:iCs/>
          <w:sz w:val="22"/>
          <w:szCs w:val="22"/>
        </w:rPr>
        <w:footnoteReference w:id="26"/>
      </w:r>
      <w:r w:rsidRPr="00B9737B">
        <w:rPr>
          <w:rFonts w:ascii="Bookman Old Style" w:hAnsi="Bookman Old Style" w:cs="Arial"/>
          <w:i/>
          <w:iCs/>
          <w:sz w:val="22"/>
          <w:szCs w:val="22"/>
        </w:rPr>
        <w:t>.</w:t>
      </w:r>
    </w:p>
    <w:p w:rsidR="00755CDB" w:rsidRPr="007F731A" w:rsidRDefault="00B9737B" w:rsidP="00B9737B">
      <w:pPr>
        <w:ind w:left="0"/>
        <w:jc w:val="both"/>
        <w:rPr>
          <w:rFonts w:ascii="Bookman Old Style" w:hAnsi="Bookman Old Style"/>
          <w:b/>
          <w:sz w:val="22"/>
        </w:rPr>
      </w:pPr>
      <w:r>
        <w:rPr>
          <w:rFonts w:ascii="Bookman Old Style" w:hAnsi="Bookman Old Style"/>
          <w:b/>
        </w:rPr>
        <w:t xml:space="preserve"> </w:t>
      </w:r>
    </w:p>
    <w:p w:rsidR="007F731A" w:rsidRDefault="007F731A" w:rsidP="00B9737B">
      <w:pPr>
        <w:ind w:left="0"/>
        <w:jc w:val="both"/>
        <w:rPr>
          <w:rFonts w:ascii="Bookman Old Style" w:hAnsi="Bookman Old Style"/>
        </w:rPr>
      </w:pPr>
    </w:p>
    <w:p w:rsidR="00B9737B" w:rsidRDefault="00C85C68" w:rsidP="00B9737B">
      <w:pPr>
        <w:ind w:left="0"/>
        <w:jc w:val="both"/>
        <w:rPr>
          <w:rFonts w:ascii="Bookman Old Style" w:hAnsi="Bookman Old Style"/>
          <w:b/>
        </w:rPr>
      </w:pPr>
      <w:r w:rsidRPr="00C85C68">
        <w:rPr>
          <w:rFonts w:ascii="Bookman Old Style" w:hAnsi="Bookman Old Style"/>
        </w:rPr>
        <w:t>Aplicado lo anterior a nuestro caso,</w:t>
      </w:r>
      <w:r>
        <w:rPr>
          <w:rFonts w:ascii="Bookman Old Style" w:hAnsi="Bookman Old Style"/>
          <w:b/>
        </w:rPr>
        <w:t xml:space="preserve"> </w:t>
      </w:r>
      <w:r w:rsidRPr="00C85C68">
        <w:rPr>
          <w:rFonts w:ascii="Bookman Old Style" w:hAnsi="Bookman Old Style"/>
        </w:rPr>
        <w:t>veremos que</w:t>
      </w:r>
      <w:r>
        <w:rPr>
          <w:rFonts w:ascii="Bookman Old Style" w:hAnsi="Bookman Old Style"/>
          <w:b/>
        </w:rPr>
        <w:t xml:space="preserve"> </w:t>
      </w:r>
      <w:r w:rsidRPr="00AA2EDE">
        <w:rPr>
          <w:rFonts w:ascii="Bookman Old Style" w:hAnsi="Bookman Old Style"/>
        </w:rPr>
        <w:t>e</w:t>
      </w:r>
      <w:r w:rsidR="00B9737B" w:rsidRPr="00AA2EDE">
        <w:rPr>
          <w:rFonts w:ascii="Bookman Old Style" w:hAnsi="Bookman Old Style"/>
        </w:rPr>
        <w:t>l aconte</w:t>
      </w:r>
      <w:r w:rsidRPr="00AA2EDE">
        <w:rPr>
          <w:rFonts w:ascii="Bookman Old Style" w:hAnsi="Bookman Old Style"/>
        </w:rPr>
        <w:t>c</w:t>
      </w:r>
      <w:r w:rsidR="00B9737B" w:rsidRPr="00AA2EDE">
        <w:rPr>
          <w:rFonts w:ascii="Bookman Old Style" w:hAnsi="Bookman Old Style"/>
        </w:rPr>
        <w:t xml:space="preserve">imiento determinado por la norma, como incumplimiento </w:t>
      </w:r>
      <w:r w:rsidRPr="00AA2EDE">
        <w:rPr>
          <w:rFonts w:ascii="Bookman Old Style" w:hAnsi="Bookman Old Style"/>
        </w:rPr>
        <w:t>grave</w:t>
      </w:r>
      <w:r w:rsidR="00B9737B" w:rsidRPr="00AA2EDE">
        <w:rPr>
          <w:rFonts w:ascii="Bookman Old Style" w:hAnsi="Bookman Old Style"/>
        </w:rPr>
        <w:t xml:space="preserve"> e </w:t>
      </w:r>
      <w:r w:rsidRPr="00AA2EDE">
        <w:rPr>
          <w:rFonts w:ascii="Bookman Old Style" w:hAnsi="Bookman Old Style"/>
        </w:rPr>
        <w:t>insalvable</w:t>
      </w:r>
      <w:r w:rsidR="00B9737B" w:rsidRPr="00AA2EDE">
        <w:rPr>
          <w:rFonts w:ascii="Bookman Old Style" w:hAnsi="Bookman Old Style"/>
        </w:rPr>
        <w:t xml:space="preserve">, ocurre cuando el informe del auditor de la planta en construcción, establece que la misma tiene un atraso superior a un año contado a partir de la fecha de inicio </w:t>
      </w:r>
      <w:r w:rsidR="00B9737B" w:rsidRPr="00AA2EDE">
        <w:rPr>
          <w:rFonts w:ascii="Bookman Old Style" w:hAnsi="Bookman Old Style"/>
        </w:rPr>
        <w:lastRenderedPageBreak/>
        <w:t xml:space="preserve">del Periodo de Vigencia de la </w:t>
      </w:r>
      <w:r w:rsidRPr="00AA2EDE">
        <w:rPr>
          <w:rFonts w:ascii="Bookman Old Style" w:hAnsi="Bookman Old Style"/>
        </w:rPr>
        <w:t xml:space="preserve">Obligación, </w:t>
      </w:r>
      <w:r w:rsidRPr="00AA2EDE">
        <w:rPr>
          <w:rFonts w:ascii="Bookman Old Style" w:hAnsi="Bookman Old Style"/>
          <w:b/>
        </w:rPr>
        <w:t>es</w:t>
      </w:r>
      <w:r>
        <w:rPr>
          <w:rFonts w:ascii="Bookman Old Style" w:hAnsi="Bookman Old Style"/>
          <w:b/>
        </w:rPr>
        <w:t xml:space="preserve"> en este momento</w:t>
      </w:r>
      <w:r w:rsidR="00B9737B">
        <w:rPr>
          <w:rFonts w:ascii="Bookman Old Style" w:hAnsi="Bookman Old Style"/>
          <w:b/>
        </w:rPr>
        <w:t xml:space="preserve"> cuando surge la obligación de la CREG de </w:t>
      </w:r>
      <w:r>
        <w:rPr>
          <w:rFonts w:ascii="Bookman Old Style" w:hAnsi="Bookman Old Style"/>
          <w:b/>
        </w:rPr>
        <w:t>iniciar</w:t>
      </w:r>
      <w:r w:rsidR="00B9737B">
        <w:rPr>
          <w:rFonts w:ascii="Bookman Old Style" w:hAnsi="Bookman Old Style"/>
          <w:b/>
        </w:rPr>
        <w:t xml:space="preserve"> una actuación administrativa para establecer plenamente la existencia del incumplimiento, determinar sus consecuencia</w:t>
      </w:r>
      <w:r>
        <w:rPr>
          <w:rFonts w:ascii="Bookman Old Style" w:hAnsi="Bookman Old Style"/>
          <w:b/>
        </w:rPr>
        <w:t>s</w:t>
      </w:r>
      <w:r w:rsidR="00B9737B">
        <w:rPr>
          <w:rFonts w:ascii="Bookman Old Style" w:hAnsi="Bookman Old Style"/>
          <w:b/>
        </w:rPr>
        <w:t xml:space="preserve"> y </w:t>
      </w:r>
      <w:r>
        <w:rPr>
          <w:rFonts w:ascii="Bookman Old Style" w:hAnsi="Bookman Old Style"/>
          <w:b/>
        </w:rPr>
        <w:t>garantizar</w:t>
      </w:r>
      <w:r w:rsidR="00B9737B">
        <w:rPr>
          <w:rFonts w:ascii="Bookman Old Style" w:hAnsi="Bookman Old Style"/>
          <w:b/>
        </w:rPr>
        <w:t xml:space="preserve"> el derecho de defensa del afectado.</w:t>
      </w:r>
    </w:p>
    <w:p w:rsidR="00C85C68" w:rsidRPr="007F731A" w:rsidRDefault="00C85C68" w:rsidP="00B9737B">
      <w:pPr>
        <w:ind w:left="0"/>
        <w:jc w:val="both"/>
        <w:rPr>
          <w:rFonts w:ascii="Bookman Old Style" w:hAnsi="Bookman Old Style"/>
          <w:b/>
          <w:sz w:val="20"/>
        </w:rPr>
      </w:pPr>
    </w:p>
    <w:p w:rsidR="00C85C68" w:rsidRDefault="00C85C68" w:rsidP="00B9737B">
      <w:pPr>
        <w:ind w:left="0"/>
        <w:jc w:val="both"/>
        <w:rPr>
          <w:rFonts w:ascii="Bookman Old Style" w:hAnsi="Bookman Old Style"/>
        </w:rPr>
      </w:pPr>
      <w:r w:rsidRPr="00C85C68">
        <w:rPr>
          <w:rFonts w:ascii="Bookman Old Style" w:hAnsi="Bookman Old Style"/>
        </w:rPr>
        <w:t xml:space="preserve">Esto no se trata de una labor encaminada a establecer la responsabilidad del agente, se trata del cumplimiento de la función </w:t>
      </w:r>
      <w:r>
        <w:rPr>
          <w:rFonts w:ascii="Bookman Old Style" w:hAnsi="Bookman Old Style"/>
        </w:rPr>
        <w:t xml:space="preserve">reguladora </w:t>
      </w:r>
      <w:r w:rsidRPr="00C85C68">
        <w:rPr>
          <w:rFonts w:ascii="Bookman Old Style" w:hAnsi="Bookman Old Style"/>
        </w:rPr>
        <w:t>de la CREG, que en ultimas analiza si el sistema contara con la energía que había sido prometida por el agente en la subasta de plantas GPPS</w:t>
      </w:r>
      <w:r>
        <w:rPr>
          <w:rFonts w:ascii="Bookman Old Style" w:hAnsi="Bookman Old Style"/>
        </w:rPr>
        <w:t>, esto es analizar si existe una oferta energética eficiente capaz de cubrir con la demanda de los usuarios del servicio de energía eléctrica</w:t>
      </w:r>
      <w:r w:rsidRPr="00C85C68">
        <w:rPr>
          <w:rFonts w:ascii="Bookman Old Style" w:hAnsi="Bookman Old Style"/>
        </w:rPr>
        <w:t>.</w:t>
      </w:r>
    </w:p>
    <w:p w:rsidR="00755CDB" w:rsidRPr="007F731A" w:rsidRDefault="00755CDB" w:rsidP="00755CDB">
      <w:pPr>
        <w:ind w:left="0"/>
        <w:jc w:val="both"/>
        <w:rPr>
          <w:rFonts w:ascii="Bookman Old Style" w:hAnsi="Bookman Old Style"/>
          <w:iCs/>
          <w:sz w:val="20"/>
        </w:rPr>
      </w:pPr>
    </w:p>
    <w:p w:rsidR="00C85C68" w:rsidRPr="00C85C68" w:rsidRDefault="00C85C68" w:rsidP="00755CDB">
      <w:pPr>
        <w:ind w:left="0"/>
        <w:jc w:val="both"/>
        <w:rPr>
          <w:rFonts w:ascii="Bookman Old Style" w:hAnsi="Bookman Old Style"/>
          <w:iCs/>
        </w:rPr>
      </w:pPr>
      <w:r w:rsidRPr="00C85C68">
        <w:rPr>
          <w:rFonts w:ascii="Bookman Old Style" w:hAnsi="Bookman Old Style"/>
          <w:b/>
        </w:rPr>
        <w:t>Conclusión del tercer cargo</w:t>
      </w:r>
      <w:r w:rsidRPr="00C85C68">
        <w:rPr>
          <w:rFonts w:ascii="Bookman Old Style" w:hAnsi="Bookman Old Style"/>
        </w:rPr>
        <w:t xml:space="preserve">: por las razones expuestas el </w:t>
      </w:r>
      <w:r>
        <w:rPr>
          <w:rFonts w:ascii="Bookman Old Style" w:hAnsi="Bookman Old Style"/>
        </w:rPr>
        <w:t xml:space="preserve">tercer </w:t>
      </w:r>
      <w:r w:rsidRPr="00C85C68">
        <w:rPr>
          <w:rFonts w:ascii="Bookman Old Style" w:hAnsi="Bookman Old Style"/>
        </w:rPr>
        <w:t>cargo no está llamado a prosperar</w:t>
      </w:r>
    </w:p>
    <w:p w:rsidR="00755CDB" w:rsidRPr="007F731A" w:rsidRDefault="00755CDB" w:rsidP="00755CDB">
      <w:pPr>
        <w:ind w:left="0"/>
        <w:jc w:val="both"/>
        <w:rPr>
          <w:rFonts w:ascii="Bookman Old Style" w:hAnsi="Bookman Old Style"/>
          <w:iCs/>
          <w:sz w:val="18"/>
        </w:rPr>
      </w:pPr>
    </w:p>
    <w:p w:rsidR="00755CDB" w:rsidRPr="00184A6C" w:rsidRDefault="00755CDB" w:rsidP="00755CDB">
      <w:pPr>
        <w:ind w:left="0"/>
        <w:jc w:val="both"/>
        <w:rPr>
          <w:rFonts w:ascii="Bookman Old Style" w:hAnsi="Bookman Old Style"/>
          <w:iCs/>
        </w:rPr>
      </w:pPr>
      <w:r w:rsidRPr="00FE5985">
        <w:rPr>
          <w:rFonts w:ascii="Bookman Old Style" w:hAnsi="Bookman Old Style" w:cs="Arial"/>
        </w:rPr>
        <w:t xml:space="preserve">En Sesión No. </w:t>
      </w:r>
      <w:r w:rsidR="005D417F">
        <w:rPr>
          <w:rFonts w:ascii="Bookman Old Style" w:hAnsi="Bookman Old Style" w:cs="Arial"/>
        </w:rPr>
        <w:t>508</w:t>
      </w:r>
      <w:r w:rsidRPr="00FE5985">
        <w:rPr>
          <w:rFonts w:ascii="Bookman Old Style" w:hAnsi="Bookman Old Style" w:cs="Arial"/>
        </w:rPr>
        <w:t xml:space="preserve"> del  </w:t>
      </w:r>
      <w:r w:rsidR="005D417F">
        <w:rPr>
          <w:rFonts w:ascii="Bookman Old Style" w:hAnsi="Bookman Old Style" w:cs="Arial"/>
        </w:rPr>
        <w:t>22 de diciembre</w:t>
      </w:r>
      <w:r w:rsidRPr="00FE5985">
        <w:rPr>
          <w:rFonts w:ascii="Bookman Old Style" w:hAnsi="Bookman Old Style" w:cs="Arial"/>
        </w:rPr>
        <w:t xml:space="preserve"> de 2011, la Comisión de Regulación de Energía y Gas</w:t>
      </w:r>
      <w:r w:rsidR="00C85C68">
        <w:rPr>
          <w:rFonts w:ascii="Bookman Old Style" w:hAnsi="Bookman Old Style" w:cs="Arial"/>
        </w:rPr>
        <w:t>,</w:t>
      </w:r>
      <w:r w:rsidRPr="00FE5985">
        <w:rPr>
          <w:rFonts w:ascii="Bookman Old Style" w:hAnsi="Bookman Old Style" w:cs="Arial"/>
        </w:rPr>
        <w:t xml:space="preserve"> analizó </w:t>
      </w:r>
      <w:r>
        <w:rPr>
          <w:rFonts w:ascii="Bookman Old Style" w:hAnsi="Bookman Old Style" w:cs="Arial"/>
        </w:rPr>
        <w:t>el recurso de reposición interpuesto por la</w:t>
      </w:r>
      <w:r w:rsidRPr="00FE5985">
        <w:rPr>
          <w:rFonts w:ascii="Bookman Old Style" w:hAnsi="Bookman Old Style" w:cs="Arial"/>
        </w:rPr>
        <w:t xml:space="preserve"> </w:t>
      </w:r>
      <w:r w:rsidRPr="00184A6C">
        <w:rPr>
          <w:rFonts w:ascii="Bookman Old Style" w:hAnsi="Bookman Old Style"/>
          <w:lang w:eastAsia="es-CO"/>
        </w:rPr>
        <w:t>E</w:t>
      </w:r>
      <w:r w:rsidR="00C85C68">
        <w:rPr>
          <w:rFonts w:ascii="Bookman Old Style" w:hAnsi="Bookman Old Style"/>
          <w:lang w:eastAsia="es-CO"/>
        </w:rPr>
        <w:t>PM</w:t>
      </w:r>
      <w:r w:rsidRPr="00184A6C">
        <w:rPr>
          <w:rFonts w:ascii="Bookman Old Style" w:hAnsi="Bookman Old Style"/>
          <w:lang w:eastAsia="es-CO"/>
        </w:rPr>
        <w:t xml:space="preserve">, en contra de la Resolución CREG </w:t>
      </w:r>
      <w:r w:rsidR="00C85C68">
        <w:rPr>
          <w:rFonts w:ascii="Bookman Old Style" w:hAnsi="Bookman Old Style"/>
          <w:lang w:eastAsia="es-CO"/>
        </w:rPr>
        <w:t>1</w:t>
      </w:r>
      <w:r w:rsidRPr="00184A6C">
        <w:rPr>
          <w:rFonts w:ascii="Bookman Old Style" w:hAnsi="Bookman Old Style"/>
          <w:lang w:eastAsia="es-CO"/>
        </w:rPr>
        <w:t>04 del 2011.</w:t>
      </w:r>
    </w:p>
    <w:p w:rsidR="00755CDB" w:rsidRDefault="00755CDB" w:rsidP="00755CDB">
      <w:pPr>
        <w:ind w:left="0"/>
        <w:jc w:val="both"/>
        <w:rPr>
          <w:rFonts w:ascii="Bookman Old Style" w:hAnsi="Bookman Old Style" w:cs="Arial"/>
        </w:rPr>
      </w:pPr>
    </w:p>
    <w:p w:rsidR="00300121" w:rsidRPr="007F731A" w:rsidRDefault="00300121" w:rsidP="00755CDB">
      <w:pPr>
        <w:ind w:left="0"/>
        <w:jc w:val="both"/>
        <w:rPr>
          <w:rFonts w:ascii="Bookman Old Style" w:hAnsi="Bookman Old Style" w:cs="Arial"/>
          <w:sz w:val="6"/>
        </w:rPr>
      </w:pPr>
    </w:p>
    <w:p w:rsidR="00755CDB" w:rsidRPr="00FE5985" w:rsidRDefault="00755CDB" w:rsidP="00755CDB">
      <w:pPr>
        <w:ind w:left="0"/>
        <w:jc w:val="center"/>
        <w:rPr>
          <w:rFonts w:ascii="Bookman Old Style" w:hAnsi="Bookman Old Style" w:cs="Arial"/>
          <w:b/>
        </w:rPr>
      </w:pPr>
      <w:r w:rsidRPr="00FE5985">
        <w:rPr>
          <w:rFonts w:ascii="Bookman Old Style" w:hAnsi="Bookman Old Style" w:cs="Arial"/>
          <w:b/>
        </w:rPr>
        <w:t>R E S U E L V E:</w:t>
      </w:r>
    </w:p>
    <w:p w:rsidR="00755CDB" w:rsidRDefault="00755CDB" w:rsidP="00755CDB">
      <w:pPr>
        <w:ind w:left="0"/>
        <w:jc w:val="center"/>
        <w:rPr>
          <w:rFonts w:ascii="Bookman Old Style" w:hAnsi="Bookman Old Style" w:cs="Arial"/>
          <w:b/>
        </w:rPr>
      </w:pPr>
    </w:p>
    <w:p w:rsidR="007F731A" w:rsidRPr="007F731A" w:rsidRDefault="007F731A" w:rsidP="00755CDB">
      <w:pPr>
        <w:ind w:left="0"/>
        <w:jc w:val="center"/>
        <w:rPr>
          <w:rFonts w:ascii="Bookman Old Style" w:hAnsi="Bookman Old Style" w:cs="Arial"/>
          <w:b/>
          <w:sz w:val="8"/>
        </w:rPr>
      </w:pPr>
    </w:p>
    <w:p w:rsidR="00755CDB" w:rsidRPr="0037061D" w:rsidRDefault="00755CDB" w:rsidP="00755CDB">
      <w:pPr>
        <w:numPr>
          <w:ilvl w:val="0"/>
          <w:numId w:val="4"/>
        </w:numPr>
        <w:ind w:left="0" w:firstLine="1276"/>
        <w:jc w:val="both"/>
        <w:outlineLvl w:val="0"/>
        <w:rPr>
          <w:rFonts w:ascii="Bookman Old Style" w:hAnsi="Bookman Old Style" w:cs="Arial"/>
        </w:rPr>
      </w:pPr>
      <w:r w:rsidRPr="0037061D">
        <w:rPr>
          <w:rFonts w:ascii="Bookman Old Style" w:hAnsi="Bookman Old Style" w:cs="Arial"/>
        </w:rPr>
        <w:t xml:space="preserve">No </w:t>
      </w:r>
      <w:r>
        <w:rPr>
          <w:rFonts w:ascii="Bookman Old Style" w:hAnsi="Bookman Old Style"/>
        </w:rPr>
        <w:t xml:space="preserve">acceder a la pretensión de </w:t>
      </w:r>
      <w:r w:rsidR="00A1703A">
        <w:rPr>
          <w:rFonts w:ascii="Bookman Old Style" w:hAnsi="Bookman Old Style"/>
        </w:rPr>
        <w:t xml:space="preserve">reponer </w:t>
      </w:r>
      <w:r>
        <w:rPr>
          <w:rFonts w:ascii="Bookman Old Style" w:hAnsi="Bookman Old Style"/>
        </w:rPr>
        <w:t xml:space="preserve">la Resolución CREG </w:t>
      </w:r>
      <w:r w:rsidR="00A1703A">
        <w:rPr>
          <w:rFonts w:ascii="Bookman Old Style" w:hAnsi="Bookman Old Style"/>
        </w:rPr>
        <w:t>1</w:t>
      </w:r>
      <w:r>
        <w:rPr>
          <w:rFonts w:ascii="Bookman Old Style" w:hAnsi="Bookman Old Style"/>
        </w:rPr>
        <w:t xml:space="preserve">04 del </w:t>
      </w:r>
      <w:r w:rsidR="00A1703A">
        <w:rPr>
          <w:rFonts w:ascii="Bookman Old Style" w:hAnsi="Bookman Old Style"/>
        </w:rPr>
        <w:t>19</w:t>
      </w:r>
      <w:r>
        <w:rPr>
          <w:rFonts w:ascii="Bookman Old Style" w:hAnsi="Bookman Old Style"/>
        </w:rPr>
        <w:t xml:space="preserve"> de a</w:t>
      </w:r>
      <w:r w:rsidR="00A1703A">
        <w:rPr>
          <w:rFonts w:ascii="Bookman Old Style" w:hAnsi="Bookman Old Style"/>
        </w:rPr>
        <w:t xml:space="preserve">gosto </w:t>
      </w:r>
      <w:r>
        <w:rPr>
          <w:rFonts w:ascii="Bookman Old Style" w:hAnsi="Bookman Old Style"/>
        </w:rPr>
        <w:t>del 2011, por las razones expuestas en la parte motiva de la presente Resolución</w:t>
      </w:r>
      <w:r w:rsidRPr="0037061D">
        <w:rPr>
          <w:rFonts w:ascii="Bookman Old Style" w:hAnsi="Bookman Old Style"/>
          <w:iCs/>
        </w:rPr>
        <w:t>.</w:t>
      </w:r>
    </w:p>
    <w:p w:rsidR="00755CDB" w:rsidRPr="00FE5985" w:rsidRDefault="00755CDB" w:rsidP="00755CDB">
      <w:pPr>
        <w:ind w:left="1276"/>
        <w:jc w:val="both"/>
        <w:outlineLvl w:val="0"/>
        <w:rPr>
          <w:rFonts w:ascii="Bookman Old Style" w:hAnsi="Bookman Old Style" w:cs="Arial"/>
        </w:rPr>
      </w:pPr>
    </w:p>
    <w:p w:rsidR="00755CDB" w:rsidRDefault="00755CDB" w:rsidP="00755CDB">
      <w:pPr>
        <w:numPr>
          <w:ilvl w:val="0"/>
          <w:numId w:val="4"/>
        </w:numPr>
        <w:ind w:left="0" w:firstLine="1276"/>
        <w:jc w:val="both"/>
        <w:outlineLvl w:val="0"/>
        <w:rPr>
          <w:rFonts w:ascii="Bookman Old Style" w:hAnsi="Bookman Old Style"/>
        </w:rPr>
      </w:pPr>
      <w:r w:rsidRPr="00485792">
        <w:rPr>
          <w:rFonts w:ascii="Bookman Old Style" w:hAnsi="Bookman Old Style"/>
        </w:rPr>
        <w:t>Notificar personal</w:t>
      </w:r>
      <w:r w:rsidRPr="00184A6C">
        <w:rPr>
          <w:rFonts w:ascii="Bookman Old Style" w:hAnsi="Bookman Old Style"/>
        </w:rPr>
        <w:t xml:space="preserve">mente al representante legal de </w:t>
      </w:r>
      <w:r w:rsidRPr="00184A6C">
        <w:rPr>
          <w:rFonts w:ascii="Bookman Old Style" w:hAnsi="Bookman Old Style"/>
          <w:lang w:eastAsia="es-CO"/>
        </w:rPr>
        <w:t>E</w:t>
      </w:r>
      <w:r w:rsidR="00A1703A">
        <w:rPr>
          <w:rFonts w:ascii="Bookman Old Style" w:hAnsi="Bookman Old Style"/>
          <w:lang w:eastAsia="es-CO"/>
        </w:rPr>
        <w:t xml:space="preserve">mpresas Públicas de Medellín </w:t>
      </w:r>
      <w:r w:rsidRPr="00184A6C">
        <w:rPr>
          <w:rFonts w:ascii="Bookman Old Style" w:hAnsi="Bookman Old Style"/>
          <w:lang w:eastAsia="es-CO"/>
        </w:rPr>
        <w:t>E.S.P</w:t>
      </w:r>
      <w:r>
        <w:rPr>
          <w:rFonts w:ascii="Bookman Old Style" w:hAnsi="Bookman Old Style"/>
          <w:lang w:eastAsia="es-CO"/>
        </w:rPr>
        <w:t>.</w:t>
      </w:r>
      <w:r w:rsidRPr="00485792">
        <w:rPr>
          <w:rFonts w:ascii="Bookman Old Style" w:hAnsi="Bookman Old Style"/>
        </w:rPr>
        <w:t xml:space="preserve"> </w:t>
      </w:r>
      <w:r>
        <w:rPr>
          <w:rFonts w:ascii="Bookman Old Style" w:hAnsi="Bookman Old Style"/>
        </w:rPr>
        <w:t>el contenido de esta R</w:t>
      </w:r>
      <w:r w:rsidRPr="00485792">
        <w:rPr>
          <w:rFonts w:ascii="Bookman Old Style" w:hAnsi="Bookman Old Style"/>
        </w:rPr>
        <w:t xml:space="preserve">esolución, y hacerle saber que </w:t>
      </w:r>
      <w:r>
        <w:rPr>
          <w:rFonts w:ascii="Bookman Old Style" w:hAnsi="Bookman Old Style"/>
        </w:rPr>
        <w:t xml:space="preserve">contra el presente acto no </w:t>
      </w:r>
      <w:r w:rsidRPr="00485792">
        <w:rPr>
          <w:rFonts w:ascii="Bookman Old Style" w:hAnsi="Bookman Old Style"/>
        </w:rPr>
        <w:t xml:space="preserve">procede recurso alguno por </w:t>
      </w:r>
      <w:r>
        <w:rPr>
          <w:rFonts w:ascii="Bookman Old Style" w:hAnsi="Bookman Old Style"/>
        </w:rPr>
        <w:t xml:space="preserve">agotamiento de la </w:t>
      </w:r>
      <w:r w:rsidRPr="00485792">
        <w:rPr>
          <w:rFonts w:ascii="Bookman Old Style" w:hAnsi="Bookman Old Style"/>
        </w:rPr>
        <w:t xml:space="preserve"> vía gubernativa.</w:t>
      </w:r>
    </w:p>
    <w:p w:rsidR="00117D90" w:rsidRDefault="00117D90" w:rsidP="00117D90">
      <w:pPr>
        <w:pStyle w:val="Prrafodelista"/>
        <w:rPr>
          <w:rFonts w:ascii="Bookman Old Style" w:hAnsi="Bookman Old Style"/>
        </w:rPr>
      </w:pPr>
    </w:p>
    <w:p w:rsidR="00117D90" w:rsidRDefault="005F7CB6" w:rsidP="00117D90">
      <w:pPr>
        <w:numPr>
          <w:ilvl w:val="0"/>
          <w:numId w:val="4"/>
        </w:numPr>
        <w:tabs>
          <w:tab w:val="clear" w:pos="1240"/>
          <w:tab w:val="num" w:pos="247"/>
        </w:tabs>
        <w:ind w:left="0" w:firstLine="1276"/>
        <w:jc w:val="both"/>
        <w:outlineLvl w:val="0"/>
        <w:rPr>
          <w:rFonts w:ascii="Bookman Old Style" w:hAnsi="Bookman Old Style"/>
        </w:rPr>
      </w:pPr>
      <w:r>
        <w:rPr>
          <w:rFonts w:ascii="Bookman Old Style" w:hAnsi="Bookman Old Style" w:cs="Arial"/>
        </w:rPr>
        <w:t>D</w:t>
      </w:r>
      <w:r w:rsidR="00607D0E">
        <w:rPr>
          <w:rFonts w:ascii="Bookman Old Style" w:hAnsi="Bookman Old Style" w:cs="Arial"/>
        </w:rPr>
        <w:t>eberá informa</w:t>
      </w:r>
      <w:r>
        <w:rPr>
          <w:rFonts w:ascii="Bookman Old Style" w:hAnsi="Bookman Old Style" w:cs="Arial"/>
        </w:rPr>
        <w:t>rse a</w:t>
      </w:r>
      <w:r w:rsidR="00607D0E" w:rsidRPr="00607D0E">
        <w:rPr>
          <w:rFonts w:ascii="Bookman Old Style" w:hAnsi="Bookman Old Style" w:cs="Arial"/>
        </w:rPr>
        <w:t xml:space="preserve">l </w:t>
      </w:r>
      <w:r w:rsidR="00117D90">
        <w:rPr>
          <w:rFonts w:ascii="Bookman Old Style" w:hAnsi="Bookman Old Style"/>
        </w:rPr>
        <w:t>ASIC que</w:t>
      </w:r>
      <w:r w:rsidR="00607D0E">
        <w:rPr>
          <w:rFonts w:ascii="Bookman Old Style" w:hAnsi="Bookman Old Style"/>
        </w:rPr>
        <w:t xml:space="preserve"> la Resolución CREG 104 de 2011 </w:t>
      </w:r>
      <w:r w:rsidR="00117D90">
        <w:rPr>
          <w:rFonts w:ascii="Bookman Old Style" w:hAnsi="Bookman Old Style"/>
        </w:rPr>
        <w:t>ha cobrado firmeza</w:t>
      </w:r>
      <w:r w:rsidR="00C47A29">
        <w:rPr>
          <w:rFonts w:ascii="Bookman Old Style" w:hAnsi="Bookman Old Style" w:cs="Arial"/>
        </w:rPr>
        <w:t>.</w:t>
      </w:r>
    </w:p>
    <w:p w:rsidR="00117D90" w:rsidRDefault="00117D90" w:rsidP="00117D90">
      <w:pPr>
        <w:ind w:left="1276"/>
        <w:jc w:val="both"/>
        <w:outlineLvl w:val="0"/>
        <w:rPr>
          <w:rFonts w:ascii="Bookman Old Style" w:hAnsi="Bookman Old Style"/>
        </w:rPr>
      </w:pPr>
    </w:p>
    <w:p w:rsidR="00686AAA" w:rsidRDefault="00686AAA" w:rsidP="00117D90">
      <w:pPr>
        <w:ind w:left="1276"/>
        <w:jc w:val="both"/>
        <w:outlineLvl w:val="0"/>
        <w:rPr>
          <w:rFonts w:ascii="Bookman Old Style" w:hAnsi="Bookman Old Style"/>
        </w:rPr>
      </w:pPr>
    </w:p>
    <w:p w:rsidR="00755CDB" w:rsidRPr="00FE5985" w:rsidRDefault="00755CDB" w:rsidP="00755CDB">
      <w:pPr>
        <w:ind w:left="0"/>
        <w:jc w:val="center"/>
        <w:rPr>
          <w:rFonts w:ascii="Bookman Old Style" w:hAnsi="Bookman Old Style" w:cs="Arial"/>
          <w:b/>
        </w:rPr>
      </w:pPr>
      <w:r w:rsidRPr="00FE5985">
        <w:rPr>
          <w:rFonts w:ascii="Bookman Old Style" w:hAnsi="Bookman Old Style" w:cs="Arial"/>
          <w:b/>
        </w:rPr>
        <w:t>NOTIFÍQUESE, PUBLÍQUESE Y CÚMPLASE</w:t>
      </w:r>
    </w:p>
    <w:p w:rsidR="00755CDB" w:rsidRPr="00FE5985" w:rsidRDefault="00755CDB" w:rsidP="00755CDB">
      <w:pPr>
        <w:ind w:left="0"/>
        <w:rPr>
          <w:rFonts w:ascii="Bookman Old Style" w:hAnsi="Bookman Old Style" w:cs="Arial"/>
        </w:rPr>
      </w:pPr>
    </w:p>
    <w:p w:rsidR="00755CDB" w:rsidRPr="00FE5985" w:rsidRDefault="00755CDB" w:rsidP="00755CDB">
      <w:pPr>
        <w:ind w:left="0"/>
        <w:rPr>
          <w:rFonts w:ascii="Bookman Old Style" w:hAnsi="Bookman Old Style" w:cs="Arial"/>
        </w:rPr>
      </w:pPr>
      <w:r w:rsidRPr="00FE5985">
        <w:rPr>
          <w:rFonts w:ascii="Bookman Old Style" w:hAnsi="Bookman Old Style" w:cs="Arial"/>
        </w:rPr>
        <w:t>Dada en Bogotá a los</w:t>
      </w:r>
    </w:p>
    <w:p w:rsidR="00755CDB" w:rsidRDefault="00755CDB" w:rsidP="00755CDB">
      <w:pPr>
        <w:ind w:left="0"/>
        <w:rPr>
          <w:rFonts w:ascii="Bookman Old Style" w:hAnsi="Bookman Old Style" w:cs="Arial"/>
        </w:rPr>
      </w:pPr>
    </w:p>
    <w:p w:rsidR="007F731A" w:rsidRDefault="007F731A" w:rsidP="00755CDB">
      <w:pPr>
        <w:ind w:left="0"/>
        <w:rPr>
          <w:rFonts w:ascii="Bookman Old Style" w:hAnsi="Bookman Old Style" w:cs="Arial"/>
          <w:sz w:val="20"/>
        </w:rPr>
      </w:pPr>
    </w:p>
    <w:p w:rsidR="00686AAA" w:rsidRDefault="00686AAA" w:rsidP="00755CDB">
      <w:pPr>
        <w:ind w:left="0"/>
        <w:rPr>
          <w:rFonts w:ascii="Bookman Old Style" w:hAnsi="Bookman Old Style" w:cs="Arial"/>
          <w:sz w:val="20"/>
        </w:rPr>
      </w:pPr>
    </w:p>
    <w:p w:rsidR="005C342F" w:rsidRPr="00B079A0" w:rsidRDefault="005C342F" w:rsidP="00755CDB">
      <w:pPr>
        <w:ind w:left="0"/>
        <w:rPr>
          <w:rFonts w:ascii="Bookman Old Style" w:hAnsi="Bookman Old Style" w:cs="Arial"/>
          <w:sz w:val="20"/>
        </w:rPr>
      </w:pPr>
    </w:p>
    <w:p w:rsidR="00755CDB" w:rsidRPr="00FE5985" w:rsidRDefault="00755CDB" w:rsidP="00755CDB">
      <w:pPr>
        <w:ind w:left="0"/>
        <w:rPr>
          <w:rFonts w:ascii="Bookman Old Style" w:hAnsi="Bookman Old Style" w:cs="Arial"/>
          <w:lang w:val="es-ES_tradnl"/>
        </w:rPr>
      </w:pPr>
    </w:p>
    <w:tbl>
      <w:tblPr>
        <w:tblW w:w="8985" w:type="dxa"/>
        <w:jc w:val="center"/>
        <w:tblLayout w:type="fixed"/>
        <w:tblCellMar>
          <w:left w:w="70" w:type="dxa"/>
          <w:right w:w="70" w:type="dxa"/>
        </w:tblCellMar>
        <w:tblLook w:val="04A0" w:firstRow="1" w:lastRow="0" w:firstColumn="1" w:lastColumn="0" w:noHBand="0" w:noVBand="1"/>
      </w:tblPr>
      <w:tblGrid>
        <w:gridCol w:w="4492"/>
        <w:gridCol w:w="4493"/>
      </w:tblGrid>
      <w:tr w:rsidR="00755CDB" w:rsidRPr="00FE5985" w:rsidTr="007F731A">
        <w:trPr>
          <w:trHeight w:val="329"/>
          <w:jc w:val="center"/>
        </w:trPr>
        <w:tc>
          <w:tcPr>
            <w:tcW w:w="4492" w:type="dxa"/>
            <w:vAlign w:val="center"/>
            <w:hideMark/>
          </w:tcPr>
          <w:p w:rsidR="00755CDB" w:rsidRPr="00FE5985" w:rsidRDefault="007F731A" w:rsidP="009727E9">
            <w:pPr>
              <w:tabs>
                <w:tab w:val="left" w:pos="-720"/>
              </w:tabs>
              <w:suppressAutoHyphens/>
              <w:ind w:left="0"/>
              <w:jc w:val="center"/>
              <w:rPr>
                <w:rFonts w:ascii="Bookman Old Style" w:hAnsi="Bookman Old Style" w:cs="Arial"/>
                <w:b/>
                <w:spacing w:val="-3"/>
              </w:rPr>
            </w:pPr>
            <w:r>
              <w:rPr>
                <w:rFonts w:ascii="Bookman Old Style" w:hAnsi="Bookman Old Style" w:cs="Arial"/>
                <w:b/>
                <w:spacing w:val="-3"/>
              </w:rPr>
              <w:t>T</w:t>
            </w:r>
            <w:r w:rsidR="00755CDB" w:rsidRPr="00FE5985">
              <w:rPr>
                <w:rFonts w:ascii="Bookman Old Style" w:hAnsi="Bookman Old Style" w:cs="Arial"/>
                <w:b/>
                <w:spacing w:val="-3"/>
              </w:rPr>
              <w:t>OM</w:t>
            </w:r>
            <w:r w:rsidR="00755CDB">
              <w:rPr>
                <w:rFonts w:ascii="Bookman Old Style" w:hAnsi="Bookman Old Style" w:cs="Arial"/>
                <w:b/>
                <w:spacing w:val="-3"/>
              </w:rPr>
              <w:t>Á</w:t>
            </w:r>
            <w:r w:rsidR="00755CDB" w:rsidRPr="00FE5985">
              <w:rPr>
                <w:rFonts w:ascii="Bookman Old Style" w:hAnsi="Bookman Old Style" w:cs="Arial"/>
                <w:b/>
                <w:spacing w:val="-3"/>
              </w:rPr>
              <w:t>S GONZ</w:t>
            </w:r>
            <w:r w:rsidR="00755CDB">
              <w:rPr>
                <w:rFonts w:ascii="Bookman Old Style" w:hAnsi="Bookman Old Style" w:cs="Arial"/>
                <w:b/>
                <w:spacing w:val="-3"/>
              </w:rPr>
              <w:t>Á</w:t>
            </w:r>
            <w:r w:rsidR="00755CDB" w:rsidRPr="00FE5985">
              <w:rPr>
                <w:rFonts w:ascii="Bookman Old Style" w:hAnsi="Bookman Old Style" w:cs="Arial"/>
                <w:b/>
                <w:spacing w:val="-3"/>
              </w:rPr>
              <w:t>LEZ ESTRADA</w:t>
            </w:r>
          </w:p>
        </w:tc>
        <w:tc>
          <w:tcPr>
            <w:tcW w:w="4493" w:type="dxa"/>
            <w:vAlign w:val="center"/>
            <w:hideMark/>
          </w:tcPr>
          <w:p w:rsidR="00755CDB" w:rsidRPr="00FE5985" w:rsidRDefault="00755CDB" w:rsidP="009727E9">
            <w:pPr>
              <w:tabs>
                <w:tab w:val="left" w:pos="-720"/>
              </w:tabs>
              <w:suppressAutoHyphens/>
              <w:ind w:left="0"/>
              <w:jc w:val="center"/>
              <w:rPr>
                <w:rFonts w:ascii="Bookman Old Style" w:hAnsi="Bookman Old Style" w:cs="Arial"/>
                <w:b/>
                <w:spacing w:val="-3"/>
              </w:rPr>
            </w:pPr>
            <w:r w:rsidRPr="00FE5985">
              <w:rPr>
                <w:rFonts w:ascii="Bookman Old Style" w:hAnsi="Bookman Old Style" w:cs="Arial"/>
                <w:b/>
                <w:spacing w:val="-3"/>
              </w:rPr>
              <w:t>JAVIER AUGUSTO DÍAZ VELASCO</w:t>
            </w:r>
          </w:p>
        </w:tc>
      </w:tr>
      <w:tr w:rsidR="00755CDB" w:rsidRPr="00FE5985" w:rsidTr="007F731A">
        <w:trPr>
          <w:jc w:val="center"/>
        </w:trPr>
        <w:tc>
          <w:tcPr>
            <w:tcW w:w="4492" w:type="dxa"/>
            <w:vAlign w:val="center"/>
            <w:hideMark/>
          </w:tcPr>
          <w:p w:rsidR="00755CDB" w:rsidRPr="00FE5985" w:rsidRDefault="00755CDB" w:rsidP="009727E9">
            <w:pPr>
              <w:tabs>
                <w:tab w:val="left" w:pos="-720"/>
              </w:tabs>
              <w:suppressAutoHyphens/>
              <w:ind w:left="0"/>
              <w:jc w:val="center"/>
              <w:rPr>
                <w:rFonts w:ascii="Bookman Old Style" w:hAnsi="Bookman Old Style" w:cs="Arial"/>
                <w:spacing w:val="-3"/>
              </w:rPr>
            </w:pPr>
            <w:r w:rsidRPr="00FE5985">
              <w:rPr>
                <w:rFonts w:ascii="Bookman Old Style" w:hAnsi="Bookman Old Style" w:cs="Arial"/>
                <w:spacing w:val="-3"/>
              </w:rPr>
              <w:t>Viceministr</w:t>
            </w:r>
            <w:r>
              <w:rPr>
                <w:rFonts w:ascii="Bookman Old Style" w:hAnsi="Bookman Old Style" w:cs="Arial"/>
                <w:spacing w:val="-3"/>
              </w:rPr>
              <w:t>o</w:t>
            </w:r>
            <w:r w:rsidRPr="00FE5985">
              <w:rPr>
                <w:rFonts w:ascii="Bookman Old Style" w:hAnsi="Bookman Old Style" w:cs="Arial"/>
                <w:spacing w:val="-3"/>
              </w:rPr>
              <w:t xml:space="preserve"> de Minas y Energía</w:t>
            </w:r>
          </w:p>
        </w:tc>
        <w:tc>
          <w:tcPr>
            <w:tcW w:w="4493" w:type="dxa"/>
            <w:vAlign w:val="center"/>
            <w:hideMark/>
          </w:tcPr>
          <w:p w:rsidR="00755CDB" w:rsidRPr="00FE5985" w:rsidRDefault="00755CDB" w:rsidP="009727E9">
            <w:pPr>
              <w:tabs>
                <w:tab w:val="left" w:pos="-720"/>
              </w:tabs>
              <w:suppressAutoHyphens/>
              <w:ind w:left="0"/>
              <w:jc w:val="center"/>
              <w:rPr>
                <w:rFonts w:ascii="Bookman Old Style" w:hAnsi="Bookman Old Style" w:cs="Arial"/>
                <w:spacing w:val="-3"/>
              </w:rPr>
            </w:pPr>
            <w:r w:rsidRPr="00FE5985">
              <w:rPr>
                <w:rFonts w:ascii="Bookman Old Style" w:hAnsi="Bookman Old Style" w:cs="Arial"/>
                <w:spacing w:val="-3"/>
              </w:rPr>
              <w:t>Director Ejecutivo</w:t>
            </w:r>
          </w:p>
        </w:tc>
      </w:tr>
      <w:tr w:rsidR="00755CDB" w:rsidRPr="00FE5985" w:rsidTr="007F731A">
        <w:trPr>
          <w:jc w:val="center"/>
        </w:trPr>
        <w:tc>
          <w:tcPr>
            <w:tcW w:w="4492" w:type="dxa"/>
            <w:vAlign w:val="center"/>
            <w:hideMark/>
          </w:tcPr>
          <w:p w:rsidR="00755CDB" w:rsidRPr="00FE5985" w:rsidRDefault="00755CDB" w:rsidP="009727E9">
            <w:pPr>
              <w:tabs>
                <w:tab w:val="left" w:pos="-720"/>
              </w:tabs>
              <w:suppressAutoHyphens/>
              <w:ind w:left="0"/>
              <w:jc w:val="center"/>
              <w:rPr>
                <w:rFonts w:ascii="Bookman Old Style" w:hAnsi="Bookman Old Style" w:cs="Arial"/>
                <w:spacing w:val="-3"/>
              </w:rPr>
            </w:pPr>
            <w:r w:rsidRPr="00FE5985">
              <w:rPr>
                <w:rFonts w:ascii="Bookman Old Style" w:hAnsi="Bookman Old Style" w:cs="Arial"/>
                <w:spacing w:val="-3"/>
              </w:rPr>
              <w:t>Delegado del Ministro de Minas y Energía</w:t>
            </w:r>
          </w:p>
          <w:p w:rsidR="00755CDB" w:rsidRPr="00FE5985" w:rsidRDefault="00755CDB" w:rsidP="009727E9">
            <w:pPr>
              <w:tabs>
                <w:tab w:val="left" w:pos="-720"/>
              </w:tabs>
              <w:suppressAutoHyphens/>
              <w:ind w:left="0"/>
              <w:jc w:val="center"/>
              <w:rPr>
                <w:rFonts w:ascii="Bookman Old Style" w:hAnsi="Bookman Old Style" w:cs="Arial"/>
                <w:spacing w:val="-3"/>
              </w:rPr>
            </w:pPr>
            <w:r w:rsidRPr="00FE5985">
              <w:rPr>
                <w:rFonts w:ascii="Bookman Old Style" w:hAnsi="Bookman Old Style" w:cs="Arial"/>
                <w:spacing w:val="-3"/>
              </w:rPr>
              <w:t>Presidente</w:t>
            </w:r>
          </w:p>
        </w:tc>
        <w:tc>
          <w:tcPr>
            <w:tcW w:w="4493" w:type="dxa"/>
            <w:vAlign w:val="center"/>
          </w:tcPr>
          <w:p w:rsidR="00755CDB" w:rsidRPr="00FE5985" w:rsidRDefault="00755CDB" w:rsidP="009727E9">
            <w:pPr>
              <w:tabs>
                <w:tab w:val="left" w:pos="-720"/>
              </w:tabs>
              <w:suppressAutoHyphens/>
              <w:ind w:left="0"/>
              <w:jc w:val="center"/>
              <w:rPr>
                <w:rFonts w:ascii="Bookman Old Style" w:hAnsi="Bookman Old Style" w:cs="Arial"/>
                <w:spacing w:val="-3"/>
              </w:rPr>
            </w:pPr>
          </w:p>
        </w:tc>
      </w:tr>
    </w:tbl>
    <w:p w:rsidR="00917310" w:rsidRDefault="00917310" w:rsidP="00300121">
      <w:pPr>
        <w:ind w:left="0"/>
      </w:pPr>
    </w:p>
    <w:sectPr w:rsidR="00917310" w:rsidSect="009727E9">
      <w:headerReference w:type="default" r:id="rId11"/>
      <w:headerReference w:type="first" r:id="rId12"/>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CB6" w:rsidRDefault="005F7CB6" w:rsidP="00755CDB">
      <w:r>
        <w:separator/>
      </w:r>
    </w:p>
  </w:endnote>
  <w:endnote w:type="continuationSeparator" w:id="0">
    <w:p w:rsidR="005F7CB6" w:rsidRDefault="005F7CB6" w:rsidP="00755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Ebrima">
    <w:panose1 w:val="02000000000000000000"/>
    <w:charset w:val="00"/>
    <w:family w:val="auto"/>
    <w:pitch w:val="variable"/>
    <w:sig w:usb0="A000005F" w:usb1="02000041"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CB6" w:rsidRDefault="005F7CB6" w:rsidP="00755CDB">
      <w:r>
        <w:separator/>
      </w:r>
    </w:p>
  </w:footnote>
  <w:footnote w:type="continuationSeparator" w:id="0">
    <w:p w:rsidR="005F7CB6" w:rsidRDefault="005F7CB6" w:rsidP="00755CDB">
      <w:r>
        <w:continuationSeparator/>
      </w:r>
    </w:p>
  </w:footnote>
  <w:footnote w:id="1">
    <w:p w:rsidR="005F7CB6" w:rsidRDefault="005F7CB6">
      <w:pPr>
        <w:pStyle w:val="Textonotapie"/>
      </w:pPr>
      <w:r>
        <w:rPr>
          <w:rStyle w:val="Refdenotaalpie"/>
        </w:rPr>
        <w:footnoteRef/>
      </w:r>
      <w:r>
        <w:t xml:space="preserve"> Denominación dada por el accionante.</w:t>
      </w:r>
    </w:p>
  </w:footnote>
  <w:footnote w:id="2">
    <w:p w:rsidR="005F7CB6" w:rsidRDefault="005F7CB6">
      <w:pPr>
        <w:pStyle w:val="Textonotapie"/>
      </w:pPr>
      <w:r>
        <w:rPr>
          <w:rStyle w:val="Refdenotaalpie"/>
        </w:rPr>
        <w:footnoteRef/>
      </w:r>
      <w:r>
        <w:t xml:space="preserve"> Denominación dada por el accionante.</w:t>
      </w:r>
    </w:p>
  </w:footnote>
  <w:footnote w:id="3">
    <w:p w:rsidR="005F7CB6" w:rsidRDefault="005F7CB6">
      <w:pPr>
        <w:pStyle w:val="Textonotapie"/>
      </w:pPr>
      <w:r>
        <w:rPr>
          <w:rStyle w:val="Refdenotaalpie"/>
        </w:rPr>
        <w:footnoteRef/>
      </w:r>
      <w:r>
        <w:t xml:space="preserve"> Denominación dada por el accionante.</w:t>
      </w:r>
    </w:p>
  </w:footnote>
  <w:footnote w:id="4">
    <w:p w:rsidR="005F7CB6" w:rsidRPr="00A618E5" w:rsidRDefault="005F7CB6" w:rsidP="00CD2866">
      <w:pPr>
        <w:pStyle w:val="Textonotapie"/>
        <w:rPr>
          <w:rFonts w:cstheme="minorHAnsi"/>
        </w:rPr>
      </w:pPr>
      <w:r w:rsidRPr="00A618E5">
        <w:rPr>
          <w:rStyle w:val="Refdenotaalpie"/>
          <w:rFonts w:cstheme="minorHAnsi"/>
        </w:rPr>
        <w:footnoteRef/>
      </w:r>
      <w:r w:rsidRPr="00A618E5">
        <w:rPr>
          <w:rFonts w:cstheme="minorHAnsi"/>
        </w:rPr>
        <w:t xml:space="preserve"> Carta de crédito </w:t>
      </w:r>
      <w:r w:rsidRPr="00A618E5">
        <w:rPr>
          <w:rFonts w:cstheme="minorHAnsi"/>
          <w:i/>
        </w:rPr>
        <w:t xml:space="preserve">stand </w:t>
      </w:r>
      <w:proofErr w:type="spellStart"/>
      <w:r w:rsidRPr="00A618E5">
        <w:rPr>
          <w:rFonts w:cstheme="minorHAnsi"/>
          <w:i/>
        </w:rPr>
        <w:t>by</w:t>
      </w:r>
      <w:proofErr w:type="spellEnd"/>
      <w:r w:rsidRPr="00A618E5">
        <w:rPr>
          <w:rFonts w:cstheme="minorHAnsi"/>
        </w:rPr>
        <w:t xml:space="preserve">, emitida por BNP </w:t>
      </w:r>
      <w:proofErr w:type="spellStart"/>
      <w:r w:rsidRPr="00A618E5">
        <w:rPr>
          <w:rFonts w:cstheme="minorHAnsi"/>
        </w:rPr>
        <w:t>Paribas</w:t>
      </w:r>
      <w:proofErr w:type="spellEnd"/>
      <w:r>
        <w:rPr>
          <w:rFonts w:cstheme="minorHAnsi"/>
        </w:rPr>
        <w:t xml:space="preserve"> NY.</w:t>
      </w:r>
    </w:p>
  </w:footnote>
  <w:footnote w:id="5">
    <w:p w:rsidR="005F7CB6" w:rsidRDefault="005F7CB6">
      <w:pPr>
        <w:pStyle w:val="Textonotapie"/>
      </w:pPr>
      <w:r>
        <w:rPr>
          <w:rStyle w:val="Refdenotaalpie"/>
        </w:rPr>
        <w:footnoteRef/>
      </w:r>
      <w:r w:rsidRPr="00A618E5">
        <w:rPr>
          <w:rFonts w:cstheme="minorHAnsi"/>
        </w:rPr>
        <w:t xml:space="preserve"> Auto del 30 de mayo del 2011</w:t>
      </w:r>
    </w:p>
  </w:footnote>
  <w:footnote w:id="6">
    <w:p w:rsidR="005F7CB6" w:rsidRPr="00A618E5" w:rsidRDefault="005F7CB6" w:rsidP="00CD2866">
      <w:pPr>
        <w:pStyle w:val="Textonotapie"/>
        <w:rPr>
          <w:rFonts w:cstheme="minorHAnsi"/>
        </w:rPr>
      </w:pPr>
      <w:r w:rsidRPr="00A618E5">
        <w:rPr>
          <w:rStyle w:val="Refdenotaalpie"/>
          <w:rFonts w:cstheme="minorHAnsi"/>
        </w:rPr>
        <w:footnoteRef/>
      </w:r>
      <w:r w:rsidRPr="00A618E5">
        <w:rPr>
          <w:rFonts w:cstheme="minorHAnsi"/>
        </w:rPr>
        <w:t xml:space="preserve"> El término para dar respuesta a dicho recursos es de 2 meses. Artículo 60 del Código Contencioso Administrativo.</w:t>
      </w:r>
    </w:p>
  </w:footnote>
  <w:footnote w:id="7">
    <w:p w:rsidR="005F7CB6" w:rsidRDefault="005F7CB6" w:rsidP="00BB0B22">
      <w:pPr>
        <w:pStyle w:val="Textonotapie"/>
      </w:pPr>
      <w:r>
        <w:rPr>
          <w:rStyle w:val="Refdenotaalpie"/>
        </w:rPr>
        <w:footnoteRef/>
      </w:r>
      <w:r>
        <w:t xml:space="preserve"> Denominación dada por el accionante.</w:t>
      </w:r>
    </w:p>
  </w:footnote>
  <w:footnote w:id="8">
    <w:p w:rsidR="005F7CB6" w:rsidRPr="006A60E3" w:rsidRDefault="005F7CB6">
      <w:pPr>
        <w:pStyle w:val="Textonotapie"/>
      </w:pPr>
      <w:r w:rsidRPr="006A60E3">
        <w:rPr>
          <w:rStyle w:val="Refdenotaalpie"/>
        </w:rPr>
        <w:footnoteRef/>
      </w:r>
      <w:r w:rsidRPr="006A60E3">
        <w:t xml:space="preserve"> </w:t>
      </w:r>
      <w:r>
        <w:t>M</w:t>
      </w:r>
      <w:r w:rsidRPr="006A60E3">
        <w:rPr>
          <w:bCs/>
          <w:spacing w:val="-5"/>
        </w:rPr>
        <w:t>ás adelante se explicara la diferencia entre la naturaleza de la actuación administrativa 2011-0049 y la petición de EPM de  inicio de una actuación administrativa para el reconocimiento de un evento eximente de responsabilidad</w:t>
      </w:r>
      <w:r>
        <w:rPr>
          <w:bCs/>
          <w:spacing w:val="-5"/>
        </w:rPr>
        <w:t>.</w:t>
      </w:r>
    </w:p>
  </w:footnote>
  <w:footnote w:id="9">
    <w:p w:rsidR="005F7CB6" w:rsidRDefault="005F7CB6" w:rsidP="00B42867">
      <w:pPr>
        <w:pStyle w:val="Textonotapie"/>
        <w:jc w:val="both"/>
      </w:pPr>
      <w:r>
        <w:rPr>
          <w:rStyle w:val="Refdenotaalpie"/>
        </w:rPr>
        <w:footnoteRef/>
      </w:r>
      <w:r>
        <w:t xml:space="preserve"> Ejemplo de ello es el artículo 209 de la Constitución Política de 1991, en el que se establecen los principios de la actividad administrativa. En igual sentido basta mirar los principios contenidos en el artículo 3 de la Ley 489 de 1998.</w:t>
      </w:r>
    </w:p>
  </w:footnote>
  <w:footnote w:id="10">
    <w:p w:rsidR="005F7CB6" w:rsidRDefault="005F7CB6" w:rsidP="00B42867">
      <w:pPr>
        <w:pStyle w:val="Textonotapie"/>
        <w:jc w:val="both"/>
      </w:pPr>
      <w:r>
        <w:rPr>
          <w:rStyle w:val="Refdenotaalpie"/>
        </w:rPr>
        <w:footnoteRef/>
      </w:r>
      <w:r>
        <w:t xml:space="preserve"> Corte Constitucional de Colombia. Sentencia T-103 de 2006. M.P: Marco Gerardo Monroy Cabra.</w:t>
      </w:r>
    </w:p>
  </w:footnote>
  <w:footnote w:id="11">
    <w:p w:rsidR="005F7CB6" w:rsidRPr="00DE33F7" w:rsidRDefault="005F7CB6">
      <w:pPr>
        <w:pStyle w:val="Textonotapie"/>
      </w:pPr>
      <w:r>
        <w:rPr>
          <w:rStyle w:val="Refdenotaalpie"/>
        </w:rPr>
        <w:footnoteRef/>
      </w:r>
      <w:r>
        <w:t xml:space="preserve"> Corte Constitucional de Colombia. Sentencia T-1083 del 2004. </w:t>
      </w:r>
      <w:r w:rsidRPr="00DE33F7">
        <w:t>M.P: Jaime Córdoba Triviño.</w:t>
      </w:r>
    </w:p>
  </w:footnote>
  <w:footnote w:id="12">
    <w:p w:rsidR="005F7CB6" w:rsidRPr="008E6326" w:rsidRDefault="005F7CB6">
      <w:pPr>
        <w:pStyle w:val="Textonotapie"/>
      </w:pPr>
      <w:r>
        <w:rPr>
          <w:rStyle w:val="Refdenotaalpie"/>
        </w:rPr>
        <w:footnoteRef/>
      </w:r>
      <w:r>
        <w:t xml:space="preserve"> </w:t>
      </w:r>
      <w:r w:rsidRPr="008E6326">
        <w:t>Resolución CREG 084 de 2011.</w:t>
      </w:r>
    </w:p>
  </w:footnote>
  <w:footnote w:id="13">
    <w:p w:rsidR="005F7CB6" w:rsidRPr="008E6326" w:rsidRDefault="005F7CB6">
      <w:pPr>
        <w:pStyle w:val="Textonotapie"/>
      </w:pPr>
      <w:r>
        <w:rPr>
          <w:rStyle w:val="Refdenotaalpie"/>
        </w:rPr>
        <w:footnoteRef/>
      </w:r>
      <w:r>
        <w:t xml:space="preserve"> </w:t>
      </w:r>
      <w:r w:rsidRPr="008E6326">
        <w:t xml:space="preserve">Sentencia de tutela de primera instancia. </w:t>
      </w:r>
      <w:r>
        <w:t>Sala Penal del Tribunal Superior de Medellín. Proceso 05001220400020110102901.</w:t>
      </w:r>
    </w:p>
  </w:footnote>
  <w:footnote w:id="14">
    <w:p w:rsidR="005F7CB6" w:rsidRDefault="005F7CB6" w:rsidP="00D77D34">
      <w:pPr>
        <w:pStyle w:val="Textonotapie"/>
      </w:pPr>
      <w:r>
        <w:rPr>
          <w:rStyle w:val="Refdenotaalpie"/>
        </w:rPr>
        <w:footnoteRef/>
      </w:r>
      <w:r>
        <w:t xml:space="preserve"> Denominación dada por el accionante.</w:t>
      </w:r>
    </w:p>
  </w:footnote>
  <w:footnote w:id="15">
    <w:p w:rsidR="005F7CB6" w:rsidRPr="004D3B7B" w:rsidRDefault="005F7CB6">
      <w:pPr>
        <w:pStyle w:val="Textonotapie"/>
      </w:pPr>
      <w:r>
        <w:rPr>
          <w:rStyle w:val="Refdenotaalpie"/>
        </w:rPr>
        <w:footnoteRef/>
      </w:r>
      <w:r>
        <w:t xml:space="preserve"> </w:t>
      </w:r>
      <w:r w:rsidRPr="00A618E5">
        <w:rPr>
          <w:rFonts w:cstheme="minorHAnsi"/>
        </w:rPr>
        <w:t xml:space="preserve">En la ponencia para segundo debate al Proyecto de Ley Eléctrica número 127 de 1992 (Senado), se lee por ejemplo: </w:t>
      </w:r>
      <w:r w:rsidRPr="00A618E5">
        <w:rPr>
          <w:rFonts w:cstheme="minorHAnsi"/>
          <w:i/>
        </w:rPr>
        <w:t>“En desarrollo de lo previsto en el numeral 23 del artículo 150 de la Constitución Nacional y en el artículo Transitorio 48 de la misma carta, el proyecto inicial de la Ley Eléctrica estaba listo para ser sometido a consideración del Honorable Congreso de la República en abril de 1992, cuando sobrevino la crisis eléctrica que apagó al país y conmovió los cimientos de la economía nacional. Como era obvio, el proyecto debió ser reconsiderado a fondo para detectar las causas que nos condujeron a tan grave crisis y para implementar soluciones que permitieran al país tener la seguridad de que tan onerosa e injustificada coyuntura jamás volvería a repetirse.”</w:t>
      </w:r>
    </w:p>
  </w:footnote>
  <w:footnote w:id="16">
    <w:p w:rsidR="005F7CB6" w:rsidRPr="003335C1" w:rsidRDefault="005F7CB6" w:rsidP="00187529">
      <w:pPr>
        <w:pStyle w:val="Textonotapie"/>
        <w:jc w:val="both"/>
        <w:rPr>
          <w:lang w:val="en-US"/>
        </w:rPr>
      </w:pPr>
      <w:r>
        <w:rPr>
          <w:rStyle w:val="Refdenotaalpie"/>
        </w:rPr>
        <w:footnoteRef/>
      </w:r>
      <w:r>
        <w:t xml:space="preserve"> </w:t>
      </w:r>
      <w:r w:rsidRPr="00A618E5">
        <w:rPr>
          <w:rFonts w:cstheme="minorHAnsi"/>
          <w:bCs/>
          <w:iCs/>
        </w:rPr>
        <w:t xml:space="preserve">Por ejemplo, desde una perspectiva general sobre diferentes "fallas de mercado", ver: Stephen </w:t>
      </w:r>
      <w:proofErr w:type="spellStart"/>
      <w:r w:rsidRPr="00A618E5">
        <w:rPr>
          <w:rFonts w:cstheme="minorHAnsi"/>
          <w:bCs/>
          <w:iCs/>
        </w:rPr>
        <w:t>Breyer</w:t>
      </w:r>
      <w:proofErr w:type="spellEnd"/>
      <w:r w:rsidRPr="00A618E5">
        <w:rPr>
          <w:rFonts w:cstheme="minorHAnsi"/>
          <w:bCs/>
          <w:iCs/>
        </w:rPr>
        <w:t xml:space="preserve">. </w:t>
      </w:r>
      <w:proofErr w:type="gramStart"/>
      <w:r w:rsidRPr="00A618E5">
        <w:rPr>
          <w:rFonts w:cstheme="minorHAnsi"/>
          <w:bCs/>
          <w:iCs/>
          <w:lang w:val="en-US"/>
        </w:rPr>
        <w:t>Regulation and its Reform.</w:t>
      </w:r>
      <w:proofErr w:type="gramEnd"/>
      <w:r w:rsidRPr="00A618E5">
        <w:rPr>
          <w:rFonts w:cstheme="minorHAnsi"/>
          <w:bCs/>
          <w:iCs/>
          <w:lang w:val="en-US"/>
        </w:rPr>
        <w:t xml:space="preserve"> </w:t>
      </w:r>
      <w:proofErr w:type="gramStart"/>
      <w:r w:rsidRPr="00A618E5">
        <w:rPr>
          <w:rFonts w:cstheme="minorHAnsi"/>
          <w:bCs/>
          <w:iCs/>
          <w:lang w:val="en-US"/>
        </w:rPr>
        <w:t>Harvard University Press.</w:t>
      </w:r>
      <w:proofErr w:type="gramEnd"/>
      <w:r w:rsidRPr="00A618E5">
        <w:rPr>
          <w:rFonts w:cstheme="minorHAnsi"/>
          <w:bCs/>
          <w:iCs/>
          <w:lang w:val="en-US"/>
        </w:rPr>
        <w:t xml:space="preserve"> Cambridge, 1982; Richard J. Pierce, JR. and Ernest </w:t>
      </w:r>
      <w:proofErr w:type="spellStart"/>
      <w:r w:rsidRPr="00A618E5">
        <w:rPr>
          <w:rFonts w:cstheme="minorHAnsi"/>
          <w:bCs/>
          <w:iCs/>
          <w:lang w:val="en-US"/>
        </w:rPr>
        <w:t>Gellhorn</w:t>
      </w:r>
      <w:proofErr w:type="spellEnd"/>
      <w:r w:rsidRPr="00A618E5">
        <w:rPr>
          <w:rFonts w:cstheme="minorHAnsi"/>
          <w:bCs/>
          <w:iCs/>
          <w:lang w:val="en-US"/>
        </w:rPr>
        <w:t xml:space="preserve">, Regulated Industries. </w:t>
      </w:r>
      <w:proofErr w:type="gramStart"/>
      <w:r w:rsidRPr="00A618E5">
        <w:rPr>
          <w:rFonts w:cstheme="minorHAnsi"/>
          <w:bCs/>
          <w:iCs/>
          <w:lang w:val="en-US"/>
        </w:rPr>
        <w:t>West Publishing Co, 1994; y Jeffrey L. Harrison.</w:t>
      </w:r>
      <w:proofErr w:type="gramEnd"/>
      <w:r w:rsidRPr="00A618E5">
        <w:rPr>
          <w:rFonts w:cstheme="minorHAnsi"/>
          <w:bCs/>
          <w:iCs/>
          <w:lang w:val="en-US"/>
        </w:rPr>
        <w:t xml:space="preserve"> </w:t>
      </w:r>
      <w:proofErr w:type="gramStart"/>
      <w:r w:rsidRPr="00A618E5">
        <w:rPr>
          <w:rFonts w:cstheme="minorHAnsi"/>
          <w:bCs/>
          <w:iCs/>
          <w:lang w:val="en-US"/>
        </w:rPr>
        <w:t>Regulation and Deregulation.</w:t>
      </w:r>
      <w:proofErr w:type="gramEnd"/>
      <w:r w:rsidRPr="00A618E5">
        <w:rPr>
          <w:rFonts w:cstheme="minorHAnsi"/>
          <w:bCs/>
          <w:iCs/>
          <w:lang w:val="en-US"/>
        </w:rPr>
        <w:t xml:space="preserve"> </w:t>
      </w:r>
      <w:proofErr w:type="gramStart"/>
      <w:r w:rsidRPr="00A618E5">
        <w:rPr>
          <w:rFonts w:cstheme="minorHAnsi"/>
          <w:bCs/>
          <w:iCs/>
          <w:lang w:val="en-US"/>
        </w:rPr>
        <w:t>Cases and Materials.</w:t>
      </w:r>
      <w:proofErr w:type="gramEnd"/>
      <w:r w:rsidRPr="00A618E5">
        <w:rPr>
          <w:rFonts w:cstheme="minorHAnsi"/>
          <w:bCs/>
          <w:iCs/>
          <w:lang w:val="en-US"/>
        </w:rPr>
        <w:t xml:space="preserve"> </w:t>
      </w:r>
      <w:proofErr w:type="gramStart"/>
      <w:r w:rsidRPr="00A618E5">
        <w:rPr>
          <w:rFonts w:cstheme="minorHAnsi"/>
          <w:bCs/>
          <w:iCs/>
          <w:lang w:val="en-US"/>
        </w:rPr>
        <w:t xml:space="preserve">West Publishing Co. ST. Paul, </w:t>
      </w:r>
      <w:proofErr w:type="spellStart"/>
      <w:r w:rsidRPr="00A618E5">
        <w:rPr>
          <w:rFonts w:cstheme="minorHAnsi"/>
          <w:bCs/>
          <w:iCs/>
          <w:lang w:val="en-US"/>
        </w:rPr>
        <w:t>Minn</w:t>
      </w:r>
      <w:proofErr w:type="spellEnd"/>
      <w:r w:rsidRPr="00A618E5">
        <w:rPr>
          <w:rFonts w:cstheme="minorHAnsi"/>
          <w:bCs/>
          <w:iCs/>
          <w:lang w:val="en-US"/>
        </w:rPr>
        <w:t>, 1997.</w:t>
      </w:r>
      <w:proofErr w:type="gramEnd"/>
    </w:p>
  </w:footnote>
  <w:footnote w:id="17">
    <w:p w:rsidR="005F7CB6" w:rsidRDefault="005F7CB6" w:rsidP="00187529">
      <w:pPr>
        <w:pStyle w:val="Textonotapie"/>
        <w:jc w:val="both"/>
      </w:pPr>
      <w:r>
        <w:rPr>
          <w:rStyle w:val="Refdenotaalpie"/>
        </w:rPr>
        <w:footnoteRef/>
      </w:r>
      <w:r w:rsidRPr="005D417F">
        <w:rPr>
          <w:lang w:val="en-US"/>
        </w:rPr>
        <w:t xml:space="preserve"> Corte Constitucional de Colombia. </w:t>
      </w:r>
      <w:r>
        <w:t>Sentencia C-150 de 2003. M.P: Manuel José Cepeda Espinosa.</w:t>
      </w:r>
    </w:p>
  </w:footnote>
  <w:footnote w:id="18">
    <w:p w:rsidR="005F7CB6" w:rsidRPr="004D3B7B" w:rsidRDefault="005F7CB6">
      <w:pPr>
        <w:pStyle w:val="Textonotapie"/>
      </w:pPr>
      <w:r>
        <w:rPr>
          <w:rStyle w:val="Refdenotaalpie"/>
        </w:rPr>
        <w:footnoteRef/>
      </w:r>
      <w:r>
        <w:t xml:space="preserve"> </w:t>
      </w:r>
      <w:r w:rsidRPr="000825B7">
        <w:rPr>
          <w:rFonts w:cstheme="minorHAnsi"/>
          <w:bCs/>
          <w:iCs/>
        </w:rPr>
        <w:t>Resoluciones</w:t>
      </w:r>
      <w:r w:rsidRPr="002A006D">
        <w:rPr>
          <w:rFonts w:cstheme="minorHAnsi"/>
          <w:bCs/>
          <w:iCs/>
        </w:rPr>
        <w:t xml:space="preserve"> CREG 001 y 116 de 1996</w:t>
      </w:r>
      <w:r>
        <w:rPr>
          <w:rFonts w:cstheme="minorHAnsi"/>
          <w:bCs/>
          <w:iCs/>
        </w:rPr>
        <w:t>.</w:t>
      </w:r>
    </w:p>
  </w:footnote>
  <w:footnote w:id="19">
    <w:p w:rsidR="005F7CB6" w:rsidRPr="00A618E5" w:rsidRDefault="005F7CB6" w:rsidP="00187529">
      <w:pPr>
        <w:pStyle w:val="Textonotapie"/>
        <w:jc w:val="both"/>
        <w:rPr>
          <w:rFonts w:cstheme="minorHAnsi"/>
        </w:rPr>
      </w:pPr>
      <w:r w:rsidRPr="00A618E5">
        <w:rPr>
          <w:rStyle w:val="Refdenotaalpie"/>
          <w:rFonts w:cstheme="minorHAnsi"/>
        </w:rPr>
        <w:footnoteRef/>
      </w:r>
      <w:r w:rsidRPr="00A618E5">
        <w:rPr>
          <w:rFonts w:cstheme="minorHAnsi"/>
        </w:rPr>
        <w:t xml:space="preserve"> Es la máxima energía eléctrica que es capaz de entregar una planta de generación continuamente, en condiciones de baja hidrología, en un período de un año.</w:t>
      </w:r>
    </w:p>
  </w:footnote>
  <w:footnote w:id="20">
    <w:p w:rsidR="005F7CB6" w:rsidRPr="004D3B7B" w:rsidRDefault="005F7CB6">
      <w:pPr>
        <w:pStyle w:val="Textonotapie"/>
      </w:pPr>
      <w:r>
        <w:rPr>
          <w:rStyle w:val="Refdenotaalpie"/>
        </w:rPr>
        <w:footnoteRef/>
      </w:r>
      <w:r>
        <w:t xml:space="preserve"> </w:t>
      </w:r>
      <w:r w:rsidRPr="00A618E5">
        <w:rPr>
          <w:rFonts w:cstheme="minorHAnsi"/>
        </w:rPr>
        <w:t>Las normas sobre garantías para el cargo por confiabilidad se encuentran definidas en la Resolución CREG 061 de</w:t>
      </w:r>
      <w:r>
        <w:rPr>
          <w:rFonts w:cstheme="minorHAnsi"/>
        </w:rPr>
        <w:t xml:space="preserve">l </w:t>
      </w:r>
      <w:r w:rsidRPr="00A618E5">
        <w:rPr>
          <w:rFonts w:cstheme="minorHAnsi"/>
        </w:rPr>
        <w:t>2007</w:t>
      </w:r>
      <w:r>
        <w:rPr>
          <w:rFonts w:cstheme="minorHAnsi"/>
        </w:rPr>
        <w:t>, modificatoria de la Resolución CREG 071 de 2006</w:t>
      </w:r>
      <w:r w:rsidRPr="00A618E5">
        <w:rPr>
          <w:rFonts w:cstheme="minorHAnsi"/>
        </w:rPr>
        <w:t>.</w:t>
      </w:r>
    </w:p>
  </w:footnote>
  <w:footnote w:id="21">
    <w:p w:rsidR="005F7CB6" w:rsidRPr="004D3B7B" w:rsidRDefault="005F7CB6">
      <w:pPr>
        <w:pStyle w:val="Textonotapie"/>
      </w:pPr>
      <w:r>
        <w:rPr>
          <w:rStyle w:val="Refdenotaalpie"/>
        </w:rPr>
        <w:footnoteRef/>
      </w:r>
      <w:r>
        <w:t xml:space="preserve"> </w:t>
      </w:r>
      <w:r w:rsidRPr="00A618E5">
        <w:rPr>
          <w:rFonts w:cstheme="minorHAnsi"/>
        </w:rPr>
        <w:t>El artículo 13 del Reglamento de Garantías para el Cargo por Confiabilidad, adoptado mediante la Resolución CREG 061 de 2007, define qué se considera como incumplimiento grave e insalvable.</w:t>
      </w:r>
    </w:p>
  </w:footnote>
  <w:footnote w:id="22">
    <w:p w:rsidR="005F7CB6" w:rsidRPr="001F001F" w:rsidRDefault="005F7CB6">
      <w:pPr>
        <w:pStyle w:val="Textonotapie"/>
      </w:pPr>
      <w:r>
        <w:rPr>
          <w:rStyle w:val="Refdenotaalpie"/>
        </w:rPr>
        <w:footnoteRef/>
      </w:r>
      <w:r>
        <w:t xml:space="preserve"> </w:t>
      </w:r>
      <w:r w:rsidRPr="00A618E5">
        <w:rPr>
          <w:rFonts w:cstheme="minorHAnsi"/>
        </w:rPr>
        <w:t xml:space="preserve">Corte Constitucional </w:t>
      </w:r>
      <w:r>
        <w:rPr>
          <w:rFonts w:cstheme="minorHAnsi"/>
        </w:rPr>
        <w:t xml:space="preserve"> de Colombia. Sentencia </w:t>
      </w:r>
      <w:r w:rsidRPr="00A618E5">
        <w:rPr>
          <w:rFonts w:cstheme="minorHAnsi"/>
        </w:rPr>
        <w:t>C-595 de 2010</w:t>
      </w:r>
      <w:r>
        <w:rPr>
          <w:rFonts w:cstheme="minorHAnsi"/>
        </w:rPr>
        <w:t xml:space="preserve">. M.P: Jorge Iván Palacio </w:t>
      </w:r>
      <w:proofErr w:type="spellStart"/>
      <w:r>
        <w:rPr>
          <w:rFonts w:cstheme="minorHAnsi"/>
        </w:rPr>
        <w:t>Palacio</w:t>
      </w:r>
      <w:proofErr w:type="spellEnd"/>
      <w:r>
        <w:rPr>
          <w:rFonts w:cstheme="minorHAnsi"/>
        </w:rPr>
        <w:t>.</w:t>
      </w:r>
    </w:p>
  </w:footnote>
  <w:footnote w:id="23">
    <w:p w:rsidR="005F7CB6" w:rsidRDefault="005F7CB6" w:rsidP="00B9325A">
      <w:pPr>
        <w:pStyle w:val="Textonotapie"/>
      </w:pPr>
      <w:r>
        <w:rPr>
          <w:rStyle w:val="Refdenotaalpie"/>
        </w:rPr>
        <w:footnoteRef/>
      </w:r>
      <w:r>
        <w:t xml:space="preserve"> Denominación dada por el accionante.</w:t>
      </w:r>
    </w:p>
  </w:footnote>
  <w:footnote w:id="24">
    <w:p w:rsidR="005F7CB6" w:rsidRDefault="005F7CB6">
      <w:pPr>
        <w:pStyle w:val="Textonotapie"/>
      </w:pPr>
      <w:r>
        <w:rPr>
          <w:rStyle w:val="Refdenotaalpie"/>
        </w:rPr>
        <w:footnoteRef/>
      </w:r>
      <w:r>
        <w:t xml:space="preserve"> Esta comunicación puede ser consultada en la página 23 de la presente Resolución.</w:t>
      </w:r>
    </w:p>
  </w:footnote>
  <w:footnote w:id="25">
    <w:p w:rsidR="005F7CB6" w:rsidRDefault="005F7CB6" w:rsidP="0088146F">
      <w:pPr>
        <w:pStyle w:val="Textonotapie"/>
      </w:pPr>
      <w:r>
        <w:rPr>
          <w:rStyle w:val="Refdenotaalpie"/>
        </w:rPr>
        <w:footnoteRef/>
      </w:r>
      <w:r>
        <w:t xml:space="preserve"> Petición de EPM con el Radicado CREG E-2010-012362 del 30 de diciembre del 2011, complementada con la E-2011-000206 del 8 de enero del 2011, E-2011-001370 del 11 de febrero del 2011, E-2011-006348 del 1 de julio del 2011. </w:t>
      </w:r>
    </w:p>
  </w:footnote>
  <w:footnote w:id="26">
    <w:p w:rsidR="005F7CB6" w:rsidRDefault="005F7CB6">
      <w:pPr>
        <w:pStyle w:val="Textonotapie"/>
      </w:pPr>
      <w:r>
        <w:rPr>
          <w:rStyle w:val="Refdenotaalpie"/>
        </w:rPr>
        <w:footnoteRef/>
      </w:r>
      <w:r>
        <w:t xml:space="preserve"> Hans Kelsen. Teoría General de las Normas. Ed Trillas. Pág. 150. México D.F 1994.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CB6" w:rsidRDefault="005F7CB6" w:rsidP="009727E9">
    <w:pPr>
      <w:pStyle w:val="Ttulo1"/>
      <w:ind w:right="6"/>
      <w:jc w:val="left"/>
      <w:rPr>
        <w:rFonts w:ascii="Bookman Old Style" w:hAnsi="Bookman Old Style" w:cs="Arial"/>
        <w:b w:val="0"/>
        <w:sz w:val="22"/>
        <w:szCs w:val="22"/>
      </w:rPr>
    </w:pPr>
  </w:p>
  <w:p w:rsidR="005F7CB6" w:rsidRPr="00951F79" w:rsidRDefault="005F7CB6" w:rsidP="009727E9">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04040D">
      <w:rPr>
        <w:rFonts w:ascii="Bookman Old Style" w:hAnsi="Bookman Old Style" w:cs="Arial"/>
        <w:b w:val="0"/>
        <w:noProof/>
        <w:sz w:val="22"/>
        <w:szCs w:val="22"/>
      </w:rPr>
      <w:t>45</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04040D">
      <w:fldChar w:fldCharType="begin"/>
    </w:r>
    <w:r w:rsidR="0004040D">
      <w:instrText xml:space="preserve"> NUMPAGES  \* MERGEFORMAT </w:instrText>
    </w:r>
    <w:r w:rsidR="0004040D">
      <w:fldChar w:fldCharType="separate"/>
    </w:r>
    <w:r w:rsidR="0004040D" w:rsidRPr="0004040D">
      <w:rPr>
        <w:rFonts w:ascii="Bookman Old Style" w:hAnsi="Bookman Old Style" w:cs="Arial"/>
        <w:b w:val="0"/>
        <w:noProof/>
        <w:sz w:val="22"/>
        <w:szCs w:val="22"/>
      </w:rPr>
      <w:t>45</w:t>
    </w:r>
    <w:r w:rsidR="0004040D">
      <w:rPr>
        <w:rFonts w:ascii="Bookman Old Style" w:hAnsi="Bookman Old Style" w:cs="Arial"/>
        <w:b w:val="0"/>
        <w:noProof/>
        <w:sz w:val="22"/>
        <w:szCs w:val="22"/>
      </w:rPr>
      <w:fldChar w:fldCharType="end"/>
    </w:r>
  </w:p>
  <w:p w:rsidR="005F7CB6" w:rsidRDefault="005F7CB6" w:rsidP="009727E9">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9264" behindDoc="0" locked="0" layoutInCell="1" allowOverlap="1" wp14:anchorId="742C994B" wp14:editId="6E01C569">
              <wp:simplePos x="0" y="0"/>
              <wp:positionH relativeFrom="column">
                <wp:posOffset>-175260</wp:posOffset>
              </wp:positionH>
              <wp:positionV relativeFrom="paragraph">
                <wp:posOffset>139065</wp:posOffset>
              </wp:positionV>
              <wp:extent cx="6267450" cy="9900920"/>
              <wp:effectExtent l="0" t="0" r="19050" b="2413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5F7CB6" w:rsidRPr="00DE0BD1" w:rsidRDefault="005F7CB6" w:rsidP="009727E9">
    <w:pPr>
      <w:ind w:left="0"/>
      <w:jc w:val="both"/>
      <w:rPr>
        <w:rFonts w:ascii="Bookman Old Style" w:hAnsi="Bookman Old Style" w:cs="Arial"/>
        <w:sz w:val="22"/>
        <w:szCs w:val="22"/>
        <w:lang w:eastAsia="es-CO"/>
      </w:rPr>
    </w:pPr>
    <w:r w:rsidRPr="00DE0BD1">
      <w:rPr>
        <w:rFonts w:ascii="Bookman Old Style" w:hAnsi="Bookman Old Style" w:cs="Arial"/>
        <w:sz w:val="22"/>
        <w:szCs w:val="22"/>
        <w:lang w:eastAsia="es-CO"/>
      </w:rPr>
      <w:t>Por la cual se de</w:t>
    </w:r>
    <w:r>
      <w:rPr>
        <w:rFonts w:ascii="Bookman Old Style" w:hAnsi="Bookman Old Style" w:cs="Arial"/>
        <w:sz w:val="22"/>
        <w:szCs w:val="22"/>
        <w:lang w:eastAsia="es-CO"/>
      </w:rPr>
      <w:t>cide el recurso de reposición interpuesto por Empresas Públicas de Medellín E.S.P, en contra de la Resolución CREG 104 de 2011.</w:t>
    </w:r>
  </w:p>
  <w:p w:rsidR="005F7CB6" w:rsidRPr="00CB5DD0" w:rsidRDefault="005F7CB6" w:rsidP="009727E9">
    <w:pPr>
      <w:pBdr>
        <w:bottom w:val="single" w:sz="4" w:space="1" w:color="auto"/>
      </w:pBdr>
      <w:ind w:left="142" w:right="148"/>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CB6" w:rsidRDefault="005F7CB6" w:rsidP="009727E9">
    <w:pPr>
      <w:pStyle w:val="Encabezado"/>
      <w:jc w:val="both"/>
      <w:rPr>
        <w:rFonts w:ascii="Arial" w:hAnsi="Arial" w:cs="Arial"/>
        <w:spacing w:val="20"/>
        <w:sz w:val="20"/>
      </w:rPr>
    </w:pPr>
    <w:r>
      <w:rPr>
        <w:rFonts w:ascii="Arial" w:hAnsi="Arial" w:cs="Arial"/>
        <w:spacing w:val="20"/>
        <w:sz w:val="20"/>
      </w:rPr>
      <w:t xml:space="preserve">                                   República de Colombia</w:t>
    </w:r>
  </w:p>
  <w:p w:rsidR="005F7CB6" w:rsidRDefault="005F7CB6">
    <w:pPr>
      <w:pStyle w:val="Encabezado"/>
      <w:jc w:val="center"/>
      <w:rPr>
        <w:rFonts w:ascii="Arial" w:hAnsi="Arial" w:cs="Arial"/>
        <w:spacing w:val="20"/>
        <w:sz w:val="20"/>
      </w:rPr>
    </w:pPr>
  </w:p>
  <w:p w:rsidR="005F7CB6" w:rsidRDefault="005F7CB6" w:rsidP="009727E9">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60288" behindDoc="0" locked="0" layoutInCell="1" allowOverlap="1">
              <wp:simplePos x="0" y="0"/>
              <wp:positionH relativeFrom="column">
                <wp:posOffset>-213360</wp:posOffset>
              </wp:positionH>
              <wp:positionV relativeFrom="paragraph">
                <wp:posOffset>377190</wp:posOffset>
              </wp:positionV>
              <wp:extent cx="6343650" cy="9839325"/>
              <wp:effectExtent l="0" t="0" r="1905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612C7"/>
    <w:multiLevelType w:val="hybridMultilevel"/>
    <w:tmpl w:val="26F611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2244680"/>
    <w:multiLevelType w:val="multilevel"/>
    <w:tmpl w:val="45C279FA"/>
    <w:lvl w:ilvl="0">
      <w:start w:val="1"/>
      <w:numFmt w:val="decimal"/>
      <w:lvlText w:val="%1."/>
      <w:lvlJc w:val="left"/>
      <w:pPr>
        <w:ind w:left="1068" w:hanging="360"/>
      </w:pPr>
      <w:rPr>
        <w:rFonts w:hint="default"/>
      </w:rPr>
    </w:lvl>
    <w:lvl w:ilvl="1">
      <w:start w:val="2"/>
      <w:numFmt w:val="decimal"/>
      <w:isLgl/>
      <w:lvlText w:val="%1.%2"/>
      <w:lvlJc w:val="left"/>
      <w:pPr>
        <w:ind w:left="1428" w:hanging="72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
    <w:nsid w:val="05F8281F"/>
    <w:multiLevelType w:val="hybridMultilevel"/>
    <w:tmpl w:val="C67C32EE"/>
    <w:lvl w:ilvl="0" w:tplc="240A000F">
      <w:start w:val="1"/>
      <w:numFmt w:val="decimal"/>
      <w:lvlText w:val="%1."/>
      <w:lvlJc w:val="left"/>
      <w:pPr>
        <w:ind w:left="1429" w:hanging="360"/>
      </w:pPr>
    </w:lvl>
    <w:lvl w:ilvl="1" w:tplc="240A0019" w:tentative="1">
      <w:start w:val="1"/>
      <w:numFmt w:val="lowerLetter"/>
      <w:lvlText w:val="%2."/>
      <w:lvlJc w:val="left"/>
      <w:pPr>
        <w:ind w:left="2149" w:hanging="360"/>
      </w:pPr>
    </w:lvl>
    <w:lvl w:ilvl="2" w:tplc="240A001B" w:tentative="1">
      <w:start w:val="1"/>
      <w:numFmt w:val="lowerRoman"/>
      <w:lvlText w:val="%3."/>
      <w:lvlJc w:val="right"/>
      <w:pPr>
        <w:ind w:left="2869" w:hanging="180"/>
      </w:pPr>
    </w:lvl>
    <w:lvl w:ilvl="3" w:tplc="240A000F" w:tentative="1">
      <w:start w:val="1"/>
      <w:numFmt w:val="decimal"/>
      <w:lvlText w:val="%4."/>
      <w:lvlJc w:val="left"/>
      <w:pPr>
        <w:ind w:left="3589" w:hanging="360"/>
      </w:pPr>
    </w:lvl>
    <w:lvl w:ilvl="4" w:tplc="240A0019" w:tentative="1">
      <w:start w:val="1"/>
      <w:numFmt w:val="lowerLetter"/>
      <w:lvlText w:val="%5."/>
      <w:lvlJc w:val="left"/>
      <w:pPr>
        <w:ind w:left="4309" w:hanging="360"/>
      </w:pPr>
    </w:lvl>
    <w:lvl w:ilvl="5" w:tplc="240A001B" w:tentative="1">
      <w:start w:val="1"/>
      <w:numFmt w:val="lowerRoman"/>
      <w:lvlText w:val="%6."/>
      <w:lvlJc w:val="right"/>
      <w:pPr>
        <w:ind w:left="5029" w:hanging="180"/>
      </w:pPr>
    </w:lvl>
    <w:lvl w:ilvl="6" w:tplc="240A000F" w:tentative="1">
      <w:start w:val="1"/>
      <w:numFmt w:val="decimal"/>
      <w:lvlText w:val="%7."/>
      <w:lvlJc w:val="left"/>
      <w:pPr>
        <w:ind w:left="5749" w:hanging="360"/>
      </w:pPr>
    </w:lvl>
    <w:lvl w:ilvl="7" w:tplc="240A0019" w:tentative="1">
      <w:start w:val="1"/>
      <w:numFmt w:val="lowerLetter"/>
      <w:lvlText w:val="%8."/>
      <w:lvlJc w:val="left"/>
      <w:pPr>
        <w:ind w:left="6469" w:hanging="360"/>
      </w:pPr>
    </w:lvl>
    <w:lvl w:ilvl="8" w:tplc="240A001B" w:tentative="1">
      <w:start w:val="1"/>
      <w:numFmt w:val="lowerRoman"/>
      <w:lvlText w:val="%9."/>
      <w:lvlJc w:val="right"/>
      <w:pPr>
        <w:ind w:left="7189" w:hanging="180"/>
      </w:pPr>
    </w:lvl>
  </w:abstractNum>
  <w:abstractNum w:abstractNumId="3">
    <w:nsid w:val="0DC27D99"/>
    <w:multiLevelType w:val="hybridMultilevel"/>
    <w:tmpl w:val="5C0E018E"/>
    <w:lvl w:ilvl="0" w:tplc="4CBE7112">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nsid w:val="0DD8419B"/>
    <w:multiLevelType w:val="multilevel"/>
    <w:tmpl w:val="F42CDCEA"/>
    <w:lvl w:ilvl="0">
      <w:start w:val="1"/>
      <w:numFmt w:val="decimal"/>
      <w:lvlText w:val="Artículo %1."/>
      <w:lvlJc w:val="right"/>
      <w:pPr>
        <w:tabs>
          <w:tab w:val="num" w:pos="1240"/>
        </w:tabs>
        <w:ind w:left="-481" w:firstLine="1474"/>
      </w:pPr>
      <w:rPr>
        <w:rFonts w:ascii="Bookman Old Style" w:hAnsi="Bookman Old Style" w:cs="Arial" w:hint="default"/>
        <w:b/>
        <w:i w:val="0"/>
        <w:color w:val="auto"/>
        <w:sz w:val="24"/>
        <w:szCs w:val="24"/>
      </w:rPr>
    </w:lvl>
    <w:lvl w:ilvl="1">
      <w:start w:val="1"/>
      <w:numFmt w:val="decimal"/>
      <w:lvlText w:val="%1.%2"/>
      <w:lvlJc w:val="left"/>
      <w:pPr>
        <w:tabs>
          <w:tab w:val="num" w:pos="1713"/>
        </w:tabs>
        <w:ind w:left="993" w:firstLine="0"/>
      </w:pPr>
      <w:rPr>
        <w:rFonts w:hint="default"/>
      </w:rPr>
    </w:lvl>
    <w:lvl w:ilvl="2">
      <w:start w:val="1"/>
      <w:numFmt w:val="decimal"/>
      <w:lvlText w:val="%3."/>
      <w:lvlJc w:val="left"/>
      <w:pPr>
        <w:tabs>
          <w:tab w:val="num" w:pos="1713"/>
        </w:tabs>
        <w:ind w:left="993" w:firstLine="0"/>
      </w:pPr>
      <w:rPr>
        <w:rFonts w:hint="default"/>
      </w:rPr>
    </w:lvl>
    <w:lvl w:ilvl="3">
      <w:start w:val="1"/>
      <w:numFmt w:val="decimal"/>
      <w:lvlText w:val="%1.%2.%3.%4"/>
      <w:lvlJc w:val="right"/>
      <w:pPr>
        <w:tabs>
          <w:tab w:val="num" w:pos="1353"/>
        </w:tabs>
        <w:ind w:left="993" w:firstLine="0"/>
      </w:pPr>
      <w:rPr>
        <w:rFonts w:hint="default"/>
      </w:rPr>
    </w:lvl>
    <w:lvl w:ilvl="4">
      <w:start w:val="1"/>
      <w:numFmt w:val="lowerLetter"/>
      <w:lvlText w:val="%5)"/>
      <w:lvlJc w:val="left"/>
      <w:pPr>
        <w:tabs>
          <w:tab w:val="num" w:pos="1353"/>
        </w:tabs>
        <w:ind w:left="993" w:firstLine="0"/>
      </w:pPr>
      <w:rPr>
        <w:rFonts w:hint="default"/>
        <w:b/>
      </w:rPr>
    </w:lvl>
    <w:lvl w:ilvl="5">
      <w:start w:val="1"/>
      <w:numFmt w:val="lowerRoman"/>
      <w:lvlText w:val="%6)"/>
      <w:lvlJc w:val="left"/>
      <w:pPr>
        <w:tabs>
          <w:tab w:val="num" w:pos="1713"/>
        </w:tabs>
        <w:ind w:left="993" w:firstLine="0"/>
      </w:pPr>
      <w:rPr>
        <w:rFonts w:hint="default"/>
      </w:rPr>
    </w:lvl>
    <w:lvl w:ilvl="6">
      <w:start w:val="1"/>
      <w:numFmt w:val="lowerRoman"/>
      <w:lvlText w:val="%7)"/>
      <w:lvlJc w:val="right"/>
      <w:pPr>
        <w:tabs>
          <w:tab w:val="num" w:pos="1353"/>
        </w:tabs>
        <w:ind w:left="993" w:firstLine="0"/>
      </w:pPr>
      <w:rPr>
        <w:rFonts w:hint="default"/>
      </w:rPr>
    </w:lvl>
    <w:lvl w:ilvl="7">
      <w:start w:val="1"/>
      <w:numFmt w:val="lowerLetter"/>
      <w:lvlText w:val="%7.%8."/>
      <w:lvlJc w:val="left"/>
      <w:pPr>
        <w:tabs>
          <w:tab w:val="num" w:pos="1713"/>
        </w:tabs>
        <w:ind w:left="993" w:firstLine="0"/>
      </w:pPr>
      <w:rPr>
        <w:rFonts w:hint="default"/>
      </w:rPr>
    </w:lvl>
    <w:lvl w:ilvl="8">
      <w:start w:val="1"/>
      <w:numFmt w:val="lowerRoman"/>
      <w:lvlText w:val="%9."/>
      <w:lvlJc w:val="right"/>
      <w:pPr>
        <w:tabs>
          <w:tab w:val="num" w:pos="1353"/>
        </w:tabs>
        <w:ind w:left="993" w:firstLine="0"/>
      </w:pPr>
      <w:rPr>
        <w:rFonts w:hint="default"/>
      </w:rPr>
    </w:lvl>
  </w:abstractNum>
  <w:abstractNum w:abstractNumId="5">
    <w:nsid w:val="166303EB"/>
    <w:multiLevelType w:val="hybridMultilevel"/>
    <w:tmpl w:val="1D6AE330"/>
    <w:lvl w:ilvl="0" w:tplc="A888F1D8">
      <w:start w:val="1"/>
      <w:numFmt w:val="decimal"/>
      <w:lvlText w:val="%1."/>
      <w:lvlJc w:val="lef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6">
    <w:nsid w:val="166D16C1"/>
    <w:multiLevelType w:val="multilevel"/>
    <w:tmpl w:val="7F2E8CEE"/>
    <w:lvl w:ilvl="0">
      <w:start w:val="1"/>
      <w:numFmt w:val="decimal"/>
      <w:lvlText w:val="%1."/>
      <w:lvlJc w:val="left"/>
      <w:pPr>
        <w:ind w:left="360" w:hanging="360"/>
      </w:pPr>
      <w:rPr>
        <w:rFonts w:hint="default"/>
        <w:b/>
      </w:rPr>
    </w:lvl>
    <w:lvl w:ilvl="1">
      <w:start w:val="1"/>
      <w:numFmt w:val="bullet"/>
      <w:lvlText w:val=""/>
      <w:lvlJc w:val="left"/>
      <w:pPr>
        <w:ind w:left="360" w:hanging="360"/>
      </w:pPr>
      <w:rPr>
        <w:rFonts w:ascii="Symbol" w:hAnsi="Symbol"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7">
    <w:nsid w:val="18732773"/>
    <w:multiLevelType w:val="hybridMultilevel"/>
    <w:tmpl w:val="4D9E0C7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9226606"/>
    <w:multiLevelType w:val="multilevel"/>
    <w:tmpl w:val="45C279FA"/>
    <w:lvl w:ilvl="0">
      <w:start w:val="1"/>
      <w:numFmt w:val="decimal"/>
      <w:lvlText w:val="%1."/>
      <w:lvlJc w:val="left"/>
      <w:pPr>
        <w:ind w:left="1592" w:hanging="360"/>
      </w:pPr>
      <w:rPr>
        <w:rFonts w:hint="default"/>
      </w:rPr>
    </w:lvl>
    <w:lvl w:ilvl="1">
      <w:start w:val="2"/>
      <w:numFmt w:val="decimal"/>
      <w:isLgl/>
      <w:lvlText w:val="%1.%2"/>
      <w:lvlJc w:val="left"/>
      <w:pPr>
        <w:ind w:left="1952" w:hanging="720"/>
      </w:pPr>
      <w:rPr>
        <w:rFonts w:hint="default"/>
      </w:rPr>
    </w:lvl>
    <w:lvl w:ilvl="2">
      <w:start w:val="2"/>
      <w:numFmt w:val="decimal"/>
      <w:isLgl/>
      <w:lvlText w:val="%1.%2.%3"/>
      <w:lvlJc w:val="left"/>
      <w:pPr>
        <w:ind w:left="1952" w:hanging="720"/>
      </w:pPr>
      <w:rPr>
        <w:rFonts w:hint="default"/>
      </w:rPr>
    </w:lvl>
    <w:lvl w:ilvl="3">
      <w:start w:val="1"/>
      <w:numFmt w:val="decimal"/>
      <w:isLgl/>
      <w:lvlText w:val="%1.%2.%3.%4"/>
      <w:lvlJc w:val="left"/>
      <w:pPr>
        <w:ind w:left="2312" w:hanging="1080"/>
      </w:pPr>
      <w:rPr>
        <w:rFonts w:hint="default"/>
      </w:rPr>
    </w:lvl>
    <w:lvl w:ilvl="4">
      <w:start w:val="1"/>
      <w:numFmt w:val="decimal"/>
      <w:isLgl/>
      <w:lvlText w:val="%1.%2.%3.%4.%5"/>
      <w:lvlJc w:val="left"/>
      <w:pPr>
        <w:ind w:left="2312" w:hanging="1080"/>
      </w:pPr>
      <w:rPr>
        <w:rFonts w:hint="default"/>
      </w:rPr>
    </w:lvl>
    <w:lvl w:ilvl="5">
      <w:start w:val="1"/>
      <w:numFmt w:val="decimal"/>
      <w:isLgl/>
      <w:lvlText w:val="%1.%2.%3.%4.%5.%6"/>
      <w:lvlJc w:val="left"/>
      <w:pPr>
        <w:ind w:left="2672" w:hanging="1440"/>
      </w:pPr>
      <w:rPr>
        <w:rFonts w:hint="default"/>
      </w:rPr>
    </w:lvl>
    <w:lvl w:ilvl="6">
      <w:start w:val="1"/>
      <w:numFmt w:val="decimal"/>
      <w:isLgl/>
      <w:lvlText w:val="%1.%2.%3.%4.%5.%6.%7"/>
      <w:lvlJc w:val="left"/>
      <w:pPr>
        <w:ind w:left="3032" w:hanging="1800"/>
      </w:pPr>
      <w:rPr>
        <w:rFonts w:hint="default"/>
      </w:rPr>
    </w:lvl>
    <w:lvl w:ilvl="7">
      <w:start w:val="1"/>
      <w:numFmt w:val="decimal"/>
      <w:isLgl/>
      <w:lvlText w:val="%1.%2.%3.%4.%5.%6.%7.%8"/>
      <w:lvlJc w:val="left"/>
      <w:pPr>
        <w:ind w:left="3032" w:hanging="1800"/>
      </w:pPr>
      <w:rPr>
        <w:rFonts w:hint="default"/>
      </w:rPr>
    </w:lvl>
    <w:lvl w:ilvl="8">
      <w:start w:val="1"/>
      <w:numFmt w:val="decimal"/>
      <w:isLgl/>
      <w:lvlText w:val="%1.%2.%3.%4.%5.%6.%7.%8.%9"/>
      <w:lvlJc w:val="left"/>
      <w:pPr>
        <w:ind w:left="3392" w:hanging="2160"/>
      </w:pPr>
      <w:rPr>
        <w:rFonts w:hint="default"/>
      </w:rPr>
    </w:lvl>
  </w:abstractNum>
  <w:abstractNum w:abstractNumId="9">
    <w:nsid w:val="1AC352F0"/>
    <w:multiLevelType w:val="multilevel"/>
    <w:tmpl w:val="7F2E8CEE"/>
    <w:lvl w:ilvl="0">
      <w:start w:val="1"/>
      <w:numFmt w:val="decimal"/>
      <w:lvlText w:val="%1."/>
      <w:lvlJc w:val="left"/>
      <w:pPr>
        <w:ind w:left="360" w:hanging="360"/>
      </w:pPr>
      <w:rPr>
        <w:rFonts w:hint="default"/>
        <w:b/>
      </w:rPr>
    </w:lvl>
    <w:lvl w:ilvl="1">
      <w:start w:val="1"/>
      <w:numFmt w:val="bullet"/>
      <w:lvlText w:val=""/>
      <w:lvlJc w:val="left"/>
      <w:pPr>
        <w:ind w:left="360" w:hanging="360"/>
      </w:pPr>
      <w:rPr>
        <w:rFonts w:ascii="Symbol" w:hAnsi="Symbol"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0">
    <w:nsid w:val="1EDF099B"/>
    <w:multiLevelType w:val="multilevel"/>
    <w:tmpl w:val="45C279FA"/>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1">
    <w:nsid w:val="20F335E5"/>
    <w:multiLevelType w:val="hybridMultilevel"/>
    <w:tmpl w:val="7BFA8536"/>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2">
    <w:nsid w:val="21975DB4"/>
    <w:multiLevelType w:val="hybridMultilevel"/>
    <w:tmpl w:val="3B2A4BF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nsid w:val="29FC5783"/>
    <w:multiLevelType w:val="hybridMultilevel"/>
    <w:tmpl w:val="8B1C2644"/>
    <w:lvl w:ilvl="0" w:tplc="C4CC4D3C">
      <w:start w:val="1"/>
      <w:numFmt w:val="lowerRoman"/>
      <w:lvlText w:val="%1)"/>
      <w:lvlJc w:val="left"/>
      <w:pPr>
        <w:ind w:left="1004" w:hanging="72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4">
    <w:nsid w:val="2F516A63"/>
    <w:multiLevelType w:val="hybridMultilevel"/>
    <w:tmpl w:val="C366BB6C"/>
    <w:lvl w:ilvl="0" w:tplc="AAC4B192">
      <w:start w:val="1"/>
      <w:numFmt w:val="decimal"/>
      <w:lvlText w:val="%1."/>
      <w:lvlJc w:val="left"/>
      <w:pPr>
        <w:ind w:left="1952" w:hanging="360"/>
      </w:pPr>
      <w:rPr>
        <w:rFonts w:hint="default"/>
      </w:rPr>
    </w:lvl>
    <w:lvl w:ilvl="1" w:tplc="240A0019" w:tentative="1">
      <w:start w:val="1"/>
      <w:numFmt w:val="lowerLetter"/>
      <w:lvlText w:val="%2."/>
      <w:lvlJc w:val="left"/>
      <w:pPr>
        <w:ind w:left="2672" w:hanging="360"/>
      </w:pPr>
    </w:lvl>
    <w:lvl w:ilvl="2" w:tplc="240A001B" w:tentative="1">
      <w:start w:val="1"/>
      <w:numFmt w:val="lowerRoman"/>
      <w:lvlText w:val="%3."/>
      <w:lvlJc w:val="right"/>
      <w:pPr>
        <w:ind w:left="3392" w:hanging="180"/>
      </w:pPr>
    </w:lvl>
    <w:lvl w:ilvl="3" w:tplc="240A000F" w:tentative="1">
      <w:start w:val="1"/>
      <w:numFmt w:val="decimal"/>
      <w:lvlText w:val="%4."/>
      <w:lvlJc w:val="left"/>
      <w:pPr>
        <w:ind w:left="4112" w:hanging="360"/>
      </w:pPr>
    </w:lvl>
    <w:lvl w:ilvl="4" w:tplc="240A0019" w:tentative="1">
      <w:start w:val="1"/>
      <w:numFmt w:val="lowerLetter"/>
      <w:lvlText w:val="%5."/>
      <w:lvlJc w:val="left"/>
      <w:pPr>
        <w:ind w:left="4832" w:hanging="360"/>
      </w:pPr>
    </w:lvl>
    <w:lvl w:ilvl="5" w:tplc="240A001B" w:tentative="1">
      <w:start w:val="1"/>
      <w:numFmt w:val="lowerRoman"/>
      <w:lvlText w:val="%6."/>
      <w:lvlJc w:val="right"/>
      <w:pPr>
        <w:ind w:left="5552" w:hanging="180"/>
      </w:pPr>
    </w:lvl>
    <w:lvl w:ilvl="6" w:tplc="240A000F" w:tentative="1">
      <w:start w:val="1"/>
      <w:numFmt w:val="decimal"/>
      <w:lvlText w:val="%7."/>
      <w:lvlJc w:val="left"/>
      <w:pPr>
        <w:ind w:left="6272" w:hanging="360"/>
      </w:pPr>
    </w:lvl>
    <w:lvl w:ilvl="7" w:tplc="240A0019" w:tentative="1">
      <w:start w:val="1"/>
      <w:numFmt w:val="lowerLetter"/>
      <w:lvlText w:val="%8."/>
      <w:lvlJc w:val="left"/>
      <w:pPr>
        <w:ind w:left="6992" w:hanging="360"/>
      </w:pPr>
    </w:lvl>
    <w:lvl w:ilvl="8" w:tplc="240A001B" w:tentative="1">
      <w:start w:val="1"/>
      <w:numFmt w:val="lowerRoman"/>
      <w:lvlText w:val="%9."/>
      <w:lvlJc w:val="right"/>
      <w:pPr>
        <w:ind w:left="7712" w:hanging="180"/>
      </w:pPr>
    </w:lvl>
  </w:abstractNum>
  <w:abstractNum w:abstractNumId="15">
    <w:nsid w:val="30642EA8"/>
    <w:multiLevelType w:val="hybridMultilevel"/>
    <w:tmpl w:val="F628F544"/>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6">
    <w:nsid w:val="324F3F1D"/>
    <w:multiLevelType w:val="hybridMultilevel"/>
    <w:tmpl w:val="D862D6E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328D7B59"/>
    <w:multiLevelType w:val="hybridMultilevel"/>
    <w:tmpl w:val="4CB2C0D0"/>
    <w:lvl w:ilvl="0" w:tplc="9F1C6C98">
      <w:start w:val="1"/>
      <w:numFmt w:val="decimal"/>
      <w:lvlText w:val="%1."/>
      <w:lvlJc w:val="left"/>
      <w:pPr>
        <w:ind w:left="360" w:hanging="360"/>
      </w:pPr>
      <w:rPr>
        <w:rFonts w:ascii="Bookman Old Style" w:hAnsi="Bookman Old Style" w:hint="default"/>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nsid w:val="35CE553A"/>
    <w:multiLevelType w:val="hybridMultilevel"/>
    <w:tmpl w:val="F628F544"/>
    <w:lvl w:ilvl="0" w:tplc="0C0A0017">
      <w:start w:val="1"/>
      <w:numFmt w:val="lowerLetter"/>
      <w:lvlText w:val="%1)"/>
      <w:lvlJc w:val="left"/>
      <w:pPr>
        <w:ind w:left="1211" w:hanging="360"/>
      </w:p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9">
    <w:nsid w:val="377417A2"/>
    <w:multiLevelType w:val="hybridMultilevel"/>
    <w:tmpl w:val="8C8073C4"/>
    <w:lvl w:ilvl="0" w:tplc="2E62EF28">
      <w:start w:val="1"/>
      <w:numFmt w:val="decimal"/>
      <w:lvlText w:val="(%1)"/>
      <w:lvlJc w:val="left"/>
      <w:pPr>
        <w:ind w:left="795" w:hanging="43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379F1F4B"/>
    <w:multiLevelType w:val="multilevel"/>
    <w:tmpl w:val="7F2E8CEE"/>
    <w:lvl w:ilvl="0">
      <w:start w:val="1"/>
      <w:numFmt w:val="decimal"/>
      <w:lvlText w:val="%1."/>
      <w:lvlJc w:val="left"/>
      <w:pPr>
        <w:ind w:left="360" w:hanging="360"/>
      </w:pPr>
      <w:rPr>
        <w:rFonts w:hint="default"/>
        <w:b/>
      </w:rPr>
    </w:lvl>
    <w:lvl w:ilvl="1">
      <w:start w:val="1"/>
      <w:numFmt w:val="bullet"/>
      <w:lvlText w:val=""/>
      <w:lvlJc w:val="left"/>
      <w:pPr>
        <w:ind w:left="360" w:hanging="360"/>
      </w:pPr>
      <w:rPr>
        <w:rFonts w:ascii="Symbol" w:hAnsi="Symbol"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21">
    <w:nsid w:val="3A650045"/>
    <w:multiLevelType w:val="hybridMultilevel"/>
    <w:tmpl w:val="C62C1CEA"/>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22">
    <w:nsid w:val="3AAC0FD1"/>
    <w:multiLevelType w:val="multilevel"/>
    <w:tmpl w:val="B3AEB4E4"/>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23">
    <w:nsid w:val="45AD32D0"/>
    <w:multiLevelType w:val="multilevel"/>
    <w:tmpl w:val="7F2E8CEE"/>
    <w:lvl w:ilvl="0">
      <w:start w:val="1"/>
      <w:numFmt w:val="decimal"/>
      <w:lvlText w:val="%1."/>
      <w:lvlJc w:val="left"/>
      <w:pPr>
        <w:ind w:left="360" w:hanging="360"/>
      </w:pPr>
      <w:rPr>
        <w:rFonts w:hint="default"/>
        <w:b/>
      </w:rPr>
    </w:lvl>
    <w:lvl w:ilvl="1">
      <w:start w:val="1"/>
      <w:numFmt w:val="bullet"/>
      <w:lvlText w:val=""/>
      <w:lvlJc w:val="left"/>
      <w:pPr>
        <w:ind w:left="360" w:hanging="360"/>
      </w:pPr>
      <w:rPr>
        <w:rFonts w:ascii="Symbol" w:hAnsi="Symbol"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24">
    <w:nsid w:val="465455E5"/>
    <w:multiLevelType w:val="hybridMultilevel"/>
    <w:tmpl w:val="DE9CA174"/>
    <w:lvl w:ilvl="0" w:tplc="0C0A000F">
      <w:start w:val="1"/>
      <w:numFmt w:val="decimal"/>
      <w:lvlText w:val="%1."/>
      <w:lvlJc w:val="left"/>
      <w:pPr>
        <w:ind w:left="1434" w:hanging="360"/>
      </w:pPr>
    </w:lvl>
    <w:lvl w:ilvl="1" w:tplc="0C0A0019" w:tentative="1">
      <w:start w:val="1"/>
      <w:numFmt w:val="lowerLetter"/>
      <w:lvlText w:val="%2."/>
      <w:lvlJc w:val="left"/>
      <w:pPr>
        <w:ind w:left="2154" w:hanging="360"/>
      </w:pPr>
    </w:lvl>
    <w:lvl w:ilvl="2" w:tplc="0C0A001B" w:tentative="1">
      <w:start w:val="1"/>
      <w:numFmt w:val="lowerRoman"/>
      <w:lvlText w:val="%3."/>
      <w:lvlJc w:val="right"/>
      <w:pPr>
        <w:ind w:left="2874" w:hanging="180"/>
      </w:pPr>
    </w:lvl>
    <w:lvl w:ilvl="3" w:tplc="0C0A000F" w:tentative="1">
      <w:start w:val="1"/>
      <w:numFmt w:val="decimal"/>
      <w:lvlText w:val="%4."/>
      <w:lvlJc w:val="left"/>
      <w:pPr>
        <w:ind w:left="3594" w:hanging="360"/>
      </w:pPr>
    </w:lvl>
    <w:lvl w:ilvl="4" w:tplc="0C0A0019" w:tentative="1">
      <w:start w:val="1"/>
      <w:numFmt w:val="lowerLetter"/>
      <w:lvlText w:val="%5."/>
      <w:lvlJc w:val="left"/>
      <w:pPr>
        <w:ind w:left="4314" w:hanging="360"/>
      </w:pPr>
    </w:lvl>
    <w:lvl w:ilvl="5" w:tplc="0C0A001B" w:tentative="1">
      <w:start w:val="1"/>
      <w:numFmt w:val="lowerRoman"/>
      <w:lvlText w:val="%6."/>
      <w:lvlJc w:val="right"/>
      <w:pPr>
        <w:ind w:left="5034" w:hanging="180"/>
      </w:pPr>
    </w:lvl>
    <w:lvl w:ilvl="6" w:tplc="0C0A000F" w:tentative="1">
      <w:start w:val="1"/>
      <w:numFmt w:val="decimal"/>
      <w:lvlText w:val="%7."/>
      <w:lvlJc w:val="left"/>
      <w:pPr>
        <w:ind w:left="5754" w:hanging="360"/>
      </w:pPr>
    </w:lvl>
    <w:lvl w:ilvl="7" w:tplc="0C0A0019" w:tentative="1">
      <w:start w:val="1"/>
      <w:numFmt w:val="lowerLetter"/>
      <w:lvlText w:val="%8."/>
      <w:lvlJc w:val="left"/>
      <w:pPr>
        <w:ind w:left="6474" w:hanging="360"/>
      </w:pPr>
    </w:lvl>
    <w:lvl w:ilvl="8" w:tplc="0C0A001B" w:tentative="1">
      <w:start w:val="1"/>
      <w:numFmt w:val="lowerRoman"/>
      <w:lvlText w:val="%9."/>
      <w:lvlJc w:val="right"/>
      <w:pPr>
        <w:ind w:left="7194" w:hanging="180"/>
      </w:pPr>
    </w:lvl>
  </w:abstractNum>
  <w:abstractNum w:abstractNumId="25">
    <w:nsid w:val="47AD6D19"/>
    <w:multiLevelType w:val="multilevel"/>
    <w:tmpl w:val="055AAF34"/>
    <w:lvl w:ilvl="0">
      <w:start w:val="1"/>
      <w:numFmt w:val="upperLetter"/>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6">
    <w:nsid w:val="52F558A2"/>
    <w:multiLevelType w:val="hybridMultilevel"/>
    <w:tmpl w:val="EF566BF0"/>
    <w:lvl w:ilvl="0" w:tplc="0C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7">
    <w:nsid w:val="56A416AD"/>
    <w:multiLevelType w:val="hybridMultilevel"/>
    <w:tmpl w:val="B728F65C"/>
    <w:lvl w:ilvl="0" w:tplc="340A0001">
      <w:start w:val="1"/>
      <w:numFmt w:val="bullet"/>
      <w:lvlText w:val=""/>
      <w:lvlJc w:val="left"/>
      <w:pPr>
        <w:ind w:left="2062" w:hanging="360"/>
      </w:pPr>
      <w:rPr>
        <w:rFonts w:ascii="Symbol" w:hAnsi="Symbol" w:hint="default"/>
      </w:rPr>
    </w:lvl>
    <w:lvl w:ilvl="1" w:tplc="340A0003" w:tentative="1">
      <w:start w:val="1"/>
      <w:numFmt w:val="bullet"/>
      <w:lvlText w:val="o"/>
      <w:lvlJc w:val="left"/>
      <w:pPr>
        <w:ind w:left="2782" w:hanging="360"/>
      </w:pPr>
      <w:rPr>
        <w:rFonts w:ascii="Courier New" w:hAnsi="Courier New" w:cs="Courier New" w:hint="default"/>
      </w:rPr>
    </w:lvl>
    <w:lvl w:ilvl="2" w:tplc="340A0005" w:tentative="1">
      <w:start w:val="1"/>
      <w:numFmt w:val="bullet"/>
      <w:lvlText w:val=""/>
      <w:lvlJc w:val="left"/>
      <w:pPr>
        <w:ind w:left="3502" w:hanging="360"/>
      </w:pPr>
      <w:rPr>
        <w:rFonts w:ascii="Wingdings" w:hAnsi="Wingdings" w:hint="default"/>
      </w:rPr>
    </w:lvl>
    <w:lvl w:ilvl="3" w:tplc="340A0001" w:tentative="1">
      <w:start w:val="1"/>
      <w:numFmt w:val="bullet"/>
      <w:lvlText w:val=""/>
      <w:lvlJc w:val="left"/>
      <w:pPr>
        <w:ind w:left="4222" w:hanging="360"/>
      </w:pPr>
      <w:rPr>
        <w:rFonts w:ascii="Symbol" w:hAnsi="Symbol" w:hint="default"/>
      </w:rPr>
    </w:lvl>
    <w:lvl w:ilvl="4" w:tplc="340A0003" w:tentative="1">
      <w:start w:val="1"/>
      <w:numFmt w:val="bullet"/>
      <w:lvlText w:val="o"/>
      <w:lvlJc w:val="left"/>
      <w:pPr>
        <w:ind w:left="4942" w:hanging="360"/>
      </w:pPr>
      <w:rPr>
        <w:rFonts w:ascii="Courier New" w:hAnsi="Courier New" w:cs="Courier New" w:hint="default"/>
      </w:rPr>
    </w:lvl>
    <w:lvl w:ilvl="5" w:tplc="340A0005" w:tentative="1">
      <w:start w:val="1"/>
      <w:numFmt w:val="bullet"/>
      <w:lvlText w:val=""/>
      <w:lvlJc w:val="left"/>
      <w:pPr>
        <w:ind w:left="5662" w:hanging="360"/>
      </w:pPr>
      <w:rPr>
        <w:rFonts w:ascii="Wingdings" w:hAnsi="Wingdings" w:hint="default"/>
      </w:rPr>
    </w:lvl>
    <w:lvl w:ilvl="6" w:tplc="340A0001" w:tentative="1">
      <w:start w:val="1"/>
      <w:numFmt w:val="bullet"/>
      <w:lvlText w:val=""/>
      <w:lvlJc w:val="left"/>
      <w:pPr>
        <w:ind w:left="6382" w:hanging="360"/>
      </w:pPr>
      <w:rPr>
        <w:rFonts w:ascii="Symbol" w:hAnsi="Symbol" w:hint="default"/>
      </w:rPr>
    </w:lvl>
    <w:lvl w:ilvl="7" w:tplc="340A0003" w:tentative="1">
      <w:start w:val="1"/>
      <w:numFmt w:val="bullet"/>
      <w:lvlText w:val="o"/>
      <w:lvlJc w:val="left"/>
      <w:pPr>
        <w:ind w:left="7102" w:hanging="360"/>
      </w:pPr>
      <w:rPr>
        <w:rFonts w:ascii="Courier New" w:hAnsi="Courier New" w:cs="Courier New" w:hint="default"/>
      </w:rPr>
    </w:lvl>
    <w:lvl w:ilvl="8" w:tplc="340A0005" w:tentative="1">
      <w:start w:val="1"/>
      <w:numFmt w:val="bullet"/>
      <w:lvlText w:val=""/>
      <w:lvlJc w:val="left"/>
      <w:pPr>
        <w:ind w:left="7822" w:hanging="360"/>
      </w:pPr>
      <w:rPr>
        <w:rFonts w:ascii="Wingdings" w:hAnsi="Wingdings" w:hint="default"/>
      </w:rPr>
    </w:lvl>
  </w:abstractNum>
  <w:abstractNum w:abstractNumId="28">
    <w:nsid w:val="5B7A2EDE"/>
    <w:multiLevelType w:val="multilevel"/>
    <w:tmpl w:val="6AF6B740"/>
    <w:lvl w:ilvl="0">
      <w:start w:val="1"/>
      <w:numFmt w:val="decimal"/>
      <w:lvlText w:val="%1."/>
      <w:lvlJc w:val="left"/>
      <w:pPr>
        <w:ind w:left="1952" w:hanging="360"/>
      </w:pPr>
      <w:rPr>
        <w:rFonts w:hint="default"/>
      </w:rPr>
    </w:lvl>
    <w:lvl w:ilvl="1">
      <w:start w:val="1"/>
      <w:numFmt w:val="decimal"/>
      <w:lvlText w:val="%2."/>
      <w:lvlJc w:val="left"/>
      <w:pPr>
        <w:ind w:left="2672" w:hanging="360"/>
      </w:pPr>
    </w:lvl>
    <w:lvl w:ilvl="2" w:tentative="1">
      <w:start w:val="1"/>
      <w:numFmt w:val="lowerRoman"/>
      <w:lvlText w:val="%3."/>
      <w:lvlJc w:val="right"/>
      <w:pPr>
        <w:ind w:left="3392" w:hanging="180"/>
      </w:pPr>
    </w:lvl>
    <w:lvl w:ilvl="3" w:tentative="1">
      <w:start w:val="1"/>
      <w:numFmt w:val="decimal"/>
      <w:lvlText w:val="%4."/>
      <w:lvlJc w:val="left"/>
      <w:pPr>
        <w:ind w:left="4112" w:hanging="360"/>
      </w:pPr>
    </w:lvl>
    <w:lvl w:ilvl="4" w:tentative="1">
      <w:start w:val="1"/>
      <w:numFmt w:val="lowerLetter"/>
      <w:lvlText w:val="%5."/>
      <w:lvlJc w:val="left"/>
      <w:pPr>
        <w:ind w:left="4832" w:hanging="360"/>
      </w:pPr>
    </w:lvl>
    <w:lvl w:ilvl="5" w:tentative="1">
      <w:start w:val="1"/>
      <w:numFmt w:val="lowerRoman"/>
      <w:lvlText w:val="%6."/>
      <w:lvlJc w:val="right"/>
      <w:pPr>
        <w:ind w:left="5552" w:hanging="180"/>
      </w:pPr>
    </w:lvl>
    <w:lvl w:ilvl="6" w:tentative="1">
      <w:start w:val="1"/>
      <w:numFmt w:val="decimal"/>
      <w:lvlText w:val="%7."/>
      <w:lvlJc w:val="left"/>
      <w:pPr>
        <w:ind w:left="6272" w:hanging="360"/>
      </w:pPr>
    </w:lvl>
    <w:lvl w:ilvl="7" w:tentative="1">
      <w:start w:val="1"/>
      <w:numFmt w:val="lowerLetter"/>
      <w:lvlText w:val="%8."/>
      <w:lvlJc w:val="left"/>
      <w:pPr>
        <w:ind w:left="6992" w:hanging="360"/>
      </w:pPr>
    </w:lvl>
    <w:lvl w:ilvl="8" w:tentative="1">
      <w:start w:val="1"/>
      <w:numFmt w:val="lowerRoman"/>
      <w:lvlText w:val="%9."/>
      <w:lvlJc w:val="right"/>
      <w:pPr>
        <w:ind w:left="7712" w:hanging="180"/>
      </w:pPr>
    </w:lvl>
  </w:abstractNum>
  <w:abstractNum w:abstractNumId="29">
    <w:nsid w:val="5BFC1FEE"/>
    <w:multiLevelType w:val="multilevel"/>
    <w:tmpl w:val="3E326EE2"/>
    <w:lvl w:ilvl="0">
      <w:start w:val="1"/>
      <w:numFmt w:val="decimal"/>
      <w:lvlText w:val="%1."/>
      <w:lvlJc w:val="left"/>
      <w:pPr>
        <w:ind w:left="1952" w:hanging="360"/>
      </w:pPr>
      <w:rPr>
        <w:rFonts w:hint="default"/>
        <w:b w:val="0"/>
      </w:rPr>
    </w:lvl>
    <w:lvl w:ilvl="1">
      <w:start w:val="1"/>
      <w:numFmt w:val="decimal"/>
      <w:lvlText w:val="%2."/>
      <w:lvlJc w:val="left"/>
      <w:pPr>
        <w:ind w:left="2672" w:hanging="360"/>
      </w:pPr>
    </w:lvl>
    <w:lvl w:ilvl="2" w:tentative="1">
      <w:start w:val="1"/>
      <w:numFmt w:val="lowerRoman"/>
      <w:lvlText w:val="%3."/>
      <w:lvlJc w:val="right"/>
      <w:pPr>
        <w:ind w:left="3392" w:hanging="180"/>
      </w:pPr>
    </w:lvl>
    <w:lvl w:ilvl="3" w:tentative="1">
      <w:start w:val="1"/>
      <w:numFmt w:val="decimal"/>
      <w:lvlText w:val="%4."/>
      <w:lvlJc w:val="left"/>
      <w:pPr>
        <w:ind w:left="4112" w:hanging="360"/>
      </w:pPr>
    </w:lvl>
    <w:lvl w:ilvl="4" w:tentative="1">
      <w:start w:val="1"/>
      <w:numFmt w:val="lowerLetter"/>
      <w:lvlText w:val="%5."/>
      <w:lvlJc w:val="left"/>
      <w:pPr>
        <w:ind w:left="4832" w:hanging="360"/>
      </w:pPr>
    </w:lvl>
    <w:lvl w:ilvl="5" w:tentative="1">
      <w:start w:val="1"/>
      <w:numFmt w:val="lowerRoman"/>
      <w:lvlText w:val="%6."/>
      <w:lvlJc w:val="right"/>
      <w:pPr>
        <w:ind w:left="5552" w:hanging="180"/>
      </w:pPr>
    </w:lvl>
    <w:lvl w:ilvl="6" w:tentative="1">
      <w:start w:val="1"/>
      <w:numFmt w:val="decimal"/>
      <w:lvlText w:val="%7."/>
      <w:lvlJc w:val="left"/>
      <w:pPr>
        <w:ind w:left="6272" w:hanging="360"/>
      </w:pPr>
    </w:lvl>
    <w:lvl w:ilvl="7" w:tentative="1">
      <w:start w:val="1"/>
      <w:numFmt w:val="lowerLetter"/>
      <w:lvlText w:val="%8."/>
      <w:lvlJc w:val="left"/>
      <w:pPr>
        <w:ind w:left="6992" w:hanging="360"/>
      </w:pPr>
    </w:lvl>
    <w:lvl w:ilvl="8" w:tentative="1">
      <w:start w:val="1"/>
      <w:numFmt w:val="lowerRoman"/>
      <w:lvlText w:val="%9."/>
      <w:lvlJc w:val="right"/>
      <w:pPr>
        <w:ind w:left="7712" w:hanging="180"/>
      </w:pPr>
    </w:lvl>
  </w:abstractNum>
  <w:abstractNum w:abstractNumId="30">
    <w:nsid w:val="6268017F"/>
    <w:multiLevelType w:val="hybridMultilevel"/>
    <w:tmpl w:val="59D0DD58"/>
    <w:lvl w:ilvl="0" w:tplc="644AD9F6">
      <w:start w:val="1"/>
      <w:numFmt w:val="lowerLetter"/>
      <w:lvlText w:val="%1)"/>
      <w:lvlJc w:val="left"/>
      <w:pPr>
        <w:ind w:left="2490" w:hanging="360"/>
      </w:pPr>
      <w:rPr>
        <w:rFonts w:hint="default"/>
      </w:rPr>
    </w:lvl>
    <w:lvl w:ilvl="1" w:tplc="340A0019" w:tentative="1">
      <w:start w:val="1"/>
      <w:numFmt w:val="lowerLetter"/>
      <w:lvlText w:val="%2."/>
      <w:lvlJc w:val="left"/>
      <w:pPr>
        <w:ind w:left="3210" w:hanging="360"/>
      </w:pPr>
    </w:lvl>
    <w:lvl w:ilvl="2" w:tplc="340A001B">
      <w:start w:val="1"/>
      <w:numFmt w:val="lowerRoman"/>
      <w:lvlText w:val="%3."/>
      <w:lvlJc w:val="right"/>
      <w:pPr>
        <w:ind w:left="3930" w:hanging="180"/>
      </w:pPr>
    </w:lvl>
    <w:lvl w:ilvl="3" w:tplc="340A000F" w:tentative="1">
      <w:start w:val="1"/>
      <w:numFmt w:val="decimal"/>
      <w:lvlText w:val="%4."/>
      <w:lvlJc w:val="left"/>
      <w:pPr>
        <w:ind w:left="4650" w:hanging="360"/>
      </w:pPr>
    </w:lvl>
    <w:lvl w:ilvl="4" w:tplc="340A0019" w:tentative="1">
      <w:start w:val="1"/>
      <w:numFmt w:val="lowerLetter"/>
      <w:lvlText w:val="%5."/>
      <w:lvlJc w:val="left"/>
      <w:pPr>
        <w:ind w:left="5370" w:hanging="360"/>
      </w:pPr>
    </w:lvl>
    <w:lvl w:ilvl="5" w:tplc="340A001B" w:tentative="1">
      <w:start w:val="1"/>
      <w:numFmt w:val="lowerRoman"/>
      <w:lvlText w:val="%6."/>
      <w:lvlJc w:val="right"/>
      <w:pPr>
        <w:ind w:left="6090" w:hanging="180"/>
      </w:pPr>
    </w:lvl>
    <w:lvl w:ilvl="6" w:tplc="340A000F" w:tentative="1">
      <w:start w:val="1"/>
      <w:numFmt w:val="decimal"/>
      <w:lvlText w:val="%7."/>
      <w:lvlJc w:val="left"/>
      <w:pPr>
        <w:ind w:left="6810" w:hanging="360"/>
      </w:pPr>
    </w:lvl>
    <w:lvl w:ilvl="7" w:tplc="340A0019" w:tentative="1">
      <w:start w:val="1"/>
      <w:numFmt w:val="lowerLetter"/>
      <w:lvlText w:val="%8."/>
      <w:lvlJc w:val="left"/>
      <w:pPr>
        <w:ind w:left="7530" w:hanging="360"/>
      </w:pPr>
    </w:lvl>
    <w:lvl w:ilvl="8" w:tplc="340A001B" w:tentative="1">
      <w:start w:val="1"/>
      <w:numFmt w:val="lowerRoman"/>
      <w:lvlText w:val="%9."/>
      <w:lvlJc w:val="right"/>
      <w:pPr>
        <w:ind w:left="8250" w:hanging="180"/>
      </w:pPr>
    </w:lvl>
  </w:abstractNum>
  <w:abstractNum w:abstractNumId="31">
    <w:nsid w:val="638E1608"/>
    <w:multiLevelType w:val="hybridMultilevel"/>
    <w:tmpl w:val="A5EA7632"/>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32">
    <w:nsid w:val="6AC14721"/>
    <w:multiLevelType w:val="hybridMultilevel"/>
    <w:tmpl w:val="ED56B09E"/>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33">
    <w:nsid w:val="6C2753F9"/>
    <w:multiLevelType w:val="multilevel"/>
    <w:tmpl w:val="A4BC65DA"/>
    <w:lvl w:ilvl="0">
      <w:start w:val="1"/>
      <w:numFmt w:val="decimal"/>
      <w:lvlText w:val="%1."/>
      <w:lvlJc w:val="left"/>
      <w:pPr>
        <w:ind w:left="1592" w:hanging="360"/>
      </w:pPr>
    </w:lvl>
    <w:lvl w:ilvl="1">
      <w:start w:val="2"/>
      <w:numFmt w:val="decimal"/>
      <w:isLgl/>
      <w:lvlText w:val="%1.%2"/>
      <w:lvlJc w:val="left"/>
      <w:pPr>
        <w:ind w:left="1952" w:hanging="720"/>
      </w:pPr>
      <w:rPr>
        <w:rFonts w:hint="default"/>
      </w:rPr>
    </w:lvl>
    <w:lvl w:ilvl="2">
      <w:start w:val="2"/>
      <w:numFmt w:val="decimal"/>
      <w:isLgl/>
      <w:lvlText w:val="%1.%2.%3"/>
      <w:lvlJc w:val="left"/>
      <w:pPr>
        <w:ind w:left="1952" w:hanging="720"/>
      </w:pPr>
      <w:rPr>
        <w:rFonts w:hint="default"/>
      </w:rPr>
    </w:lvl>
    <w:lvl w:ilvl="3">
      <w:start w:val="1"/>
      <w:numFmt w:val="decimal"/>
      <w:isLgl/>
      <w:lvlText w:val="%1.%2.%3.%4"/>
      <w:lvlJc w:val="left"/>
      <w:pPr>
        <w:ind w:left="2312" w:hanging="1080"/>
      </w:pPr>
      <w:rPr>
        <w:rFonts w:hint="default"/>
      </w:rPr>
    </w:lvl>
    <w:lvl w:ilvl="4">
      <w:start w:val="1"/>
      <w:numFmt w:val="decimal"/>
      <w:isLgl/>
      <w:lvlText w:val="%1.%2.%3.%4.%5"/>
      <w:lvlJc w:val="left"/>
      <w:pPr>
        <w:ind w:left="2312" w:hanging="1080"/>
      </w:pPr>
      <w:rPr>
        <w:rFonts w:hint="default"/>
      </w:rPr>
    </w:lvl>
    <w:lvl w:ilvl="5">
      <w:start w:val="1"/>
      <w:numFmt w:val="decimal"/>
      <w:isLgl/>
      <w:lvlText w:val="%1.%2.%3.%4.%5.%6"/>
      <w:lvlJc w:val="left"/>
      <w:pPr>
        <w:ind w:left="2672" w:hanging="1440"/>
      </w:pPr>
      <w:rPr>
        <w:rFonts w:hint="default"/>
      </w:rPr>
    </w:lvl>
    <w:lvl w:ilvl="6">
      <w:start w:val="1"/>
      <w:numFmt w:val="decimal"/>
      <w:isLgl/>
      <w:lvlText w:val="%1.%2.%3.%4.%5.%6.%7"/>
      <w:lvlJc w:val="left"/>
      <w:pPr>
        <w:ind w:left="3032" w:hanging="1800"/>
      </w:pPr>
      <w:rPr>
        <w:rFonts w:hint="default"/>
      </w:rPr>
    </w:lvl>
    <w:lvl w:ilvl="7">
      <w:start w:val="1"/>
      <w:numFmt w:val="decimal"/>
      <w:isLgl/>
      <w:lvlText w:val="%1.%2.%3.%4.%5.%6.%7.%8"/>
      <w:lvlJc w:val="left"/>
      <w:pPr>
        <w:ind w:left="3032" w:hanging="1800"/>
      </w:pPr>
      <w:rPr>
        <w:rFonts w:hint="default"/>
      </w:rPr>
    </w:lvl>
    <w:lvl w:ilvl="8">
      <w:start w:val="1"/>
      <w:numFmt w:val="decimal"/>
      <w:isLgl/>
      <w:lvlText w:val="%1.%2.%3.%4.%5.%6.%7.%8.%9"/>
      <w:lvlJc w:val="left"/>
      <w:pPr>
        <w:ind w:left="3392" w:hanging="2160"/>
      </w:pPr>
      <w:rPr>
        <w:rFonts w:hint="default"/>
      </w:rPr>
    </w:lvl>
  </w:abstractNum>
  <w:abstractNum w:abstractNumId="34">
    <w:nsid w:val="72AB554C"/>
    <w:multiLevelType w:val="hybridMultilevel"/>
    <w:tmpl w:val="ECCE5FE8"/>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5">
    <w:nsid w:val="73FF3DCB"/>
    <w:multiLevelType w:val="hybridMultilevel"/>
    <w:tmpl w:val="6FAA701E"/>
    <w:lvl w:ilvl="0" w:tplc="EB0CD94A">
      <w:start w:val="1"/>
      <w:numFmt w:val="lowerLetter"/>
      <w:lvlText w:val="%1)"/>
      <w:lvlJc w:val="left"/>
      <w:pPr>
        <w:ind w:left="1065" w:hanging="360"/>
      </w:pPr>
      <w:rPr>
        <w:rFonts w:hint="default"/>
      </w:rPr>
    </w:lvl>
    <w:lvl w:ilvl="1" w:tplc="340A0019" w:tentative="1">
      <w:start w:val="1"/>
      <w:numFmt w:val="lowerLetter"/>
      <w:lvlText w:val="%2."/>
      <w:lvlJc w:val="left"/>
      <w:pPr>
        <w:ind w:left="1785" w:hanging="360"/>
      </w:pPr>
    </w:lvl>
    <w:lvl w:ilvl="2" w:tplc="340A001B">
      <w:start w:val="1"/>
      <w:numFmt w:val="lowerRoman"/>
      <w:lvlText w:val="%3."/>
      <w:lvlJc w:val="right"/>
      <w:pPr>
        <w:ind w:left="2505" w:hanging="180"/>
      </w:pPr>
    </w:lvl>
    <w:lvl w:ilvl="3" w:tplc="340A000F" w:tentative="1">
      <w:start w:val="1"/>
      <w:numFmt w:val="decimal"/>
      <w:lvlText w:val="%4."/>
      <w:lvlJc w:val="left"/>
      <w:pPr>
        <w:ind w:left="3225" w:hanging="360"/>
      </w:pPr>
    </w:lvl>
    <w:lvl w:ilvl="4" w:tplc="340A0019" w:tentative="1">
      <w:start w:val="1"/>
      <w:numFmt w:val="lowerLetter"/>
      <w:lvlText w:val="%5."/>
      <w:lvlJc w:val="left"/>
      <w:pPr>
        <w:ind w:left="3945" w:hanging="360"/>
      </w:pPr>
    </w:lvl>
    <w:lvl w:ilvl="5" w:tplc="340A001B" w:tentative="1">
      <w:start w:val="1"/>
      <w:numFmt w:val="lowerRoman"/>
      <w:lvlText w:val="%6."/>
      <w:lvlJc w:val="right"/>
      <w:pPr>
        <w:ind w:left="4665" w:hanging="180"/>
      </w:pPr>
    </w:lvl>
    <w:lvl w:ilvl="6" w:tplc="340A000F" w:tentative="1">
      <w:start w:val="1"/>
      <w:numFmt w:val="decimal"/>
      <w:lvlText w:val="%7."/>
      <w:lvlJc w:val="left"/>
      <w:pPr>
        <w:ind w:left="5385" w:hanging="360"/>
      </w:pPr>
    </w:lvl>
    <w:lvl w:ilvl="7" w:tplc="340A0019" w:tentative="1">
      <w:start w:val="1"/>
      <w:numFmt w:val="lowerLetter"/>
      <w:lvlText w:val="%8."/>
      <w:lvlJc w:val="left"/>
      <w:pPr>
        <w:ind w:left="6105" w:hanging="360"/>
      </w:pPr>
    </w:lvl>
    <w:lvl w:ilvl="8" w:tplc="340A001B" w:tentative="1">
      <w:start w:val="1"/>
      <w:numFmt w:val="lowerRoman"/>
      <w:lvlText w:val="%9."/>
      <w:lvlJc w:val="right"/>
      <w:pPr>
        <w:ind w:left="6825" w:hanging="180"/>
      </w:pPr>
    </w:lvl>
  </w:abstractNum>
  <w:abstractNum w:abstractNumId="36">
    <w:nsid w:val="794635B8"/>
    <w:multiLevelType w:val="multilevel"/>
    <w:tmpl w:val="3E326EE2"/>
    <w:lvl w:ilvl="0">
      <w:start w:val="1"/>
      <w:numFmt w:val="decimal"/>
      <w:lvlText w:val="%1."/>
      <w:lvlJc w:val="left"/>
      <w:pPr>
        <w:ind w:left="1952" w:hanging="360"/>
      </w:pPr>
      <w:rPr>
        <w:rFonts w:hint="default"/>
        <w:b w:val="0"/>
      </w:rPr>
    </w:lvl>
    <w:lvl w:ilvl="1">
      <w:start w:val="1"/>
      <w:numFmt w:val="decimal"/>
      <w:lvlText w:val="%2."/>
      <w:lvlJc w:val="left"/>
      <w:pPr>
        <w:ind w:left="2672" w:hanging="360"/>
      </w:pPr>
    </w:lvl>
    <w:lvl w:ilvl="2" w:tentative="1">
      <w:start w:val="1"/>
      <w:numFmt w:val="lowerRoman"/>
      <w:lvlText w:val="%3."/>
      <w:lvlJc w:val="right"/>
      <w:pPr>
        <w:ind w:left="3392" w:hanging="180"/>
      </w:pPr>
    </w:lvl>
    <w:lvl w:ilvl="3" w:tentative="1">
      <w:start w:val="1"/>
      <w:numFmt w:val="decimal"/>
      <w:lvlText w:val="%4."/>
      <w:lvlJc w:val="left"/>
      <w:pPr>
        <w:ind w:left="4112" w:hanging="360"/>
      </w:pPr>
    </w:lvl>
    <w:lvl w:ilvl="4" w:tentative="1">
      <w:start w:val="1"/>
      <w:numFmt w:val="lowerLetter"/>
      <w:lvlText w:val="%5."/>
      <w:lvlJc w:val="left"/>
      <w:pPr>
        <w:ind w:left="4832" w:hanging="360"/>
      </w:pPr>
    </w:lvl>
    <w:lvl w:ilvl="5" w:tentative="1">
      <w:start w:val="1"/>
      <w:numFmt w:val="lowerRoman"/>
      <w:lvlText w:val="%6."/>
      <w:lvlJc w:val="right"/>
      <w:pPr>
        <w:ind w:left="5552" w:hanging="180"/>
      </w:pPr>
    </w:lvl>
    <w:lvl w:ilvl="6" w:tentative="1">
      <w:start w:val="1"/>
      <w:numFmt w:val="decimal"/>
      <w:lvlText w:val="%7."/>
      <w:lvlJc w:val="left"/>
      <w:pPr>
        <w:ind w:left="6272" w:hanging="360"/>
      </w:pPr>
    </w:lvl>
    <w:lvl w:ilvl="7" w:tentative="1">
      <w:start w:val="1"/>
      <w:numFmt w:val="lowerLetter"/>
      <w:lvlText w:val="%8."/>
      <w:lvlJc w:val="left"/>
      <w:pPr>
        <w:ind w:left="6992" w:hanging="360"/>
      </w:pPr>
    </w:lvl>
    <w:lvl w:ilvl="8" w:tentative="1">
      <w:start w:val="1"/>
      <w:numFmt w:val="lowerRoman"/>
      <w:lvlText w:val="%9."/>
      <w:lvlJc w:val="right"/>
      <w:pPr>
        <w:ind w:left="7712" w:hanging="180"/>
      </w:pPr>
    </w:lvl>
  </w:abstractNum>
  <w:abstractNum w:abstractNumId="37">
    <w:nsid w:val="7AE90809"/>
    <w:multiLevelType w:val="hybridMultilevel"/>
    <w:tmpl w:val="F5FEA0D6"/>
    <w:lvl w:ilvl="0" w:tplc="FFFFFFFF">
      <w:start w:val="1"/>
      <w:numFmt w:val="bullet"/>
      <w:lvlText w:val=""/>
      <w:lvlJc w:val="left"/>
      <w:pPr>
        <w:tabs>
          <w:tab w:val="num" w:pos="1428"/>
        </w:tabs>
        <w:ind w:left="1428" w:hanging="360"/>
      </w:pPr>
      <w:rPr>
        <w:rFonts w:ascii="Symbol" w:hAnsi="Symbol" w:hint="default"/>
      </w:rPr>
    </w:lvl>
    <w:lvl w:ilvl="1" w:tplc="FFFFFFFF" w:tentative="1">
      <w:start w:val="1"/>
      <w:numFmt w:val="bullet"/>
      <w:lvlText w:val="o"/>
      <w:lvlJc w:val="left"/>
      <w:pPr>
        <w:tabs>
          <w:tab w:val="num" w:pos="2148"/>
        </w:tabs>
        <w:ind w:left="2148" w:hanging="360"/>
      </w:pPr>
      <w:rPr>
        <w:rFonts w:ascii="Courier New" w:hAnsi="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38">
    <w:nsid w:val="7DFC7A0E"/>
    <w:multiLevelType w:val="hybridMultilevel"/>
    <w:tmpl w:val="79366C6E"/>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nsid w:val="7F02357F"/>
    <w:multiLevelType w:val="hybridMultilevel"/>
    <w:tmpl w:val="8C8073C4"/>
    <w:lvl w:ilvl="0" w:tplc="2E62EF28">
      <w:start w:val="1"/>
      <w:numFmt w:val="decimal"/>
      <w:lvlText w:val="(%1)"/>
      <w:lvlJc w:val="left"/>
      <w:pPr>
        <w:ind w:left="795" w:hanging="43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34"/>
  </w:num>
  <w:num w:numId="9">
    <w:abstractNumId w:val="0"/>
  </w:num>
  <w:num w:numId="10">
    <w:abstractNumId w:val="24"/>
  </w:num>
  <w:num w:numId="11">
    <w:abstractNumId w:val="19"/>
  </w:num>
  <w:num w:numId="12">
    <w:abstractNumId w:val="5"/>
  </w:num>
  <w:num w:numId="13">
    <w:abstractNumId w:val="7"/>
  </w:num>
  <w:num w:numId="14">
    <w:abstractNumId w:val="39"/>
  </w:num>
  <w:num w:numId="15">
    <w:abstractNumId w:val="15"/>
  </w:num>
  <w:num w:numId="16">
    <w:abstractNumId w:val="11"/>
  </w:num>
  <w:num w:numId="17">
    <w:abstractNumId w:val="18"/>
  </w:num>
  <w:num w:numId="18">
    <w:abstractNumId w:val="37"/>
  </w:num>
  <w:num w:numId="19">
    <w:abstractNumId w:val="13"/>
  </w:num>
  <w:num w:numId="20">
    <w:abstractNumId w:val="31"/>
  </w:num>
  <w:num w:numId="21">
    <w:abstractNumId w:val="32"/>
  </w:num>
  <w:num w:numId="22">
    <w:abstractNumId w:val="22"/>
  </w:num>
  <w:num w:numId="23">
    <w:abstractNumId w:val="17"/>
  </w:num>
  <w:num w:numId="24">
    <w:abstractNumId w:val="25"/>
  </w:num>
  <w:num w:numId="25">
    <w:abstractNumId w:val="3"/>
  </w:num>
  <w:num w:numId="26">
    <w:abstractNumId w:val="33"/>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6"/>
  </w:num>
  <w:num w:numId="30">
    <w:abstractNumId w:val="8"/>
  </w:num>
  <w:num w:numId="31">
    <w:abstractNumId w:val="10"/>
  </w:num>
  <w:num w:numId="32">
    <w:abstractNumId w:val="14"/>
  </w:num>
  <w:num w:numId="33">
    <w:abstractNumId w:val="28"/>
  </w:num>
  <w:num w:numId="34">
    <w:abstractNumId w:val="36"/>
  </w:num>
  <w:num w:numId="35">
    <w:abstractNumId w:val="29"/>
  </w:num>
  <w:num w:numId="36">
    <w:abstractNumId w:val="26"/>
  </w:num>
  <w:num w:numId="37">
    <w:abstractNumId w:val="20"/>
  </w:num>
  <w:num w:numId="38">
    <w:abstractNumId w:val="21"/>
  </w:num>
  <w:num w:numId="39">
    <w:abstractNumId w:val="9"/>
  </w:num>
  <w:num w:numId="40">
    <w:abstractNumId w:val="6"/>
  </w:num>
  <w:num w:numId="41">
    <w:abstractNumId w:val="23"/>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CDB"/>
    <w:rsid w:val="000038D2"/>
    <w:rsid w:val="00026527"/>
    <w:rsid w:val="00034EAF"/>
    <w:rsid w:val="0004040D"/>
    <w:rsid w:val="00043971"/>
    <w:rsid w:val="00073FC1"/>
    <w:rsid w:val="000C75F2"/>
    <w:rsid w:val="000E2DE5"/>
    <w:rsid w:val="000E4992"/>
    <w:rsid w:val="00101E47"/>
    <w:rsid w:val="001032E2"/>
    <w:rsid w:val="00117D90"/>
    <w:rsid w:val="00174A45"/>
    <w:rsid w:val="00187529"/>
    <w:rsid w:val="001C1627"/>
    <w:rsid w:val="001F001F"/>
    <w:rsid w:val="0023127E"/>
    <w:rsid w:val="00233504"/>
    <w:rsid w:val="00276393"/>
    <w:rsid w:val="0028582D"/>
    <w:rsid w:val="002C721F"/>
    <w:rsid w:val="002F71BD"/>
    <w:rsid w:val="00300121"/>
    <w:rsid w:val="00315A19"/>
    <w:rsid w:val="0035206F"/>
    <w:rsid w:val="00370CCC"/>
    <w:rsid w:val="00394862"/>
    <w:rsid w:val="003B6744"/>
    <w:rsid w:val="003C0D60"/>
    <w:rsid w:val="0043076B"/>
    <w:rsid w:val="004370BA"/>
    <w:rsid w:val="00437807"/>
    <w:rsid w:val="00455A5B"/>
    <w:rsid w:val="004B592D"/>
    <w:rsid w:val="004C0204"/>
    <w:rsid w:val="004D3B7B"/>
    <w:rsid w:val="004F45B0"/>
    <w:rsid w:val="00500E68"/>
    <w:rsid w:val="00583B49"/>
    <w:rsid w:val="005A0DDD"/>
    <w:rsid w:val="005A1A16"/>
    <w:rsid w:val="005C342F"/>
    <w:rsid w:val="005C35AD"/>
    <w:rsid w:val="005D417F"/>
    <w:rsid w:val="005E25FB"/>
    <w:rsid w:val="005F0957"/>
    <w:rsid w:val="005F7CB6"/>
    <w:rsid w:val="00607D0E"/>
    <w:rsid w:val="0061095C"/>
    <w:rsid w:val="00646BD4"/>
    <w:rsid w:val="00671ED4"/>
    <w:rsid w:val="00685FB0"/>
    <w:rsid w:val="00686AAA"/>
    <w:rsid w:val="00692CE9"/>
    <w:rsid w:val="006A60E3"/>
    <w:rsid w:val="006B6CA4"/>
    <w:rsid w:val="006D1B2E"/>
    <w:rsid w:val="006D3EAF"/>
    <w:rsid w:val="006D430F"/>
    <w:rsid w:val="0070236C"/>
    <w:rsid w:val="00715466"/>
    <w:rsid w:val="00721AA2"/>
    <w:rsid w:val="00753345"/>
    <w:rsid w:val="00753731"/>
    <w:rsid w:val="00755CDB"/>
    <w:rsid w:val="00797B2D"/>
    <w:rsid w:val="007E79E2"/>
    <w:rsid w:val="007F3C66"/>
    <w:rsid w:val="007F4E50"/>
    <w:rsid w:val="007F731A"/>
    <w:rsid w:val="00824444"/>
    <w:rsid w:val="00824C8E"/>
    <w:rsid w:val="008759A8"/>
    <w:rsid w:val="0088146F"/>
    <w:rsid w:val="00896865"/>
    <w:rsid w:val="008A7D1D"/>
    <w:rsid w:val="008B7EED"/>
    <w:rsid w:val="008E6326"/>
    <w:rsid w:val="009040F0"/>
    <w:rsid w:val="00917310"/>
    <w:rsid w:val="0096077E"/>
    <w:rsid w:val="009727E9"/>
    <w:rsid w:val="009B046F"/>
    <w:rsid w:val="009B3537"/>
    <w:rsid w:val="009B59F2"/>
    <w:rsid w:val="009C15E7"/>
    <w:rsid w:val="009C4827"/>
    <w:rsid w:val="009D02D5"/>
    <w:rsid w:val="009F720B"/>
    <w:rsid w:val="00A1703A"/>
    <w:rsid w:val="00A316B5"/>
    <w:rsid w:val="00A53385"/>
    <w:rsid w:val="00A836E2"/>
    <w:rsid w:val="00AA2EDE"/>
    <w:rsid w:val="00AA6D6D"/>
    <w:rsid w:val="00AB2155"/>
    <w:rsid w:val="00AD75AA"/>
    <w:rsid w:val="00AD7A2F"/>
    <w:rsid w:val="00AF30F1"/>
    <w:rsid w:val="00B079A0"/>
    <w:rsid w:val="00B25AE5"/>
    <w:rsid w:val="00B329EA"/>
    <w:rsid w:val="00B35698"/>
    <w:rsid w:val="00B35DA9"/>
    <w:rsid w:val="00B42867"/>
    <w:rsid w:val="00B54593"/>
    <w:rsid w:val="00B66915"/>
    <w:rsid w:val="00B927B1"/>
    <w:rsid w:val="00B9299A"/>
    <w:rsid w:val="00B9325A"/>
    <w:rsid w:val="00B9737B"/>
    <w:rsid w:val="00BA3F6A"/>
    <w:rsid w:val="00BB0B22"/>
    <w:rsid w:val="00BF5665"/>
    <w:rsid w:val="00BF6645"/>
    <w:rsid w:val="00C1437E"/>
    <w:rsid w:val="00C32121"/>
    <w:rsid w:val="00C37841"/>
    <w:rsid w:val="00C42BB8"/>
    <w:rsid w:val="00C44B27"/>
    <w:rsid w:val="00C47A29"/>
    <w:rsid w:val="00C85C68"/>
    <w:rsid w:val="00CC7F06"/>
    <w:rsid w:val="00CD0F11"/>
    <w:rsid w:val="00CD2866"/>
    <w:rsid w:val="00CD2DD6"/>
    <w:rsid w:val="00CE0138"/>
    <w:rsid w:val="00D273A8"/>
    <w:rsid w:val="00D53D40"/>
    <w:rsid w:val="00D65B8E"/>
    <w:rsid w:val="00D7128E"/>
    <w:rsid w:val="00D77D34"/>
    <w:rsid w:val="00D9281C"/>
    <w:rsid w:val="00D95151"/>
    <w:rsid w:val="00DB6A55"/>
    <w:rsid w:val="00DE33F7"/>
    <w:rsid w:val="00E163D3"/>
    <w:rsid w:val="00E20727"/>
    <w:rsid w:val="00E212B8"/>
    <w:rsid w:val="00E219B1"/>
    <w:rsid w:val="00E220FC"/>
    <w:rsid w:val="00E2516D"/>
    <w:rsid w:val="00E4604B"/>
    <w:rsid w:val="00E62C82"/>
    <w:rsid w:val="00E74B49"/>
    <w:rsid w:val="00E82F98"/>
    <w:rsid w:val="00E931CB"/>
    <w:rsid w:val="00E97C36"/>
    <w:rsid w:val="00EA4675"/>
    <w:rsid w:val="00EF120B"/>
    <w:rsid w:val="00F004E0"/>
    <w:rsid w:val="00F24BBC"/>
    <w:rsid w:val="00F24F94"/>
    <w:rsid w:val="00F85D41"/>
    <w:rsid w:val="00FB2B66"/>
    <w:rsid w:val="00FB5BD5"/>
    <w:rsid w:val="00FC111C"/>
    <w:rsid w:val="00FD0744"/>
    <w:rsid w:val="00FE0DA0"/>
    <w:rsid w:val="00FE3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CDB"/>
    <w:pPr>
      <w:spacing w:after="0" w:line="240" w:lineRule="auto"/>
      <w:ind w:left="567"/>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755CDB"/>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755CDB"/>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755CDB"/>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755CDB"/>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755CDB"/>
    <w:pPr>
      <w:keepNext/>
      <w:jc w:val="center"/>
      <w:outlineLvl w:val="4"/>
    </w:pPr>
    <w:rPr>
      <w:rFonts w:ascii="Arial" w:hAnsi="Arial" w:cs="Arial"/>
      <w:b/>
      <w:snapToGrid w:val="0"/>
      <w:color w:val="000000"/>
      <w:spacing w:val="20"/>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55CDB"/>
    <w:rPr>
      <w:rFonts w:ascii="CG Times" w:eastAsia="Times New Roman" w:hAnsi="CG Times" w:cs="Times New Roman"/>
      <w:b/>
      <w:sz w:val="24"/>
      <w:szCs w:val="20"/>
      <w:lang w:eastAsia="es-ES"/>
    </w:rPr>
  </w:style>
  <w:style w:type="character" w:customStyle="1" w:styleId="Ttulo2Car">
    <w:name w:val="Título 2 Car"/>
    <w:basedOn w:val="Fuentedeprrafopredeter"/>
    <w:link w:val="Ttulo2"/>
    <w:uiPriority w:val="9"/>
    <w:semiHidden/>
    <w:rsid w:val="00755CDB"/>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755CDB"/>
    <w:rPr>
      <w:rFonts w:ascii="CG Times" w:eastAsia="Times New Roman" w:hAnsi="CG Times" w:cs="Times New Roman"/>
      <w:b/>
      <w:snapToGrid w:val="0"/>
      <w:color w:val="000000"/>
      <w:sz w:val="24"/>
      <w:szCs w:val="20"/>
      <w:lang w:val="es-ES_tradnl" w:eastAsia="es-ES"/>
    </w:rPr>
  </w:style>
  <w:style w:type="character" w:customStyle="1" w:styleId="Ttulo4Car">
    <w:name w:val="Título 4 Car"/>
    <w:basedOn w:val="Fuentedeprrafopredeter"/>
    <w:link w:val="Ttulo4"/>
    <w:rsid w:val="00755CDB"/>
    <w:rPr>
      <w:rFonts w:ascii="Arial" w:eastAsia="Times New Roman" w:hAnsi="Arial" w:cs="Arial"/>
      <w:b/>
      <w:snapToGrid w:val="0"/>
      <w:color w:val="000000"/>
      <w:spacing w:val="20"/>
      <w:sz w:val="20"/>
      <w:szCs w:val="20"/>
      <w:lang w:val="es-ES_tradnl" w:eastAsia="es-ES"/>
    </w:rPr>
  </w:style>
  <w:style w:type="character" w:customStyle="1" w:styleId="Ttulo5Car">
    <w:name w:val="Título 5 Car"/>
    <w:basedOn w:val="Fuentedeprrafopredeter"/>
    <w:link w:val="Ttulo5"/>
    <w:rsid w:val="00755CDB"/>
    <w:rPr>
      <w:rFonts w:ascii="Arial" w:eastAsia="Times New Roman" w:hAnsi="Arial" w:cs="Arial"/>
      <w:b/>
      <w:snapToGrid w:val="0"/>
      <w:color w:val="000000"/>
      <w:spacing w:val="20"/>
      <w:sz w:val="28"/>
      <w:szCs w:val="20"/>
      <w:lang w:val="es-ES_tradnl" w:eastAsia="es-ES"/>
    </w:rPr>
  </w:style>
  <w:style w:type="paragraph" w:styleId="Encabezado">
    <w:name w:val="header"/>
    <w:basedOn w:val="Normal"/>
    <w:link w:val="EncabezadoCar"/>
    <w:rsid w:val="00755CDB"/>
    <w:pPr>
      <w:tabs>
        <w:tab w:val="center" w:pos="4252"/>
        <w:tab w:val="right" w:pos="8504"/>
      </w:tabs>
    </w:pPr>
    <w:rPr>
      <w:rFonts w:ascii="CG Times" w:hAnsi="CG Times"/>
      <w:szCs w:val="20"/>
      <w:lang w:val="es-CO"/>
    </w:rPr>
  </w:style>
  <w:style w:type="character" w:customStyle="1" w:styleId="EncabezadoCar">
    <w:name w:val="Encabezado Car"/>
    <w:basedOn w:val="Fuentedeprrafopredeter"/>
    <w:link w:val="Encabezado"/>
    <w:rsid w:val="00755CDB"/>
    <w:rPr>
      <w:rFonts w:ascii="CG Times" w:eastAsia="Times New Roman" w:hAnsi="CG Times" w:cs="Times New Roman"/>
      <w:sz w:val="24"/>
      <w:szCs w:val="20"/>
      <w:lang w:eastAsia="es-ES"/>
    </w:rPr>
  </w:style>
  <w:style w:type="paragraph" w:styleId="Textoindependiente">
    <w:name w:val="Body Text"/>
    <w:basedOn w:val="Normal"/>
    <w:link w:val="TextoindependienteCar"/>
    <w:uiPriority w:val="99"/>
    <w:semiHidden/>
    <w:rsid w:val="00755CDB"/>
    <w:pPr>
      <w:jc w:val="center"/>
    </w:pPr>
    <w:rPr>
      <w:rFonts w:ascii="Arial" w:hAnsi="Arial" w:cs="Arial"/>
      <w:b/>
      <w:bCs/>
    </w:rPr>
  </w:style>
  <w:style w:type="character" w:customStyle="1" w:styleId="TextoindependienteCar">
    <w:name w:val="Texto independiente Car"/>
    <w:basedOn w:val="Fuentedeprrafopredeter"/>
    <w:link w:val="Textoindependiente"/>
    <w:uiPriority w:val="99"/>
    <w:semiHidden/>
    <w:rsid w:val="00755CDB"/>
    <w:rPr>
      <w:rFonts w:ascii="Arial" w:eastAsia="Times New Roman" w:hAnsi="Arial" w:cs="Arial"/>
      <w:b/>
      <w:bCs/>
      <w:sz w:val="24"/>
      <w:szCs w:val="24"/>
      <w:lang w:val="es-ES" w:eastAsia="es-ES"/>
    </w:rPr>
  </w:style>
  <w:style w:type="paragraph" w:styleId="Prrafodelista">
    <w:name w:val="List Paragraph"/>
    <w:basedOn w:val="Normal"/>
    <w:link w:val="PrrafodelistaCar"/>
    <w:uiPriority w:val="34"/>
    <w:qFormat/>
    <w:rsid w:val="00755CDB"/>
    <w:pPr>
      <w:ind w:left="708"/>
    </w:pPr>
    <w:rPr>
      <w:sz w:val="20"/>
      <w:szCs w:val="20"/>
      <w:lang w:val="es-CO"/>
    </w:rPr>
  </w:style>
  <w:style w:type="character" w:customStyle="1" w:styleId="PrrafodelistaCar">
    <w:name w:val="Párrafo de lista Car"/>
    <w:basedOn w:val="Fuentedeprrafopredeter"/>
    <w:link w:val="Prrafodelista"/>
    <w:uiPriority w:val="34"/>
    <w:rsid w:val="00755CDB"/>
    <w:rPr>
      <w:rFonts w:ascii="Times New Roman" w:eastAsia="Times New Roman" w:hAnsi="Times New Roman" w:cs="Times New Roman"/>
      <w:sz w:val="20"/>
      <w:szCs w:val="20"/>
      <w:lang w:eastAsia="es-ES"/>
    </w:rPr>
  </w:style>
  <w:style w:type="paragraph" w:styleId="Textodebloque">
    <w:name w:val="Block Text"/>
    <w:basedOn w:val="Normal"/>
    <w:rsid w:val="00755CDB"/>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semiHidden/>
    <w:unhideWhenUsed/>
    <w:rsid w:val="00755CDB"/>
    <w:pPr>
      <w:spacing w:after="120" w:line="480" w:lineRule="auto"/>
    </w:pPr>
  </w:style>
  <w:style w:type="character" w:customStyle="1" w:styleId="Textoindependiente2Car">
    <w:name w:val="Texto independiente 2 Car"/>
    <w:basedOn w:val="Fuentedeprrafopredeter"/>
    <w:link w:val="Textoindependiente2"/>
    <w:semiHidden/>
    <w:rsid w:val="00755CDB"/>
    <w:rPr>
      <w:rFonts w:ascii="Times New Roman" w:eastAsia="Times New Roman" w:hAnsi="Times New Roman" w:cs="Times New Roman"/>
      <w:sz w:val="24"/>
      <w:szCs w:val="24"/>
      <w:lang w:val="es-ES" w:eastAsia="es-ES"/>
    </w:rPr>
  </w:style>
  <w:style w:type="paragraph" w:styleId="Sinespaciado">
    <w:name w:val="No Spacing"/>
    <w:uiPriority w:val="1"/>
    <w:qFormat/>
    <w:rsid w:val="00755CDB"/>
    <w:pPr>
      <w:spacing w:after="0" w:line="240" w:lineRule="auto"/>
    </w:pPr>
    <w:rPr>
      <w:rFonts w:ascii="Calibri" w:eastAsia="Times New Roman" w:hAnsi="Calibri" w:cs="Calibri"/>
      <w:lang w:val="es-ES"/>
    </w:rPr>
  </w:style>
  <w:style w:type="paragraph" w:styleId="Textocomentario">
    <w:name w:val="annotation text"/>
    <w:basedOn w:val="Normal"/>
    <w:link w:val="TextocomentarioCar"/>
    <w:semiHidden/>
    <w:rsid w:val="00755CDB"/>
    <w:pPr>
      <w:ind w:left="0"/>
    </w:pPr>
    <w:rPr>
      <w:rFonts w:ascii="CG Times" w:hAnsi="CG Times"/>
      <w:sz w:val="20"/>
      <w:szCs w:val="20"/>
      <w:lang w:val="es-CO"/>
    </w:rPr>
  </w:style>
  <w:style w:type="character" w:customStyle="1" w:styleId="TextocomentarioCar">
    <w:name w:val="Texto comentario Car"/>
    <w:basedOn w:val="Fuentedeprrafopredeter"/>
    <w:link w:val="Textocomentario"/>
    <w:semiHidden/>
    <w:rsid w:val="00755CDB"/>
    <w:rPr>
      <w:rFonts w:ascii="CG Times" w:eastAsia="Times New Roman" w:hAnsi="CG Times" w:cs="Times New Roman"/>
      <w:sz w:val="20"/>
      <w:szCs w:val="20"/>
      <w:lang w:eastAsia="es-ES"/>
    </w:rPr>
  </w:style>
  <w:style w:type="paragraph" w:customStyle="1" w:styleId="xl27">
    <w:name w:val="xl27"/>
    <w:basedOn w:val="Normal"/>
    <w:rsid w:val="00755CDB"/>
    <w:pPr>
      <w:spacing w:before="100" w:after="100"/>
      <w:ind w:left="0"/>
      <w:jc w:val="both"/>
    </w:pPr>
    <w:rPr>
      <w:rFonts w:ascii="Bookman Old Style" w:eastAsia="Arial Unicode MS" w:hAnsi="Bookman Old Style"/>
      <w:szCs w:val="20"/>
    </w:rPr>
  </w:style>
  <w:style w:type="paragraph" w:styleId="Cita">
    <w:name w:val="Quote"/>
    <w:basedOn w:val="Normal"/>
    <w:link w:val="CitaCar"/>
    <w:qFormat/>
    <w:rsid w:val="00755CDB"/>
    <w:pPr>
      <w:ind w:left="708"/>
      <w:jc w:val="both"/>
    </w:pPr>
    <w:rPr>
      <w:rFonts w:ascii="Arial" w:hAnsi="Arial"/>
      <w:i/>
      <w:lang w:val="es-CO"/>
    </w:rPr>
  </w:style>
  <w:style w:type="character" w:customStyle="1" w:styleId="CitaCar">
    <w:name w:val="Cita Car"/>
    <w:basedOn w:val="Fuentedeprrafopredeter"/>
    <w:link w:val="Cita"/>
    <w:rsid w:val="00755CDB"/>
    <w:rPr>
      <w:rFonts w:ascii="Arial" w:eastAsia="Times New Roman" w:hAnsi="Arial" w:cs="Times New Roman"/>
      <w:i/>
      <w:sz w:val="24"/>
      <w:szCs w:val="24"/>
      <w:lang w:eastAsia="es-ES"/>
    </w:rPr>
  </w:style>
  <w:style w:type="paragraph" w:styleId="Piedepgina">
    <w:name w:val="footer"/>
    <w:basedOn w:val="Normal"/>
    <w:link w:val="PiedepginaCar"/>
    <w:uiPriority w:val="99"/>
    <w:unhideWhenUsed/>
    <w:rsid w:val="00755CDB"/>
    <w:pPr>
      <w:tabs>
        <w:tab w:val="center" w:pos="4252"/>
        <w:tab w:val="right" w:pos="8504"/>
      </w:tabs>
    </w:pPr>
  </w:style>
  <w:style w:type="character" w:customStyle="1" w:styleId="PiedepginaCar">
    <w:name w:val="Pie de página Car"/>
    <w:basedOn w:val="Fuentedeprrafopredeter"/>
    <w:link w:val="Piedepgina"/>
    <w:uiPriority w:val="99"/>
    <w:rsid w:val="00755CDB"/>
    <w:rPr>
      <w:rFonts w:ascii="Times New Roman" w:eastAsia="Times New Roman" w:hAnsi="Times New Roman" w:cs="Times New Roman"/>
      <w:sz w:val="24"/>
      <w:szCs w:val="24"/>
      <w:lang w:val="es-ES" w:eastAsia="es-ES"/>
    </w:rPr>
  </w:style>
  <w:style w:type="paragraph" w:styleId="Textonotapie">
    <w:name w:val="footnote text"/>
    <w:basedOn w:val="Normal"/>
    <w:link w:val="TextonotapieCar"/>
    <w:semiHidden/>
    <w:rsid w:val="00755CDB"/>
    <w:pPr>
      <w:ind w:left="0"/>
    </w:pPr>
    <w:rPr>
      <w:rFonts w:eastAsia="SimSun"/>
      <w:sz w:val="20"/>
      <w:szCs w:val="20"/>
      <w:lang w:val="es-CO" w:eastAsia="zh-CN"/>
    </w:rPr>
  </w:style>
  <w:style w:type="character" w:customStyle="1" w:styleId="TextonotapieCar">
    <w:name w:val="Texto nota pie Car"/>
    <w:basedOn w:val="Fuentedeprrafopredeter"/>
    <w:link w:val="Textonotapie"/>
    <w:semiHidden/>
    <w:rsid w:val="00755CDB"/>
    <w:rPr>
      <w:rFonts w:ascii="Times New Roman" w:eastAsia="SimSun" w:hAnsi="Times New Roman" w:cs="Times New Roman"/>
      <w:sz w:val="20"/>
      <w:szCs w:val="20"/>
      <w:lang w:eastAsia="zh-CN"/>
    </w:rPr>
  </w:style>
  <w:style w:type="character" w:styleId="Refdenotaalpie">
    <w:name w:val="footnote reference"/>
    <w:basedOn w:val="Fuentedeprrafopredeter"/>
    <w:semiHidden/>
    <w:rsid w:val="00755CDB"/>
    <w:rPr>
      <w:vertAlign w:val="superscript"/>
    </w:rPr>
  </w:style>
  <w:style w:type="character" w:styleId="MquinadeescribirHTML">
    <w:name w:val="HTML Typewriter"/>
    <w:basedOn w:val="Fuentedeprrafopredeter"/>
    <w:uiPriority w:val="99"/>
    <w:semiHidden/>
    <w:unhideWhenUsed/>
    <w:rsid w:val="00755CDB"/>
    <w:rPr>
      <w:rFonts w:ascii="Courier New" w:eastAsia="Times New Roman" w:hAnsi="Courier New" w:cs="Courier New"/>
      <w:sz w:val="20"/>
      <w:szCs w:val="20"/>
    </w:rPr>
  </w:style>
  <w:style w:type="paragraph" w:customStyle="1" w:styleId="normaljustificado">
    <w:name w:val="normaljustificado"/>
    <w:basedOn w:val="Normal"/>
    <w:rsid w:val="00755CDB"/>
    <w:pPr>
      <w:spacing w:before="100" w:beforeAutospacing="1" w:after="100" w:afterAutospacing="1"/>
      <w:ind w:left="0"/>
    </w:pPr>
  </w:style>
  <w:style w:type="paragraph" w:styleId="Textonotaalfinal">
    <w:name w:val="endnote text"/>
    <w:basedOn w:val="Normal"/>
    <w:link w:val="TextonotaalfinalCar"/>
    <w:uiPriority w:val="99"/>
    <w:semiHidden/>
    <w:unhideWhenUsed/>
    <w:rsid w:val="00755CDB"/>
    <w:rPr>
      <w:sz w:val="20"/>
      <w:szCs w:val="20"/>
    </w:rPr>
  </w:style>
  <w:style w:type="character" w:customStyle="1" w:styleId="TextonotaalfinalCar">
    <w:name w:val="Texto nota al final Car"/>
    <w:basedOn w:val="Fuentedeprrafopredeter"/>
    <w:link w:val="Textonotaalfinal"/>
    <w:uiPriority w:val="99"/>
    <w:semiHidden/>
    <w:rsid w:val="00755CDB"/>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755CDB"/>
    <w:rPr>
      <w:vertAlign w:val="superscript"/>
    </w:rPr>
  </w:style>
  <w:style w:type="paragraph" w:customStyle="1" w:styleId="Textodebloque1">
    <w:name w:val="Texto de bloque1"/>
    <w:basedOn w:val="Normal"/>
    <w:rsid w:val="00755CDB"/>
    <w:pPr>
      <w:overflowPunct w:val="0"/>
      <w:autoSpaceDE w:val="0"/>
      <w:autoSpaceDN w:val="0"/>
      <w:adjustRightInd w:val="0"/>
      <w:ind w:left="561" w:right="561"/>
      <w:jc w:val="both"/>
      <w:textAlignment w:val="baseline"/>
    </w:pPr>
    <w:rPr>
      <w:sz w:val="20"/>
      <w:szCs w:val="20"/>
    </w:rPr>
  </w:style>
  <w:style w:type="paragraph" w:styleId="NormalWeb">
    <w:name w:val="Normal (Web)"/>
    <w:basedOn w:val="Normal"/>
    <w:uiPriority w:val="99"/>
    <w:unhideWhenUsed/>
    <w:rsid w:val="00755CDB"/>
    <w:pPr>
      <w:spacing w:before="100" w:beforeAutospacing="1" w:after="100" w:afterAutospacing="1"/>
      <w:ind w:left="0"/>
    </w:pPr>
    <w:rPr>
      <w:color w:val="000000"/>
    </w:rPr>
  </w:style>
  <w:style w:type="paragraph" w:styleId="Textodeglobo">
    <w:name w:val="Balloon Text"/>
    <w:basedOn w:val="Normal"/>
    <w:link w:val="TextodegloboCar"/>
    <w:uiPriority w:val="99"/>
    <w:semiHidden/>
    <w:unhideWhenUsed/>
    <w:rsid w:val="00755CDB"/>
    <w:rPr>
      <w:rFonts w:ascii="Tahoma" w:hAnsi="Tahoma" w:cs="Tahoma"/>
      <w:sz w:val="16"/>
      <w:szCs w:val="16"/>
    </w:rPr>
  </w:style>
  <w:style w:type="character" w:customStyle="1" w:styleId="TextodegloboCar">
    <w:name w:val="Texto de globo Car"/>
    <w:basedOn w:val="Fuentedeprrafopredeter"/>
    <w:link w:val="Textodeglobo"/>
    <w:uiPriority w:val="99"/>
    <w:semiHidden/>
    <w:rsid w:val="00755CDB"/>
    <w:rPr>
      <w:rFonts w:ascii="Tahoma" w:eastAsia="Times New Roman" w:hAnsi="Tahoma" w:cs="Tahoma"/>
      <w:sz w:val="16"/>
      <w:szCs w:val="16"/>
      <w:lang w:val="es-ES" w:eastAsia="es-ES"/>
    </w:rPr>
  </w:style>
  <w:style w:type="character" w:styleId="Refdecomentario">
    <w:name w:val="annotation reference"/>
    <w:basedOn w:val="Fuentedeprrafopredeter"/>
    <w:uiPriority w:val="99"/>
    <w:semiHidden/>
    <w:unhideWhenUsed/>
    <w:rsid w:val="00755CDB"/>
    <w:rPr>
      <w:sz w:val="16"/>
      <w:szCs w:val="16"/>
    </w:rPr>
  </w:style>
  <w:style w:type="paragraph" w:styleId="Asuntodelcomentario">
    <w:name w:val="annotation subject"/>
    <w:basedOn w:val="Textocomentario"/>
    <w:next w:val="Textocomentario"/>
    <w:link w:val="AsuntodelcomentarioCar"/>
    <w:uiPriority w:val="99"/>
    <w:semiHidden/>
    <w:unhideWhenUsed/>
    <w:rsid w:val="00755CDB"/>
    <w:pPr>
      <w:ind w:left="567"/>
    </w:pPr>
    <w:rPr>
      <w:rFonts w:ascii="Times New Roman" w:hAnsi="Times New Roman"/>
      <w:b/>
      <w:bCs/>
      <w:lang w:val="es-ES"/>
    </w:rPr>
  </w:style>
  <w:style w:type="character" w:customStyle="1" w:styleId="AsuntodelcomentarioCar">
    <w:name w:val="Asunto del comentario Car"/>
    <w:basedOn w:val="TextocomentarioCar"/>
    <w:link w:val="Asuntodelcomentario"/>
    <w:uiPriority w:val="99"/>
    <w:semiHidden/>
    <w:rsid w:val="00755CDB"/>
    <w:rPr>
      <w:rFonts w:ascii="Times New Roman" w:eastAsia="Times New Roman" w:hAnsi="Times New Roman" w:cs="Times New Roman"/>
      <w:b/>
      <w:bCs/>
      <w:sz w:val="20"/>
      <w:szCs w:val="20"/>
      <w:lang w:val="es-ES" w:eastAsia="es-ES"/>
    </w:rPr>
  </w:style>
  <w:style w:type="character" w:styleId="Hipervnculo">
    <w:name w:val="Hyperlink"/>
    <w:basedOn w:val="Fuentedeprrafopredeter"/>
    <w:uiPriority w:val="99"/>
    <w:semiHidden/>
    <w:unhideWhenUsed/>
    <w:rsid w:val="00C1437E"/>
    <w:rPr>
      <w:color w:val="0000FF"/>
      <w:u w:val="single"/>
    </w:rPr>
  </w:style>
  <w:style w:type="paragraph" w:styleId="Sangra3detindependiente">
    <w:name w:val="Body Text Indent 3"/>
    <w:basedOn w:val="Normal"/>
    <w:link w:val="Sangra3detindependienteCar"/>
    <w:uiPriority w:val="99"/>
    <w:semiHidden/>
    <w:unhideWhenUsed/>
    <w:rsid w:val="00187529"/>
    <w:pPr>
      <w:spacing w:after="120"/>
      <w:ind w:left="360"/>
    </w:pPr>
    <w:rPr>
      <w:sz w:val="16"/>
      <w:szCs w:val="16"/>
    </w:rPr>
  </w:style>
  <w:style w:type="character" w:customStyle="1" w:styleId="Sangra3detindependienteCar">
    <w:name w:val="Sangría 3 de t. independiente Car"/>
    <w:basedOn w:val="Fuentedeprrafopredeter"/>
    <w:link w:val="Sangra3detindependiente"/>
    <w:uiPriority w:val="99"/>
    <w:semiHidden/>
    <w:rsid w:val="00187529"/>
    <w:rPr>
      <w:rFonts w:ascii="Times New Roman" w:eastAsia="Times New Roman" w:hAnsi="Times New Roman" w:cs="Times New Roman"/>
      <w:sz w:val="16"/>
      <w:szCs w:val="16"/>
      <w:lang w:val="es-ES" w:eastAsia="es-ES"/>
    </w:rPr>
  </w:style>
  <w:style w:type="paragraph" w:customStyle="1" w:styleId="Textoindependiente21">
    <w:name w:val="Texto independiente 21"/>
    <w:basedOn w:val="Normal"/>
    <w:rsid w:val="00187529"/>
    <w:pPr>
      <w:overflowPunct w:val="0"/>
      <w:autoSpaceDE w:val="0"/>
      <w:autoSpaceDN w:val="0"/>
      <w:adjustRightInd w:val="0"/>
      <w:ind w:left="708"/>
      <w:jc w:val="both"/>
      <w:textAlignment w:val="baseline"/>
    </w:pPr>
    <w:rPr>
      <w:rFonts w:ascii="Arial" w:hAnsi="Arial"/>
      <w:szCs w:val="20"/>
      <w:lang w:val="es-ES_tradnl"/>
    </w:rPr>
  </w:style>
  <w:style w:type="paragraph" w:customStyle="1" w:styleId="p0">
    <w:name w:val="p0"/>
    <w:basedOn w:val="Normal"/>
    <w:rsid w:val="00187529"/>
    <w:pPr>
      <w:widowControl w:val="0"/>
      <w:tabs>
        <w:tab w:val="left" w:pos="720"/>
      </w:tabs>
      <w:autoSpaceDE w:val="0"/>
      <w:autoSpaceDN w:val="0"/>
      <w:adjustRightInd w:val="0"/>
      <w:spacing w:line="240" w:lineRule="atLeast"/>
      <w:ind w:left="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CDB"/>
    <w:pPr>
      <w:spacing w:after="0" w:line="240" w:lineRule="auto"/>
      <w:ind w:left="567"/>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755CDB"/>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755CDB"/>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755CDB"/>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755CDB"/>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755CDB"/>
    <w:pPr>
      <w:keepNext/>
      <w:jc w:val="center"/>
      <w:outlineLvl w:val="4"/>
    </w:pPr>
    <w:rPr>
      <w:rFonts w:ascii="Arial" w:hAnsi="Arial" w:cs="Arial"/>
      <w:b/>
      <w:snapToGrid w:val="0"/>
      <w:color w:val="000000"/>
      <w:spacing w:val="20"/>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55CDB"/>
    <w:rPr>
      <w:rFonts w:ascii="CG Times" w:eastAsia="Times New Roman" w:hAnsi="CG Times" w:cs="Times New Roman"/>
      <w:b/>
      <w:sz w:val="24"/>
      <w:szCs w:val="20"/>
      <w:lang w:eastAsia="es-ES"/>
    </w:rPr>
  </w:style>
  <w:style w:type="character" w:customStyle="1" w:styleId="Ttulo2Car">
    <w:name w:val="Título 2 Car"/>
    <w:basedOn w:val="Fuentedeprrafopredeter"/>
    <w:link w:val="Ttulo2"/>
    <w:uiPriority w:val="9"/>
    <w:semiHidden/>
    <w:rsid w:val="00755CDB"/>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755CDB"/>
    <w:rPr>
      <w:rFonts w:ascii="CG Times" w:eastAsia="Times New Roman" w:hAnsi="CG Times" w:cs="Times New Roman"/>
      <w:b/>
      <w:snapToGrid w:val="0"/>
      <w:color w:val="000000"/>
      <w:sz w:val="24"/>
      <w:szCs w:val="20"/>
      <w:lang w:val="es-ES_tradnl" w:eastAsia="es-ES"/>
    </w:rPr>
  </w:style>
  <w:style w:type="character" w:customStyle="1" w:styleId="Ttulo4Car">
    <w:name w:val="Título 4 Car"/>
    <w:basedOn w:val="Fuentedeprrafopredeter"/>
    <w:link w:val="Ttulo4"/>
    <w:rsid w:val="00755CDB"/>
    <w:rPr>
      <w:rFonts w:ascii="Arial" w:eastAsia="Times New Roman" w:hAnsi="Arial" w:cs="Arial"/>
      <w:b/>
      <w:snapToGrid w:val="0"/>
      <w:color w:val="000000"/>
      <w:spacing w:val="20"/>
      <w:sz w:val="20"/>
      <w:szCs w:val="20"/>
      <w:lang w:val="es-ES_tradnl" w:eastAsia="es-ES"/>
    </w:rPr>
  </w:style>
  <w:style w:type="character" w:customStyle="1" w:styleId="Ttulo5Car">
    <w:name w:val="Título 5 Car"/>
    <w:basedOn w:val="Fuentedeprrafopredeter"/>
    <w:link w:val="Ttulo5"/>
    <w:rsid w:val="00755CDB"/>
    <w:rPr>
      <w:rFonts w:ascii="Arial" w:eastAsia="Times New Roman" w:hAnsi="Arial" w:cs="Arial"/>
      <w:b/>
      <w:snapToGrid w:val="0"/>
      <w:color w:val="000000"/>
      <w:spacing w:val="20"/>
      <w:sz w:val="28"/>
      <w:szCs w:val="20"/>
      <w:lang w:val="es-ES_tradnl" w:eastAsia="es-ES"/>
    </w:rPr>
  </w:style>
  <w:style w:type="paragraph" w:styleId="Encabezado">
    <w:name w:val="header"/>
    <w:basedOn w:val="Normal"/>
    <w:link w:val="EncabezadoCar"/>
    <w:rsid w:val="00755CDB"/>
    <w:pPr>
      <w:tabs>
        <w:tab w:val="center" w:pos="4252"/>
        <w:tab w:val="right" w:pos="8504"/>
      </w:tabs>
    </w:pPr>
    <w:rPr>
      <w:rFonts w:ascii="CG Times" w:hAnsi="CG Times"/>
      <w:szCs w:val="20"/>
      <w:lang w:val="es-CO"/>
    </w:rPr>
  </w:style>
  <w:style w:type="character" w:customStyle="1" w:styleId="EncabezadoCar">
    <w:name w:val="Encabezado Car"/>
    <w:basedOn w:val="Fuentedeprrafopredeter"/>
    <w:link w:val="Encabezado"/>
    <w:rsid w:val="00755CDB"/>
    <w:rPr>
      <w:rFonts w:ascii="CG Times" w:eastAsia="Times New Roman" w:hAnsi="CG Times" w:cs="Times New Roman"/>
      <w:sz w:val="24"/>
      <w:szCs w:val="20"/>
      <w:lang w:eastAsia="es-ES"/>
    </w:rPr>
  </w:style>
  <w:style w:type="paragraph" w:styleId="Textoindependiente">
    <w:name w:val="Body Text"/>
    <w:basedOn w:val="Normal"/>
    <w:link w:val="TextoindependienteCar"/>
    <w:uiPriority w:val="99"/>
    <w:semiHidden/>
    <w:rsid w:val="00755CDB"/>
    <w:pPr>
      <w:jc w:val="center"/>
    </w:pPr>
    <w:rPr>
      <w:rFonts w:ascii="Arial" w:hAnsi="Arial" w:cs="Arial"/>
      <w:b/>
      <w:bCs/>
    </w:rPr>
  </w:style>
  <w:style w:type="character" w:customStyle="1" w:styleId="TextoindependienteCar">
    <w:name w:val="Texto independiente Car"/>
    <w:basedOn w:val="Fuentedeprrafopredeter"/>
    <w:link w:val="Textoindependiente"/>
    <w:uiPriority w:val="99"/>
    <w:semiHidden/>
    <w:rsid w:val="00755CDB"/>
    <w:rPr>
      <w:rFonts w:ascii="Arial" w:eastAsia="Times New Roman" w:hAnsi="Arial" w:cs="Arial"/>
      <w:b/>
      <w:bCs/>
      <w:sz w:val="24"/>
      <w:szCs w:val="24"/>
      <w:lang w:val="es-ES" w:eastAsia="es-ES"/>
    </w:rPr>
  </w:style>
  <w:style w:type="paragraph" w:styleId="Prrafodelista">
    <w:name w:val="List Paragraph"/>
    <w:basedOn w:val="Normal"/>
    <w:link w:val="PrrafodelistaCar"/>
    <w:uiPriority w:val="34"/>
    <w:qFormat/>
    <w:rsid w:val="00755CDB"/>
    <w:pPr>
      <w:ind w:left="708"/>
    </w:pPr>
    <w:rPr>
      <w:sz w:val="20"/>
      <w:szCs w:val="20"/>
      <w:lang w:val="es-CO"/>
    </w:rPr>
  </w:style>
  <w:style w:type="character" w:customStyle="1" w:styleId="PrrafodelistaCar">
    <w:name w:val="Párrafo de lista Car"/>
    <w:basedOn w:val="Fuentedeprrafopredeter"/>
    <w:link w:val="Prrafodelista"/>
    <w:uiPriority w:val="34"/>
    <w:rsid w:val="00755CDB"/>
    <w:rPr>
      <w:rFonts w:ascii="Times New Roman" w:eastAsia="Times New Roman" w:hAnsi="Times New Roman" w:cs="Times New Roman"/>
      <w:sz w:val="20"/>
      <w:szCs w:val="20"/>
      <w:lang w:eastAsia="es-ES"/>
    </w:rPr>
  </w:style>
  <w:style w:type="paragraph" w:styleId="Textodebloque">
    <w:name w:val="Block Text"/>
    <w:basedOn w:val="Normal"/>
    <w:rsid w:val="00755CDB"/>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semiHidden/>
    <w:unhideWhenUsed/>
    <w:rsid w:val="00755CDB"/>
    <w:pPr>
      <w:spacing w:after="120" w:line="480" w:lineRule="auto"/>
    </w:pPr>
  </w:style>
  <w:style w:type="character" w:customStyle="1" w:styleId="Textoindependiente2Car">
    <w:name w:val="Texto independiente 2 Car"/>
    <w:basedOn w:val="Fuentedeprrafopredeter"/>
    <w:link w:val="Textoindependiente2"/>
    <w:semiHidden/>
    <w:rsid w:val="00755CDB"/>
    <w:rPr>
      <w:rFonts w:ascii="Times New Roman" w:eastAsia="Times New Roman" w:hAnsi="Times New Roman" w:cs="Times New Roman"/>
      <w:sz w:val="24"/>
      <w:szCs w:val="24"/>
      <w:lang w:val="es-ES" w:eastAsia="es-ES"/>
    </w:rPr>
  </w:style>
  <w:style w:type="paragraph" w:styleId="Sinespaciado">
    <w:name w:val="No Spacing"/>
    <w:uiPriority w:val="1"/>
    <w:qFormat/>
    <w:rsid w:val="00755CDB"/>
    <w:pPr>
      <w:spacing w:after="0" w:line="240" w:lineRule="auto"/>
    </w:pPr>
    <w:rPr>
      <w:rFonts w:ascii="Calibri" w:eastAsia="Times New Roman" w:hAnsi="Calibri" w:cs="Calibri"/>
      <w:lang w:val="es-ES"/>
    </w:rPr>
  </w:style>
  <w:style w:type="paragraph" w:styleId="Textocomentario">
    <w:name w:val="annotation text"/>
    <w:basedOn w:val="Normal"/>
    <w:link w:val="TextocomentarioCar"/>
    <w:semiHidden/>
    <w:rsid w:val="00755CDB"/>
    <w:pPr>
      <w:ind w:left="0"/>
    </w:pPr>
    <w:rPr>
      <w:rFonts w:ascii="CG Times" w:hAnsi="CG Times"/>
      <w:sz w:val="20"/>
      <w:szCs w:val="20"/>
      <w:lang w:val="es-CO"/>
    </w:rPr>
  </w:style>
  <w:style w:type="character" w:customStyle="1" w:styleId="TextocomentarioCar">
    <w:name w:val="Texto comentario Car"/>
    <w:basedOn w:val="Fuentedeprrafopredeter"/>
    <w:link w:val="Textocomentario"/>
    <w:semiHidden/>
    <w:rsid w:val="00755CDB"/>
    <w:rPr>
      <w:rFonts w:ascii="CG Times" w:eastAsia="Times New Roman" w:hAnsi="CG Times" w:cs="Times New Roman"/>
      <w:sz w:val="20"/>
      <w:szCs w:val="20"/>
      <w:lang w:eastAsia="es-ES"/>
    </w:rPr>
  </w:style>
  <w:style w:type="paragraph" w:customStyle="1" w:styleId="xl27">
    <w:name w:val="xl27"/>
    <w:basedOn w:val="Normal"/>
    <w:rsid w:val="00755CDB"/>
    <w:pPr>
      <w:spacing w:before="100" w:after="100"/>
      <w:ind w:left="0"/>
      <w:jc w:val="both"/>
    </w:pPr>
    <w:rPr>
      <w:rFonts w:ascii="Bookman Old Style" w:eastAsia="Arial Unicode MS" w:hAnsi="Bookman Old Style"/>
      <w:szCs w:val="20"/>
    </w:rPr>
  </w:style>
  <w:style w:type="paragraph" w:styleId="Cita">
    <w:name w:val="Quote"/>
    <w:basedOn w:val="Normal"/>
    <w:link w:val="CitaCar"/>
    <w:qFormat/>
    <w:rsid w:val="00755CDB"/>
    <w:pPr>
      <w:ind w:left="708"/>
      <w:jc w:val="both"/>
    </w:pPr>
    <w:rPr>
      <w:rFonts w:ascii="Arial" w:hAnsi="Arial"/>
      <w:i/>
      <w:lang w:val="es-CO"/>
    </w:rPr>
  </w:style>
  <w:style w:type="character" w:customStyle="1" w:styleId="CitaCar">
    <w:name w:val="Cita Car"/>
    <w:basedOn w:val="Fuentedeprrafopredeter"/>
    <w:link w:val="Cita"/>
    <w:rsid w:val="00755CDB"/>
    <w:rPr>
      <w:rFonts w:ascii="Arial" w:eastAsia="Times New Roman" w:hAnsi="Arial" w:cs="Times New Roman"/>
      <w:i/>
      <w:sz w:val="24"/>
      <w:szCs w:val="24"/>
      <w:lang w:eastAsia="es-ES"/>
    </w:rPr>
  </w:style>
  <w:style w:type="paragraph" w:styleId="Piedepgina">
    <w:name w:val="footer"/>
    <w:basedOn w:val="Normal"/>
    <w:link w:val="PiedepginaCar"/>
    <w:uiPriority w:val="99"/>
    <w:unhideWhenUsed/>
    <w:rsid w:val="00755CDB"/>
    <w:pPr>
      <w:tabs>
        <w:tab w:val="center" w:pos="4252"/>
        <w:tab w:val="right" w:pos="8504"/>
      </w:tabs>
    </w:pPr>
  </w:style>
  <w:style w:type="character" w:customStyle="1" w:styleId="PiedepginaCar">
    <w:name w:val="Pie de página Car"/>
    <w:basedOn w:val="Fuentedeprrafopredeter"/>
    <w:link w:val="Piedepgina"/>
    <w:uiPriority w:val="99"/>
    <w:rsid w:val="00755CDB"/>
    <w:rPr>
      <w:rFonts w:ascii="Times New Roman" w:eastAsia="Times New Roman" w:hAnsi="Times New Roman" w:cs="Times New Roman"/>
      <w:sz w:val="24"/>
      <w:szCs w:val="24"/>
      <w:lang w:val="es-ES" w:eastAsia="es-ES"/>
    </w:rPr>
  </w:style>
  <w:style w:type="paragraph" w:styleId="Textonotapie">
    <w:name w:val="footnote text"/>
    <w:basedOn w:val="Normal"/>
    <w:link w:val="TextonotapieCar"/>
    <w:semiHidden/>
    <w:rsid w:val="00755CDB"/>
    <w:pPr>
      <w:ind w:left="0"/>
    </w:pPr>
    <w:rPr>
      <w:rFonts w:eastAsia="SimSun"/>
      <w:sz w:val="20"/>
      <w:szCs w:val="20"/>
      <w:lang w:val="es-CO" w:eastAsia="zh-CN"/>
    </w:rPr>
  </w:style>
  <w:style w:type="character" w:customStyle="1" w:styleId="TextonotapieCar">
    <w:name w:val="Texto nota pie Car"/>
    <w:basedOn w:val="Fuentedeprrafopredeter"/>
    <w:link w:val="Textonotapie"/>
    <w:semiHidden/>
    <w:rsid w:val="00755CDB"/>
    <w:rPr>
      <w:rFonts w:ascii="Times New Roman" w:eastAsia="SimSun" w:hAnsi="Times New Roman" w:cs="Times New Roman"/>
      <w:sz w:val="20"/>
      <w:szCs w:val="20"/>
      <w:lang w:eastAsia="zh-CN"/>
    </w:rPr>
  </w:style>
  <w:style w:type="character" w:styleId="Refdenotaalpie">
    <w:name w:val="footnote reference"/>
    <w:basedOn w:val="Fuentedeprrafopredeter"/>
    <w:semiHidden/>
    <w:rsid w:val="00755CDB"/>
    <w:rPr>
      <w:vertAlign w:val="superscript"/>
    </w:rPr>
  </w:style>
  <w:style w:type="character" w:styleId="MquinadeescribirHTML">
    <w:name w:val="HTML Typewriter"/>
    <w:basedOn w:val="Fuentedeprrafopredeter"/>
    <w:uiPriority w:val="99"/>
    <w:semiHidden/>
    <w:unhideWhenUsed/>
    <w:rsid w:val="00755CDB"/>
    <w:rPr>
      <w:rFonts w:ascii="Courier New" w:eastAsia="Times New Roman" w:hAnsi="Courier New" w:cs="Courier New"/>
      <w:sz w:val="20"/>
      <w:szCs w:val="20"/>
    </w:rPr>
  </w:style>
  <w:style w:type="paragraph" w:customStyle="1" w:styleId="normaljustificado">
    <w:name w:val="normaljustificado"/>
    <w:basedOn w:val="Normal"/>
    <w:rsid w:val="00755CDB"/>
    <w:pPr>
      <w:spacing w:before="100" w:beforeAutospacing="1" w:after="100" w:afterAutospacing="1"/>
      <w:ind w:left="0"/>
    </w:pPr>
  </w:style>
  <w:style w:type="paragraph" w:styleId="Textonotaalfinal">
    <w:name w:val="endnote text"/>
    <w:basedOn w:val="Normal"/>
    <w:link w:val="TextonotaalfinalCar"/>
    <w:uiPriority w:val="99"/>
    <w:semiHidden/>
    <w:unhideWhenUsed/>
    <w:rsid w:val="00755CDB"/>
    <w:rPr>
      <w:sz w:val="20"/>
      <w:szCs w:val="20"/>
    </w:rPr>
  </w:style>
  <w:style w:type="character" w:customStyle="1" w:styleId="TextonotaalfinalCar">
    <w:name w:val="Texto nota al final Car"/>
    <w:basedOn w:val="Fuentedeprrafopredeter"/>
    <w:link w:val="Textonotaalfinal"/>
    <w:uiPriority w:val="99"/>
    <w:semiHidden/>
    <w:rsid w:val="00755CDB"/>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755CDB"/>
    <w:rPr>
      <w:vertAlign w:val="superscript"/>
    </w:rPr>
  </w:style>
  <w:style w:type="paragraph" w:customStyle="1" w:styleId="Textodebloque1">
    <w:name w:val="Texto de bloque1"/>
    <w:basedOn w:val="Normal"/>
    <w:rsid w:val="00755CDB"/>
    <w:pPr>
      <w:overflowPunct w:val="0"/>
      <w:autoSpaceDE w:val="0"/>
      <w:autoSpaceDN w:val="0"/>
      <w:adjustRightInd w:val="0"/>
      <w:ind w:left="561" w:right="561"/>
      <w:jc w:val="both"/>
      <w:textAlignment w:val="baseline"/>
    </w:pPr>
    <w:rPr>
      <w:sz w:val="20"/>
      <w:szCs w:val="20"/>
    </w:rPr>
  </w:style>
  <w:style w:type="paragraph" w:styleId="NormalWeb">
    <w:name w:val="Normal (Web)"/>
    <w:basedOn w:val="Normal"/>
    <w:uiPriority w:val="99"/>
    <w:unhideWhenUsed/>
    <w:rsid w:val="00755CDB"/>
    <w:pPr>
      <w:spacing w:before="100" w:beforeAutospacing="1" w:after="100" w:afterAutospacing="1"/>
      <w:ind w:left="0"/>
    </w:pPr>
    <w:rPr>
      <w:color w:val="000000"/>
    </w:rPr>
  </w:style>
  <w:style w:type="paragraph" w:styleId="Textodeglobo">
    <w:name w:val="Balloon Text"/>
    <w:basedOn w:val="Normal"/>
    <w:link w:val="TextodegloboCar"/>
    <w:uiPriority w:val="99"/>
    <w:semiHidden/>
    <w:unhideWhenUsed/>
    <w:rsid w:val="00755CDB"/>
    <w:rPr>
      <w:rFonts w:ascii="Tahoma" w:hAnsi="Tahoma" w:cs="Tahoma"/>
      <w:sz w:val="16"/>
      <w:szCs w:val="16"/>
    </w:rPr>
  </w:style>
  <w:style w:type="character" w:customStyle="1" w:styleId="TextodegloboCar">
    <w:name w:val="Texto de globo Car"/>
    <w:basedOn w:val="Fuentedeprrafopredeter"/>
    <w:link w:val="Textodeglobo"/>
    <w:uiPriority w:val="99"/>
    <w:semiHidden/>
    <w:rsid w:val="00755CDB"/>
    <w:rPr>
      <w:rFonts w:ascii="Tahoma" w:eastAsia="Times New Roman" w:hAnsi="Tahoma" w:cs="Tahoma"/>
      <w:sz w:val="16"/>
      <w:szCs w:val="16"/>
      <w:lang w:val="es-ES" w:eastAsia="es-ES"/>
    </w:rPr>
  </w:style>
  <w:style w:type="character" w:styleId="Refdecomentario">
    <w:name w:val="annotation reference"/>
    <w:basedOn w:val="Fuentedeprrafopredeter"/>
    <w:uiPriority w:val="99"/>
    <w:semiHidden/>
    <w:unhideWhenUsed/>
    <w:rsid w:val="00755CDB"/>
    <w:rPr>
      <w:sz w:val="16"/>
      <w:szCs w:val="16"/>
    </w:rPr>
  </w:style>
  <w:style w:type="paragraph" w:styleId="Asuntodelcomentario">
    <w:name w:val="annotation subject"/>
    <w:basedOn w:val="Textocomentario"/>
    <w:next w:val="Textocomentario"/>
    <w:link w:val="AsuntodelcomentarioCar"/>
    <w:uiPriority w:val="99"/>
    <w:semiHidden/>
    <w:unhideWhenUsed/>
    <w:rsid w:val="00755CDB"/>
    <w:pPr>
      <w:ind w:left="567"/>
    </w:pPr>
    <w:rPr>
      <w:rFonts w:ascii="Times New Roman" w:hAnsi="Times New Roman"/>
      <w:b/>
      <w:bCs/>
      <w:lang w:val="es-ES"/>
    </w:rPr>
  </w:style>
  <w:style w:type="character" w:customStyle="1" w:styleId="AsuntodelcomentarioCar">
    <w:name w:val="Asunto del comentario Car"/>
    <w:basedOn w:val="TextocomentarioCar"/>
    <w:link w:val="Asuntodelcomentario"/>
    <w:uiPriority w:val="99"/>
    <w:semiHidden/>
    <w:rsid w:val="00755CDB"/>
    <w:rPr>
      <w:rFonts w:ascii="Times New Roman" w:eastAsia="Times New Roman" w:hAnsi="Times New Roman" w:cs="Times New Roman"/>
      <w:b/>
      <w:bCs/>
      <w:sz w:val="20"/>
      <w:szCs w:val="20"/>
      <w:lang w:val="es-ES" w:eastAsia="es-ES"/>
    </w:rPr>
  </w:style>
  <w:style w:type="character" w:styleId="Hipervnculo">
    <w:name w:val="Hyperlink"/>
    <w:basedOn w:val="Fuentedeprrafopredeter"/>
    <w:uiPriority w:val="99"/>
    <w:semiHidden/>
    <w:unhideWhenUsed/>
    <w:rsid w:val="00C1437E"/>
    <w:rPr>
      <w:color w:val="0000FF"/>
      <w:u w:val="single"/>
    </w:rPr>
  </w:style>
  <w:style w:type="paragraph" w:styleId="Sangra3detindependiente">
    <w:name w:val="Body Text Indent 3"/>
    <w:basedOn w:val="Normal"/>
    <w:link w:val="Sangra3detindependienteCar"/>
    <w:uiPriority w:val="99"/>
    <w:semiHidden/>
    <w:unhideWhenUsed/>
    <w:rsid w:val="00187529"/>
    <w:pPr>
      <w:spacing w:after="120"/>
      <w:ind w:left="360"/>
    </w:pPr>
    <w:rPr>
      <w:sz w:val="16"/>
      <w:szCs w:val="16"/>
    </w:rPr>
  </w:style>
  <w:style w:type="character" w:customStyle="1" w:styleId="Sangra3detindependienteCar">
    <w:name w:val="Sangría 3 de t. independiente Car"/>
    <w:basedOn w:val="Fuentedeprrafopredeter"/>
    <w:link w:val="Sangra3detindependiente"/>
    <w:uiPriority w:val="99"/>
    <w:semiHidden/>
    <w:rsid w:val="00187529"/>
    <w:rPr>
      <w:rFonts w:ascii="Times New Roman" w:eastAsia="Times New Roman" w:hAnsi="Times New Roman" w:cs="Times New Roman"/>
      <w:sz w:val="16"/>
      <w:szCs w:val="16"/>
      <w:lang w:val="es-ES" w:eastAsia="es-ES"/>
    </w:rPr>
  </w:style>
  <w:style w:type="paragraph" w:customStyle="1" w:styleId="Textoindependiente21">
    <w:name w:val="Texto independiente 21"/>
    <w:basedOn w:val="Normal"/>
    <w:rsid w:val="00187529"/>
    <w:pPr>
      <w:overflowPunct w:val="0"/>
      <w:autoSpaceDE w:val="0"/>
      <w:autoSpaceDN w:val="0"/>
      <w:adjustRightInd w:val="0"/>
      <w:ind w:left="708"/>
      <w:jc w:val="both"/>
      <w:textAlignment w:val="baseline"/>
    </w:pPr>
    <w:rPr>
      <w:rFonts w:ascii="Arial" w:hAnsi="Arial"/>
      <w:szCs w:val="20"/>
      <w:lang w:val="es-ES_tradnl"/>
    </w:rPr>
  </w:style>
  <w:style w:type="paragraph" w:customStyle="1" w:styleId="p0">
    <w:name w:val="p0"/>
    <w:basedOn w:val="Normal"/>
    <w:rsid w:val="00187529"/>
    <w:pPr>
      <w:widowControl w:val="0"/>
      <w:tabs>
        <w:tab w:val="left" w:pos="720"/>
      </w:tabs>
      <w:autoSpaceDE w:val="0"/>
      <w:autoSpaceDN w:val="0"/>
      <w:adjustRightInd w:val="0"/>
      <w:spacing w:line="240" w:lineRule="atLeast"/>
      <w:ind w:left="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519856">
      <w:bodyDiv w:val="1"/>
      <w:marLeft w:val="0"/>
      <w:marRight w:val="0"/>
      <w:marTop w:val="0"/>
      <w:marBottom w:val="0"/>
      <w:divBdr>
        <w:top w:val="none" w:sz="0" w:space="0" w:color="auto"/>
        <w:left w:val="none" w:sz="0" w:space="0" w:color="auto"/>
        <w:bottom w:val="none" w:sz="0" w:space="0" w:color="auto"/>
        <w:right w:val="none" w:sz="0" w:space="0" w:color="auto"/>
      </w:divBdr>
      <w:divsChild>
        <w:div w:id="1821186859">
          <w:marLeft w:val="0"/>
          <w:marRight w:val="0"/>
          <w:marTop w:val="0"/>
          <w:marBottom w:val="0"/>
          <w:divBdr>
            <w:top w:val="none" w:sz="0" w:space="0" w:color="auto"/>
            <w:left w:val="none" w:sz="0" w:space="0" w:color="auto"/>
            <w:bottom w:val="none" w:sz="0" w:space="0" w:color="auto"/>
            <w:right w:val="none" w:sz="0" w:space="0" w:color="auto"/>
          </w:divBdr>
          <w:divsChild>
            <w:div w:id="1740403279">
              <w:marLeft w:val="0"/>
              <w:marRight w:val="0"/>
              <w:marTop w:val="0"/>
              <w:marBottom w:val="0"/>
              <w:divBdr>
                <w:top w:val="none" w:sz="0" w:space="0" w:color="auto"/>
                <w:left w:val="none" w:sz="0" w:space="0" w:color="auto"/>
                <w:bottom w:val="none" w:sz="0" w:space="0" w:color="auto"/>
                <w:right w:val="none" w:sz="0" w:space="0" w:color="auto"/>
              </w:divBdr>
              <w:divsChild>
                <w:div w:id="122776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704781">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828594250">
          <w:marLeft w:val="0"/>
          <w:marRight w:val="0"/>
          <w:marTop w:val="0"/>
          <w:marBottom w:val="0"/>
          <w:divBdr>
            <w:top w:val="none" w:sz="0" w:space="0" w:color="auto"/>
            <w:left w:val="none" w:sz="0" w:space="0" w:color="auto"/>
            <w:bottom w:val="none" w:sz="0" w:space="0" w:color="auto"/>
            <w:right w:val="none" w:sz="0" w:space="0" w:color="auto"/>
          </w:divBdr>
        </w:div>
        <w:div w:id="261110858">
          <w:marLeft w:val="0"/>
          <w:marRight w:val="0"/>
          <w:marTop w:val="0"/>
          <w:marBottom w:val="0"/>
          <w:divBdr>
            <w:top w:val="none" w:sz="0" w:space="0" w:color="auto"/>
            <w:left w:val="none" w:sz="0" w:space="0" w:color="auto"/>
            <w:bottom w:val="none" w:sz="0" w:space="0" w:color="auto"/>
            <w:right w:val="none" w:sz="0" w:space="0" w:color="auto"/>
          </w:divBdr>
        </w:div>
        <w:div w:id="21106627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3DDAA97-802B-4AC3-8F57-9E601A892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18514</Words>
  <Characters>101829</Characters>
  <Application>Microsoft Office Word</Application>
  <DocSecurity>0</DocSecurity>
  <Lines>848</Lines>
  <Paragraphs>240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Jose Chaux Donado</dc:creator>
  <cp:lastModifiedBy>Luz Stella Rojas Macias</cp:lastModifiedBy>
  <cp:revision>2</cp:revision>
  <cp:lastPrinted>2012-01-04T20:54:00Z</cp:lastPrinted>
  <dcterms:created xsi:type="dcterms:W3CDTF">2012-01-13T19:17:00Z</dcterms:created>
  <dcterms:modified xsi:type="dcterms:W3CDTF">2012-01-13T19:17:00Z</dcterms:modified>
</cp:coreProperties>
</file>