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714616" w:rsidRDefault="00DB6E71"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9" o:title=""/>
          </v:shape>
          <o:OLEObject Type="Embed" ProgID="PBrush" ShapeID="_x0000_s1026" DrawAspect="Content" ObjectID="_1382275842" r:id="rId10"/>
        </w:pict>
      </w:r>
    </w:p>
    <w:p w:rsidR="00445D79" w:rsidRPr="00714616"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714616" w:rsidRDefault="00445D79" w:rsidP="00EC2ABD">
      <w:pPr>
        <w:pStyle w:val="Ttulo4"/>
        <w:tabs>
          <w:tab w:val="left" w:pos="0"/>
          <w:tab w:val="right" w:pos="9356"/>
        </w:tabs>
        <w:ind w:left="0"/>
        <w:rPr>
          <w:rFonts w:ascii="Bookman Old Style" w:hAnsi="Bookman Old Style"/>
          <w:b w:val="0"/>
          <w:bCs/>
          <w:noProof/>
          <w:sz w:val="24"/>
          <w:szCs w:val="24"/>
          <w:lang w:val="es-ES"/>
        </w:rPr>
      </w:pPr>
      <w:r w:rsidRPr="00714616">
        <w:rPr>
          <w:rFonts w:ascii="Bookman Old Style" w:hAnsi="Bookman Old Style"/>
          <w:b w:val="0"/>
          <w:bCs/>
          <w:sz w:val="24"/>
          <w:szCs w:val="24"/>
        </w:rPr>
        <w:t>Ministerio de Minas y Energía</w:t>
      </w:r>
    </w:p>
    <w:p w:rsidR="00445D79" w:rsidRPr="00714616" w:rsidRDefault="00445D79" w:rsidP="00EC2ABD">
      <w:pPr>
        <w:pStyle w:val="Ttulo4"/>
        <w:tabs>
          <w:tab w:val="left" w:pos="0"/>
          <w:tab w:val="right" w:pos="9356"/>
        </w:tabs>
        <w:ind w:left="0"/>
        <w:rPr>
          <w:rFonts w:ascii="Bookman Old Style" w:hAnsi="Bookman Old Style"/>
          <w:b w:val="0"/>
          <w:bCs/>
          <w:sz w:val="24"/>
          <w:szCs w:val="24"/>
        </w:rPr>
      </w:pPr>
    </w:p>
    <w:p w:rsidR="00445D79" w:rsidRPr="00714616" w:rsidRDefault="00445D79" w:rsidP="00EC2ABD">
      <w:pPr>
        <w:pStyle w:val="Ttulo3"/>
        <w:tabs>
          <w:tab w:val="left" w:pos="0"/>
          <w:tab w:val="right" w:pos="9356"/>
        </w:tabs>
        <w:ind w:left="0"/>
        <w:rPr>
          <w:rFonts w:ascii="Bookman Old Style" w:hAnsi="Bookman Old Style" w:cs="Arial"/>
          <w:spacing w:val="20"/>
          <w:szCs w:val="24"/>
        </w:rPr>
      </w:pPr>
      <w:r w:rsidRPr="00714616">
        <w:rPr>
          <w:rFonts w:ascii="Bookman Old Style" w:hAnsi="Bookman Old Style" w:cs="Arial"/>
          <w:spacing w:val="20"/>
          <w:szCs w:val="24"/>
        </w:rPr>
        <w:t>COMISIÓN DE REGULACIÓN DE ENERGÍA Y GAS</w:t>
      </w:r>
    </w:p>
    <w:p w:rsidR="00445D79" w:rsidRPr="00714616" w:rsidRDefault="00445D79" w:rsidP="00EC2ABD">
      <w:pPr>
        <w:pStyle w:val="Ttulo5"/>
        <w:tabs>
          <w:tab w:val="left" w:pos="0"/>
          <w:tab w:val="right" w:pos="9356"/>
        </w:tabs>
        <w:ind w:left="0"/>
        <w:rPr>
          <w:rFonts w:ascii="Bookman Old Style" w:hAnsi="Bookman Old Style"/>
          <w:sz w:val="24"/>
          <w:szCs w:val="24"/>
        </w:rPr>
      </w:pPr>
    </w:p>
    <w:p w:rsidR="00445D79" w:rsidRPr="00714616" w:rsidRDefault="00445D79" w:rsidP="00EC2ABD">
      <w:pPr>
        <w:pStyle w:val="Ttulo5"/>
        <w:tabs>
          <w:tab w:val="left" w:pos="0"/>
          <w:tab w:val="right" w:pos="9356"/>
        </w:tabs>
        <w:ind w:left="0"/>
        <w:rPr>
          <w:rFonts w:ascii="Bookman Old Style" w:hAnsi="Bookman Old Style"/>
          <w:sz w:val="24"/>
          <w:szCs w:val="24"/>
        </w:rPr>
      </w:pPr>
    </w:p>
    <w:p w:rsidR="00445D79" w:rsidRPr="00714616" w:rsidRDefault="00445D79" w:rsidP="00EC2ABD">
      <w:pPr>
        <w:pStyle w:val="Ttulo5"/>
        <w:tabs>
          <w:tab w:val="left" w:pos="0"/>
          <w:tab w:val="right" w:pos="9356"/>
        </w:tabs>
        <w:ind w:left="0"/>
        <w:rPr>
          <w:rFonts w:ascii="Bookman Old Style" w:hAnsi="Bookman Old Style"/>
          <w:sz w:val="24"/>
          <w:szCs w:val="24"/>
        </w:rPr>
      </w:pPr>
      <w:r w:rsidRPr="00714616">
        <w:rPr>
          <w:rFonts w:ascii="Bookman Old Style" w:hAnsi="Bookman Old Style"/>
          <w:sz w:val="24"/>
          <w:szCs w:val="24"/>
        </w:rPr>
        <w:t>RESOLUCIÓN No.                   DE 2011</w:t>
      </w:r>
    </w:p>
    <w:p w:rsidR="00445D79" w:rsidRPr="00714616"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714616" w:rsidRDefault="00445D79" w:rsidP="00EC2ABD">
      <w:pPr>
        <w:pStyle w:val="Ttulo3"/>
        <w:tabs>
          <w:tab w:val="left" w:pos="0"/>
          <w:tab w:val="right" w:pos="9356"/>
        </w:tabs>
        <w:ind w:left="0"/>
        <w:rPr>
          <w:rFonts w:ascii="Bookman Old Style" w:hAnsi="Bookman Old Style"/>
          <w:b w:val="0"/>
          <w:snapToGrid/>
          <w:szCs w:val="24"/>
        </w:rPr>
      </w:pPr>
      <w:r w:rsidRPr="00714616">
        <w:rPr>
          <w:rFonts w:ascii="Bookman Old Style" w:hAnsi="Bookman Old Style"/>
          <w:b w:val="0"/>
          <w:szCs w:val="24"/>
        </w:rPr>
        <w:t>(                                  )</w:t>
      </w:r>
    </w:p>
    <w:p w:rsidR="00445D79" w:rsidRPr="00714616" w:rsidRDefault="00445D79" w:rsidP="00EC2ABD">
      <w:pPr>
        <w:ind w:left="0"/>
        <w:rPr>
          <w:rFonts w:ascii="Bookman Old Style" w:hAnsi="Bookman Old Style"/>
          <w:bCs/>
          <w:lang w:val="es-CO"/>
        </w:rPr>
      </w:pPr>
    </w:p>
    <w:p w:rsidR="00445D79" w:rsidRDefault="00445D79" w:rsidP="00EC2ABD">
      <w:pPr>
        <w:pStyle w:val="Sinespaciado"/>
        <w:jc w:val="both"/>
        <w:rPr>
          <w:rFonts w:ascii="Bookman Old Style" w:hAnsi="Bookman Old Style" w:cs="Arial"/>
          <w:b/>
          <w:sz w:val="24"/>
          <w:szCs w:val="24"/>
        </w:rPr>
      </w:pPr>
    </w:p>
    <w:p w:rsidR="00317298" w:rsidRDefault="00317298" w:rsidP="00EC2ABD">
      <w:pPr>
        <w:pStyle w:val="Sinespaciado"/>
        <w:jc w:val="both"/>
        <w:rPr>
          <w:rFonts w:ascii="Bookman Old Style" w:hAnsi="Bookman Old Style" w:cs="Arial"/>
          <w:b/>
          <w:sz w:val="24"/>
          <w:szCs w:val="24"/>
        </w:rPr>
      </w:pPr>
    </w:p>
    <w:p w:rsidR="00673D24" w:rsidRDefault="00673D24" w:rsidP="00EC2ABD">
      <w:pPr>
        <w:pStyle w:val="Sinespaciado"/>
        <w:jc w:val="both"/>
        <w:rPr>
          <w:rFonts w:ascii="Bookman Old Style" w:hAnsi="Bookman Old Style" w:cs="Arial"/>
          <w:b/>
          <w:sz w:val="24"/>
          <w:szCs w:val="24"/>
        </w:rPr>
      </w:pPr>
    </w:p>
    <w:p w:rsidR="00445D79" w:rsidRPr="00714616" w:rsidRDefault="00445D79" w:rsidP="00EC2ABD">
      <w:pPr>
        <w:ind w:left="0"/>
        <w:jc w:val="center"/>
        <w:rPr>
          <w:rFonts w:ascii="Bookman Old Style" w:hAnsi="Bookman Old Style" w:cs="Arial"/>
          <w:lang w:eastAsia="es-CO"/>
        </w:rPr>
      </w:pPr>
      <w:r w:rsidRPr="00714616">
        <w:rPr>
          <w:rFonts w:ascii="Bookman Old Style" w:hAnsi="Bookman Old Style" w:cs="Arial"/>
          <w:color w:val="000000" w:themeColor="text1"/>
          <w:lang w:eastAsia="es-CO"/>
        </w:rPr>
        <w:t xml:space="preserve">Por la cual se decide </w:t>
      </w:r>
      <w:r w:rsidR="009C4FE5" w:rsidRPr="00714616">
        <w:rPr>
          <w:rFonts w:ascii="Bookman Old Style" w:hAnsi="Bookman Old Style" w:cs="Arial"/>
          <w:color w:val="000000" w:themeColor="text1"/>
          <w:lang w:eastAsia="es-CO"/>
        </w:rPr>
        <w:t>la a</w:t>
      </w:r>
      <w:r w:rsidR="009C4FE5" w:rsidRPr="00714616">
        <w:rPr>
          <w:rFonts w:ascii="Bookman Old Style" w:hAnsi="Bookman Old Style" w:cs="Arial"/>
        </w:rPr>
        <w:t>ctuación administrativa iniciada con fundamento en el informe adicional de verificación de la curva S y del cronograma del proyecto y puesta en operación de la planta hidroeléctrica Porce IV, elaborado por SEDIC S.A</w:t>
      </w:r>
      <w:r w:rsidRPr="00714616">
        <w:rPr>
          <w:rFonts w:ascii="Bookman Old Style" w:hAnsi="Bookman Old Style" w:cs="Arial"/>
          <w:lang w:eastAsia="es-CO"/>
        </w:rPr>
        <w:t>.</w:t>
      </w:r>
    </w:p>
    <w:p w:rsidR="00445D79" w:rsidRPr="00D63A87" w:rsidRDefault="00445D79" w:rsidP="00EC2ABD">
      <w:pPr>
        <w:ind w:left="0"/>
        <w:jc w:val="center"/>
        <w:rPr>
          <w:rFonts w:ascii="Bookman Old Style" w:hAnsi="Bookman Old Style" w:cs="Arial"/>
          <w:sz w:val="14"/>
        </w:rPr>
      </w:pPr>
    </w:p>
    <w:p w:rsidR="00445D79" w:rsidRPr="00714616" w:rsidRDefault="00445D79" w:rsidP="00EC2ABD">
      <w:pPr>
        <w:ind w:left="0"/>
        <w:jc w:val="center"/>
        <w:rPr>
          <w:rFonts w:ascii="Bookman Old Style" w:hAnsi="Bookman Old Style" w:cs="Arial"/>
        </w:rPr>
      </w:pPr>
    </w:p>
    <w:p w:rsidR="00445D79" w:rsidRPr="00714616" w:rsidRDefault="00445D79" w:rsidP="00EC2ABD">
      <w:pPr>
        <w:ind w:left="0"/>
        <w:jc w:val="center"/>
        <w:rPr>
          <w:rFonts w:ascii="Bookman Old Style" w:hAnsi="Bookman Old Style" w:cs="Arial"/>
          <w:b/>
        </w:rPr>
      </w:pPr>
      <w:smartTag w:uri="urn:schemas-microsoft-com:office:smarttags" w:element="PersonName">
        <w:smartTagPr>
          <w:attr w:name="ProductID" w:val="LA COMISIￓN DE"/>
        </w:smartTagPr>
        <w:r w:rsidRPr="00714616">
          <w:rPr>
            <w:rFonts w:ascii="Bookman Old Style" w:hAnsi="Bookman Old Style" w:cs="Arial"/>
            <w:b/>
          </w:rPr>
          <w:t>LA COMISIÓN DE</w:t>
        </w:r>
      </w:smartTag>
      <w:r w:rsidRPr="00714616">
        <w:rPr>
          <w:rFonts w:ascii="Bookman Old Style" w:hAnsi="Bookman Old Style" w:cs="Arial"/>
          <w:b/>
        </w:rPr>
        <w:t xml:space="preserve"> REGULACIÓN DE ENERGÍA Y GAS</w:t>
      </w:r>
    </w:p>
    <w:p w:rsidR="00445D79" w:rsidRPr="00714616" w:rsidRDefault="00445D79" w:rsidP="00EC2ABD">
      <w:pPr>
        <w:ind w:left="0"/>
        <w:jc w:val="center"/>
        <w:rPr>
          <w:rFonts w:ascii="Bookman Old Style" w:hAnsi="Bookman Old Style" w:cs="Arial"/>
        </w:rPr>
      </w:pPr>
    </w:p>
    <w:p w:rsidR="00445D79" w:rsidRPr="00D63A87" w:rsidRDefault="00445D79" w:rsidP="00EC2ABD">
      <w:pPr>
        <w:ind w:left="0"/>
        <w:jc w:val="center"/>
        <w:rPr>
          <w:rFonts w:ascii="Bookman Old Style" w:hAnsi="Bookman Old Style" w:cs="Arial"/>
          <w:sz w:val="16"/>
        </w:rPr>
      </w:pPr>
    </w:p>
    <w:p w:rsidR="00445D79" w:rsidRPr="00714616" w:rsidRDefault="00445D79" w:rsidP="00EC2ABD">
      <w:pPr>
        <w:ind w:left="0"/>
        <w:jc w:val="center"/>
        <w:rPr>
          <w:rFonts w:ascii="Bookman Old Style" w:hAnsi="Bookman Old Style" w:cs="Arial"/>
        </w:rPr>
      </w:pPr>
      <w:r w:rsidRPr="00714616">
        <w:rPr>
          <w:rFonts w:ascii="Bookman Old Style" w:hAnsi="Bookman Old Style" w:cs="Arial"/>
        </w:rPr>
        <w:t>En ejercicio de las atribuciones legales, en especial las conferidas por las Leyes 142 y 143 de 1994, y en desarrollo de los Decretos 1524</w:t>
      </w:r>
      <w:r w:rsidR="009C4FE5" w:rsidRPr="00714616">
        <w:rPr>
          <w:rFonts w:ascii="Bookman Old Style" w:hAnsi="Bookman Old Style" w:cs="Arial"/>
        </w:rPr>
        <w:t>,</w:t>
      </w:r>
      <w:r w:rsidRPr="00714616">
        <w:rPr>
          <w:rFonts w:ascii="Bookman Old Style" w:hAnsi="Bookman Old Style" w:cs="Arial"/>
        </w:rPr>
        <w:t xml:space="preserve"> </w:t>
      </w:r>
      <w:r w:rsidR="009C4FE5" w:rsidRPr="00714616">
        <w:rPr>
          <w:rFonts w:ascii="Bookman Old Style" w:hAnsi="Bookman Old Style" w:cs="Arial"/>
        </w:rPr>
        <w:t>2253 de 1994,</w:t>
      </w:r>
      <w:r w:rsidRPr="00714616">
        <w:rPr>
          <w:rFonts w:ascii="Bookman Old Style" w:hAnsi="Bookman Old Style" w:cs="Arial"/>
        </w:rPr>
        <w:t xml:space="preserve"> 2696 de 2004,</w:t>
      </w:r>
      <w:r w:rsidR="009C4FE5" w:rsidRPr="00714616">
        <w:rPr>
          <w:rFonts w:ascii="Bookman Old Style" w:hAnsi="Bookman Old Style" w:cs="Arial"/>
        </w:rPr>
        <w:t xml:space="preserve"> </w:t>
      </w:r>
      <w:r w:rsidRPr="00714616">
        <w:rPr>
          <w:rFonts w:ascii="Bookman Old Style" w:hAnsi="Bookman Old Style" w:cs="Arial"/>
        </w:rPr>
        <w:t>y</w:t>
      </w:r>
    </w:p>
    <w:p w:rsidR="00445D79" w:rsidRPr="00714616" w:rsidRDefault="00445D79" w:rsidP="00EC2ABD">
      <w:pPr>
        <w:ind w:left="0"/>
        <w:jc w:val="center"/>
        <w:rPr>
          <w:rFonts w:ascii="Bookman Old Style" w:hAnsi="Bookman Old Style" w:cs="Arial"/>
        </w:rPr>
      </w:pPr>
    </w:p>
    <w:p w:rsidR="00445D79" w:rsidRPr="00D63A87" w:rsidRDefault="00445D79" w:rsidP="00EC2ABD">
      <w:pPr>
        <w:ind w:left="0"/>
        <w:jc w:val="center"/>
        <w:rPr>
          <w:rFonts w:ascii="Bookman Old Style" w:hAnsi="Bookman Old Style" w:cs="Arial"/>
          <w:sz w:val="18"/>
        </w:rPr>
      </w:pPr>
    </w:p>
    <w:p w:rsidR="00445D79" w:rsidRPr="00714616" w:rsidRDefault="00445D79" w:rsidP="00EC2ABD">
      <w:pPr>
        <w:ind w:left="0"/>
        <w:jc w:val="center"/>
        <w:rPr>
          <w:rFonts w:ascii="Bookman Old Style" w:hAnsi="Bookman Old Style" w:cs="Arial"/>
        </w:rPr>
      </w:pPr>
      <w:r w:rsidRPr="00714616">
        <w:rPr>
          <w:rFonts w:ascii="Bookman Old Style" w:hAnsi="Bookman Old Style" w:cs="Arial"/>
          <w:b/>
        </w:rPr>
        <w:t>C O N S I D E R A N D O:</w:t>
      </w:r>
    </w:p>
    <w:p w:rsidR="00445D79" w:rsidRPr="00714616" w:rsidRDefault="00445D79" w:rsidP="00EC2ABD">
      <w:pPr>
        <w:ind w:left="0"/>
        <w:rPr>
          <w:rFonts w:ascii="Bookman Old Style" w:hAnsi="Bookman Old Style" w:cs="Arial"/>
        </w:rPr>
      </w:pPr>
    </w:p>
    <w:p w:rsidR="00445D79" w:rsidRPr="00D63A87" w:rsidRDefault="00445D79" w:rsidP="00EC2ABD">
      <w:pPr>
        <w:ind w:left="0"/>
        <w:rPr>
          <w:rFonts w:ascii="Bookman Old Style" w:hAnsi="Bookman Old Style" w:cs="Arial"/>
          <w:sz w:val="18"/>
        </w:rPr>
      </w:pPr>
    </w:p>
    <w:p w:rsidR="00445D79" w:rsidRPr="00714616" w:rsidRDefault="00445D79" w:rsidP="00EC2ABD">
      <w:pPr>
        <w:pStyle w:val="Ttulo1"/>
        <w:numPr>
          <w:ilvl w:val="0"/>
          <w:numId w:val="1"/>
        </w:numPr>
        <w:ind w:hanging="720"/>
        <w:jc w:val="left"/>
        <w:rPr>
          <w:rFonts w:ascii="Bookman Old Style" w:hAnsi="Bookman Old Style"/>
          <w:szCs w:val="24"/>
        </w:rPr>
      </w:pPr>
      <w:r w:rsidRPr="00714616">
        <w:rPr>
          <w:rFonts w:ascii="Bookman Old Style" w:hAnsi="Bookman Old Style"/>
          <w:szCs w:val="24"/>
        </w:rPr>
        <w:t>ANTECEDENTES</w:t>
      </w:r>
    </w:p>
    <w:p w:rsidR="00445D79" w:rsidRDefault="00445D79" w:rsidP="00EC2ABD">
      <w:pPr>
        <w:pStyle w:val="Textoindependiente"/>
        <w:ind w:left="0"/>
        <w:jc w:val="both"/>
        <w:rPr>
          <w:rFonts w:ascii="Bookman Old Style" w:hAnsi="Bookman Old Style" w:cs="Times New Roman"/>
          <w:b w:val="0"/>
          <w:bCs w:val="0"/>
          <w:lang w:val="es-CO"/>
        </w:rPr>
      </w:pPr>
    </w:p>
    <w:p w:rsidR="004E1821" w:rsidRDefault="004E1821" w:rsidP="00EC2ABD">
      <w:pPr>
        <w:pStyle w:val="Textoindependiente"/>
        <w:ind w:left="0"/>
        <w:jc w:val="both"/>
        <w:rPr>
          <w:rFonts w:ascii="Bookman Old Style" w:hAnsi="Bookman Old Style" w:cs="Times New Roman"/>
          <w:b w:val="0"/>
          <w:bCs w:val="0"/>
          <w:lang w:val="es-CO"/>
        </w:rPr>
      </w:pPr>
      <w:r>
        <w:rPr>
          <w:rFonts w:ascii="Bookman Old Style" w:hAnsi="Bookman Old Style" w:cs="Times New Roman"/>
          <w:b w:val="0"/>
          <w:bCs w:val="0"/>
          <w:lang w:val="es-CO"/>
        </w:rPr>
        <w:t>Mediante la Resolución CREG 071 de 2006,</w:t>
      </w:r>
      <w:r w:rsidR="00747235">
        <w:rPr>
          <w:rFonts w:ascii="Bookman Old Style" w:hAnsi="Bookman Old Style" w:cs="Times New Roman"/>
          <w:b w:val="0"/>
          <w:bCs w:val="0"/>
          <w:lang w:val="es-CO"/>
        </w:rPr>
        <w:t xml:space="preserve"> </w:t>
      </w:r>
      <w:r>
        <w:rPr>
          <w:rFonts w:ascii="Bookman Old Style" w:hAnsi="Bookman Old Style" w:cs="Times New Roman"/>
          <w:b w:val="0"/>
          <w:bCs w:val="0"/>
          <w:lang w:val="es-CO"/>
        </w:rPr>
        <w:t>l</w:t>
      </w:r>
      <w:r w:rsidR="00747235">
        <w:rPr>
          <w:rFonts w:ascii="Bookman Old Style" w:hAnsi="Bookman Old Style" w:cs="Times New Roman"/>
          <w:b w:val="0"/>
          <w:bCs w:val="0"/>
          <w:lang w:val="es-CO"/>
        </w:rPr>
        <w:t>a</w:t>
      </w:r>
      <w:r>
        <w:rPr>
          <w:rFonts w:ascii="Bookman Old Style" w:hAnsi="Bookman Old Style" w:cs="Times New Roman"/>
          <w:b w:val="0"/>
          <w:bCs w:val="0"/>
          <w:lang w:val="es-CO"/>
        </w:rPr>
        <w:t xml:space="preserve"> CREG</w:t>
      </w:r>
      <w:r w:rsidR="00747235">
        <w:rPr>
          <w:rFonts w:ascii="Bookman Old Style" w:hAnsi="Bookman Old Style" w:cs="Times New Roman"/>
          <w:b w:val="0"/>
          <w:bCs w:val="0"/>
          <w:lang w:val="es-CO"/>
        </w:rPr>
        <w:t xml:space="preserve"> adoptó el esquema del cargo por confiabilidad.</w:t>
      </w:r>
    </w:p>
    <w:p w:rsidR="004E1821" w:rsidRPr="00714616" w:rsidRDefault="004E1821" w:rsidP="00EC2ABD">
      <w:pPr>
        <w:pStyle w:val="Textoindependiente"/>
        <w:ind w:left="0"/>
        <w:jc w:val="both"/>
        <w:rPr>
          <w:rFonts w:ascii="Bookman Old Style" w:hAnsi="Bookman Old Style" w:cs="Times New Roman"/>
          <w:b w:val="0"/>
          <w:bCs w:val="0"/>
          <w:lang w:val="es-CO"/>
        </w:rPr>
      </w:pPr>
    </w:p>
    <w:p w:rsidR="009C4FE5" w:rsidRPr="00714616" w:rsidRDefault="000C3118" w:rsidP="00EC2ABD">
      <w:pPr>
        <w:pStyle w:val="Textoindependiente"/>
        <w:ind w:left="0"/>
        <w:jc w:val="both"/>
        <w:rPr>
          <w:rFonts w:ascii="Bookman Old Style" w:hAnsi="Bookman Old Style" w:cs="Times New Roman"/>
          <w:b w:val="0"/>
          <w:bCs w:val="0"/>
          <w:lang w:val="es-CO"/>
        </w:rPr>
      </w:pPr>
      <w:r>
        <w:rPr>
          <w:rFonts w:ascii="Bookman Old Style" w:hAnsi="Bookman Old Style" w:cs="Times New Roman"/>
          <w:b w:val="0"/>
          <w:bCs w:val="0"/>
          <w:lang w:val="es-CO"/>
        </w:rPr>
        <w:t xml:space="preserve">En la </w:t>
      </w:r>
      <w:r w:rsidR="009C4FE5" w:rsidRPr="00714616">
        <w:rPr>
          <w:rFonts w:ascii="Bookman Old Style" w:hAnsi="Bookman Old Style" w:cs="Times New Roman"/>
          <w:b w:val="0"/>
          <w:bCs w:val="0"/>
          <w:lang w:val="es-CO"/>
        </w:rPr>
        <w:t xml:space="preserve"> Resolución CREG 071 de 2006, se estableció la regulación de</w:t>
      </w:r>
      <w:r w:rsidR="00B87C46" w:rsidRPr="00714616">
        <w:rPr>
          <w:rFonts w:ascii="Bookman Old Style" w:hAnsi="Bookman Old Style" w:cs="Times New Roman"/>
          <w:b w:val="0"/>
          <w:bCs w:val="0"/>
          <w:lang w:val="es-CO"/>
        </w:rPr>
        <w:t xml:space="preserve"> </w:t>
      </w:r>
      <w:r w:rsidR="009C4FE5" w:rsidRPr="00714616">
        <w:rPr>
          <w:rFonts w:ascii="Bookman Old Style" w:hAnsi="Bookman Old Style" w:cs="Times New Roman"/>
          <w:b w:val="0"/>
          <w:bCs w:val="0"/>
          <w:lang w:val="es-CO"/>
        </w:rPr>
        <w:t>l</w:t>
      </w:r>
      <w:r w:rsidR="00B87C46" w:rsidRPr="00714616">
        <w:rPr>
          <w:rFonts w:ascii="Bookman Old Style" w:hAnsi="Bookman Old Style" w:cs="Times New Roman"/>
          <w:b w:val="0"/>
          <w:bCs w:val="0"/>
          <w:lang w:val="es-CO"/>
        </w:rPr>
        <w:t>a</w:t>
      </w:r>
      <w:r w:rsidR="009C4FE5" w:rsidRPr="00714616">
        <w:rPr>
          <w:rFonts w:ascii="Bookman Old Style" w:hAnsi="Bookman Old Style" w:cs="Times New Roman"/>
          <w:b w:val="0"/>
          <w:bCs w:val="0"/>
          <w:lang w:val="es-CO"/>
        </w:rPr>
        <w:t xml:space="preserve"> entrada en operación de las plantas generadoras de energía eléctrica,</w:t>
      </w:r>
      <w:r>
        <w:rPr>
          <w:rFonts w:ascii="Bookman Old Style" w:hAnsi="Bookman Old Style" w:cs="Times New Roman"/>
          <w:b w:val="0"/>
          <w:bCs w:val="0"/>
          <w:lang w:val="es-CO"/>
        </w:rPr>
        <w:t xml:space="preserve"> complementándose con lo dispuesto por la Resolución CREG 061 del 2007, en lo referente a </w:t>
      </w:r>
      <w:r w:rsidR="009C4FE5" w:rsidRPr="00714616">
        <w:rPr>
          <w:rFonts w:ascii="Bookman Old Style" w:hAnsi="Bookman Old Style" w:cs="Times New Roman"/>
          <w:b w:val="0"/>
          <w:bCs w:val="0"/>
          <w:lang w:val="es-CO"/>
        </w:rPr>
        <w:t>las garantías que debía</w:t>
      </w:r>
      <w:r w:rsidR="00B87C46" w:rsidRPr="00714616">
        <w:rPr>
          <w:rFonts w:ascii="Bookman Old Style" w:hAnsi="Bookman Old Style" w:cs="Times New Roman"/>
          <w:b w:val="0"/>
          <w:bCs w:val="0"/>
          <w:lang w:val="es-CO"/>
        </w:rPr>
        <w:t>n</w:t>
      </w:r>
      <w:r w:rsidR="009C4FE5" w:rsidRPr="00714616">
        <w:rPr>
          <w:rFonts w:ascii="Bookman Old Style" w:hAnsi="Bookman Old Style" w:cs="Times New Roman"/>
          <w:b w:val="0"/>
          <w:bCs w:val="0"/>
          <w:lang w:val="es-CO"/>
        </w:rPr>
        <w:t xml:space="preserve"> ser otorgadas para respaldar la ejecución de </w:t>
      </w:r>
      <w:r>
        <w:rPr>
          <w:rFonts w:ascii="Bookman Old Style" w:hAnsi="Bookman Old Style" w:cs="Times New Roman"/>
          <w:b w:val="0"/>
          <w:bCs w:val="0"/>
          <w:lang w:val="es-CO"/>
        </w:rPr>
        <w:t>los proyectos de generación de energía eléctrica</w:t>
      </w:r>
      <w:r w:rsidR="009C4FE5" w:rsidRPr="00714616">
        <w:rPr>
          <w:rFonts w:ascii="Bookman Old Style" w:hAnsi="Bookman Old Style" w:cs="Times New Roman"/>
          <w:b w:val="0"/>
          <w:bCs w:val="0"/>
          <w:lang w:val="es-CO"/>
        </w:rPr>
        <w:t>.</w:t>
      </w:r>
    </w:p>
    <w:p w:rsidR="009C4FE5" w:rsidRPr="00714616" w:rsidRDefault="009C4FE5" w:rsidP="00EC2ABD">
      <w:pPr>
        <w:pStyle w:val="Textoindependiente"/>
        <w:ind w:left="0"/>
        <w:jc w:val="both"/>
        <w:rPr>
          <w:rFonts w:ascii="Bookman Old Style" w:hAnsi="Bookman Old Style" w:cs="Times New Roman"/>
          <w:b w:val="0"/>
          <w:bCs w:val="0"/>
          <w:lang w:val="es-CO"/>
        </w:rPr>
      </w:pPr>
    </w:p>
    <w:p w:rsidR="009C4FE5" w:rsidRPr="00714616" w:rsidRDefault="009C4FE5" w:rsidP="00EC2ABD">
      <w:pPr>
        <w:pStyle w:val="Textoindependiente"/>
        <w:ind w:left="0"/>
        <w:jc w:val="both"/>
        <w:rPr>
          <w:rFonts w:ascii="Bookman Old Style" w:hAnsi="Bookman Old Style" w:cs="Times New Roman"/>
          <w:b w:val="0"/>
          <w:bCs w:val="0"/>
          <w:lang w:val="es-CO"/>
        </w:rPr>
      </w:pPr>
      <w:r w:rsidRPr="00714616">
        <w:rPr>
          <w:rFonts w:ascii="Bookman Old Style" w:hAnsi="Bookman Old Style" w:cs="Times New Roman"/>
          <w:b w:val="0"/>
          <w:bCs w:val="0"/>
          <w:lang w:val="es-CO"/>
        </w:rPr>
        <w:t>En el artículo 9 de la Resolución CREG 071 de 2006, modificado por el artículo 13 de la Resolución CREG 061 de 2007, se estableció el procedimiento a seguir en el caso de un incumplimiento grave e insalvable</w:t>
      </w:r>
      <w:r w:rsidR="004E1821">
        <w:rPr>
          <w:rFonts w:ascii="Bookman Old Style" w:hAnsi="Bookman Old Style" w:cs="Times New Roman"/>
          <w:b w:val="0"/>
          <w:bCs w:val="0"/>
          <w:lang w:val="es-CO"/>
        </w:rPr>
        <w:t xml:space="preserve"> </w:t>
      </w:r>
      <w:r w:rsidR="008C7C68">
        <w:rPr>
          <w:rFonts w:ascii="Bookman Old Style" w:hAnsi="Bookman Old Style" w:cs="Times New Roman"/>
          <w:b w:val="0"/>
          <w:bCs w:val="0"/>
          <w:lang w:val="es-CO"/>
        </w:rPr>
        <w:t>en</w:t>
      </w:r>
      <w:r w:rsidR="00747235">
        <w:rPr>
          <w:rFonts w:ascii="Bookman Old Style" w:hAnsi="Bookman Old Style" w:cs="Times New Roman"/>
          <w:b w:val="0"/>
          <w:bCs w:val="0"/>
          <w:lang w:val="es-CO"/>
        </w:rPr>
        <w:t xml:space="preserve"> la entrada en operación del </w:t>
      </w:r>
      <w:r w:rsidR="003B6118">
        <w:rPr>
          <w:rFonts w:ascii="Bookman Old Style" w:hAnsi="Bookman Old Style" w:cs="Times New Roman"/>
          <w:b w:val="0"/>
          <w:bCs w:val="0"/>
          <w:lang w:val="es-CO"/>
        </w:rPr>
        <w:t>proyecto</w:t>
      </w:r>
      <w:r w:rsidR="004A5065">
        <w:rPr>
          <w:rFonts w:ascii="Bookman Old Style" w:hAnsi="Bookman Old Style" w:cs="Times New Roman"/>
          <w:b w:val="0"/>
          <w:bCs w:val="0"/>
          <w:lang w:val="es-CO"/>
        </w:rPr>
        <w:t xml:space="preserve"> de generación</w:t>
      </w:r>
      <w:r w:rsidR="00747235">
        <w:rPr>
          <w:rFonts w:ascii="Bookman Old Style" w:hAnsi="Bookman Old Style" w:cs="Times New Roman"/>
          <w:b w:val="0"/>
          <w:bCs w:val="0"/>
          <w:lang w:val="es-CO"/>
        </w:rPr>
        <w:t>,</w:t>
      </w:r>
      <w:r w:rsidRPr="00714616">
        <w:rPr>
          <w:rFonts w:ascii="Bookman Old Style" w:hAnsi="Bookman Old Style" w:cs="Times New Roman"/>
          <w:b w:val="0"/>
          <w:bCs w:val="0"/>
          <w:lang w:val="es-CO"/>
        </w:rPr>
        <w:t xml:space="preserve"> así como las consecuencia del mismo, dicho artículo establece:</w:t>
      </w:r>
    </w:p>
    <w:p w:rsidR="00EC2ABD" w:rsidRPr="00714616" w:rsidRDefault="00EC2ABD" w:rsidP="00EC2ABD">
      <w:pPr>
        <w:pStyle w:val="Textoindependiente"/>
        <w:ind w:left="0"/>
        <w:jc w:val="both"/>
        <w:rPr>
          <w:rFonts w:ascii="Bookman Old Style" w:hAnsi="Bookman Old Style" w:cs="Times New Roman"/>
          <w:b w:val="0"/>
          <w:bCs w:val="0"/>
          <w:lang w:val="es-CO"/>
        </w:rPr>
      </w:pPr>
    </w:p>
    <w:p w:rsidR="009C4FE5" w:rsidRPr="00714616" w:rsidRDefault="009C4FE5" w:rsidP="00EC2ABD">
      <w:pPr>
        <w:pStyle w:val="NormalWeb"/>
        <w:spacing w:before="0" w:beforeAutospacing="0" w:after="0" w:afterAutospacing="0"/>
        <w:ind w:left="360"/>
        <w:jc w:val="both"/>
        <w:rPr>
          <w:rFonts w:ascii="Bookman Old Style" w:hAnsi="Bookman Old Style" w:cs="Arial"/>
          <w:i/>
          <w:color w:val="000000" w:themeColor="text1"/>
          <w:sz w:val="22"/>
          <w:szCs w:val="22"/>
        </w:rPr>
      </w:pPr>
      <w:r w:rsidRPr="00714616">
        <w:rPr>
          <w:rFonts w:ascii="Bookman Old Style" w:hAnsi="Bookman Old Style"/>
          <w:b/>
          <w:bCs/>
          <w:i/>
          <w:color w:val="000000" w:themeColor="text1"/>
          <w:sz w:val="22"/>
          <w:szCs w:val="22"/>
        </w:rPr>
        <w:t xml:space="preserve">“(…) </w:t>
      </w:r>
      <w:r w:rsidRPr="00714616">
        <w:rPr>
          <w:rFonts w:ascii="Bookman Old Style" w:hAnsi="Bookman Old Style" w:cs="Arial"/>
          <w:b/>
          <w:bCs/>
          <w:i/>
          <w:color w:val="000000" w:themeColor="text1"/>
          <w:sz w:val="22"/>
          <w:szCs w:val="22"/>
        </w:rPr>
        <w:t>Artículo 9. Modificado por el Artículo 13 de la Resolución CREG-061 de 2007. Efectos del incumplimiento del cronograma de construcción o de repotenciación, o de la puesta en operación de la planta.</w:t>
      </w:r>
      <w:r w:rsidRPr="00714616">
        <w:rPr>
          <w:rFonts w:ascii="Bookman Old Style" w:hAnsi="Bookman Old Style" w:cs="Arial"/>
          <w:i/>
          <w:color w:val="000000" w:themeColor="text1"/>
          <w:sz w:val="22"/>
          <w:szCs w:val="22"/>
        </w:rPr>
        <w:t xml:space="preserve"> El incumplimiento de las obligaciones relacionadas con el cronograma de construcción o con la puesta en operación de la planta o unidad de generación producirá los siguientes efectos: </w:t>
      </w:r>
    </w:p>
    <w:p w:rsidR="00EC2ABD" w:rsidRPr="00714616" w:rsidRDefault="00EC2ABD" w:rsidP="00EC2ABD">
      <w:pPr>
        <w:pStyle w:val="NormalWeb"/>
        <w:spacing w:before="0" w:beforeAutospacing="0" w:after="0" w:afterAutospacing="0"/>
        <w:ind w:left="360"/>
        <w:jc w:val="both"/>
        <w:rPr>
          <w:rFonts w:ascii="Bookman Old Style" w:hAnsi="Bookman Old Style" w:cs="Arial"/>
          <w:i/>
          <w:color w:val="000000" w:themeColor="text1"/>
          <w:sz w:val="22"/>
          <w:szCs w:val="22"/>
        </w:rPr>
      </w:pPr>
    </w:p>
    <w:p w:rsidR="009C4FE5" w:rsidRPr="00714616" w:rsidRDefault="009C4FE5" w:rsidP="00EC2ABD">
      <w:pPr>
        <w:numPr>
          <w:ilvl w:val="0"/>
          <w:numId w:val="10"/>
        </w:numPr>
        <w:jc w:val="both"/>
        <w:rPr>
          <w:rFonts w:ascii="Bookman Old Style" w:hAnsi="Bookman Old Style" w:cs="Arial"/>
          <w:i/>
          <w:color w:val="000000" w:themeColor="text1"/>
          <w:sz w:val="22"/>
          <w:szCs w:val="22"/>
          <w:lang w:val="es-CO" w:eastAsia="es-CO"/>
        </w:rPr>
      </w:pPr>
      <w:r w:rsidRPr="00714616">
        <w:rPr>
          <w:rFonts w:ascii="Bookman Old Style" w:hAnsi="Bookman Old Style" w:cs="Arial"/>
          <w:i/>
          <w:color w:val="000000" w:themeColor="text1"/>
          <w:sz w:val="22"/>
          <w:szCs w:val="22"/>
          <w:lang w:val="es-CO" w:eastAsia="es-CO"/>
        </w:rPr>
        <w:t xml:space="preserve">La no presentación del cronograma de construcción o de repotenciación de la planta o unidad de generación en el plazo estipulado en el numeral 2.2 del Anexo 2 de esta resolución, o de la curva S del proyecto, dará lugar a la descalificación del agente para participar en la respectiva Subasta. </w:t>
      </w:r>
    </w:p>
    <w:p w:rsidR="00EC2ABD" w:rsidRPr="00714616" w:rsidRDefault="00EC2ABD" w:rsidP="00EC2ABD">
      <w:pPr>
        <w:ind w:left="720"/>
        <w:jc w:val="both"/>
        <w:rPr>
          <w:rFonts w:ascii="Bookman Old Style" w:hAnsi="Bookman Old Style" w:cs="Arial"/>
          <w:i/>
          <w:color w:val="000000" w:themeColor="text1"/>
          <w:sz w:val="22"/>
          <w:szCs w:val="22"/>
          <w:lang w:val="es-CO" w:eastAsia="es-CO"/>
        </w:rPr>
      </w:pPr>
    </w:p>
    <w:p w:rsidR="009C4FE5" w:rsidRPr="00714616" w:rsidRDefault="009C4FE5" w:rsidP="00EC2ABD">
      <w:pPr>
        <w:numPr>
          <w:ilvl w:val="0"/>
          <w:numId w:val="10"/>
        </w:numPr>
        <w:jc w:val="both"/>
        <w:rPr>
          <w:rFonts w:ascii="Bookman Old Style" w:hAnsi="Bookman Old Style" w:cs="Arial"/>
          <w:i/>
          <w:color w:val="000000" w:themeColor="text1"/>
          <w:sz w:val="22"/>
          <w:szCs w:val="22"/>
          <w:lang w:val="es-CO" w:eastAsia="es-CO"/>
        </w:rPr>
      </w:pPr>
      <w:r w:rsidRPr="00714616">
        <w:rPr>
          <w:rFonts w:ascii="Bookman Old Style" w:hAnsi="Bookman Old Style" w:cs="Arial"/>
          <w:i/>
          <w:color w:val="000000" w:themeColor="text1"/>
          <w:sz w:val="22"/>
          <w:szCs w:val="22"/>
          <w:lang w:val="es-CO" w:eastAsia="es-CO"/>
        </w:rPr>
        <w:t xml:space="preserve">El retraso en el cronograma de construcción o repotenciación de la planta o unidad de generación frente a la Curva S que no constituya incumplimiento grave e insalvable, dará lugar al ajuste de la garantía de conformidad con los procedimientos que se definan en el Reglamento de Garantías para el Cargo por Confiabilidad de que trata el Artículo 78 de esta resolución. </w:t>
      </w:r>
    </w:p>
    <w:p w:rsidR="00EC2ABD" w:rsidRPr="00714616" w:rsidRDefault="00EC2ABD" w:rsidP="00EC2ABD">
      <w:pPr>
        <w:ind w:left="720"/>
        <w:jc w:val="both"/>
        <w:rPr>
          <w:rFonts w:ascii="Bookman Old Style" w:hAnsi="Bookman Old Style" w:cs="Arial"/>
          <w:i/>
          <w:color w:val="000000" w:themeColor="text1"/>
          <w:sz w:val="22"/>
          <w:szCs w:val="22"/>
          <w:lang w:val="es-CO" w:eastAsia="es-CO"/>
        </w:rPr>
      </w:pPr>
    </w:p>
    <w:p w:rsidR="009C4FE5" w:rsidRPr="00714616" w:rsidRDefault="009C4FE5" w:rsidP="00EC2ABD">
      <w:pPr>
        <w:numPr>
          <w:ilvl w:val="0"/>
          <w:numId w:val="10"/>
        </w:numPr>
        <w:jc w:val="both"/>
        <w:rPr>
          <w:rFonts w:ascii="Bookman Old Style" w:hAnsi="Bookman Old Style" w:cs="Arial"/>
          <w:i/>
          <w:color w:val="000000" w:themeColor="text1"/>
          <w:sz w:val="22"/>
          <w:szCs w:val="22"/>
          <w:lang w:val="es-CO" w:eastAsia="es-CO"/>
        </w:rPr>
      </w:pPr>
      <w:r w:rsidRPr="00714616">
        <w:rPr>
          <w:rFonts w:ascii="Bookman Old Style" w:hAnsi="Bookman Old Style" w:cs="Arial"/>
          <w:i/>
          <w:color w:val="000000" w:themeColor="text1"/>
          <w:sz w:val="22"/>
          <w:szCs w:val="22"/>
          <w:lang w:val="es-CO" w:eastAsia="es-CO"/>
        </w:rPr>
        <w:t xml:space="preserve">El incumplimiento grave e insalvable de la puesta en operación de la planta o unidad de generación, dará lugar a: </w:t>
      </w:r>
    </w:p>
    <w:p w:rsidR="009C4FE5" w:rsidRPr="00714616" w:rsidRDefault="009C4FE5" w:rsidP="00EC2ABD">
      <w:pPr>
        <w:ind w:left="708"/>
        <w:jc w:val="both"/>
        <w:rPr>
          <w:rFonts w:ascii="Bookman Old Style" w:hAnsi="Bookman Old Style" w:cs="Arial"/>
          <w:i/>
          <w:color w:val="000000" w:themeColor="text1"/>
          <w:sz w:val="22"/>
          <w:szCs w:val="22"/>
          <w:lang w:val="es-CO" w:eastAsia="es-CO"/>
        </w:rPr>
      </w:pPr>
      <w:r w:rsidRPr="00714616">
        <w:rPr>
          <w:rFonts w:ascii="Bookman Old Style" w:hAnsi="Bookman Old Style" w:cs="Arial"/>
          <w:i/>
          <w:color w:val="000000" w:themeColor="text1"/>
          <w:sz w:val="22"/>
          <w:szCs w:val="22"/>
          <w:lang w:val="es-CO" w:eastAsia="es-CO"/>
        </w:rPr>
        <w:br/>
        <w:t xml:space="preserve">a) La ejecución de la garantía. </w:t>
      </w:r>
    </w:p>
    <w:p w:rsidR="009C4FE5" w:rsidRPr="00714616" w:rsidRDefault="009C4FE5" w:rsidP="00EC2ABD">
      <w:pPr>
        <w:ind w:left="708"/>
        <w:jc w:val="both"/>
        <w:rPr>
          <w:rFonts w:ascii="Bookman Old Style" w:hAnsi="Bookman Old Style" w:cs="Arial"/>
          <w:i/>
          <w:color w:val="000000" w:themeColor="text1"/>
          <w:sz w:val="22"/>
          <w:szCs w:val="22"/>
          <w:lang w:val="es-CO" w:eastAsia="es-CO"/>
        </w:rPr>
      </w:pPr>
      <w:r w:rsidRPr="00714616">
        <w:rPr>
          <w:rFonts w:ascii="Bookman Old Style" w:hAnsi="Bookman Old Style" w:cs="Arial"/>
          <w:i/>
          <w:color w:val="000000" w:themeColor="text1"/>
          <w:sz w:val="22"/>
          <w:szCs w:val="22"/>
          <w:lang w:val="es-CO" w:eastAsia="es-CO"/>
        </w:rPr>
        <w:t xml:space="preserve">b) La pérdida para el generador de la asignación de la Obligación de Energía Firme y la remuneración asociada a ella. </w:t>
      </w:r>
    </w:p>
    <w:p w:rsidR="00EC2ABD" w:rsidRPr="00714616" w:rsidRDefault="00EC2ABD" w:rsidP="00EC2ABD">
      <w:pPr>
        <w:ind w:left="0"/>
        <w:jc w:val="both"/>
        <w:rPr>
          <w:rFonts w:ascii="Bookman Old Style" w:hAnsi="Bookman Old Style" w:cs="Arial"/>
          <w:i/>
          <w:color w:val="000000" w:themeColor="text1"/>
          <w:sz w:val="22"/>
          <w:szCs w:val="22"/>
          <w:lang w:val="es-CO" w:eastAsia="es-CO"/>
        </w:rPr>
      </w:pPr>
    </w:p>
    <w:p w:rsidR="009C4FE5" w:rsidRPr="00714616" w:rsidRDefault="009C4FE5" w:rsidP="00EC2ABD">
      <w:pPr>
        <w:numPr>
          <w:ilvl w:val="0"/>
          <w:numId w:val="10"/>
        </w:numPr>
        <w:jc w:val="both"/>
        <w:rPr>
          <w:rFonts w:ascii="Bookman Old Style" w:hAnsi="Bookman Old Style"/>
          <w:i/>
          <w:color w:val="000000" w:themeColor="text1"/>
          <w:sz w:val="22"/>
          <w:szCs w:val="22"/>
        </w:rPr>
      </w:pPr>
      <w:r w:rsidRPr="00714616">
        <w:rPr>
          <w:rFonts w:ascii="Bookman Old Style" w:hAnsi="Bookman Old Style" w:cs="Arial"/>
          <w:i/>
          <w:color w:val="000000" w:themeColor="text1"/>
          <w:sz w:val="22"/>
          <w:szCs w:val="22"/>
          <w:lang w:val="es-CO" w:eastAsia="es-CO"/>
        </w:rPr>
        <w:t>Cuando la fecha de puesta en operación de la planta, determinada por el auditor, sea posterior a la fecha de inicio del Período de Vigencia de la Obligación y no constituya incumplimiento grave e insalvable, el agente deberá garantizar el cumplimiento de su Obligación de Energía Firme a través de un Contrato de Respaldo, vigente desde la fecha de inicio del Período de Vigencia de la Obligación y hasta la nueva fecha de puesta en operación de la planta. La omisión en la obligación de garantizar la Obligación de Energía Firme a través de un Contrato de Respaldo dará lugar a que el incumplimiento se considere grave e insalvable con las consecuencias previstas en el numeral 3 de este artículo.</w:t>
      </w:r>
      <w:r w:rsidRPr="00714616">
        <w:rPr>
          <w:rFonts w:ascii="Bookman Old Style" w:hAnsi="Bookman Old Style" w:cs="Arial"/>
          <w:i/>
          <w:color w:val="000000" w:themeColor="text1"/>
          <w:sz w:val="22"/>
          <w:szCs w:val="22"/>
          <w:lang w:val="es-CO" w:eastAsia="es-CO"/>
        </w:rPr>
        <w:br/>
      </w:r>
      <w:r w:rsidRPr="00714616">
        <w:rPr>
          <w:rFonts w:ascii="Bookman Old Style" w:hAnsi="Bookman Old Style" w:cs="Arial"/>
          <w:i/>
          <w:color w:val="000000" w:themeColor="text1"/>
          <w:sz w:val="22"/>
          <w:szCs w:val="22"/>
          <w:lang w:val="es-CO" w:eastAsia="es-CO"/>
        </w:rPr>
        <w:br/>
      </w:r>
      <w:r w:rsidRPr="00714616">
        <w:rPr>
          <w:rFonts w:ascii="Bookman Old Style" w:hAnsi="Bookman Old Style" w:cs="Arial"/>
          <w:b/>
          <w:bCs/>
          <w:i/>
          <w:color w:val="000000" w:themeColor="text1"/>
          <w:sz w:val="22"/>
          <w:szCs w:val="22"/>
          <w:lang w:val="es-CO" w:eastAsia="es-CO"/>
        </w:rPr>
        <w:t xml:space="preserve">Parágrafo. </w:t>
      </w:r>
      <w:r w:rsidRPr="00714616">
        <w:rPr>
          <w:rFonts w:ascii="Bookman Old Style" w:hAnsi="Bookman Old Style" w:cs="Arial"/>
          <w:i/>
          <w:color w:val="000000" w:themeColor="text1"/>
          <w:sz w:val="22"/>
          <w:szCs w:val="22"/>
          <w:lang w:val="es-CO" w:eastAsia="es-CO"/>
        </w:rPr>
        <w:t>En el caso del incumplimiento grave e insalvable que se determina cuando el informe del auditor indica que la puesta en operación de la planta o unidad de generación tendrá un atraso mayor a un año, contado a partir de la fecha de inicio del Periodo de Vigencia de la Obligación,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r w:rsidR="00EC2ABD" w:rsidRPr="00714616">
        <w:rPr>
          <w:rFonts w:ascii="Bookman Old Style" w:hAnsi="Bookman Old Style" w:cs="Arial"/>
          <w:i/>
          <w:color w:val="000000" w:themeColor="text1"/>
          <w:sz w:val="22"/>
          <w:szCs w:val="22"/>
          <w:lang w:val="es-CO" w:eastAsia="es-CO"/>
        </w:rPr>
        <w:t xml:space="preserve"> </w:t>
      </w:r>
      <w:r w:rsidRPr="00714616">
        <w:rPr>
          <w:rFonts w:ascii="Bookman Old Style" w:hAnsi="Bookman Old Style"/>
          <w:i/>
          <w:color w:val="000000" w:themeColor="text1"/>
          <w:sz w:val="22"/>
          <w:szCs w:val="22"/>
          <w:lang w:val="es-CO"/>
        </w:rPr>
        <w:t>(…)”</w:t>
      </w:r>
      <w:r w:rsidR="00EC2ABD" w:rsidRPr="00714616">
        <w:rPr>
          <w:rFonts w:ascii="Bookman Old Style" w:hAnsi="Bookman Old Style"/>
          <w:i/>
          <w:color w:val="000000" w:themeColor="text1"/>
          <w:sz w:val="22"/>
          <w:szCs w:val="22"/>
          <w:lang w:val="es-CO"/>
        </w:rPr>
        <w:t>.</w:t>
      </w:r>
    </w:p>
    <w:p w:rsidR="00CB5D45" w:rsidRPr="00D63A87" w:rsidRDefault="00CB5D45" w:rsidP="00CB5D45">
      <w:pPr>
        <w:pStyle w:val="Textoindependiente"/>
        <w:ind w:left="720"/>
        <w:jc w:val="both"/>
        <w:rPr>
          <w:rFonts w:ascii="Bookman Old Style" w:hAnsi="Bookman Old Style"/>
          <w:b w:val="0"/>
          <w:sz w:val="18"/>
        </w:rPr>
      </w:pPr>
    </w:p>
    <w:p w:rsidR="00CB5D45" w:rsidRDefault="00CB5D45" w:rsidP="00CB5D45">
      <w:pPr>
        <w:pStyle w:val="Textoindependiente"/>
        <w:ind w:left="0"/>
        <w:jc w:val="both"/>
        <w:rPr>
          <w:rFonts w:ascii="Bookman Old Style" w:hAnsi="Bookman Old Style"/>
          <w:b w:val="0"/>
        </w:rPr>
      </w:pPr>
      <w:r>
        <w:rPr>
          <w:rFonts w:ascii="Bookman Old Style" w:hAnsi="Bookman Old Style"/>
          <w:b w:val="0"/>
        </w:rPr>
        <w:t>En el año 2008, durante la subasta de plantas GPPS, se asignó la Obligaci</w:t>
      </w:r>
      <w:r w:rsidR="00673D24">
        <w:rPr>
          <w:rFonts w:ascii="Bookman Old Style" w:hAnsi="Bookman Old Style"/>
          <w:b w:val="0"/>
        </w:rPr>
        <w:t>ón de Energí</w:t>
      </w:r>
      <w:r>
        <w:rPr>
          <w:rFonts w:ascii="Bookman Old Style" w:hAnsi="Bookman Old Style"/>
          <w:b w:val="0"/>
        </w:rPr>
        <w:t>a en firme para E</w:t>
      </w:r>
      <w:r w:rsidR="002730C5">
        <w:rPr>
          <w:rFonts w:ascii="Bookman Old Style" w:hAnsi="Bookman Old Style"/>
          <w:b w:val="0"/>
        </w:rPr>
        <w:t xml:space="preserve">mpresas </w:t>
      </w:r>
      <w:r>
        <w:rPr>
          <w:rFonts w:ascii="Bookman Old Style" w:hAnsi="Bookman Old Style"/>
          <w:b w:val="0"/>
        </w:rPr>
        <w:t>P</w:t>
      </w:r>
      <w:r w:rsidR="002730C5">
        <w:rPr>
          <w:rFonts w:ascii="Bookman Old Style" w:hAnsi="Bookman Old Style"/>
          <w:b w:val="0"/>
        </w:rPr>
        <w:t>úblicas de Medellín S.A E.S.P,</w:t>
      </w:r>
      <w:r w:rsidR="002730C5" w:rsidRPr="002730C5">
        <w:rPr>
          <w:rFonts w:ascii="Bookman Old Style" w:hAnsi="Bookman Old Style"/>
          <w:b w:val="0"/>
          <w:bCs w:val="0"/>
          <w:iCs/>
        </w:rPr>
        <w:t xml:space="preserve"> </w:t>
      </w:r>
      <w:r w:rsidR="002730C5">
        <w:rPr>
          <w:rFonts w:ascii="Bookman Old Style" w:hAnsi="Bookman Old Style"/>
          <w:b w:val="0"/>
          <w:bCs w:val="0"/>
          <w:iCs/>
        </w:rPr>
        <w:t>en adelante EPM</w:t>
      </w:r>
      <w:r>
        <w:rPr>
          <w:rFonts w:ascii="Bookman Old Style" w:hAnsi="Bookman Old Style"/>
          <w:b w:val="0"/>
        </w:rPr>
        <w:t>, la cual se comprometió a construir el proyecto hidroeléctrico Porce IV, según lo pactado en dicha subasta.</w:t>
      </w:r>
    </w:p>
    <w:p w:rsidR="00CB5D45" w:rsidRPr="00D63A87" w:rsidRDefault="00CB5D45" w:rsidP="00CB5D45">
      <w:pPr>
        <w:pStyle w:val="Textoindependiente"/>
        <w:ind w:left="0"/>
        <w:jc w:val="both"/>
        <w:rPr>
          <w:rFonts w:ascii="Bookman Old Style" w:hAnsi="Bookman Old Style"/>
          <w:b w:val="0"/>
          <w:sz w:val="20"/>
        </w:rPr>
      </w:pPr>
    </w:p>
    <w:p w:rsidR="00CB5D45" w:rsidRPr="00CB5D45" w:rsidRDefault="00CB5D45" w:rsidP="00CB5D45">
      <w:pPr>
        <w:pStyle w:val="Textoindependiente"/>
        <w:ind w:left="0"/>
        <w:jc w:val="both"/>
        <w:rPr>
          <w:rFonts w:ascii="Bookman Old Style" w:hAnsi="Bookman Old Style"/>
          <w:b w:val="0"/>
        </w:rPr>
      </w:pPr>
      <w:r w:rsidRPr="00CB5D45">
        <w:rPr>
          <w:rFonts w:ascii="Bookman Old Style" w:hAnsi="Bookman Old Style"/>
          <w:b w:val="0"/>
        </w:rPr>
        <w:t>Por lo anterior, EPM se sujetó a la regulación aplicable</w:t>
      </w:r>
      <w:r>
        <w:rPr>
          <w:rFonts w:ascii="Bookman Old Style" w:hAnsi="Bookman Old Style"/>
          <w:b w:val="0"/>
        </w:rPr>
        <w:t xml:space="preserve"> (entre ella la Resolución CREG 071 de 2006</w:t>
      </w:r>
      <w:r w:rsidR="004A5065">
        <w:rPr>
          <w:rFonts w:ascii="Bookman Old Style" w:hAnsi="Bookman Old Style"/>
          <w:b w:val="0"/>
        </w:rPr>
        <w:t xml:space="preserve"> modificada por la Resolución CREG 061 del 2007</w:t>
      </w:r>
      <w:r>
        <w:rPr>
          <w:rFonts w:ascii="Bookman Old Style" w:hAnsi="Bookman Old Style"/>
          <w:b w:val="0"/>
        </w:rPr>
        <w:t>)</w:t>
      </w:r>
      <w:r w:rsidRPr="00CB5D45">
        <w:rPr>
          <w:rFonts w:ascii="Bookman Old Style" w:hAnsi="Bookman Old Style"/>
          <w:b w:val="0"/>
        </w:rPr>
        <w:t>, la cual establece la obligación de la entrega del cronograma de construcción</w:t>
      </w:r>
      <w:r w:rsidR="004A5065">
        <w:rPr>
          <w:rFonts w:ascii="Bookman Old Style" w:hAnsi="Bookman Old Style"/>
          <w:b w:val="0"/>
        </w:rPr>
        <w:t xml:space="preserve"> del proyecto así como</w:t>
      </w:r>
      <w:r w:rsidRPr="00CB5D45">
        <w:rPr>
          <w:rFonts w:ascii="Bookman Old Style" w:hAnsi="Bookman Old Style"/>
          <w:b w:val="0"/>
        </w:rPr>
        <w:t xml:space="preserve"> la Curva S, de tal forma que el proyecto entrara en operación antes de diciembre del 201</w:t>
      </w:r>
      <w:r w:rsidR="004A5065">
        <w:rPr>
          <w:rFonts w:ascii="Bookman Old Style" w:hAnsi="Bookman Old Style"/>
          <w:b w:val="0"/>
        </w:rPr>
        <w:t>5</w:t>
      </w:r>
      <w:r w:rsidRPr="00CB5D45">
        <w:rPr>
          <w:rFonts w:ascii="Bookman Old Style" w:hAnsi="Bookman Old Style"/>
          <w:b w:val="0"/>
        </w:rPr>
        <w:t>.</w:t>
      </w:r>
    </w:p>
    <w:p w:rsidR="009C4FE5" w:rsidRDefault="009C4FE5" w:rsidP="00EC2ABD">
      <w:pPr>
        <w:pStyle w:val="Textoindependiente"/>
        <w:ind w:left="0"/>
        <w:jc w:val="both"/>
        <w:rPr>
          <w:rFonts w:ascii="Bookman Old Style" w:hAnsi="Bookman Old Style"/>
          <w:b w:val="0"/>
        </w:rPr>
      </w:pPr>
    </w:p>
    <w:p w:rsidR="004A5065" w:rsidRDefault="004A5065" w:rsidP="00EC2ABD">
      <w:pPr>
        <w:pStyle w:val="Textoindependiente"/>
        <w:ind w:left="0"/>
        <w:jc w:val="both"/>
        <w:rPr>
          <w:rFonts w:ascii="Bookman Old Style" w:hAnsi="Bookman Old Style"/>
          <w:b w:val="0"/>
        </w:rPr>
      </w:pPr>
    </w:p>
    <w:p w:rsidR="00317298" w:rsidRDefault="00317298" w:rsidP="00EC2ABD">
      <w:pPr>
        <w:pStyle w:val="Textoindependiente"/>
        <w:ind w:left="0"/>
        <w:jc w:val="both"/>
        <w:rPr>
          <w:rFonts w:ascii="Bookman Old Style" w:hAnsi="Bookman Old Style"/>
          <w:b w:val="0"/>
        </w:rPr>
      </w:pPr>
    </w:p>
    <w:p w:rsidR="00DC68DE" w:rsidRDefault="00DC68DE" w:rsidP="00DC68DE">
      <w:pPr>
        <w:pStyle w:val="Ttulo1"/>
        <w:numPr>
          <w:ilvl w:val="0"/>
          <w:numId w:val="1"/>
        </w:numPr>
        <w:ind w:hanging="720"/>
        <w:jc w:val="left"/>
        <w:rPr>
          <w:rFonts w:ascii="Bookman Old Style" w:hAnsi="Bookman Old Style" w:cs="Arial"/>
        </w:rPr>
      </w:pPr>
      <w:r w:rsidRPr="00DC68DE">
        <w:rPr>
          <w:rFonts w:ascii="Bookman Old Style" w:hAnsi="Bookman Old Style" w:cs="Arial"/>
        </w:rPr>
        <w:t>COMPETENCIA.</w:t>
      </w:r>
    </w:p>
    <w:p w:rsidR="00D63A87" w:rsidRPr="00D63A87" w:rsidRDefault="00D63A87" w:rsidP="00D63A87">
      <w:pPr>
        <w:rPr>
          <w:lang w:val="es-CO"/>
        </w:rPr>
      </w:pPr>
    </w:p>
    <w:p w:rsidR="00DC68DE" w:rsidRPr="00DC68DE" w:rsidRDefault="00DC68DE" w:rsidP="00DC68DE">
      <w:pPr>
        <w:pStyle w:val="Textoindependiente"/>
        <w:ind w:left="0"/>
        <w:jc w:val="both"/>
        <w:rPr>
          <w:rFonts w:ascii="Bookman Old Style" w:hAnsi="Bookman Old Style"/>
          <w:b w:val="0"/>
          <w:color w:val="000000" w:themeColor="text1"/>
          <w:lang w:val="es-CO" w:eastAsia="es-CO"/>
        </w:rPr>
      </w:pPr>
      <w:r w:rsidRPr="00DC68DE">
        <w:rPr>
          <w:rFonts w:ascii="Bookman Old Style" w:hAnsi="Bookman Old Style"/>
          <w:b w:val="0"/>
          <w:bCs w:val="0"/>
          <w:iCs/>
        </w:rPr>
        <w:t>El</w:t>
      </w:r>
      <w:r w:rsidRPr="00DC68DE">
        <w:rPr>
          <w:rFonts w:ascii="Bookman Old Style" w:hAnsi="Bookman Old Style"/>
          <w:b w:val="0"/>
          <w:color w:val="000000" w:themeColor="text1"/>
          <w:lang w:val="es-CO" w:eastAsia="es-CO"/>
        </w:rPr>
        <w:t xml:space="preserve"> parágrafo del artículo 9 de la Resolución CREG 071 de 2006 (</w:t>
      </w:r>
      <w:r w:rsidRPr="00DC68DE">
        <w:rPr>
          <w:rFonts w:ascii="Bookman Old Style" w:hAnsi="Bookman Old Style"/>
          <w:b w:val="0"/>
          <w:lang w:val="es-CO"/>
        </w:rPr>
        <w:t>modificado por el artículo 13 de la Resolución CREG 061 de 2007</w:t>
      </w:r>
      <w:r w:rsidRPr="00DC68DE">
        <w:rPr>
          <w:rFonts w:ascii="Bookman Old Style" w:hAnsi="Bookman Old Style"/>
          <w:b w:val="0"/>
          <w:color w:val="000000" w:themeColor="text1"/>
          <w:lang w:val="es-CO" w:eastAsia="es-CO"/>
        </w:rPr>
        <w:t>), establece:</w:t>
      </w:r>
    </w:p>
    <w:p w:rsidR="00DC68DE" w:rsidRPr="00DC68DE" w:rsidRDefault="00DC68DE" w:rsidP="00DC68DE">
      <w:pPr>
        <w:pStyle w:val="Prrafodelista"/>
        <w:ind w:left="720"/>
        <w:jc w:val="both"/>
        <w:rPr>
          <w:rFonts w:ascii="Bookman Old Style" w:hAnsi="Bookman Old Style" w:cs="Arial"/>
          <w:i/>
          <w:color w:val="000000" w:themeColor="text1"/>
          <w:lang w:eastAsia="es-CO"/>
        </w:rPr>
      </w:pPr>
    </w:p>
    <w:p w:rsidR="00DC68DE" w:rsidRPr="00DC68DE" w:rsidRDefault="00DC68DE" w:rsidP="00DC68DE">
      <w:pPr>
        <w:pStyle w:val="Prrafodelista"/>
        <w:ind w:left="720"/>
        <w:jc w:val="both"/>
        <w:rPr>
          <w:rFonts w:ascii="Bookman Old Style" w:hAnsi="Bookman Old Style" w:cs="Arial"/>
          <w:i/>
          <w:color w:val="000000" w:themeColor="text1"/>
          <w:lang w:eastAsia="es-CO"/>
        </w:rPr>
      </w:pPr>
      <w:r w:rsidRPr="00DC68DE">
        <w:rPr>
          <w:rFonts w:ascii="Bookman Old Style" w:hAnsi="Bookman Old Style" w:cs="Arial"/>
          <w:i/>
          <w:color w:val="000000" w:themeColor="text1"/>
          <w:sz w:val="22"/>
          <w:szCs w:val="22"/>
          <w:lang w:eastAsia="es-CO"/>
        </w:rPr>
        <w:t>“(…) la CREG, con el propósito de establecer plenamente la existencia del incumplimiento, determinar sus consecuencias y garantizar el derecho de defensa de los afectados, agotará el trámite previsto en los Artículos 106 y ss. de la Ley 142 de 1994 y, en lo no previsto en ellos, aplicará las normas de la parte primera del Código Contencioso Administrativo que sean compatibles (…)”</w:t>
      </w:r>
      <w:r w:rsidRPr="00DC68DE">
        <w:rPr>
          <w:rFonts w:ascii="Bookman Old Style" w:hAnsi="Bookman Old Style" w:cs="Arial"/>
          <w:i/>
          <w:color w:val="000000" w:themeColor="text1"/>
          <w:lang w:eastAsia="es-CO"/>
        </w:rPr>
        <w:t>.</w:t>
      </w:r>
    </w:p>
    <w:p w:rsidR="00DC68DE" w:rsidRPr="00DC68DE" w:rsidRDefault="00DC68DE" w:rsidP="00DC68DE">
      <w:pPr>
        <w:pStyle w:val="Prrafodelista"/>
        <w:ind w:left="720"/>
        <w:jc w:val="both"/>
        <w:rPr>
          <w:rFonts w:ascii="Bookman Old Style" w:hAnsi="Bookman Old Style"/>
          <w:i/>
          <w:iCs/>
        </w:rPr>
      </w:pPr>
    </w:p>
    <w:p w:rsidR="00DC68DE" w:rsidRPr="00DC68DE" w:rsidRDefault="00DC68DE" w:rsidP="00DC68DE">
      <w:pPr>
        <w:pStyle w:val="Textoindependiente"/>
        <w:ind w:left="0"/>
        <w:jc w:val="both"/>
        <w:rPr>
          <w:rFonts w:ascii="Bookman Old Style" w:hAnsi="Bookman Old Style"/>
          <w:b w:val="0"/>
          <w:iCs/>
          <w:lang w:val="es-CO"/>
        </w:rPr>
      </w:pPr>
      <w:r w:rsidRPr="00DC68DE">
        <w:rPr>
          <w:rFonts w:ascii="Bookman Old Style" w:hAnsi="Bookman Old Style"/>
          <w:b w:val="0"/>
          <w:iCs/>
          <w:lang w:val="es-CO"/>
        </w:rPr>
        <w:t>Por lo anterior, resulta clara la competencia de esta entidad, sustentada en mandatos positivos en firme, claros y expresos, que la facultan para entrar a resolver el asunto de la referencia.</w:t>
      </w:r>
    </w:p>
    <w:p w:rsidR="00DC68DE" w:rsidRPr="00DC68DE" w:rsidRDefault="00DC68DE" w:rsidP="00DC68DE">
      <w:pPr>
        <w:pStyle w:val="Prrafodelista"/>
        <w:ind w:left="720"/>
        <w:jc w:val="both"/>
        <w:rPr>
          <w:rFonts w:ascii="Bookman Old Style" w:hAnsi="Bookman Old Style"/>
          <w:iCs/>
        </w:rPr>
      </w:pPr>
    </w:p>
    <w:p w:rsidR="00445D79" w:rsidRPr="00714616" w:rsidRDefault="00EC2ABD" w:rsidP="00EC2ABD">
      <w:pPr>
        <w:pStyle w:val="Ttulo1"/>
        <w:numPr>
          <w:ilvl w:val="0"/>
          <w:numId w:val="1"/>
        </w:numPr>
        <w:ind w:hanging="720"/>
        <w:jc w:val="left"/>
        <w:rPr>
          <w:rFonts w:ascii="Bookman Old Style" w:hAnsi="Bookman Old Style"/>
          <w:bCs/>
          <w:iCs/>
        </w:rPr>
      </w:pPr>
      <w:r w:rsidRPr="00714616">
        <w:rPr>
          <w:rFonts w:ascii="Bookman Old Style" w:hAnsi="Bookman Old Style"/>
          <w:bCs/>
          <w:iCs/>
        </w:rPr>
        <w:t>INICIO DE LA ACTUACI</w:t>
      </w:r>
      <w:r w:rsidR="00B771EA">
        <w:rPr>
          <w:rFonts w:ascii="Bookman Old Style" w:hAnsi="Bookman Old Style"/>
          <w:bCs/>
          <w:iCs/>
        </w:rPr>
        <w:t>Ó</w:t>
      </w:r>
      <w:r w:rsidRPr="00714616">
        <w:rPr>
          <w:rFonts w:ascii="Bookman Old Style" w:hAnsi="Bookman Old Style"/>
          <w:bCs/>
          <w:iCs/>
        </w:rPr>
        <w:t>N.</w:t>
      </w:r>
    </w:p>
    <w:p w:rsidR="00EC2ABD" w:rsidRPr="00714616" w:rsidRDefault="00EC2ABD" w:rsidP="00EC2ABD">
      <w:pPr>
        <w:pStyle w:val="Textoindependiente"/>
        <w:ind w:left="0"/>
        <w:jc w:val="both"/>
        <w:rPr>
          <w:rFonts w:ascii="Bookman Old Style" w:hAnsi="Bookman Old Style"/>
          <w:bCs w:val="0"/>
          <w:iCs/>
        </w:rPr>
      </w:pPr>
    </w:p>
    <w:p w:rsidR="00EC2ABD" w:rsidRPr="00714616" w:rsidRDefault="00EC2ABD" w:rsidP="00EC2ABD">
      <w:pPr>
        <w:pStyle w:val="Textoindependiente"/>
        <w:ind w:left="0"/>
        <w:jc w:val="both"/>
        <w:rPr>
          <w:rFonts w:ascii="Bookman Old Style" w:hAnsi="Bookman Old Style"/>
          <w:b w:val="0"/>
          <w:bCs w:val="0"/>
          <w:iCs/>
        </w:rPr>
      </w:pPr>
      <w:r w:rsidRPr="00714616">
        <w:rPr>
          <w:rFonts w:ascii="Bookman Old Style" w:hAnsi="Bookman Old Style"/>
          <w:b w:val="0"/>
          <w:bCs w:val="0"/>
          <w:iCs/>
        </w:rPr>
        <w:t>Median</w:t>
      </w:r>
      <w:r w:rsidR="005438B9">
        <w:rPr>
          <w:rFonts w:ascii="Bookman Old Style" w:hAnsi="Bookman Old Style"/>
          <w:b w:val="0"/>
          <w:bCs w:val="0"/>
          <w:iCs/>
        </w:rPr>
        <w:t xml:space="preserve">te comunicación E-2011-004936, </w:t>
      </w:r>
      <w:r w:rsidRPr="00714616">
        <w:rPr>
          <w:rFonts w:ascii="Bookman Old Style" w:hAnsi="Bookman Old Style"/>
          <w:b w:val="0"/>
          <w:bCs w:val="0"/>
          <w:iCs/>
        </w:rPr>
        <w:t xml:space="preserve">la CREG </w:t>
      </w:r>
      <w:r w:rsidR="004E1821">
        <w:rPr>
          <w:rFonts w:ascii="Bookman Old Style" w:hAnsi="Bookman Old Style"/>
          <w:b w:val="0"/>
          <w:bCs w:val="0"/>
          <w:iCs/>
        </w:rPr>
        <w:t xml:space="preserve">recibió </w:t>
      </w:r>
      <w:r w:rsidRPr="00714616">
        <w:rPr>
          <w:rFonts w:ascii="Bookman Old Style" w:hAnsi="Bookman Old Style"/>
          <w:b w:val="0"/>
          <w:bCs w:val="0"/>
          <w:iCs/>
        </w:rPr>
        <w:t>el informe</w:t>
      </w:r>
      <w:r w:rsidR="004A5065">
        <w:rPr>
          <w:rFonts w:ascii="Bookman Old Style" w:hAnsi="Bookman Old Style"/>
          <w:b w:val="0"/>
          <w:bCs w:val="0"/>
          <w:iCs/>
        </w:rPr>
        <w:t xml:space="preserve"> adicional</w:t>
      </w:r>
      <w:r w:rsidRPr="00714616">
        <w:rPr>
          <w:rFonts w:ascii="Bookman Old Style" w:hAnsi="Bookman Old Style"/>
          <w:b w:val="0"/>
          <w:bCs w:val="0"/>
          <w:iCs/>
        </w:rPr>
        <w:t xml:space="preserve"> de auditoría de verificación del cronograma</w:t>
      </w:r>
      <w:r w:rsidR="004A5065">
        <w:rPr>
          <w:rFonts w:ascii="Bookman Old Style" w:hAnsi="Bookman Old Style"/>
          <w:b w:val="0"/>
          <w:bCs w:val="0"/>
          <w:iCs/>
        </w:rPr>
        <w:t xml:space="preserve"> de construcción </w:t>
      </w:r>
      <w:r w:rsidRPr="00714616">
        <w:rPr>
          <w:rFonts w:ascii="Bookman Old Style" w:hAnsi="Bookman Old Style"/>
          <w:b w:val="0"/>
          <w:bCs w:val="0"/>
          <w:iCs/>
        </w:rPr>
        <w:t xml:space="preserve">y </w:t>
      </w:r>
      <w:r w:rsidR="004A5065">
        <w:rPr>
          <w:rFonts w:ascii="Bookman Old Style" w:hAnsi="Bookman Old Style"/>
          <w:b w:val="0"/>
          <w:bCs w:val="0"/>
          <w:iCs/>
        </w:rPr>
        <w:t>C</w:t>
      </w:r>
      <w:r w:rsidRPr="00714616">
        <w:rPr>
          <w:rFonts w:ascii="Bookman Old Style" w:hAnsi="Bookman Old Style"/>
          <w:b w:val="0"/>
          <w:bCs w:val="0"/>
          <w:iCs/>
        </w:rPr>
        <w:t>urva S del proyecto de</w:t>
      </w:r>
      <w:r w:rsidR="004A5065">
        <w:rPr>
          <w:rFonts w:ascii="Bookman Old Style" w:hAnsi="Bookman Old Style"/>
          <w:b w:val="0"/>
          <w:bCs w:val="0"/>
          <w:iCs/>
        </w:rPr>
        <w:t xml:space="preserve"> generación hidroeléctrico </w:t>
      </w:r>
      <w:r w:rsidRPr="00714616">
        <w:rPr>
          <w:rFonts w:ascii="Bookman Old Style" w:hAnsi="Bookman Old Style"/>
          <w:b w:val="0"/>
          <w:bCs w:val="0"/>
          <w:iCs/>
        </w:rPr>
        <w:t>Porce IV,</w:t>
      </w:r>
      <w:r w:rsidR="00B54CF1" w:rsidRPr="00714616">
        <w:rPr>
          <w:rFonts w:ascii="Bookman Old Style" w:hAnsi="Bookman Old Style"/>
          <w:b w:val="0"/>
          <w:bCs w:val="0"/>
          <w:iCs/>
        </w:rPr>
        <w:t xml:space="preserve"> elaborado por S</w:t>
      </w:r>
      <w:r w:rsidR="00DD1D32" w:rsidRPr="00714616">
        <w:rPr>
          <w:rFonts w:ascii="Bookman Old Style" w:hAnsi="Bookman Old Style"/>
          <w:b w:val="0"/>
          <w:bCs w:val="0"/>
          <w:iCs/>
        </w:rPr>
        <w:t>EDIC</w:t>
      </w:r>
      <w:r w:rsidR="00B54CF1" w:rsidRPr="00714616">
        <w:rPr>
          <w:rFonts w:ascii="Bookman Old Style" w:hAnsi="Bookman Old Style"/>
          <w:b w:val="0"/>
          <w:bCs w:val="0"/>
          <w:iCs/>
        </w:rPr>
        <w:t xml:space="preserve"> S.A </w:t>
      </w:r>
      <w:r w:rsidR="004A5065">
        <w:rPr>
          <w:rFonts w:ascii="Bookman Old Style" w:hAnsi="Bookman Old Style"/>
          <w:b w:val="0"/>
          <w:bCs w:val="0"/>
          <w:iCs/>
        </w:rPr>
        <w:t>(</w:t>
      </w:r>
      <w:r w:rsidR="00B54CF1" w:rsidRPr="00714616">
        <w:rPr>
          <w:rFonts w:ascii="Bookman Old Style" w:hAnsi="Bookman Old Style"/>
          <w:b w:val="0"/>
          <w:bCs w:val="0"/>
          <w:iCs/>
        </w:rPr>
        <w:t>auditor del proyecto</w:t>
      </w:r>
      <w:r w:rsidR="004A5065">
        <w:rPr>
          <w:rFonts w:ascii="Bookman Old Style" w:hAnsi="Bookman Old Style"/>
          <w:b w:val="0"/>
          <w:bCs w:val="0"/>
          <w:iCs/>
        </w:rPr>
        <w:t>)</w:t>
      </w:r>
      <w:r w:rsidR="00B54CF1" w:rsidRPr="00714616">
        <w:rPr>
          <w:rFonts w:ascii="Bookman Old Style" w:hAnsi="Bookman Old Style"/>
          <w:b w:val="0"/>
          <w:bCs w:val="0"/>
          <w:iCs/>
        </w:rPr>
        <w:t>.</w:t>
      </w:r>
    </w:p>
    <w:p w:rsidR="004238D9" w:rsidRPr="00714616" w:rsidRDefault="004238D9" w:rsidP="00EC2ABD">
      <w:pPr>
        <w:pStyle w:val="Textoindependiente"/>
        <w:ind w:left="0"/>
        <w:jc w:val="both"/>
        <w:rPr>
          <w:rFonts w:ascii="Bookman Old Style" w:hAnsi="Bookman Old Style"/>
          <w:b w:val="0"/>
          <w:bCs w:val="0"/>
          <w:iCs/>
        </w:rPr>
      </w:pPr>
    </w:p>
    <w:p w:rsidR="004238D9" w:rsidRPr="00714616" w:rsidRDefault="004238D9" w:rsidP="00EC2ABD">
      <w:pPr>
        <w:pStyle w:val="Textoindependiente"/>
        <w:ind w:left="0"/>
        <w:jc w:val="both"/>
        <w:rPr>
          <w:rFonts w:ascii="Bookman Old Style" w:hAnsi="Bookman Old Style"/>
          <w:b w:val="0"/>
          <w:bCs w:val="0"/>
          <w:iCs/>
        </w:rPr>
      </w:pPr>
      <w:r w:rsidRPr="00714616">
        <w:rPr>
          <w:rFonts w:ascii="Bookman Old Style" w:hAnsi="Bookman Old Style"/>
          <w:b w:val="0"/>
          <w:bCs w:val="0"/>
          <w:iCs/>
        </w:rPr>
        <w:t>En dicho informe el audito</w:t>
      </w:r>
      <w:r w:rsidR="004E1821">
        <w:rPr>
          <w:rFonts w:ascii="Bookman Old Style" w:hAnsi="Bookman Old Style"/>
          <w:b w:val="0"/>
          <w:bCs w:val="0"/>
          <w:iCs/>
        </w:rPr>
        <w:t>r</w:t>
      </w:r>
      <w:r w:rsidR="00DD1D32" w:rsidRPr="00714616">
        <w:rPr>
          <w:rFonts w:ascii="Bookman Old Style" w:hAnsi="Bookman Old Style"/>
          <w:b w:val="0"/>
          <w:bCs w:val="0"/>
          <w:iCs/>
        </w:rPr>
        <w:t>, en el capítulo 8 de comentarios y observaciones, concluye</w:t>
      </w:r>
      <w:r w:rsidRPr="00714616">
        <w:rPr>
          <w:rFonts w:ascii="Bookman Old Style" w:hAnsi="Bookman Old Style"/>
          <w:b w:val="0"/>
          <w:bCs w:val="0"/>
          <w:iCs/>
        </w:rPr>
        <w:t xml:space="preserve"> lo siguiente:</w:t>
      </w:r>
    </w:p>
    <w:p w:rsidR="004238D9" w:rsidRPr="00714616" w:rsidRDefault="004238D9" w:rsidP="00EC2ABD">
      <w:pPr>
        <w:pStyle w:val="Textoindependiente"/>
        <w:ind w:left="0"/>
        <w:jc w:val="both"/>
        <w:rPr>
          <w:rFonts w:ascii="Bookman Old Style" w:hAnsi="Bookman Old Style"/>
          <w:b w:val="0"/>
          <w:bCs w:val="0"/>
          <w:iCs/>
        </w:rPr>
      </w:pPr>
    </w:p>
    <w:p w:rsidR="004238D9" w:rsidRPr="00714616" w:rsidRDefault="004238D9" w:rsidP="00714616">
      <w:pPr>
        <w:pStyle w:val="Textoindependiente"/>
        <w:ind w:left="708"/>
        <w:jc w:val="both"/>
        <w:rPr>
          <w:rFonts w:ascii="Bookman Old Style" w:hAnsi="Bookman Old Style"/>
          <w:b w:val="0"/>
          <w:bCs w:val="0"/>
          <w:i/>
          <w:iCs/>
          <w:sz w:val="22"/>
          <w:szCs w:val="22"/>
        </w:rPr>
      </w:pPr>
      <w:r w:rsidRPr="00714616">
        <w:rPr>
          <w:rFonts w:ascii="Bookman Old Style" w:hAnsi="Bookman Old Style"/>
          <w:b w:val="0"/>
          <w:bCs w:val="0"/>
          <w:i/>
          <w:iCs/>
          <w:sz w:val="22"/>
          <w:szCs w:val="22"/>
        </w:rPr>
        <w:t xml:space="preserve">“(…) El Agente Generador – Empresas Públicas de </w:t>
      </w:r>
      <w:r w:rsidR="00DD1D32" w:rsidRPr="00714616">
        <w:rPr>
          <w:rFonts w:ascii="Bookman Old Style" w:hAnsi="Bookman Old Style"/>
          <w:b w:val="0"/>
          <w:bCs w:val="0"/>
          <w:i/>
          <w:iCs/>
          <w:sz w:val="22"/>
          <w:szCs w:val="22"/>
        </w:rPr>
        <w:t>Medellín</w:t>
      </w:r>
      <w:r w:rsidRPr="00714616">
        <w:rPr>
          <w:rFonts w:ascii="Bookman Old Style" w:hAnsi="Bookman Old Style"/>
          <w:b w:val="0"/>
          <w:bCs w:val="0"/>
          <w:i/>
          <w:iCs/>
          <w:sz w:val="22"/>
          <w:szCs w:val="22"/>
        </w:rPr>
        <w:t xml:space="preserve"> S.A E.S.P., ha suministrado a XM S.A E.S.P. y este a su vez a la firma Auditora SEDIC S.A, información referente al avance del Proyecto </w:t>
      </w:r>
      <w:r w:rsidR="00227580" w:rsidRPr="00714616">
        <w:rPr>
          <w:rFonts w:ascii="Bookman Old Style" w:hAnsi="Bookman Old Style"/>
          <w:b w:val="0"/>
          <w:bCs w:val="0"/>
          <w:i/>
          <w:iCs/>
          <w:sz w:val="22"/>
          <w:szCs w:val="22"/>
        </w:rPr>
        <w:t>reflejados</w:t>
      </w:r>
      <w:r w:rsidRPr="00714616">
        <w:rPr>
          <w:rFonts w:ascii="Bookman Old Style" w:hAnsi="Bookman Old Style"/>
          <w:b w:val="0"/>
          <w:bCs w:val="0"/>
          <w:i/>
          <w:iCs/>
          <w:sz w:val="22"/>
          <w:szCs w:val="22"/>
        </w:rPr>
        <w:t xml:space="preserve"> en la Curva S, con corte a 25 de abril de 2011, a fin de que la Auditoria pudiera realizar este </w:t>
      </w:r>
      <w:r w:rsidR="00227580" w:rsidRPr="00714616">
        <w:rPr>
          <w:rFonts w:ascii="Bookman Old Style" w:hAnsi="Bookman Old Style"/>
          <w:b w:val="0"/>
          <w:bCs w:val="0"/>
          <w:i/>
          <w:iCs/>
          <w:sz w:val="22"/>
          <w:szCs w:val="22"/>
        </w:rPr>
        <w:t>informe</w:t>
      </w:r>
      <w:r w:rsidRPr="00714616">
        <w:rPr>
          <w:rFonts w:ascii="Bookman Old Style" w:hAnsi="Bookman Old Style"/>
          <w:b w:val="0"/>
          <w:bCs w:val="0"/>
          <w:i/>
          <w:iCs/>
          <w:sz w:val="22"/>
          <w:szCs w:val="22"/>
        </w:rPr>
        <w:t xml:space="preserve"> Adicional</w:t>
      </w:r>
    </w:p>
    <w:p w:rsidR="004238D9" w:rsidRPr="00714616" w:rsidRDefault="004238D9" w:rsidP="00EC2ABD">
      <w:pPr>
        <w:pStyle w:val="Textoindependiente"/>
        <w:ind w:left="0"/>
        <w:jc w:val="both"/>
        <w:rPr>
          <w:rFonts w:ascii="Bookman Old Style" w:hAnsi="Bookman Old Style"/>
          <w:b w:val="0"/>
          <w:bCs w:val="0"/>
          <w:i/>
          <w:iCs/>
          <w:sz w:val="22"/>
          <w:szCs w:val="22"/>
        </w:rPr>
      </w:pPr>
    </w:p>
    <w:p w:rsidR="004238D9" w:rsidRPr="00714616" w:rsidRDefault="004238D9" w:rsidP="00714616">
      <w:pPr>
        <w:pStyle w:val="Textoindependiente"/>
        <w:ind w:left="708"/>
        <w:jc w:val="both"/>
        <w:rPr>
          <w:rFonts w:ascii="Bookman Old Style" w:hAnsi="Bookman Old Style"/>
          <w:b w:val="0"/>
          <w:bCs w:val="0"/>
          <w:i/>
          <w:iCs/>
          <w:sz w:val="22"/>
          <w:szCs w:val="22"/>
        </w:rPr>
      </w:pPr>
      <w:r w:rsidRPr="00714616">
        <w:rPr>
          <w:rFonts w:ascii="Bookman Old Style" w:hAnsi="Bookman Old Style"/>
          <w:b w:val="0"/>
          <w:bCs w:val="0"/>
          <w:i/>
          <w:iCs/>
          <w:sz w:val="22"/>
          <w:szCs w:val="22"/>
        </w:rPr>
        <w:t xml:space="preserve">La información recibida de parte del Agente </w:t>
      </w:r>
      <w:r w:rsidR="00711678" w:rsidRPr="00714616">
        <w:rPr>
          <w:rFonts w:ascii="Bookman Old Style" w:hAnsi="Bookman Old Style"/>
          <w:b w:val="0"/>
          <w:bCs w:val="0"/>
          <w:i/>
          <w:iCs/>
          <w:sz w:val="22"/>
          <w:szCs w:val="22"/>
        </w:rPr>
        <w:t>Generador</w:t>
      </w:r>
      <w:r w:rsidRPr="00714616">
        <w:rPr>
          <w:rFonts w:ascii="Bookman Old Style" w:hAnsi="Bookman Old Style"/>
          <w:b w:val="0"/>
          <w:bCs w:val="0"/>
          <w:i/>
          <w:iCs/>
          <w:sz w:val="22"/>
          <w:szCs w:val="22"/>
        </w:rPr>
        <w:t>, no</w:t>
      </w:r>
      <w:r w:rsidR="00711678" w:rsidRPr="00714616">
        <w:rPr>
          <w:rFonts w:ascii="Bookman Old Style" w:hAnsi="Bookman Old Style"/>
          <w:b w:val="0"/>
          <w:bCs w:val="0"/>
          <w:i/>
          <w:iCs/>
          <w:sz w:val="22"/>
          <w:szCs w:val="22"/>
        </w:rPr>
        <w:t>s</w:t>
      </w:r>
      <w:r w:rsidRPr="00714616">
        <w:rPr>
          <w:rFonts w:ascii="Bookman Old Style" w:hAnsi="Bookman Old Style"/>
          <w:b w:val="0"/>
          <w:bCs w:val="0"/>
          <w:i/>
          <w:iCs/>
          <w:sz w:val="22"/>
          <w:szCs w:val="22"/>
        </w:rPr>
        <w:t xml:space="preserve"> permite establecer que a la fecha de corte de este informe adicional no existen contratos activos para la ejecución de las obras de infraestructura, de las obras principales y de fabricación de los equipos principales, </w:t>
      </w:r>
      <w:r w:rsidR="00711678" w:rsidRPr="00714616">
        <w:rPr>
          <w:rFonts w:ascii="Bookman Old Style" w:hAnsi="Bookman Old Style"/>
          <w:b w:val="0"/>
          <w:bCs w:val="0"/>
          <w:i/>
          <w:iCs/>
          <w:sz w:val="22"/>
          <w:szCs w:val="22"/>
        </w:rPr>
        <w:t>así</w:t>
      </w:r>
      <w:r w:rsidRPr="00714616">
        <w:rPr>
          <w:rFonts w:ascii="Bookman Old Style" w:hAnsi="Bookman Old Style"/>
          <w:b w:val="0"/>
          <w:bCs w:val="0"/>
          <w:i/>
          <w:iCs/>
          <w:sz w:val="22"/>
          <w:szCs w:val="22"/>
        </w:rPr>
        <w:t xml:space="preserve"> como tampoco para la asesoría e interventoría durante las obras de </w:t>
      </w:r>
      <w:r w:rsidR="00227580" w:rsidRPr="00714616">
        <w:rPr>
          <w:rFonts w:ascii="Bookman Old Style" w:hAnsi="Bookman Old Style"/>
          <w:b w:val="0"/>
          <w:bCs w:val="0"/>
          <w:i/>
          <w:iCs/>
          <w:sz w:val="22"/>
          <w:szCs w:val="22"/>
        </w:rPr>
        <w:t>construcción</w:t>
      </w:r>
      <w:r w:rsidR="00DD1D32" w:rsidRPr="00714616">
        <w:rPr>
          <w:rFonts w:ascii="Bookman Old Style" w:hAnsi="Bookman Old Style"/>
          <w:b w:val="0"/>
          <w:bCs w:val="0"/>
          <w:i/>
          <w:iCs/>
          <w:sz w:val="22"/>
          <w:szCs w:val="22"/>
        </w:rPr>
        <w:t xml:space="preserve"> del proyecto.</w:t>
      </w:r>
    </w:p>
    <w:p w:rsidR="00DD1D32" w:rsidRPr="00714616" w:rsidRDefault="00DD1D32" w:rsidP="00EC2ABD">
      <w:pPr>
        <w:pStyle w:val="Textoindependiente"/>
        <w:ind w:left="0"/>
        <w:jc w:val="both"/>
        <w:rPr>
          <w:rFonts w:ascii="Bookman Old Style" w:hAnsi="Bookman Old Style"/>
          <w:b w:val="0"/>
          <w:bCs w:val="0"/>
          <w:i/>
          <w:iCs/>
          <w:sz w:val="22"/>
          <w:szCs w:val="22"/>
        </w:rPr>
      </w:pPr>
    </w:p>
    <w:p w:rsidR="00DD1D32" w:rsidRPr="00714616" w:rsidRDefault="00DD1D32" w:rsidP="00714616">
      <w:pPr>
        <w:pStyle w:val="Textoindependiente"/>
        <w:ind w:left="708"/>
        <w:jc w:val="both"/>
        <w:rPr>
          <w:rFonts w:ascii="Bookman Old Style" w:hAnsi="Bookman Old Style"/>
          <w:b w:val="0"/>
          <w:bCs w:val="0"/>
          <w:i/>
          <w:iCs/>
          <w:sz w:val="22"/>
          <w:szCs w:val="22"/>
        </w:rPr>
      </w:pPr>
      <w:r w:rsidRPr="00714616">
        <w:rPr>
          <w:rFonts w:ascii="Bookman Old Style" w:hAnsi="Bookman Old Style"/>
          <w:b w:val="0"/>
          <w:bCs w:val="0"/>
          <w:i/>
          <w:iCs/>
          <w:sz w:val="22"/>
          <w:szCs w:val="22"/>
        </w:rPr>
        <w:t>El Agente Generador también ha indicado que el proyecto hidroeléctrico Porce IV presenta múltiples asuntos críticos que hoy hacen inviable su construcción.</w:t>
      </w:r>
    </w:p>
    <w:p w:rsidR="00DD1D32" w:rsidRPr="00714616" w:rsidRDefault="00DD1D32" w:rsidP="00EC2ABD">
      <w:pPr>
        <w:pStyle w:val="Textoindependiente"/>
        <w:ind w:left="0"/>
        <w:jc w:val="both"/>
        <w:rPr>
          <w:rFonts w:ascii="Bookman Old Style" w:hAnsi="Bookman Old Style"/>
          <w:b w:val="0"/>
          <w:bCs w:val="0"/>
          <w:i/>
          <w:iCs/>
          <w:sz w:val="22"/>
          <w:szCs w:val="22"/>
        </w:rPr>
      </w:pPr>
    </w:p>
    <w:p w:rsidR="00DD1D32" w:rsidRPr="00714616" w:rsidRDefault="00DD1D32" w:rsidP="00714616">
      <w:pPr>
        <w:pStyle w:val="Textoindependiente"/>
        <w:ind w:left="708"/>
        <w:jc w:val="both"/>
        <w:rPr>
          <w:rFonts w:ascii="Bookman Old Style" w:hAnsi="Bookman Old Style"/>
          <w:b w:val="0"/>
          <w:bCs w:val="0"/>
          <w:i/>
          <w:iCs/>
          <w:sz w:val="22"/>
          <w:szCs w:val="22"/>
        </w:rPr>
      </w:pPr>
      <w:r w:rsidRPr="00714616">
        <w:rPr>
          <w:rFonts w:ascii="Bookman Old Style" w:hAnsi="Bookman Old Style"/>
          <w:b w:val="0"/>
          <w:bCs w:val="0"/>
          <w:i/>
          <w:iCs/>
          <w:sz w:val="22"/>
          <w:szCs w:val="22"/>
        </w:rPr>
        <w:t>El Agente Generador al 25 de abril de 2011 no ha informado sobre medidas que permitan mitigar el atraso que presentaría el proyecto hidroeléctrico Porce IV bajo las condiciones de suspensión indefinida del mismo.</w:t>
      </w:r>
    </w:p>
    <w:p w:rsidR="00DD1D32" w:rsidRPr="00714616" w:rsidRDefault="00DD1D32" w:rsidP="00EC2ABD">
      <w:pPr>
        <w:pStyle w:val="Textoindependiente"/>
        <w:ind w:left="0"/>
        <w:jc w:val="both"/>
        <w:rPr>
          <w:rFonts w:ascii="Bookman Old Style" w:hAnsi="Bookman Old Style"/>
          <w:b w:val="0"/>
          <w:bCs w:val="0"/>
          <w:i/>
          <w:iCs/>
          <w:sz w:val="22"/>
          <w:szCs w:val="22"/>
        </w:rPr>
      </w:pPr>
    </w:p>
    <w:p w:rsidR="004238D9" w:rsidRPr="00714616" w:rsidRDefault="00DD1D32" w:rsidP="00714616">
      <w:pPr>
        <w:pStyle w:val="Textoindependiente"/>
        <w:ind w:left="708"/>
        <w:jc w:val="both"/>
        <w:rPr>
          <w:rFonts w:ascii="Bookman Old Style" w:hAnsi="Bookman Old Style"/>
          <w:b w:val="0"/>
          <w:bCs w:val="0"/>
          <w:iCs/>
          <w:sz w:val="22"/>
          <w:szCs w:val="22"/>
        </w:rPr>
      </w:pPr>
      <w:r w:rsidRPr="00714616">
        <w:rPr>
          <w:rFonts w:ascii="Bookman Old Style" w:hAnsi="Bookman Old Style"/>
          <w:b w:val="0"/>
          <w:bCs w:val="0"/>
          <w:i/>
          <w:iCs/>
          <w:sz w:val="22"/>
          <w:szCs w:val="22"/>
        </w:rPr>
        <w:t xml:space="preserve">Asumiendo que para el 01 de mayo de 2011 el Agente Generador entregue la orden de inicio para los contratos actualmente suspendidos, y a su vez de inicio en esta misma fecha a todas las actividades del programa de construcción de las obras, y que además no se van a presentar inconvenientes que deriven en incumplimientos por parte de los constructores al programa de ruta crítica de las obras, la conclusión es que al comparar bajo estos supuestos el desarrollo del proyecto con el cronograma registrado ante la CREG, se estaría en una situación de atraso en la entrada en operación de las unidades de generación del orden de 576 días calendario para el cumplimiento de la Obligación de Energía Firme registrada ante la CREG, </w:t>
      </w:r>
      <w:r w:rsidRPr="004A5065">
        <w:rPr>
          <w:rFonts w:ascii="Bookman Old Style" w:hAnsi="Bookman Old Style"/>
          <w:bCs w:val="0"/>
          <w:i/>
          <w:iCs/>
          <w:sz w:val="22"/>
          <w:szCs w:val="22"/>
        </w:rPr>
        <w:t>lo que lleva a la Auditoria a concluir que el proyecto hidroeléctrico Porce IV presenta a la fecha una situación de incumplimiento grave e insalvable</w:t>
      </w:r>
      <w:r w:rsidR="004238D9" w:rsidRPr="00714616">
        <w:rPr>
          <w:rFonts w:ascii="Bookman Old Style" w:hAnsi="Bookman Old Style"/>
          <w:b w:val="0"/>
          <w:bCs w:val="0"/>
          <w:i/>
          <w:iCs/>
          <w:sz w:val="22"/>
          <w:szCs w:val="22"/>
        </w:rPr>
        <w:t xml:space="preserve"> (…)”</w:t>
      </w:r>
      <w:r w:rsidR="004A5065">
        <w:rPr>
          <w:rFonts w:ascii="Bookman Old Style" w:hAnsi="Bookman Old Style"/>
          <w:b w:val="0"/>
          <w:bCs w:val="0"/>
          <w:i/>
          <w:iCs/>
          <w:sz w:val="22"/>
          <w:szCs w:val="22"/>
        </w:rPr>
        <w:t xml:space="preserve"> (negrilla fuera del original).</w:t>
      </w:r>
    </w:p>
    <w:p w:rsidR="00EC2ABD" w:rsidRPr="00D63A87" w:rsidRDefault="00EC2ABD" w:rsidP="00EC2ABD">
      <w:pPr>
        <w:pStyle w:val="Textoindependiente"/>
        <w:ind w:left="0"/>
        <w:jc w:val="both"/>
        <w:rPr>
          <w:rFonts w:ascii="Bookman Old Style" w:hAnsi="Bookman Old Style"/>
          <w:b w:val="0"/>
          <w:bCs w:val="0"/>
          <w:iCs/>
          <w:sz w:val="22"/>
        </w:rPr>
      </w:pPr>
    </w:p>
    <w:p w:rsidR="00EC2ABD" w:rsidRPr="00714616" w:rsidRDefault="004A5065" w:rsidP="00EC2ABD">
      <w:pPr>
        <w:pStyle w:val="Textoindependiente"/>
        <w:ind w:left="0"/>
        <w:jc w:val="both"/>
        <w:rPr>
          <w:rFonts w:ascii="Bookman Old Style" w:hAnsi="Bookman Old Style"/>
          <w:b w:val="0"/>
          <w:bCs w:val="0"/>
          <w:iCs/>
        </w:rPr>
      </w:pPr>
      <w:r>
        <w:rPr>
          <w:rFonts w:ascii="Bookman Old Style" w:hAnsi="Bookman Old Style"/>
          <w:b w:val="0"/>
          <w:bCs w:val="0"/>
          <w:iCs/>
        </w:rPr>
        <w:t>Este informe es enviado y recibido en la CREG, bajo el Radicado CREG E-2011-004936 del 20 de mayo del 2011.</w:t>
      </w:r>
      <w:r w:rsidR="002730C5">
        <w:rPr>
          <w:rFonts w:ascii="Bookman Old Style" w:hAnsi="Bookman Old Style"/>
          <w:b w:val="0"/>
          <w:bCs w:val="0"/>
          <w:iCs/>
        </w:rPr>
        <w:t xml:space="preserve"> C</w:t>
      </w:r>
      <w:r w:rsidR="00EC2ABD" w:rsidRPr="00714616">
        <w:rPr>
          <w:rFonts w:ascii="Bookman Old Style" w:hAnsi="Bookman Old Style"/>
          <w:b w:val="0"/>
          <w:bCs w:val="0"/>
          <w:iCs/>
        </w:rPr>
        <w:t xml:space="preserve">on fundamento en </w:t>
      </w:r>
      <w:r w:rsidR="002730C5">
        <w:rPr>
          <w:rFonts w:ascii="Bookman Old Style" w:hAnsi="Bookman Old Style"/>
          <w:b w:val="0"/>
          <w:bCs w:val="0"/>
          <w:iCs/>
        </w:rPr>
        <w:t>este informe y en cumplimiento de la regulación aplicable,</w:t>
      </w:r>
      <w:r w:rsidR="00EC2ABD" w:rsidRPr="00714616">
        <w:rPr>
          <w:rFonts w:ascii="Bookman Old Style" w:hAnsi="Bookman Old Style"/>
          <w:b w:val="0"/>
          <w:bCs w:val="0"/>
          <w:iCs/>
        </w:rPr>
        <w:t xml:space="preserve"> mediante auto del 30 de mayo del 2011, se dio origen a la actuación administrativa de la referencia.</w:t>
      </w:r>
    </w:p>
    <w:p w:rsidR="00EC2ABD" w:rsidRPr="00D63A87" w:rsidRDefault="00EC2ABD" w:rsidP="00EC2ABD">
      <w:pPr>
        <w:pStyle w:val="Textoindependiente"/>
        <w:ind w:left="0"/>
        <w:jc w:val="both"/>
        <w:rPr>
          <w:rFonts w:ascii="Bookman Old Style" w:hAnsi="Bookman Old Style"/>
          <w:b w:val="0"/>
          <w:bCs w:val="0"/>
          <w:iCs/>
          <w:sz w:val="22"/>
        </w:rPr>
      </w:pPr>
    </w:p>
    <w:p w:rsidR="00EC2ABD" w:rsidRDefault="00EC2ABD" w:rsidP="00EC2ABD">
      <w:pPr>
        <w:pStyle w:val="Textoindependiente"/>
        <w:ind w:left="0"/>
        <w:jc w:val="both"/>
        <w:rPr>
          <w:rFonts w:ascii="Bookman Old Style" w:hAnsi="Bookman Old Style"/>
          <w:b w:val="0"/>
          <w:bCs w:val="0"/>
          <w:iCs/>
        </w:rPr>
      </w:pPr>
      <w:r w:rsidRPr="00714616">
        <w:rPr>
          <w:rFonts w:ascii="Bookman Old Style" w:hAnsi="Bookman Old Style"/>
          <w:b w:val="0"/>
          <w:bCs w:val="0"/>
          <w:iCs/>
        </w:rPr>
        <w:t>Dicha actuación fue notificada mediante e</w:t>
      </w:r>
      <w:r w:rsidR="002730C5">
        <w:rPr>
          <w:rFonts w:ascii="Bookman Old Style" w:hAnsi="Bookman Old Style"/>
          <w:b w:val="0"/>
          <w:bCs w:val="0"/>
          <w:iCs/>
        </w:rPr>
        <w:t xml:space="preserve">stado del 1 de junio del 2011, y enviada carta de información </w:t>
      </w:r>
      <w:r w:rsidRPr="00714616">
        <w:rPr>
          <w:rFonts w:ascii="Bookman Old Style" w:hAnsi="Bookman Old Style"/>
          <w:b w:val="0"/>
          <w:bCs w:val="0"/>
          <w:iCs/>
        </w:rPr>
        <w:t>mediante comunicación S-2011-002723, al señor representante legal de Empresas Públicas de Medellín</w:t>
      </w:r>
      <w:r w:rsidR="004238D9" w:rsidRPr="00714616">
        <w:rPr>
          <w:rFonts w:ascii="Bookman Old Style" w:hAnsi="Bookman Old Style"/>
          <w:b w:val="0"/>
          <w:bCs w:val="0"/>
          <w:iCs/>
        </w:rPr>
        <w:t xml:space="preserve"> S.A</w:t>
      </w:r>
      <w:r w:rsidRPr="00714616">
        <w:rPr>
          <w:rFonts w:ascii="Bookman Old Style" w:hAnsi="Bookman Old Style"/>
          <w:b w:val="0"/>
          <w:bCs w:val="0"/>
          <w:iCs/>
        </w:rPr>
        <w:t xml:space="preserve"> E.S.P</w:t>
      </w:r>
      <w:r w:rsidR="008C7C68">
        <w:rPr>
          <w:rFonts w:ascii="Bookman Old Style" w:hAnsi="Bookman Old Style"/>
          <w:b w:val="0"/>
          <w:bCs w:val="0"/>
          <w:iCs/>
        </w:rPr>
        <w:t>.</w:t>
      </w:r>
      <w:r w:rsidRPr="00714616">
        <w:rPr>
          <w:rFonts w:ascii="Bookman Old Style" w:hAnsi="Bookman Old Style"/>
          <w:b w:val="0"/>
          <w:bCs w:val="0"/>
          <w:iCs/>
        </w:rPr>
        <w:t xml:space="preserve"> </w:t>
      </w:r>
    </w:p>
    <w:p w:rsidR="002730C5" w:rsidRPr="00D63A87" w:rsidRDefault="002730C5" w:rsidP="00EC2ABD">
      <w:pPr>
        <w:pStyle w:val="Textoindependiente"/>
        <w:ind w:left="0"/>
        <w:jc w:val="both"/>
        <w:rPr>
          <w:rFonts w:ascii="Bookman Old Style" w:hAnsi="Bookman Old Style"/>
          <w:b w:val="0"/>
          <w:bCs w:val="0"/>
          <w:iCs/>
          <w:sz w:val="22"/>
        </w:rPr>
      </w:pPr>
    </w:p>
    <w:p w:rsidR="00EC2ABD" w:rsidRPr="00714616" w:rsidRDefault="00EC2ABD" w:rsidP="00EC2ABD">
      <w:pPr>
        <w:pStyle w:val="Textoindependiente"/>
        <w:ind w:left="0"/>
        <w:jc w:val="both"/>
        <w:rPr>
          <w:rFonts w:ascii="Bookman Old Style" w:hAnsi="Bookman Old Style"/>
          <w:b w:val="0"/>
          <w:bCs w:val="0"/>
          <w:iCs/>
        </w:rPr>
      </w:pPr>
      <w:r w:rsidRPr="00714616">
        <w:rPr>
          <w:rFonts w:ascii="Bookman Old Style" w:hAnsi="Bookman Old Style"/>
          <w:b w:val="0"/>
          <w:bCs w:val="0"/>
          <w:iCs/>
        </w:rPr>
        <w:t>En el auto en cita</w:t>
      </w:r>
      <w:r w:rsidR="00B87C46" w:rsidRPr="00714616">
        <w:rPr>
          <w:rFonts w:ascii="Bookman Old Style" w:hAnsi="Bookman Old Style"/>
          <w:b w:val="0"/>
          <w:bCs w:val="0"/>
          <w:iCs/>
        </w:rPr>
        <w:t>,</w:t>
      </w:r>
      <w:r w:rsidRPr="00714616">
        <w:rPr>
          <w:rFonts w:ascii="Bookman Old Style" w:hAnsi="Bookman Old Style"/>
          <w:b w:val="0"/>
          <w:bCs w:val="0"/>
          <w:iCs/>
        </w:rPr>
        <w:t xml:space="preserve"> se </w:t>
      </w:r>
      <w:r w:rsidR="00B87C46" w:rsidRPr="00714616">
        <w:rPr>
          <w:rFonts w:ascii="Bookman Old Style" w:hAnsi="Bookman Old Style"/>
          <w:b w:val="0"/>
          <w:bCs w:val="0"/>
          <w:iCs/>
        </w:rPr>
        <w:t>ordenó</w:t>
      </w:r>
      <w:r w:rsidRPr="00714616">
        <w:rPr>
          <w:rFonts w:ascii="Bookman Old Style" w:hAnsi="Bookman Old Style"/>
          <w:b w:val="0"/>
          <w:bCs w:val="0"/>
          <w:iCs/>
        </w:rPr>
        <w:t xml:space="preserve"> a EPM </w:t>
      </w:r>
      <w:r w:rsidR="00B87C46" w:rsidRPr="00714616">
        <w:rPr>
          <w:rFonts w:ascii="Bookman Old Style" w:hAnsi="Bookman Old Style"/>
          <w:b w:val="0"/>
          <w:bCs w:val="0"/>
          <w:iCs/>
        </w:rPr>
        <w:t>realizar</w:t>
      </w:r>
      <w:r w:rsidRPr="00714616">
        <w:rPr>
          <w:rFonts w:ascii="Bookman Old Style" w:hAnsi="Bookman Old Style"/>
          <w:b w:val="0"/>
          <w:bCs w:val="0"/>
          <w:iCs/>
        </w:rPr>
        <w:t xml:space="preserve"> la publicación en un periódico de amplia circulación nacional</w:t>
      </w:r>
      <w:r w:rsidR="00B87C46" w:rsidRPr="00714616">
        <w:rPr>
          <w:rFonts w:ascii="Bookman Old Style" w:hAnsi="Bookman Old Style"/>
          <w:b w:val="0"/>
          <w:bCs w:val="0"/>
          <w:iCs/>
        </w:rPr>
        <w:t>, de</w:t>
      </w:r>
      <w:r w:rsidRPr="00714616">
        <w:rPr>
          <w:rFonts w:ascii="Bookman Old Style" w:hAnsi="Bookman Old Style"/>
          <w:b w:val="0"/>
          <w:bCs w:val="0"/>
          <w:iCs/>
        </w:rPr>
        <w:t xml:space="preserve"> un extracto de</w:t>
      </w:r>
      <w:r w:rsidR="002730C5">
        <w:rPr>
          <w:rFonts w:ascii="Bookman Old Style" w:hAnsi="Bookman Old Style"/>
          <w:b w:val="0"/>
          <w:bCs w:val="0"/>
          <w:iCs/>
        </w:rPr>
        <w:t xml:space="preserve"> información sobre </w:t>
      </w:r>
      <w:r w:rsidRPr="00714616">
        <w:rPr>
          <w:rFonts w:ascii="Bookman Old Style" w:hAnsi="Bookman Old Style"/>
          <w:b w:val="0"/>
          <w:bCs w:val="0"/>
          <w:iCs/>
        </w:rPr>
        <w:t>l</w:t>
      </w:r>
      <w:r w:rsidR="002730C5">
        <w:rPr>
          <w:rFonts w:ascii="Bookman Old Style" w:hAnsi="Bookman Old Style"/>
          <w:b w:val="0"/>
          <w:bCs w:val="0"/>
          <w:iCs/>
        </w:rPr>
        <w:t>a actuación administrativa</w:t>
      </w:r>
      <w:r w:rsidRPr="00714616">
        <w:rPr>
          <w:rFonts w:ascii="Bookman Old Style" w:hAnsi="Bookman Old Style"/>
          <w:b w:val="0"/>
          <w:bCs w:val="0"/>
          <w:iCs/>
        </w:rPr>
        <w:t>, el cual fue</w:t>
      </w:r>
      <w:r w:rsidR="002730C5">
        <w:rPr>
          <w:rFonts w:ascii="Bookman Old Style" w:hAnsi="Bookman Old Style"/>
          <w:b w:val="0"/>
          <w:bCs w:val="0"/>
          <w:iCs/>
        </w:rPr>
        <w:t xml:space="preserve"> elaborado </w:t>
      </w:r>
      <w:r w:rsidRPr="00714616">
        <w:rPr>
          <w:rFonts w:ascii="Bookman Old Style" w:hAnsi="Bookman Old Style"/>
          <w:b w:val="0"/>
          <w:bCs w:val="0"/>
          <w:iCs/>
        </w:rPr>
        <w:t xml:space="preserve">por la CREG y enviado a EPM. </w:t>
      </w:r>
    </w:p>
    <w:p w:rsidR="00B87C46" w:rsidRPr="00D63A87" w:rsidRDefault="00B87C46" w:rsidP="00EC2ABD">
      <w:pPr>
        <w:pStyle w:val="Textoindependiente"/>
        <w:ind w:left="0"/>
        <w:jc w:val="both"/>
        <w:rPr>
          <w:rFonts w:ascii="Bookman Old Style" w:hAnsi="Bookman Old Style"/>
          <w:b w:val="0"/>
          <w:bCs w:val="0"/>
          <w:iCs/>
          <w:sz w:val="22"/>
        </w:rPr>
      </w:pPr>
    </w:p>
    <w:p w:rsidR="00B87C46" w:rsidRPr="00714616" w:rsidRDefault="00B87C46" w:rsidP="00EC2ABD">
      <w:pPr>
        <w:pStyle w:val="Textoindependiente"/>
        <w:ind w:left="0"/>
        <w:jc w:val="both"/>
        <w:rPr>
          <w:rFonts w:ascii="Bookman Old Style" w:hAnsi="Bookman Old Style"/>
          <w:b w:val="0"/>
          <w:bCs w:val="0"/>
          <w:iCs/>
        </w:rPr>
      </w:pPr>
      <w:r w:rsidRPr="00714616">
        <w:rPr>
          <w:rFonts w:ascii="Bookman Old Style" w:hAnsi="Bookman Old Style"/>
          <w:b w:val="0"/>
          <w:bCs w:val="0"/>
          <w:iCs/>
        </w:rPr>
        <w:t xml:space="preserve">Mediante comunicación con el radicado CREG E-2011-005945, </w:t>
      </w:r>
      <w:r w:rsidR="005438B9">
        <w:rPr>
          <w:rFonts w:ascii="Bookman Old Style" w:hAnsi="Bookman Old Style"/>
          <w:b w:val="0"/>
          <w:bCs w:val="0"/>
          <w:iCs/>
        </w:rPr>
        <w:t>d</w:t>
      </w:r>
      <w:r w:rsidRPr="00714616">
        <w:rPr>
          <w:rFonts w:ascii="Bookman Old Style" w:hAnsi="Bookman Old Style"/>
          <w:b w:val="0"/>
          <w:bCs w:val="0"/>
          <w:iCs/>
        </w:rPr>
        <w:t>el 17 de junio del 2011, se recibió e</w:t>
      </w:r>
      <w:r w:rsidR="002730C5">
        <w:rPr>
          <w:rFonts w:ascii="Bookman Old Style" w:hAnsi="Bookman Old Style"/>
          <w:b w:val="0"/>
          <w:bCs w:val="0"/>
          <w:iCs/>
        </w:rPr>
        <w:t>n</w:t>
      </w:r>
      <w:r w:rsidRPr="00714616">
        <w:rPr>
          <w:rFonts w:ascii="Bookman Old Style" w:hAnsi="Bookman Old Style"/>
          <w:b w:val="0"/>
          <w:bCs w:val="0"/>
          <w:iCs/>
        </w:rPr>
        <w:t xml:space="preserve"> la CREG</w:t>
      </w:r>
      <w:r w:rsidR="002730C5">
        <w:rPr>
          <w:rFonts w:ascii="Bookman Old Style" w:hAnsi="Bookman Old Style"/>
          <w:b w:val="0"/>
          <w:bCs w:val="0"/>
          <w:iCs/>
        </w:rPr>
        <w:t xml:space="preserve"> un extracto de publicación realizado por </w:t>
      </w:r>
      <w:r w:rsidRPr="00714616">
        <w:rPr>
          <w:rFonts w:ascii="Bookman Old Style" w:hAnsi="Bookman Old Style"/>
          <w:b w:val="0"/>
          <w:bCs w:val="0"/>
          <w:iCs/>
        </w:rPr>
        <w:t xml:space="preserve"> EPM, en la cual se cumplía la publicación del extracto remitido </w:t>
      </w:r>
      <w:r w:rsidR="002730C5">
        <w:rPr>
          <w:rFonts w:ascii="Bookman Old Style" w:hAnsi="Bookman Old Style"/>
          <w:b w:val="0"/>
          <w:bCs w:val="0"/>
          <w:iCs/>
        </w:rPr>
        <w:t>a</w:t>
      </w:r>
      <w:r w:rsidRPr="00714616">
        <w:rPr>
          <w:rFonts w:ascii="Bookman Old Style" w:hAnsi="Bookman Old Style"/>
          <w:b w:val="0"/>
          <w:bCs w:val="0"/>
          <w:iCs/>
        </w:rPr>
        <w:t xml:space="preserve"> la</w:t>
      </w:r>
      <w:r w:rsidR="004E1821">
        <w:rPr>
          <w:rFonts w:ascii="Bookman Old Style" w:hAnsi="Bookman Old Style"/>
          <w:b w:val="0"/>
          <w:bCs w:val="0"/>
          <w:iCs/>
        </w:rPr>
        <w:t xml:space="preserve"> empresa</w:t>
      </w:r>
      <w:r w:rsidRPr="00714616">
        <w:rPr>
          <w:rFonts w:ascii="Bookman Old Style" w:hAnsi="Bookman Old Style"/>
          <w:b w:val="0"/>
          <w:bCs w:val="0"/>
          <w:iCs/>
        </w:rPr>
        <w:t>. Dich</w:t>
      </w:r>
      <w:r w:rsidR="002730C5">
        <w:rPr>
          <w:rFonts w:ascii="Bookman Old Style" w:hAnsi="Bookman Old Style"/>
          <w:b w:val="0"/>
          <w:bCs w:val="0"/>
          <w:iCs/>
        </w:rPr>
        <w:t>a publicación se realizó</w:t>
      </w:r>
      <w:r w:rsidRPr="00714616">
        <w:rPr>
          <w:rFonts w:ascii="Bookman Old Style" w:hAnsi="Bookman Old Style"/>
          <w:b w:val="0"/>
          <w:bCs w:val="0"/>
          <w:iCs/>
        </w:rPr>
        <w:t xml:space="preserve"> el 15 de junio del 2011 en el periódico EL ESPECTADOR, en la sección negocios, página 11.</w:t>
      </w:r>
    </w:p>
    <w:p w:rsidR="00004D3A" w:rsidRPr="00D63A87" w:rsidRDefault="00004D3A" w:rsidP="00EC2ABD">
      <w:pPr>
        <w:pStyle w:val="Textoindependiente"/>
        <w:ind w:left="0"/>
        <w:jc w:val="both"/>
        <w:rPr>
          <w:rFonts w:ascii="Bookman Old Style" w:hAnsi="Bookman Old Style"/>
          <w:b w:val="0"/>
          <w:bCs w:val="0"/>
          <w:iCs/>
          <w:sz w:val="22"/>
        </w:rPr>
      </w:pPr>
    </w:p>
    <w:p w:rsidR="00445D79" w:rsidRPr="00714616" w:rsidRDefault="00004D3A" w:rsidP="00EC2ABD">
      <w:pPr>
        <w:pStyle w:val="Textoindependiente"/>
        <w:ind w:left="0"/>
        <w:jc w:val="both"/>
        <w:rPr>
          <w:rFonts w:ascii="Bookman Old Style" w:hAnsi="Bookman Old Style"/>
          <w:b w:val="0"/>
          <w:bCs w:val="0"/>
          <w:iCs/>
        </w:rPr>
      </w:pPr>
      <w:r w:rsidRPr="00714616">
        <w:rPr>
          <w:rFonts w:ascii="Bookman Old Style" w:hAnsi="Bookman Old Style"/>
          <w:b w:val="0"/>
          <w:bCs w:val="0"/>
          <w:iCs/>
        </w:rPr>
        <w:t>La información sobre la publicación fue complementada con la comunicación del 22 de junio del 2011, bajo el radicado CREG E-2011-006049, en la cual se envió a la actuación de la referencia una copia más grande del aviso publicado.</w:t>
      </w:r>
      <w:r w:rsidR="00B87C46" w:rsidRPr="00714616">
        <w:rPr>
          <w:rFonts w:ascii="Bookman Old Style" w:hAnsi="Bookman Old Style"/>
          <w:b w:val="0"/>
          <w:bCs w:val="0"/>
          <w:iCs/>
        </w:rPr>
        <w:t xml:space="preserve"> </w:t>
      </w:r>
    </w:p>
    <w:p w:rsidR="001A2438" w:rsidRDefault="001A2438" w:rsidP="001A2438">
      <w:pPr>
        <w:pStyle w:val="Textoindependiente"/>
        <w:ind w:left="0"/>
        <w:jc w:val="both"/>
        <w:rPr>
          <w:rFonts w:ascii="Bookman Old Style" w:hAnsi="Bookman Old Style"/>
          <w:b w:val="0"/>
          <w:bCs w:val="0"/>
          <w:iCs/>
        </w:rPr>
      </w:pPr>
    </w:p>
    <w:p w:rsidR="001A2438" w:rsidRPr="00714616" w:rsidRDefault="002730C5" w:rsidP="001A2438">
      <w:pPr>
        <w:pStyle w:val="Textoindependiente"/>
        <w:ind w:left="0"/>
        <w:jc w:val="both"/>
        <w:rPr>
          <w:rFonts w:ascii="Bookman Old Style" w:hAnsi="Bookman Old Style"/>
          <w:b w:val="0"/>
          <w:bCs w:val="0"/>
          <w:iCs/>
        </w:rPr>
      </w:pPr>
      <w:r>
        <w:rPr>
          <w:rFonts w:ascii="Bookman Old Style" w:hAnsi="Bookman Old Style"/>
          <w:b w:val="0"/>
          <w:bCs w:val="0"/>
          <w:iCs/>
        </w:rPr>
        <w:t xml:space="preserve">Por lo anterior, en la presente actuación </w:t>
      </w:r>
      <w:r w:rsidR="001A2438" w:rsidRPr="00714616">
        <w:rPr>
          <w:rFonts w:ascii="Bookman Old Style" w:hAnsi="Bookman Old Style"/>
          <w:b w:val="0"/>
          <w:bCs w:val="0"/>
          <w:iCs/>
        </w:rPr>
        <w:t>se realizó la publicidad necesaria y adecuada, para que terceros inter</w:t>
      </w:r>
      <w:r w:rsidR="001A2438">
        <w:rPr>
          <w:rFonts w:ascii="Bookman Old Style" w:hAnsi="Bookman Old Style"/>
          <w:b w:val="0"/>
          <w:bCs w:val="0"/>
          <w:iCs/>
        </w:rPr>
        <w:t>esados pudieran hacerse parte en la</w:t>
      </w:r>
      <w:r w:rsidR="001A2438" w:rsidRPr="00714616">
        <w:rPr>
          <w:rFonts w:ascii="Bookman Old Style" w:hAnsi="Bookman Old Style"/>
          <w:b w:val="0"/>
          <w:bCs w:val="0"/>
          <w:iCs/>
        </w:rPr>
        <w:t xml:space="preserve"> actuación administrativa.</w:t>
      </w:r>
    </w:p>
    <w:p w:rsidR="001A2438" w:rsidRDefault="001A2438" w:rsidP="00EC2ABD">
      <w:pPr>
        <w:pStyle w:val="Textoindependiente"/>
        <w:ind w:left="0"/>
        <w:jc w:val="both"/>
        <w:rPr>
          <w:rFonts w:ascii="Bookman Old Style" w:hAnsi="Bookman Old Style"/>
          <w:b w:val="0"/>
          <w:bCs w:val="0"/>
          <w:iCs/>
        </w:rPr>
      </w:pPr>
    </w:p>
    <w:p w:rsidR="00B87C46" w:rsidRPr="00714616" w:rsidRDefault="00B87C46" w:rsidP="00EC2ABD">
      <w:pPr>
        <w:pStyle w:val="Textoindependiente"/>
        <w:ind w:left="0"/>
        <w:jc w:val="both"/>
        <w:rPr>
          <w:rFonts w:ascii="Bookman Old Style" w:hAnsi="Bookman Old Style"/>
          <w:b w:val="0"/>
          <w:bCs w:val="0"/>
          <w:i/>
          <w:iCs/>
        </w:rPr>
      </w:pPr>
      <w:r w:rsidRPr="00714616">
        <w:rPr>
          <w:rFonts w:ascii="Bookman Old Style" w:hAnsi="Bookman Old Style"/>
          <w:b w:val="0"/>
          <w:bCs w:val="0"/>
          <w:iCs/>
        </w:rPr>
        <w:t xml:space="preserve">Se destaca que ningún tercero se hizo parte en esta actuación administrativa. </w:t>
      </w:r>
    </w:p>
    <w:p w:rsidR="00B87C46" w:rsidRPr="00714616" w:rsidRDefault="00B87C46" w:rsidP="00EC2ABD">
      <w:pPr>
        <w:pStyle w:val="Textoindependiente"/>
        <w:ind w:left="0"/>
        <w:jc w:val="both"/>
        <w:rPr>
          <w:rFonts w:ascii="Bookman Old Style" w:hAnsi="Bookman Old Style"/>
          <w:b w:val="0"/>
          <w:bCs w:val="0"/>
          <w:i/>
          <w:iCs/>
        </w:rPr>
      </w:pPr>
    </w:p>
    <w:p w:rsidR="00445D79" w:rsidRPr="00DC68DE" w:rsidRDefault="00B54CF1" w:rsidP="00DC68DE">
      <w:pPr>
        <w:pStyle w:val="Ttulo1"/>
        <w:numPr>
          <w:ilvl w:val="0"/>
          <w:numId w:val="1"/>
        </w:numPr>
        <w:ind w:hanging="720"/>
        <w:jc w:val="left"/>
        <w:rPr>
          <w:rFonts w:ascii="Bookman Old Style" w:hAnsi="Bookman Old Style" w:cs="Arial"/>
        </w:rPr>
      </w:pPr>
      <w:r w:rsidRPr="00DC68DE">
        <w:rPr>
          <w:rFonts w:ascii="Bookman Old Style" w:hAnsi="Bookman Old Style" w:cs="Arial"/>
        </w:rPr>
        <w:t>TRÁMITE</w:t>
      </w:r>
      <w:r w:rsidR="00DC68DE">
        <w:rPr>
          <w:rFonts w:ascii="Bookman Old Style" w:hAnsi="Bookman Old Style" w:cs="Arial"/>
        </w:rPr>
        <w:t xml:space="preserve"> DURANTE LA ACTUACI</w:t>
      </w:r>
      <w:r w:rsidR="00B771EA">
        <w:rPr>
          <w:rFonts w:ascii="Bookman Old Style" w:hAnsi="Bookman Old Style" w:cs="Arial"/>
        </w:rPr>
        <w:t>Ó</w:t>
      </w:r>
      <w:r w:rsidR="00DC68DE">
        <w:rPr>
          <w:rFonts w:ascii="Bookman Old Style" w:hAnsi="Bookman Old Style" w:cs="Arial"/>
        </w:rPr>
        <w:t>N</w:t>
      </w:r>
      <w:r w:rsidRPr="00DC68DE">
        <w:rPr>
          <w:rFonts w:ascii="Bookman Old Style" w:hAnsi="Bookman Old Style" w:cs="Arial"/>
        </w:rPr>
        <w:t>.</w:t>
      </w:r>
    </w:p>
    <w:p w:rsidR="00445D79" w:rsidRPr="00317298" w:rsidRDefault="00445D79" w:rsidP="00EC2ABD">
      <w:pPr>
        <w:ind w:left="0"/>
        <w:jc w:val="both"/>
        <w:rPr>
          <w:rFonts w:ascii="Bookman Old Style" w:hAnsi="Bookman Old Style" w:cs="Arial"/>
          <w:sz w:val="22"/>
        </w:rPr>
      </w:pPr>
    </w:p>
    <w:p w:rsidR="00B54CF1" w:rsidRPr="00714616" w:rsidRDefault="00B54CF1" w:rsidP="00EC2ABD">
      <w:pPr>
        <w:ind w:left="0"/>
        <w:jc w:val="both"/>
        <w:rPr>
          <w:rFonts w:ascii="Bookman Old Style" w:hAnsi="Bookman Old Style"/>
          <w:bCs/>
          <w:iCs/>
        </w:rPr>
      </w:pPr>
      <w:r w:rsidRPr="00714616">
        <w:rPr>
          <w:rFonts w:ascii="Bookman Old Style" w:hAnsi="Bookman Old Style" w:cs="Arial"/>
        </w:rPr>
        <w:t xml:space="preserve">Iniciada la actuación, procedió la CREG a poner a disposición de EPM el informe </w:t>
      </w:r>
      <w:r w:rsidRPr="00714616">
        <w:rPr>
          <w:rFonts w:ascii="Bookman Old Style" w:hAnsi="Bookman Old Style"/>
          <w:bCs/>
          <w:iCs/>
        </w:rPr>
        <w:t>de auditoría de verificación del cronograma</w:t>
      </w:r>
      <w:r w:rsidR="002730C5">
        <w:rPr>
          <w:rFonts w:ascii="Bookman Old Style" w:hAnsi="Bookman Old Style"/>
          <w:bCs/>
          <w:iCs/>
        </w:rPr>
        <w:t xml:space="preserve"> de construcción </w:t>
      </w:r>
      <w:r w:rsidRPr="00714616">
        <w:rPr>
          <w:rFonts w:ascii="Bookman Old Style" w:hAnsi="Bookman Old Style"/>
          <w:bCs/>
          <w:iCs/>
        </w:rPr>
        <w:t>y curva S del proyecto de</w:t>
      </w:r>
      <w:r w:rsidR="002730C5">
        <w:rPr>
          <w:rFonts w:ascii="Bookman Old Style" w:hAnsi="Bookman Old Style"/>
          <w:bCs/>
          <w:iCs/>
        </w:rPr>
        <w:t xml:space="preserve"> generación </w:t>
      </w:r>
      <w:r w:rsidRPr="00714616">
        <w:rPr>
          <w:rFonts w:ascii="Bookman Old Style" w:hAnsi="Bookman Old Style"/>
          <w:bCs/>
          <w:iCs/>
        </w:rPr>
        <w:t>Porce IV, elaborado por S</w:t>
      </w:r>
      <w:r w:rsidR="00DD1D32" w:rsidRPr="00714616">
        <w:rPr>
          <w:rFonts w:ascii="Bookman Old Style" w:hAnsi="Bookman Old Style"/>
          <w:bCs/>
          <w:iCs/>
        </w:rPr>
        <w:t>EDIC</w:t>
      </w:r>
      <w:r w:rsidRPr="00714616">
        <w:rPr>
          <w:rFonts w:ascii="Bookman Old Style" w:hAnsi="Bookman Old Style"/>
          <w:bCs/>
          <w:iCs/>
        </w:rPr>
        <w:t xml:space="preserve"> S.A., lo cual se realizó mediante auto del 7 de julio del 2011, otorgándosele a la empresa un término de 3 días para solicitar complementaciones o aclaraciones, si así lo consideraba.</w:t>
      </w:r>
    </w:p>
    <w:p w:rsidR="00B54CF1" w:rsidRPr="00317298" w:rsidRDefault="00B54CF1" w:rsidP="00EC2ABD">
      <w:pPr>
        <w:ind w:left="0"/>
        <w:jc w:val="both"/>
        <w:rPr>
          <w:rFonts w:ascii="Bookman Old Style" w:hAnsi="Bookman Old Style"/>
          <w:bCs/>
          <w:iCs/>
          <w:sz w:val="22"/>
        </w:rPr>
      </w:pPr>
    </w:p>
    <w:p w:rsidR="00445D79" w:rsidRPr="00714616" w:rsidRDefault="00B54CF1" w:rsidP="00EC2ABD">
      <w:pPr>
        <w:ind w:left="0"/>
        <w:jc w:val="both"/>
        <w:rPr>
          <w:rFonts w:ascii="Bookman Old Style" w:hAnsi="Bookman Old Style" w:cs="Arial"/>
        </w:rPr>
      </w:pPr>
      <w:r w:rsidRPr="00714616">
        <w:rPr>
          <w:rFonts w:ascii="Bookman Old Style" w:hAnsi="Bookman Old Style"/>
          <w:bCs/>
          <w:iCs/>
        </w:rPr>
        <w:t xml:space="preserve">Dicho auto fue notificado mediante estado </w:t>
      </w:r>
      <w:r w:rsidRPr="00714616">
        <w:rPr>
          <w:rFonts w:ascii="Bookman Old Style" w:hAnsi="Bookman Old Style" w:cs="Arial"/>
        </w:rPr>
        <w:t>del 8 de julio del 2011, e informado mediante comunicación S-2011-003288 de la misma fecha.</w:t>
      </w:r>
    </w:p>
    <w:p w:rsidR="00B54CF1" w:rsidRPr="00317298" w:rsidRDefault="00B54CF1" w:rsidP="00EC2ABD">
      <w:pPr>
        <w:ind w:left="0"/>
        <w:jc w:val="both"/>
        <w:rPr>
          <w:rFonts w:ascii="Bookman Old Style" w:hAnsi="Bookman Old Style" w:cs="Arial"/>
          <w:sz w:val="22"/>
        </w:rPr>
      </w:pPr>
    </w:p>
    <w:p w:rsidR="00B54CF1" w:rsidRPr="00714616" w:rsidRDefault="00B54CF1" w:rsidP="00EC2ABD">
      <w:pPr>
        <w:ind w:left="0"/>
        <w:jc w:val="both"/>
        <w:rPr>
          <w:rFonts w:ascii="Bookman Old Style" w:hAnsi="Bookman Old Style" w:cs="Arial"/>
        </w:rPr>
      </w:pPr>
      <w:r w:rsidRPr="00714616">
        <w:rPr>
          <w:rFonts w:ascii="Bookman Old Style" w:hAnsi="Bookman Old Style" w:cs="Arial"/>
        </w:rPr>
        <w:t>En comunicación dirigida a este expediente, con el radicado CREG E-2011-006723, recibida</w:t>
      </w:r>
      <w:r w:rsidR="00FA45B5" w:rsidRPr="00714616">
        <w:rPr>
          <w:rFonts w:ascii="Bookman Old Style" w:hAnsi="Bookman Old Style" w:cs="Arial"/>
        </w:rPr>
        <w:t xml:space="preserve"> </w:t>
      </w:r>
      <w:r w:rsidRPr="00714616">
        <w:rPr>
          <w:rFonts w:ascii="Bookman Old Style" w:hAnsi="Bookman Old Style" w:cs="Arial"/>
        </w:rPr>
        <w:t>el 14 de julio de 2011, EPM manifestó:</w:t>
      </w:r>
    </w:p>
    <w:p w:rsidR="00B54CF1" w:rsidRPr="00714616" w:rsidRDefault="00B54CF1" w:rsidP="00EC2ABD">
      <w:pPr>
        <w:ind w:left="0"/>
        <w:jc w:val="both"/>
        <w:rPr>
          <w:rFonts w:ascii="Bookman Old Style" w:hAnsi="Bookman Old Style" w:cs="Arial"/>
        </w:rPr>
      </w:pPr>
    </w:p>
    <w:p w:rsidR="00FA45B5" w:rsidRPr="00714616" w:rsidRDefault="00B54CF1" w:rsidP="004238D9">
      <w:pPr>
        <w:ind w:left="708"/>
        <w:jc w:val="both"/>
        <w:rPr>
          <w:rFonts w:ascii="Bookman Old Style" w:hAnsi="Bookman Old Style" w:cs="Arial"/>
          <w:i/>
        </w:rPr>
      </w:pPr>
      <w:r w:rsidRPr="00714616">
        <w:rPr>
          <w:rFonts w:ascii="Bookman Old Style" w:hAnsi="Bookman Old Style" w:cs="Arial"/>
        </w:rPr>
        <w:t>“</w:t>
      </w:r>
      <w:r w:rsidRPr="00714616">
        <w:rPr>
          <w:rFonts w:ascii="Bookman Old Style" w:hAnsi="Bookman Old Style" w:cs="Arial"/>
          <w:i/>
        </w:rPr>
        <w:t xml:space="preserve">(…) EPM considera que la conclusión del Auditor tiene un claro sustento </w:t>
      </w:r>
      <w:r w:rsidR="00FA45B5" w:rsidRPr="00714616">
        <w:rPr>
          <w:rFonts w:ascii="Bookman Old Style" w:hAnsi="Bookman Old Style" w:cs="Arial"/>
          <w:i/>
        </w:rPr>
        <w:t>en lo expresado en los capítulos 6, 7  y 8 del informe, en los cuales se relacionan los datos y análisis técnicos sobre los contratos y el avance de la obra del proyecto.</w:t>
      </w:r>
    </w:p>
    <w:p w:rsidR="00FA45B5" w:rsidRPr="00B771EA" w:rsidRDefault="00FA45B5" w:rsidP="00EC2ABD">
      <w:pPr>
        <w:ind w:left="0"/>
        <w:jc w:val="both"/>
        <w:rPr>
          <w:rFonts w:ascii="Bookman Old Style" w:hAnsi="Bookman Old Style" w:cs="Arial"/>
          <w:i/>
          <w:sz w:val="20"/>
        </w:rPr>
      </w:pPr>
    </w:p>
    <w:p w:rsidR="00FA45B5" w:rsidRPr="00714616" w:rsidRDefault="00FA45B5" w:rsidP="004238D9">
      <w:pPr>
        <w:ind w:left="708"/>
        <w:jc w:val="both"/>
        <w:rPr>
          <w:rFonts w:ascii="Bookman Old Style" w:hAnsi="Bookman Old Style" w:cs="Arial"/>
          <w:i/>
        </w:rPr>
      </w:pPr>
      <w:r w:rsidRPr="00714616">
        <w:rPr>
          <w:rFonts w:ascii="Bookman Old Style" w:hAnsi="Bookman Old Style" w:cs="Arial"/>
          <w:i/>
        </w:rPr>
        <w:t xml:space="preserve">En el </w:t>
      </w:r>
      <w:r w:rsidR="004238D9" w:rsidRPr="00714616">
        <w:rPr>
          <w:rFonts w:ascii="Bookman Old Style" w:hAnsi="Bookman Old Style" w:cs="Arial"/>
          <w:i/>
        </w:rPr>
        <w:t>capítulo</w:t>
      </w:r>
      <w:r w:rsidRPr="00714616">
        <w:rPr>
          <w:rFonts w:ascii="Bookman Old Style" w:hAnsi="Bookman Old Style" w:cs="Arial"/>
          <w:i/>
        </w:rPr>
        <w:t xml:space="preserve"> 6, en el que el Auditor especifica el resumen de los </w:t>
      </w:r>
      <w:r w:rsidR="004238D9" w:rsidRPr="00714616">
        <w:rPr>
          <w:rFonts w:ascii="Bookman Old Style" w:hAnsi="Bookman Old Style" w:cs="Arial"/>
          <w:i/>
        </w:rPr>
        <w:t>contratos de</w:t>
      </w:r>
      <w:r w:rsidRPr="00714616">
        <w:rPr>
          <w:rFonts w:ascii="Bookman Old Style" w:hAnsi="Bookman Old Style" w:cs="Arial"/>
          <w:i/>
        </w:rPr>
        <w:t xml:space="preserve"> ingeniería y </w:t>
      </w:r>
      <w:r w:rsidR="004238D9" w:rsidRPr="00714616">
        <w:rPr>
          <w:rFonts w:ascii="Bookman Old Style" w:hAnsi="Bookman Old Style" w:cs="Arial"/>
          <w:i/>
        </w:rPr>
        <w:t>administración</w:t>
      </w:r>
      <w:r w:rsidRPr="00714616">
        <w:rPr>
          <w:rFonts w:ascii="Bookman Old Style" w:hAnsi="Bookman Old Style" w:cs="Arial"/>
          <w:i/>
        </w:rPr>
        <w:t xml:space="preserve">, obras de infraestructura vial y explanaciones para </w:t>
      </w:r>
      <w:r w:rsidR="004238D9" w:rsidRPr="00714616">
        <w:rPr>
          <w:rFonts w:ascii="Bookman Old Style" w:hAnsi="Bookman Old Style" w:cs="Arial"/>
          <w:i/>
        </w:rPr>
        <w:t>campamentos</w:t>
      </w:r>
      <w:r w:rsidRPr="00714616">
        <w:rPr>
          <w:rFonts w:ascii="Bookman Old Style" w:hAnsi="Bookman Old Style" w:cs="Arial"/>
          <w:i/>
        </w:rPr>
        <w:t xml:space="preserve">, obras para la construcción de la línea, subestación y campamentos, obras principales y equipos electromecánicos; el análisis es </w:t>
      </w:r>
      <w:r w:rsidR="00B54CF1" w:rsidRPr="00714616">
        <w:rPr>
          <w:rFonts w:ascii="Bookman Old Style" w:hAnsi="Bookman Old Style" w:cs="Arial"/>
          <w:i/>
        </w:rPr>
        <w:t xml:space="preserve"> </w:t>
      </w:r>
      <w:r w:rsidR="004238D9" w:rsidRPr="00714616">
        <w:rPr>
          <w:rFonts w:ascii="Bookman Old Style" w:hAnsi="Bookman Old Style" w:cs="Arial"/>
          <w:i/>
        </w:rPr>
        <w:t>correcto</w:t>
      </w:r>
      <w:r w:rsidRPr="00714616">
        <w:rPr>
          <w:rFonts w:ascii="Bookman Old Style" w:hAnsi="Bookman Old Style" w:cs="Arial"/>
          <w:i/>
        </w:rPr>
        <w:t xml:space="preserve"> teniendo en cuenta la difícil problemática social y de orden público que atraviesa la zona del Proyecto </w:t>
      </w:r>
      <w:r w:rsidR="004238D9" w:rsidRPr="00714616">
        <w:rPr>
          <w:rFonts w:ascii="Bookman Old Style" w:hAnsi="Bookman Old Style" w:cs="Arial"/>
          <w:i/>
        </w:rPr>
        <w:t>Hidroeléctrico</w:t>
      </w:r>
      <w:r w:rsidRPr="00714616">
        <w:rPr>
          <w:rFonts w:ascii="Bookman Old Style" w:hAnsi="Bookman Old Style" w:cs="Arial"/>
          <w:i/>
        </w:rPr>
        <w:t xml:space="preserve"> Porce IV, la Junta Directiva de EPM, en su sesión del 7 de diciembre de 2010, tomó la decisión de suspenderlo de manera indefinida, teniendo en cuenta </w:t>
      </w:r>
      <w:r w:rsidR="004238D9" w:rsidRPr="00714616">
        <w:rPr>
          <w:rFonts w:ascii="Bookman Old Style" w:hAnsi="Bookman Old Style" w:cs="Arial"/>
          <w:i/>
        </w:rPr>
        <w:t>múltiples</w:t>
      </w:r>
      <w:r w:rsidRPr="00714616">
        <w:rPr>
          <w:rFonts w:ascii="Bookman Old Style" w:hAnsi="Bookman Old Style" w:cs="Arial"/>
          <w:i/>
        </w:rPr>
        <w:t xml:space="preserve"> asuntos críticos que hoy hacen inviable su construcción, lo que conllevo la decisión de suspender y (o) terminar estos contratos.</w:t>
      </w:r>
    </w:p>
    <w:p w:rsidR="004238D9" w:rsidRPr="00B771EA" w:rsidRDefault="004238D9" w:rsidP="00EC2ABD">
      <w:pPr>
        <w:ind w:left="0"/>
        <w:jc w:val="both"/>
        <w:rPr>
          <w:rFonts w:ascii="Bookman Old Style" w:hAnsi="Bookman Old Style" w:cs="Arial"/>
          <w:i/>
          <w:sz w:val="18"/>
        </w:rPr>
      </w:pPr>
    </w:p>
    <w:p w:rsidR="004238D9" w:rsidRPr="00714616" w:rsidRDefault="00FA45B5" w:rsidP="004238D9">
      <w:pPr>
        <w:ind w:left="708"/>
        <w:jc w:val="both"/>
        <w:rPr>
          <w:rFonts w:ascii="Bookman Old Style" w:hAnsi="Bookman Old Style" w:cs="Arial"/>
          <w:i/>
        </w:rPr>
      </w:pPr>
      <w:r w:rsidRPr="00714616">
        <w:rPr>
          <w:rFonts w:ascii="Bookman Old Style" w:hAnsi="Bookman Old Style" w:cs="Arial"/>
          <w:i/>
        </w:rPr>
        <w:t xml:space="preserve">Frente a lo tratado en el </w:t>
      </w:r>
      <w:r w:rsidR="004238D9" w:rsidRPr="00714616">
        <w:rPr>
          <w:rFonts w:ascii="Bookman Old Style" w:hAnsi="Bookman Old Style" w:cs="Arial"/>
          <w:i/>
        </w:rPr>
        <w:t>capítulo</w:t>
      </w:r>
      <w:r w:rsidRPr="00714616">
        <w:rPr>
          <w:rFonts w:ascii="Bookman Old Style" w:hAnsi="Bookman Old Style" w:cs="Arial"/>
          <w:i/>
        </w:rPr>
        <w:t xml:space="preserve"> 7, EPM está de acuerdo con lo expresado por el Auditor debido a que como consecuencia de la terminación y (o) suspensión de los diferentes contratos por las razones explicadas en el párrafo anterior, se </w:t>
      </w:r>
      <w:r w:rsidR="004238D9" w:rsidRPr="00714616">
        <w:rPr>
          <w:rFonts w:ascii="Bookman Old Style" w:hAnsi="Bookman Old Style" w:cs="Arial"/>
          <w:i/>
        </w:rPr>
        <w:t>genera</w:t>
      </w:r>
      <w:r w:rsidRPr="00714616">
        <w:rPr>
          <w:rFonts w:ascii="Bookman Old Style" w:hAnsi="Bookman Old Style" w:cs="Arial"/>
          <w:i/>
        </w:rPr>
        <w:t xml:space="preserve"> la afectación descrita en el </w:t>
      </w:r>
      <w:r w:rsidR="004238D9" w:rsidRPr="00714616">
        <w:rPr>
          <w:rFonts w:ascii="Bookman Old Style" w:hAnsi="Bookman Old Style" w:cs="Arial"/>
          <w:i/>
        </w:rPr>
        <w:t>estado de avance de los frentes de obra y el cálculo de la curva S analizados en dicho capitulo.</w:t>
      </w:r>
    </w:p>
    <w:p w:rsidR="004238D9" w:rsidRPr="00B771EA" w:rsidRDefault="004238D9" w:rsidP="00EC2ABD">
      <w:pPr>
        <w:ind w:left="0"/>
        <w:jc w:val="both"/>
        <w:rPr>
          <w:rFonts w:ascii="Bookman Old Style" w:hAnsi="Bookman Old Style" w:cs="Arial"/>
          <w:i/>
          <w:sz w:val="20"/>
        </w:rPr>
      </w:pPr>
    </w:p>
    <w:p w:rsidR="00B54CF1" w:rsidRPr="00714616" w:rsidRDefault="004238D9" w:rsidP="004238D9">
      <w:pPr>
        <w:ind w:left="708"/>
        <w:jc w:val="both"/>
        <w:rPr>
          <w:rFonts w:ascii="Bookman Old Style" w:hAnsi="Bookman Old Style" w:cs="Arial"/>
        </w:rPr>
      </w:pPr>
      <w:r w:rsidRPr="00714616">
        <w:rPr>
          <w:rFonts w:ascii="Bookman Old Style" w:hAnsi="Bookman Old Style" w:cs="Arial"/>
          <w:i/>
        </w:rPr>
        <w:t xml:space="preserve">Y en lo que respecta al capítulo 8, EPM estima ajustadas a la realidad las premisas asumidas y la conclusión en el tiempo de atraso de la entrada en operación de las unidades de generación, ya que por la suspensión de los contratos, y después de calcular los tiempos requeridos para terminar con las obras, efectivamente se entra en una situación de atraso de más de 576 días, que conlleva a que no sea posible cumplir con la obligación de entrada en operación del proyecto el 1° de diciembre de 2015 </w:t>
      </w:r>
      <w:r w:rsidR="00B54CF1" w:rsidRPr="00714616">
        <w:rPr>
          <w:rFonts w:ascii="Bookman Old Style" w:hAnsi="Bookman Old Style" w:cs="Arial"/>
        </w:rPr>
        <w:t>(…)”</w:t>
      </w:r>
      <w:r w:rsidRPr="00714616">
        <w:rPr>
          <w:rFonts w:ascii="Bookman Old Style" w:hAnsi="Bookman Old Style" w:cs="Arial"/>
        </w:rPr>
        <w:t>.</w:t>
      </w:r>
    </w:p>
    <w:p w:rsidR="00004D3A" w:rsidRPr="00B771EA" w:rsidRDefault="00004D3A" w:rsidP="00DD1D32">
      <w:pPr>
        <w:ind w:left="0"/>
        <w:jc w:val="both"/>
        <w:rPr>
          <w:rFonts w:ascii="Bookman Old Style" w:hAnsi="Bookman Old Style" w:cs="Arial"/>
          <w:sz w:val="18"/>
        </w:rPr>
      </w:pPr>
    </w:p>
    <w:p w:rsidR="00004D3A" w:rsidRDefault="002730C5" w:rsidP="00DD1D32">
      <w:pPr>
        <w:ind w:left="0"/>
        <w:jc w:val="both"/>
        <w:rPr>
          <w:rFonts w:ascii="Bookman Old Style" w:hAnsi="Bookman Old Style" w:cs="Arial"/>
        </w:rPr>
      </w:pPr>
      <w:r>
        <w:rPr>
          <w:rFonts w:ascii="Bookman Old Style" w:hAnsi="Bookman Old Style" w:cs="Arial"/>
        </w:rPr>
        <w:t xml:space="preserve">Se debe destacar que </w:t>
      </w:r>
      <w:r w:rsidRPr="00714616">
        <w:rPr>
          <w:rFonts w:ascii="Bookman Old Style" w:hAnsi="Bookman Old Style" w:cs="Arial"/>
        </w:rPr>
        <w:t>EPM revis</w:t>
      </w:r>
      <w:r>
        <w:rPr>
          <w:rFonts w:ascii="Bookman Old Style" w:hAnsi="Bookman Old Style" w:cs="Arial"/>
        </w:rPr>
        <w:t>ó</w:t>
      </w:r>
      <w:r w:rsidRPr="00714616">
        <w:rPr>
          <w:rFonts w:ascii="Bookman Old Style" w:hAnsi="Bookman Old Style" w:cs="Arial"/>
        </w:rPr>
        <w:t xml:space="preserve"> el expediente el 14 </w:t>
      </w:r>
      <w:r w:rsidR="00C15FBC">
        <w:rPr>
          <w:rFonts w:ascii="Bookman Old Style" w:hAnsi="Bookman Old Style" w:cs="Arial"/>
        </w:rPr>
        <w:t>de julio del año en curso, según se demuestra en la</w:t>
      </w:r>
      <w:r w:rsidR="00004D3A" w:rsidRPr="00714616">
        <w:rPr>
          <w:rFonts w:ascii="Bookman Old Style" w:hAnsi="Bookman Old Style" w:cs="Arial"/>
        </w:rPr>
        <w:t xml:space="preserve"> constancia de acceso </w:t>
      </w:r>
      <w:r w:rsidR="00C15FBC">
        <w:rPr>
          <w:rFonts w:ascii="Bookman Old Style" w:hAnsi="Bookman Old Style" w:cs="Arial"/>
        </w:rPr>
        <w:t>a la información del expediente (radicado CREG I-2011-002522).</w:t>
      </w:r>
    </w:p>
    <w:p w:rsidR="00C15FBC" w:rsidRPr="00714616" w:rsidRDefault="00C15FBC" w:rsidP="00DD1D32">
      <w:pPr>
        <w:ind w:left="0"/>
        <w:jc w:val="both"/>
        <w:rPr>
          <w:rFonts w:ascii="Bookman Old Style" w:hAnsi="Bookman Old Style" w:cs="Arial"/>
        </w:rPr>
      </w:pPr>
    </w:p>
    <w:p w:rsidR="00004D3A" w:rsidRPr="00714616" w:rsidRDefault="00004D3A" w:rsidP="00DD1D32">
      <w:pPr>
        <w:ind w:left="0"/>
        <w:jc w:val="both"/>
        <w:rPr>
          <w:rFonts w:ascii="Bookman Old Style" w:hAnsi="Bookman Old Style" w:cs="Arial"/>
        </w:rPr>
      </w:pPr>
      <w:r w:rsidRPr="00714616">
        <w:rPr>
          <w:rFonts w:ascii="Bookman Old Style" w:hAnsi="Bookman Old Style" w:cs="Arial"/>
        </w:rPr>
        <w:t>En auto del 29 de julio del 2011, la CREG solicit</w:t>
      </w:r>
      <w:r w:rsidR="004E1821">
        <w:rPr>
          <w:rFonts w:ascii="Bookman Old Style" w:hAnsi="Bookman Old Style" w:cs="Arial"/>
        </w:rPr>
        <w:t>ó</w:t>
      </w:r>
      <w:r w:rsidRPr="00714616">
        <w:rPr>
          <w:rFonts w:ascii="Bookman Old Style" w:hAnsi="Bookman Old Style" w:cs="Arial"/>
        </w:rPr>
        <w:t xml:space="preserve"> a EPM manifestar su interés</w:t>
      </w:r>
      <w:r w:rsidR="001A2438">
        <w:rPr>
          <w:rFonts w:ascii="Bookman Old Style" w:hAnsi="Bookman Old Style" w:cs="Arial"/>
        </w:rPr>
        <w:t xml:space="preserve"> para que </w:t>
      </w:r>
      <w:r w:rsidRPr="00714616">
        <w:rPr>
          <w:rFonts w:ascii="Bookman Old Style" w:hAnsi="Bookman Old Style" w:cs="Arial"/>
        </w:rPr>
        <w:t xml:space="preserve">las comunicaciones </w:t>
      </w:r>
      <w:r w:rsidR="005438B9">
        <w:rPr>
          <w:rFonts w:ascii="Bookman Old Style" w:hAnsi="Bookman Old Style" w:cs="Arial"/>
        </w:rPr>
        <w:t>anteriores a esta actuación</w:t>
      </w:r>
      <w:r w:rsidR="00EB6DF2">
        <w:rPr>
          <w:rFonts w:ascii="Bookman Old Style" w:hAnsi="Bookman Old Style" w:cs="Arial"/>
        </w:rPr>
        <w:t>, referentes al proyecto hidroeléctrico</w:t>
      </w:r>
      <w:r w:rsidR="00C15FBC">
        <w:rPr>
          <w:rFonts w:ascii="Bookman Old Style" w:hAnsi="Bookman Old Style" w:cs="Arial"/>
        </w:rPr>
        <w:t xml:space="preserve"> de generación </w:t>
      </w:r>
      <w:r w:rsidR="005438B9">
        <w:rPr>
          <w:rFonts w:ascii="Bookman Old Style" w:hAnsi="Bookman Old Style" w:cs="Arial"/>
        </w:rPr>
        <w:t xml:space="preserve">Porce IV (enviadas por la propia EPM), </w:t>
      </w:r>
      <w:r w:rsidRPr="00714616">
        <w:rPr>
          <w:rFonts w:ascii="Bookman Old Style" w:hAnsi="Bookman Old Style" w:cs="Arial"/>
        </w:rPr>
        <w:t>con los radicados CREG E-2010-012362, E-2011-000206 y E-2011-001370, fueran</w:t>
      </w:r>
      <w:r w:rsidR="001A2438">
        <w:rPr>
          <w:rFonts w:ascii="Bookman Old Style" w:hAnsi="Bookman Old Style" w:cs="Arial"/>
        </w:rPr>
        <w:t xml:space="preserve"> o no</w:t>
      </w:r>
      <w:r w:rsidRPr="00714616">
        <w:rPr>
          <w:rFonts w:ascii="Bookman Old Style" w:hAnsi="Bookman Old Style" w:cs="Arial"/>
        </w:rPr>
        <w:t xml:space="preserve"> considerad</w:t>
      </w:r>
      <w:r w:rsidR="001A2438">
        <w:rPr>
          <w:rFonts w:ascii="Bookman Old Style" w:hAnsi="Bookman Old Style" w:cs="Arial"/>
        </w:rPr>
        <w:t>a</w:t>
      </w:r>
      <w:r w:rsidRPr="00714616">
        <w:rPr>
          <w:rFonts w:ascii="Bookman Old Style" w:hAnsi="Bookman Old Style" w:cs="Arial"/>
        </w:rPr>
        <w:t xml:space="preserve">s en la actuación administrativa de la referencia, otorgándosele un plazo de 3 </w:t>
      </w:r>
      <w:r w:rsidR="00747235">
        <w:rPr>
          <w:rFonts w:ascii="Bookman Old Style" w:hAnsi="Bookman Old Style" w:cs="Arial"/>
        </w:rPr>
        <w:t xml:space="preserve">días </w:t>
      </w:r>
      <w:r w:rsidRPr="00714616">
        <w:rPr>
          <w:rFonts w:ascii="Bookman Old Style" w:hAnsi="Bookman Old Style" w:cs="Arial"/>
        </w:rPr>
        <w:t>para realizar dicha manifestación.</w:t>
      </w:r>
    </w:p>
    <w:p w:rsidR="00004D3A" w:rsidRPr="00B771EA" w:rsidRDefault="00004D3A" w:rsidP="00A567A6">
      <w:pPr>
        <w:ind w:left="0"/>
        <w:jc w:val="center"/>
        <w:rPr>
          <w:rFonts w:ascii="Bookman Old Style" w:hAnsi="Bookman Old Style" w:cs="Arial"/>
          <w:sz w:val="20"/>
        </w:rPr>
      </w:pPr>
    </w:p>
    <w:p w:rsidR="00004D3A" w:rsidRPr="00714616" w:rsidRDefault="00004D3A" w:rsidP="00DD1D32">
      <w:pPr>
        <w:ind w:left="0"/>
        <w:jc w:val="both"/>
        <w:rPr>
          <w:rFonts w:ascii="Bookman Old Style" w:hAnsi="Bookman Old Style" w:cs="Arial"/>
        </w:rPr>
      </w:pPr>
      <w:r w:rsidRPr="00714616">
        <w:rPr>
          <w:rFonts w:ascii="Bookman Old Style" w:hAnsi="Bookman Old Style" w:cs="Arial"/>
        </w:rPr>
        <w:t xml:space="preserve">Dicho auto fue notificado mediante estado del 1 de agosto del 2011 y enviada comunicación sobre el asunto, mediante carta con el radicado CREG S-2011-003532 del 29 de julio del </w:t>
      </w:r>
      <w:r w:rsidR="001A2438">
        <w:rPr>
          <w:rFonts w:ascii="Bookman Old Style" w:hAnsi="Bookman Old Style" w:cs="Arial"/>
        </w:rPr>
        <w:t>presente año</w:t>
      </w:r>
      <w:r w:rsidRPr="00714616">
        <w:rPr>
          <w:rFonts w:ascii="Bookman Old Style" w:hAnsi="Bookman Old Style" w:cs="Arial"/>
        </w:rPr>
        <w:t>.</w:t>
      </w:r>
    </w:p>
    <w:p w:rsidR="00004D3A" w:rsidRPr="00714616" w:rsidRDefault="00004D3A" w:rsidP="00DD1D32">
      <w:pPr>
        <w:ind w:left="0"/>
        <w:jc w:val="both"/>
        <w:rPr>
          <w:rFonts w:ascii="Bookman Old Style" w:hAnsi="Bookman Old Style" w:cs="Arial"/>
        </w:rPr>
      </w:pPr>
    </w:p>
    <w:p w:rsidR="00004D3A" w:rsidRPr="00714616" w:rsidRDefault="00004D3A" w:rsidP="00DD1D32">
      <w:pPr>
        <w:ind w:left="0"/>
        <w:jc w:val="both"/>
        <w:rPr>
          <w:rFonts w:ascii="Bookman Old Style" w:hAnsi="Bookman Old Style" w:cs="Arial"/>
        </w:rPr>
      </w:pPr>
      <w:r w:rsidRPr="00714616">
        <w:rPr>
          <w:rFonts w:ascii="Bookman Old Style" w:hAnsi="Bookman Old Style" w:cs="Arial"/>
        </w:rPr>
        <w:t>Vencido dicho t</w:t>
      </w:r>
      <w:r w:rsidR="004E1821">
        <w:rPr>
          <w:rFonts w:ascii="Bookman Old Style" w:hAnsi="Bookman Old Style" w:cs="Arial"/>
        </w:rPr>
        <w:t>é</w:t>
      </w:r>
      <w:r w:rsidRPr="00714616">
        <w:rPr>
          <w:rFonts w:ascii="Bookman Old Style" w:hAnsi="Bookman Old Style" w:cs="Arial"/>
        </w:rPr>
        <w:t>rmino, la empresa EPM n</w:t>
      </w:r>
      <w:r w:rsidR="001A2438">
        <w:rPr>
          <w:rFonts w:ascii="Bookman Old Style" w:hAnsi="Bookman Old Style" w:cs="Arial"/>
        </w:rPr>
        <w:t>o manifestó</w:t>
      </w:r>
      <w:r w:rsidR="005438B9">
        <w:rPr>
          <w:rFonts w:ascii="Bookman Old Style" w:hAnsi="Bookman Old Style" w:cs="Arial"/>
        </w:rPr>
        <w:t xml:space="preserve"> interés alguno sobre la materia, desechando e</w:t>
      </w:r>
      <w:r w:rsidRPr="00714616">
        <w:rPr>
          <w:rFonts w:ascii="Bookman Old Style" w:hAnsi="Bookman Old Style" w:cs="Arial"/>
        </w:rPr>
        <w:t>l esp</w:t>
      </w:r>
      <w:r w:rsidR="001A2438">
        <w:rPr>
          <w:rFonts w:ascii="Bookman Old Style" w:hAnsi="Bookman Old Style" w:cs="Arial"/>
        </w:rPr>
        <w:t>a</w:t>
      </w:r>
      <w:r w:rsidRPr="00714616">
        <w:rPr>
          <w:rFonts w:ascii="Bookman Old Style" w:hAnsi="Bookman Old Style" w:cs="Arial"/>
        </w:rPr>
        <w:t xml:space="preserve">cio </w:t>
      </w:r>
      <w:r w:rsidR="00C15FBC">
        <w:rPr>
          <w:rFonts w:ascii="Bookman Old Style" w:hAnsi="Bookman Old Style" w:cs="Arial"/>
        </w:rPr>
        <w:t>procesal</w:t>
      </w:r>
      <w:r w:rsidRPr="00714616">
        <w:rPr>
          <w:rFonts w:ascii="Bookman Old Style" w:hAnsi="Bookman Old Style" w:cs="Arial"/>
        </w:rPr>
        <w:t xml:space="preserve"> asignado</w:t>
      </w:r>
      <w:r w:rsidR="00C15FBC">
        <w:rPr>
          <w:rFonts w:ascii="Bookman Old Style" w:hAnsi="Bookman Old Style" w:cs="Arial"/>
        </w:rPr>
        <w:t xml:space="preserve"> para su respuesta</w:t>
      </w:r>
      <w:r w:rsidR="005438B9">
        <w:rPr>
          <w:rFonts w:ascii="Bookman Old Style" w:hAnsi="Bookman Old Style" w:cs="Arial"/>
        </w:rPr>
        <w:t>,</w:t>
      </w:r>
      <w:r w:rsidRPr="00714616">
        <w:rPr>
          <w:rFonts w:ascii="Bookman Old Style" w:hAnsi="Bookman Old Style" w:cs="Arial"/>
        </w:rPr>
        <w:t xml:space="preserve"> guardando silencio sobre la información solicitada.</w:t>
      </w:r>
    </w:p>
    <w:p w:rsidR="00C15FBC" w:rsidRPr="00D63A87" w:rsidRDefault="00C15FBC" w:rsidP="00DD1D32">
      <w:pPr>
        <w:ind w:left="0"/>
        <w:jc w:val="both"/>
        <w:rPr>
          <w:rFonts w:ascii="Bookman Old Style" w:hAnsi="Bookman Old Style" w:cs="Arial"/>
          <w:sz w:val="22"/>
        </w:rPr>
      </w:pPr>
    </w:p>
    <w:p w:rsidR="00DC3A69" w:rsidRPr="00DC3A69" w:rsidRDefault="00A421E1" w:rsidP="00342D5A">
      <w:pPr>
        <w:pStyle w:val="Ttulo1"/>
        <w:numPr>
          <w:ilvl w:val="0"/>
          <w:numId w:val="1"/>
        </w:numPr>
        <w:jc w:val="left"/>
        <w:rPr>
          <w:rFonts w:ascii="Bookman Old Style" w:hAnsi="Bookman Old Style"/>
        </w:rPr>
      </w:pPr>
      <w:r>
        <w:rPr>
          <w:rFonts w:ascii="Bookman Old Style" w:hAnsi="Bookman Old Style"/>
        </w:rPr>
        <w:t>CONSIDERACIÓN DEL CASO</w:t>
      </w:r>
      <w:r w:rsidR="00DC3A69" w:rsidRPr="00DC3A69">
        <w:rPr>
          <w:rFonts w:ascii="Bookman Old Style" w:hAnsi="Bookman Old Style"/>
        </w:rPr>
        <w:t>.</w:t>
      </w:r>
    </w:p>
    <w:p w:rsidR="00445D79" w:rsidRDefault="00445D79" w:rsidP="00EC2ABD">
      <w:pPr>
        <w:pStyle w:val="Textoindependiente"/>
        <w:ind w:left="795"/>
        <w:jc w:val="both"/>
        <w:rPr>
          <w:rFonts w:ascii="Bookman Old Style" w:hAnsi="Bookman Old Style"/>
          <w:b w:val="0"/>
        </w:rPr>
      </w:pPr>
    </w:p>
    <w:p w:rsidR="00733B81" w:rsidRDefault="00733B81" w:rsidP="00DC3A69">
      <w:pPr>
        <w:pStyle w:val="Textoindependiente"/>
        <w:ind w:left="0"/>
        <w:jc w:val="both"/>
        <w:rPr>
          <w:rFonts w:ascii="Bookman Old Style" w:hAnsi="Bookman Old Style"/>
          <w:b w:val="0"/>
        </w:rPr>
      </w:pPr>
      <w:r>
        <w:rPr>
          <w:rFonts w:ascii="Bookman Old Style" w:hAnsi="Bookman Old Style"/>
          <w:b w:val="0"/>
        </w:rPr>
        <w:t xml:space="preserve">EPM se comprometió a construir el proyecto hidroeléctrico Porce IV, según lo pactado en el proceso de subasta de plantas GPPS para la asignación de Obligación de Energía en Firme del año 2008. </w:t>
      </w:r>
    </w:p>
    <w:p w:rsidR="00733B81" w:rsidRDefault="00733B81" w:rsidP="00DC3A69">
      <w:pPr>
        <w:pStyle w:val="Textoindependiente"/>
        <w:ind w:left="0"/>
        <w:jc w:val="both"/>
        <w:rPr>
          <w:rFonts w:ascii="Bookman Old Style" w:hAnsi="Bookman Old Style"/>
          <w:b w:val="0"/>
        </w:rPr>
      </w:pPr>
    </w:p>
    <w:p w:rsidR="00576DD9" w:rsidRDefault="00576DD9" w:rsidP="00DC3A69">
      <w:pPr>
        <w:pStyle w:val="Textoindependiente"/>
        <w:ind w:left="0"/>
        <w:jc w:val="both"/>
        <w:rPr>
          <w:rFonts w:ascii="Bookman Old Style" w:hAnsi="Bookman Old Style"/>
          <w:b w:val="0"/>
        </w:rPr>
      </w:pPr>
    </w:p>
    <w:p w:rsidR="00733B81" w:rsidRDefault="00733B81" w:rsidP="00DC3A69">
      <w:pPr>
        <w:pStyle w:val="Textoindependiente"/>
        <w:ind w:left="0"/>
        <w:jc w:val="both"/>
        <w:rPr>
          <w:rFonts w:ascii="Bookman Old Style" w:hAnsi="Bookman Old Style"/>
          <w:b w:val="0"/>
        </w:rPr>
      </w:pPr>
      <w:r>
        <w:rPr>
          <w:rFonts w:ascii="Bookman Old Style" w:hAnsi="Bookman Old Style"/>
          <w:b w:val="0"/>
        </w:rPr>
        <w:t>Por lo anterior, EPM se sujetó a la regulación aplicable la cual establece la obligación de la entrega del cronograma de construcción y la Curva S, de tal forma que el proyecto entrara en operación antes de diciembre del 2015, otorgando garantía bancaria para respaldar el cumplimiento de lo pactado, es decir; EPM conocía el presente procedimiento, la garantía que debía otorgar, la definición de incumplimiento grave e insalvable dada en la regulación y los efectos del mismo</w:t>
      </w:r>
      <w:r>
        <w:rPr>
          <w:rStyle w:val="Refdenotaalpie"/>
          <w:rFonts w:ascii="Bookman Old Style" w:hAnsi="Bookman Old Style"/>
          <w:b w:val="0"/>
        </w:rPr>
        <w:footnoteReference w:id="1"/>
      </w:r>
      <w:r>
        <w:rPr>
          <w:rFonts w:ascii="Bookman Old Style" w:hAnsi="Bookman Old Style"/>
          <w:b w:val="0"/>
        </w:rPr>
        <w:t xml:space="preserve">. </w:t>
      </w:r>
    </w:p>
    <w:p w:rsidR="00D6009B" w:rsidRDefault="00D6009B" w:rsidP="00D6009B">
      <w:pPr>
        <w:pStyle w:val="Textoindependiente"/>
        <w:ind w:left="0"/>
        <w:jc w:val="both"/>
        <w:rPr>
          <w:rFonts w:ascii="Bookman Old Style" w:hAnsi="Bookman Old Style"/>
          <w:b w:val="0"/>
          <w:color w:val="000000" w:themeColor="text1"/>
        </w:rPr>
      </w:pPr>
    </w:p>
    <w:p w:rsidR="00576DD9" w:rsidRPr="00FF44EE" w:rsidRDefault="00576DD9" w:rsidP="00D6009B">
      <w:pPr>
        <w:pStyle w:val="Textoindependiente"/>
        <w:ind w:left="0"/>
        <w:jc w:val="both"/>
        <w:rPr>
          <w:rFonts w:ascii="Bookman Old Style" w:hAnsi="Bookman Old Style"/>
          <w:b w:val="0"/>
          <w:color w:val="000000" w:themeColor="text1"/>
          <w:sz w:val="16"/>
        </w:rPr>
      </w:pPr>
    </w:p>
    <w:p w:rsidR="00D6009B" w:rsidRPr="00564B3A" w:rsidRDefault="00D6009B" w:rsidP="00D6009B">
      <w:pPr>
        <w:pStyle w:val="Textoindependiente"/>
        <w:ind w:left="0"/>
        <w:jc w:val="both"/>
        <w:rPr>
          <w:rFonts w:ascii="Bookman Old Style" w:hAnsi="Bookman Old Style"/>
          <w:b w:val="0"/>
          <w:color w:val="000000" w:themeColor="text1"/>
        </w:rPr>
      </w:pPr>
      <w:r w:rsidRPr="00564B3A">
        <w:rPr>
          <w:rFonts w:ascii="Bookman Old Style" w:hAnsi="Bookman Old Style"/>
          <w:b w:val="0"/>
          <w:color w:val="000000" w:themeColor="text1"/>
        </w:rPr>
        <w:t>Se debe destacar que es la propia regulación, la encargada de definir el incumplimiento, cuando esta establece que el incumplimiento grave e insalvable se determinara cuando: “</w:t>
      </w:r>
      <w:r w:rsidRPr="00564B3A">
        <w:rPr>
          <w:rFonts w:ascii="Bookman Old Style" w:hAnsi="Bookman Old Style"/>
          <w:b w:val="0"/>
          <w:i/>
          <w:color w:val="000000" w:themeColor="text1"/>
        </w:rPr>
        <w:t>el informe del auditor indica que la puesta en operación de la planta o unidad de generación tendrá un atraso mayor a un año, contado a partir de la fecha de inicio del Periodo de Vigencia de la Obligación</w:t>
      </w:r>
      <w:r w:rsidRPr="00564B3A">
        <w:rPr>
          <w:rFonts w:ascii="Bookman Old Style" w:hAnsi="Bookman Old Style"/>
          <w:b w:val="0"/>
          <w:color w:val="000000" w:themeColor="text1"/>
        </w:rPr>
        <w:t>”</w:t>
      </w:r>
      <w:r>
        <w:rPr>
          <w:rStyle w:val="Refdenotaalpie"/>
          <w:rFonts w:ascii="Bookman Old Style" w:hAnsi="Bookman Old Style"/>
          <w:b w:val="0"/>
          <w:color w:val="000000" w:themeColor="text1"/>
        </w:rPr>
        <w:footnoteReference w:id="2"/>
      </w:r>
    </w:p>
    <w:p w:rsidR="00733B81" w:rsidRPr="00FF44EE" w:rsidRDefault="00733B81" w:rsidP="00733B81">
      <w:pPr>
        <w:pStyle w:val="Textoindependiente"/>
        <w:ind w:left="0"/>
        <w:jc w:val="both"/>
        <w:rPr>
          <w:rFonts w:ascii="Bookman Old Style" w:hAnsi="Bookman Old Style"/>
          <w:b w:val="0"/>
          <w:sz w:val="14"/>
        </w:rPr>
      </w:pPr>
    </w:p>
    <w:p w:rsidR="00576DD9" w:rsidRDefault="00576DD9" w:rsidP="00733B81">
      <w:pPr>
        <w:pStyle w:val="Textoindependiente"/>
        <w:ind w:left="0"/>
        <w:jc w:val="both"/>
        <w:rPr>
          <w:rFonts w:ascii="Bookman Old Style" w:hAnsi="Bookman Old Style"/>
          <w:b w:val="0"/>
        </w:rPr>
      </w:pPr>
    </w:p>
    <w:p w:rsidR="00733B81" w:rsidRDefault="00733B81" w:rsidP="00733B81">
      <w:pPr>
        <w:pStyle w:val="Textoindependiente"/>
        <w:ind w:left="0"/>
        <w:jc w:val="both"/>
        <w:rPr>
          <w:rFonts w:ascii="Bookman Old Style" w:hAnsi="Bookman Old Style"/>
          <w:b w:val="0"/>
        </w:rPr>
      </w:pPr>
      <w:r>
        <w:rPr>
          <w:rFonts w:ascii="Bookman Old Style" w:hAnsi="Bookman Old Style"/>
          <w:b w:val="0"/>
        </w:rPr>
        <w:t xml:space="preserve">En el informe </w:t>
      </w:r>
      <w:r w:rsidRPr="00DC3A69">
        <w:rPr>
          <w:rFonts w:ascii="Bookman Old Style" w:hAnsi="Bookman Old Style"/>
          <w:b w:val="0"/>
        </w:rPr>
        <w:t>adicional de</w:t>
      </w:r>
      <w:r>
        <w:rPr>
          <w:rFonts w:ascii="Bookman Old Style" w:hAnsi="Bookman Old Style"/>
          <w:b w:val="0"/>
        </w:rPr>
        <w:t xml:space="preserve"> auditoria para la</w:t>
      </w:r>
      <w:r w:rsidRPr="00DC3A69">
        <w:rPr>
          <w:rFonts w:ascii="Bookman Old Style" w:hAnsi="Bookman Old Style"/>
          <w:b w:val="0"/>
        </w:rPr>
        <w:t xml:space="preserve"> </w:t>
      </w:r>
      <w:r w:rsidRPr="00DC4C2A">
        <w:rPr>
          <w:rFonts w:ascii="Bookman Old Style" w:hAnsi="Bookman Old Style"/>
          <w:b w:val="0"/>
        </w:rPr>
        <w:t xml:space="preserve">verificación de la </w:t>
      </w:r>
      <w:r>
        <w:rPr>
          <w:rFonts w:ascii="Bookman Old Style" w:hAnsi="Bookman Old Style"/>
          <w:b w:val="0"/>
        </w:rPr>
        <w:t>C</w:t>
      </w:r>
      <w:r w:rsidRPr="00DC4C2A">
        <w:rPr>
          <w:rFonts w:ascii="Bookman Old Style" w:hAnsi="Bookman Old Style"/>
          <w:b w:val="0"/>
        </w:rPr>
        <w:t xml:space="preserve">urva S y del cronograma y puesta en operación </w:t>
      </w:r>
      <w:r w:rsidR="000F71AA" w:rsidRPr="00DC4C2A">
        <w:rPr>
          <w:rFonts w:ascii="Bookman Old Style" w:hAnsi="Bookman Old Style"/>
          <w:b w:val="0"/>
        </w:rPr>
        <w:t xml:space="preserve">del proyecto </w:t>
      </w:r>
      <w:r w:rsidRPr="00DC4C2A">
        <w:rPr>
          <w:rFonts w:ascii="Bookman Old Style" w:hAnsi="Bookman Old Style"/>
          <w:b w:val="0"/>
        </w:rPr>
        <w:t>hidroeléctrica Porce IV</w:t>
      </w:r>
      <w:r>
        <w:rPr>
          <w:rFonts w:ascii="Bookman Old Style" w:hAnsi="Bookman Old Style"/>
          <w:b w:val="0"/>
        </w:rPr>
        <w:t>, el cual se realiza según la información reportada por el generador “EPM” a XM S.A E.S.P, el cual la remite a auditor según lo ordenado por la regulación</w:t>
      </w:r>
      <w:r w:rsidRPr="00DC3A69">
        <w:rPr>
          <w:rFonts w:ascii="Bookman Old Style" w:hAnsi="Bookman Old Style"/>
          <w:b w:val="0"/>
          <w:lang w:eastAsia="es-CO"/>
        </w:rPr>
        <w:t>,</w:t>
      </w:r>
      <w:r>
        <w:rPr>
          <w:rFonts w:ascii="Bookman Old Style" w:hAnsi="Bookman Old Style"/>
          <w:b w:val="0"/>
          <w:lang w:eastAsia="es-CO"/>
        </w:rPr>
        <w:t xml:space="preserve"> el interventor</w:t>
      </w:r>
      <w:r w:rsidRPr="00DC3A69">
        <w:rPr>
          <w:rFonts w:ascii="Bookman Old Style" w:hAnsi="Bookman Old Style"/>
          <w:b w:val="0"/>
          <w:lang w:eastAsia="es-CO"/>
        </w:rPr>
        <w:t xml:space="preserve"> </w:t>
      </w:r>
      <w:r>
        <w:rPr>
          <w:rFonts w:ascii="Bookman Old Style" w:hAnsi="Bookman Old Style"/>
          <w:b w:val="0"/>
          <w:lang w:eastAsia="es-CO"/>
        </w:rPr>
        <w:t xml:space="preserve">concluyó que el proyecto tiene </w:t>
      </w:r>
      <w:r w:rsidRPr="00DC3A69">
        <w:rPr>
          <w:rFonts w:ascii="Bookman Old Style" w:hAnsi="Bookman Old Style"/>
          <w:b w:val="0"/>
          <w:lang w:eastAsia="es-CO"/>
        </w:rPr>
        <w:t xml:space="preserve">una situación de atraso en la puesta en operación del orden de 576 días calendario, por lo cual para el </w:t>
      </w:r>
      <w:r w:rsidRPr="00CB5D45">
        <w:rPr>
          <w:rFonts w:ascii="Bookman Old Style" w:hAnsi="Bookman Old Style"/>
          <w:b w:val="0"/>
          <w:lang w:eastAsia="es-CO"/>
        </w:rPr>
        <w:t>auditor (</w:t>
      </w:r>
      <w:r w:rsidRPr="00CB5D45">
        <w:rPr>
          <w:rFonts w:ascii="Bookman Old Style" w:hAnsi="Bookman Old Style"/>
          <w:b w:val="0"/>
        </w:rPr>
        <w:t>SEDIC S.A</w:t>
      </w:r>
      <w:r w:rsidRPr="00CB5D45">
        <w:rPr>
          <w:rFonts w:ascii="Bookman Old Style" w:hAnsi="Bookman Old Style"/>
          <w:b w:val="0"/>
          <w:lang w:eastAsia="es-CO"/>
        </w:rPr>
        <w:t>.)</w:t>
      </w:r>
      <w:r w:rsidRPr="00DC3A69">
        <w:rPr>
          <w:rFonts w:ascii="Bookman Old Style" w:hAnsi="Bookman Old Style"/>
          <w:b w:val="0"/>
          <w:lang w:eastAsia="es-CO"/>
        </w:rPr>
        <w:t xml:space="preserve"> se presenta una situación de incumplimiento grave e insalvable, en </w:t>
      </w:r>
      <w:r>
        <w:rPr>
          <w:rFonts w:ascii="Bookman Old Style" w:hAnsi="Bookman Old Style"/>
          <w:b w:val="0"/>
          <w:lang w:eastAsia="es-CO"/>
        </w:rPr>
        <w:t>la construcción de</w:t>
      </w:r>
      <w:r w:rsidRPr="00DC3A69">
        <w:rPr>
          <w:rFonts w:ascii="Bookman Old Style" w:hAnsi="Bookman Old Style"/>
          <w:b w:val="0"/>
          <w:lang w:eastAsia="es-CO"/>
        </w:rPr>
        <w:t>l proyecto</w:t>
      </w:r>
      <w:r>
        <w:rPr>
          <w:rFonts w:ascii="Bookman Old Style" w:hAnsi="Bookman Old Style"/>
          <w:b w:val="0"/>
          <w:lang w:eastAsia="es-CO"/>
        </w:rPr>
        <w:t xml:space="preserve"> de</w:t>
      </w:r>
      <w:r w:rsidRPr="00DC3A69">
        <w:rPr>
          <w:rFonts w:ascii="Bookman Old Style" w:hAnsi="Bookman Old Style"/>
          <w:b w:val="0"/>
          <w:lang w:eastAsia="es-CO"/>
        </w:rPr>
        <w:t xml:space="preserve"> </w:t>
      </w:r>
      <w:r>
        <w:rPr>
          <w:rFonts w:ascii="Bookman Old Style" w:hAnsi="Bookman Old Style"/>
          <w:b w:val="0"/>
          <w:lang w:eastAsia="es-CO"/>
        </w:rPr>
        <w:t xml:space="preserve">generación </w:t>
      </w:r>
      <w:r w:rsidRPr="00DC3A69">
        <w:rPr>
          <w:rFonts w:ascii="Bookman Old Style" w:hAnsi="Bookman Old Style"/>
          <w:b w:val="0"/>
          <w:lang w:eastAsia="es-CO"/>
        </w:rPr>
        <w:t>Porce IV.</w:t>
      </w:r>
    </w:p>
    <w:p w:rsidR="00733B81" w:rsidRDefault="00733B81" w:rsidP="00733B81">
      <w:pPr>
        <w:pStyle w:val="Textoindependiente"/>
        <w:ind w:left="0"/>
        <w:jc w:val="both"/>
        <w:rPr>
          <w:rFonts w:ascii="Bookman Old Style" w:hAnsi="Bookman Old Style"/>
          <w:b w:val="0"/>
          <w:color w:val="000000" w:themeColor="text1"/>
        </w:rPr>
      </w:pPr>
    </w:p>
    <w:p w:rsidR="00576DD9" w:rsidRPr="00FF44EE" w:rsidRDefault="00576DD9" w:rsidP="00733B81">
      <w:pPr>
        <w:pStyle w:val="Textoindependiente"/>
        <w:ind w:left="0"/>
        <w:jc w:val="both"/>
        <w:rPr>
          <w:rFonts w:ascii="Bookman Old Style" w:hAnsi="Bookman Old Style"/>
          <w:b w:val="0"/>
          <w:color w:val="000000" w:themeColor="text1"/>
          <w:sz w:val="14"/>
        </w:rPr>
      </w:pPr>
    </w:p>
    <w:p w:rsidR="00733B81" w:rsidRDefault="00733B81" w:rsidP="00DC3A69">
      <w:pPr>
        <w:pStyle w:val="Textoindependiente"/>
        <w:ind w:left="0"/>
        <w:jc w:val="both"/>
        <w:rPr>
          <w:rFonts w:ascii="Bookman Old Style" w:hAnsi="Bookman Old Style"/>
          <w:b w:val="0"/>
        </w:rPr>
      </w:pPr>
      <w:r>
        <w:rPr>
          <w:rFonts w:ascii="Bookman Old Style" w:hAnsi="Bookman Old Style"/>
          <w:b w:val="0"/>
        </w:rPr>
        <w:t xml:space="preserve">Como bien se dijo con anterioridad, dicho informe fue trasladado a EPM, la cual mediante comunicación </w:t>
      </w:r>
      <w:r w:rsidR="000F71AA">
        <w:rPr>
          <w:rFonts w:ascii="Bookman Old Style" w:hAnsi="Bookman Old Style"/>
          <w:b w:val="0"/>
        </w:rPr>
        <w:t>con el radicado CREG E-2011-006723,</w:t>
      </w:r>
      <w:r>
        <w:rPr>
          <w:rFonts w:ascii="Bookman Old Style" w:hAnsi="Bookman Old Style"/>
          <w:b w:val="0"/>
        </w:rPr>
        <w:t xml:space="preserve"> acept</w:t>
      </w:r>
      <w:r w:rsidR="00576DD9">
        <w:rPr>
          <w:rFonts w:ascii="Bookman Old Style" w:hAnsi="Bookman Old Style"/>
          <w:b w:val="0"/>
        </w:rPr>
        <w:t>ó</w:t>
      </w:r>
      <w:r>
        <w:rPr>
          <w:rFonts w:ascii="Bookman Old Style" w:hAnsi="Bookman Old Style"/>
          <w:b w:val="0"/>
        </w:rPr>
        <w:t xml:space="preserve"> las conclusiones del informe,</w:t>
      </w:r>
      <w:r w:rsidR="000F71AA">
        <w:rPr>
          <w:rFonts w:ascii="Bookman Old Style" w:hAnsi="Bookman Old Style"/>
          <w:b w:val="0"/>
        </w:rPr>
        <w:t xml:space="preserve"> absteniéndose de </w:t>
      </w:r>
      <w:r>
        <w:rPr>
          <w:rFonts w:ascii="Bookman Old Style" w:hAnsi="Bookman Old Style"/>
          <w:b w:val="0"/>
        </w:rPr>
        <w:t>proponer aclaración o complementación alguna.</w:t>
      </w:r>
    </w:p>
    <w:p w:rsidR="00733B81" w:rsidRDefault="00733B81" w:rsidP="00733B81">
      <w:pPr>
        <w:ind w:left="0"/>
        <w:jc w:val="both"/>
        <w:rPr>
          <w:rFonts w:ascii="Bookman Old Style" w:hAnsi="Bookman Old Style"/>
        </w:rPr>
      </w:pPr>
    </w:p>
    <w:p w:rsidR="00576DD9" w:rsidRPr="00FF44EE" w:rsidRDefault="00576DD9" w:rsidP="00733B81">
      <w:pPr>
        <w:ind w:left="0"/>
        <w:jc w:val="both"/>
        <w:rPr>
          <w:rFonts w:ascii="Bookman Old Style" w:hAnsi="Bookman Old Style"/>
          <w:sz w:val="12"/>
        </w:rPr>
      </w:pPr>
    </w:p>
    <w:p w:rsidR="00733B81" w:rsidRDefault="00576DD9" w:rsidP="00733B81">
      <w:pPr>
        <w:ind w:left="0"/>
        <w:jc w:val="both"/>
        <w:rPr>
          <w:rFonts w:ascii="Bookman Old Style" w:hAnsi="Bookman Old Style" w:cs="Arial"/>
        </w:rPr>
      </w:pPr>
      <w:r>
        <w:rPr>
          <w:rFonts w:ascii="Bookman Old Style" w:hAnsi="Bookman Old Style"/>
        </w:rPr>
        <w:t>Mediante</w:t>
      </w:r>
      <w:r w:rsidR="00733B81" w:rsidRPr="00A038BC">
        <w:rPr>
          <w:rFonts w:ascii="Bookman Old Style" w:hAnsi="Bookman Old Style"/>
        </w:rPr>
        <w:t xml:space="preserve"> </w:t>
      </w:r>
      <w:r w:rsidR="00733B81">
        <w:rPr>
          <w:rFonts w:ascii="Bookman Old Style" w:hAnsi="Bookman Old Style"/>
        </w:rPr>
        <w:t xml:space="preserve">auto del 29 de julio del 2011, </w:t>
      </w:r>
      <w:r w:rsidR="00733B81" w:rsidRPr="00714616">
        <w:rPr>
          <w:rFonts w:ascii="Bookman Old Style" w:hAnsi="Bookman Old Style" w:cs="Arial"/>
        </w:rPr>
        <w:t>la CREG solicit</w:t>
      </w:r>
      <w:r w:rsidR="00733B81">
        <w:rPr>
          <w:rFonts w:ascii="Bookman Old Style" w:hAnsi="Bookman Old Style" w:cs="Arial"/>
        </w:rPr>
        <w:t>ó</w:t>
      </w:r>
      <w:r w:rsidR="00733B81" w:rsidRPr="00714616">
        <w:rPr>
          <w:rFonts w:ascii="Bookman Old Style" w:hAnsi="Bookman Old Style" w:cs="Arial"/>
        </w:rPr>
        <w:t xml:space="preserve"> a EPM manifestar su interés</w:t>
      </w:r>
      <w:r w:rsidR="00733B81">
        <w:rPr>
          <w:rFonts w:ascii="Bookman Old Style" w:hAnsi="Bookman Old Style" w:cs="Arial"/>
        </w:rPr>
        <w:t xml:space="preserve"> para que </w:t>
      </w:r>
      <w:r w:rsidR="00733B81" w:rsidRPr="00714616">
        <w:rPr>
          <w:rFonts w:ascii="Bookman Old Style" w:hAnsi="Bookman Old Style" w:cs="Arial"/>
        </w:rPr>
        <w:t xml:space="preserve">las comunicaciones </w:t>
      </w:r>
      <w:r w:rsidR="00733B81">
        <w:rPr>
          <w:rFonts w:ascii="Bookman Old Style" w:hAnsi="Bookman Old Style" w:cs="Arial"/>
        </w:rPr>
        <w:t>enviadas a la Comisión,</w:t>
      </w:r>
      <w:r w:rsidR="00733B81" w:rsidRPr="00714616">
        <w:rPr>
          <w:rFonts w:ascii="Bookman Old Style" w:hAnsi="Bookman Old Style" w:cs="Arial"/>
        </w:rPr>
        <w:t xml:space="preserve"> con los radicados CREG E-2010-012362, E-2011-000206 y E-2011-001370,</w:t>
      </w:r>
      <w:r w:rsidR="00733B81">
        <w:rPr>
          <w:rFonts w:ascii="Bookman Old Style" w:hAnsi="Bookman Old Style" w:cs="Arial"/>
        </w:rPr>
        <w:t xml:space="preserve"> anteriores a esta actuación administrativa,</w:t>
      </w:r>
      <w:r w:rsidR="00733B81" w:rsidRPr="00714616">
        <w:rPr>
          <w:rFonts w:ascii="Bookman Old Style" w:hAnsi="Bookman Old Style" w:cs="Arial"/>
        </w:rPr>
        <w:t xml:space="preserve"> fueran</w:t>
      </w:r>
      <w:r w:rsidR="00733B81">
        <w:rPr>
          <w:rFonts w:ascii="Bookman Old Style" w:hAnsi="Bookman Old Style" w:cs="Arial"/>
        </w:rPr>
        <w:t xml:space="preserve"> o no</w:t>
      </w:r>
      <w:r w:rsidR="00733B81" w:rsidRPr="00714616">
        <w:rPr>
          <w:rFonts w:ascii="Bookman Old Style" w:hAnsi="Bookman Old Style" w:cs="Arial"/>
        </w:rPr>
        <w:t xml:space="preserve"> considerad</w:t>
      </w:r>
      <w:r w:rsidR="00733B81">
        <w:rPr>
          <w:rFonts w:ascii="Bookman Old Style" w:hAnsi="Bookman Old Style" w:cs="Arial"/>
        </w:rPr>
        <w:t>a</w:t>
      </w:r>
      <w:r w:rsidR="00733B81" w:rsidRPr="00714616">
        <w:rPr>
          <w:rFonts w:ascii="Bookman Old Style" w:hAnsi="Bookman Old Style" w:cs="Arial"/>
        </w:rPr>
        <w:t xml:space="preserve">s en la </w:t>
      </w:r>
      <w:r w:rsidR="00733B81">
        <w:rPr>
          <w:rFonts w:ascii="Bookman Old Style" w:hAnsi="Bookman Old Style" w:cs="Arial"/>
        </w:rPr>
        <w:t>presente decisión</w:t>
      </w:r>
      <w:r w:rsidR="00733B81" w:rsidRPr="00714616">
        <w:rPr>
          <w:rFonts w:ascii="Bookman Old Style" w:hAnsi="Bookman Old Style" w:cs="Arial"/>
        </w:rPr>
        <w:t xml:space="preserve">, otorgándosele un plazo de 3 </w:t>
      </w:r>
      <w:r w:rsidR="00733B81">
        <w:rPr>
          <w:rFonts w:ascii="Bookman Old Style" w:hAnsi="Bookman Old Style" w:cs="Arial"/>
        </w:rPr>
        <w:t xml:space="preserve">días </w:t>
      </w:r>
      <w:r w:rsidR="00733B81" w:rsidRPr="00714616">
        <w:rPr>
          <w:rFonts w:ascii="Bookman Old Style" w:hAnsi="Bookman Old Style" w:cs="Arial"/>
        </w:rPr>
        <w:t>para realizar dicha manifestación</w:t>
      </w:r>
      <w:r w:rsidR="00733B81">
        <w:rPr>
          <w:rFonts w:ascii="Bookman Old Style" w:hAnsi="Bookman Old Style" w:cs="Arial"/>
        </w:rPr>
        <w:t>.</w:t>
      </w:r>
    </w:p>
    <w:p w:rsidR="00733B81" w:rsidRDefault="00733B81" w:rsidP="00733B81">
      <w:pPr>
        <w:ind w:left="0"/>
        <w:jc w:val="both"/>
        <w:rPr>
          <w:rFonts w:ascii="Bookman Old Style" w:hAnsi="Bookman Old Style" w:cs="Arial"/>
          <w:sz w:val="22"/>
        </w:rPr>
      </w:pPr>
    </w:p>
    <w:p w:rsidR="00576DD9" w:rsidRPr="00FF44EE" w:rsidRDefault="00576DD9" w:rsidP="00733B81">
      <w:pPr>
        <w:ind w:left="0"/>
        <w:jc w:val="both"/>
        <w:rPr>
          <w:rFonts w:ascii="Bookman Old Style" w:hAnsi="Bookman Old Style" w:cs="Arial"/>
          <w:sz w:val="14"/>
        </w:rPr>
      </w:pPr>
    </w:p>
    <w:p w:rsidR="00733B81" w:rsidRDefault="00733B81" w:rsidP="00733B81">
      <w:pPr>
        <w:ind w:left="0"/>
        <w:jc w:val="both"/>
        <w:rPr>
          <w:rFonts w:ascii="Bookman Old Style" w:hAnsi="Bookman Old Style" w:cs="Arial"/>
        </w:rPr>
      </w:pPr>
      <w:r>
        <w:rPr>
          <w:rFonts w:ascii="Bookman Old Style" w:hAnsi="Bookman Old Style" w:cs="Arial"/>
        </w:rPr>
        <w:t xml:space="preserve">Dicha plazo transcurrió sin que la CREG recibiera manifestación o comunicación sobre el asunto, por lo cual dichas comunicaciones no serán tenidas en cuenta en esta decisión. </w:t>
      </w:r>
    </w:p>
    <w:p w:rsidR="00D6009B" w:rsidRPr="00610B84" w:rsidRDefault="00D6009B" w:rsidP="00733B81">
      <w:pPr>
        <w:ind w:left="0"/>
        <w:jc w:val="both"/>
        <w:rPr>
          <w:rFonts w:ascii="Bookman Old Style" w:hAnsi="Bookman Old Style"/>
          <w:sz w:val="22"/>
        </w:rPr>
      </w:pPr>
    </w:p>
    <w:p w:rsidR="00576DD9" w:rsidRPr="00FF44EE" w:rsidRDefault="00576DD9" w:rsidP="00733B81">
      <w:pPr>
        <w:ind w:left="0"/>
        <w:jc w:val="both"/>
        <w:rPr>
          <w:rFonts w:ascii="Bookman Old Style" w:hAnsi="Bookman Old Style"/>
          <w:sz w:val="16"/>
        </w:rPr>
      </w:pPr>
    </w:p>
    <w:p w:rsidR="00733B81" w:rsidRPr="00EB6DF2" w:rsidRDefault="00733B81" w:rsidP="00733B81">
      <w:pPr>
        <w:ind w:left="0"/>
        <w:jc w:val="both"/>
        <w:rPr>
          <w:rFonts w:ascii="Bookman Old Style" w:hAnsi="Bookman Old Style" w:cs="Arial"/>
        </w:rPr>
      </w:pPr>
      <w:r w:rsidRPr="00EB6DF2">
        <w:rPr>
          <w:rFonts w:ascii="Bookman Old Style" w:hAnsi="Bookman Old Style"/>
        </w:rPr>
        <w:t>Recordemos</w:t>
      </w:r>
      <w:r>
        <w:rPr>
          <w:rFonts w:ascii="Bookman Old Style" w:hAnsi="Bookman Old Style"/>
        </w:rPr>
        <w:t xml:space="preserve"> que</w:t>
      </w:r>
      <w:r w:rsidRPr="00EB6DF2">
        <w:rPr>
          <w:rFonts w:ascii="Bookman Old Style" w:hAnsi="Bookman Old Style"/>
        </w:rPr>
        <w:t xml:space="preserve"> corresponde al administrado ejercer según su criterio y buen juicio </w:t>
      </w:r>
      <w:r>
        <w:rPr>
          <w:rFonts w:ascii="Bookman Old Style" w:hAnsi="Bookman Old Style"/>
        </w:rPr>
        <w:t>su</w:t>
      </w:r>
      <w:r w:rsidRPr="00EB6DF2">
        <w:rPr>
          <w:rFonts w:ascii="Bookman Old Style" w:hAnsi="Bookman Old Style"/>
        </w:rPr>
        <w:t xml:space="preserve"> derecho a la defensa, no le es aceptable a la administración pública suplir la voluntad solicita</w:t>
      </w:r>
      <w:r w:rsidR="00D6009B">
        <w:rPr>
          <w:rFonts w:ascii="Bookman Old Style" w:hAnsi="Bookman Old Style"/>
        </w:rPr>
        <w:t>da</w:t>
      </w:r>
      <w:r w:rsidRPr="00EB6DF2">
        <w:rPr>
          <w:rFonts w:ascii="Bookman Old Style" w:hAnsi="Bookman Old Style"/>
        </w:rPr>
        <w:t xml:space="preserve"> al administrado o entrar a asumir que la misma seria en un sentido u otro, lo cierto es que dada la oportunidad y esta no ejercida por el interesado,</w:t>
      </w:r>
      <w:r>
        <w:rPr>
          <w:rFonts w:ascii="Bookman Old Style" w:hAnsi="Bookman Old Style"/>
        </w:rPr>
        <w:t xml:space="preserve"> la CREG no puede suplirla y asumir que la misma sería positiva o negativa, por lo cual como consecuencia de esto, la administración publica ha garantizado las oportunidades para el correcto </w:t>
      </w:r>
      <w:r w:rsidRPr="00EB6DF2">
        <w:rPr>
          <w:rFonts w:ascii="Bookman Old Style" w:hAnsi="Bookman Old Style"/>
        </w:rPr>
        <w:t>devenir de la actuación</w:t>
      </w:r>
      <w:r>
        <w:rPr>
          <w:rFonts w:ascii="Bookman Old Style" w:hAnsi="Bookman Old Style"/>
        </w:rPr>
        <w:t xml:space="preserve">, incluyéndose </w:t>
      </w:r>
      <w:r w:rsidRPr="00EB6DF2">
        <w:rPr>
          <w:rFonts w:ascii="Bookman Old Style" w:hAnsi="Bookman Old Style"/>
        </w:rPr>
        <w:t xml:space="preserve">la posibilidad para el ejercicio de los derechos que el ordenamiento jurídico le debe al interesado. </w:t>
      </w:r>
    </w:p>
    <w:p w:rsidR="00733B81" w:rsidRPr="00FF44EE" w:rsidRDefault="00733B81" w:rsidP="00DC3A69">
      <w:pPr>
        <w:pStyle w:val="Textoindependiente"/>
        <w:ind w:left="0"/>
        <w:jc w:val="both"/>
        <w:rPr>
          <w:rFonts w:ascii="Bookman Old Style" w:hAnsi="Bookman Old Style"/>
          <w:b w:val="0"/>
          <w:sz w:val="32"/>
        </w:rPr>
      </w:pPr>
    </w:p>
    <w:p w:rsidR="00DC68DE" w:rsidRDefault="00DC68DE" w:rsidP="00DC3A69">
      <w:pPr>
        <w:pStyle w:val="Textoindependiente"/>
        <w:ind w:left="0"/>
        <w:jc w:val="both"/>
        <w:rPr>
          <w:rFonts w:ascii="Bookman Old Style" w:hAnsi="Bookman Old Style"/>
          <w:b w:val="0"/>
        </w:rPr>
      </w:pPr>
      <w:r>
        <w:rPr>
          <w:rFonts w:ascii="Bookman Old Style" w:hAnsi="Bookman Old Style"/>
          <w:b w:val="0"/>
        </w:rPr>
        <w:t xml:space="preserve">Durante esta actuación se concedieron diferentes oportunidades para el ejercicio del derecho a la defensa, desde el traslado del informe de </w:t>
      </w:r>
      <w:r w:rsidR="00A567A6">
        <w:rPr>
          <w:rFonts w:ascii="Bookman Old Style" w:hAnsi="Bookman Old Style"/>
          <w:b w:val="0"/>
        </w:rPr>
        <w:t>auditoría</w:t>
      </w:r>
      <w:r>
        <w:rPr>
          <w:rFonts w:ascii="Bookman Old Style" w:hAnsi="Bookman Old Style"/>
          <w:b w:val="0"/>
        </w:rPr>
        <w:t xml:space="preserve"> hasta la solicitud de manifestación del cons</w:t>
      </w:r>
      <w:r w:rsidR="00A567A6">
        <w:rPr>
          <w:rFonts w:ascii="Bookman Old Style" w:hAnsi="Bookman Old Style"/>
          <w:b w:val="0"/>
        </w:rPr>
        <w:t>e</w:t>
      </w:r>
      <w:r>
        <w:rPr>
          <w:rFonts w:ascii="Bookman Old Style" w:hAnsi="Bookman Old Style"/>
          <w:b w:val="0"/>
        </w:rPr>
        <w:t>ntimiento de EPM, para considerar ciertas comunicaciones relacionadas con el tema del proyecto hidroeléctrico de Porce IV.</w:t>
      </w:r>
    </w:p>
    <w:p w:rsidR="00733B81" w:rsidRPr="00FF44EE" w:rsidRDefault="00733B81" w:rsidP="00733B81">
      <w:pPr>
        <w:pStyle w:val="Textoindependiente"/>
        <w:ind w:left="0"/>
        <w:jc w:val="both"/>
        <w:rPr>
          <w:rFonts w:ascii="Bookman Old Style" w:hAnsi="Bookman Old Style"/>
          <w:b w:val="0"/>
          <w:sz w:val="40"/>
        </w:rPr>
      </w:pPr>
    </w:p>
    <w:p w:rsidR="00E81B07" w:rsidRDefault="007C3C49" w:rsidP="00DC3A69">
      <w:pPr>
        <w:pStyle w:val="Textoindependiente"/>
        <w:ind w:left="0"/>
        <w:jc w:val="both"/>
        <w:rPr>
          <w:rFonts w:ascii="Bookman Old Style" w:hAnsi="Bookman Old Style"/>
          <w:b w:val="0"/>
        </w:rPr>
      </w:pPr>
      <w:r>
        <w:rPr>
          <w:rFonts w:ascii="Bookman Old Style" w:hAnsi="Bookman Old Style"/>
          <w:b w:val="0"/>
        </w:rPr>
        <w:t xml:space="preserve">Vale la pena reseñar el hecho que </w:t>
      </w:r>
      <w:r w:rsidR="00A567A6">
        <w:rPr>
          <w:rFonts w:ascii="Bookman Old Style" w:hAnsi="Bookman Old Style"/>
          <w:b w:val="0"/>
        </w:rPr>
        <w:t>la CREG</w:t>
      </w:r>
      <w:r>
        <w:rPr>
          <w:rFonts w:ascii="Bookman Old Style" w:hAnsi="Bookman Old Style"/>
          <w:b w:val="0"/>
        </w:rPr>
        <w:t>, no</w:t>
      </w:r>
      <w:r w:rsidR="00A567A6">
        <w:rPr>
          <w:rFonts w:ascii="Bookman Old Style" w:hAnsi="Bookman Old Style"/>
          <w:b w:val="0"/>
        </w:rPr>
        <w:t xml:space="preserve"> recibió petición alguna por parte de EPM durante el curso de esta actuación para la práctica de pruebas</w:t>
      </w:r>
      <w:r>
        <w:rPr>
          <w:rFonts w:ascii="Bookman Old Style" w:hAnsi="Bookman Old Style"/>
          <w:b w:val="0"/>
        </w:rPr>
        <w:t xml:space="preserve"> </w:t>
      </w:r>
      <w:r w:rsidR="00E81B07">
        <w:rPr>
          <w:rFonts w:ascii="Bookman Old Style" w:hAnsi="Bookman Old Style"/>
          <w:b w:val="0"/>
        </w:rPr>
        <w:t>o respuesta a la solicitud de la CREG para considerar ciertas peticiones anteriores pero relevantes para el tema de la presente actuación.</w:t>
      </w:r>
    </w:p>
    <w:p w:rsidR="00A567A6" w:rsidRPr="00FF44EE" w:rsidRDefault="00E81B07" w:rsidP="00DC3A69">
      <w:pPr>
        <w:pStyle w:val="Textoindependiente"/>
        <w:ind w:left="0"/>
        <w:jc w:val="both"/>
        <w:rPr>
          <w:rFonts w:ascii="Bookman Old Style" w:hAnsi="Bookman Old Style"/>
          <w:b w:val="0"/>
          <w:sz w:val="40"/>
        </w:rPr>
      </w:pPr>
      <w:r>
        <w:rPr>
          <w:rFonts w:ascii="Bookman Old Style" w:hAnsi="Bookman Old Style"/>
          <w:b w:val="0"/>
        </w:rPr>
        <w:t xml:space="preserve"> </w:t>
      </w:r>
    </w:p>
    <w:p w:rsidR="00A567A6" w:rsidRDefault="00E81B07" w:rsidP="00DC3A69">
      <w:pPr>
        <w:pStyle w:val="Textoindependiente"/>
        <w:ind w:left="0"/>
        <w:jc w:val="both"/>
        <w:rPr>
          <w:rFonts w:ascii="Bookman Old Style" w:hAnsi="Bookman Old Style"/>
          <w:b w:val="0"/>
        </w:rPr>
      </w:pPr>
      <w:r>
        <w:rPr>
          <w:rFonts w:ascii="Bookman Old Style" w:hAnsi="Bookman Old Style"/>
          <w:b w:val="0"/>
        </w:rPr>
        <w:t>Por lo anterior, r</w:t>
      </w:r>
      <w:r w:rsidR="00A567A6">
        <w:rPr>
          <w:rFonts w:ascii="Bookman Old Style" w:hAnsi="Bookman Old Style"/>
          <w:b w:val="0"/>
        </w:rPr>
        <w:t>esul</w:t>
      </w:r>
      <w:r>
        <w:rPr>
          <w:rFonts w:ascii="Bookman Old Style" w:hAnsi="Bookman Old Style"/>
          <w:b w:val="0"/>
        </w:rPr>
        <w:t>ta claro que la inacción de EPM</w:t>
      </w:r>
      <w:r w:rsidR="00A567A6">
        <w:rPr>
          <w:rFonts w:ascii="Bookman Old Style" w:hAnsi="Bookman Old Style"/>
          <w:b w:val="0"/>
        </w:rPr>
        <w:t xml:space="preserve"> no determina una vulneración por parte de la CREG en el otorgamiento y reconocimiento de oportunidades para el ejercicio de la contradicción y del derecho de defensa, claras prerrogativas fundamentales que </w:t>
      </w:r>
      <w:r>
        <w:rPr>
          <w:rFonts w:ascii="Bookman Old Style" w:hAnsi="Bookman Old Style"/>
          <w:b w:val="0"/>
        </w:rPr>
        <w:t>han sido resguardada</w:t>
      </w:r>
      <w:r w:rsidR="00A567A6">
        <w:rPr>
          <w:rFonts w:ascii="Bookman Old Style" w:hAnsi="Bookman Old Style"/>
          <w:b w:val="0"/>
        </w:rPr>
        <w:t xml:space="preserve">s en </w:t>
      </w:r>
      <w:r w:rsidR="00D6009B">
        <w:rPr>
          <w:rFonts w:ascii="Bookman Old Style" w:hAnsi="Bookman Old Style"/>
          <w:b w:val="0"/>
        </w:rPr>
        <w:t xml:space="preserve">la presente </w:t>
      </w:r>
      <w:r w:rsidR="00A567A6">
        <w:rPr>
          <w:rFonts w:ascii="Bookman Old Style" w:hAnsi="Bookman Old Style"/>
          <w:b w:val="0"/>
        </w:rPr>
        <w:t>actuación administrativa.</w:t>
      </w:r>
    </w:p>
    <w:p w:rsidR="00A567A6" w:rsidRPr="00FF44EE" w:rsidRDefault="00A567A6" w:rsidP="00EC2ABD">
      <w:pPr>
        <w:pStyle w:val="Textoindependiente"/>
        <w:ind w:left="0"/>
        <w:jc w:val="both"/>
        <w:rPr>
          <w:rFonts w:ascii="Bookman Old Style" w:hAnsi="Bookman Old Style"/>
          <w:b w:val="0"/>
          <w:sz w:val="32"/>
        </w:rPr>
      </w:pPr>
    </w:p>
    <w:p w:rsidR="00DC3A69" w:rsidRDefault="00D6009B" w:rsidP="00EC2ABD">
      <w:pPr>
        <w:pStyle w:val="Textoindependiente"/>
        <w:ind w:left="0"/>
        <w:jc w:val="both"/>
        <w:rPr>
          <w:rFonts w:ascii="Bookman Old Style" w:hAnsi="Bookman Old Style"/>
          <w:b w:val="0"/>
        </w:rPr>
      </w:pPr>
      <w:r>
        <w:rPr>
          <w:rFonts w:ascii="Bookman Old Style" w:hAnsi="Bookman Old Style"/>
          <w:b w:val="0"/>
        </w:rPr>
        <w:t>De tal suerte que si el auditor ha concluido en la existencia de un</w:t>
      </w:r>
      <w:r w:rsidR="00DC3A69">
        <w:rPr>
          <w:rFonts w:ascii="Bookman Old Style" w:hAnsi="Bookman Old Style"/>
          <w:b w:val="0"/>
        </w:rPr>
        <w:t xml:space="preserve"> incumplimiento </w:t>
      </w:r>
      <w:r w:rsidR="00A567A6">
        <w:rPr>
          <w:rFonts w:ascii="Bookman Old Style" w:hAnsi="Bookman Old Style"/>
          <w:b w:val="0"/>
        </w:rPr>
        <w:t>grave</w:t>
      </w:r>
      <w:r w:rsidR="00DC3A69">
        <w:rPr>
          <w:rFonts w:ascii="Bookman Old Style" w:hAnsi="Bookman Old Style"/>
          <w:b w:val="0"/>
        </w:rPr>
        <w:t xml:space="preserve"> e insalvable </w:t>
      </w:r>
      <w:r w:rsidR="00A567A6">
        <w:rPr>
          <w:rFonts w:ascii="Bookman Old Style" w:hAnsi="Bookman Old Style"/>
          <w:b w:val="0"/>
        </w:rPr>
        <w:t xml:space="preserve">y </w:t>
      </w:r>
      <w:r w:rsidR="00DC3A69">
        <w:rPr>
          <w:rFonts w:ascii="Bookman Old Style" w:hAnsi="Bookman Old Style"/>
          <w:b w:val="0"/>
        </w:rPr>
        <w:t xml:space="preserve">se </w:t>
      </w:r>
      <w:r>
        <w:rPr>
          <w:rFonts w:ascii="Bookman Old Style" w:hAnsi="Bookman Old Style"/>
          <w:b w:val="0"/>
        </w:rPr>
        <w:t>otorgó</w:t>
      </w:r>
      <w:r w:rsidR="00DC3A69">
        <w:rPr>
          <w:rFonts w:ascii="Bookman Old Style" w:hAnsi="Bookman Old Style"/>
          <w:b w:val="0"/>
        </w:rPr>
        <w:t xml:space="preserve"> </w:t>
      </w:r>
      <w:r>
        <w:rPr>
          <w:rFonts w:ascii="Bookman Old Style" w:hAnsi="Bookman Old Style"/>
          <w:b w:val="0"/>
        </w:rPr>
        <w:t>el</w:t>
      </w:r>
      <w:r w:rsidR="00DC3A69">
        <w:rPr>
          <w:rFonts w:ascii="Bookman Old Style" w:hAnsi="Bookman Old Style"/>
          <w:b w:val="0"/>
        </w:rPr>
        <w:t xml:space="preserve"> </w:t>
      </w:r>
      <w:r w:rsidR="00A567A6">
        <w:rPr>
          <w:rFonts w:ascii="Bookman Old Style" w:hAnsi="Bookman Old Style"/>
          <w:b w:val="0"/>
        </w:rPr>
        <w:t>espacio</w:t>
      </w:r>
      <w:r w:rsidR="00DC3A69">
        <w:rPr>
          <w:rFonts w:ascii="Bookman Old Style" w:hAnsi="Bookman Old Style"/>
          <w:b w:val="0"/>
        </w:rPr>
        <w:t xml:space="preserve"> </w:t>
      </w:r>
      <w:r>
        <w:rPr>
          <w:rFonts w:ascii="Bookman Old Style" w:hAnsi="Bookman Old Style"/>
          <w:b w:val="0"/>
        </w:rPr>
        <w:t xml:space="preserve">procesal </w:t>
      </w:r>
      <w:r w:rsidR="00DC3A69">
        <w:rPr>
          <w:rFonts w:ascii="Bookman Old Style" w:hAnsi="Bookman Old Style"/>
          <w:b w:val="0"/>
        </w:rPr>
        <w:t xml:space="preserve">de defensa para EPM, </w:t>
      </w:r>
      <w:r>
        <w:rPr>
          <w:rFonts w:ascii="Bookman Old Style" w:hAnsi="Bookman Old Style"/>
          <w:b w:val="0"/>
        </w:rPr>
        <w:t xml:space="preserve">el cual se ejerció </w:t>
      </w:r>
      <w:r w:rsidR="00DC3A69">
        <w:rPr>
          <w:rFonts w:ascii="Bookman Old Style" w:hAnsi="Bookman Old Style"/>
          <w:b w:val="0"/>
        </w:rPr>
        <w:t>respaldando las conclusiones del Auditor</w:t>
      </w:r>
      <w:r w:rsidR="00A038BC">
        <w:rPr>
          <w:rFonts w:ascii="Bookman Old Style" w:hAnsi="Bookman Old Style"/>
          <w:b w:val="0"/>
        </w:rPr>
        <w:t xml:space="preserve">, debe aceptarse las conclusiones del </w:t>
      </w:r>
      <w:r w:rsidR="008F2991">
        <w:rPr>
          <w:rFonts w:ascii="Bookman Old Style" w:hAnsi="Bookman Old Style"/>
          <w:b w:val="0"/>
        </w:rPr>
        <w:t>informe</w:t>
      </w:r>
      <w:r w:rsidR="00DC3A69">
        <w:rPr>
          <w:rFonts w:ascii="Bookman Old Style" w:hAnsi="Bookman Old Style"/>
          <w:b w:val="0"/>
        </w:rPr>
        <w:t>.</w:t>
      </w:r>
    </w:p>
    <w:p w:rsidR="00445D79" w:rsidRPr="00FF44EE" w:rsidRDefault="00445D79" w:rsidP="00EC2ABD">
      <w:pPr>
        <w:pStyle w:val="Textoindependiente"/>
        <w:ind w:left="0"/>
        <w:jc w:val="both"/>
        <w:rPr>
          <w:rFonts w:ascii="Bookman Old Style" w:hAnsi="Bookman Old Style"/>
          <w:b w:val="0"/>
          <w:color w:val="000000"/>
          <w:sz w:val="36"/>
        </w:rPr>
      </w:pPr>
    </w:p>
    <w:p w:rsidR="00445D79" w:rsidRPr="00E5537F" w:rsidRDefault="00A038BC" w:rsidP="00EC2ABD">
      <w:pPr>
        <w:ind w:left="0"/>
        <w:jc w:val="both"/>
        <w:rPr>
          <w:rFonts w:ascii="Bookman Old Style" w:hAnsi="Bookman Old Style"/>
          <w:iCs/>
          <w:color w:val="000000" w:themeColor="text1"/>
        </w:rPr>
      </w:pPr>
      <w:r>
        <w:rPr>
          <w:rFonts w:ascii="Bookman Old Style" w:hAnsi="Bookman Old Style"/>
          <w:iCs/>
        </w:rPr>
        <w:t>En consideración de lo anterior</w:t>
      </w:r>
      <w:r w:rsidR="008F2991">
        <w:rPr>
          <w:rFonts w:ascii="Bookman Old Style" w:hAnsi="Bookman Old Style"/>
          <w:iCs/>
        </w:rPr>
        <w:t>,</w:t>
      </w:r>
      <w:r>
        <w:rPr>
          <w:rFonts w:ascii="Bookman Old Style" w:hAnsi="Bookman Old Style"/>
          <w:iCs/>
        </w:rPr>
        <w:t xml:space="preserve"> la CREG encuentra que se han configurado los supuestos determinados en el artículo 9 de la Resolución CREG 071 de 2006 (</w:t>
      </w:r>
      <w:r w:rsidR="005A031D">
        <w:rPr>
          <w:rFonts w:ascii="Bookman Old Style" w:hAnsi="Bookman Old Style"/>
          <w:iCs/>
        </w:rPr>
        <w:t>modificado</w:t>
      </w:r>
      <w:r>
        <w:rPr>
          <w:rFonts w:ascii="Bookman Old Style" w:hAnsi="Bookman Old Style"/>
          <w:iCs/>
        </w:rPr>
        <w:t xml:space="preserve"> por el </w:t>
      </w:r>
      <w:r w:rsidR="005A031D">
        <w:rPr>
          <w:rFonts w:ascii="Bookman Old Style" w:hAnsi="Bookman Old Style"/>
          <w:iCs/>
        </w:rPr>
        <w:t>artículo</w:t>
      </w:r>
      <w:r>
        <w:rPr>
          <w:rFonts w:ascii="Bookman Old Style" w:hAnsi="Bookman Old Style"/>
          <w:iCs/>
        </w:rPr>
        <w:t xml:space="preserve"> 13 de la Resolución CREG 061 de 2007)</w:t>
      </w:r>
      <w:r w:rsidR="005A031D">
        <w:rPr>
          <w:rFonts w:ascii="Bookman Old Style" w:hAnsi="Bookman Old Style"/>
          <w:iCs/>
        </w:rPr>
        <w:t>, para determinar el incumplimiento grave e insalvable de EPM, en lo referente al proyecto</w:t>
      </w:r>
      <w:r w:rsidR="008F2991">
        <w:rPr>
          <w:rFonts w:ascii="Bookman Old Style" w:hAnsi="Bookman Old Style"/>
          <w:iCs/>
        </w:rPr>
        <w:t xml:space="preserve"> de generación </w:t>
      </w:r>
      <w:r w:rsidR="005A031D">
        <w:rPr>
          <w:rFonts w:ascii="Bookman Old Style" w:hAnsi="Bookman Old Style"/>
          <w:iCs/>
        </w:rPr>
        <w:t>hidroeléctrico Porce IV, toda vez que el informe de auditoría</w:t>
      </w:r>
      <w:r w:rsidR="00D6009B">
        <w:rPr>
          <w:rFonts w:ascii="Bookman Old Style" w:hAnsi="Bookman Old Style"/>
          <w:iCs/>
        </w:rPr>
        <w:t>,</w:t>
      </w:r>
      <w:r w:rsidR="005A031D">
        <w:rPr>
          <w:rFonts w:ascii="Bookman Old Style" w:hAnsi="Bookman Old Style"/>
          <w:iCs/>
        </w:rPr>
        <w:t xml:space="preserve"> aceptado por EPM</w:t>
      </w:r>
      <w:r w:rsidR="00D6009B">
        <w:rPr>
          <w:rFonts w:ascii="Bookman Old Style" w:hAnsi="Bookman Old Style"/>
          <w:iCs/>
        </w:rPr>
        <w:t>,</w:t>
      </w:r>
      <w:r w:rsidR="005A031D">
        <w:rPr>
          <w:rFonts w:ascii="Bookman Old Style" w:hAnsi="Bookman Old Style"/>
          <w:iCs/>
        </w:rPr>
        <w:t xml:space="preserve"> concluye que existe un atraso mayor a un año, </w:t>
      </w:r>
      <w:r w:rsidR="005A031D" w:rsidRPr="00E5537F">
        <w:rPr>
          <w:rFonts w:ascii="Bookman Old Style" w:hAnsi="Bookman Old Style"/>
          <w:iCs/>
          <w:color w:val="000000" w:themeColor="text1"/>
        </w:rPr>
        <w:t>contado a partir de la fecha de inicio del periodo de vigencia de la obligación.</w:t>
      </w:r>
    </w:p>
    <w:p w:rsidR="005A031D" w:rsidRPr="00FF44EE" w:rsidRDefault="005A031D" w:rsidP="00EC2ABD">
      <w:pPr>
        <w:ind w:left="0"/>
        <w:jc w:val="both"/>
        <w:rPr>
          <w:rFonts w:ascii="Bookman Old Style" w:hAnsi="Bookman Old Style"/>
          <w:iCs/>
          <w:color w:val="000000" w:themeColor="text1"/>
          <w:sz w:val="32"/>
        </w:rPr>
      </w:pPr>
    </w:p>
    <w:p w:rsidR="00E5537F" w:rsidRPr="00E5537F" w:rsidRDefault="00E5537F" w:rsidP="00EC2ABD">
      <w:pPr>
        <w:ind w:left="0"/>
        <w:jc w:val="both"/>
        <w:rPr>
          <w:rFonts w:ascii="Bookman Old Style" w:hAnsi="Bookman Old Style"/>
          <w:iCs/>
          <w:color w:val="000000" w:themeColor="text1"/>
        </w:rPr>
      </w:pPr>
      <w:r w:rsidRPr="00E5537F">
        <w:rPr>
          <w:rFonts w:ascii="Bookman Old Style" w:hAnsi="Bookman Old Style" w:cs="Arial"/>
          <w:color w:val="000000" w:themeColor="text1"/>
        </w:rPr>
        <w:t xml:space="preserve">Teniendo en cuenta lo anterior, y dado que la presente Resolución </w:t>
      </w:r>
      <w:r>
        <w:rPr>
          <w:rFonts w:ascii="Bookman Old Style" w:hAnsi="Bookman Old Style" w:cs="Arial"/>
          <w:color w:val="000000" w:themeColor="text1"/>
        </w:rPr>
        <w:t xml:space="preserve">aplica </w:t>
      </w:r>
      <w:r w:rsidRPr="00E5537F">
        <w:rPr>
          <w:rFonts w:ascii="Bookman Old Style" w:hAnsi="Bookman Old Style" w:cs="Arial"/>
          <w:color w:val="000000" w:themeColor="text1"/>
        </w:rPr>
        <w:t>la metodología contenida en la Resolución CREG 071 de 2006, modificada por la Resolución CREG 061 de 2007, y dado que el presente acto administrativo es de carácter particular, este no requiere ser remitido a la SIC para los efectos establecidos en el Artículo 7 de la Ley 1340 de 2009, reglamentado por el Decreto 2897 de 2010.</w:t>
      </w:r>
    </w:p>
    <w:p w:rsidR="00E5537F" w:rsidRPr="00FF44EE" w:rsidRDefault="00E5537F" w:rsidP="00EC2ABD">
      <w:pPr>
        <w:ind w:left="0"/>
        <w:jc w:val="both"/>
        <w:rPr>
          <w:rFonts w:ascii="Bookman Old Style" w:hAnsi="Bookman Old Style"/>
          <w:iCs/>
          <w:sz w:val="32"/>
        </w:rPr>
      </w:pPr>
    </w:p>
    <w:p w:rsidR="00445D79" w:rsidRPr="00714616" w:rsidRDefault="00445D79" w:rsidP="00EC2ABD">
      <w:pPr>
        <w:ind w:left="0"/>
        <w:jc w:val="both"/>
        <w:rPr>
          <w:rFonts w:ascii="Bookman Old Style" w:hAnsi="Bookman Old Style"/>
          <w:iCs/>
        </w:rPr>
      </w:pPr>
      <w:r w:rsidRPr="00714616">
        <w:rPr>
          <w:rFonts w:ascii="Bookman Old Style" w:hAnsi="Bookman Old Style" w:cs="Arial"/>
        </w:rPr>
        <w:t xml:space="preserve">En Sesión No. </w:t>
      </w:r>
      <w:r w:rsidR="00135C52">
        <w:rPr>
          <w:rFonts w:ascii="Bookman Old Style" w:hAnsi="Bookman Old Style" w:cs="Arial"/>
        </w:rPr>
        <w:t>495</w:t>
      </w:r>
      <w:r w:rsidRPr="00714616">
        <w:rPr>
          <w:rFonts w:ascii="Bookman Old Style" w:hAnsi="Bookman Old Style" w:cs="Arial"/>
        </w:rPr>
        <w:t xml:space="preserve"> del  </w:t>
      </w:r>
      <w:r w:rsidR="00135C52">
        <w:rPr>
          <w:rFonts w:ascii="Bookman Old Style" w:hAnsi="Bookman Old Style" w:cs="Arial"/>
        </w:rPr>
        <w:t>19</w:t>
      </w:r>
      <w:r w:rsidRPr="00714616">
        <w:rPr>
          <w:rFonts w:ascii="Bookman Old Style" w:hAnsi="Bookman Old Style" w:cs="Arial"/>
        </w:rPr>
        <w:t xml:space="preserve"> de </w:t>
      </w:r>
      <w:r w:rsidR="00135C52">
        <w:rPr>
          <w:rFonts w:ascii="Bookman Old Style" w:hAnsi="Bookman Old Style" w:cs="Arial"/>
        </w:rPr>
        <w:t>agosto</w:t>
      </w:r>
      <w:r w:rsidRPr="00714616">
        <w:rPr>
          <w:rFonts w:ascii="Bookman Old Style" w:hAnsi="Bookman Old Style" w:cs="Arial"/>
        </w:rPr>
        <w:t xml:space="preserve"> de 2011, la Comisión de Regulación de Energía y Gas analizó</w:t>
      </w:r>
      <w:r w:rsidR="002E55F6">
        <w:rPr>
          <w:rFonts w:ascii="Bookman Old Style" w:hAnsi="Bookman Old Style" w:cs="Arial"/>
        </w:rPr>
        <w:t xml:space="preserve"> la presente actuación administrativa y</w:t>
      </w:r>
    </w:p>
    <w:p w:rsidR="00445D79" w:rsidRPr="00C7490C" w:rsidRDefault="00445D79" w:rsidP="00EC2ABD">
      <w:pPr>
        <w:ind w:left="0"/>
        <w:jc w:val="both"/>
        <w:rPr>
          <w:rFonts w:ascii="Bookman Old Style" w:hAnsi="Bookman Old Style" w:cs="Arial"/>
          <w:sz w:val="16"/>
        </w:rPr>
      </w:pPr>
    </w:p>
    <w:p w:rsidR="00445D79" w:rsidRDefault="00445D79" w:rsidP="00EC2ABD">
      <w:pPr>
        <w:ind w:left="0"/>
        <w:jc w:val="both"/>
        <w:rPr>
          <w:rFonts w:ascii="Bookman Old Style" w:hAnsi="Bookman Old Style" w:cs="Arial"/>
        </w:rPr>
      </w:pPr>
    </w:p>
    <w:p w:rsidR="00576DD9" w:rsidRDefault="00576DD9" w:rsidP="00EC2ABD">
      <w:pPr>
        <w:ind w:left="0"/>
        <w:jc w:val="both"/>
        <w:rPr>
          <w:rFonts w:ascii="Bookman Old Style" w:hAnsi="Bookman Old Style" w:cs="Arial"/>
        </w:rPr>
      </w:pPr>
    </w:p>
    <w:p w:rsidR="00FF44EE" w:rsidRDefault="00FF44EE" w:rsidP="00EC2ABD">
      <w:pPr>
        <w:ind w:left="0"/>
        <w:jc w:val="center"/>
        <w:rPr>
          <w:rFonts w:ascii="Bookman Old Style" w:hAnsi="Bookman Old Style" w:cs="Arial"/>
          <w:b/>
        </w:rPr>
      </w:pPr>
    </w:p>
    <w:p w:rsidR="00445D79" w:rsidRPr="00714616" w:rsidRDefault="00445D79" w:rsidP="00EC2ABD">
      <w:pPr>
        <w:ind w:left="0"/>
        <w:jc w:val="center"/>
        <w:rPr>
          <w:rFonts w:ascii="Bookman Old Style" w:hAnsi="Bookman Old Style" w:cs="Arial"/>
          <w:b/>
        </w:rPr>
      </w:pPr>
      <w:r w:rsidRPr="00714616">
        <w:rPr>
          <w:rFonts w:ascii="Bookman Old Style" w:hAnsi="Bookman Old Style" w:cs="Arial"/>
          <w:b/>
        </w:rPr>
        <w:t>R E S U E L V E:</w:t>
      </w:r>
    </w:p>
    <w:p w:rsidR="00445D79" w:rsidRDefault="00445D79" w:rsidP="00EC2ABD">
      <w:pPr>
        <w:ind w:left="0"/>
        <w:jc w:val="center"/>
        <w:rPr>
          <w:rFonts w:ascii="Bookman Old Style" w:hAnsi="Bookman Old Style" w:cs="Arial"/>
          <w:b/>
        </w:rPr>
      </w:pPr>
    </w:p>
    <w:p w:rsidR="00445D79" w:rsidRPr="00714616" w:rsidRDefault="00FA0018" w:rsidP="00EC2ABD">
      <w:pPr>
        <w:numPr>
          <w:ilvl w:val="0"/>
          <w:numId w:val="2"/>
        </w:numPr>
        <w:ind w:left="0" w:firstLine="1276"/>
        <w:jc w:val="both"/>
        <w:outlineLvl w:val="0"/>
        <w:rPr>
          <w:rFonts w:ascii="Bookman Old Style" w:hAnsi="Bookman Old Style" w:cs="Arial"/>
        </w:rPr>
      </w:pPr>
      <w:r>
        <w:rPr>
          <w:rFonts w:ascii="Bookman Old Style" w:hAnsi="Bookman Old Style"/>
          <w:iCs/>
        </w:rPr>
        <w:t xml:space="preserve">Declarar que se han configurado los supuestos determinados en el artículo 9 de la Resolución CREG 071 de 2006 (modificado por el artículo 13 de la Resolución CREG 061 de 2007), </w:t>
      </w:r>
      <w:r w:rsidR="00EA2C04">
        <w:rPr>
          <w:rFonts w:ascii="Bookman Old Style" w:hAnsi="Bookman Old Style"/>
          <w:iCs/>
        </w:rPr>
        <w:t>y por lo tanto la existencia de un</w:t>
      </w:r>
      <w:r>
        <w:rPr>
          <w:rFonts w:ascii="Bookman Old Style" w:hAnsi="Bookman Old Style"/>
          <w:iCs/>
        </w:rPr>
        <w:t xml:space="preserve"> incumplimiento grave e insalvable</w:t>
      </w:r>
      <w:r w:rsidR="00EA2C04">
        <w:rPr>
          <w:rFonts w:ascii="Bookman Old Style" w:hAnsi="Bookman Old Style"/>
          <w:iCs/>
        </w:rPr>
        <w:t xml:space="preserve"> por parte </w:t>
      </w:r>
      <w:r>
        <w:rPr>
          <w:rFonts w:ascii="Bookman Old Style" w:hAnsi="Bookman Old Style"/>
          <w:iCs/>
        </w:rPr>
        <w:t>de E</w:t>
      </w:r>
      <w:r w:rsidR="00EA2C04">
        <w:rPr>
          <w:rFonts w:ascii="Bookman Old Style" w:hAnsi="Bookman Old Style"/>
          <w:iCs/>
        </w:rPr>
        <w:t xml:space="preserve">mpresas </w:t>
      </w:r>
      <w:r>
        <w:rPr>
          <w:rFonts w:ascii="Bookman Old Style" w:hAnsi="Bookman Old Style"/>
          <w:iCs/>
        </w:rPr>
        <w:t>P</w:t>
      </w:r>
      <w:r w:rsidR="00EA2C04">
        <w:rPr>
          <w:rFonts w:ascii="Bookman Old Style" w:hAnsi="Bookman Old Style"/>
          <w:iCs/>
        </w:rPr>
        <w:t>úblicas de Medellín S.A E.S.P</w:t>
      </w:r>
      <w:r>
        <w:rPr>
          <w:rFonts w:ascii="Bookman Old Style" w:hAnsi="Bookman Old Style"/>
          <w:iCs/>
        </w:rPr>
        <w:t>, en lo referente al proyecto de generación hidroeléctrico Porce IV, toda vez que el informe de auditoría, aceptado por EPM, concluye que existe un atraso mayor a un año, contado a partir de la fecha de inicio del periodo de vigencia de la obligación</w:t>
      </w:r>
      <w:r w:rsidR="005A031D">
        <w:rPr>
          <w:rFonts w:ascii="Bookman Old Style" w:hAnsi="Bookman Old Style"/>
          <w:iCs/>
        </w:rPr>
        <w:t>.</w:t>
      </w:r>
    </w:p>
    <w:p w:rsidR="00445D79" w:rsidRPr="00714616" w:rsidRDefault="00445D79" w:rsidP="00EC2ABD">
      <w:pPr>
        <w:ind w:left="1276"/>
        <w:jc w:val="both"/>
        <w:outlineLvl w:val="0"/>
        <w:rPr>
          <w:rFonts w:ascii="Bookman Old Style" w:hAnsi="Bookman Old Style" w:cs="Arial"/>
        </w:rPr>
      </w:pPr>
    </w:p>
    <w:p w:rsidR="005A031D" w:rsidRDefault="005A031D" w:rsidP="00EC2ABD">
      <w:pPr>
        <w:numPr>
          <w:ilvl w:val="0"/>
          <w:numId w:val="2"/>
        </w:numPr>
        <w:ind w:left="0" w:firstLine="1276"/>
        <w:jc w:val="both"/>
        <w:outlineLvl w:val="0"/>
        <w:rPr>
          <w:rFonts w:ascii="Bookman Old Style" w:hAnsi="Bookman Old Style"/>
        </w:rPr>
      </w:pPr>
      <w:r>
        <w:rPr>
          <w:rFonts w:ascii="Bookman Old Style" w:hAnsi="Bookman Old Style"/>
        </w:rPr>
        <w:t>Establecer como efecto del incumplimiento grave e insalvable las consecuencias previstas en</w:t>
      </w:r>
      <w:r w:rsidR="00747235">
        <w:rPr>
          <w:rFonts w:ascii="Bookman Old Style" w:hAnsi="Bookman Old Style"/>
        </w:rPr>
        <w:t xml:space="preserve"> el artículo 9 de</w:t>
      </w:r>
      <w:r>
        <w:rPr>
          <w:rFonts w:ascii="Bookman Old Style" w:hAnsi="Bookman Old Style"/>
        </w:rPr>
        <w:t xml:space="preserve"> la Resolución CREG 071 de 2006</w:t>
      </w:r>
      <w:r w:rsidR="00747235">
        <w:rPr>
          <w:rFonts w:ascii="Bookman Old Style" w:hAnsi="Bookman Old Style"/>
        </w:rPr>
        <w:t xml:space="preserve"> (modificado por el artículo 13 de la Resolución CREG 061 de 2007)</w:t>
      </w:r>
      <w:r>
        <w:rPr>
          <w:rFonts w:ascii="Bookman Old Style" w:hAnsi="Bookman Old Style"/>
        </w:rPr>
        <w:t>, esto es la  ejecución de las garantías del proyecto Porce IV</w:t>
      </w:r>
      <w:r w:rsidR="00D602F3">
        <w:rPr>
          <w:rFonts w:ascii="Bookman Old Style" w:hAnsi="Bookman Old Style"/>
        </w:rPr>
        <w:t>,</w:t>
      </w:r>
      <w:r>
        <w:rPr>
          <w:rFonts w:ascii="Bookman Old Style" w:hAnsi="Bookman Old Style"/>
        </w:rPr>
        <w:t xml:space="preserve"> y la</w:t>
      </w:r>
      <w:r w:rsidR="00047082">
        <w:rPr>
          <w:rFonts w:ascii="Bookman Old Style" w:hAnsi="Bookman Old Style"/>
        </w:rPr>
        <w:t xml:space="preserve"> p</w:t>
      </w:r>
      <w:r w:rsidR="003C234F">
        <w:rPr>
          <w:rFonts w:ascii="Bookman Old Style" w:hAnsi="Bookman Old Style"/>
        </w:rPr>
        <w:t>é</w:t>
      </w:r>
      <w:r w:rsidR="00047082">
        <w:rPr>
          <w:rFonts w:ascii="Bookman Old Style" w:hAnsi="Bookman Old Style"/>
        </w:rPr>
        <w:t>rdida de la</w:t>
      </w:r>
      <w:r w:rsidR="00747235">
        <w:rPr>
          <w:rFonts w:ascii="Bookman Old Style" w:hAnsi="Bookman Old Style"/>
        </w:rPr>
        <w:t xml:space="preserve"> asignación de la obligación de energía en firme</w:t>
      </w:r>
      <w:r w:rsidR="003B6118">
        <w:rPr>
          <w:rFonts w:ascii="Bookman Old Style" w:hAnsi="Bookman Old Style"/>
        </w:rPr>
        <w:t xml:space="preserve"> y de la</w:t>
      </w:r>
      <w:r>
        <w:rPr>
          <w:rFonts w:ascii="Bookman Old Style" w:hAnsi="Bookman Old Style"/>
        </w:rPr>
        <w:t xml:space="preserve"> remuneración asociada a ella, si hubiere lugar</w:t>
      </w:r>
      <w:r w:rsidR="00553075">
        <w:rPr>
          <w:rFonts w:ascii="Bookman Old Style" w:hAnsi="Bookman Old Style"/>
        </w:rPr>
        <w:t xml:space="preserve"> esta.</w:t>
      </w:r>
      <w:r>
        <w:rPr>
          <w:rFonts w:ascii="Bookman Old Style" w:hAnsi="Bookman Old Style"/>
        </w:rPr>
        <w:t xml:space="preserve"> </w:t>
      </w:r>
    </w:p>
    <w:p w:rsidR="005A031D" w:rsidRDefault="005A031D" w:rsidP="005A031D">
      <w:pPr>
        <w:pStyle w:val="Prrafodelista"/>
        <w:rPr>
          <w:rFonts w:ascii="Bookman Old Style" w:hAnsi="Bookman Old Style"/>
        </w:rPr>
      </w:pPr>
    </w:p>
    <w:p w:rsidR="005A031D" w:rsidRDefault="005A031D" w:rsidP="00EC2ABD">
      <w:pPr>
        <w:numPr>
          <w:ilvl w:val="0"/>
          <w:numId w:val="2"/>
        </w:numPr>
        <w:ind w:left="0" w:firstLine="1276"/>
        <w:jc w:val="both"/>
        <w:outlineLvl w:val="0"/>
        <w:rPr>
          <w:rFonts w:ascii="Bookman Old Style" w:hAnsi="Bookman Old Style"/>
        </w:rPr>
      </w:pPr>
      <w:r>
        <w:rPr>
          <w:rFonts w:ascii="Bookman Old Style" w:hAnsi="Bookman Old Style"/>
        </w:rPr>
        <w:t>En firme la presente decisión, esta deberá ser comunicada al ASIC, para que este adopte</w:t>
      </w:r>
      <w:r w:rsidR="00E17744">
        <w:rPr>
          <w:rFonts w:ascii="Bookman Old Style" w:hAnsi="Bookman Old Style"/>
        </w:rPr>
        <w:t xml:space="preserve"> las medidas correspondientes de acuerdo a lo determinado por la Resolución 071 de 2006, y las demás normas que la modifiquen, adicionen o sustituyan.</w:t>
      </w:r>
    </w:p>
    <w:p w:rsidR="00E940AB" w:rsidRDefault="00E940AB" w:rsidP="00E940AB">
      <w:pPr>
        <w:pStyle w:val="Prrafodelista"/>
        <w:rPr>
          <w:rFonts w:ascii="Bookman Old Style" w:hAnsi="Bookman Old Style"/>
        </w:rPr>
      </w:pPr>
    </w:p>
    <w:p w:rsidR="00E940AB" w:rsidRPr="00367078" w:rsidRDefault="00E940AB" w:rsidP="00E940AB">
      <w:pPr>
        <w:numPr>
          <w:ilvl w:val="0"/>
          <w:numId w:val="2"/>
        </w:numPr>
        <w:ind w:left="0" w:firstLine="1276"/>
        <w:jc w:val="both"/>
        <w:outlineLvl w:val="0"/>
        <w:rPr>
          <w:rFonts w:ascii="Bookman Old Style" w:hAnsi="Bookman Old Style" w:cs="Arial"/>
        </w:rPr>
      </w:pPr>
      <w:r w:rsidRPr="00367078">
        <w:rPr>
          <w:rFonts w:ascii="Bookman Old Style" w:hAnsi="Bookman Old Style" w:cs="Arial"/>
        </w:rPr>
        <w:t>La presente Resolución deberá notificarse</w:t>
      </w:r>
      <w:r>
        <w:rPr>
          <w:rFonts w:ascii="Bookman Old Style" w:hAnsi="Bookman Old Style" w:cs="Arial"/>
        </w:rPr>
        <w:t xml:space="preserve"> personalmente al representante legal de </w:t>
      </w:r>
      <w:r>
        <w:rPr>
          <w:rFonts w:ascii="Bookman Old Style" w:hAnsi="Bookman Old Style"/>
          <w:iCs/>
        </w:rPr>
        <w:t>Empresas Pública de Medellín S.A E.S.P.</w:t>
      </w:r>
      <w:r w:rsidRPr="00714616">
        <w:rPr>
          <w:rFonts w:ascii="Bookman Old Style" w:hAnsi="Bookman Old Style"/>
        </w:rPr>
        <w:t xml:space="preserve"> </w:t>
      </w:r>
      <w:r w:rsidRPr="00367078">
        <w:rPr>
          <w:rFonts w:ascii="Bookman Old Style" w:hAnsi="Bookman Old Style" w:cs="Arial"/>
        </w:rPr>
        <w:t xml:space="preserve">y publicarse en el </w:t>
      </w:r>
      <w:r w:rsidRPr="00A65A9B">
        <w:rPr>
          <w:rFonts w:ascii="Bookman Old Style" w:hAnsi="Bookman Old Style" w:cs="Arial"/>
          <w:i/>
        </w:rPr>
        <w:t>Diario Oficial</w:t>
      </w:r>
      <w:r w:rsidRPr="00367078">
        <w:rPr>
          <w:rFonts w:ascii="Bookman Old Style" w:hAnsi="Bookman Old Style" w:cs="Arial"/>
        </w:rPr>
        <w:t>. Contra las disposiciones contenidas en esta Resolución procede el Recurso de Reposición, el cual podrá interponerse ante la Dirección Ejecutiva de la CREG dentro de los cinco (5) días hábiles siguientes a la fecha de su notificación.</w:t>
      </w:r>
    </w:p>
    <w:p w:rsidR="00E940AB" w:rsidRPr="00610B84" w:rsidRDefault="00E940AB" w:rsidP="00E940AB">
      <w:pPr>
        <w:ind w:left="1276"/>
        <w:jc w:val="both"/>
        <w:outlineLvl w:val="0"/>
        <w:rPr>
          <w:rFonts w:ascii="Bookman Old Style" w:hAnsi="Bookman Old Style"/>
          <w:sz w:val="16"/>
        </w:rPr>
      </w:pPr>
    </w:p>
    <w:p w:rsidR="00317298" w:rsidRPr="00714616" w:rsidRDefault="00317298" w:rsidP="00E940AB">
      <w:pPr>
        <w:ind w:left="1276"/>
        <w:jc w:val="both"/>
        <w:outlineLvl w:val="0"/>
        <w:rPr>
          <w:rFonts w:ascii="Bookman Old Style" w:hAnsi="Bookman Old Style"/>
        </w:rPr>
      </w:pPr>
    </w:p>
    <w:p w:rsidR="00445D79" w:rsidRPr="00714616" w:rsidRDefault="00445D79" w:rsidP="00EC2ABD">
      <w:pPr>
        <w:ind w:left="0"/>
        <w:jc w:val="center"/>
        <w:rPr>
          <w:rFonts w:ascii="Bookman Old Style" w:hAnsi="Bookman Old Style" w:cs="Arial"/>
          <w:b/>
        </w:rPr>
      </w:pPr>
      <w:r w:rsidRPr="00714616">
        <w:rPr>
          <w:rFonts w:ascii="Bookman Old Style" w:hAnsi="Bookman Old Style" w:cs="Arial"/>
          <w:b/>
        </w:rPr>
        <w:t>NOTIFÍQUESE, PUBLÍQUESE Y CÚMPLASE</w:t>
      </w:r>
    </w:p>
    <w:p w:rsidR="00445D79" w:rsidRDefault="00445D79" w:rsidP="00EC2ABD">
      <w:pPr>
        <w:ind w:left="0"/>
        <w:rPr>
          <w:rFonts w:ascii="Bookman Old Style" w:hAnsi="Bookman Old Style" w:cs="Arial"/>
        </w:rPr>
      </w:pPr>
    </w:p>
    <w:p w:rsidR="00445D79" w:rsidRPr="00714616" w:rsidRDefault="00445D79" w:rsidP="00EC2ABD">
      <w:pPr>
        <w:ind w:left="0"/>
        <w:rPr>
          <w:rFonts w:ascii="Bookman Old Style" w:hAnsi="Bookman Old Style" w:cs="Arial"/>
        </w:rPr>
      </w:pPr>
      <w:r w:rsidRPr="00714616">
        <w:rPr>
          <w:rFonts w:ascii="Bookman Old Style" w:hAnsi="Bookman Old Style" w:cs="Arial"/>
        </w:rPr>
        <w:t>Dada en Bogotá a los</w:t>
      </w:r>
    </w:p>
    <w:p w:rsidR="00445D79" w:rsidRDefault="00445D79" w:rsidP="00EC2ABD">
      <w:pPr>
        <w:ind w:left="0"/>
        <w:rPr>
          <w:rFonts w:ascii="Bookman Old Style" w:hAnsi="Bookman Old Style" w:cs="Arial"/>
        </w:rPr>
      </w:pPr>
    </w:p>
    <w:p w:rsidR="00D63A87" w:rsidRDefault="00D63A87" w:rsidP="00EC2ABD">
      <w:pPr>
        <w:ind w:left="0"/>
        <w:rPr>
          <w:rFonts w:ascii="Bookman Old Style" w:hAnsi="Bookman Old Style" w:cs="Arial"/>
          <w:sz w:val="18"/>
        </w:rPr>
      </w:pPr>
    </w:p>
    <w:p w:rsidR="00317298" w:rsidRDefault="00317298" w:rsidP="00EC2ABD">
      <w:pPr>
        <w:ind w:left="0"/>
        <w:rPr>
          <w:rFonts w:ascii="Bookman Old Style" w:hAnsi="Bookman Old Style" w:cs="Arial"/>
          <w:sz w:val="18"/>
        </w:rPr>
      </w:pPr>
    </w:p>
    <w:p w:rsidR="00317298" w:rsidRPr="007144A2" w:rsidRDefault="00317298" w:rsidP="00EC2ABD">
      <w:pPr>
        <w:ind w:left="0"/>
        <w:rPr>
          <w:rFonts w:ascii="Bookman Old Style" w:hAnsi="Bookman Old Style" w:cs="Arial"/>
          <w:sz w:val="18"/>
        </w:rPr>
      </w:pPr>
    </w:p>
    <w:p w:rsidR="00445D79" w:rsidRPr="00714616" w:rsidRDefault="00445D79" w:rsidP="00EC2ABD">
      <w:pPr>
        <w:ind w:left="0"/>
        <w:rPr>
          <w:rFonts w:ascii="Bookman Old Style" w:hAnsi="Bookman Old Style" w:cs="Arial"/>
          <w:lang w:val="es-ES_tradnl"/>
        </w:rPr>
      </w:pPr>
    </w:p>
    <w:tbl>
      <w:tblPr>
        <w:tblW w:w="8985" w:type="dxa"/>
        <w:jc w:val="center"/>
        <w:tblLayout w:type="fixed"/>
        <w:tblCellMar>
          <w:left w:w="70" w:type="dxa"/>
          <w:right w:w="70" w:type="dxa"/>
        </w:tblCellMar>
        <w:tblLook w:val="04A0" w:firstRow="1" w:lastRow="0" w:firstColumn="1" w:lastColumn="0" w:noHBand="0" w:noVBand="1"/>
      </w:tblPr>
      <w:tblGrid>
        <w:gridCol w:w="4492"/>
        <w:gridCol w:w="4493"/>
      </w:tblGrid>
      <w:tr w:rsidR="00445D79" w:rsidRPr="00714616" w:rsidTr="00EC2ABD">
        <w:trPr>
          <w:trHeight w:val="329"/>
          <w:jc w:val="center"/>
        </w:trPr>
        <w:tc>
          <w:tcPr>
            <w:tcW w:w="4491" w:type="dxa"/>
            <w:vAlign w:val="center"/>
            <w:hideMark/>
          </w:tcPr>
          <w:p w:rsidR="00445D79" w:rsidRPr="00714616" w:rsidRDefault="00445D79" w:rsidP="004C5DB7">
            <w:pPr>
              <w:tabs>
                <w:tab w:val="left" w:pos="-720"/>
              </w:tabs>
              <w:suppressAutoHyphens/>
              <w:ind w:left="0"/>
              <w:jc w:val="center"/>
              <w:rPr>
                <w:rFonts w:ascii="Bookman Old Style" w:hAnsi="Bookman Old Style" w:cs="Arial"/>
                <w:b/>
                <w:spacing w:val="-3"/>
                <w:lang w:eastAsia="en-US"/>
              </w:rPr>
            </w:pPr>
            <w:r w:rsidRPr="00714616">
              <w:rPr>
                <w:rFonts w:ascii="Bookman Old Style" w:hAnsi="Bookman Old Style" w:cs="Arial"/>
                <w:b/>
                <w:spacing w:val="-3"/>
                <w:lang w:eastAsia="en-US"/>
              </w:rPr>
              <w:t>TOM</w:t>
            </w:r>
            <w:r w:rsidR="004C5DB7">
              <w:rPr>
                <w:rFonts w:ascii="Bookman Old Style" w:hAnsi="Bookman Old Style" w:cs="Arial"/>
                <w:b/>
                <w:spacing w:val="-3"/>
                <w:lang w:eastAsia="en-US"/>
              </w:rPr>
              <w:t>Á</w:t>
            </w:r>
            <w:r w:rsidRPr="00714616">
              <w:rPr>
                <w:rFonts w:ascii="Bookman Old Style" w:hAnsi="Bookman Old Style" w:cs="Arial"/>
                <w:b/>
                <w:spacing w:val="-3"/>
                <w:lang w:eastAsia="en-US"/>
              </w:rPr>
              <w:t>S GONZ</w:t>
            </w:r>
            <w:r w:rsidR="004C5DB7">
              <w:rPr>
                <w:rFonts w:ascii="Bookman Old Style" w:hAnsi="Bookman Old Style" w:cs="Arial"/>
                <w:b/>
                <w:spacing w:val="-3"/>
                <w:lang w:eastAsia="en-US"/>
              </w:rPr>
              <w:t>Á</w:t>
            </w:r>
            <w:r w:rsidRPr="00714616">
              <w:rPr>
                <w:rFonts w:ascii="Bookman Old Style" w:hAnsi="Bookman Old Style" w:cs="Arial"/>
                <w:b/>
                <w:spacing w:val="-3"/>
                <w:lang w:eastAsia="en-US"/>
              </w:rPr>
              <w:t>LEZ ESTRADA</w:t>
            </w:r>
          </w:p>
        </w:tc>
        <w:tc>
          <w:tcPr>
            <w:tcW w:w="4491" w:type="dxa"/>
            <w:vAlign w:val="center"/>
            <w:hideMark/>
          </w:tcPr>
          <w:p w:rsidR="00445D79" w:rsidRPr="00714616" w:rsidRDefault="00445D79" w:rsidP="00EC2ABD">
            <w:pPr>
              <w:tabs>
                <w:tab w:val="left" w:pos="-720"/>
              </w:tabs>
              <w:suppressAutoHyphens/>
              <w:ind w:left="0"/>
              <w:jc w:val="center"/>
              <w:rPr>
                <w:rFonts w:ascii="Bookman Old Style" w:hAnsi="Bookman Old Style" w:cs="Arial"/>
                <w:b/>
                <w:spacing w:val="-3"/>
                <w:lang w:eastAsia="en-US"/>
              </w:rPr>
            </w:pPr>
            <w:r w:rsidRPr="00714616">
              <w:rPr>
                <w:rFonts w:ascii="Bookman Old Style" w:hAnsi="Bookman Old Style" w:cs="Arial"/>
                <w:b/>
                <w:spacing w:val="-3"/>
                <w:lang w:eastAsia="en-US"/>
              </w:rPr>
              <w:t>JAVIER AUGUSTO DÍAZ VELASCO</w:t>
            </w:r>
          </w:p>
        </w:tc>
      </w:tr>
      <w:tr w:rsidR="00445D79" w:rsidRPr="00714616" w:rsidTr="00EC2ABD">
        <w:trPr>
          <w:jc w:val="center"/>
        </w:trPr>
        <w:tc>
          <w:tcPr>
            <w:tcW w:w="4491" w:type="dxa"/>
            <w:vAlign w:val="center"/>
            <w:hideMark/>
          </w:tcPr>
          <w:p w:rsidR="00445D79" w:rsidRPr="00714616" w:rsidRDefault="00445D79" w:rsidP="00EC2ABD">
            <w:pPr>
              <w:tabs>
                <w:tab w:val="left" w:pos="-720"/>
              </w:tabs>
              <w:suppressAutoHyphens/>
              <w:ind w:left="0"/>
              <w:jc w:val="center"/>
              <w:rPr>
                <w:rFonts w:ascii="Bookman Old Style" w:hAnsi="Bookman Old Style" w:cs="Arial"/>
                <w:spacing w:val="-3"/>
                <w:lang w:eastAsia="en-US"/>
              </w:rPr>
            </w:pPr>
            <w:r w:rsidRPr="00714616">
              <w:rPr>
                <w:rFonts w:ascii="Bookman Old Style" w:hAnsi="Bookman Old Style" w:cs="Arial"/>
                <w:spacing w:val="-3"/>
                <w:lang w:eastAsia="en-US"/>
              </w:rPr>
              <w:t>Viceministro de Minas y Energía</w:t>
            </w:r>
          </w:p>
        </w:tc>
        <w:tc>
          <w:tcPr>
            <w:tcW w:w="4491" w:type="dxa"/>
            <w:vAlign w:val="center"/>
            <w:hideMark/>
          </w:tcPr>
          <w:p w:rsidR="00445D79" w:rsidRPr="00714616" w:rsidRDefault="00445D79" w:rsidP="00EC2ABD">
            <w:pPr>
              <w:tabs>
                <w:tab w:val="left" w:pos="-720"/>
              </w:tabs>
              <w:suppressAutoHyphens/>
              <w:ind w:left="0"/>
              <w:jc w:val="center"/>
              <w:rPr>
                <w:rFonts w:ascii="Bookman Old Style" w:hAnsi="Bookman Old Style" w:cs="Arial"/>
                <w:spacing w:val="-3"/>
                <w:lang w:eastAsia="en-US"/>
              </w:rPr>
            </w:pPr>
            <w:r w:rsidRPr="00714616">
              <w:rPr>
                <w:rFonts w:ascii="Bookman Old Style" w:hAnsi="Bookman Old Style" w:cs="Arial"/>
                <w:spacing w:val="-3"/>
                <w:lang w:eastAsia="en-US"/>
              </w:rPr>
              <w:t>Director Ejecutivo</w:t>
            </w:r>
          </w:p>
        </w:tc>
      </w:tr>
      <w:tr w:rsidR="00445D79" w:rsidRPr="00714616" w:rsidTr="00EC2ABD">
        <w:trPr>
          <w:jc w:val="center"/>
        </w:trPr>
        <w:tc>
          <w:tcPr>
            <w:tcW w:w="4491" w:type="dxa"/>
            <w:vAlign w:val="center"/>
            <w:hideMark/>
          </w:tcPr>
          <w:p w:rsidR="00445D79" w:rsidRPr="00714616" w:rsidRDefault="00445D79" w:rsidP="00D63A87">
            <w:pPr>
              <w:tabs>
                <w:tab w:val="left" w:pos="-720"/>
              </w:tabs>
              <w:suppressAutoHyphens/>
              <w:ind w:left="-397"/>
              <w:jc w:val="center"/>
              <w:rPr>
                <w:rFonts w:ascii="Bookman Old Style" w:hAnsi="Bookman Old Style" w:cs="Arial"/>
                <w:spacing w:val="-3"/>
                <w:lang w:eastAsia="en-US"/>
              </w:rPr>
            </w:pPr>
            <w:r w:rsidRPr="00714616">
              <w:rPr>
                <w:rFonts w:ascii="Bookman Old Style" w:hAnsi="Bookman Old Style" w:cs="Arial"/>
                <w:spacing w:val="-3"/>
                <w:lang w:eastAsia="en-US"/>
              </w:rPr>
              <w:t>Delegado del Ministro de Minas y Energía</w:t>
            </w:r>
          </w:p>
          <w:p w:rsidR="00445D79" w:rsidRPr="00714616" w:rsidRDefault="00C7490C" w:rsidP="00C7490C">
            <w:pPr>
              <w:tabs>
                <w:tab w:val="left" w:pos="-720"/>
              </w:tabs>
              <w:suppressAutoHyphens/>
              <w:ind w:left="0"/>
              <w:rPr>
                <w:rFonts w:ascii="Bookman Old Style" w:hAnsi="Bookman Old Style" w:cs="Arial"/>
                <w:spacing w:val="-3"/>
                <w:lang w:eastAsia="en-US"/>
              </w:rPr>
            </w:pPr>
            <w:r>
              <w:rPr>
                <w:rFonts w:ascii="Bookman Old Style" w:hAnsi="Bookman Old Style" w:cs="Arial"/>
                <w:spacing w:val="-3"/>
                <w:lang w:eastAsia="en-US"/>
              </w:rPr>
              <w:t xml:space="preserve">                   </w:t>
            </w:r>
            <w:r w:rsidR="00445D79" w:rsidRPr="00714616">
              <w:rPr>
                <w:rFonts w:ascii="Bookman Old Style" w:hAnsi="Bookman Old Style" w:cs="Arial"/>
                <w:spacing w:val="-3"/>
                <w:lang w:eastAsia="en-US"/>
              </w:rPr>
              <w:t>Presidente</w:t>
            </w:r>
          </w:p>
        </w:tc>
        <w:tc>
          <w:tcPr>
            <w:tcW w:w="4491" w:type="dxa"/>
            <w:vAlign w:val="center"/>
          </w:tcPr>
          <w:p w:rsidR="00445D79" w:rsidRPr="00714616" w:rsidRDefault="00445D79" w:rsidP="00EC2ABD">
            <w:pPr>
              <w:tabs>
                <w:tab w:val="left" w:pos="-720"/>
              </w:tabs>
              <w:suppressAutoHyphens/>
              <w:ind w:left="0"/>
              <w:jc w:val="center"/>
              <w:rPr>
                <w:rFonts w:ascii="Bookman Old Style" w:hAnsi="Bookman Old Style" w:cs="Arial"/>
                <w:spacing w:val="-3"/>
                <w:lang w:eastAsia="en-US"/>
              </w:rPr>
            </w:pPr>
          </w:p>
        </w:tc>
      </w:tr>
    </w:tbl>
    <w:p w:rsidR="00763A35" w:rsidRPr="00714616" w:rsidRDefault="00763A35" w:rsidP="00D63A87">
      <w:pPr>
        <w:ind w:left="0"/>
        <w:rPr>
          <w:rFonts w:ascii="Bookman Old Style" w:hAnsi="Bookman Old Style"/>
        </w:rPr>
      </w:pPr>
    </w:p>
    <w:sectPr w:rsidR="00763A35" w:rsidRPr="00714616"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EE" w:rsidRDefault="00FF44EE" w:rsidP="00445D79">
      <w:r>
        <w:separator/>
      </w:r>
    </w:p>
  </w:endnote>
  <w:endnote w:type="continuationSeparator" w:id="0">
    <w:p w:rsidR="00FF44EE" w:rsidRDefault="00FF44EE"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EE" w:rsidRDefault="00FF44EE" w:rsidP="00445D79">
      <w:r>
        <w:separator/>
      </w:r>
    </w:p>
  </w:footnote>
  <w:footnote w:type="continuationSeparator" w:id="0">
    <w:p w:rsidR="00FF44EE" w:rsidRDefault="00FF44EE" w:rsidP="00445D79">
      <w:r>
        <w:continuationSeparator/>
      </w:r>
    </w:p>
  </w:footnote>
  <w:footnote w:id="1">
    <w:p w:rsidR="00FF44EE" w:rsidRDefault="00FF44EE">
      <w:pPr>
        <w:pStyle w:val="Textonotapie"/>
      </w:pPr>
      <w:r>
        <w:rPr>
          <w:rStyle w:val="Refdenotaalpie"/>
        </w:rPr>
        <w:footnoteRef/>
      </w:r>
      <w:r>
        <w:t xml:space="preserve"> Especial referencia se hace a la Resolución CREG 071 del 2006 y a la Resolución CREG 061 de 2007.</w:t>
      </w:r>
    </w:p>
  </w:footnote>
  <w:footnote w:id="2">
    <w:p w:rsidR="00FF44EE" w:rsidRDefault="00FF44EE" w:rsidP="00D6009B">
      <w:pPr>
        <w:pStyle w:val="Textonotapie"/>
      </w:pPr>
      <w:r>
        <w:rPr>
          <w:rStyle w:val="Refdenotaalpie"/>
        </w:rPr>
        <w:footnoteRef/>
      </w:r>
      <w:r>
        <w:t xml:space="preserve"> Artículo 9 de la Resolución CREG 071 del 2006. Modificado por el artículo 13 de la Resolución CREG 061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EE" w:rsidRDefault="00FF44EE" w:rsidP="00EC2ABD">
    <w:pPr>
      <w:pStyle w:val="Ttulo1"/>
      <w:ind w:right="6"/>
      <w:jc w:val="left"/>
      <w:rPr>
        <w:rFonts w:ascii="Bookman Old Style" w:hAnsi="Bookman Old Style" w:cs="Arial"/>
        <w:b w:val="0"/>
        <w:sz w:val="22"/>
        <w:szCs w:val="22"/>
      </w:rPr>
    </w:pPr>
  </w:p>
  <w:p w:rsidR="00FF44EE" w:rsidRPr="00951F79" w:rsidRDefault="00FF44EE"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B6E71">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B6E71">
      <w:fldChar w:fldCharType="begin"/>
    </w:r>
    <w:r w:rsidR="00DB6E71">
      <w:instrText xml:space="preserve"> NUMPAGES  \* MERGEFORMAT </w:instrText>
    </w:r>
    <w:r w:rsidR="00DB6E71">
      <w:fldChar w:fldCharType="separate"/>
    </w:r>
    <w:r w:rsidR="00DB6E71" w:rsidRPr="00DB6E71">
      <w:rPr>
        <w:rFonts w:ascii="Bookman Old Style" w:hAnsi="Bookman Old Style" w:cs="Arial"/>
        <w:b w:val="0"/>
        <w:noProof/>
        <w:sz w:val="22"/>
        <w:szCs w:val="22"/>
      </w:rPr>
      <w:t>8</w:t>
    </w:r>
    <w:r w:rsidR="00DB6E71">
      <w:rPr>
        <w:rFonts w:ascii="Bookman Old Style" w:hAnsi="Bookman Old Style" w:cs="Arial"/>
        <w:b w:val="0"/>
        <w:noProof/>
        <w:sz w:val="22"/>
        <w:szCs w:val="22"/>
      </w:rPr>
      <w:fldChar w:fldCharType="end"/>
    </w:r>
  </w:p>
  <w:p w:rsidR="00FF44EE" w:rsidRDefault="00FF44EE"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1F12E7A" wp14:editId="6C90C965">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FF44EE" w:rsidRPr="00673D24" w:rsidRDefault="00FF44EE" w:rsidP="001A2438">
    <w:pPr>
      <w:ind w:left="0"/>
      <w:jc w:val="both"/>
      <w:rPr>
        <w:rFonts w:ascii="Bookman Old Style" w:hAnsi="Bookman Old Style" w:cs="Arial"/>
        <w:sz w:val="22"/>
        <w:szCs w:val="22"/>
        <w:lang w:eastAsia="es-CO"/>
      </w:rPr>
    </w:pPr>
    <w:r w:rsidRPr="00673D24">
      <w:rPr>
        <w:rFonts w:ascii="Bookman Old Style" w:hAnsi="Bookman Old Style" w:cs="Arial"/>
        <w:color w:val="000000" w:themeColor="text1"/>
        <w:sz w:val="22"/>
        <w:szCs w:val="22"/>
        <w:lang w:eastAsia="es-CO"/>
      </w:rPr>
      <w:t>Por la cual se decide la a</w:t>
    </w:r>
    <w:r w:rsidRPr="00673D24">
      <w:rPr>
        <w:rFonts w:ascii="Bookman Old Style" w:hAnsi="Bookman Old Style" w:cs="Arial"/>
        <w:sz w:val="22"/>
        <w:szCs w:val="22"/>
      </w:rPr>
      <w:t>ctuación administrativa iniciada con fundamento en el informe adicional de verificación de la curva S y del cronograma del proyecto y puesta en operación de la planta hidroeléctrica Porce IV, elaborado por SEDIC S.A</w:t>
    </w:r>
    <w:r w:rsidRPr="00673D24">
      <w:rPr>
        <w:rFonts w:ascii="Bookman Old Style" w:hAnsi="Bookman Old Style" w:cs="Arial"/>
        <w:sz w:val="22"/>
        <w:szCs w:val="22"/>
        <w:lang w:eastAsia="es-CO"/>
      </w:rPr>
      <w:t>.</w:t>
    </w:r>
  </w:p>
  <w:p w:rsidR="00FF44EE" w:rsidRPr="00CB5DD0" w:rsidRDefault="00FF44EE" w:rsidP="001A2438">
    <w:pPr>
      <w:ind w:left="0"/>
      <w:jc w:val="both"/>
      <w:rPr>
        <w:b/>
      </w:rPr>
    </w:pPr>
    <w:r>
      <w:rPr>
        <w:rFonts w:ascii="Bookman Old Style" w:hAnsi="Bookman Old Style" w:cs="Arial"/>
        <w:lang w:eastAsia="es-CO"/>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4EE" w:rsidRDefault="00FF44EE"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FF44EE" w:rsidRDefault="00FF44EE">
    <w:pPr>
      <w:pStyle w:val="Encabezado"/>
      <w:jc w:val="center"/>
      <w:rPr>
        <w:rFonts w:ascii="Arial" w:hAnsi="Arial" w:cs="Arial"/>
        <w:spacing w:val="20"/>
        <w:sz w:val="20"/>
      </w:rPr>
    </w:pPr>
  </w:p>
  <w:p w:rsidR="00FF44EE" w:rsidRDefault="00FF44EE" w:rsidP="00EC2ABD">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47082"/>
    <w:rsid w:val="00071BDE"/>
    <w:rsid w:val="000C3118"/>
    <w:rsid w:val="000C3D3C"/>
    <w:rsid w:val="000E68DE"/>
    <w:rsid w:val="000F5DED"/>
    <w:rsid w:val="000F71AA"/>
    <w:rsid w:val="00135C52"/>
    <w:rsid w:val="00154EA0"/>
    <w:rsid w:val="001A2438"/>
    <w:rsid w:val="00227580"/>
    <w:rsid w:val="00240209"/>
    <w:rsid w:val="002730C5"/>
    <w:rsid w:val="002A01C4"/>
    <w:rsid w:val="002E55F6"/>
    <w:rsid w:val="00317298"/>
    <w:rsid w:val="00342D5A"/>
    <w:rsid w:val="00376AE1"/>
    <w:rsid w:val="003A7A25"/>
    <w:rsid w:val="003B6118"/>
    <w:rsid w:val="003C234F"/>
    <w:rsid w:val="003E2E92"/>
    <w:rsid w:val="004039E9"/>
    <w:rsid w:val="004238D9"/>
    <w:rsid w:val="00445D79"/>
    <w:rsid w:val="004A5065"/>
    <w:rsid w:val="004C5DB7"/>
    <w:rsid w:val="004E1821"/>
    <w:rsid w:val="005438B9"/>
    <w:rsid w:val="00553075"/>
    <w:rsid w:val="00564B3A"/>
    <w:rsid w:val="00576DD9"/>
    <w:rsid w:val="005A031D"/>
    <w:rsid w:val="00610B84"/>
    <w:rsid w:val="00610EB5"/>
    <w:rsid w:val="00637F59"/>
    <w:rsid w:val="00673D24"/>
    <w:rsid w:val="006A48C6"/>
    <w:rsid w:val="00711678"/>
    <w:rsid w:val="007144A2"/>
    <w:rsid w:val="00714616"/>
    <w:rsid w:val="00733B81"/>
    <w:rsid w:val="00747235"/>
    <w:rsid w:val="00760042"/>
    <w:rsid w:val="00763A35"/>
    <w:rsid w:val="007C3C49"/>
    <w:rsid w:val="00814975"/>
    <w:rsid w:val="00864454"/>
    <w:rsid w:val="008B3A8B"/>
    <w:rsid w:val="008C7C68"/>
    <w:rsid w:val="008F2991"/>
    <w:rsid w:val="009A34F8"/>
    <w:rsid w:val="009C4FE5"/>
    <w:rsid w:val="00A038BC"/>
    <w:rsid w:val="00A416C9"/>
    <w:rsid w:val="00A421E1"/>
    <w:rsid w:val="00A567A6"/>
    <w:rsid w:val="00A64C42"/>
    <w:rsid w:val="00A65A9B"/>
    <w:rsid w:val="00AD02AF"/>
    <w:rsid w:val="00AD49A2"/>
    <w:rsid w:val="00B54CF1"/>
    <w:rsid w:val="00B771EA"/>
    <w:rsid w:val="00B87C46"/>
    <w:rsid w:val="00B92ED7"/>
    <w:rsid w:val="00C15FBC"/>
    <w:rsid w:val="00C7490C"/>
    <w:rsid w:val="00CB5D45"/>
    <w:rsid w:val="00CB6610"/>
    <w:rsid w:val="00CD7350"/>
    <w:rsid w:val="00D071CD"/>
    <w:rsid w:val="00D6009B"/>
    <w:rsid w:val="00D602F3"/>
    <w:rsid w:val="00D63A87"/>
    <w:rsid w:val="00DB6E71"/>
    <w:rsid w:val="00DC3A69"/>
    <w:rsid w:val="00DC4C2A"/>
    <w:rsid w:val="00DC68DE"/>
    <w:rsid w:val="00DD1D32"/>
    <w:rsid w:val="00E17744"/>
    <w:rsid w:val="00E202FF"/>
    <w:rsid w:val="00E5537F"/>
    <w:rsid w:val="00E62540"/>
    <w:rsid w:val="00E81B07"/>
    <w:rsid w:val="00E82F66"/>
    <w:rsid w:val="00E940AB"/>
    <w:rsid w:val="00EA2C04"/>
    <w:rsid w:val="00EB6DF2"/>
    <w:rsid w:val="00EC2ABD"/>
    <w:rsid w:val="00EC30E1"/>
    <w:rsid w:val="00ED6E27"/>
    <w:rsid w:val="00F66CBF"/>
    <w:rsid w:val="00FA0018"/>
    <w:rsid w:val="00FA45B5"/>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5D7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basedOn w:val="Fuentedeprrafopredete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basedOn w:val="Fuentedeprrafopredete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pPr>
      <w:spacing w:after="0" w:line="240" w:lineRule="auto"/>
    </w:pPr>
    <w:rPr>
      <w:rFonts w:ascii="Calibri" w:eastAsia="Times New Roman" w:hAnsi="Calibri" w:cs="Calibri"/>
      <w:lang w:val="es-E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basedOn w:val="Fuentedeprrafopredete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basedOn w:val="Fuentedeprrafopredete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basedOn w:val="Fuentedeprrafopredeter"/>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basedOn w:val="Fuentedeprrafopredeter"/>
    <w:link w:val="Piedepgina"/>
    <w:uiPriority w:val="99"/>
    <w:rsid w:val="00D071CD"/>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5D7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basedOn w:val="Fuentedeprrafopredete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basedOn w:val="Fuentedeprrafopredete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pPr>
      <w:spacing w:after="0" w:line="240" w:lineRule="auto"/>
    </w:pPr>
    <w:rPr>
      <w:rFonts w:ascii="Calibri" w:eastAsia="Times New Roman" w:hAnsi="Calibri" w:cs="Calibri"/>
      <w:lang w:val="es-E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basedOn w:val="Fuentedeprrafopredete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basedOn w:val="Fuentedeprrafopredete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basedOn w:val="Fuentedeprrafopredeter"/>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basedOn w:val="Fuentedeprrafopredeter"/>
    <w:link w:val="Piedepgina"/>
    <w:uiPriority w:val="99"/>
    <w:rsid w:val="00D071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7F752D-07D0-4FC9-B188-E7984027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3149</Words>
  <Characters>17321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Maria Eugenia Murillo Ramirez</cp:lastModifiedBy>
  <cp:revision>2</cp:revision>
  <cp:lastPrinted>2011-09-30T20:38:00Z</cp:lastPrinted>
  <dcterms:created xsi:type="dcterms:W3CDTF">2011-11-08T21:44:00Z</dcterms:created>
  <dcterms:modified xsi:type="dcterms:W3CDTF">2011-11-08T21:44:00Z</dcterms:modified>
</cp:coreProperties>
</file>