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CBBDF" w14:textId="6B07AD51" w:rsidR="00CA77FB" w:rsidRPr="00BF69C9" w:rsidRDefault="0036283B"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54437838" r:id="rId9"/>
        </w:object>
      </w:r>
      <w:r w:rsidR="00CA77FB" w:rsidRPr="00BF69C9">
        <w:rPr>
          <w:rFonts w:ascii="Bookman Old Style" w:hAnsi="Bookman Old Style"/>
          <w:bCs/>
          <w:szCs w:val="24"/>
        </w:rPr>
        <w:t>Ministerio de Minas y Energía</w:t>
      </w:r>
    </w:p>
    <w:p w14:paraId="39C03CFE"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5150D8BF" w:rsidR="00CA77FB" w:rsidRDefault="00CA77FB" w:rsidP="007B3A0E">
      <w:pPr>
        <w:pStyle w:val="Ttulo5"/>
        <w:tabs>
          <w:tab w:val="left" w:pos="0"/>
          <w:tab w:val="right" w:pos="9356"/>
        </w:tabs>
        <w:spacing w:before="360" w:after="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7B3A0E" w:rsidRPr="007B3A0E">
        <w:rPr>
          <w:rFonts w:ascii="Bookman Old Style" w:hAnsi="Bookman Old Style"/>
          <w:sz w:val="32"/>
          <w:szCs w:val="32"/>
        </w:rPr>
        <w:t>123</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F3E80">
        <w:rPr>
          <w:rFonts w:ascii="Bookman Old Style" w:hAnsi="Bookman Old Style"/>
          <w:sz w:val="24"/>
          <w:szCs w:val="24"/>
        </w:rPr>
        <w:t>20</w:t>
      </w:r>
    </w:p>
    <w:p w14:paraId="2597E829" w14:textId="77777777" w:rsidR="007B3A0E" w:rsidRPr="007B3A0E" w:rsidRDefault="007B3A0E" w:rsidP="007B3A0E">
      <w:pPr>
        <w:spacing w:before="0"/>
        <w:rPr>
          <w:lang w:val="es-ES_tradnl"/>
        </w:rPr>
      </w:pPr>
    </w:p>
    <w:p w14:paraId="1339ABB4" w14:textId="685407F4" w:rsidR="00CA77FB" w:rsidRPr="00BF69C9" w:rsidRDefault="00CA77FB" w:rsidP="007B3A0E">
      <w:pPr>
        <w:pStyle w:val="Ttulo3"/>
        <w:tabs>
          <w:tab w:val="left" w:pos="0"/>
          <w:tab w:val="right" w:pos="9356"/>
        </w:tabs>
        <w:spacing w:before="0" w:after="360"/>
        <w:rPr>
          <w:rFonts w:ascii="Bookman Old Style" w:hAnsi="Bookman Old Style"/>
          <w:b w:val="0"/>
          <w:szCs w:val="24"/>
        </w:rPr>
      </w:pPr>
      <w:r w:rsidRPr="00BF69C9">
        <w:rPr>
          <w:rFonts w:ascii="Bookman Old Style" w:hAnsi="Bookman Old Style"/>
          <w:b w:val="0"/>
          <w:szCs w:val="24"/>
        </w:rPr>
        <w:t xml:space="preserve">( </w:t>
      </w:r>
      <w:r w:rsidR="007B3A0E" w:rsidRPr="007B3A0E">
        <w:rPr>
          <w:rFonts w:ascii="Bookman Old Style" w:hAnsi="Bookman Old Style"/>
          <w:bCs/>
          <w:sz w:val="32"/>
          <w:szCs w:val="32"/>
        </w:rPr>
        <w:t>18 JUN. 2020</w:t>
      </w:r>
      <w:r w:rsidR="007B3A0E">
        <w:rPr>
          <w:rFonts w:ascii="Bookman Old Style" w:hAnsi="Bookman Old Style"/>
          <w:b w:val="0"/>
          <w:szCs w:val="24"/>
        </w:rPr>
        <w:t xml:space="preserve"> </w:t>
      </w:r>
      <w:r w:rsidRPr="00BF69C9">
        <w:rPr>
          <w:rFonts w:ascii="Bookman Old Style" w:hAnsi="Bookman Old Style"/>
          <w:b w:val="0"/>
          <w:szCs w:val="24"/>
        </w:rPr>
        <w:t>)</w:t>
      </w:r>
    </w:p>
    <w:p w14:paraId="267CC799" w14:textId="10C49FEB"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 xml:space="preserve">por </w:t>
      </w:r>
      <w:r w:rsidR="00873E50">
        <w:t>Empresa</w:t>
      </w:r>
      <w:r w:rsidR="008F3E80">
        <w:t xml:space="preserve">s Municipales de Cartago </w:t>
      </w:r>
      <w:r w:rsidR="006C7F6B" w:rsidRPr="006C7F6B">
        <w:t>E.S.P.</w:t>
      </w:r>
      <w:r w:rsidR="006C7F6B">
        <w:t xml:space="preserve"> </w:t>
      </w:r>
      <w:r w:rsidR="006259EB">
        <w:t xml:space="preserve">contra la </w:t>
      </w:r>
      <w:r w:rsidR="009A0748" w:rsidRPr="00BF69C9">
        <w:t xml:space="preserve">Resolución CREG </w:t>
      </w:r>
      <w:r w:rsidR="008F3E80">
        <w:t xml:space="preserve">019 </w:t>
      </w:r>
      <w:r w:rsidR="009A0748" w:rsidRPr="00BF69C9">
        <w:t>de 20</w:t>
      </w:r>
      <w:r w:rsidR="008F3E80">
        <w:t>20</w:t>
      </w:r>
    </w:p>
    <w:p w14:paraId="1C01FCB2" w14:textId="77777777" w:rsidR="00045D3D" w:rsidRPr="00BF69C9" w:rsidRDefault="00045D3D" w:rsidP="006B5531">
      <w:pPr>
        <w:spacing w:before="480" w:after="48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1916F7">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2AA9C5ED" w14:textId="0FA9F0B3" w:rsidR="006259EB" w:rsidRDefault="002A7D62" w:rsidP="004135D1">
      <w:r w:rsidRPr="00BF69C9">
        <w:t xml:space="preserve">Mediante la Resolución CREG </w:t>
      </w:r>
      <w:r w:rsidR="008F3E80">
        <w:t xml:space="preserve">019 </w:t>
      </w:r>
      <w:r w:rsidRPr="00BF69C9">
        <w:t>de 20</w:t>
      </w:r>
      <w:r w:rsidR="008F3E80">
        <w:t>20</w:t>
      </w:r>
      <w:r w:rsidR="006259EB">
        <w:t xml:space="preserve"> se aprobaron </w:t>
      </w:r>
      <w:r w:rsidR="00016F42">
        <w:t xml:space="preserve">las variables necesarias para calcular los ingresos y cargos asociados con la actividad de distribución de energía eléctrica para el mercado de comercialización atendido por </w:t>
      </w:r>
      <w:r w:rsidR="008F3E80" w:rsidRPr="008F3E80">
        <w:t>Empresas Municipales de Cartago E.S.P.</w:t>
      </w:r>
      <w:r w:rsidR="00F03850">
        <w:t>, con base en la metodología de distribución de ingresos de energía eléctrica contenida en la Resolución CREG 015 de 2018 y sus modificatorias.</w:t>
      </w:r>
    </w:p>
    <w:p w14:paraId="6BF8EB35" w14:textId="3E19CA24" w:rsidR="0023598E" w:rsidRDefault="0023598E" w:rsidP="0023598E">
      <w:pPr>
        <w:rPr>
          <w:spacing w:val="-3"/>
        </w:rPr>
      </w:pPr>
      <w:r>
        <w:rPr>
          <w:spacing w:val="-3"/>
        </w:rPr>
        <w:t>En el documento</w:t>
      </w:r>
      <w:r w:rsidR="0023338E">
        <w:rPr>
          <w:spacing w:val="-3"/>
        </w:rPr>
        <w:t xml:space="preserve"> </w:t>
      </w:r>
      <w:r w:rsidR="003B5A66">
        <w:rPr>
          <w:spacing w:val="-3"/>
        </w:rPr>
        <w:t xml:space="preserve">011 </w:t>
      </w:r>
      <w:r w:rsidR="0023338E">
        <w:rPr>
          <w:spacing w:val="-3"/>
        </w:rPr>
        <w:t>de 20</w:t>
      </w:r>
      <w:r w:rsidR="008F3E80">
        <w:rPr>
          <w:spacing w:val="-3"/>
        </w:rPr>
        <w:t>20</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w:t>
      </w:r>
      <w:r w:rsidR="006259EB">
        <w:rPr>
          <w:spacing w:val="-3"/>
        </w:rPr>
        <w:t xml:space="preserve">dicha </w:t>
      </w:r>
      <w:r w:rsidR="00016F42">
        <w:rPr>
          <w:spacing w:val="-3"/>
        </w:rPr>
        <w:t>resolución</w:t>
      </w:r>
      <w:r w:rsidR="000C522D">
        <w:rPr>
          <w:spacing w:val="-3"/>
        </w:rPr>
        <w:t>,</w:t>
      </w:r>
      <w:r w:rsidR="00D20068">
        <w:rPr>
          <w:spacing w:val="-3"/>
        </w:rPr>
        <w:t xml:space="preserve"> donde </w:t>
      </w:r>
      <w:r w:rsidR="00016F42">
        <w:rPr>
          <w:spacing w:val="-3"/>
        </w:rPr>
        <w:t xml:space="preserve">se incluyen los criterios de revisión de la información, las bases de datos y los cálculos empleados por la Comisión para definir las variables aprobadas en la </w:t>
      </w:r>
      <w:r w:rsidR="00016F42" w:rsidRPr="00BF69C9">
        <w:t xml:space="preserve">Resolución CREG </w:t>
      </w:r>
      <w:r w:rsidR="008F3E80">
        <w:t>019</w:t>
      </w:r>
      <w:r w:rsidR="00016F42" w:rsidRPr="00BF69C9">
        <w:t xml:space="preserve"> de 20</w:t>
      </w:r>
      <w:r w:rsidR="008F3E80">
        <w:t>20</w:t>
      </w:r>
      <w:r w:rsidR="00016F42">
        <w:t>.</w:t>
      </w:r>
    </w:p>
    <w:p w14:paraId="6EFBFB55" w14:textId="3EFD05D2" w:rsidR="006259EB" w:rsidRDefault="008F3E80" w:rsidP="0023598E">
      <w:r w:rsidRPr="008F3E80">
        <w:t>Empresas Municipales de Cartago E.S.P.</w:t>
      </w:r>
      <w:r w:rsidR="006259EB">
        <w:t>, mediante comunicación con radicado CREG E-20</w:t>
      </w:r>
      <w:r>
        <w:t>20</w:t>
      </w:r>
      <w:r w:rsidR="006259EB">
        <w:t>-0</w:t>
      </w:r>
      <w:r>
        <w:t>03201</w:t>
      </w:r>
      <w:r w:rsidR="00A26AF4">
        <w:t>,</w:t>
      </w:r>
      <w:r w:rsidR="006259EB">
        <w:t xml:space="preserve"> presentó recurso de reposición contra la resolución </w:t>
      </w:r>
      <w:r w:rsidR="00206B97">
        <w:t xml:space="preserve">CREG </w:t>
      </w:r>
      <w:r>
        <w:t>019</w:t>
      </w:r>
      <w:r w:rsidR="00206B97">
        <w:t xml:space="preserve"> de 20</w:t>
      </w:r>
      <w:r>
        <w:t>20</w:t>
      </w:r>
      <w:r w:rsidR="00AA289B">
        <w:t>.</w:t>
      </w:r>
    </w:p>
    <w:p w14:paraId="21EA5AC1" w14:textId="34253B57" w:rsidR="00A169DC" w:rsidRDefault="00940768" w:rsidP="0023598E">
      <w:r>
        <w:t xml:space="preserve">En la comunicación citada se presentan los antecedentes, las razones </w:t>
      </w:r>
      <w:r w:rsidR="00D10C65">
        <w:t>de inconformidad y las peticiones del recurso de reposición</w:t>
      </w:r>
      <w:r w:rsidR="00A169DC">
        <w:t>.</w:t>
      </w:r>
      <w:r w:rsidR="001916F7">
        <w:t xml:space="preserve"> </w:t>
      </w:r>
      <w:r w:rsidR="00A169DC">
        <w:t xml:space="preserve">A continuación, se </w:t>
      </w:r>
      <w:r w:rsidR="00F03850">
        <w:t xml:space="preserve">enuncian </w:t>
      </w:r>
      <w:r w:rsidR="00A169DC">
        <w:t>las pretensiones del OR y el análisis de la Comisión en cada caso.</w:t>
      </w:r>
    </w:p>
    <w:p w14:paraId="1984BAC8" w14:textId="7DEB8ABF" w:rsidR="00A169DC" w:rsidRPr="00A169DC" w:rsidRDefault="00A169DC" w:rsidP="00A169DC">
      <w:pPr>
        <w:ind w:left="360" w:hanging="360"/>
        <w:rPr>
          <w:b/>
          <w:bCs/>
        </w:rPr>
      </w:pPr>
      <w:r>
        <w:rPr>
          <w:b/>
          <w:bCs/>
        </w:rPr>
        <w:t>Pretensión principal</w:t>
      </w:r>
    </w:p>
    <w:p w14:paraId="644FAA13" w14:textId="77777777" w:rsidR="001F1310" w:rsidRPr="003B5A66" w:rsidRDefault="008F3E80" w:rsidP="003B5A66">
      <w:pPr>
        <w:ind w:left="284" w:right="425"/>
        <w:rPr>
          <w:rFonts w:cs="ZLJOXI+Arial-BoldMT"/>
          <w:b/>
          <w:bCs/>
          <w:i/>
          <w:iCs/>
          <w:sz w:val="20"/>
          <w:szCs w:val="20"/>
        </w:rPr>
      </w:pPr>
      <w:r w:rsidRPr="003B5A66">
        <w:rPr>
          <w:b/>
          <w:bCs/>
          <w:i/>
          <w:iCs/>
          <w:sz w:val="20"/>
          <w:szCs w:val="20"/>
        </w:rPr>
        <w:t xml:space="preserve">3. </w:t>
      </w:r>
      <w:r w:rsidRPr="003B5A66">
        <w:rPr>
          <w:rFonts w:cs="ZLJOXI+Arial-BoldMT"/>
          <w:b/>
          <w:bCs/>
          <w:i/>
          <w:iCs/>
          <w:sz w:val="20"/>
          <w:szCs w:val="20"/>
        </w:rPr>
        <w:t>Pretensiones</w:t>
      </w:r>
    </w:p>
    <w:p w14:paraId="2F251557" w14:textId="77777777" w:rsidR="001F1310" w:rsidRPr="003B5A66" w:rsidRDefault="008F3E80" w:rsidP="003B5A66">
      <w:pPr>
        <w:ind w:left="284" w:right="425"/>
        <w:rPr>
          <w:b/>
          <w:bCs/>
          <w:i/>
          <w:iCs/>
          <w:sz w:val="20"/>
          <w:szCs w:val="20"/>
        </w:rPr>
      </w:pPr>
      <w:r w:rsidRPr="003B5A66">
        <w:rPr>
          <w:b/>
          <w:bCs/>
          <w:i/>
          <w:iCs/>
          <w:sz w:val="20"/>
          <w:szCs w:val="20"/>
        </w:rPr>
        <w:t xml:space="preserve">3.1. Principal </w:t>
      </w:r>
    </w:p>
    <w:p w14:paraId="751A5058" w14:textId="77777777" w:rsidR="001F1310" w:rsidRDefault="008F3E80" w:rsidP="000C522D">
      <w:pPr>
        <w:ind w:left="284"/>
        <w:rPr>
          <w:i/>
          <w:iCs/>
          <w:sz w:val="22"/>
          <w:szCs w:val="22"/>
        </w:rPr>
      </w:pPr>
      <w:r w:rsidRPr="003B5A66">
        <w:rPr>
          <w:i/>
          <w:iCs/>
          <w:sz w:val="20"/>
          <w:szCs w:val="20"/>
        </w:rPr>
        <w:t xml:space="preserve">Que la Comisión de Regulación de Energía y gas CREG reconozca el proceso de vinculación del Aliado Estratégico en el que Energía de Pereira S.A. E.S.P. recibe la aprobación de cargos para el mercado de comercialización Cartago, en una situación atípica dado el traslape entre la entrada en operación del Aliado Estratégico y la publicación de la Resolución CREG 019 de 2020, que permita, antes de la aprobación definitiva de la presente Resolución, modificar los </w:t>
      </w:r>
      <w:r w:rsidRPr="003B5A66">
        <w:rPr>
          <w:i/>
          <w:iCs/>
          <w:sz w:val="20"/>
          <w:szCs w:val="20"/>
        </w:rPr>
        <w:lastRenderedPageBreak/>
        <w:t xml:space="preserve">planes de inversiones y de perdidas presentados por EMCARTAGO. Para esto se solicita al Regulador un plazo de treinta (30) días contados a partir de la aceptación de la pretensión. </w:t>
      </w:r>
    </w:p>
    <w:p w14:paraId="00453F6E" w14:textId="280B8517" w:rsidR="00501AAD" w:rsidRPr="00501AAD" w:rsidRDefault="00501AAD" w:rsidP="0023598E">
      <w:pPr>
        <w:rPr>
          <w:b/>
          <w:bCs/>
        </w:rPr>
      </w:pPr>
      <w:r w:rsidRPr="00501AAD">
        <w:rPr>
          <w:b/>
          <w:bCs/>
        </w:rPr>
        <w:t>Análisis de la Comisión</w:t>
      </w:r>
    </w:p>
    <w:p w14:paraId="19C0C653" w14:textId="28326B5F" w:rsidR="00501AAD" w:rsidRPr="00E96025" w:rsidRDefault="00AF2D6B" w:rsidP="0023598E">
      <w:r w:rsidRPr="00E96025">
        <w:t>E</w:t>
      </w:r>
      <w:r w:rsidR="00501AAD" w:rsidRPr="00E96025">
        <w:t xml:space="preserve">l recurso de reposición </w:t>
      </w:r>
      <w:r w:rsidRPr="00E96025">
        <w:t xml:space="preserve">es la primera actuación o herramienta que tiene el destinatario del acto administrativo para impugnar las decisiones </w:t>
      </w:r>
      <w:r w:rsidR="00FE672B" w:rsidRPr="00E96025">
        <w:t xml:space="preserve">contenidas en el acto administrativo particular </w:t>
      </w:r>
      <w:r w:rsidRPr="00E96025">
        <w:t>que pueden lesionar derechos</w:t>
      </w:r>
      <w:r w:rsidR="000C522D">
        <w:t>,</w:t>
      </w:r>
      <w:r w:rsidRPr="00E96025">
        <w:t xml:space="preserve"> y por ello</w:t>
      </w:r>
      <w:r w:rsidR="000C522D">
        <w:t>,</w:t>
      </w:r>
      <w:r w:rsidRPr="00E96025">
        <w:t xml:space="preserve"> como lo exige el mismo artículo 74 de la Ley 1437 de 2011, se interpone ante quien profirió el acto para que lo aclare, modifique, adicione o revoque, pero no constituye</w:t>
      </w:r>
      <w:r w:rsidR="003B5A66" w:rsidRPr="00E96025">
        <w:t xml:space="preserve"> una instancia para modificar la solicitud.</w:t>
      </w:r>
      <w:r w:rsidR="00501AAD" w:rsidRPr="00E96025">
        <w:t xml:space="preserve"> </w:t>
      </w:r>
    </w:p>
    <w:p w14:paraId="2B56B079" w14:textId="5DC7CCE1" w:rsidR="00AF2D6B" w:rsidRPr="00E96025" w:rsidRDefault="00AF2D6B" w:rsidP="0023598E">
      <w:r w:rsidRPr="00E96025">
        <w:t>Según el CONSEJO DE ESTADO, SALA DE LO CONTENCIOSO ADMINISTRATIVO, SECCION CUARTA, consejero Ponente. CARMEN TERESA ORTIZ DE RODRIGUEZ, Bogotá, D.C., veintinueve (29) de Mayo de dos mil catorce (2014), Radicación 13001233300020120004501 Actor DEPARTAMENTO DE BOLIVAR contra la DIAN Numero Interno. 20383 (Sentencia nº 13001233300020120004501, 2014), Auto, el recurso de reposición es “… la vía procesal a través de la cual se llega directamente ante el funcionario que tomó la decisión administrativa con el fin de que la aclare (explique o despeje puntos dudosos) o revoque (deje totalmente sin efectos la decisión reemplazándola o derogándola) a través de escrito presentado en la diligencia de notificación personal.</w:t>
      </w:r>
    </w:p>
    <w:p w14:paraId="1DFB2A87" w14:textId="2F5316EA" w:rsidR="00AF2D6B" w:rsidRPr="00E96025" w:rsidRDefault="00FE672B" w:rsidP="0023598E">
      <w:r w:rsidRPr="00E96025">
        <w:t>En relación con los requisitos para interponer los recursos de reposición, e</w:t>
      </w:r>
      <w:r w:rsidR="00AF2D6B" w:rsidRPr="00E96025">
        <w:t xml:space="preserve">l numeral segundo del artículo 77 de la Ley 1437 de 2011, hace alusión </w:t>
      </w:r>
      <w:r w:rsidRPr="00E96025">
        <w:t xml:space="preserve">a </w:t>
      </w:r>
      <w:r w:rsidR="00AF2D6B" w:rsidRPr="00E96025">
        <w:t>que debe sustentarse con expresión concreta los motivos de inconformidad. Es decir, al no existir aceptación con lo resuelto en el acto administrativo, trae como consecuencia inconformidad a las pretensiones que fueron expuestas con anterioridad, el cual debe estipular</w:t>
      </w:r>
      <w:r w:rsidR="000C522D">
        <w:t>,</w:t>
      </w:r>
      <w:r w:rsidR="00AF2D6B" w:rsidRPr="00E96025">
        <w:t xml:space="preserve"> no solamente en qu</w:t>
      </w:r>
      <w:r w:rsidR="000C522D">
        <w:t>é</w:t>
      </w:r>
      <w:r w:rsidR="00AF2D6B" w:rsidRPr="00E96025">
        <w:t xml:space="preserve"> consiste esa inconformidad y a la vez sustentar o argumentar lo pretendido, en forma clara y precisa para que al desatarse el recurso sea</w:t>
      </w:r>
      <w:r w:rsidRPr="00E96025">
        <w:t>n</w:t>
      </w:r>
      <w:r w:rsidR="00AF2D6B" w:rsidRPr="00E96025">
        <w:t xml:space="preserve"> tenido</w:t>
      </w:r>
      <w:r w:rsidRPr="00E96025">
        <w:t>s</w:t>
      </w:r>
      <w:r w:rsidR="00AF2D6B" w:rsidRPr="00E96025">
        <w:t xml:space="preserve"> en cuenta los puntos de inconformidad, a fin </w:t>
      </w:r>
      <w:r w:rsidRPr="00E96025">
        <w:t xml:space="preserve">de que, </w:t>
      </w:r>
      <w:r w:rsidR="00AF2D6B" w:rsidRPr="00E96025">
        <w:t>si fuere del caso lo aclare, modifique o revoque</w:t>
      </w:r>
      <w:r w:rsidRPr="00E96025">
        <w:t>.</w:t>
      </w:r>
    </w:p>
    <w:p w14:paraId="52D69174" w14:textId="7DCF2C69" w:rsidR="00FB67F1" w:rsidRDefault="00FB67F1" w:rsidP="00F94902">
      <w:r w:rsidRPr="00E96025">
        <w:t xml:space="preserve">Por lo anterior, </w:t>
      </w:r>
      <w:r w:rsidR="00FE672B" w:rsidRPr="00E96025">
        <w:t xml:space="preserve">y dado que la pretensión principal </w:t>
      </w:r>
      <w:r w:rsidR="003824F2" w:rsidRPr="00E96025">
        <w:t xml:space="preserve">está encaminada a </w:t>
      </w:r>
      <w:r w:rsidR="00FE672B" w:rsidRPr="00E96025">
        <w:t>modifica</w:t>
      </w:r>
      <w:r w:rsidR="003824F2" w:rsidRPr="00E96025">
        <w:t>r</w:t>
      </w:r>
      <w:r w:rsidR="00FE672B" w:rsidRPr="00E96025">
        <w:t xml:space="preserve"> la solicitud inicial de aprobación de ingresos presentada por Empresas Municipales de Cartago E.S.P.</w:t>
      </w:r>
      <w:r w:rsidR="000C522D">
        <w:t>,</w:t>
      </w:r>
      <w:r w:rsidR="00FE672B" w:rsidRPr="00E96025">
        <w:t xml:space="preserve"> </w:t>
      </w:r>
      <w:r w:rsidR="003824F2" w:rsidRPr="00E96025">
        <w:t>y no versa sobre la decisión contenida en</w:t>
      </w:r>
      <w:r w:rsidR="003824F2">
        <w:t xml:space="preserve"> la Resolución CREG 019 de 2020, </w:t>
      </w:r>
      <w:r>
        <w:t>esta Comisión no acepta lo solicitado en la petición principal</w:t>
      </w:r>
      <w:r w:rsidR="000C522D">
        <w:t>,</w:t>
      </w:r>
      <w:r>
        <w:t xml:space="preserve"> y procede a revisar la petición accesoria de este recurso.</w:t>
      </w:r>
    </w:p>
    <w:p w14:paraId="2DF47B53" w14:textId="20A8D977" w:rsidR="00A169DC" w:rsidRDefault="00A169DC" w:rsidP="00F94902">
      <w:r>
        <w:rPr>
          <w:b/>
          <w:bCs/>
        </w:rPr>
        <w:t>Pretensión accesoria – plan de inversiones</w:t>
      </w:r>
    </w:p>
    <w:p w14:paraId="35A8761E" w14:textId="77777777" w:rsidR="003B5A66" w:rsidRPr="003B5A66" w:rsidRDefault="003B5A66" w:rsidP="000C522D">
      <w:pPr>
        <w:spacing w:before="60" w:afterLines="60" w:after="144"/>
        <w:ind w:left="284"/>
        <w:rPr>
          <w:b/>
          <w:bCs/>
          <w:i/>
          <w:iCs/>
          <w:sz w:val="22"/>
          <w:szCs w:val="22"/>
        </w:rPr>
      </w:pPr>
      <w:r w:rsidRPr="003B5A66">
        <w:rPr>
          <w:b/>
          <w:bCs/>
          <w:i/>
          <w:iCs/>
          <w:sz w:val="22"/>
          <w:szCs w:val="22"/>
        </w:rPr>
        <w:t xml:space="preserve">3.2. Accesoria </w:t>
      </w:r>
    </w:p>
    <w:p w14:paraId="0C61D3EC" w14:textId="77777777" w:rsidR="003B5A66" w:rsidRDefault="003B5A66" w:rsidP="000C522D">
      <w:pPr>
        <w:spacing w:before="60" w:afterLines="60" w:after="144"/>
        <w:ind w:left="284"/>
        <w:rPr>
          <w:i/>
          <w:iCs/>
          <w:sz w:val="22"/>
          <w:szCs w:val="22"/>
        </w:rPr>
      </w:pPr>
      <w:r w:rsidRPr="003B5A66">
        <w:rPr>
          <w:i/>
          <w:iCs/>
          <w:sz w:val="22"/>
          <w:szCs w:val="22"/>
        </w:rPr>
        <w:t xml:space="preserve">En caso de que la Comisión de Regulación no acoja la pretensión principal de este escrito, se solicita: </w:t>
      </w:r>
    </w:p>
    <w:p w14:paraId="37739E14" w14:textId="1AC82C8D" w:rsidR="003B5A66" w:rsidRPr="003B5A66" w:rsidRDefault="003B5A66" w:rsidP="000C522D">
      <w:pPr>
        <w:spacing w:before="60" w:afterLines="60" w:after="144"/>
        <w:ind w:left="284"/>
        <w:rPr>
          <w:b/>
          <w:bCs/>
          <w:i/>
          <w:iCs/>
          <w:sz w:val="22"/>
          <w:szCs w:val="22"/>
        </w:rPr>
      </w:pPr>
      <w:r w:rsidRPr="003B5A66">
        <w:rPr>
          <w:b/>
          <w:bCs/>
          <w:i/>
          <w:iCs/>
          <w:sz w:val="22"/>
          <w:szCs w:val="22"/>
        </w:rPr>
        <w:t>3.2.1 Respecto al plan de Inversiones</w:t>
      </w:r>
    </w:p>
    <w:p w14:paraId="35CE726C" w14:textId="77777777" w:rsidR="004557E4" w:rsidRPr="003B5A66" w:rsidRDefault="004557E4" w:rsidP="000C522D">
      <w:pPr>
        <w:pStyle w:val="Prrafodelista"/>
        <w:numPr>
          <w:ilvl w:val="0"/>
          <w:numId w:val="11"/>
        </w:numPr>
        <w:spacing w:before="60" w:afterLines="60" w:after="144"/>
        <w:ind w:left="567"/>
        <w:rPr>
          <w:i/>
          <w:iCs/>
          <w:sz w:val="20"/>
        </w:rPr>
      </w:pPr>
      <w:r w:rsidRPr="003B5A66">
        <w:rPr>
          <w:i/>
          <w:iCs/>
          <w:sz w:val="20"/>
        </w:rPr>
        <w:t xml:space="preserve">Que permita la modificación del proyecto 4.1 para cumplimiento en el año tres (3). No obstante, se propone a la CREG permitir ejecutar el monto asociado al proyecto en otros activos que el sistema requiere, como el adelanto en la ejecución de los proyectos 5.1 y 5.2, planeados para los años 3 (2021) y 4 (2022) respectivamente. </w:t>
      </w:r>
    </w:p>
    <w:p w14:paraId="4C087446" w14:textId="77777777" w:rsidR="004557E4" w:rsidRPr="003B5A66" w:rsidRDefault="004557E4" w:rsidP="000C522D">
      <w:pPr>
        <w:pStyle w:val="Prrafodelista"/>
        <w:numPr>
          <w:ilvl w:val="0"/>
          <w:numId w:val="11"/>
        </w:numPr>
        <w:spacing w:before="60" w:afterLines="60" w:after="144"/>
        <w:ind w:left="567"/>
        <w:rPr>
          <w:i/>
          <w:iCs/>
          <w:sz w:val="20"/>
        </w:rPr>
      </w:pPr>
      <w:r w:rsidRPr="003B5A66">
        <w:rPr>
          <w:i/>
          <w:iCs/>
          <w:sz w:val="20"/>
        </w:rPr>
        <w:t xml:space="preserve">Que el proyecto 4.4 sea incluido para ejecución en el año cinco (5) tal como lo tenía previsto Emcartago dentro del plan de inversiones propuesto a la CREG </w:t>
      </w:r>
    </w:p>
    <w:p w14:paraId="7B616F80" w14:textId="77777777" w:rsidR="004557E4" w:rsidRPr="003B5A66" w:rsidRDefault="004557E4" w:rsidP="000C522D">
      <w:pPr>
        <w:pStyle w:val="Prrafodelista"/>
        <w:numPr>
          <w:ilvl w:val="0"/>
          <w:numId w:val="11"/>
        </w:numPr>
        <w:spacing w:before="60" w:afterLines="60" w:after="144"/>
        <w:ind w:left="567"/>
        <w:rPr>
          <w:i/>
          <w:iCs/>
          <w:sz w:val="20"/>
        </w:rPr>
      </w:pPr>
      <w:r w:rsidRPr="003B5A66">
        <w:rPr>
          <w:i/>
          <w:iCs/>
          <w:sz w:val="20"/>
        </w:rPr>
        <w:t xml:space="preserve">Que el proyecto 7 sea aprobado de acuerdo con los valores antes presentados y sumando los valores que se presentaron por plan de pérdidas equivalente a $ 2.450.303.230. </w:t>
      </w:r>
    </w:p>
    <w:p w14:paraId="413FF93E" w14:textId="77777777" w:rsidR="00A169DC" w:rsidRPr="00A169DC" w:rsidRDefault="00A169DC" w:rsidP="00A169DC">
      <w:pPr>
        <w:ind w:left="360" w:hanging="360"/>
        <w:rPr>
          <w:b/>
          <w:bCs/>
        </w:rPr>
      </w:pPr>
      <w:r w:rsidRPr="00A169DC">
        <w:rPr>
          <w:b/>
          <w:bCs/>
        </w:rPr>
        <w:t>Análisis de la Comisión</w:t>
      </w:r>
    </w:p>
    <w:p w14:paraId="7BD574C9" w14:textId="065DED1D" w:rsidR="00F94902" w:rsidRDefault="004B68F4" w:rsidP="0023598E">
      <w:r>
        <w:lastRenderedPageBreak/>
        <w:t xml:space="preserve">En el sustento del recurso </w:t>
      </w:r>
      <w:r w:rsidR="004557E4">
        <w:t>El OR señala lo siguiente</w:t>
      </w:r>
      <w:r>
        <w:t xml:space="preserve">: </w:t>
      </w:r>
    </w:p>
    <w:p w14:paraId="75B48350" w14:textId="291E850E" w:rsidR="004B68F4" w:rsidRPr="007B6C0B" w:rsidRDefault="004B68F4" w:rsidP="000C522D">
      <w:pPr>
        <w:ind w:left="284"/>
        <w:rPr>
          <w:i/>
          <w:iCs/>
          <w:sz w:val="20"/>
          <w:szCs w:val="20"/>
        </w:rPr>
      </w:pPr>
      <w:r w:rsidRPr="007B6C0B">
        <w:rPr>
          <w:b/>
          <w:bCs/>
          <w:i/>
          <w:iCs/>
          <w:sz w:val="20"/>
          <w:szCs w:val="20"/>
        </w:rPr>
        <w:t>2.1.1 Observación:</w:t>
      </w:r>
      <w:r w:rsidRPr="007B6C0B">
        <w:rPr>
          <w:i/>
          <w:iCs/>
          <w:sz w:val="20"/>
          <w:szCs w:val="20"/>
        </w:rPr>
        <w:t xml:space="preserve"> el reconocimiento del Centro de Control, tal y cómo está solicitado dentro del plan de inversiones propuesto por EMCARTAGO, se encuentra en el año 1 (2019) tanto en la Resolución CREG019 de 2020 como en el archivo de solicitud de ingresos aprobados y enviados por la Comisión; sin embargo, en el anexo del INVA reconocido, enviado por la Comisión, se indica el año 2 (2020). Por favor corregir el anexo.</w:t>
      </w:r>
    </w:p>
    <w:p w14:paraId="0DF4785E" w14:textId="77777777" w:rsidR="007B6C0B" w:rsidRDefault="00A406BE" w:rsidP="0023598E">
      <w:r>
        <w:t xml:space="preserve">Se verificó que la información de fecha de entrada en operación relacionada en el archivo </w:t>
      </w:r>
      <w:r w:rsidRPr="00F144BE">
        <w:rPr>
          <w:i/>
          <w:iCs/>
        </w:rPr>
        <w:t>Inventario reconocido INVA OR – Cartago.xls</w:t>
      </w:r>
      <w:r>
        <w:rPr>
          <w:i/>
          <w:iCs/>
        </w:rPr>
        <w:t xml:space="preserve"> </w:t>
      </w:r>
      <w:r>
        <w:t>no corresponde con la fecha de entrada en operación reportada por el OR y empleada para el cálculo del plan de inversiones aprobado</w:t>
      </w:r>
      <w:r w:rsidR="007B6C0B">
        <w:t>.</w:t>
      </w:r>
    </w:p>
    <w:p w14:paraId="1ED6C9C4" w14:textId="101C6695" w:rsidR="00A406BE" w:rsidRDefault="007B6C0B" w:rsidP="0023598E">
      <w:r>
        <w:t xml:space="preserve">Por lo anterior, </w:t>
      </w:r>
      <w:r w:rsidR="00A406BE">
        <w:t>se ajusta</w:t>
      </w:r>
      <w:r>
        <w:t xml:space="preserve"> el archivo considerando la fecha de entrada en operación correspondiente</w:t>
      </w:r>
      <w:r w:rsidR="003824F2">
        <w:t>.</w:t>
      </w:r>
      <w:r>
        <w:t xml:space="preserve"> </w:t>
      </w:r>
      <w:r w:rsidR="003824F2">
        <w:t>S</w:t>
      </w:r>
      <w:r>
        <w:t xml:space="preserve">e aclara que este ajuste no genera </w:t>
      </w:r>
      <w:r w:rsidR="00A406BE">
        <w:t>modificaciones en los valores del plan.</w:t>
      </w:r>
    </w:p>
    <w:p w14:paraId="03FFD335" w14:textId="08564B49" w:rsidR="004557E4" w:rsidRDefault="004557E4" w:rsidP="0023598E">
      <w:r>
        <w:t>El OR señala lo siguiente:</w:t>
      </w:r>
    </w:p>
    <w:p w14:paraId="23825A29" w14:textId="5980E801" w:rsidR="00A406BE" w:rsidRPr="007B6C0B" w:rsidRDefault="00A406BE" w:rsidP="000C522D">
      <w:pPr>
        <w:spacing w:before="60" w:after="60"/>
        <w:ind w:left="284"/>
        <w:rPr>
          <w:i/>
          <w:iCs/>
          <w:sz w:val="20"/>
          <w:szCs w:val="20"/>
        </w:rPr>
      </w:pPr>
      <w:r w:rsidRPr="007B6C0B">
        <w:rPr>
          <w:b/>
          <w:bCs/>
          <w:i/>
          <w:iCs/>
          <w:sz w:val="20"/>
          <w:szCs w:val="20"/>
        </w:rPr>
        <w:t>2.1.2</w:t>
      </w:r>
      <w:r w:rsidRPr="007B6C0B">
        <w:rPr>
          <w:i/>
          <w:iCs/>
          <w:sz w:val="20"/>
          <w:szCs w:val="20"/>
        </w:rPr>
        <w:t xml:space="preserve"> Las inversiones propuestas en el plan 2019-2023, fueron incluidas y enviadas a la Comisión previo a la llegada del Aliado Estratégico, quién será desde el 14 de abril de 2020 responsable de planear, operar y mantener las redes de EMCARTAGO, por este motivo, y en particular para las inversiones del año dos (2) relacionadas con el proyecto 4.1 Anillo 34.5 kV Etapa I, respetuosamente </w:t>
      </w:r>
      <w:r w:rsidRPr="007B6C0B">
        <w:rPr>
          <w:i/>
          <w:iCs/>
          <w:sz w:val="20"/>
          <w:szCs w:val="20"/>
          <w:u w:val="single"/>
        </w:rPr>
        <w:t>se solicita aplazar la ejecución de este proyecto para el año tres (3)</w:t>
      </w:r>
      <w:r w:rsidRPr="007B6C0B">
        <w:rPr>
          <w:i/>
          <w:iCs/>
          <w:sz w:val="20"/>
          <w:szCs w:val="20"/>
        </w:rPr>
        <w:t xml:space="preserve"> lo anterior soportado en las razones:</w:t>
      </w:r>
    </w:p>
    <w:p w14:paraId="1A7A2086" w14:textId="77777777" w:rsidR="00A406BE" w:rsidRPr="007B6C0B" w:rsidRDefault="00A406BE" w:rsidP="000C522D">
      <w:pPr>
        <w:spacing w:before="60" w:after="60"/>
        <w:ind w:left="284"/>
        <w:rPr>
          <w:i/>
          <w:iCs/>
          <w:sz w:val="20"/>
          <w:szCs w:val="20"/>
        </w:rPr>
      </w:pPr>
      <w:r w:rsidRPr="007B6C0B">
        <w:rPr>
          <w:i/>
          <w:iCs/>
          <w:sz w:val="20"/>
          <w:szCs w:val="20"/>
        </w:rPr>
        <w:t xml:space="preserve">a. Emcartago no ha solicitado estudio, ni contrato de conexión con el operador de red Celsia: se advierte que de acuerdo con la capacidad que requiere la línea, Celsia debería repotenciar los transformadores de la Subestación Cartago para hacer posible la ejecución de este proyecto. </w:t>
      </w:r>
    </w:p>
    <w:p w14:paraId="26CCDC9A" w14:textId="77777777" w:rsidR="00A406BE" w:rsidRPr="007B6C0B" w:rsidRDefault="00A406BE" w:rsidP="000C522D">
      <w:pPr>
        <w:spacing w:before="60" w:after="60"/>
        <w:ind w:left="284"/>
        <w:rPr>
          <w:i/>
          <w:iCs/>
          <w:sz w:val="20"/>
          <w:szCs w:val="20"/>
        </w:rPr>
      </w:pPr>
      <w:r w:rsidRPr="007B6C0B">
        <w:rPr>
          <w:i/>
          <w:iCs/>
          <w:sz w:val="20"/>
          <w:szCs w:val="20"/>
        </w:rPr>
        <w:t xml:space="preserve">b. Para el recorrido de la línea Emcartago a la fecha no ha gestionado diseños, ingeniería de detalle, permisos ni servidumbres, esperando que esta actividad la ejecute el aliado estratégico </w:t>
      </w:r>
    </w:p>
    <w:p w14:paraId="5C714023" w14:textId="64AB6ED4" w:rsidR="00C766DB" w:rsidRPr="007B6C0B" w:rsidRDefault="00A406BE" w:rsidP="000C522D">
      <w:pPr>
        <w:spacing w:before="60" w:after="60"/>
        <w:ind w:left="284"/>
        <w:rPr>
          <w:i/>
          <w:iCs/>
          <w:sz w:val="20"/>
          <w:szCs w:val="20"/>
        </w:rPr>
      </w:pPr>
      <w:r w:rsidRPr="007B6C0B">
        <w:rPr>
          <w:i/>
          <w:iCs/>
          <w:sz w:val="20"/>
          <w:szCs w:val="20"/>
        </w:rPr>
        <w:t>c. Emcartago no ha realizado procesos de contratación para suministro de equipo ni materiales</w:t>
      </w:r>
      <w:r w:rsidR="001916F7">
        <w:rPr>
          <w:i/>
          <w:iCs/>
          <w:sz w:val="20"/>
          <w:szCs w:val="20"/>
        </w:rPr>
        <w:t xml:space="preserve">.  </w:t>
      </w:r>
      <w:r w:rsidR="00C766DB" w:rsidRPr="001916F7">
        <w:rPr>
          <w:b/>
          <w:bCs/>
          <w:i/>
          <w:iCs/>
          <w:sz w:val="20"/>
          <w:szCs w:val="20"/>
        </w:rPr>
        <w:t>Subrayado fuera de texto</w:t>
      </w:r>
      <w:r w:rsidR="00C766DB" w:rsidRPr="007B6C0B">
        <w:rPr>
          <w:i/>
          <w:iCs/>
          <w:sz w:val="20"/>
          <w:szCs w:val="20"/>
        </w:rPr>
        <w:t>.</w:t>
      </w:r>
    </w:p>
    <w:p w14:paraId="62E0F263" w14:textId="6D31E754" w:rsidR="004B68F4" w:rsidRDefault="00A406BE" w:rsidP="0023598E">
      <w:r>
        <w:t>Se entiende que se solicita una modificación al plan de inversiones, por lo cual se reitera que el recurso de reposición es una instancia de revisión</w:t>
      </w:r>
      <w:r w:rsidR="003824F2">
        <w:t xml:space="preserve"> de la decisión tomada en el acto administrativo</w:t>
      </w:r>
      <w:r w:rsidR="000C522D">
        <w:t>,</w:t>
      </w:r>
      <w:r>
        <w:t xml:space="preserve"> y no de modificación de la información empleada en la actuación administrativa.</w:t>
      </w:r>
    </w:p>
    <w:p w14:paraId="1B22261D" w14:textId="384D6A45" w:rsidR="00A406BE" w:rsidRDefault="00B17D1F" w:rsidP="0023598E">
      <w:r>
        <w:t xml:space="preserve">De otra parte, se señala que en el numeral 6.6 de la Resolución CREG 015 de 2018 se establece la posibilidad de solicitar ajustes a los planes de inversiones cada dos años, por lo cual, la modificación que se solicita puede </w:t>
      </w:r>
      <w:r w:rsidR="007B6C0B">
        <w:t>realiza</w:t>
      </w:r>
      <w:r w:rsidR="0040566D">
        <w:t>r</w:t>
      </w:r>
      <w:r w:rsidR="007B6C0B">
        <w:t xml:space="preserve">se con base en </w:t>
      </w:r>
      <w:r>
        <w:t xml:space="preserve">los </w:t>
      </w:r>
      <w:r w:rsidR="0040566D">
        <w:t xml:space="preserve">plazos y </w:t>
      </w:r>
      <w:r>
        <w:t xml:space="preserve">mecanismos </w:t>
      </w:r>
      <w:r w:rsidR="007B6C0B">
        <w:t xml:space="preserve">previstos en </w:t>
      </w:r>
      <w:r>
        <w:t xml:space="preserve">la metodología. </w:t>
      </w:r>
    </w:p>
    <w:p w14:paraId="16EC416E" w14:textId="77777777" w:rsidR="00B17D1F" w:rsidRPr="0040566D" w:rsidRDefault="00B17D1F" w:rsidP="000C522D">
      <w:pPr>
        <w:spacing w:before="60" w:after="60"/>
        <w:ind w:left="284"/>
        <w:rPr>
          <w:b/>
          <w:i/>
          <w:iCs/>
          <w:sz w:val="20"/>
          <w:szCs w:val="20"/>
        </w:rPr>
      </w:pPr>
      <w:r w:rsidRPr="0040566D">
        <w:rPr>
          <w:b/>
          <w:i/>
          <w:iCs/>
          <w:sz w:val="20"/>
          <w:szCs w:val="20"/>
        </w:rPr>
        <w:t>6.6 Ajuste de los planes de inversión</w:t>
      </w:r>
    </w:p>
    <w:p w14:paraId="0096D907" w14:textId="77777777" w:rsidR="00B17D1F" w:rsidRPr="0040566D" w:rsidRDefault="00B17D1F" w:rsidP="000C522D">
      <w:pPr>
        <w:spacing w:before="60" w:after="60"/>
        <w:ind w:left="284"/>
        <w:rPr>
          <w:i/>
          <w:iCs/>
          <w:sz w:val="20"/>
          <w:szCs w:val="20"/>
        </w:rPr>
      </w:pPr>
      <w:r w:rsidRPr="0040566D">
        <w:rPr>
          <w:i/>
          <w:iCs/>
          <w:sz w:val="20"/>
          <w:szCs w:val="20"/>
          <w:u w:val="single"/>
        </w:rPr>
        <w:t>Los OR pueden solicitar la revisión de los planes de inversión cada dos años contados a partir del 1 de enero del primer año del plan de inversiones</w:t>
      </w:r>
      <w:r w:rsidRPr="0040566D">
        <w:rPr>
          <w:i/>
          <w:iCs/>
          <w:sz w:val="20"/>
          <w:szCs w:val="20"/>
        </w:rPr>
        <w:t>. Sin embargo, un OR podrá solicitar una primera revisión durante el primer año del plan de inversiones.</w:t>
      </w:r>
    </w:p>
    <w:p w14:paraId="3610A0A2" w14:textId="77777777" w:rsidR="00B17D1F" w:rsidRPr="0040566D" w:rsidRDefault="00B17D1F" w:rsidP="000C522D">
      <w:pPr>
        <w:spacing w:before="60" w:after="60"/>
        <w:ind w:left="284"/>
        <w:rPr>
          <w:i/>
          <w:iCs/>
          <w:sz w:val="20"/>
          <w:szCs w:val="20"/>
        </w:rPr>
      </w:pPr>
      <w:r w:rsidRPr="0040566D">
        <w:rPr>
          <w:i/>
          <w:iCs/>
          <w:sz w:val="20"/>
          <w:szCs w:val="20"/>
        </w:rPr>
        <w:t>Los lineamientos para la realización de los ajustes al plan de inversión son los siguientes:</w:t>
      </w:r>
    </w:p>
    <w:p w14:paraId="45EF4DB1" w14:textId="3EA09628" w:rsidR="004557E4" w:rsidRPr="001916F7" w:rsidRDefault="00B17D1F" w:rsidP="000C522D">
      <w:pPr>
        <w:pStyle w:val="Prrafodelista"/>
        <w:numPr>
          <w:ilvl w:val="0"/>
          <w:numId w:val="0"/>
        </w:numPr>
        <w:spacing w:before="60" w:after="60"/>
        <w:ind w:left="284"/>
        <w:rPr>
          <w:i/>
          <w:iCs/>
          <w:sz w:val="20"/>
          <w:szCs w:val="16"/>
        </w:rPr>
      </w:pPr>
      <w:r w:rsidRPr="001916F7">
        <w:rPr>
          <w:i/>
          <w:iCs/>
          <w:sz w:val="20"/>
          <w:szCs w:val="16"/>
        </w:rPr>
        <w:t>La solicitud de ajuste del plan deberá realizarse a más tardar en el mes de agosto del año previo al que se va a ajustar y deberá aplicar los criterios y lineamientos establecidos en el numeral 6.1 y contener lo solicitado en el numeral 6.3. Para la solicitud durante el primer año del plan, el plazo es hasta diciembre de ese año.</w:t>
      </w:r>
      <w:r w:rsidR="004557E4" w:rsidRPr="001916F7">
        <w:rPr>
          <w:i/>
          <w:iCs/>
          <w:sz w:val="20"/>
          <w:szCs w:val="16"/>
        </w:rPr>
        <w:t xml:space="preserve"> (…)</w:t>
      </w:r>
      <w:r w:rsidR="001916F7" w:rsidRPr="001916F7">
        <w:rPr>
          <w:i/>
          <w:iCs/>
          <w:sz w:val="20"/>
          <w:szCs w:val="16"/>
        </w:rPr>
        <w:t xml:space="preserve"> </w:t>
      </w:r>
      <w:r w:rsidR="004557E4" w:rsidRPr="001916F7">
        <w:rPr>
          <w:b/>
          <w:bCs/>
          <w:i/>
          <w:iCs/>
          <w:sz w:val="20"/>
          <w:szCs w:val="16"/>
        </w:rPr>
        <w:t>Subrayado fuera de texto</w:t>
      </w:r>
      <w:r w:rsidR="004557E4" w:rsidRPr="001916F7">
        <w:rPr>
          <w:i/>
          <w:iCs/>
          <w:sz w:val="20"/>
          <w:szCs w:val="16"/>
        </w:rPr>
        <w:t>.</w:t>
      </w:r>
    </w:p>
    <w:p w14:paraId="76A6A748" w14:textId="6029FEAD" w:rsidR="004557E4" w:rsidRDefault="00271C36" w:rsidP="0023598E">
      <w:r>
        <w:t xml:space="preserve">En relación con los criterios generales para la formulación y presentación del plan de inversiones la metodología establece lo siguiente: </w:t>
      </w:r>
    </w:p>
    <w:p w14:paraId="0D5AD66F" w14:textId="3176ECCF" w:rsidR="004557E4" w:rsidRPr="0040566D" w:rsidRDefault="004557E4" w:rsidP="000C522D">
      <w:pPr>
        <w:spacing w:before="60" w:after="60"/>
        <w:ind w:left="284"/>
        <w:rPr>
          <w:b/>
          <w:bCs/>
          <w:i/>
          <w:iCs/>
          <w:sz w:val="20"/>
          <w:szCs w:val="20"/>
        </w:rPr>
      </w:pPr>
      <w:bookmarkStart w:id="1" w:name="_Toc408493190"/>
      <w:bookmarkStart w:id="2" w:name="_Toc440029137"/>
      <w:bookmarkStart w:id="3" w:name="_Toc460840626"/>
      <w:bookmarkStart w:id="4" w:name="_Toc504809456"/>
      <w:bookmarkStart w:id="5" w:name="_Ref505067698"/>
      <w:bookmarkStart w:id="6" w:name="_Ref505069335"/>
      <w:bookmarkStart w:id="7" w:name="_Toc505335964"/>
      <w:r w:rsidRPr="0040566D">
        <w:rPr>
          <w:b/>
          <w:bCs/>
          <w:i/>
          <w:iCs/>
          <w:sz w:val="20"/>
          <w:szCs w:val="20"/>
        </w:rPr>
        <w:t>6.1 Criterios de generales</w:t>
      </w:r>
      <w:bookmarkEnd w:id="1"/>
      <w:bookmarkEnd w:id="2"/>
      <w:bookmarkEnd w:id="3"/>
      <w:bookmarkEnd w:id="4"/>
      <w:bookmarkEnd w:id="5"/>
      <w:bookmarkEnd w:id="6"/>
      <w:bookmarkEnd w:id="7"/>
    </w:p>
    <w:p w14:paraId="70E10B7B" w14:textId="77777777" w:rsidR="004557E4" w:rsidRPr="0040566D" w:rsidRDefault="004557E4" w:rsidP="000C522D">
      <w:pPr>
        <w:spacing w:before="60" w:after="60"/>
        <w:ind w:left="284"/>
        <w:rPr>
          <w:i/>
          <w:iCs/>
          <w:sz w:val="20"/>
          <w:szCs w:val="20"/>
        </w:rPr>
      </w:pPr>
      <w:r w:rsidRPr="0040566D">
        <w:rPr>
          <w:i/>
          <w:iCs/>
          <w:sz w:val="20"/>
          <w:szCs w:val="20"/>
        </w:rPr>
        <w:t>Los criterios generales que el OR debe aplicar para la formulación y presentación del plan de inversión son los siguientes:</w:t>
      </w:r>
    </w:p>
    <w:p w14:paraId="056074EE" w14:textId="77777777" w:rsidR="004557E4" w:rsidRPr="0040566D" w:rsidRDefault="004557E4" w:rsidP="000C522D">
      <w:pPr>
        <w:pStyle w:val="Prrafodelista"/>
        <w:numPr>
          <w:ilvl w:val="0"/>
          <w:numId w:val="15"/>
        </w:numPr>
        <w:spacing w:before="60" w:after="60"/>
        <w:ind w:left="708" w:hanging="424"/>
        <w:rPr>
          <w:i/>
          <w:iCs/>
          <w:sz w:val="20"/>
        </w:rPr>
      </w:pPr>
      <w:r w:rsidRPr="0040566D">
        <w:rPr>
          <w:i/>
          <w:iCs/>
          <w:sz w:val="20"/>
        </w:rPr>
        <w:t xml:space="preserve">La identificación, evaluación de alternativas, valoración, </w:t>
      </w:r>
      <w:r w:rsidRPr="0040566D">
        <w:rPr>
          <w:i/>
          <w:iCs/>
          <w:sz w:val="20"/>
          <w:u w:val="single"/>
        </w:rPr>
        <w:t>priorización y ejecución de los proyectos de inversión es responsabilidad del OR</w:t>
      </w:r>
      <w:r w:rsidRPr="0040566D">
        <w:rPr>
          <w:i/>
          <w:iCs/>
          <w:sz w:val="20"/>
        </w:rPr>
        <w:t xml:space="preserve">. </w:t>
      </w:r>
    </w:p>
    <w:p w14:paraId="1896880B" w14:textId="444AD1D3" w:rsidR="004557E4" w:rsidRPr="0040566D" w:rsidRDefault="004557E4" w:rsidP="000C522D">
      <w:pPr>
        <w:pStyle w:val="Prrafodelista"/>
        <w:numPr>
          <w:ilvl w:val="0"/>
          <w:numId w:val="15"/>
        </w:numPr>
        <w:spacing w:before="60" w:after="60"/>
        <w:ind w:left="708" w:hanging="424"/>
        <w:rPr>
          <w:i/>
          <w:iCs/>
          <w:sz w:val="20"/>
        </w:rPr>
      </w:pPr>
      <w:r w:rsidRPr="0040566D">
        <w:rPr>
          <w:i/>
          <w:iCs/>
          <w:sz w:val="20"/>
        </w:rPr>
        <w:lastRenderedPageBreak/>
        <w:t xml:space="preserve">En el plan de inversión se debe analizar, cuantificar y valorar las necesidades de los usuarios y del mercado de comercialización atendido por el OR. Así como </w:t>
      </w:r>
      <w:r w:rsidRPr="0040566D">
        <w:rPr>
          <w:i/>
          <w:iCs/>
          <w:sz w:val="20"/>
          <w:u w:val="single"/>
        </w:rPr>
        <w:t>las diferentes alternativas consideradas para la solución de las necesidades identificadas</w:t>
      </w:r>
      <w:r w:rsidRPr="0040566D">
        <w:rPr>
          <w:i/>
          <w:iCs/>
          <w:sz w:val="20"/>
        </w:rPr>
        <w:t>.</w:t>
      </w:r>
    </w:p>
    <w:p w14:paraId="61EDDFF7" w14:textId="77777777" w:rsidR="004557E4" w:rsidRPr="0040566D" w:rsidRDefault="004557E4" w:rsidP="000C522D">
      <w:pPr>
        <w:pStyle w:val="Prrafodelista"/>
        <w:numPr>
          <w:ilvl w:val="0"/>
          <w:numId w:val="15"/>
        </w:numPr>
        <w:spacing w:before="60" w:after="60"/>
        <w:ind w:left="708" w:hanging="424"/>
        <w:rPr>
          <w:i/>
          <w:iCs/>
          <w:sz w:val="20"/>
        </w:rPr>
      </w:pPr>
      <w:r w:rsidRPr="0040566D">
        <w:rPr>
          <w:i/>
          <w:iCs/>
          <w:sz w:val="20"/>
        </w:rPr>
        <w:t xml:space="preserve">El horizonte de planeación del plan de inversión es de largo plazo (diez años) y los proyectos de inversión incluidos en la solicitud de remuneración deben corresponder a aquellos en un horizonte de ejecución de mediano plazo (cinco años). </w:t>
      </w:r>
    </w:p>
    <w:p w14:paraId="7DB5FBFD" w14:textId="77777777" w:rsidR="004557E4" w:rsidRPr="0040566D" w:rsidRDefault="004557E4" w:rsidP="000C522D">
      <w:pPr>
        <w:pStyle w:val="Prrafodelista"/>
        <w:numPr>
          <w:ilvl w:val="0"/>
          <w:numId w:val="15"/>
        </w:numPr>
        <w:spacing w:before="60" w:after="60"/>
        <w:ind w:left="708" w:hanging="424"/>
        <w:rPr>
          <w:i/>
          <w:iCs/>
          <w:sz w:val="20"/>
        </w:rPr>
      </w:pPr>
      <w:r w:rsidRPr="0040566D">
        <w:rPr>
          <w:i/>
          <w:iCs/>
          <w:sz w:val="20"/>
        </w:rPr>
        <w:t>Todos los proyectos incluidos en el plan deben permitir el cumplimiento de las metas propuestas por los OR en los horizontes de planeación señalados.</w:t>
      </w:r>
    </w:p>
    <w:p w14:paraId="49912361" w14:textId="77777777" w:rsidR="004557E4" w:rsidRPr="0040566D" w:rsidRDefault="004557E4" w:rsidP="000C522D">
      <w:pPr>
        <w:pStyle w:val="Prrafodelista"/>
        <w:numPr>
          <w:ilvl w:val="0"/>
          <w:numId w:val="15"/>
        </w:numPr>
        <w:spacing w:before="60" w:after="60"/>
        <w:ind w:left="708" w:hanging="424"/>
        <w:rPr>
          <w:i/>
          <w:iCs/>
          <w:sz w:val="20"/>
        </w:rPr>
      </w:pPr>
      <w:r w:rsidRPr="0040566D">
        <w:rPr>
          <w:i/>
          <w:iCs/>
          <w:sz w:val="20"/>
        </w:rPr>
        <w:t xml:space="preserve">Las metas que se tracen los OR para la expansión, reposición, calidad del servicio y reducción y mantenimiento de los niveles de pérdidas </w:t>
      </w:r>
      <w:r w:rsidRPr="0040566D">
        <w:rPr>
          <w:i/>
          <w:iCs/>
          <w:sz w:val="20"/>
          <w:u w:val="single"/>
        </w:rPr>
        <w:t>deben ser alcanzables en el horizonte de tiempo del plan y deben corresponder con la situación actual y futura del mercado de comercialización</w:t>
      </w:r>
      <w:r w:rsidRPr="0040566D">
        <w:rPr>
          <w:i/>
          <w:iCs/>
          <w:sz w:val="20"/>
        </w:rPr>
        <w:t>.</w:t>
      </w:r>
    </w:p>
    <w:p w14:paraId="7D8E3841" w14:textId="54A1A3C9" w:rsidR="00271C36" w:rsidRPr="001916F7" w:rsidRDefault="004557E4" w:rsidP="000C522D">
      <w:pPr>
        <w:pStyle w:val="Prrafodelista"/>
        <w:numPr>
          <w:ilvl w:val="0"/>
          <w:numId w:val="15"/>
        </w:numPr>
        <w:spacing w:before="60" w:after="60"/>
        <w:ind w:left="708" w:hanging="424"/>
        <w:rPr>
          <w:i/>
          <w:iCs/>
          <w:sz w:val="20"/>
        </w:rPr>
      </w:pPr>
      <w:r w:rsidRPr="0040566D">
        <w:rPr>
          <w:i/>
          <w:iCs/>
          <w:sz w:val="20"/>
          <w:u w:val="single"/>
        </w:rPr>
        <w:t>Los planes deben ser flexibles y adaptables a la evolución del mercado de comercialización</w:t>
      </w:r>
      <w:r w:rsidRPr="0040566D">
        <w:rPr>
          <w:i/>
          <w:iCs/>
          <w:sz w:val="20"/>
        </w:rPr>
        <w:t xml:space="preserve">, además </w:t>
      </w:r>
      <w:r w:rsidRPr="0040566D">
        <w:rPr>
          <w:i/>
          <w:iCs/>
          <w:sz w:val="20"/>
          <w:u w:val="single"/>
        </w:rPr>
        <w:t>deben considerar los riesgos potenciales y las acciones para mitigarlos</w:t>
      </w:r>
      <w:r w:rsidRPr="0040566D">
        <w:rPr>
          <w:i/>
          <w:iCs/>
          <w:sz w:val="20"/>
        </w:rPr>
        <w:t xml:space="preserve">.   </w:t>
      </w:r>
      <w:r w:rsidR="00271C36" w:rsidRPr="0040566D">
        <w:rPr>
          <w:i/>
          <w:iCs/>
          <w:sz w:val="20"/>
        </w:rPr>
        <w:t xml:space="preserve">(…) </w:t>
      </w:r>
      <w:r w:rsidR="001916F7">
        <w:rPr>
          <w:i/>
          <w:iCs/>
          <w:sz w:val="20"/>
        </w:rPr>
        <w:t xml:space="preserve"> </w:t>
      </w:r>
      <w:r w:rsidR="00271C36" w:rsidRPr="001916F7">
        <w:rPr>
          <w:b/>
          <w:bCs/>
          <w:i/>
          <w:iCs/>
          <w:sz w:val="20"/>
        </w:rPr>
        <w:t>Subrayado fuera de texto</w:t>
      </w:r>
      <w:r w:rsidR="001916F7">
        <w:rPr>
          <w:b/>
          <w:bCs/>
          <w:i/>
          <w:iCs/>
          <w:sz w:val="20"/>
        </w:rPr>
        <w:t>.</w:t>
      </w:r>
    </w:p>
    <w:p w14:paraId="047A7D5A" w14:textId="2B1CEFB1" w:rsidR="00271C36" w:rsidRPr="00271C36" w:rsidRDefault="00271C36" w:rsidP="001916F7">
      <w:pPr>
        <w:ind w:right="284"/>
      </w:pPr>
      <w:r>
        <w:t>En el numeral 6.5 se definen los criterios generales para el seguimiento de los panes de inversión:</w:t>
      </w:r>
    </w:p>
    <w:p w14:paraId="0F1C49E8" w14:textId="4B44EECB" w:rsidR="00271C36" w:rsidRPr="0040566D" w:rsidRDefault="00271C36" w:rsidP="000C522D">
      <w:pPr>
        <w:spacing w:before="60" w:after="60"/>
        <w:ind w:left="284"/>
        <w:rPr>
          <w:b/>
          <w:bCs/>
          <w:i/>
          <w:iCs/>
          <w:sz w:val="20"/>
          <w:szCs w:val="20"/>
        </w:rPr>
      </w:pPr>
      <w:bookmarkStart w:id="8" w:name="_Toc408493199"/>
      <w:bookmarkStart w:id="9" w:name="_Toc440029145"/>
      <w:bookmarkStart w:id="10" w:name="_Ref445134330"/>
      <w:bookmarkStart w:id="11" w:name="_Toc460840633"/>
      <w:bookmarkStart w:id="12" w:name="_Ref461094861"/>
      <w:bookmarkStart w:id="13" w:name="_Ref461094885"/>
      <w:bookmarkStart w:id="14" w:name="_Ref461112004"/>
      <w:bookmarkStart w:id="15" w:name="_Ref476757995"/>
      <w:bookmarkStart w:id="16" w:name="_Toc504809466"/>
      <w:bookmarkStart w:id="17" w:name="_Toc505335974"/>
      <w:r w:rsidRPr="0040566D">
        <w:rPr>
          <w:b/>
          <w:bCs/>
          <w:i/>
          <w:iCs/>
          <w:sz w:val="20"/>
          <w:szCs w:val="20"/>
        </w:rPr>
        <w:t>6.5 Seguimiento de los planes de inversión</w:t>
      </w:r>
      <w:bookmarkEnd w:id="8"/>
      <w:bookmarkEnd w:id="9"/>
      <w:bookmarkEnd w:id="10"/>
      <w:bookmarkEnd w:id="11"/>
      <w:bookmarkEnd w:id="12"/>
      <w:bookmarkEnd w:id="13"/>
      <w:bookmarkEnd w:id="14"/>
      <w:bookmarkEnd w:id="15"/>
      <w:bookmarkEnd w:id="16"/>
      <w:bookmarkEnd w:id="17"/>
    </w:p>
    <w:p w14:paraId="4B4C017A" w14:textId="5BCDA85E" w:rsidR="00271C36" w:rsidRPr="0040566D" w:rsidRDefault="00271C36" w:rsidP="000C522D">
      <w:pPr>
        <w:spacing w:before="60" w:after="60"/>
        <w:ind w:left="284"/>
        <w:rPr>
          <w:i/>
          <w:iCs/>
          <w:sz w:val="20"/>
          <w:szCs w:val="20"/>
        </w:rPr>
      </w:pPr>
      <w:r w:rsidRPr="0040566D">
        <w:rPr>
          <w:i/>
          <w:iCs/>
          <w:sz w:val="20"/>
          <w:szCs w:val="20"/>
        </w:rPr>
        <w:t>El seguimiento de la ejecución del plan de inversión se realizará considerando como mínimo los siguientes lineamientos:</w:t>
      </w:r>
    </w:p>
    <w:p w14:paraId="5EAF1C96" w14:textId="77777777" w:rsidR="00271C36" w:rsidRPr="0040566D" w:rsidRDefault="00271C36" w:rsidP="000C522D">
      <w:pPr>
        <w:pStyle w:val="Prrafodelista"/>
        <w:numPr>
          <w:ilvl w:val="0"/>
          <w:numId w:val="20"/>
        </w:numPr>
        <w:spacing w:before="60" w:after="60"/>
        <w:ind w:left="708" w:hanging="424"/>
        <w:rPr>
          <w:i/>
          <w:iCs/>
          <w:sz w:val="20"/>
        </w:rPr>
      </w:pPr>
      <w:r w:rsidRPr="0040566D">
        <w:rPr>
          <w:i/>
          <w:iCs/>
          <w:sz w:val="20"/>
        </w:rPr>
        <w:t xml:space="preserve">Anualmente el OR deberá presentar un informe sobre la ejecución del plan de inversión en el cual se presente el avance de cada uno de los proyectos y los ajustes realizados. El formato y contenido mínimo del informe serán definidos por la Comisión en circular aparte. </w:t>
      </w:r>
    </w:p>
    <w:p w14:paraId="200DF72E" w14:textId="016D2E9B" w:rsidR="00C766DB" w:rsidRPr="001916F7" w:rsidRDefault="00271C36" w:rsidP="000C522D">
      <w:pPr>
        <w:pStyle w:val="Prrafodelista"/>
        <w:numPr>
          <w:ilvl w:val="0"/>
          <w:numId w:val="20"/>
        </w:numPr>
        <w:spacing w:before="60" w:after="60"/>
        <w:ind w:left="708" w:hanging="424"/>
        <w:rPr>
          <w:i/>
          <w:iCs/>
          <w:sz w:val="20"/>
        </w:rPr>
      </w:pPr>
      <w:r w:rsidRPr="0040566D">
        <w:rPr>
          <w:i/>
          <w:iCs/>
          <w:sz w:val="20"/>
          <w:u w:val="single"/>
        </w:rPr>
        <w:t>Los ajustes a los proyectos incluidos en el plan de inversión aprobado deben responder a la planeación de corto plazo adelantada por la empresa de acuerdo con lo establecido en la Resolución CREG 070 de 1998</w:t>
      </w:r>
      <w:r w:rsidRPr="0040566D">
        <w:rPr>
          <w:i/>
          <w:iCs/>
          <w:sz w:val="20"/>
        </w:rPr>
        <w:t xml:space="preserve"> o aquella que la modifique, complemento o sustituya. (…) </w:t>
      </w:r>
      <w:r w:rsidR="001916F7">
        <w:rPr>
          <w:i/>
          <w:iCs/>
          <w:sz w:val="20"/>
        </w:rPr>
        <w:t xml:space="preserve"> </w:t>
      </w:r>
      <w:r w:rsidR="00C766DB" w:rsidRPr="001916F7">
        <w:rPr>
          <w:b/>
          <w:bCs/>
          <w:i/>
          <w:iCs/>
          <w:sz w:val="20"/>
        </w:rPr>
        <w:t>Subrayado fuera de texto.</w:t>
      </w:r>
    </w:p>
    <w:p w14:paraId="3E65B975" w14:textId="76C56C0A" w:rsidR="003E7875" w:rsidRDefault="003E7875" w:rsidP="004557E4">
      <w:r>
        <w:t>S</w:t>
      </w:r>
      <w:r w:rsidR="00271C36">
        <w:t xml:space="preserve">e entiende que los OR son los responsables de </w:t>
      </w:r>
      <w:r w:rsidR="007B6C0B">
        <w:t xml:space="preserve">la </w:t>
      </w:r>
      <w:r w:rsidR="00271C36">
        <w:t>priorización y ejecución de los proyectos de inversión</w:t>
      </w:r>
      <w:r>
        <w:t xml:space="preserve">, </w:t>
      </w:r>
      <w:r w:rsidR="00271C36">
        <w:t xml:space="preserve">que </w:t>
      </w:r>
      <w:r>
        <w:t>los planes de inversión deben ser flexibles y adaptables a la evolución del mercado</w:t>
      </w:r>
      <w:r w:rsidR="000C522D">
        <w:t>,</w:t>
      </w:r>
      <w:r>
        <w:t xml:space="preserve"> y que deben considerar las acciones para mitigarlos. </w:t>
      </w:r>
      <w:r w:rsidR="0040566D">
        <w:t>L</w:t>
      </w:r>
      <w:r>
        <w:t>os ajustes en la ejecución de los proyectos incluidos en el plan aprobado deben responder a la planeación de corto plazo adelantada por la empresa</w:t>
      </w:r>
      <w:r w:rsidR="0040566D">
        <w:t xml:space="preserve"> </w:t>
      </w:r>
      <w:r>
        <w:t xml:space="preserve">conforme a lo establecido en la Resolución CREG 070 de 1998. </w:t>
      </w:r>
    </w:p>
    <w:p w14:paraId="3CAF824E" w14:textId="075BA095" w:rsidR="0040566D" w:rsidRDefault="00C45493" w:rsidP="004557E4">
      <w:r>
        <w:t xml:space="preserve">En </w:t>
      </w:r>
      <w:r w:rsidR="003E7875">
        <w:t xml:space="preserve">el numeral 3.1.1.2 </w:t>
      </w:r>
      <w:r>
        <w:t>se establece la f</w:t>
      </w:r>
      <w:r w:rsidR="001916F7">
        <w:t>ó</w:t>
      </w:r>
      <w:r>
        <w:t xml:space="preserve">rmula para definir el valor de los activos </w:t>
      </w:r>
      <w:r w:rsidRPr="004E6CFC">
        <w:t>puestos en operación en el sistema</w:t>
      </w:r>
      <w:r>
        <w:t xml:space="preserve">, considerando desviaciones en la ejecución respecto de los planes de inversión aprobados. </w:t>
      </w:r>
    </w:p>
    <w:p w14:paraId="4655C3EB" w14:textId="6C35FCB3" w:rsidR="00C45493" w:rsidRPr="00271C36" w:rsidRDefault="00C45493" w:rsidP="004557E4">
      <w:r>
        <w:t xml:space="preserve">En el numeral 3.1.1.2.3 se </w:t>
      </w:r>
      <w:r w:rsidR="0040566D">
        <w:t xml:space="preserve">define </w:t>
      </w:r>
      <w:r>
        <w:t>la fórmula para calcular el valor de las i</w:t>
      </w:r>
      <w:r w:rsidRPr="00C45493">
        <w:t>nversiones en activos puestos en operación</w:t>
      </w:r>
      <w:r>
        <w:t>, en la cual se incluyen únicamente las unidades constructivas que fueron puestas en operación</w:t>
      </w:r>
      <w:r w:rsidR="0040566D">
        <w:t xml:space="preserve">, que en algunos casos pueden ser diferentes a </w:t>
      </w:r>
      <w:r>
        <w:t>las incluidas en el plan de inversiones</w:t>
      </w:r>
      <w:r w:rsidR="0040566D">
        <w:t xml:space="preserve"> aprobado</w:t>
      </w:r>
      <w:r>
        <w:t xml:space="preserve">, teniendo en cuenta los ajustes en la ejecución del plan </w:t>
      </w:r>
      <w:r w:rsidR="0040566D">
        <w:t xml:space="preserve">por </w:t>
      </w:r>
      <w:r>
        <w:t xml:space="preserve">la planeación de corto plazo. </w:t>
      </w:r>
    </w:p>
    <w:p w14:paraId="57BAB496" w14:textId="0ECEC3DB" w:rsidR="00271C36" w:rsidRDefault="00C45493" w:rsidP="004557E4">
      <w:r>
        <w:t xml:space="preserve">Con base en lo anterior, la Comisión considera que la metodología </w:t>
      </w:r>
      <w:r w:rsidR="00C368B1">
        <w:t>de la Resolución CREG 015 de 2018 deja en las empresas la responsabilidad de la planeación y ejecución de las inversiones</w:t>
      </w:r>
      <w:r w:rsidR="000C522D">
        <w:t>,</w:t>
      </w:r>
      <w:r w:rsidR="00C368B1">
        <w:t xml:space="preserve"> y permite incorporar en sus diferentes elementos desviaciones en la ejecución de las inversiones respecto a los valores aprobados </w:t>
      </w:r>
      <w:r w:rsidR="0040566D">
        <w:t>en los planes de inversión</w:t>
      </w:r>
      <w:r w:rsidR="00C368B1">
        <w:t>.</w:t>
      </w:r>
    </w:p>
    <w:p w14:paraId="7F486233" w14:textId="2A8CCD24" w:rsidR="00B17D1F" w:rsidRDefault="004557E4" w:rsidP="0023598E">
      <w:r>
        <w:t>El OR señala lo siguiente:</w:t>
      </w:r>
    </w:p>
    <w:p w14:paraId="625F9C22" w14:textId="780EDEEC" w:rsidR="00C766DB" w:rsidRPr="007B6C0B" w:rsidRDefault="004557E4" w:rsidP="000C522D">
      <w:pPr>
        <w:ind w:left="284"/>
        <w:rPr>
          <w:i/>
          <w:iCs/>
          <w:sz w:val="20"/>
          <w:szCs w:val="20"/>
        </w:rPr>
      </w:pPr>
      <w:r w:rsidRPr="007B6C0B">
        <w:rPr>
          <w:b/>
          <w:bCs/>
          <w:i/>
          <w:iCs/>
          <w:sz w:val="20"/>
          <w:szCs w:val="20"/>
        </w:rPr>
        <w:t>2.1.3</w:t>
      </w:r>
      <w:r w:rsidRPr="007B6C0B">
        <w:rPr>
          <w:i/>
          <w:iCs/>
          <w:sz w:val="20"/>
          <w:szCs w:val="20"/>
        </w:rPr>
        <w:t xml:space="preserve"> Las redes de nivel de tensión 3 del proyecto 4.4 se enviaron en la solicitud para la ejecución por parte del OR en el año 5 (2023); sin embargo, </w:t>
      </w:r>
      <w:r w:rsidRPr="007B6C0B">
        <w:rPr>
          <w:i/>
          <w:iCs/>
          <w:sz w:val="20"/>
          <w:szCs w:val="20"/>
          <w:u w:val="single"/>
        </w:rPr>
        <w:t>en la Resolución CREG 019 de 2020, en el archivo de solicitud de ingresos y en el anexo INVA, enviados por la Comisión, aparecen con ejecución en el año 3 (2021)</w:t>
      </w:r>
      <w:r w:rsidRPr="007B6C0B">
        <w:rPr>
          <w:i/>
          <w:iCs/>
          <w:sz w:val="20"/>
          <w:szCs w:val="20"/>
        </w:rPr>
        <w:t xml:space="preserve">. Se solicita con todo respeto corregir los tres archivos, e </w:t>
      </w:r>
      <w:r w:rsidRPr="007B6C0B">
        <w:rPr>
          <w:i/>
          <w:iCs/>
          <w:sz w:val="20"/>
          <w:szCs w:val="20"/>
          <w:u w:val="single"/>
        </w:rPr>
        <w:t xml:space="preserve">incluir </w:t>
      </w:r>
      <w:r w:rsidRPr="007B6C0B">
        <w:rPr>
          <w:i/>
          <w:iCs/>
          <w:sz w:val="20"/>
          <w:szCs w:val="20"/>
          <w:u w:val="single"/>
        </w:rPr>
        <w:lastRenderedPageBreak/>
        <w:t>esta inversión completa en el año cinco (5), tal y como se solicitó</w:t>
      </w:r>
      <w:r w:rsidRPr="007B6C0B">
        <w:rPr>
          <w:i/>
          <w:iCs/>
          <w:sz w:val="20"/>
          <w:szCs w:val="20"/>
        </w:rPr>
        <w:t>, dado que esta red no es posible ejecutarla y ponerla en funcionamiento en 2021 debido a los trámites previos que se deben realizar para su correcta instalación.</w:t>
      </w:r>
      <w:r w:rsidR="001916F7">
        <w:rPr>
          <w:i/>
          <w:iCs/>
          <w:sz w:val="20"/>
          <w:szCs w:val="20"/>
        </w:rPr>
        <w:t xml:space="preserve"> </w:t>
      </w:r>
      <w:r w:rsidR="00C766DB" w:rsidRPr="001916F7">
        <w:rPr>
          <w:b/>
          <w:bCs/>
          <w:i/>
          <w:iCs/>
          <w:sz w:val="20"/>
          <w:szCs w:val="20"/>
        </w:rPr>
        <w:t>Subrayado fuera de texto.</w:t>
      </w:r>
    </w:p>
    <w:p w14:paraId="3DF262E6" w14:textId="67DFBFB3" w:rsidR="00ED3DCD" w:rsidRDefault="00ED3DCD" w:rsidP="0023598E">
      <w:r>
        <w:t xml:space="preserve">A continuación, se presenta la tabla 2 de la Resolución CREG </w:t>
      </w:r>
      <w:r w:rsidR="007B6C0B">
        <w:t>0</w:t>
      </w:r>
      <w:r>
        <w:t xml:space="preserve">19 de 2020, en la cual se </w:t>
      </w:r>
      <w:r w:rsidR="007B6C0B">
        <w:t xml:space="preserve">muestra </w:t>
      </w:r>
      <w:r>
        <w:t>el valor del plan de inversiones de nivel de tensión 3</w:t>
      </w:r>
      <w:r w:rsidR="001943A1">
        <w:t xml:space="preserve"> aprobado</w:t>
      </w:r>
      <w:r>
        <w:t>.</w:t>
      </w:r>
    </w:p>
    <w:p w14:paraId="714C610B" w14:textId="11A8292D" w:rsidR="00F84C8C" w:rsidRDefault="00ED3DCD" w:rsidP="0023598E">
      <w:r>
        <w:t xml:space="preserve">En relación con las líneas de nivel de tensión 3 del proyecto 4.4 se verificó que </w:t>
      </w:r>
      <w:r w:rsidR="007B6C0B">
        <w:t xml:space="preserve">estas </w:t>
      </w:r>
      <w:r>
        <w:t>se encuentran asignadas a la categoría de activos</w:t>
      </w:r>
      <w:r w:rsidR="007B6C0B">
        <w:t xml:space="preserve"> correspondiente, </w:t>
      </w:r>
      <w:r w:rsidRPr="00ED3DCD">
        <w:rPr>
          <w:i/>
          <w:iCs/>
        </w:rPr>
        <w:t>l = 7</w:t>
      </w:r>
      <w:r>
        <w:t xml:space="preserve"> </w:t>
      </w:r>
      <w:r w:rsidR="007B6C0B">
        <w:t xml:space="preserve">- </w:t>
      </w:r>
      <w:r>
        <w:t>líneas aéreas</w:t>
      </w:r>
      <w:r w:rsidR="007B6C0B">
        <w:t>,</w:t>
      </w:r>
      <w:r>
        <w:t xml:space="preserve"> para el año 5, es decir en la variable </w:t>
      </w:r>
      <w:r w:rsidRPr="00ED3DCD">
        <w:rPr>
          <w:i/>
          <w:iCs/>
        </w:rPr>
        <w:t>INVA</w:t>
      </w:r>
      <w:r w:rsidRPr="00ED3DCD">
        <w:rPr>
          <w:i/>
          <w:iCs/>
          <w:vertAlign w:val="subscript"/>
        </w:rPr>
        <w:t>j,3,</w:t>
      </w:r>
      <w:r>
        <w:rPr>
          <w:i/>
          <w:iCs/>
          <w:vertAlign w:val="subscript"/>
        </w:rPr>
        <w:t>l</w:t>
      </w:r>
      <w:r w:rsidRPr="00ED3DCD">
        <w:rPr>
          <w:i/>
          <w:iCs/>
          <w:vertAlign w:val="subscript"/>
        </w:rPr>
        <w:t>,5</w:t>
      </w:r>
      <w:r>
        <w:t>, por un valor de 407.073.350</w:t>
      </w:r>
      <w:r w:rsidR="00F84C8C">
        <w:t>, tal como se observa en la tabla.</w:t>
      </w:r>
    </w:p>
    <w:p w14:paraId="54A58194" w14:textId="69ECC04A" w:rsidR="00F84C8C" w:rsidRPr="00F84C8C" w:rsidRDefault="00F84C8C" w:rsidP="00F84C8C">
      <w:pPr>
        <w:pStyle w:val="Descripcin"/>
        <w:rPr>
          <w:i/>
          <w:iCs/>
          <w:sz w:val="20"/>
          <w:szCs w:val="18"/>
        </w:rPr>
      </w:pPr>
      <w:r w:rsidRPr="00F84C8C">
        <w:rPr>
          <w:i/>
          <w:iCs/>
          <w:sz w:val="20"/>
          <w:szCs w:val="18"/>
        </w:rPr>
        <w:t xml:space="preserve">Tabla </w:t>
      </w:r>
      <w:r>
        <w:rPr>
          <w:i/>
          <w:iCs/>
          <w:sz w:val="20"/>
          <w:szCs w:val="18"/>
        </w:rPr>
        <w:t xml:space="preserve">2 </w:t>
      </w:r>
      <w:r w:rsidRPr="00F84C8C">
        <w:rPr>
          <w:i/>
          <w:iCs/>
          <w:sz w:val="20"/>
          <w:szCs w:val="18"/>
        </w:rPr>
        <w:t>Plan de inversiones del nivel de tensión 3, pesos de diciembre de 2017</w:t>
      </w:r>
    </w:p>
    <w:tbl>
      <w:tblPr>
        <w:tblW w:w="4699" w:type="pct"/>
        <w:jc w:val="center"/>
        <w:tblCellMar>
          <w:left w:w="70" w:type="dxa"/>
          <w:right w:w="70" w:type="dxa"/>
        </w:tblCellMar>
        <w:tblLook w:val="04A0" w:firstRow="1" w:lastRow="0" w:firstColumn="1" w:lastColumn="0" w:noHBand="0" w:noVBand="1"/>
      </w:tblPr>
      <w:tblGrid>
        <w:gridCol w:w="1362"/>
        <w:gridCol w:w="1513"/>
        <w:gridCol w:w="1512"/>
        <w:gridCol w:w="1375"/>
        <w:gridCol w:w="1512"/>
        <w:gridCol w:w="1509"/>
      </w:tblGrid>
      <w:tr w:rsidR="00ED3DCD" w:rsidRPr="00F84C8C" w14:paraId="600B9DB3" w14:textId="77777777" w:rsidTr="007B6C0B">
        <w:trPr>
          <w:trHeight w:val="270"/>
          <w:tblHeader/>
          <w:jc w:val="center"/>
        </w:trPr>
        <w:tc>
          <w:tcPr>
            <w:tcW w:w="7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1893CE" w14:textId="77777777" w:rsidR="00ED3DCD" w:rsidRPr="00ED3DCD" w:rsidRDefault="00ED3DCD" w:rsidP="00ED3DCD">
            <w:pPr>
              <w:spacing w:before="0" w:after="0"/>
              <w:jc w:val="center"/>
              <w:rPr>
                <w:rFonts w:cs="Arial"/>
                <w:b/>
                <w:bCs/>
                <w:i/>
                <w:iCs/>
                <w:color w:val="000000"/>
                <w:sz w:val="16"/>
                <w:szCs w:val="16"/>
                <w:lang w:val="es-CO" w:eastAsia="es-CO"/>
              </w:rPr>
            </w:pPr>
            <w:r w:rsidRPr="00ED3DCD">
              <w:rPr>
                <w:rFonts w:cs="Arial"/>
                <w:b/>
                <w:bCs/>
                <w:i/>
                <w:iCs/>
                <w:color w:val="000000"/>
                <w:sz w:val="16"/>
                <w:szCs w:val="16"/>
                <w:lang w:val="es-CO" w:eastAsia="es-CO"/>
              </w:rPr>
              <w:t>Categoría de activos l</w:t>
            </w:r>
          </w:p>
        </w:tc>
        <w:tc>
          <w:tcPr>
            <w:tcW w:w="861" w:type="pct"/>
            <w:tcBorders>
              <w:top w:val="single" w:sz="4" w:space="0" w:color="auto"/>
              <w:left w:val="nil"/>
              <w:bottom w:val="single" w:sz="4" w:space="0" w:color="auto"/>
              <w:right w:val="single" w:sz="4" w:space="0" w:color="auto"/>
            </w:tcBorders>
            <w:shd w:val="clear" w:color="000000" w:fill="FFFFFF"/>
            <w:noWrap/>
            <w:vAlign w:val="center"/>
            <w:hideMark/>
          </w:tcPr>
          <w:p w14:paraId="17EB08D3" w14:textId="77777777" w:rsidR="00ED3DCD" w:rsidRPr="00ED3DCD" w:rsidRDefault="00ED3DCD" w:rsidP="00ED3DCD">
            <w:pPr>
              <w:spacing w:before="0" w:after="0"/>
              <w:jc w:val="center"/>
              <w:rPr>
                <w:rFonts w:cs="Arial"/>
                <w:b/>
                <w:bCs/>
                <w:i/>
                <w:iCs/>
                <w:sz w:val="16"/>
                <w:szCs w:val="16"/>
                <w:lang w:val="es-CO" w:eastAsia="es-CO"/>
              </w:rPr>
            </w:pPr>
            <w:r w:rsidRPr="00ED3DCD">
              <w:rPr>
                <w:rFonts w:cs="Arial"/>
                <w:b/>
                <w:bCs/>
                <w:i/>
                <w:iCs/>
                <w:sz w:val="16"/>
                <w:szCs w:val="16"/>
                <w:lang w:val="es-CO" w:eastAsia="es-CO"/>
              </w:rPr>
              <w:t>INVA</w:t>
            </w:r>
            <w:r w:rsidRPr="00ED3DCD">
              <w:rPr>
                <w:rFonts w:cs="Arial"/>
                <w:b/>
                <w:bCs/>
                <w:i/>
                <w:iCs/>
                <w:sz w:val="16"/>
                <w:szCs w:val="16"/>
                <w:vertAlign w:val="subscript"/>
                <w:lang w:val="es-CO" w:eastAsia="es-CO"/>
              </w:rPr>
              <w:t>j,3,l,1</w:t>
            </w:r>
          </w:p>
        </w:tc>
        <w:tc>
          <w:tcPr>
            <w:tcW w:w="861" w:type="pct"/>
            <w:tcBorders>
              <w:top w:val="single" w:sz="4" w:space="0" w:color="auto"/>
              <w:left w:val="nil"/>
              <w:bottom w:val="single" w:sz="4" w:space="0" w:color="auto"/>
              <w:right w:val="single" w:sz="4" w:space="0" w:color="auto"/>
            </w:tcBorders>
            <w:shd w:val="clear" w:color="000000" w:fill="FFFFFF"/>
            <w:noWrap/>
            <w:vAlign w:val="center"/>
            <w:hideMark/>
          </w:tcPr>
          <w:p w14:paraId="2EBE48F7" w14:textId="77777777" w:rsidR="00ED3DCD" w:rsidRPr="00ED3DCD" w:rsidRDefault="00ED3DCD" w:rsidP="00ED3DCD">
            <w:pPr>
              <w:spacing w:before="0" w:after="0"/>
              <w:jc w:val="center"/>
              <w:rPr>
                <w:rFonts w:cs="Arial"/>
                <w:b/>
                <w:bCs/>
                <w:i/>
                <w:iCs/>
                <w:sz w:val="16"/>
                <w:szCs w:val="16"/>
                <w:lang w:val="es-CO" w:eastAsia="es-CO"/>
              </w:rPr>
            </w:pPr>
            <w:r w:rsidRPr="00ED3DCD">
              <w:rPr>
                <w:rFonts w:cs="Arial"/>
                <w:b/>
                <w:bCs/>
                <w:i/>
                <w:iCs/>
                <w:sz w:val="16"/>
                <w:szCs w:val="16"/>
                <w:lang w:val="es-CO" w:eastAsia="es-CO"/>
              </w:rPr>
              <w:t>INVA</w:t>
            </w:r>
            <w:r w:rsidRPr="00ED3DCD">
              <w:rPr>
                <w:rFonts w:cs="Arial"/>
                <w:b/>
                <w:bCs/>
                <w:i/>
                <w:iCs/>
                <w:sz w:val="16"/>
                <w:szCs w:val="16"/>
                <w:vertAlign w:val="subscript"/>
                <w:lang w:val="es-CO" w:eastAsia="es-CO"/>
              </w:rPr>
              <w:t>j,3,l,2</w:t>
            </w:r>
          </w:p>
        </w:tc>
        <w:tc>
          <w:tcPr>
            <w:tcW w:w="783" w:type="pct"/>
            <w:tcBorders>
              <w:top w:val="single" w:sz="4" w:space="0" w:color="auto"/>
              <w:left w:val="nil"/>
              <w:bottom w:val="single" w:sz="4" w:space="0" w:color="auto"/>
              <w:right w:val="single" w:sz="4" w:space="0" w:color="auto"/>
            </w:tcBorders>
            <w:shd w:val="clear" w:color="000000" w:fill="FFFFFF"/>
            <w:noWrap/>
            <w:vAlign w:val="center"/>
            <w:hideMark/>
          </w:tcPr>
          <w:p w14:paraId="5501FC0D" w14:textId="77777777" w:rsidR="00ED3DCD" w:rsidRPr="00ED3DCD" w:rsidRDefault="00ED3DCD" w:rsidP="00ED3DCD">
            <w:pPr>
              <w:spacing w:before="0" w:after="0"/>
              <w:jc w:val="center"/>
              <w:rPr>
                <w:rFonts w:cs="Arial"/>
                <w:b/>
                <w:bCs/>
                <w:i/>
                <w:iCs/>
                <w:sz w:val="16"/>
                <w:szCs w:val="16"/>
                <w:lang w:val="es-CO" w:eastAsia="es-CO"/>
              </w:rPr>
            </w:pPr>
            <w:r w:rsidRPr="00ED3DCD">
              <w:rPr>
                <w:rFonts w:cs="Arial"/>
                <w:b/>
                <w:bCs/>
                <w:i/>
                <w:iCs/>
                <w:sz w:val="16"/>
                <w:szCs w:val="16"/>
                <w:lang w:val="es-CO" w:eastAsia="es-CO"/>
              </w:rPr>
              <w:t>INVA</w:t>
            </w:r>
            <w:r w:rsidRPr="00ED3DCD">
              <w:rPr>
                <w:rFonts w:cs="Arial"/>
                <w:b/>
                <w:bCs/>
                <w:i/>
                <w:iCs/>
                <w:sz w:val="16"/>
                <w:szCs w:val="16"/>
                <w:vertAlign w:val="subscript"/>
                <w:lang w:val="es-CO" w:eastAsia="es-CO"/>
              </w:rPr>
              <w:t>j,3,l,3</w:t>
            </w:r>
          </w:p>
        </w:tc>
        <w:tc>
          <w:tcPr>
            <w:tcW w:w="861" w:type="pct"/>
            <w:tcBorders>
              <w:top w:val="single" w:sz="4" w:space="0" w:color="auto"/>
              <w:left w:val="nil"/>
              <w:bottom w:val="single" w:sz="4" w:space="0" w:color="auto"/>
              <w:right w:val="single" w:sz="4" w:space="0" w:color="auto"/>
            </w:tcBorders>
            <w:shd w:val="clear" w:color="000000" w:fill="FFFFFF"/>
            <w:noWrap/>
            <w:vAlign w:val="center"/>
            <w:hideMark/>
          </w:tcPr>
          <w:p w14:paraId="482F7423" w14:textId="77777777" w:rsidR="00ED3DCD" w:rsidRPr="00ED3DCD" w:rsidRDefault="00ED3DCD" w:rsidP="00ED3DCD">
            <w:pPr>
              <w:spacing w:before="0" w:after="0"/>
              <w:jc w:val="center"/>
              <w:rPr>
                <w:rFonts w:cs="Arial"/>
                <w:b/>
                <w:bCs/>
                <w:i/>
                <w:iCs/>
                <w:sz w:val="16"/>
                <w:szCs w:val="16"/>
                <w:lang w:val="es-CO" w:eastAsia="es-CO"/>
              </w:rPr>
            </w:pPr>
            <w:r w:rsidRPr="00ED3DCD">
              <w:rPr>
                <w:rFonts w:cs="Arial"/>
                <w:b/>
                <w:bCs/>
                <w:i/>
                <w:iCs/>
                <w:sz w:val="16"/>
                <w:szCs w:val="16"/>
                <w:lang w:val="es-CO" w:eastAsia="es-CO"/>
              </w:rPr>
              <w:t>INVA</w:t>
            </w:r>
            <w:r w:rsidRPr="00ED3DCD">
              <w:rPr>
                <w:rFonts w:cs="Arial"/>
                <w:b/>
                <w:bCs/>
                <w:i/>
                <w:iCs/>
                <w:sz w:val="16"/>
                <w:szCs w:val="16"/>
                <w:vertAlign w:val="subscript"/>
                <w:lang w:val="es-CO" w:eastAsia="es-CO"/>
              </w:rPr>
              <w:t>j,3,l,4</w:t>
            </w:r>
          </w:p>
        </w:tc>
        <w:tc>
          <w:tcPr>
            <w:tcW w:w="859" w:type="pct"/>
            <w:tcBorders>
              <w:top w:val="single" w:sz="4" w:space="0" w:color="auto"/>
              <w:left w:val="nil"/>
              <w:bottom w:val="single" w:sz="4" w:space="0" w:color="auto"/>
              <w:right w:val="single" w:sz="4" w:space="0" w:color="auto"/>
            </w:tcBorders>
            <w:shd w:val="clear" w:color="000000" w:fill="FFFFFF"/>
            <w:noWrap/>
            <w:vAlign w:val="center"/>
            <w:hideMark/>
          </w:tcPr>
          <w:p w14:paraId="5F872E64" w14:textId="77777777" w:rsidR="00ED3DCD" w:rsidRPr="00ED3DCD" w:rsidRDefault="00ED3DCD" w:rsidP="00ED3DCD">
            <w:pPr>
              <w:spacing w:before="0" w:after="0"/>
              <w:jc w:val="center"/>
              <w:rPr>
                <w:rFonts w:cs="Arial"/>
                <w:b/>
                <w:bCs/>
                <w:i/>
                <w:iCs/>
                <w:sz w:val="16"/>
                <w:szCs w:val="16"/>
                <w:lang w:val="es-CO" w:eastAsia="es-CO"/>
              </w:rPr>
            </w:pPr>
            <w:r w:rsidRPr="00ED3DCD">
              <w:rPr>
                <w:rFonts w:cs="Arial"/>
                <w:b/>
                <w:bCs/>
                <w:i/>
                <w:iCs/>
                <w:sz w:val="16"/>
                <w:szCs w:val="16"/>
                <w:lang w:val="es-CO" w:eastAsia="es-CO"/>
              </w:rPr>
              <w:t>INVA</w:t>
            </w:r>
            <w:r w:rsidRPr="00ED3DCD">
              <w:rPr>
                <w:rFonts w:cs="Arial"/>
                <w:b/>
                <w:bCs/>
                <w:i/>
                <w:iCs/>
                <w:sz w:val="16"/>
                <w:szCs w:val="16"/>
                <w:vertAlign w:val="subscript"/>
                <w:lang w:val="es-CO" w:eastAsia="es-CO"/>
              </w:rPr>
              <w:t>j,3,l,5</w:t>
            </w:r>
          </w:p>
        </w:tc>
      </w:tr>
      <w:tr w:rsidR="00ED3DCD" w:rsidRPr="00ED3DCD" w14:paraId="6690A258"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38ADC108"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1</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7CD3240C"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4B1ADFE3"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783" w:type="pct"/>
            <w:tcBorders>
              <w:top w:val="nil"/>
              <w:left w:val="nil"/>
              <w:bottom w:val="single" w:sz="4" w:space="0" w:color="auto"/>
              <w:right w:val="single" w:sz="4" w:space="0" w:color="auto"/>
            </w:tcBorders>
            <w:shd w:val="clear" w:color="auto" w:fill="auto"/>
            <w:noWrap/>
            <w:vAlign w:val="center"/>
            <w:hideMark/>
          </w:tcPr>
          <w:p w14:paraId="610BE74C"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20B534AA"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59" w:type="pct"/>
            <w:tcBorders>
              <w:top w:val="nil"/>
              <w:left w:val="nil"/>
              <w:bottom w:val="single" w:sz="4" w:space="0" w:color="auto"/>
              <w:right w:val="single" w:sz="4" w:space="0" w:color="auto"/>
            </w:tcBorders>
            <w:shd w:val="clear" w:color="auto" w:fill="auto"/>
            <w:noWrap/>
            <w:vAlign w:val="center"/>
            <w:hideMark/>
          </w:tcPr>
          <w:p w14:paraId="62B2205E"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r>
      <w:tr w:rsidR="00ED3DCD" w:rsidRPr="00ED3DCD" w14:paraId="2B4E486A"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55B0EEE5"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2</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7FC9BABA"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790D7537"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783" w:type="pct"/>
            <w:tcBorders>
              <w:top w:val="nil"/>
              <w:left w:val="nil"/>
              <w:bottom w:val="single" w:sz="4" w:space="0" w:color="auto"/>
              <w:right w:val="single" w:sz="4" w:space="0" w:color="auto"/>
            </w:tcBorders>
            <w:shd w:val="clear" w:color="auto" w:fill="auto"/>
            <w:noWrap/>
            <w:vAlign w:val="center"/>
            <w:hideMark/>
          </w:tcPr>
          <w:p w14:paraId="1456C4BB"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5FC5F640"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59" w:type="pct"/>
            <w:tcBorders>
              <w:top w:val="nil"/>
              <w:left w:val="nil"/>
              <w:bottom w:val="single" w:sz="4" w:space="0" w:color="auto"/>
              <w:right w:val="single" w:sz="4" w:space="0" w:color="auto"/>
            </w:tcBorders>
            <w:shd w:val="clear" w:color="auto" w:fill="auto"/>
            <w:noWrap/>
            <w:vAlign w:val="center"/>
            <w:hideMark/>
          </w:tcPr>
          <w:p w14:paraId="4884D78E"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r>
      <w:tr w:rsidR="00ED3DCD" w:rsidRPr="00ED3DCD" w14:paraId="27EDB06A"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753CDE93"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3</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3B33A5F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4772B23F"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1.100.399.000</w:t>
            </w:r>
          </w:p>
        </w:tc>
        <w:tc>
          <w:tcPr>
            <w:tcW w:w="783" w:type="pct"/>
            <w:tcBorders>
              <w:top w:val="nil"/>
              <w:left w:val="nil"/>
              <w:bottom w:val="single" w:sz="4" w:space="0" w:color="auto"/>
              <w:right w:val="single" w:sz="4" w:space="0" w:color="auto"/>
            </w:tcBorders>
            <w:shd w:val="clear" w:color="auto" w:fill="auto"/>
            <w:noWrap/>
            <w:vAlign w:val="center"/>
            <w:hideMark/>
          </w:tcPr>
          <w:p w14:paraId="162CF999"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260.919.000</w:t>
            </w:r>
          </w:p>
        </w:tc>
        <w:tc>
          <w:tcPr>
            <w:tcW w:w="861" w:type="pct"/>
            <w:tcBorders>
              <w:top w:val="nil"/>
              <w:left w:val="nil"/>
              <w:bottom w:val="single" w:sz="4" w:space="0" w:color="auto"/>
              <w:right w:val="single" w:sz="4" w:space="0" w:color="auto"/>
            </w:tcBorders>
            <w:shd w:val="clear" w:color="auto" w:fill="auto"/>
            <w:noWrap/>
            <w:vAlign w:val="center"/>
            <w:hideMark/>
          </w:tcPr>
          <w:p w14:paraId="56702CD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521.997.000</w:t>
            </w:r>
          </w:p>
        </w:tc>
        <w:tc>
          <w:tcPr>
            <w:tcW w:w="859" w:type="pct"/>
            <w:tcBorders>
              <w:top w:val="nil"/>
              <w:left w:val="nil"/>
              <w:bottom w:val="single" w:sz="4" w:space="0" w:color="auto"/>
              <w:right w:val="single" w:sz="4" w:space="0" w:color="auto"/>
            </w:tcBorders>
            <w:shd w:val="clear" w:color="auto" w:fill="auto"/>
            <w:noWrap/>
            <w:vAlign w:val="center"/>
            <w:hideMark/>
          </w:tcPr>
          <w:p w14:paraId="2874E7CF"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578.720.000</w:t>
            </w:r>
          </w:p>
        </w:tc>
      </w:tr>
      <w:tr w:rsidR="00ED3DCD" w:rsidRPr="00ED3DCD" w14:paraId="48203C6A"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64959F88"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4</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B161A1E"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79F4D872"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177.804.000</w:t>
            </w:r>
          </w:p>
        </w:tc>
        <w:tc>
          <w:tcPr>
            <w:tcW w:w="783" w:type="pct"/>
            <w:tcBorders>
              <w:top w:val="nil"/>
              <w:left w:val="nil"/>
              <w:bottom w:val="single" w:sz="4" w:space="0" w:color="auto"/>
              <w:right w:val="single" w:sz="4" w:space="0" w:color="auto"/>
            </w:tcBorders>
            <w:shd w:val="clear" w:color="auto" w:fill="auto"/>
            <w:noWrap/>
            <w:vAlign w:val="center"/>
            <w:hideMark/>
          </w:tcPr>
          <w:p w14:paraId="41208EAA"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88.902.000</w:t>
            </w:r>
          </w:p>
        </w:tc>
        <w:tc>
          <w:tcPr>
            <w:tcW w:w="861" w:type="pct"/>
            <w:tcBorders>
              <w:top w:val="nil"/>
              <w:left w:val="nil"/>
              <w:bottom w:val="single" w:sz="4" w:space="0" w:color="auto"/>
              <w:right w:val="single" w:sz="4" w:space="0" w:color="auto"/>
            </w:tcBorders>
            <w:shd w:val="clear" w:color="auto" w:fill="auto"/>
            <w:noWrap/>
            <w:vAlign w:val="center"/>
            <w:hideMark/>
          </w:tcPr>
          <w:p w14:paraId="190DF65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177.804.000</w:t>
            </w:r>
          </w:p>
        </w:tc>
        <w:tc>
          <w:tcPr>
            <w:tcW w:w="859" w:type="pct"/>
            <w:tcBorders>
              <w:top w:val="nil"/>
              <w:left w:val="nil"/>
              <w:bottom w:val="single" w:sz="4" w:space="0" w:color="auto"/>
              <w:right w:val="single" w:sz="4" w:space="0" w:color="auto"/>
            </w:tcBorders>
            <w:shd w:val="clear" w:color="auto" w:fill="auto"/>
            <w:noWrap/>
            <w:vAlign w:val="center"/>
            <w:hideMark/>
          </w:tcPr>
          <w:p w14:paraId="47B00E45"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88.902.000</w:t>
            </w:r>
          </w:p>
        </w:tc>
      </w:tr>
      <w:tr w:rsidR="00ED3DCD" w:rsidRPr="00ED3DCD" w14:paraId="382E4EF7"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17BA9610"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5</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6C1B985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79B001BE"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783" w:type="pct"/>
            <w:tcBorders>
              <w:top w:val="nil"/>
              <w:left w:val="nil"/>
              <w:bottom w:val="single" w:sz="4" w:space="0" w:color="auto"/>
              <w:right w:val="single" w:sz="4" w:space="0" w:color="auto"/>
            </w:tcBorders>
            <w:shd w:val="clear" w:color="auto" w:fill="auto"/>
            <w:noWrap/>
            <w:vAlign w:val="center"/>
            <w:hideMark/>
          </w:tcPr>
          <w:p w14:paraId="703FC271"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591362F5"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59" w:type="pct"/>
            <w:tcBorders>
              <w:top w:val="nil"/>
              <w:left w:val="nil"/>
              <w:bottom w:val="single" w:sz="4" w:space="0" w:color="auto"/>
              <w:right w:val="single" w:sz="4" w:space="0" w:color="auto"/>
            </w:tcBorders>
            <w:shd w:val="clear" w:color="auto" w:fill="auto"/>
            <w:noWrap/>
            <w:vAlign w:val="center"/>
            <w:hideMark/>
          </w:tcPr>
          <w:p w14:paraId="57C83F39"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r>
      <w:tr w:rsidR="00ED3DCD" w:rsidRPr="00ED3DCD" w14:paraId="76E01F46"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63982ABA"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6</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FAC08F8"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65E10568"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449.471.000</w:t>
            </w:r>
          </w:p>
        </w:tc>
        <w:tc>
          <w:tcPr>
            <w:tcW w:w="783" w:type="pct"/>
            <w:tcBorders>
              <w:top w:val="nil"/>
              <w:left w:val="nil"/>
              <w:bottom w:val="single" w:sz="4" w:space="0" w:color="auto"/>
              <w:right w:val="single" w:sz="4" w:space="0" w:color="auto"/>
            </w:tcBorders>
            <w:shd w:val="clear" w:color="auto" w:fill="auto"/>
            <w:noWrap/>
            <w:vAlign w:val="center"/>
            <w:hideMark/>
          </w:tcPr>
          <w:p w14:paraId="04995587"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39.037.000</w:t>
            </w:r>
          </w:p>
        </w:tc>
        <w:tc>
          <w:tcPr>
            <w:tcW w:w="861" w:type="pct"/>
            <w:tcBorders>
              <w:top w:val="nil"/>
              <w:left w:val="nil"/>
              <w:bottom w:val="single" w:sz="4" w:space="0" w:color="auto"/>
              <w:right w:val="single" w:sz="4" w:space="0" w:color="auto"/>
            </w:tcBorders>
            <w:shd w:val="clear" w:color="auto" w:fill="auto"/>
            <w:noWrap/>
            <w:vAlign w:val="center"/>
            <w:hideMark/>
          </w:tcPr>
          <w:p w14:paraId="0972E15B"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39.037.000</w:t>
            </w:r>
          </w:p>
        </w:tc>
        <w:tc>
          <w:tcPr>
            <w:tcW w:w="859" w:type="pct"/>
            <w:tcBorders>
              <w:top w:val="nil"/>
              <w:left w:val="nil"/>
              <w:bottom w:val="single" w:sz="4" w:space="0" w:color="auto"/>
              <w:right w:val="single" w:sz="4" w:space="0" w:color="auto"/>
            </w:tcBorders>
            <w:shd w:val="clear" w:color="auto" w:fill="auto"/>
            <w:noWrap/>
            <w:vAlign w:val="center"/>
            <w:hideMark/>
          </w:tcPr>
          <w:p w14:paraId="173C143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r>
      <w:tr w:rsidR="00ED3DCD" w:rsidRPr="00ED3DCD" w14:paraId="09003FA8"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0F1CC176"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7</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D367740"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111.221.380</w:t>
            </w:r>
          </w:p>
        </w:tc>
        <w:tc>
          <w:tcPr>
            <w:tcW w:w="861" w:type="pct"/>
            <w:tcBorders>
              <w:top w:val="nil"/>
              <w:left w:val="nil"/>
              <w:bottom w:val="single" w:sz="4" w:space="0" w:color="auto"/>
              <w:right w:val="single" w:sz="4" w:space="0" w:color="auto"/>
            </w:tcBorders>
            <w:shd w:val="clear" w:color="auto" w:fill="auto"/>
            <w:noWrap/>
            <w:vAlign w:val="center"/>
            <w:hideMark/>
          </w:tcPr>
          <w:p w14:paraId="0D89B29C"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253.522.400</w:t>
            </w:r>
          </w:p>
        </w:tc>
        <w:tc>
          <w:tcPr>
            <w:tcW w:w="783" w:type="pct"/>
            <w:tcBorders>
              <w:top w:val="nil"/>
              <w:left w:val="nil"/>
              <w:bottom w:val="single" w:sz="4" w:space="0" w:color="auto"/>
              <w:right w:val="single" w:sz="4" w:space="0" w:color="auto"/>
            </w:tcBorders>
            <w:shd w:val="clear" w:color="auto" w:fill="auto"/>
            <w:noWrap/>
            <w:vAlign w:val="center"/>
            <w:hideMark/>
          </w:tcPr>
          <w:p w14:paraId="7695D4C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284.997.680</w:t>
            </w:r>
          </w:p>
        </w:tc>
        <w:tc>
          <w:tcPr>
            <w:tcW w:w="861" w:type="pct"/>
            <w:tcBorders>
              <w:top w:val="nil"/>
              <w:left w:val="nil"/>
              <w:bottom w:val="single" w:sz="4" w:space="0" w:color="auto"/>
              <w:right w:val="single" w:sz="4" w:space="0" w:color="auto"/>
            </w:tcBorders>
            <w:shd w:val="clear" w:color="auto" w:fill="auto"/>
            <w:noWrap/>
            <w:vAlign w:val="center"/>
            <w:hideMark/>
          </w:tcPr>
          <w:p w14:paraId="6D10A26B"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518.602.660</w:t>
            </w:r>
          </w:p>
        </w:tc>
        <w:tc>
          <w:tcPr>
            <w:tcW w:w="859" w:type="pct"/>
            <w:tcBorders>
              <w:top w:val="nil"/>
              <w:left w:val="nil"/>
              <w:bottom w:val="single" w:sz="4" w:space="0" w:color="auto"/>
              <w:right w:val="single" w:sz="4" w:space="0" w:color="auto"/>
            </w:tcBorders>
            <w:shd w:val="clear" w:color="auto" w:fill="auto"/>
            <w:noWrap/>
            <w:vAlign w:val="center"/>
            <w:hideMark/>
          </w:tcPr>
          <w:p w14:paraId="3233D1B1"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407.073.350</w:t>
            </w:r>
          </w:p>
        </w:tc>
      </w:tr>
      <w:tr w:rsidR="00ED3DCD" w:rsidRPr="00ED3DCD" w14:paraId="3DBF0733"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6996C707"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8</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85E3DD2"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327678CE"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783" w:type="pct"/>
            <w:tcBorders>
              <w:top w:val="nil"/>
              <w:left w:val="nil"/>
              <w:bottom w:val="single" w:sz="4" w:space="0" w:color="auto"/>
              <w:right w:val="single" w:sz="4" w:space="0" w:color="auto"/>
            </w:tcBorders>
            <w:shd w:val="clear" w:color="auto" w:fill="auto"/>
            <w:noWrap/>
            <w:vAlign w:val="center"/>
            <w:hideMark/>
          </w:tcPr>
          <w:p w14:paraId="060556AC"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15DAC42D"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59" w:type="pct"/>
            <w:tcBorders>
              <w:top w:val="nil"/>
              <w:left w:val="nil"/>
              <w:bottom w:val="single" w:sz="4" w:space="0" w:color="auto"/>
              <w:right w:val="single" w:sz="4" w:space="0" w:color="auto"/>
            </w:tcBorders>
            <w:shd w:val="clear" w:color="auto" w:fill="auto"/>
            <w:noWrap/>
            <w:vAlign w:val="center"/>
            <w:hideMark/>
          </w:tcPr>
          <w:p w14:paraId="04A4B4F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r>
      <w:tr w:rsidR="00ED3DCD" w:rsidRPr="00ED3DCD" w14:paraId="322C4928"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64841474"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9</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3A1199AE"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3.073.000</w:t>
            </w:r>
          </w:p>
        </w:tc>
        <w:tc>
          <w:tcPr>
            <w:tcW w:w="861" w:type="pct"/>
            <w:tcBorders>
              <w:top w:val="nil"/>
              <w:left w:val="nil"/>
              <w:bottom w:val="single" w:sz="4" w:space="0" w:color="auto"/>
              <w:right w:val="single" w:sz="4" w:space="0" w:color="auto"/>
            </w:tcBorders>
            <w:shd w:val="clear" w:color="auto" w:fill="auto"/>
            <w:noWrap/>
            <w:vAlign w:val="center"/>
            <w:hideMark/>
          </w:tcPr>
          <w:p w14:paraId="5041857F"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5.613.000</w:t>
            </w:r>
          </w:p>
        </w:tc>
        <w:tc>
          <w:tcPr>
            <w:tcW w:w="783" w:type="pct"/>
            <w:tcBorders>
              <w:top w:val="nil"/>
              <w:left w:val="nil"/>
              <w:bottom w:val="single" w:sz="4" w:space="0" w:color="auto"/>
              <w:right w:val="single" w:sz="4" w:space="0" w:color="auto"/>
            </w:tcBorders>
            <w:shd w:val="clear" w:color="auto" w:fill="auto"/>
            <w:noWrap/>
            <w:vAlign w:val="center"/>
            <w:hideMark/>
          </w:tcPr>
          <w:p w14:paraId="7CAB3871"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4FA1490D"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5.613.000</w:t>
            </w:r>
          </w:p>
        </w:tc>
        <w:tc>
          <w:tcPr>
            <w:tcW w:w="859" w:type="pct"/>
            <w:tcBorders>
              <w:top w:val="nil"/>
              <w:left w:val="nil"/>
              <w:bottom w:val="single" w:sz="4" w:space="0" w:color="auto"/>
              <w:right w:val="single" w:sz="4" w:space="0" w:color="auto"/>
            </w:tcBorders>
            <w:shd w:val="clear" w:color="auto" w:fill="auto"/>
            <w:noWrap/>
            <w:vAlign w:val="center"/>
            <w:hideMark/>
          </w:tcPr>
          <w:p w14:paraId="797C5741"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r>
      <w:tr w:rsidR="00ED3DCD" w:rsidRPr="00ED3DCD" w14:paraId="36D948EE" w14:textId="77777777" w:rsidTr="00F84C8C">
        <w:trPr>
          <w:trHeight w:val="260"/>
          <w:jc w:val="center"/>
        </w:trPr>
        <w:tc>
          <w:tcPr>
            <w:tcW w:w="775" w:type="pct"/>
            <w:tcBorders>
              <w:top w:val="nil"/>
              <w:left w:val="single" w:sz="4" w:space="0" w:color="auto"/>
              <w:bottom w:val="single" w:sz="4" w:space="0" w:color="auto"/>
              <w:right w:val="nil"/>
            </w:tcBorders>
            <w:shd w:val="clear" w:color="000000" w:fill="FFFFFF"/>
            <w:noWrap/>
            <w:vAlign w:val="center"/>
            <w:hideMark/>
          </w:tcPr>
          <w:p w14:paraId="67FF56C6" w14:textId="77777777" w:rsidR="00ED3DCD" w:rsidRPr="00ED3DCD" w:rsidRDefault="00ED3DCD" w:rsidP="00ED3DCD">
            <w:pPr>
              <w:spacing w:before="0" w:after="0"/>
              <w:jc w:val="center"/>
              <w:rPr>
                <w:rFonts w:cs="Arial"/>
                <w:i/>
                <w:iCs/>
                <w:color w:val="000000"/>
                <w:sz w:val="16"/>
                <w:szCs w:val="16"/>
                <w:lang w:val="es-CO" w:eastAsia="es-CO"/>
              </w:rPr>
            </w:pPr>
            <w:r w:rsidRPr="00ED3DCD">
              <w:rPr>
                <w:rFonts w:cs="Arial"/>
                <w:i/>
                <w:iCs/>
                <w:color w:val="000000"/>
                <w:sz w:val="16"/>
                <w:szCs w:val="16"/>
                <w:lang w:val="es-CO" w:eastAsia="es-CO"/>
              </w:rPr>
              <w:t>l = 10</w:t>
            </w:r>
          </w:p>
        </w:tc>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49B0E290"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2.542.724.500</w:t>
            </w:r>
          </w:p>
        </w:tc>
        <w:tc>
          <w:tcPr>
            <w:tcW w:w="861" w:type="pct"/>
            <w:tcBorders>
              <w:top w:val="nil"/>
              <w:left w:val="nil"/>
              <w:bottom w:val="single" w:sz="4" w:space="0" w:color="auto"/>
              <w:right w:val="single" w:sz="4" w:space="0" w:color="auto"/>
            </w:tcBorders>
            <w:shd w:val="clear" w:color="auto" w:fill="auto"/>
            <w:noWrap/>
            <w:vAlign w:val="center"/>
            <w:hideMark/>
          </w:tcPr>
          <w:p w14:paraId="21F09916"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783" w:type="pct"/>
            <w:tcBorders>
              <w:top w:val="nil"/>
              <w:left w:val="nil"/>
              <w:bottom w:val="single" w:sz="4" w:space="0" w:color="auto"/>
              <w:right w:val="single" w:sz="4" w:space="0" w:color="auto"/>
            </w:tcBorders>
            <w:shd w:val="clear" w:color="auto" w:fill="auto"/>
            <w:noWrap/>
            <w:vAlign w:val="center"/>
            <w:hideMark/>
          </w:tcPr>
          <w:p w14:paraId="262DB49D"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61" w:type="pct"/>
            <w:tcBorders>
              <w:top w:val="nil"/>
              <w:left w:val="nil"/>
              <w:bottom w:val="single" w:sz="4" w:space="0" w:color="auto"/>
              <w:right w:val="single" w:sz="4" w:space="0" w:color="auto"/>
            </w:tcBorders>
            <w:shd w:val="clear" w:color="auto" w:fill="auto"/>
            <w:noWrap/>
            <w:vAlign w:val="center"/>
            <w:hideMark/>
          </w:tcPr>
          <w:p w14:paraId="4276B9C9"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c>
          <w:tcPr>
            <w:tcW w:w="859" w:type="pct"/>
            <w:tcBorders>
              <w:top w:val="nil"/>
              <w:left w:val="nil"/>
              <w:bottom w:val="single" w:sz="4" w:space="0" w:color="auto"/>
              <w:right w:val="single" w:sz="4" w:space="0" w:color="auto"/>
            </w:tcBorders>
            <w:shd w:val="clear" w:color="auto" w:fill="auto"/>
            <w:noWrap/>
            <w:vAlign w:val="center"/>
            <w:hideMark/>
          </w:tcPr>
          <w:p w14:paraId="5FC22A2F" w14:textId="77777777" w:rsidR="00ED3DCD" w:rsidRPr="00ED3DCD" w:rsidRDefault="00ED3DCD" w:rsidP="00ED3DCD">
            <w:pPr>
              <w:spacing w:before="0" w:after="0"/>
              <w:jc w:val="right"/>
              <w:rPr>
                <w:rFonts w:cs="Arial"/>
                <w:i/>
                <w:iCs/>
                <w:sz w:val="16"/>
                <w:szCs w:val="16"/>
                <w:lang w:val="es-CO" w:eastAsia="es-CO"/>
              </w:rPr>
            </w:pPr>
            <w:r w:rsidRPr="00ED3DCD">
              <w:rPr>
                <w:rFonts w:cs="Arial"/>
                <w:i/>
                <w:iCs/>
                <w:sz w:val="16"/>
                <w:szCs w:val="16"/>
                <w:lang w:val="es-CO" w:eastAsia="es-CO"/>
              </w:rPr>
              <w:t>0</w:t>
            </w:r>
          </w:p>
        </w:tc>
      </w:tr>
    </w:tbl>
    <w:p w14:paraId="675CE3EF" w14:textId="5BE61AE8" w:rsidR="00F84C8C" w:rsidRDefault="00F84C8C" w:rsidP="0023598E">
      <w:r>
        <w:t xml:space="preserve">Se precisa que las inversiones de la categoría 7 en el año 3, es decir </w:t>
      </w:r>
      <w:r w:rsidR="000E1309">
        <w:t xml:space="preserve">el año </w:t>
      </w:r>
      <w:r>
        <w:t xml:space="preserve">2021, corresponden a las </w:t>
      </w:r>
      <w:r w:rsidR="000E1309">
        <w:t xml:space="preserve">líneas </w:t>
      </w:r>
      <w:r>
        <w:t>del proyecto denominado 4.2, por un valor de 284.997.680.</w:t>
      </w:r>
    </w:p>
    <w:p w14:paraId="68CC626F" w14:textId="4BA8B050" w:rsidR="00ED3DCD" w:rsidRDefault="00F84C8C" w:rsidP="0023598E">
      <w:r>
        <w:t>Con base en lo anterior</w:t>
      </w:r>
      <w:r w:rsidR="000E1309">
        <w:t>,</w:t>
      </w:r>
      <w:r>
        <w:t xml:space="preserve"> se entiende que la asignación del valor de las líneas de nivel de tensión 3 del proyecto 4.4</w:t>
      </w:r>
      <w:r w:rsidR="000E1309">
        <w:t>, al igual que las del proyecto 4.2, corresponde con lo solicitado por el OR en la actuación administrativa de aprobación de ingresos. Por lo anterior</w:t>
      </w:r>
      <w:r w:rsidR="000C522D">
        <w:t>,</w:t>
      </w:r>
      <w:r w:rsidR="000E1309">
        <w:t xml:space="preserve"> no se realizan las modificaciones solicitadas en la asignación de proyectos del plan de inversiones del proyecto 4.4.</w:t>
      </w:r>
    </w:p>
    <w:p w14:paraId="3EFA236B" w14:textId="59C30385" w:rsidR="00F94902" w:rsidRDefault="004557E4" w:rsidP="0023598E">
      <w:r>
        <w:t>El OR señala lo siguiente:</w:t>
      </w:r>
    </w:p>
    <w:p w14:paraId="02084311" w14:textId="729CA295" w:rsidR="004557E4" w:rsidRPr="007B6C0B" w:rsidRDefault="004557E4" w:rsidP="000C522D">
      <w:pPr>
        <w:ind w:left="284"/>
        <w:rPr>
          <w:i/>
          <w:iCs/>
          <w:sz w:val="20"/>
          <w:szCs w:val="20"/>
        </w:rPr>
      </w:pPr>
      <w:r w:rsidRPr="00676724">
        <w:rPr>
          <w:b/>
          <w:bCs/>
          <w:i/>
          <w:iCs/>
          <w:sz w:val="20"/>
          <w:szCs w:val="20"/>
        </w:rPr>
        <w:t>2.1.4</w:t>
      </w:r>
      <w:r w:rsidRPr="007B6C0B">
        <w:rPr>
          <w:i/>
          <w:iCs/>
          <w:sz w:val="20"/>
          <w:szCs w:val="20"/>
        </w:rPr>
        <w:t xml:space="preserve"> Emcartago dentro del plan de pérdidas presenta el proyecto 1. Inversiones en redes antifraude por valor de $ 2.450.303.230, discriminados así:</w:t>
      </w:r>
    </w:p>
    <w:tbl>
      <w:tblPr>
        <w:tblW w:w="4927" w:type="pct"/>
        <w:tblCellMar>
          <w:left w:w="70" w:type="dxa"/>
          <w:right w:w="70" w:type="dxa"/>
        </w:tblCellMar>
        <w:tblLook w:val="04A0" w:firstRow="1" w:lastRow="0" w:firstColumn="1" w:lastColumn="0" w:noHBand="0" w:noVBand="1"/>
      </w:tblPr>
      <w:tblGrid>
        <w:gridCol w:w="548"/>
        <w:gridCol w:w="1248"/>
        <w:gridCol w:w="661"/>
        <w:gridCol w:w="667"/>
        <w:gridCol w:w="667"/>
        <w:gridCol w:w="667"/>
        <w:gridCol w:w="667"/>
        <w:gridCol w:w="667"/>
        <w:gridCol w:w="667"/>
        <w:gridCol w:w="667"/>
        <w:gridCol w:w="667"/>
        <w:gridCol w:w="672"/>
        <w:gridCol w:w="745"/>
      </w:tblGrid>
      <w:tr w:rsidR="0040566D" w:rsidRPr="007B6C0B" w14:paraId="11B4CB1A" w14:textId="77777777" w:rsidTr="0040566D">
        <w:trPr>
          <w:trHeight w:val="290"/>
        </w:trPr>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84FC"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Item</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52CDA398"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DESCRIPCIÓN</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609D55C"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1</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24B0DC7"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2</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045C5F97"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3</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6CBE497"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4</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70D72A9"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5</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9F49643"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6</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57354C26"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7</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2B73668"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8</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9AEFD23"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9</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0931FAE4"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año 10</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5D72A1C4"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Total</w:t>
            </w:r>
          </w:p>
        </w:tc>
      </w:tr>
      <w:tr w:rsidR="0040566D" w:rsidRPr="007B6C0B" w14:paraId="095107B3" w14:textId="77777777" w:rsidTr="0040566D">
        <w:trPr>
          <w:trHeight w:val="5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FE05153" w14:textId="77777777" w:rsidR="007B6C0B" w:rsidRPr="007B6C0B" w:rsidRDefault="007B6C0B" w:rsidP="000C522D">
            <w:pPr>
              <w:spacing w:before="0" w:after="0"/>
              <w:jc w:val="center"/>
              <w:rPr>
                <w:i/>
                <w:iCs/>
                <w:color w:val="000000"/>
                <w:sz w:val="16"/>
                <w:szCs w:val="16"/>
                <w:lang w:val="es-CO" w:eastAsia="es-CO"/>
              </w:rPr>
            </w:pPr>
            <w:r w:rsidRPr="007B6C0B">
              <w:rPr>
                <w:i/>
                <w:iCs/>
                <w:color w:val="000000"/>
                <w:sz w:val="16"/>
                <w:szCs w:val="16"/>
                <w:lang w:val="es-CO" w:eastAsia="es-CO"/>
              </w:rPr>
              <w:t>1</w:t>
            </w:r>
          </w:p>
        </w:tc>
        <w:tc>
          <w:tcPr>
            <w:tcW w:w="678" w:type="pct"/>
            <w:tcBorders>
              <w:top w:val="nil"/>
              <w:left w:val="nil"/>
              <w:bottom w:val="single" w:sz="4" w:space="0" w:color="auto"/>
              <w:right w:val="single" w:sz="4" w:space="0" w:color="auto"/>
            </w:tcBorders>
            <w:shd w:val="clear" w:color="auto" w:fill="auto"/>
            <w:vAlign w:val="center"/>
            <w:hideMark/>
          </w:tcPr>
          <w:p w14:paraId="3B9CD5CA" w14:textId="77777777" w:rsidR="007B6C0B" w:rsidRPr="007B6C0B" w:rsidRDefault="007B6C0B" w:rsidP="000C522D">
            <w:pPr>
              <w:spacing w:before="0" w:after="0"/>
              <w:jc w:val="left"/>
              <w:rPr>
                <w:i/>
                <w:iCs/>
                <w:color w:val="000000"/>
                <w:sz w:val="16"/>
                <w:szCs w:val="16"/>
                <w:lang w:val="es-CO" w:eastAsia="es-CO"/>
              </w:rPr>
            </w:pPr>
            <w:r w:rsidRPr="007B6C0B">
              <w:rPr>
                <w:i/>
                <w:iCs/>
                <w:color w:val="000000"/>
                <w:sz w:val="16"/>
                <w:szCs w:val="16"/>
                <w:lang w:val="es-CO" w:eastAsia="es-CO"/>
              </w:rPr>
              <w:t>Inversiones de redes antifraude.</w:t>
            </w:r>
          </w:p>
        </w:tc>
        <w:tc>
          <w:tcPr>
            <w:tcW w:w="365" w:type="pct"/>
            <w:tcBorders>
              <w:top w:val="nil"/>
              <w:left w:val="nil"/>
              <w:bottom w:val="single" w:sz="4" w:space="0" w:color="auto"/>
              <w:right w:val="single" w:sz="4" w:space="0" w:color="auto"/>
            </w:tcBorders>
            <w:shd w:val="clear" w:color="auto" w:fill="auto"/>
            <w:noWrap/>
            <w:vAlign w:val="center"/>
            <w:hideMark/>
          </w:tcPr>
          <w:p w14:paraId="0AC26ACC"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146.86</w:t>
            </w:r>
          </w:p>
        </w:tc>
        <w:tc>
          <w:tcPr>
            <w:tcW w:w="365" w:type="pct"/>
            <w:tcBorders>
              <w:top w:val="nil"/>
              <w:left w:val="nil"/>
              <w:bottom w:val="single" w:sz="4" w:space="0" w:color="auto"/>
              <w:right w:val="single" w:sz="4" w:space="0" w:color="auto"/>
            </w:tcBorders>
            <w:shd w:val="clear" w:color="auto" w:fill="auto"/>
            <w:noWrap/>
            <w:vAlign w:val="center"/>
            <w:hideMark/>
          </w:tcPr>
          <w:p w14:paraId="5F87C15D"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390.41</w:t>
            </w:r>
          </w:p>
        </w:tc>
        <w:tc>
          <w:tcPr>
            <w:tcW w:w="365" w:type="pct"/>
            <w:tcBorders>
              <w:top w:val="nil"/>
              <w:left w:val="nil"/>
              <w:bottom w:val="single" w:sz="4" w:space="0" w:color="auto"/>
              <w:right w:val="single" w:sz="4" w:space="0" w:color="auto"/>
            </w:tcBorders>
            <w:shd w:val="clear" w:color="auto" w:fill="auto"/>
            <w:noWrap/>
            <w:vAlign w:val="center"/>
            <w:hideMark/>
          </w:tcPr>
          <w:p w14:paraId="761201E5"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390.41</w:t>
            </w:r>
          </w:p>
        </w:tc>
        <w:tc>
          <w:tcPr>
            <w:tcW w:w="365" w:type="pct"/>
            <w:tcBorders>
              <w:top w:val="nil"/>
              <w:left w:val="nil"/>
              <w:bottom w:val="single" w:sz="4" w:space="0" w:color="auto"/>
              <w:right w:val="single" w:sz="4" w:space="0" w:color="auto"/>
            </w:tcBorders>
            <w:shd w:val="clear" w:color="auto" w:fill="auto"/>
            <w:noWrap/>
            <w:vAlign w:val="center"/>
            <w:hideMark/>
          </w:tcPr>
          <w:p w14:paraId="2BDFAAB9"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312.33</w:t>
            </w:r>
          </w:p>
        </w:tc>
        <w:tc>
          <w:tcPr>
            <w:tcW w:w="365" w:type="pct"/>
            <w:tcBorders>
              <w:top w:val="nil"/>
              <w:left w:val="nil"/>
              <w:bottom w:val="single" w:sz="4" w:space="0" w:color="auto"/>
              <w:right w:val="single" w:sz="4" w:space="0" w:color="auto"/>
            </w:tcBorders>
            <w:shd w:val="clear" w:color="auto" w:fill="auto"/>
            <w:noWrap/>
            <w:vAlign w:val="center"/>
            <w:hideMark/>
          </w:tcPr>
          <w:p w14:paraId="3EA550DA"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234.25</w:t>
            </w:r>
          </w:p>
        </w:tc>
        <w:tc>
          <w:tcPr>
            <w:tcW w:w="365" w:type="pct"/>
            <w:tcBorders>
              <w:top w:val="nil"/>
              <w:left w:val="nil"/>
              <w:bottom w:val="single" w:sz="4" w:space="0" w:color="auto"/>
              <w:right w:val="single" w:sz="4" w:space="0" w:color="auto"/>
            </w:tcBorders>
            <w:shd w:val="clear" w:color="auto" w:fill="auto"/>
            <w:noWrap/>
            <w:vAlign w:val="center"/>
            <w:hideMark/>
          </w:tcPr>
          <w:p w14:paraId="671B8645"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146.41</w:t>
            </w:r>
          </w:p>
        </w:tc>
        <w:tc>
          <w:tcPr>
            <w:tcW w:w="365" w:type="pct"/>
            <w:tcBorders>
              <w:top w:val="nil"/>
              <w:left w:val="nil"/>
              <w:bottom w:val="single" w:sz="4" w:space="0" w:color="auto"/>
              <w:right w:val="single" w:sz="4" w:space="0" w:color="auto"/>
            </w:tcBorders>
            <w:shd w:val="clear" w:color="auto" w:fill="auto"/>
            <w:noWrap/>
            <w:vAlign w:val="center"/>
            <w:hideMark/>
          </w:tcPr>
          <w:p w14:paraId="25FB056C"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244.01</w:t>
            </w:r>
          </w:p>
        </w:tc>
        <w:tc>
          <w:tcPr>
            <w:tcW w:w="365" w:type="pct"/>
            <w:tcBorders>
              <w:top w:val="nil"/>
              <w:left w:val="nil"/>
              <w:bottom w:val="single" w:sz="4" w:space="0" w:color="auto"/>
              <w:right w:val="single" w:sz="4" w:space="0" w:color="auto"/>
            </w:tcBorders>
            <w:shd w:val="clear" w:color="auto" w:fill="auto"/>
            <w:noWrap/>
            <w:vAlign w:val="center"/>
            <w:hideMark/>
          </w:tcPr>
          <w:p w14:paraId="2A0BB97B"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244.01</w:t>
            </w:r>
          </w:p>
        </w:tc>
        <w:tc>
          <w:tcPr>
            <w:tcW w:w="365" w:type="pct"/>
            <w:tcBorders>
              <w:top w:val="nil"/>
              <w:left w:val="nil"/>
              <w:bottom w:val="single" w:sz="4" w:space="0" w:color="auto"/>
              <w:right w:val="single" w:sz="4" w:space="0" w:color="auto"/>
            </w:tcBorders>
            <w:shd w:val="clear" w:color="auto" w:fill="auto"/>
            <w:noWrap/>
            <w:vAlign w:val="center"/>
            <w:hideMark/>
          </w:tcPr>
          <w:p w14:paraId="1ED774D5"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195.21</w:t>
            </w:r>
          </w:p>
        </w:tc>
        <w:tc>
          <w:tcPr>
            <w:tcW w:w="365" w:type="pct"/>
            <w:tcBorders>
              <w:top w:val="nil"/>
              <w:left w:val="nil"/>
              <w:bottom w:val="single" w:sz="4" w:space="0" w:color="auto"/>
              <w:right w:val="single" w:sz="4" w:space="0" w:color="auto"/>
            </w:tcBorders>
            <w:shd w:val="clear" w:color="auto" w:fill="auto"/>
            <w:noWrap/>
            <w:vAlign w:val="center"/>
            <w:hideMark/>
          </w:tcPr>
          <w:p w14:paraId="4AA9DE5A"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146.41</w:t>
            </w:r>
          </w:p>
        </w:tc>
        <w:tc>
          <w:tcPr>
            <w:tcW w:w="370" w:type="pct"/>
            <w:tcBorders>
              <w:top w:val="nil"/>
              <w:left w:val="nil"/>
              <w:bottom w:val="single" w:sz="4" w:space="0" w:color="auto"/>
              <w:right w:val="single" w:sz="4" w:space="0" w:color="auto"/>
            </w:tcBorders>
            <w:shd w:val="clear" w:color="auto" w:fill="auto"/>
            <w:noWrap/>
            <w:vAlign w:val="center"/>
            <w:hideMark/>
          </w:tcPr>
          <w:p w14:paraId="71C40DC4" w14:textId="77777777" w:rsidR="007B6C0B" w:rsidRPr="007B6C0B" w:rsidRDefault="007B6C0B" w:rsidP="000C522D">
            <w:pPr>
              <w:spacing w:before="0" w:after="0"/>
              <w:jc w:val="center"/>
              <w:rPr>
                <w:i/>
                <w:iCs/>
                <w:color w:val="000000"/>
                <w:sz w:val="14"/>
                <w:szCs w:val="14"/>
                <w:lang w:val="es-CO" w:eastAsia="es-CO"/>
              </w:rPr>
            </w:pPr>
            <w:r w:rsidRPr="007B6C0B">
              <w:rPr>
                <w:i/>
                <w:iCs/>
                <w:color w:val="000000"/>
                <w:sz w:val="14"/>
                <w:szCs w:val="14"/>
                <w:lang w:val="es-CO" w:eastAsia="es-CO"/>
              </w:rPr>
              <w:t>2,450.30</w:t>
            </w:r>
          </w:p>
        </w:tc>
      </w:tr>
    </w:tbl>
    <w:p w14:paraId="06AB56C3" w14:textId="092E5F6C" w:rsidR="00C766DB" w:rsidRPr="007B6C0B" w:rsidRDefault="004557E4" w:rsidP="000C522D">
      <w:pPr>
        <w:ind w:left="284"/>
        <w:rPr>
          <w:i/>
          <w:iCs/>
          <w:sz w:val="20"/>
          <w:szCs w:val="20"/>
        </w:rPr>
      </w:pPr>
      <w:r w:rsidRPr="007B6C0B">
        <w:rPr>
          <w:i/>
          <w:iCs/>
          <w:sz w:val="20"/>
          <w:szCs w:val="20"/>
          <w:u w:val="single"/>
        </w:rPr>
        <w:t>La CREG omitió incluir este valor dentro del plan de inversión de infraestructura</w:t>
      </w:r>
      <w:r w:rsidRPr="007B6C0B">
        <w:rPr>
          <w:i/>
          <w:iCs/>
          <w:sz w:val="20"/>
          <w:szCs w:val="20"/>
        </w:rPr>
        <w:t xml:space="preserve"> motivo por el cual, se solicita sea incluido este valor al proyecto de inversión 7. Protección de redes - Reposición por redes antifraude para el plan de pérdidas de energía.</w:t>
      </w:r>
      <w:r w:rsidR="001916F7">
        <w:rPr>
          <w:i/>
          <w:iCs/>
          <w:sz w:val="20"/>
          <w:szCs w:val="20"/>
        </w:rPr>
        <w:t xml:space="preserve"> </w:t>
      </w:r>
      <w:r w:rsidR="00C766DB" w:rsidRPr="001916F7">
        <w:rPr>
          <w:b/>
          <w:bCs/>
          <w:i/>
          <w:iCs/>
          <w:sz w:val="20"/>
          <w:szCs w:val="20"/>
        </w:rPr>
        <w:t>Subrayado fuera de texto.</w:t>
      </w:r>
    </w:p>
    <w:p w14:paraId="6CFAF2FA" w14:textId="4841FBAE" w:rsidR="00C766DB" w:rsidRDefault="00676724" w:rsidP="0023598E">
      <w:r>
        <w:t>E</w:t>
      </w:r>
      <w:r w:rsidR="00C766DB">
        <w:t xml:space="preserve">n </w:t>
      </w:r>
      <w:r w:rsidR="00CE5F1D">
        <w:t xml:space="preserve">la hoja de cálculo </w:t>
      </w:r>
      <w:r w:rsidR="00CE5F1D">
        <w:rPr>
          <w:i/>
          <w:iCs/>
        </w:rPr>
        <w:t>F</w:t>
      </w:r>
      <w:r w:rsidR="00CE5F1D" w:rsidRPr="00CE5F1D">
        <w:rPr>
          <w:i/>
          <w:iCs/>
        </w:rPr>
        <w:t>ormato 5</w:t>
      </w:r>
      <w:r w:rsidR="00CE5F1D">
        <w:t xml:space="preserve"> del </w:t>
      </w:r>
      <w:r w:rsidR="00C766DB">
        <w:t xml:space="preserve">archivo </w:t>
      </w:r>
      <w:r w:rsidR="00C766DB" w:rsidRPr="00CE5F1D">
        <w:rPr>
          <w:i/>
          <w:iCs/>
        </w:rPr>
        <w:t>Circular 029-</w:t>
      </w:r>
      <w:r w:rsidR="00CE5F1D" w:rsidRPr="00CE5F1D">
        <w:rPr>
          <w:i/>
          <w:iCs/>
        </w:rPr>
        <w:t>20</w:t>
      </w:r>
      <w:r w:rsidR="00C766DB" w:rsidRPr="00CE5F1D">
        <w:rPr>
          <w:i/>
          <w:iCs/>
        </w:rPr>
        <w:t>18 Formatos reporte inventario OR</w:t>
      </w:r>
      <w:r w:rsidR="00C766DB">
        <w:t xml:space="preserve"> </w:t>
      </w:r>
      <w:r w:rsidR="00CE5F1D">
        <w:t xml:space="preserve">se encuentran los </w:t>
      </w:r>
      <w:r w:rsidR="00C766DB" w:rsidRPr="00C766DB">
        <w:t>formatos de reporte de unidades constructivas</w:t>
      </w:r>
      <w:r>
        <w:t xml:space="preserve"> con la información necesaria </w:t>
      </w:r>
      <w:r w:rsidR="00C766DB" w:rsidRPr="00C766DB">
        <w:t>para el cálculo de la variable INVA del numeral 3.1.1.2.1 y la valoración de los proyectos del capítulo 13</w:t>
      </w:r>
      <w:r w:rsidR="00CE5F1D">
        <w:t xml:space="preserve">. </w:t>
      </w:r>
    </w:p>
    <w:p w14:paraId="43C7C518" w14:textId="4AEEF4E5" w:rsidR="008B220B" w:rsidRDefault="00CE5F1D" w:rsidP="0023598E">
      <w:r>
        <w:t>S</w:t>
      </w:r>
      <w:r w:rsidR="008B220B">
        <w:t>e verificó qu</w:t>
      </w:r>
      <w:r w:rsidR="000C522D">
        <w:t>e</w:t>
      </w:r>
      <w:r w:rsidR="008B220B">
        <w:t xml:space="preserve"> en los formatos reportados</w:t>
      </w:r>
      <w:r w:rsidR="001943A1">
        <w:t xml:space="preserve"> por el OR</w:t>
      </w:r>
      <w:r w:rsidR="008B220B">
        <w:t xml:space="preserve"> y empleados por la Comisión en la aprobación de ingresos, </w:t>
      </w:r>
      <w:r w:rsidR="001943A1">
        <w:t xml:space="preserve">únicamente </w:t>
      </w:r>
      <w:r w:rsidR="008B220B">
        <w:t>se encuentran inversiones en redes antifraude</w:t>
      </w:r>
      <w:r w:rsidR="001943A1">
        <w:t xml:space="preserve"> para el primer año, </w:t>
      </w:r>
      <w:r w:rsidR="00676724">
        <w:t xml:space="preserve">relacionadas </w:t>
      </w:r>
      <w:r w:rsidR="001943A1">
        <w:t xml:space="preserve">en </w:t>
      </w:r>
      <w:r w:rsidR="008B220B">
        <w:t xml:space="preserve">el proyecto 7 </w:t>
      </w:r>
      <w:r w:rsidR="00676724">
        <w:t xml:space="preserve">- </w:t>
      </w:r>
      <w:r w:rsidR="008B220B" w:rsidRPr="008B220B">
        <w:rPr>
          <w:i/>
          <w:iCs/>
        </w:rPr>
        <w:t>Protección de redes</w:t>
      </w:r>
      <w:r w:rsidR="008B220B">
        <w:t xml:space="preserve">, </w:t>
      </w:r>
      <w:r w:rsidR="00676724">
        <w:t xml:space="preserve">- </w:t>
      </w:r>
      <w:r w:rsidR="008B220B" w:rsidRPr="008B220B">
        <w:rPr>
          <w:i/>
          <w:iCs/>
        </w:rPr>
        <w:t>Reposición por redes antifraude para el plan de pérdidas de energía</w:t>
      </w:r>
      <w:r w:rsidR="008B220B">
        <w:t xml:space="preserve">, el cual se incluyó en el plan de inversiones del primer año por un valor de </w:t>
      </w:r>
      <w:r w:rsidR="00B24CD2">
        <w:t xml:space="preserve">$ </w:t>
      </w:r>
      <w:r w:rsidR="008B220B" w:rsidRPr="008B220B">
        <w:t>146.859.167</w:t>
      </w:r>
      <w:r w:rsidR="008B220B">
        <w:t xml:space="preserve">. </w:t>
      </w:r>
    </w:p>
    <w:p w14:paraId="60F9D2DE" w14:textId="1EF27F11" w:rsidR="005439F7" w:rsidRDefault="00676724" w:rsidP="0023598E">
      <w:r>
        <w:lastRenderedPageBreak/>
        <w:t xml:space="preserve">El </w:t>
      </w:r>
      <w:r w:rsidR="000F4223">
        <w:t xml:space="preserve">OR </w:t>
      </w:r>
      <w:r w:rsidR="00CE5F1D">
        <w:t xml:space="preserve">no </w:t>
      </w:r>
      <w:r>
        <w:t xml:space="preserve">presentó en el </w:t>
      </w:r>
      <w:r w:rsidR="00BC58DA">
        <w:t>recurso</w:t>
      </w:r>
      <w:r>
        <w:t xml:space="preserve"> de reposición información adicional que permita la </w:t>
      </w:r>
      <w:r w:rsidR="00BC58DA">
        <w:t xml:space="preserve">valoración de </w:t>
      </w:r>
      <w:r>
        <w:t xml:space="preserve">las </w:t>
      </w:r>
      <w:r w:rsidR="00BC58DA">
        <w:t>inversi</w:t>
      </w:r>
      <w:r>
        <w:t>ones del segundo año adelante</w:t>
      </w:r>
      <w:r w:rsidR="000F4223">
        <w:t>, tal como lo establece la Circular 029 de 2018</w:t>
      </w:r>
      <w:r w:rsidR="00CE5F1D">
        <w:t>.</w:t>
      </w:r>
      <w:r w:rsidR="005439F7">
        <w:t xml:space="preserve"> </w:t>
      </w:r>
    </w:p>
    <w:p w14:paraId="2F842D51" w14:textId="4C35D3FA" w:rsidR="000F4223" w:rsidRDefault="005439F7" w:rsidP="0023598E">
      <w:r>
        <w:t xml:space="preserve">Con base en lo anterior, se </w:t>
      </w:r>
      <w:r w:rsidR="00676724">
        <w:t xml:space="preserve">aclara </w:t>
      </w:r>
      <w:r w:rsidR="000F4223">
        <w:t xml:space="preserve">que </w:t>
      </w:r>
      <w:r>
        <w:t xml:space="preserve">la Comisión </w:t>
      </w:r>
      <w:r w:rsidR="000F4223">
        <w:t xml:space="preserve">incluyó los proyectos presentados de acuerdo con los procedimientos definidos </w:t>
      </w:r>
      <w:r w:rsidR="00676724">
        <w:t>en la Resolución CREG 015 de 2018 y en las Circulares CREG 029 y 051 de 2018</w:t>
      </w:r>
      <w:r w:rsidR="000C522D">
        <w:t>,</w:t>
      </w:r>
      <w:r w:rsidR="00676724">
        <w:t xml:space="preserve"> </w:t>
      </w:r>
      <w:r w:rsidR="000F4223">
        <w:t xml:space="preserve">y que las inversiones en redes antifraude del </w:t>
      </w:r>
      <w:r w:rsidR="000F4223" w:rsidRPr="001916F7">
        <w:t>2020 en adelante</w:t>
      </w:r>
      <w:r w:rsidR="00337740" w:rsidRPr="001916F7">
        <w:t xml:space="preserve"> no</w:t>
      </w:r>
      <w:r w:rsidR="000F4223" w:rsidRPr="001916F7">
        <w:t xml:space="preserve"> </w:t>
      </w:r>
      <w:r w:rsidR="00676724" w:rsidRPr="001916F7">
        <w:t xml:space="preserve">son </w:t>
      </w:r>
      <w:r w:rsidR="000F4223" w:rsidRPr="001916F7">
        <w:t>incluidas al no contarse con la información requerida.</w:t>
      </w:r>
      <w:r w:rsidR="000F4223">
        <w:t xml:space="preserve"> </w:t>
      </w:r>
    </w:p>
    <w:p w14:paraId="4BE56226" w14:textId="508F03C5" w:rsidR="00A169DC" w:rsidRDefault="00A169DC" w:rsidP="00A169DC">
      <w:r>
        <w:rPr>
          <w:b/>
          <w:bCs/>
        </w:rPr>
        <w:t>Pretensión accesoria – plan de pérdidas</w:t>
      </w:r>
    </w:p>
    <w:p w14:paraId="0B7BB1E9" w14:textId="77777777" w:rsidR="000F4223" w:rsidRPr="00676724" w:rsidRDefault="000F4223" w:rsidP="000C522D">
      <w:pPr>
        <w:ind w:left="284"/>
        <w:rPr>
          <w:i/>
          <w:iCs/>
          <w:sz w:val="20"/>
          <w:szCs w:val="20"/>
        </w:rPr>
      </w:pPr>
      <w:r w:rsidRPr="00676724">
        <w:rPr>
          <w:b/>
          <w:bCs/>
          <w:i/>
          <w:iCs/>
          <w:sz w:val="20"/>
          <w:szCs w:val="20"/>
        </w:rPr>
        <w:t>3.2.2 Respecto al Plan de pérdidas</w:t>
      </w:r>
      <w:r w:rsidRPr="00676724">
        <w:rPr>
          <w:i/>
          <w:iCs/>
          <w:sz w:val="20"/>
          <w:szCs w:val="20"/>
        </w:rPr>
        <w:t xml:space="preserve"> </w:t>
      </w:r>
    </w:p>
    <w:p w14:paraId="2364EC3F" w14:textId="77777777" w:rsidR="000F4223" w:rsidRPr="00676724" w:rsidRDefault="000F4223" w:rsidP="000C522D">
      <w:pPr>
        <w:ind w:left="284"/>
        <w:rPr>
          <w:i/>
          <w:iCs/>
          <w:sz w:val="20"/>
          <w:szCs w:val="20"/>
        </w:rPr>
      </w:pPr>
      <w:r w:rsidRPr="00676724">
        <w:rPr>
          <w:i/>
          <w:iCs/>
          <w:sz w:val="20"/>
          <w:szCs w:val="20"/>
        </w:rPr>
        <w:t xml:space="preserve">Que se apruebe el plan pérdidas en la forma y condiciones inicialmente presentado por EMCARTAGO, partiendo del hecho del error involuntario de llamar las actividades como parte de proyecto AMI cuando realmente se estaba hablando de medición centralizada, por lo que se pone a consideración del Regulador revisar la pertinencia de aprobar las inversiones </w:t>
      </w:r>
      <w:r w:rsidRPr="00676724">
        <w:rPr>
          <w:rFonts w:cs="SPYGBT+Arial-BoldItalicMT"/>
          <w:b/>
          <w:bCs/>
          <w:i/>
          <w:iCs/>
          <w:sz w:val="20"/>
          <w:szCs w:val="20"/>
        </w:rPr>
        <w:t>INVNUCj</w:t>
      </w:r>
      <w:r w:rsidRPr="00676724">
        <w:rPr>
          <w:rFonts w:cs="MHGOYQ+Arial-ItalicMT"/>
          <w:i/>
          <w:iCs/>
          <w:sz w:val="20"/>
          <w:szCs w:val="20"/>
        </w:rPr>
        <w:t xml:space="preserve">, </w:t>
      </w:r>
      <w:r w:rsidRPr="00676724">
        <w:rPr>
          <w:i/>
          <w:iCs/>
          <w:sz w:val="20"/>
          <w:szCs w:val="20"/>
        </w:rPr>
        <w:t xml:space="preserve">la senda de pérdidas IPTSj planteada por Emcartago y el valor </w:t>
      </w:r>
      <w:r w:rsidRPr="00676724">
        <w:rPr>
          <w:rFonts w:cs="SPYGBT+Arial-BoldItalicMT"/>
          <w:b/>
          <w:bCs/>
          <w:i/>
          <w:iCs/>
          <w:sz w:val="20"/>
          <w:szCs w:val="20"/>
        </w:rPr>
        <w:t xml:space="preserve">CPROGj,m </w:t>
      </w:r>
      <w:r w:rsidRPr="00676724">
        <w:rPr>
          <w:i/>
          <w:iCs/>
          <w:sz w:val="20"/>
          <w:szCs w:val="20"/>
        </w:rPr>
        <w:t>asociados.</w:t>
      </w:r>
    </w:p>
    <w:p w14:paraId="71C7F3FE" w14:textId="77777777" w:rsidR="000F4223" w:rsidRPr="00676724" w:rsidRDefault="000F4223" w:rsidP="000C522D">
      <w:pPr>
        <w:ind w:left="284"/>
        <w:rPr>
          <w:i/>
          <w:iCs/>
          <w:sz w:val="20"/>
          <w:szCs w:val="20"/>
        </w:rPr>
      </w:pPr>
      <w:r w:rsidRPr="00676724">
        <w:rPr>
          <w:i/>
          <w:iCs/>
          <w:sz w:val="20"/>
          <w:szCs w:val="20"/>
        </w:rPr>
        <w:t xml:space="preserve">Con base en lo anterior se reiteran los valores </w:t>
      </w:r>
      <w:r w:rsidRPr="00676724">
        <w:rPr>
          <w:rFonts w:cs="SPYGBT+Arial-BoldItalicMT"/>
          <w:i/>
          <w:iCs/>
          <w:sz w:val="20"/>
          <w:szCs w:val="20"/>
        </w:rPr>
        <w:t>CPROGj,m e IPTSj</w:t>
      </w:r>
      <w:r w:rsidRPr="00676724">
        <w:rPr>
          <w:i/>
          <w:iCs/>
          <w:sz w:val="20"/>
          <w:szCs w:val="20"/>
        </w:rPr>
        <w:t xml:space="preserve">: </w:t>
      </w:r>
    </w:p>
    <w:p w14:paraId="1EE83F93" w14:textId="77777777" w:rsidR="000F4223" w:rsidRPr="00676724" w:rsidRDefault="000F4223" w:rsidP="000C522D">
      <w:pPr>
        <w:ind w:left="284"/>
        <w:rPr>
          <w:i/>
          <w:iCs/>
          <w:sz w:val="20"/>
          <w:szCs w:val="20"/>
        </w:rPr>
      </w:pPr>
      <w:r w:rsidRPr="00676724">
        <w:rPr>
          <w:i/>
          <w:iCs/>
          <w:sz w:val="20"/>
          <w:szCs w:val="20"/>
        </w:rPr>
        <w:t>CPROGj,m:</w:t>
      </w:r>
    </w:p>
    <w:p w14:paraId="4EDBBE3F" w14:textId="77777777" w:rsidR="000F4223" w:rsidRPr="00676724" w:rsidRDefault="000F4223" w:rsidP="000C522D">
      <w:pPr>
        <w:ind w:left="284"/>
        <w:rPr>
          <w:i/>
          <w:iCs/>
          <w:sz w:val="20"/>
          <w:szCs w:val="20"/>
        </w:rPr>
      </w:pPr>
      <w:r w:rsidRPr="00676724">
        <w:rPr>
          <w:i/>
          <w:iCs/>
          <w:sz w:val="20"/>
          <w:szCs w:val="20"/>
        </w:rPr>
        <w:t>CARGO ESTIMADO POR CONCEPTO DEL PLAN DE PÉRDIDAS - $/kWh</w:t>
      </w:r>
    </w:p>
    <w:tbl>
      <w:tblPr>
        <w:tblW w:w="4623" w:type="pct"/>
        <w:jc w:val="center"/>
        <w:tblLayout w:type="fixed"/>
        <w:tblCellMar>
          <w:left w:w="70" w:type="dxa"/>
          <w:right w:w="70" w:type="dxa"/>
        </w:tblCellMar>
        <w:tblLook w:val="04A0" w:firstRow="1" w:lastRow="0" w:firstColumn="1" w:lastColumn="0" w:noHBand="0" w:noVBand="1"/>
      </w:tblPr>
      <w:tblGrid>
        <w:gridCol w:w="994"/>
        <w:gridCol w:w="3823"/>
        <w:gridCol w:w="850"/>
        <w:gridCol w:w="710"/>
        <w:gridCol w:w="850"/>
        <w:gridCol w:w="707"/>
        <w:gridCol w:w="707"/>
      </w:tblGrid>
      <w:tr w:rsidR="00AB6D86" w:rsidRPr="00676724" w14:paraId="125BAF98" w14:textId="77777777" w:rsidTr="00AB6D86">
        <w:trPr>
          <w:trHeight w:val="260"/>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E5A8A" w14:textId="77777777" w:rsidR="000F4223" w:rsidRPr="00676724" w:rsidRDefault="000F4223" w:rsidP="000C522D">
            <w:pPr>
              <w:spacing w:before="0" w:after="0"/>
              <w:jc w:val="center"/>
              <w:rPr>
                <w:rFonts w:cs="Arial"/>
                <w:b/>
                <w:bCs/>
                <w:sz w:val="18"/>
                <w:szCs w:val="18"/>
                <w:lang w:val="es-CO" w:eastAsia="es-CO"/>
              </w:rPr>
            </w:pPr>
            <w:r w:rsidRPr="00676724">
              <w:rPr>
                <w:rFonts w:cs="Arial"/>
                <w:b/>
                <w:bCs/>
                <w:sz w:val="18"/>
                <w:szCs w:val="18"/>
                <w:lang w:val="es-CO" w:eastAsia="es-CO"/>
              </w:rPr>
              <w:t>Variable</w:t>
            </w:r>
          </w:p>
        </w:tc>
        <w:tc>
          <w:tcPr>
            <w:tcW w:w="2212" w:type="pct"/>
            <w:tcBorders>
              <w:top w:val="single" w:sz="4" w:space="0" w:color="auto"/>
              <w:left w:val="nil"/>
              <w:bottom w:val="single" w:sz="4" w:space="0" w:color="auto"/>
              <w:right w:val="single" w:sz="4" w:space="0" w:color="auto"/>
            </w:tcBorders>
            <w:shd w:val="clear" w:color="000000" w:fill="FFFFFF"/>
            <w:noWrap/>
            <w:vAlign w:val="center"/>
            <w:hideMark/>
          </w:tcPr>
          <w:p w14:paraId="2A84504D" w14:textId="77777777" w:rsidR="000F4223" w:rsidRPr="00676724" w:rsidRDefault="000F4223" w:rsidP="000C522D">
            <w:pPr>
              <w:spacing w:before="0" w:after="0"/>
              <w:jc w:val="center"/>
              <w:rPr>
                <w:rFonts w:cs="Arial"/>
                <w:b/>
                <w:bCs/>
                <w:sz w:val="18"/>
                <w:szCs w:val="18"/>
                <w:lang w:val="es-CO" w:eastAsia="es-CO"/>
              </w:rPr>
            </w:pPr>
            <w:r w:rsidRPr="00676724">
              <w:rPr>
                <w:rFonts w:cs="Arial"/>
                <w:b/>
                <w:bCs/>
                <w:sz w:val="18"/>
                <w:szCs w:val="18"/>
                <w:lang w:val="es-CO" w:eastAsia="es-CO"/>
              </w:rPr>
              <w:t>Descripción</w:t>
            </w:r>
          </w:p>
        </w:tc>
        <w:tc>
          <w:tcPr>
            <w:tcW w:w="492" w:type="pct"/>
            <w:tcBorders>
              <w:top w:val="single" w:sz="4" w:space="0" w:color="auto"/>
              <w:left w:val="nil"/>
              <w:bottom w:val="single" w:sz="4" w:space="0" w:color="auto"/>
              <w:right w:val="single" w:sz="4" w:space="0" w:color="auto"/>
            </w:tcBorders>
            <w:shd w:val="clear" w:color="000000" w:fill="FFFFFF"/>
            <w:noWrap/>
            <w:vAlign w:val="center"/>
            <w:hideMark/>
          </w:tcPr>
          <w:p w14:paraId="31097097" w14:textId="77777777" w:rsidR="000F4223" w:rsidRPr="00676724" w:rsidRDefault="000F4223" w:rsidP="000C522D">
            <w:pPr>
              <w:spacing w:before="0" w:after="0"/>
              <w:jc w:val="center"/>
              <w:rPr>
                <w:rFonts w:cs="Arial"/>
                <w:b/>
                <w:bCs/>
                <w:sz w:val="18"/>
                <w:szCs w:val="18"/>
                <w:lang w:val="es-CO" w:eastAsia="es-CO"/>
              </w:rPr>
            </w:pPr>
            <w:r w:rsidRPr="00676724">
              <w:rPr>
                <w:rFonts w:cs="Arial"/>
                <w:b/>
                <w:bCs/>
                <w:sz w:val="18"/>
                <w:szCs w:val="18"/>
                <w:lang w:val="es-CO" w:eastAsia="es-CO"/>
              </w:rPr>
              <w:t xml:space="preserve">Año </w:t>
            </w:r>
            <w:r w:rsidRPr="00676724">
              <w:rPr>
                <w:rFonts w:cs="Arial"/>
                <w:b/>
                <w:bCs/>
                <w:i/>
                <w:iCs/>
                <w:sz w:val="18"/>
                <w:szCs w:val="18"/>
                <w:lang w:val="es-CO" w:eastAsia="es-CO"/>
              </w:rPr>
              <w:t>t</w:t>
            </w:r>
            <w:r w:rsidRPr="00676724">
              <w:rPr>
                <w:rFonts w:cs="Arial"/>
                <w:b/>
                <w:bCs/>
                <w:sz w:val="18"/>
                <w:szCs w:val="18"/>
                <w:lang w:val="es-CO" w:eastAsia="es-CO"/>
              </w:rPr>
              <w:t>=1</w:t>
            </w:r>
          </w:p>
        </w:tc>
        <w:tc>
          <w:tcPr>
            <w:tcW w:w="411" w:type="pct"/>
            <w:tcBorders>
              <w:top w:val="single" w:sz="4" w:space="0" w:color="auto"/>
              <w:left w:val="nil"/>
              <w:bottom w:val="single" w:sz="4" w:space="0" w:color="auto"/>
              <w:right w:val="single" w:sz="4" w:space="0" w:color="auto"/>
            </w:tcBorders>
            <w:shd w:val="clear" w:color="000000" w:fill="FFFFFF"/>
            <w:noWrap/>
            <w:vAlign w:val="center"/>
            <w:hideMark/>
          </w:tcPr>
          <w:p w14:paraId="523129CB" w14:textId="77777777" w:rsidR="000F4223" w:rsidRPr="00676724" w:rsidRDefault="000F4223" w:rsidP="000C522D">
            <w:pPr>
              <w:spacing w:before="0" w:after="0"/>
              <w:jc w:val="center"/>
              <w:rPr>
                <w:rFonts w:cs="Arial"/>
                <w:b/>
                <w:bCs/>
                <w:sz w:val="18"/>
                <w:szCs w:val="18"/>
                <w:lang w:val="es-CO" w:eastAsia="es-CO"/>
              </w:rPr>
            </w:pPr>
            <w:r w:rsidRPr="00676724">
              <w:rPr>
                <w:rFonts w:cs="Arial"/>
                <w:b/>
                <w:bCs/>
                <w:sz w:val="18"/>
                <w:szCs w:val="18"/>
                <w:lang w:val="es-CO" w:eastAsia="es-CO"/>
              </w:rPr>
              <w:t xml:space="preserve">Año </w:t>
            </w:r>
            <w:r w:rsidRPr="00676724">
              <w:rPr>
                <w:rFonts w:cs="Arial"/>
                <w:b/>
                <w:bCs/>
                <w:i/>
                <w:iCs/>
                <w:sz w:val="18"/>
                <w:szCs w:val="18"/>
                <w:lang w:val="es-CO" w:eastAsia="es-CO"/>
              </w:rPr>
              <w:t>t</w:t>
            </w:r>
            <w:r w:rsidRPr="00676724">
              <w:rPr>
                <w:rFonts w:cs="Arial"/>
                <w:b/>
                <w:bCs/>
                <w:sz w:val="18"/>
                <w:szCs w:val="18"/>
                <w:lang w:val="es-CO" w:eastAsia="es-CO"/>
              </w:rPr>
              <w:t>=2</w:t>
            </w:r>
          </w:p>
        </w:tc>
        <w:tc>
          <w:tcPr>
            <w:tcW w:w="492" w:type="pct"/>
            <w:tcBorders>
              <w:top w:val="single" w:sz="4" w:space="0" w:color="auto"/>
              <w:left w:val="nil"/>
              <w:bottom w:val="single" w:sz="4" w:space="0" w:color="auto"/>
              <w:right w:val="single" w:sz="4" w:space="0" w:color="auto"/>
            </w:tcBorders>
            <w:shd w:val="clear" w:color="000000" w:fill="FFFFFF"/>
            <w:noWrap/>
            <w:vAlign w:val="center"/>
            <w:hideMark/>
          </w:tcPr>
          <w:p w14:paraId="431D41E3" w14:textId="77777777" w:rsidR="000F4223" w:rsidRPr="00676724" w:rsidRDefault="000F4223" w:rsidP="000C522D">
            <w:pPr>
              <w:spacing w:before="0" w:after="0"/>
              <w:jc w:val="center"/>
              <w:rPr>
                <w:rFonts w:cs="Arial"/>
                <w:b/>
                <w:bCs/>
                <w:sz w:val="18"/>
                <w:szCs w:val="18"/>
                <w:lang w:val="es-CO" w:eastAsia="es-CO"/>
              </w:rPr>
            </w:pPr>
            <w:r w:rsidRPr="00676724">
              <w:rPr>
                <w:rFonts w:cs="Arial"/>
                <w:b/>
                <w:bCs/>
                <w:sz w:val="18"/>
                <w:szCs w:val="18"/>
                <w:lang w:val="es-CO" w:eastAsia="es-CO"/>
              </w:rPr>
              <w:t xml:space="preserve">Año </w:t>
            </w:r>
            <w:r w:rsidRPr="00676724">
              <w:rPr>
                <w:rFonts w:cs="Arial"/>
                <w:b/>
                <w:bCs/>
                <w:i/>
                <w:iCs/>
                <w:sz w:val="18"/>
                <w:szCs w:val="18"/>
                <w:lang w:val="es-CO" w:eastAsia="es-CO"/>
              </w:rPr>
              <w:t>t</w:t>
            </w:r>
            <w:r w:rsidRPr="00676724">
              <w:rPr>
                <w:rFonts w:cs="Arial"/>
                <w:b/>
                <w:bCs/>
                <w:sz w:val="18"/>
                <w:szCs w:val="18"/>
                <w:lang w:val="es-CO" w:eastAsia="es-CO"/>
              </w:rPr>
              <w:t>=3</w:t>
            </w:r>
          </w:p>
        </w:tc>
        <w:tc>
          <w:tcPr>
            <w:tcW w:w="409" w:type="pct"/>
            <w:tcBorders>
              <w:top w:val="single" w:sz="4" w:space="0" w:color="auto"/>
              <w:left w:val="nil"/>
              <w:bottom w:val="single" w:sz="4" w:space="0" w:color="auto"/>
              <w:right w:val="single" w:sz="4" w:space="0" w:color="auto"/>
            </w:tcBorders>
            <w:shd w:val="clear" w:color="000000" w:fill="FFFFFF"/>
            <w:noWrap/>
            <w:vAlign w:val="center"/>
            <w:hideMark/>
          </w:tcPr>
          <w:p w14:paraId="547585F1" w14:textId="77777777" w:rsidR="000F4223" w:rsidRPr="00676724" w:rsidRDefault="000F4223" w:rsidP="000C522D">
            <w:pPr>
              <w:spacing w:before="0" w:after="0"/>
              <w:jc w:val="center"/>
              <w:rPr>
                <w:rFonts w:cs="Arial"/>
                <w:b/>
                <w:bCs/>
                <w:sz w:val="18"/>
                <w:szCs w:val="18"/>
                <w:lang w:val="es-CO" w:eastAsia="es-CO"/>
              </w:rPr>
            </w:pPr>
            <w:r w:rsidRPr="00676724">
              <w:rPr>
                <w:rFonts w:cs="Arial"/>
                <w:b/>
                <w:bCs/>
                <w:sz w:val="18"/>
                <w:szCs w:val="18"/>
                <w:lang w:val="es-CO" w:eastAsia="es-CO"/>
              </w:rPr>
              <w:t xml:space="preserve">Año </w:t>
            </w:r>
            <w:r w:rsidRPr="00676724">
              <w:rPr>
                <w:rFonts w:cs="Arial"/>
                <w:b/>
                <w:bCs/>
                <w:i/>
                <w:iCs/>
                <w:sz w:val="18"/>
                <w:szCs w:val="18"/>
                <w:lang w:val="es-CO" w:eastAsia="es-CO"/>
              </w:rPr>
              <w:t>t</w:t>
            </w:r>
            <w:r w:rsidRPr="00676724">
              <w:rPr>
                <w:rFonts w:cs="Arial"/>
                <w:b/>
                <w:bCs/>
                <w:sz w:val="18"/>
                <w:szCs w:val="18"/>
                <w:lang w:val="es-CO" w:eastAsia="es-CO"/>
              </w:rPr>
              <w:t>=4</w:t>
            </w:r>
          </w:p>
        </w:tc>
        <w:tc>
          <w:tcPr>
            <w:tcW w:w="409" w:type="pct"/>
            <w:tcBorders>
              <w:top w:val="single" w:sz="4" w:space="0" w:color="auto"/>
              <w:left w:val="nil"/>
              <w:bottom w:val="single" w:sz="4" w:space="0" w:color="auto"/>
              <w:right w:val="single" w:sz="4" w:space="0" w:color="auto"/>
            </w:tcBorders>
            <w:shd w:val="clear" w:color="000000" w:fill="FFFFFF"/>
            <w:noWrap/>
            <w:vAlign w:val="center"/>
            <w:hideMark/>
          </w:tcPr>
          <w:p w14:paraId="3BA05EA5" w14:textId="77777777" w:rsidR="000F4223" w:rsidRPr="00676724" w:rsidRDefault="000F4223" w:rsidP="000C522D">
            <w:pPr>
              <w:spacing w:before="0" w:after="0"/>
              <w:jc w:val="center"/>
              <w:rPr>
                <w:rFonts w:cs="Arial"/>
                <w:b/>
                <w:bCs/>
                <w:sz w:val="18"/>
                <w:szCs w:val="18"/>
                <w:lang w:val="es-CO" w:eastAsia="es-CO"/>
              </w:rPr>
            </w:pPr>
            <w:r w:rsidRPr="00676724">
              <w:rPr>
                <w:rFonts w:cs="Arial"/>
                <w:b/>
                <w:bCs/>
                <w:sz w:val="18"/>
                <w:szCs w:val="18"/>
                <w:lang w:val="es-CO" w:eastAsia="es-CO"/>
              </w:rPr>
              <w:t xml:space="preserve">Año </w:t>
            </w:r>
            <w:r w:rsidRPr="00676724">
              <w:rPr>
                <w:rFonts w:cs="Arial"/>
                <w:b/>
                <w:bCs/>
                <w:i/>
                <w:iCs/>
                <w:sz w:val="18"/>
                <w:szCs w:val="18"/>
                <w:lang w:val="es-CO" w:eastAsia="es-CO"/>
              </w:rPr>
              <w:t>t</w:t>
            </w:r>
            <w:r w:rsidRPr="00676724">
              <w:rPr>
                <w:rFonts w:cs="Arial"/>
                <w:b/>
                <w:bCs/>
                <w:sz w:val="18"/>
                <w:szCs w:val="18"/>
                <w:lang w:val="es-CO" w:eastAsia="es-CO"/>
              </w:rPr>
              <w:t>=5</w:t>
            </w:r>
          </w:p>
        </w:tc>
      </w:tr>
      <w:tr w:rsidR="00AB6D86" w:rsidRPr="00676724" w14:paraId="3BA946B4" w14:textId="77777777" w:rsidTr="00AB6D86">
        <w:trPr>
          <w:trHeight w:val="320"/>
          <w:jc w:val="center"/>
        </w:trPr>
        <w:tc>
          <w:tcPr>
            <w:tcW w:w="575" w:type="pct"/>
            <w:tcBorders>
              <w:top w:val="nil"/>
              <w:left w:val="single" w:sz="4" w:space="0" w:color="auto"/>
              <w:bottom w:val="single" w:sz="4" w:space="0" w:color="auto"/>
              <w:right w:val="single" w:sz="4" w:space="0" w:color="auto"/>
            </w:tcBorders>
            <w:shd w:val="clear" w:color="000000" w:fill="FFFFFF"/>
            <w:noWrap/>
            <w:vAlign w:val="center"/>
            <w:hideMark/>
          </w:tcPr>
          <w:p w14:paraId="626C10EA"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CPROG</w:t>
            </w:r>
            <w:r w:rsidRPr="00676724">
              <w:rPr>
                <w:rFonts w:cs="Arial"/>
                <w:i/>
                <w:iCs/>
                <w:sz w:val="18"/>
                <w:szCs w:val="18"/>
                <w:vertAlign w:val="subscript"/>
                <w:lang w:val="es-CO" w:eastAsia="es-CO"/>
              </w:rPr>
              <w:t>j,m</w:t>
            </w:r>
          </w:p>
        </w:tc>
        <w:tc>
          <w:tcPr>
            <w:tcW w:w="2212" w:type="pct"/>
            <w:tcBorders>
              <w:top w:val="nil"/>
              <w:left w:val="nil"/>
              <w:bottom w:val="single" w:sz="4" w:space="0" w:color="auto"/>
              <w:right w:val="single" w:sz="4" w:space="0" w:color="auto"/>
            </w:tcBorders>
            <w:shd w:val="clear" w:color="000000" w:fill="FFFFFF"/>
            <w:noWrap/>
            <w:vAlign w:val="center"/>
            <w:hideMark/>
          </w:tcPr>
          <w:p w14:paraId="4F2CF9CF" w14:textId="77777777" w:rsidR="00D332EE" w:rsidRDefault="000F4223" w:rsidP="000C522D">
            <w:pPr>
              <w:spacing w:before="0" w:after="0"/>
              <w:jc w:val="left"/>
              <w:rPr>
                <w:rFonts w:cs="Arial"/>
                <w:i/>
                <w:iCs/>
                <w:sz w:val="18"/>
                <w:szCs w:val="18"/>
                <w:lang w:val="es-CO" w:eastAsia="es-CO"/>
              </w:rPr>
            </w:pPr>
            <w:r w:rsidRPr="00676724">
              <w:rPr>
                <w:rFonts w:cs="Arial"/>
                <w:i/>
                <w:iCs/>
                <w:sz w:val="18"/>
                <w:szCs w:val="18"/>
                <w:lang w:val="es-CO" w:eastAsia="es-CO"/>
              </w:rPr>
              <w:t>Valor mensual del car</w:t>
            </w:r>
          </w:p>
          <w:p w14:paraId="66D1D1C6" w14:textId="24EA64E2" w:rsidR="000F4223" w:rsidRPr="00676724" w:rsidRDefault="000F4223" w:rsidP="000C522D">
            <w:pPr>
              <w:spacing w:before="0" w:after="0"/>
              <w:jc w:val="left"/>
              <w:rPr>
                <w:rFonts w:cs="Arial"/>
                <w:i/>
                <w:iCs/>
                <w:sz w:val="18"/>
                <w:szCs w:val="18"/>
                <w:lang w:val="es-CO" w:eastAsia="es-CO"/>
              </w:rPr>
            </w:pPr>
            <w:r w:rsidRPr="00676724">
              <w:rPr>
                <w:rFonts w:cs="Arial"/>
                <w:i/>
                <w:iCs/>
                <w:sz w:val="18"/>
                <w:szCs w:val="18"/>
                <w:lang w:val="es-CO" w:eastAsia="es-CO"/>
              </w:rPr>
              <w:t>go por concepto del plan de pérdidas de enero de cada año</w:t>
            </w:r>
          </w:p>
        </w:tc>
        <w:tc>
          <w:tcPr>
            <w:tcW w:w="492" w:type="pct"/>
            <w:tcBorders>
              <w:top w:val="nil"/>
              <w:left w:val="nil"/>
              <w:bottom w:val="single" w:sz="4" w:space="0" w:color="auto"/>
              <w:right w:val="single" w:sz="4" w:space="0" w:color="auto"/>
            </w:tcBorders>
            <w:shd w:val="clear" w:color="000000" w:fill="FFFFFF"/>
            <w:noWrap/>
            <w:vAlign w:val="center"/>
            <w:hideMark/>
          </w:tcPr>
          <w:p w14:paraId="1A6980EF" w14:textId="77777777" w:rsidR="000F4223" w:rsidRPr="00676724" w:rsidRDefault="000F4223" w:rsidP="000C522D">
            <w:pPr>
              <w:spacing w:before="0" w:after="0"/>
              <w:jc w:val="center"/>
              <w:rPr>
                <w:rFonts w:cs="Arial"/>
                <w:sz w:val="18"/>
                <w:szCs w:val="18"/>
                <w:lang w:val="es-CO" w:eastAsia="es-CO"/>
              </w:rPr>
            </w:pPr>
            <w:r w:rsidRPr="00676724">
              <w:rPr>
                <w:rFonts w:cs="Arial"/>
                <w:sz w:val="18"/>
                <w:szCs w:val="18"/>
                <w:lang w:val="es-CO" w:eastAsia="es-CO"/>
              </w:rPr>
              <w:t>5,38</w:t>
            </w:r>
          </w:p>
        </w:tc>
        <w:tc>
          <w:tcPr>
            <w:tcW w:w="411" w:type="pct"/>
            <w:tcBorders>
              <w:top w:val="nil"/>
              <w:left w:val="nil"/>
              <w:bottom w:val="single" w:sz="4" w:space="0" w:color="auto"/>
              <w:right w:val="single" w:sz="4" w:space="0" w:color="auto"/>
            </w:tcBorders>
            <w:shd w:val="clear" w:color="000000" w:fill="FFFFFF"/>
            <w:noWrap/>
            <w:vAlign w:val="center"/>
            <w:hideMark/>
          </w:tcPr>
          <w:p w14:paraId="5C8408CB" w14:textId="77777777" w:rsidR="000F4223" w:rsidRPr="00676724" w:rsidRDefault="000F4223" w:rsidP="000C522D">
            <w:pPr>
              <w:spacing w:before="0" w:after="0"/>
              <w:jc w:val="center"/>
              <w:rPr>
                <w:rFonts w:cs="Arial"/>
                <w:sz w:val="18"/>
                <w:szCs w:val="18"/>
                <w:lang w:val="es-CO" w:eastAsia="es-CO"/>
              </w:rPr>
            </w:pPr>
            <w:r w:rsidRPr="00676724">
              <w:rPr>
                <w:rFonts w:cs="Arial"/>
                <w:sz w:val="18"/>
                <w:szCs w:val="18"/>
                <w:lang w:val="es-CO" w:eastAsia="es-CO"/>
              </w:rPr>
              <w:t>5,39</w:t>
            </w:r>
          </w:p>
        </w:tc>
        <w:tc>
          <w:tcPr>
            <w:tcW w:w="492" w:type="pct"/>
            <w:tcBorders>
              <w:top w:val="nil"/>
              <w:left w:val="nil"/>
              <w:bottom w:val="single" w:sz="4" w:space="0" w:color="auto"/>
              <w:right w:val="single" w:sz="4" w:space="0" w:color="auto"/>
            </w:tcBorders>
            <w:shd w:val="clear" w:color="000000" w:fill="FFFFFF"/>
            <w:noWrap/>
            <w:vAlign w:val="center"/>
            <w:hideMark/>
          </w:tcPr>
          <w:p w14:paraId="505247E2" w14:textId="77777777" w:rsidR="000F4223" w:rsidRPr="00676724" w:rsidRDefault="000F4223" w:rsidP="000C522D">
            <w:pPr>
              <w:spacing w:before="0" w:after="0"/>
              <w:jc w:val="center"/>
              <w:rPr>
                <w:rFonts w:cs="Arial"/>
                <w:sz w:val="18"/>
                <w:szCs w:val="18"/>
                <w:lang w:val="es-CO" w:eastAsia="es-CO"/>
              </w:rPr>
            </w:pPr>
            <w:r w:rsidRPr="00676724">
              <w:rPr>
                <w:rFonts w:cs="Arial"/>
                <w:sz w:val="18"/>
                <w:szCs w:val="18"/>
                <w:lang w:val="es-CO" w:eastAsia="es-CO"/>
              </w:rPr>
              <w:t>5,40</w:t>
            </w:r>
          </w:p>
        </w:tc>
        <w:tc>
          <w:tcPr>
            <w:tcW w:w="409" w:type="pct"/>
            <w:tcBorders>
              <w:top w:val="nil"/>
              <w:left w:val="nil"/>
              <w:bottom w:val="single" w:sz="4" w:space="0" w:color="auto"/>
              <w:right w:val="single" w:sz="4" w:space="0" w:color="auto"/>
            </w:tcBorders>
            <w:shd w:val="clear" w:color="000000" w:fill="FFFFFF"/>
            <w:noWrap/>
            <w:vAlign w:val="center"/>
            <w:hideMark/>
          </w:tcPr>
          <w:p w14:paraId="7F9C97C4" w14:textId="77777777" w:rsidR="000F4223" w:rsidRPr="00676724" w:rsidRDefault="000F4223" w:rsidP="000C522D">
            <w:pPr>
              <w:spacing w:before="0" w:after="0"/>
              <w:jc w:val="center"/>
              <w:rPr>
                <w:rFonts w:cs="Arial"/>
                <w:sz w:val="18"/>
                <w:szCs w:val="18"/>
                <w:lang w:val="es-CO" w:eastAsia="es-CO"/>
              </w:rPr>
            </w:pPr>
            <w:r w:rsidRPr="00676724">
              <w:rPr>
                <w:rFonts w:cs="Arial"/>
                <w:sz w:val="18"/>
                <w:szCs w:val="18"/>
                <w:lang w:val="es-CO" w:eastAsia="es-CO"/>
              </w:rPr>
              <w:t>5,39</w:t>
            </w:r>
          </w:p>
        </w:tc>
        <w:tc>
          <w:tcPr>
            <w:tcW w:w="409" w:type="pct"/>
            <w:tcBorders>
              <w:top w:val="nil"/>
              <w:left w:val="nil"/>
              <w:bottom w:val="single" w:sz="4" w:space="0" w:color="auto"/>
              <w:right w:val="single" w:sz="4" w:space="0" w:color="auto"/>
            </w:tcBorders>
            <w:shd w:val="clear" w:color="000000" w:fill="FFFFFF"/>
            <w:noWrap/>
            <w:vAlign w:val="center"/>
            <w:hideMark/>
          </w:tcPr>
          <w:p w14:paraId="35774545" w14:textId="77777777" w:rsidR="000F4223" w:rsidRPr="00676724" w:rsidRDefault="000F4223" w:rsidP="000C522D">
            <w:pPr>
              <w:spacing w:before="0" w:after="0"/>
              <w:jc w:val="center"/>
              <w:rPr>
                <w:rFonts w:cs="Arial"/>
                <w:sz w:val="18"/>
                <w:szCs w:val="18"/>
                <w:lang w:val="es-CO" w:eastAsia="es-CO"/>
              </w:rPr>
            </w:pPr>
            <w:r w:rsidRPr="00676724">
              <w:rPr>
                <w:rFonts w:cs="Arial"/>
                <w:sz w:val="18"/>
                <w:szCs w:val="18"/>
                <w:lang w:val="es-CO" w:eastAsia="es-CO"/>
              </w:rPr>
              <w:t>5,38</w:t>
            </w:r>
          </w:p>
        </w:tc>
      </w:tr>
    </w:tbl>
    <w:p w14:paraId="680A2AAD" w14:textId="0D828F73" w:rsidR="000F4223" w:rsidRPr="00676724" w:rsidRDefault="000F4223" w:rsidP="000C522D">
      <w:pPr>
        <w:ind w:left="284"/>
        <w:rPr>
          <w:i/>
          <w:iCs/>
          <w:sz w:val="20"/>
          <w:szCs w:val="20"/>
        </w:rPr>
      </w:pPr>
      <w:r w:rsidRPr="00676724">
        <w:rPr>
          <w:i/>
          <w:iCs/>
          <w:sz w:val="20"/>
          <w:szCs w:val="20"/>
        </w:rPr>
        <w:t>Índice de Pérdidas Totales IPTSj. 4.</w:t>
      </w:r>
    </w:p>
    <w:tbl>
      <w:tblPr>
        <w:tblW w:w="3713" w:type="pct"/>
        <w:jc w:val="center"/>
        <w:tblCellMar>
          <w:left w:w="70" w:type="dxa"/>
          <w:right w:w="70" w:type="dxa"/>
        </w:tblCellMar>
        <w:tblLook w:val="04A0" w:firstRow="1" w:lastRow="0" w:firstColumn="1" w:lastColumn="0" w:noHBand="0" w:noVBand="1"/>
      </w:tblPr>
      <w:tblGrid>
        <w:gridCol w:w="972"/>
        <w:gridCol w:w="920"/>
        <w:gridCol w:w="1053"/>
        <w:gridCol w:w="918"/>
        <w:gridCol w:w="1095"/>
        <w:gridCol w:w="992"/>
        <w:gridCol w:w="990"/>
      </w:tblGrid>
      <w:tr w:rsidR="00AB6D86" w:rsidRPr="00676724" w14:paraId="30D06162" w14:textId="77777777" w:rsidTr="00A169DC">
        <w:trPr>
          <w:trHeight w:val="290"/>
          <w:jc w:val="center"/>
        </w:trPr>
        <w:tc>
          <w:tcPr>
            <w:tcW w:w="700" w:type="pct"/>
            <w:tcBorders>
              <w:top w:val="single" w:sz="4" w:space="0" w:color="auto"/>
              <w:left w:val="single" w:sz="4" w:space="0" w:color="auto"/>
              <w:bottom w:val="nil"/>
              <w:right w:val="single" w:sz="4" w:space="0" w:color="auto"/>
            </w:tcBorders>
            <w:shd w:val="clear" w:color="000000" w:fill="FFFFFF"/>
            <w:noWrap/>
            <w:vAlign w:val="bottom"/>
            <w:hideMark/>
          </w:tcPr>
          <w:p w14:paraId="69140D08"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 </w:t>
            </w:r>
          </w:p>
        </w:tc>
        <w:tc>
          <w:tcPr>
            <w:tcW w:w="663" w:type="pct"/>
            <w:tcBorders>
              <w:top w:val="single" w:sz="4" w:space="0" w:color="auto"/>
              <w:left w:val="nil"/>
              <w:bottom w:val="single" w:sz="4" w:space="0" w:color="auto"/>
              <w:right w:val="single" w:sz="4" w:space="0" w:color="auto"/>
            </w:tcBorders>
            <w:shd w:val="clear" w:color="000000" w:fill="FFFFFF"/>
            <w:noWrap/>
            <w:vAlign w:val="center"/>
            <w:hideMark/>
          </w:tcPr>
          <w:p w14:paraId="4144D21C"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Año t = 0</w:t>
            </w:r>
          </w:p>
        </w:tc>
        <w:tc>
          <w:tcPr>
            <w:tcW w:w="759" w:type="pct"/>
            <w:tcBorders>
              <w:top w:val="single" w:sz="4" w:space="0" w:color="auto"/>
              <w:left w:val="nil"/>
              <w:bottom w:val="single" w:sz="4" w:space="0" w:color="auto"/>
              <w:right w:val="single" w:sz="4" w:space="0" w:color="auto"/>
            </w:tcBorders>
            <w:shd w:val="clear" w:color="000000" w:fill="FFFFFF"/>
            <w:noWrap/>
            <w:vAlign w:val="center"/>
            <w:hideMark/>
          </w:tcPr>
          <w:p w14:paraId="083D4CB9"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Año t = 1</w:t>
            </w:r>
          </w:p>
        </w:tc>
        <w:tc>
          <w:tcPr>
            <w:tcW w:w="661" w:type="pct"/>
            <w:tcBorders>
              <w:top w:val="single" w:sz="4" w:space="0" w:color="auto"/>
              <w:left w:val="nil"/>
              <w:bottom w:val="single" w:sz="4" w:space="0" w:color="auto"/>
              <w:right w:val="single" w:sz="4" w:space="0" w:color="auto"/>
            </w:tcBorders>
            <w:shd w:val="clear" w:color="000000" w:fill="FFFFFF"/>
            <w:noWrap/>
            <w:vAlign w:val="center"/>
            <w:hideMark/>
          </w:tcPr>
          <w:p w14:paraId="32B512CD"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Año t = 2</w:t>
            </w:r>
          </w:p>
        </w:tc>
        <w:tc>
          <w:tcPr>
            <w:tcW w:w="789" w:type="pct"/>
            <w:tcBorders>
              <w:top w:val="single" w:sz="4" w:space="0" w:color="auto"/>
              <w:left w:val="nil"/>
              <w:bottom w:val="single" w:sz="4" w:space="0" w:color="auto"/>
              <w:right w:val="single" w:sz="4" w:space="0" w:color="auto"/>
            </w:tcBorders>
            <w:shd w:val="clear" w:color="000000" w:fill="FFFFFF"/>
            <w:noWrap/>
            <w:vAlign w:val="center"/>
            <w:hideMark/>
          </w:tcPr>
          <w:p w14:paraId="679F01C9"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Año t = 3</w:t>
            </w:r>
          </w:p>
        </w:tc>
        <w:tc>
          <w:tcPr>
            <w:tcW w:w="715" w:type="pct"/>
            <w:tcBorders>
              <w:top w:val="single" w:sz="4" w:space="0" w:color="auto"/>
              <w:left w:val="nil"/>
              <w:bottom w:val="single" w:sz="4" w:space="0" w:color="auto"/>
              <w:right w:val="single" w:sz="4" w:space="0" w:color="auto"/>
            </w:tcBorders>
            <w:shd w:val="clear" w:color="000000" w:fill="FFFFFF"/>
            <w:noWrap/>
            <w:vAlign w:val="center"/>
            <w:hideMark/>
          </w:tcPr>
          <w:p w14:paraId="5A146884"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Año t = 4</w:t>
            </w:r>
          </w:p>
        </w:tc>
        <w:tc>
          <w:tcPr>
            <w:tcW w:w="714" w:type="pct"/>
            <w:tcBorders>
              <w:top w:val="single" w:sz="4" w:space="0" w:color="auto"/>
              <w:left w:val="nil"/>
              <w:bottom w:val="single" w:sz="4" w:space="0" w:color="auto"/>
              <w:right w:val="single" w:sz="4" w:space="0" w:color="auto"/>
            </w:tcBorders>
            <w:shd w:val="clear" w:color="000000" w:fill="FFFFFF"/>
            <w:noWrap/>
            <w:vAlign w:val="center"/>
            <w:hideMark/>
          </w:tcPr>
          <w:p w14:paraId="5BFA6A64"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Año t = 5</w:t>
            </w:r>
          </w:p>
        </w:tc>
      </w:tr>
      <w:tr w:rsidR="00AB6D86" w:rsidRPr="00676724" w14:paraId="7C0BE8AC" w14:textId="77777777" w:rsidTr="00A169DC">
        <w:trPr>
          <w:trHeight w:val="320"/>
          <w:jc w:val="center"/>
        </w:trPr>
        <w:tc>
          <w:tcPr>
            <w:tcW w:w="7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4CB63" w14:textId="77777777" w:rsidR="000F4223" w:rsidRPr="00676724" w:rsidRDefault="000F4223" w:rsidP="000C522D">
            <w:pPr>
              <w:spacing w:before="0" w:after="0"/>
              <w:jc w:val="center"/>
              <w:rPr>
                <w:rFonts w:cs="Arial"/>
                <w:i/>
                <w:iCs/>
                <w:sz w:val="18"/>
                <w:szCs w:val="18"/>
                <w:lang w:val="es-CO" w:eastAsia="es-CO"/>
              </w:rPr>
            </w:pPr>
            <w:r w:rsidRPr="00676724">
              <w:rPr>
                <w:rFonts w:cs="Arial"/>
                <w:i/>
                <w:iCs/>
                <w:sz w:val="18"/>
                <w:szCs w:val="18"/>
                <w:lang w:val="es-CO" w:eastAsia="es-CO"/>
              </w:rPr>
              <w:t>IPT</w:t>
            </w:r>
            <w:r w:rsidRPr="00676724">
              <w:rPr>
                <w:rFonts w:cs="Arial"/>
                <w:i/>
                <w:iCs/>
                <w:sz w:val="18"/>
                <w:szCs w:val="18"/>
                <w:vertAlign w:val="subscript"/>
                <w:lang w:val="es-CO" w:eastAsia="es-CO"/>
              </w:rPr>
              <w:t>j,t</w:t>
            </w:r>
          </w:p>
        </w:tc>
        <w:tc>
          <w:tcPr>
            <w:tcW w:w="663" w:type="pct"/>
            <w:tcBorders>
              <w:top w:val="nil"/>
              <w:left w:val="nil"/>
              <w:bottom w:val="single" w:sz="4" w:space="0" w:color="auto"/>
              <w:right w:val="single" w:sz="4" w:space="0" w:color="auto"/>
            </w:tcBorders>
            <w:shd w:val="clear" w:color="000000" w:fill="FFFFFF"/>
            <w:vAlign w:val="center"/>
            <w:hideMark/>
          </w:tcPr>
          <w:p w14:paraId="156B6631" w14:textId="77777777" w:rsidR="000F4223" w:rsidRPr="00676724" w:rsidRDefault="000F4223" w:rsidP="000C522D">
            <w:pPr>
              <w:spacing w:before="0" w:after="0"/>
              <w:jc w:val="center"/>
              <w:rPr>
                <w:rFonts w:cs="Arial"/>
                <w:i/>
                <w:iCs/>
                <w:color w:val="000000"/>
                <w:sz w:val="18"/>
                <w:szCs w:val="18"/>
                <w:lang w:val="es-CO" w:eastAsia="es-CO"/>
              </w:rPr>
            </w:pPr>
            <w:r w:rsidRPr="00676724">
              <w:rPr>
                <w:rFonts w:cs="Arial"/>
                <w:i/>
                <w:iCs/>
                <w:color w:val="000000"/>
                <w:sz w:val="18"/>
                <w:szCs w:val="18"/>
                <w:lang w:val="es-CO" w:eastAsia="es-CO"/>
              </w:rPr>
              <w:t>18%</w:t>
            </w:r>
          </w:p>
        </w:tc>
        <w:tc>
          <w:tcPr>
            <w:tcW w:w="759" w:type="pct"/>
            <w:tcBorders>
              <w:top w:val="nil"/>
              <w:left w:val="nil"/>
              <w:bottom w:val="single" w:sz="4" w:space="0" w:color="auto"/>
              <w:right w:val="single" w:sz="4" w:space="0" w:color="auto"/>
            </w:tcBorders>
            <w:shd w:val="clear" w:color="000000" w:fill="FFFFFF"/>
            <w:vAlign w:val="center"/>
            <w:hideMark/>
          </w:tcPr>
          <w:p w14:paraId="543C1561" w14:textId="77777777" w:rsidR="000F4223" w:rsidRPr="00676724" w:rsidRDefault="000F4223" w:rsidP="000C522D">
            <w:pPr>
              <w:spacing w:before="0" w:after="0"/>
              <w:jc w:val="center"/>
              <w:rPr>
                <w:rFonts w:cs="Arial"/>
                <w:i/>
                <w:iCs/>
                <w:color w:val="000000"/>
                <w:sz w:val="18"/>
                <w:szCs w:val="18"/>
                <w:lang w:val="es-CO" w:eastAsia="es-CO"/>
              </w:rPr>
            </w:pPr>
            <w:r w:rsidRPr="00676724">
              <w:rPr>
                <w:rFonts w:cs="Arial"/>
                <w:i/>
                <w:iCs/>
                <w:color w:val="000000"/>
                <w:sz w:val="18"/>
                <w:szCs w:val="18"/>
                <w:lang w:val="es-CO" w:eastAsia="es-CO"/>
              </w:rPr>
              <w:t>18%</w:t>
            </w:r>
          </w:p>
        </w:tc>
        <w:tc>
          <w:tcPr>
            <w:tcW w:w="661" w:type="pct"/>
            <w:tcBorders>
              <w:top w:val="nil"/>
              <w:left w:val="nil"/>
              <w:bottom w:val="single" w:sz="4" w:space="0" w:color="auto"/>
              <w:right w:val="single" w:sz="4" w:space="0" w:color="auto"/>
            </w:tcBorders>
            <w:shd w:val="clear" w:color="000000" w:fill="FFFFFF"/>
            <w:vAlign w:val="center"/>
            <w:hideMark/>
          </w:tcPr>
          <w:p w14:paraId="200D1131" w14:textId="77777777" w:rsidR="000F4223" w:rsidRPr="00676724" w:rsidRDefault="000F4223" w:rsidP="000C522D">
            <w:pPr>
              <w:spacing w:before="0" w:after="0"/>
              <w:jc w:val="center"/>
              <w:rPr>
                <w:rFonts w:cs="Arial"/>
                <w:i/>
                <w:iCs/>
                <w:color w:val="000000"/>
                <w:sz w:val="18"/>
                <w:szCs w:val="18"/>
                <w:lang w:val="es-CO" w:eastAsia="es-CO"/>
              </w:rPr>
            </w:pPr>
            <w:r w:rsidRPr="00676724">
              <w:rPr>
                <w:rFonts w:cs="Arial"/>
                <w:i/>
                <w:iCs/>
                <w:color w:val="000000"/>
                <w:sz w:val="18"/>
                <w:szCs w:val="18"/>
                <w:lang w:val="es-CO" w:eastAsia="es-CO"/>
              </w:rPr>
              <w:t>17%</w:t>
            </w:r>
          </w:p>
        </w:tc>
        <w:tc>
          <w:tcPr>
            <w:tcW w:w="789" w:type="pct"/>
            <w:tcBorders>
              <w:top w:val="nil"/>
              <w:left w:val="nil"/>
              <w:bottom w:val="single" w:sz="4" w:space="0" w:color="auto"/>
              <w:right w:val="single" w:sz="4" w:space="0" w:color="auto"/>
            </w:tcBorders>
            <w:shd w:val="clear" w:color="000000" w:fill="FFFFFF"/>
            <w:vAlign w:val="center"/>
            <w:hideMark/>
          </w:tcPr>
          <w:p w14:paraId="30594E4F" w14:textId="77777777" w:rsidR="000F4223" w:rsidRPr="00676724" w:rsidRDefault="000F4223" w:rsidP="000C522D">
            <w:pPr>
              <w:spacing w:before="0" w:after="0"/>
              <w:jc w:val="center"/>
              <w:rPr>
                <w:rFonts w:cs="Arial"/>
                <w:i/>
                <w:iCs/>
                <w:color w:val="000000"/>
                <w:sz w:val="18"/>
                <w:szCs w:val="18"/>
                <w:lang w:val="es-CO" w:eastAsia="es-CO"/>
              </w:rPr>
            </w:pPr>
            <w:r w:rsidRPr="00676724">
              <w:rPr>
                <w:rFonts w:cs="Arial"/>
                <w:i/>
                <w:iCs/>
                <w:color w:val="000000"/>
                <w:sz w:val="18"/>
                <w:szCs w:val="18"/>
                <w:lang w:val="es-CO" w:eastAsia="es-CO"/>
              </w:rPr>
              <w:t>17%</w:t>
            </w:r>
          </w:p>
        </w:tc>
        <w:tc>
          <w:tcPr>
            <w:tcW w:w="715" w:type="pct"/>
            <w:tcBorders>
              <w:top w:val="nil"/>
              <w:left w:val="nil"/>
              <w:bottom w:val="single" w:sz="4" w:space="0" w:color="auto"/>
              <w:right w:val="single" w:sz="4" w:space="0" w:color="auto"/>
            </w:tcBorders>
            <w:shd w:val="clear" w:color="000000" w:fill="FFFFFF"/>
            <w:vAlign w:val="center"/>
            <w:hideMark/>
          </w:tcPr>
          <w:p w14:paraId="6D1DE771" w14:textId="77777777" w:rsidR="000F4223" w:rsidRPr="00676724" w:rsidRDefault="000F4223" w:rsidP="000C522D">
            <w:pPr>
              <w:spacing w:before="0" w:after="0"/>
              <w:jc w:val="center"/>
              <w:rPr>
                <w:rFonts w:cs="Arial"/>
                <w:i/>
                <w:iCs/>
                <w:color w:val="000000"/>
                <w:sz w:val="18"/>
                <w:szCs w:val="18"/>
                <w:lang w:val="es-CO" w:eastAsia="es-CO"/>
              </w:rPr>
            </w:pPr>
            <w:r w:rsidRPr="00676724">
              <w:rPr>
                <w:rFonts w:cs="Arial"/>
                <w:i/>
                <w:iCs/>
                <w:color w:val="000000"/>
                <w:sz w:val="18"/>
                <w:szCs w:val="18"/>
                <w:lang w:val="es-CO" w:eastAsia="es-CO"/>
              </w:rPr>
              <w:t>16%</w:t>
            </w:r>
          </w:p>
        </w:tc>
        <w:tc>
          <w:tcPr>
            <w:tcW w:w="714" w:type="pct"/>
            <w:tcBorders>
              <w:top w:val="nil"/>
              <w:left w:val="nil"/>
              <w:bottom w:val="single" w:sz="4" w:space="0" w:color="auto"/>
              <w:right w:val="single" w:sz="4" w:space="0" w:color="auto"/>
            </w:tcBorders>
            <w:shd w:val="clear" w:color="000000" w:fill="FFFFFF"/>
            <w:vAlign w:val="center"/>
            <w:hideMark/>
          </w:tcPr>
          <w:p w14:paraId="2F44C37A" w14:textId="77777777" w:rsidR="000F4223" w:rsidRPr="00676724" w:rsidRDefault="000F4223" w:rsidP="000C522D">
            <w:pPr>
              <w:spacing w:before="0" w:after="0"/>
              <w:jc w:val="center"/>
              <w:rPr>
                <w:rFonts w:cs="Arial"/>
                <w:i/>
                <w:iCs/>
                <w:color w:val="000000"/>
                <w:sz w:val="18"/>
                <w:szCs w:val="18"/>
                <w:lang w:val="es-CO" w:eastAsia="es-CO"/>
              </w:rPr>
            </w:pPr>
            <w:r w:rsidRPr="00676724">
              <w:rPr>
                <w:rFonts w:cs="Arial"/>
                <w:i/>
                <w:iCs/>
                <w:color w:val="000000"/>
                <w:sz w:val="18"/>
                <w:szCs w:val="18"/>
                <w:lang w:val="es-CO" w:eastAsia="es-CO"/>
              </w:rPr>
              <w:t>16%</w:t>
            </w:r>
          </w:p>
        </w:tc>
      </w:tr>
    </w:tbl>
    <w:p w14:paraId="786E5BCF" w14:textId="77777777" w:rsidR="00A169DC" w:rsidRPr="00A169DC" w:rsidRDefault="00A169DC" w:rsidP="000C522D">
      <w:pPr>
        <w:ind w:left="360" w:hanging="360"/>
        <w:rPr>
          <w:b/>
          <w:bCs/>
        </w:rPr>
      </w:pPr>
      <w:r w:rsidRPr="00A169DC">
        <w:rPr>
          <w:b/>
          <w:bCs/>
        </w:rPr>
        <w:t>Análisis de la Comisión</w:t>
      </w:r>
    </w:p>
    <w:p w14:paraId="4542DEB2" w14:textId="4C2D6035" w:rsidR="000F4223" w:rsidRDefault="00AB6D86" w:rsidP="000C522D">
      <w:r>
        <w:t>El OR señala lo siguiente:</w:t>
      </w:r>
    </w:p>
    <w:p w14:paraId="77AB4B8D" w14:textId="77777777" w:rsidR="00AB6D86" w:rsidRPr="00676724" w:rsidRDefault="00AB6D86" w:rsidP="000C522D">
      <w:pPr>
        <w:ind w:left="284"/>
        <w:rPr>
          <w:i/>
          <w:iCs/>
          <w:sz w:val="20"/>
          <w:szCs w:val="20"/>
        </w:rPr>
      </w:pPr>
      <w:r w:rsidRPr="00676724">
        <w:rPr>
          <w:i/>
          <w:iCs/>
          <w:sz w:val="20"/>
          <w:szCs w:val="20"/>
        </w:rPr>
        <w:t xml:space="preserve">2.2.2. Artículo 17. Costo de las inversiones en activos que no son clasificables como UC. </w:t>
      </w:r>
    </w:p>
    <w:p w14:paraId="361F0DA4" w14:textId="543A5DBF" w:rsidR="00AB6D86" w:rsidRPr="00676724" w:rsidRDefault="00AB6D86" w:rsidP="000C522D">
      <w:pPr>
        <w:ind w:left="284"/>
        <w:rPr>
          <w:i/>
          <w:iCs/>
          <w:sz w:val="20"/>
          <w:szCs w:val="20"/>
        </w:rPr>
      </w:pPr>
      <w:r w:rsidRPr="00676724">
        <w:rPr>
          <w:i/>
          <w:iCs/>
          <w:sz w:val="20"/>
          <w:szCs w:val="20"/>
        </w:rPr>
        <w:t xml:space="preserve">El valor aprobado por la CREG para INVNUCj presenta una diferencia de - $7.665.714.858 </w:t>
      </w:r>
      <w:r w:rsidRPr="00676724">
        <w:rPr>
          <w:i/>
          <w:iCs/>
          <w:sz w:val="20"/>
          <w:szCs w:val="20"/>
          <w:u w:val="single"/>
        </w:rPr>
        <w:t>debido a que el regulador desestimó parte la inversión planteada por Emcartago, argumentando que se trataba de activos que no se debían remunerar en el plan de reducción de pérdidas</w:t>
      </w:r>
      <w:r w:rsidRPr="00676724">
        <w:rPr>
          <w:i/>
          <w:iCs/>
          <w:sz w:val="20"/>
          <w:szCs w:val="20"/>
        </w:rPr>
        <w:t>, como se describe a continuación:</w:t>
      </w:r>
      <w:r w:rsidR="00676724" w:rsidRPr="00676724">
        <w:rPr>
          <w:i/>
          <w:iCs/>
          <w:sz w:val="20"/>
          <w:szCs w:val="20"/>
        </w:rPr>
        <w:t xml:space="preserve"> </w:t>
      </w:r>
      <w:r w:rsidRPr="00676724">
        <w:rPr>
          <w:i/>
          <w:iCs/>
          <w:sz w:val="20"/>
          <w:szCs w:val="20"/>
        </w:rPr>
        <w:t>(…)</w:t>
      </w:r>
    </w:p>
    <w:p w14:paraId="4513AAEE" w14:textId="301C60C3" w:rsidR="00AB6D86" w:rsidRPr="00676724" w:rsidRDefault="00AB6D86" w:rsidP="000C522D">
      <w:pPr>
        <w:ind w:left="567"/>
        <w:rPr>
          <w:i/>
          <w:iCs/>
          <w:sz w:val="20"/>
          <w:szCs w:val="20"/>
        </w:rPr>
      </w:pPr>
      <w:r w:rsidRPr="00676724">
        <w:rPr>
          <w:i/>
          <w:iCs/>
          <w:sz w:val="22"/>
          <w:szCs w:val="22"/>
        </w:rPr>
        <w:t>“Numeral 2.6.6 PÉRDIDAS DE ENERGÍA</w:t>
      </w:r>
    </w:p>
    <w:p w14:paraId="34415D1B" w14:textId="4164EE95" w:rsidR="00AB6D86" w:rsidRPr="00676724" w:rsidRDefault="00AB6D86" w:rsidP="000C522D">
      <w:pPr>
        <w:ind w:left="567"/>
        <w:rPr>
          <w:i/>
          <w:iCs/>
          <w:sz w:val="20"/>
          <w:szCs w:val="20"/>
        </w:rPr>
      </w:pPr>
      <w:r w:rsidRPr="00676724">
        <w:rPr>
          <w:i/>
          <w:iCs/>
          <w:sz w:val="20"/>
          <w:szCs w:val="20"/>
        </w:rPr>
        <w:t>Para el plan de reducción de pérdidas el OR solicitó activos que no son considerados en la remuneración de los planes de inversión, según lo establecido en el numeral 7.3.2.1. de la Resolución CREG 015 de 2018. Con base en lo anterior, se ajustó el valor de la variable INVNUC descontando los activos señalados anteriormente.2</w:t>
      </w:r>
    </w:p>
    <w:p w14:paraId="76D3810E" w14:textId="1D8216EC" w:rsidR="00AB6D86" w:rsidRPr="00676724" w:rsidRDefault="00AB6D86" w:rsidP="000C522D">
      <w:pPr>
        <w:ind w:left="284"/>
        <w:rPr>
          <w:i/>
          <w:iCs/>
          <w:sz w:val="20"/>
          <w:szCs w:val="20"/>
        </w:rPr>
      </w:pPr>
      <w:r w:rsidRPr="00676724">
        <w:rPr>
          <w:i/>
          <w:iCs/>
          <w:sz w:val="20"/>
          <w:szCs w:val="20"/>
        </w:rPr>
        <w:t xml:space="preserve">Con base a lo anterior se aclara lo siguiente: </w:t>
      </w:r>
      <w:r w:rsidRPr="00676724">
        <w:rPr>
          <w:i/>
          <w:iCs/>
          <w:sz w:val="20"/>
          <w:szCs w:val="20"/>
          <w:u w:val="single"/>
        </w:rPr>
        <w:t>En el documento Informe Plan de Perdidas - Creg-015-2018</w:t>
      </w:r>
      <w:r w:rsidRPr="00676724">
        <w:rPr>
          <w:i/>
          <w:iCs/>
          <w:sz w:val="20"/>
          <w:szCs w:val="20"/>
        </w:rPr>
        <w:t xml:space="preserve"> enviado por el operador de red EMCARTAGO como oficio explicativo de las inversiones en pérdidas y solicitud de cargos, </w:t>
      </w:r>
      <w:r w:rsidRPr="00676724">
        <w:rPr>
          <w:i/>
          <w:iCs/>
          <w:sz w:val="20"/>
          <w:szCs w:val="20"/>
          <w:u w:val="single"/>
        </w:rPr>
        <w:t>se hace la siguiente aclaración: Las actividades descritas a partir del punto 6.3 PLANES Y PROYECTOS en sus numerales 6.3.2 instalación de medición inteligente en clientes de consumo alto y el numeral 6.3.4 Instalación de medición inteligente en clientes especiales, presentan, por un error involuntario de Emcartago un mal diligenciamiento del nombre en las actividades</w:t>
      </w:r>
      <w:r w:rsidRPr="00676724">
        <w:rPr>
          <w:i/>
          <w:iCs/>
          <w:sz w:val="20"/>
          <w:szCs w:val="20"/>
        </w:rPr>
        <w:t xml:space="preserve">, ya que estas actividades corresponden a acciones en predios con altos consumos y clientes especiales </w:t>
      </w:r>
      <w:r w:rsidRPr="00676724">
        <w:rPr>
          <w:i/>
          <w:iCs/>
          <w:sz w:val="20"/>
          <w:szCs w:val="20"/>
          <w:u w:val="single"/>
        </w:rPr>
        <w:t>sujetos a la instalación de medición centralizada</w:t>
      </w:r>
      <w:r w:rsidRPr="00676724">
        <w:rPr>
          <w:i/>
          <w:iCs/>
          <w:sz w:val="20"/>
          <w:szCs w:val="20"/>
        </w:rPr>
        <w:t xml:space="preserve">, lo anterior conforme con lo establecido en el numeral 7.3.2.1 de la resolución CREG 015 de 2018 “En el costo total del plan se pueden incluir las siguientes inversiones: medidores de usuarios finales regulados que no cuenten con medidor a la fecha de presentación del plan y su costo no sea trasladado al usuario, medidores en el arranque de todas las líneas, equipos de medida en los puntos de entrada de cada nivel de tensión, macromedidores instalados en transformadores de distribución y </w:t>
      </w:r>
      <w:r w:rsidRPr="00676724">
        <w:rPr>
          <w:b/>
          <w:bCs/>
          <w:i/>
          <w:iCs/>
          <w:sz w:val="20"/>
          <w:szCs w:val="20"/>
        </w:rPr>
        <w:t xml:space="preserve">sistemas de medición centralizada, incluyendo software y </w:t>
      </w:r>
      <w:r w:rsidRPr="00676724">
        <w:rPr>
          <w:b/>
          <w:bCs/>
          <w:i/>
          <w:iCs/>
          <w:sz w:val="20"/>
          <w:szCs w:val="20"/>
        </w:rPr>
        <w:lastRenderedPageBreak/>
        <w:t>comunicaciones</w:t>
      </w:r>
      <w:r w:rsidRPr="00676724">
        <w:rPr>
          <w:i/>
          <w:iCs/>
          <w:sz w:val="20"/>
          <w:szCs w:val="20"/>
        </w:rPr>
        <w:t xml:space="preserve">”. </w:t>
      </w:r>
      <w:r w:rsidRPr="00676724">
        <w:rPr>
          <w:b/>
          <w:bCs/>
          <w:i/>
          <w:iCs/>
          <w:sz w:val="20"/>
          <w:szCs w:val="20"/>
        </w:rPr>
        <w:t>Negrilla fuera de texto</w:t>
      </w:r>
      <w:r w:rsidRPr="00676724">
        <w:rPr>
          <w:i/>
          <w:iCs/>
          <w:sz w:val="20"/>
          <w:szCs w:val="20"/>
        </w:rPr>
        <w:t xml:space="preserve">. En este caso </w:t>
      </w:r>
      <w:r w:rsidRPr="00676724">
        <w:rPr>
          <w:i/>
          <w:iCs/>
          <w:sz w:val="20"/>
          <w:szCs w:val="20"/>
          <w:u w:val="single"/>
        </w:rPr>
        <w:t>EMCARTAGO llamó a estos proyectos como medición inteligente cuando realmente estaba hablando de medida centralizada</w:t>
      </w:r>
      <w:r w:rsidRPr="00676724">
        <w:rPr>
          <w:i/>
          <w:iCs/>
          <w:sz w:val="20"/>
          <w:szCs w:val="20"/>
        </w:rPr>
        <w:t>, actividades que conforme a la resolución CREG 015 numeral 7.3.2.1 podían ser incluidas dentro del plan de perdidas propuesto por los operadores de red.</w:t>
      </w:r>
    </w:p>
    <w:p w14:paraId="22B626F7" w14:textId="30180A86" w:rsidR="00F23E4C" w:rsidRPr="00676724" w:rsidRDefault="00F23E4C" w:rsidP="000C522D">
      <w:pPr>
        <w:ind w:left="284"/>
        <w:rPr>
          <w:i/>
          <w:iCs/>
          <w:sz w:val="20"/>
          <w:szCs w:val="20"/>
        </w:rPr>
      </w:pPr>
      <w:r w:rsidRPr="00676724">
        <w:rPr>
          <w:i/>
          <w:iCs/>
          <w:sz w:val="20"/>
          <w:szCs w:val="20"/>
        </w:rPr>
        <w:t xml:space="preserve">Adicional a lo anterior, cabe mencionar que estas dos actividades, se concentran en el numeral 6.3.9 Estimación de costos </w:t>
      </w:r>
      <w:r w:rsidR="00971B12" w:rsidRPr="00676724">
        <w:rPr>
          <w:i/>
          <w:iCs/>
          <w:sz w:val="20"/>
          <w:szCs w:val="20"/>
        </w:rPr>
        <w:t>-</w:t>
      </w:r>
      <w:r w:rsidRPr="00676724">
        <w:rPr>
          <w:i/>
          <w:iCs/>
          <w:sz w:val="20"/>
          <w:szCs w:val="20"/>
        </w:rPr>
        <w:t xml:space="preserve"> resumen, ítem N</w:t>
      </w:r>
      <w:r w:rsidR="00971B12" w:rsidRPr="00676724">
        <w:rPr>
          <w:i/>
          <w:iCs/>
          <w:sz w:val="20"/>
          <w:szCs w:val="20"/>
        </w:rPr>
        <w:t>o.</w:t>
      </w:r>
      <w:r w:rsidRPr="00676724">
        <w:rPr>
          <w:i/>
          <w:iCs/>
          <w:sz w:val="20"/>
          <w:szCs w:val="20"/>
        </w:rPr>
        <w:t xml:space="preserve"> 7 Inversiones en sistemas de medición centralizada. Incluye medidor AMI, donde se confirma que las actividades son para medición centralizada, pero a su vez cometiendo el error en la nomenclatura del campo: “incluye medidor AMI”. Conforme a ello</w:t>
      </w:r>
      <w:r w:rsidR="00971B12" w:rsidRPr="00676724">
        <w:rPr>
          <w:i/>
          <w:iCs/>
          <w:sz w:val="20"/>
          <w:szCs w:val="20"/>
        </w:rPr>
        <w:t xml:space="preserve"> se aclara que </w:t>
      </w:r>
      <w:r w:rsidR="00971B12" w:rsidRPr="00676724">
        <w:rPr>
          <w:rFonts w:eastAsia="Bookman Old Style" w:cs="Bookman Old Style"/>
          <w:i/>
          <w:iCs/>
          <w:sz w:val="20"/>
          <w:szCs w:val="20"/>
        </w:rPr>
        <w:t xml:space="preserve">las </w:t>
      </w:r>
      <w:r w:rsidRPr="00676724">
        <w:rPr>
          <w:i/>
          <w:iCs/>
          <w:sz w:val="20"/>
          <w:szCs w:val="20"/>
        </w:rPr>
        <w:t>actividades denominadas en el plan de perdidas presentado como AMI, realmente corresponden a actividades de medida centralizada.</w:t>
      </w:r>
    </w:p>
    <w:p w14:paraId="668B5B42" w14:textId="50F09C92" w:rsidR="00AB6D86" w:rsidRPr="00676724" w:rsidRDefault="00AB6D86" w:rsidP="000C522D">
      <w:pPr>
        <w:ind w:left="284"/>
        <w:rPr>
          <w:i/>
          <w:iCs/>
          <w:sz w:val="20"/>
          <w:szCs w:val="20"/>
        </w:rPr>
      </w:pPr>
      <w:r w:rsidRPr="00676724">
        <w:rPr>
          <w:i/>
          <w:iCs/>
          <w:sz w:val="20"/>
          <w:szCs w:val="20"/>
        </w:rPr>
        <w:t>Subrayado fuera de texto</w:t>
      </w:r>
    </w:p>
    <w:p w14:paraId="7198F67E" w14:textId="7452CB0D" w:rsidR="00AB6D86" w:rsidRDefault="009D02EA" w:rsidP="0023598E">
      <w:r>
        <w:t xml:space="preserve">El numeral 7.3.2.1 del anexo general de la Resolución CREG 015 de 2018 establece </w:t>
      </w:r>
      <w:r w:rsidR="00676724">
        <w:t>lo siguiente</w:t>
      </w:r>
      <w:r>
        <w:t>:</w:t>
      </w:r>
    </w:p>
    <w:p w14:paraId="3230BCF2" w14:textId="583C5B09" w:rsidR="009D02EA" w:rsidRPr="00676724" w:rsidRDefault="009D02EA" w:rsidP="000C522D">
      <w:pPr>
        <w:ind w:left="284"/>
        <w:rPr>
          <w:i/>
          <w:iCs/>
          <w:sz w:val="20"/>
          <w:szCs w:val="20"/>
        </w:rPr>
      </w:pPr>
      <w:bookmarkStart w:id="18" w:name="_Ref476643369"/>
      <w:r w:rsidRPr="00676724">
        <w:rPr>
          <w:i/>
          <w:iCs/>
          <w:sz w:val="20"/>
          <w:szCs w:val="20"/>
        </w:rPr>
        <w:t>7.3.2.1. Cálculo del costo anual del plan</w:t>
      </w:r>
      <w:bookmarkEnd w:id="18"/>
    </w:p>
    <w:p w14:paraId="12CD5407" w14:textId="227674CE" w:rsidR="009D02EA" w:rsidRPr="00676724" w:rsidRDefault="009D02EA" w:rsidP="000C522D">
      <w:pPr>
        <w:ind w:left="284"/>
        <w:rPr>
          <w:i/>
          <w:iCs/>
          <w:sz w:val="20"/>
          <w:szCs w:val="20"/>
        </w:rPr>
      </w:pPr>
      <w:r w:rsidRPr="00676724">
        <w:rPr>
          <w:i/>
          <w:iCs/>
          <w:sz w:val="20"/>
          <w:szCs w:val="20"/>
        </w:rPr>
        <w:t>La variable CAPj corresponde al costo anual del plan que remunera los costos y gastos asociados con la recuperación o mantenimiento de pérdidas de energía y, para los OR que requieren de aprobación de plan de reducción de pérdidas, la remuneración de activos no asociados con UC, así: (…)</w:t>
      </w:r>
    </w:p>
    <w:p w14:paraId="3A8EA429" w14:textId="77777777" w:rsidR="009D02EA" w:rsidRPr="00676724" w:rsidRDefault="009D02EA" w:rsidP="000C522D">
      <w:pPr>
        <w:ind w:left="284"/>
        <w:rPr>
          <w:i/>
          <w:iCs/>
          <w:sz w:val="20"/>
          <w:szCs w:val="20"/>
        </w:rPr>
      </w:pPr>
      <w:r w:rsidRPr="00676724">
        <w:rPr>
          <w:i/>
          <w:iCs/>
          <w:sz w:val="20"/>
          <w:szCs w:val="20"/>
          <w:u w:val="single"/>
        </w:rPr>
        <w:t>En el costo total del plan se pueden incluir las siguientes inversiones</w:t>
      </w:r>
      <w:r w:rsidRPr="00676724">
        <w:rPr>
          <w:i/>
          <w:iCs/>
          <w:sz w:val="20"/>
          <w:szCs w:val="20"/>
        </w:rPr>
        <w:t>: medidores de usuarios finales regulados que no cuenten con medidor a la fecha de presentación del plan y su costo no sea trasladado al usuario, medidores en el arranque de todas las líneas, equipos de medida en los puntos de entrada de cada nivel de tensión, macromedidores instalados en transformadores de distribución y</w:t>
      </w:r>
      <w:r w:rsidRPr="00676724">
        <w:rPr>
          <w:i/>
          <w:iCs/>
          <w:sz w:val="20"/>
          <w:szCs w:val="20"/>
          <w:u w:val="single"/>
        </w:rPr>
        <w:t xml:space="preserve"> sistemas de medición centralizada, incluyendo software y comunicaciones</w:t>
      </w:r>
      <w:r w:rsidRPr="00676724">
        <w:rPr>
          <w:i/>
          <w:iCs/>
          <w:sz w:val="20"/>
          <w:szCs w:val="20"/>
        </w:rPr>
        <w:t xml:space="preserve">. </w:t>
      </w:r>
    </w:p>
    <w:p w14:paraId="0D3C8CBE" w14:textId="77777777" w:rsidR="009D02EA" w:rsidRPr="00676724" w:rsidRDefault="009D02EA" w:rsidP="000C522D">
      <w:pPr>
        <w:ind w:left="284"/>
        <w:rPr>
          <w:i/>
          <w:iCs/>
          <w:sz w:val="20"/>
          <w:szCs w:val="20"/>
        </w:rPr>
      </w:pPr>
      <w:r w:rsidRPr="00676724">
        <w:rPr>
          <w:i/>
          <w:iCs/>
          <w:sz w:val="20"/>
          <w:szCs w:val="20"/>
        </w:rPr>
        <w:t xml:space="preserve">Todos los sistemas de medición deben cumplir con el código de medida vigente y aplicar criterios de adaptabilidad, confiabilidad, seguridad, interoperabilidad, flexibilidad y escalabilidad. </w:t>
      </w:r>
    </w:p>
    <w:p w14:paraId="38F4C015" w14:textId="0F4259DD" w:rsidR="009D02EA" w:rsidRPr="00676724" w:rsidRDefault="009D02EA" w:rsidP="000C522D">
      <w:pPr>
        <w:ind w:left="284"/>
        <w:rPr>
          <w:i/>
          <w:iCs/>
          <w:sz w:val="20"/>
          <w:szCs w:val="20"/>
        </w:rPr>
      </w:pPr>
      <w:r w:rsidRPr="00676724">
        <w:rPr>
          <w:i/>
          <w:iCs/>
          <w:sz w:val="20"/>
          <w:szCs w:val="20"/>
        </w:rPr>
        <w:t>En el desarrollo de los planes de reducción de pérdidas de energía, en las redes de baja tensión donde estén instalados o se vayan a instalar sistemas de medición centralizada, el comercializador deberá solicitar a sus usuarios regulados un equipo de medida compatible con el sistema de medición centralizada que instale el OR. El usuario regulado podrá cambiar su medidor por uno de las calidades exigidas en la regulación vigente o acogerse a la medida dispuesta por el comercializador integrado con el OR a través del sistema de medición centralizada instalado por el OR. En este último caso, el medidor no tendrá ningún costo para el usuario y la responsabilidad por su custodia será del OR.</w:t>
      </w:r>
      <w:r w:rsidR="001916F7">
        <w:rPr>
          <w:i/>
          <w:iCs/>
          <w:sz w:val="20"/>
          <w:szCs w:val="20"/>
        </w:rPr>
        <w:t xml:space="preserve"> </w:t>
      </w:r>
      <w:r w:rsidRPr="001916F7">
        <w:rPr>
          <w:b/>
          <w:bCs/>
          <w:i/>
          <w:iCs/>
          <w:sz w:val="20"/>
          <w:szCs w:val="20"/>
        </w:rPr>
        <w:t>Subrayado fuera de texto.</w:t>
      </w:r>
    </w:p>
    <w:p w14:paraId="6542F61D" w14:textId="370F7A64" w:rsidR="003107DC" w:rsidRDefault="00401992" w:rsidP="00401992">
      <w:pPr>
        <w:pStyle w:val="Default"/>
        <w:jc w:val="both"/>
      </w:pPr>
      <w:r w:rsidRPr="00460C2D">
        <w:rPr>
          <w:rFonts w:ascii="Bookman Old Style" w:hAnsi="Bookman Old Style"/>
        </w:rPr>
        <w:t xml:space="preserve">A continuación, se </w:t>
      </w:r>
      <w:r w:rsidR="00676724">
        <w:rPr>
          <w:rFonts w:ascii="Bookman Old Style" w:hAnsi="Bookman Old Style"/>
        </w:rPr>
        <w:t xml:space="preserve">presenta </w:t>
      </w:r>
      <w:r w:rsidRPr="00460C2D">
        <w:rPr>
          <w:rFonts w:ascii="Bookman Old Style" w:hAnsi="Bookman Old Style"/>
        </w:rPr>
        <w:t xml:space="preserve">la </w:t>
      </w:r>
      <w:r w:rsidR="003107DC" w:rsidRPr="00460C2D">
        <w:rPr>
          <w:rFonts w:ascii="Bookman Old Style" w:hAnsi="Bookman Old Style"/>
        </w:rPr>
        <w:t xml:space="preserve">tabla 7 del documento </w:t>
      </w:r>
      <w:r w:rsidRPr="00460C2D">
        <w:rPr>
          <w:rFonts w:ascii="Bookman Old Style" w:hAnsi="Bookman Old Style"/>
          <w:i/>
          <w:iCs/>
        </w:rPr>
        <w:t>Plan de reducción de pérdidas no técnicas de energía de EMCARTAGO E.S.P. asociado a la solicitud de cargos del SDL de acuerdo a los lineamientos de la resolución CREG 015 de 2018, la Circular 029 de 2018 y la resolución CREG 085 de 2018 - Requisitos para la presentación del plan de reducción de perdidas</w:t>
      </w:r>
      <w:r w:rsidR="003107DC" w:rsidRPr="00460C2D">
        <w:rPr>
          <w:rFonts w:ascii="Bookman Old Style" w:hAnsi="Bookman Old Style"/>
          <w:i/>
          <w:iCs/>
        </w:rPr>
        <w:t xml:space="preserve">, </w:t>
      </w:r>
      <w:r w:rsidR="003107DC" w:rsidRPr="00460C2D">
        <w:rPr>
          <w:rFonts w:ascii="Bookman Old Style" w:hAnsi="Bookman Old Style"/>
        </w:rPr>
        <w:t>suministrado por el OR como soporte de la solicitud</w:t>
      </w:r>
      <w:r w:rsidR="003107DC">
        <w:t>:</w:t>
      </w:r>
    </w:p>
    <w:p w14:paraId="4E32AEE5" w14:textId="73A56A55" w:rsidR="003107DC" w:rsidRPr="003107DC" w:rsidRDefault="003107DC" w:rsidP="001916F7">
      <w:pPr>
        <w:keepNext/>
        <w:jc w:val="center"/>
        <w:rPr>
          <w:i/>
          <w:iCs/>
          <w:sz w:val="22"/>
          <w:szCs w:val="22"/>
        </w:rPr>
      </w:pPr>
      <w:r w:rsidRPr="003107DC">
        <w:rPr>
          <w:i/>
          <w:iCs/>
          <w:sz w:val="18"/>
          <w:szCs w:val="18"/>
        </w:rPr>
        <w:t>Tabla 7. Costo del plan de pérdidas de energía</w:t>
      </w:r>
    </w:p>
    <w:tbl>
      <w:tblPr>
        <w:tblW w:w="5000" w:type="pct"/>
        <w:tblCellMar>
          <w:left w:w="70" w:type="dxa"/>
          <w:right w:w="70" w:type="dxa"/>
        </w:tblCellMar>
        <w:tblLook w:val="04A0" w:firstRow="1" w:lastRow="0" w:firstColumn="1" w:lastColumn="0" w:noHBand="0" w:noVBand="1"/>
      </w:tblPr>
      <w:tblGrid>
        <w:gridCol w:w="3002"/>
        <w:gridCol w:w="561"/>
        <w:gridCol w:w="561"/>
        <w:gridCol w:w="561"/>
        <w:gridCol w:w="561"/>
        <w:gridCol w:w="561"/>
        <w:gridCol w:w="561"/>
        <w:gridCol w:w="561"/>
        <w:gridCol w:w="561"/>
        <w:gridCol w:w="561"/>
        <w:gridCol w:w="653"/>
        <w:gridCol w:w="642"/>
      </w:tblGrid>
      <w:tr w:rsidR="003107DC" w:rsidRPr="003107DC" w14:paraId="382CFC75" w14:textId="77777777" w:rsidTr="001916F7">
        <w:trPr>
          <w:trHeight w:val="170"/>
          <w:tblHeader/>
        </w:trPr>
        <w:tc>
          <w:tcPr>
            <w:tcW w:w="19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DAC2D" w14:textId="285F13CE"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Programa de pérdidas</w:t>
            </w:r>
          </w:p>
        </w:tc>
        <w:tc>
          <w:tcPr>
            <w:tcW w:w="457" w:type="pct"/>
            <w:tcBorders>
              <w:top w:val="single" w:sz="4" w:space="0" w:color="auto"/>
              <w:left w:val="nil"/>
              <w:bottom w:val="single" w:sz="4" w:space="0" w:color="auto"/>
              <w:right w:val="single" w:sz="4" w:space="0" w:color="auto"/>
            </w:tcBorders>
            <w:shd w:val="clear" w:color="000000" w:fill="FFFFFF"/>
            <w:noWrap/>
            <w:vAlign w:val="center"/>
            <w:hideMark/>
          </w:tcPr>
          <w:p w14:paraId="5782E4C2"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1</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538EB8F9"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2</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255B01C6"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3</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2F5FD030"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4</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09C29151"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5</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084D75AB"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6</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1EA7DF2A"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7</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29291105"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8</w:t>
            </w:r>
          </w:p>
        </w:tc>
        <w:tc>
          <w:tcPr>
            <w:tcW w:w="261" w:type="pct"/>
            <w:tcBorders>
              <w:top w:val="single" w:sz="4" w:space="0" w:color="auto"/>
              <w:left w:val="nil"/>
              <w:bottom w:val="single" w:sz="4" w:space="0" w:color="auto"/>
              <w:right w:val="single" w:sz="4" w:space="0" w:color="auto"/>
            </w:tcBorders>
            <w:shd w:val="clear" w:color="000000" w:fill="FFFFFF"/>
            <w:noWrap/>
            <w:vAlign w:val="center"/>
            <w:hideMark/>
          </w:tcPr>
          <w:p w14:paraId="277EC097"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9</w:t>
            </w:r>
          </w:p>
        </w:tc>
        <w:tc>
          <w:tcPr>
            <w:tcW w:w="261" w:type="pct"/>
            <w:tcBorders>
              <w:top w:val="single" w:sz="4" w:space="0" w:color="auto"/>
              <w:left w:val="nil"/>
              <w:bottom w:val="single" w:sz="4" w:space="0" w:color="auto"/>
              <w:right w:val="single" w:sz="4" w:space="0" w:color="auto"/>
            </w:tcBorders>
            <w:shd w:val="clear" w:color="000000" w:fill="FFFFFF"/>
            <w:noWrap/>
            <w:vAlign w:val="center"/>
            <w:hideMark/>
          </w:tcPr>
          <w:p w14:paraId="44AF172E"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Año 10</w:t>
            </w:r>
          </w:p>
        </w:tc>
        <w:tc>
          <w:tcPr>
            <w:tcW w:w="261" w:type="pct"/>
            <w:tcBorders>
              <w:top w:val="single" w:sz="4" w:space="0" w:color="auto"/>
              <w:left w:val="nil"/>
              <w:bottom w:val="single" w:sz="4" w:space="0" w:color="auto"/>
              <w:right w:val="single" w:sz="4" w:space="0" w:color="auto"/>
            </w:tcBorders>
            <w:shd w:val="clear" w:color="000000" w:fill="FFFFFF"/>
            <w:noWrap/>
            <w:vAlign w:val="center"/>
            <w:hideMark/>
          </w:tcPr>
          <w:p w14:paraId="0C190DA4" w14:textId="77777777" w:rsidR="003107DC" w:rsidRPr="003107DC" w:rsidRDefault="003107DC" w:rsidP="003107DC">
            <w:pPr>
              <w:spacing w:before="0" w:after="0"/>
              <w:jc w:val="center"/>
              <w:rPr>
                <w:rFonts w:ascii="Calibri" w:hAnsi="Calibri"/>
                <w:i/>
                <w:iCs/>
                <w:color w:val="000000"/>
                <w:sz w:val="18"/>
                <w:szCs w:val="18"/>
                <w:lang w:val="es-CO" w:eastAsia="es-CO"/>
              </w:rPr>
            </w:pPr>
            <w:r w:rsidRPr="003107DC">
              <w:rPr>
                <w:rFonts w:ascii="Calibri" w:hAnsi="Calibri"/>
                <w:i/>
                <w:iCs/>
                <w:color w:val="000000"/>
                <w:sz w:val="18"/>
                <w:szCs w:val="18"/>
                <w:lang w:val="es-CO" w:eastAsia="es-CO"/>
              </w:rPr>
              <w:t>Total</w:t>
            </w:r>
          </w:p>
        </w:tc>
      </w:tr>
      <w:tr w:rsidR="003107DC" w:rsidRPr="003107DC" w14:paraId="75C44115"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30DDF0F7" w14:textId="77777777" w:rsidR="003107DC" w:rsidRPr="003107DC" w:rsidRDefault="003107DC" w:rsidP="003107DC">
            <w:pPr>
              <w:spacing w:before="0" w:after="0"/>
              <w:jc w:val="lef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 Medición de fronteras y transformadores de distribución</w:t>
            </w:r>
          </w:p>
        </w:tc>
        <w:tc>
          <w:tcPr>
            <w:tcW w:w="457" w:type="pct"/>
            <w:tcBorders>
              <w:top w:val="nil"/>
              <w:left w:val="nil"/>
              <w:bottom w:val="single" w:sz="4" w:space="0" w:color="auto"/>
              <w:right w:val="single" w:sz="4" w:space="0" w:color="auto"/>
            </w:tcBorders>
            <w:shd w:val="clear" w:color="000000" w:fill="FFFFFF"/>
            <w:noWrap/>
            <w:vAlign w:val="center"/>
            <w:hideMark/>
          </w:tcPr>
          <w:p w14:paraId="4D72131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472</w:t>
            </w:r>
          </w:p>
        </w:tc>
        <w:tc>
          <w:tcPr>
            <w:tcW w:w="255" w:type="pct"/>
            <w:tcBorders>
              <w:top w:val="nil"/>
              <w:left w:val="nil"/>
              <w:bottom w:val="single" w:sz="4" w:space="0" w:color="auto"/>
              <w:right w:val="single" w:sz="4" w:space="0" w:color="auto"/>
            </w:tcBorders>
            <w:shd w:val="clear" w:color="000000" w:fill="FFFFFF"/>
            <w:noWrap/>
            <w:vAlign w:val="center"/>
            <w:hideMark/>
          </w:tcPr>
          <w:p w14:paraId="2C54222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472</w:t>
            </w:r>
          </w:p>
        </w:tc>
        <w:tc>
          <w:tcPr>
            <w:tcW w:w="255" w:type="pct"/>
            <w:tcBorders>
              <w:top w:val="nil"/>
              <w:left w:val="nil"/>
              <w:bottom w:val="single" w:sz="4" w:space="0" w:color="auto"/>
              <w:right w:val="single" w:sz="4" w:space="0" w:color="auto"/>
            </w:tcBorders>
            <w:shd w:val="clear" w:color="000000" w:fill="FFFFFF"/>
            <w:noWrap/>
            <w:vAlign w:val="center"/>
            <w:hideMark/>
          </w:tcPr>
          <w:p w14:paraId="32AE9A6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104</w:t>
            </w:r>
          </w:p>
        </w:tc>
        <w:tc>
          <w:tcPr>
            <w:tcW w:w="255" w:type="pct"/>
            <w:tcBorders>
              <w:top w:val="nil"/>
              <w:left w:val="nil"/>
              <w:bottom w:val="single" w:sz="4" w:space="0" w:color="auto"/>
              <w:right w:val="single" w:sz="4" w:space="0" w:color="auto"/>
            </w:tcBorders>
            <w:shd w:val="clear" w:color="000000" w:fill="FFFFFF"/>
            <w:noWrap/>
            <w:vAlign w:val="center"/>
            <w:hideMark/>
          </w:tcPr>
          <w:p w14:paraId="6F66BE7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10</w:t>
            </w:r>
          </w:p>
        </w:tc>
        <w:tc>
          <w:tcPr>
            <w:tcW w:w="255" w:type="pct"/>
            <w:tcBorders>
              <w:top w:val="nil"/>
              <w:left w:val="nil"/>
              <w:bottom w:val="single" w:sz="4" w:space="0" w:color="auto"/>
              <w:right w:val="single" w:sz="4" w:space="0" w:color="auto"/>
            </w:tcBorders>
            <w:shd w:val="clear" w:color="000000" w:fill="FFFFFF"/>
            <w:noWrap/>
            <w:vAlign w:val="center"/>
            <w:hideMark/>
          </w:tcPr>
          <w:p w14:paraId="53A5623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10</w:t>
            </w:r>
          </w:p>
        </w:tc>
        <w:tc>
          <w:tcPr>
            <w:tcW w:w="255" w:type="pct"/>
            <w:tcBorders>
              <w:top w:val="nil"/>
              <w:left w:val="nil"/>
              <w:bottom w:val="single" w:sz="4" w:space="0" w:color="auto"/>
              <w:right w:val="single" w:sz="4" w:space="0" w:color="auto"/>
            </w:tcBorders>
            <w:shd w:val="clear" w:color="000000" w:fill="FFFFFF"/>
            <w:noWrap/>
            <w:vAlign w:val="center"/>
            <w:hideMark/>
          </w:tcPr>
          <w:p w14:paraId="0AB5145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19</w:t>
            </w:r>
          </w:p>
        </w:tc>
        <w:tc>
          <w:tcPr>
            <w:tcW w:w="255" w:type="pct"/>
            <w:tcBorders>
              <w:top w:val="nil"/>
              <w:left w:val="nil"/>
              <w:bottom w:val="single" w:sz="4" w:space="0" w:color="auto"/>
              <w:right w:val="single" w:sz="4" w:space="0" w:color="auto"/>
            </w:tcBorders>
            <w:shd w:val="clear" w:color="000000" w:fill="FFFFFF"/>
            <w:noWrap/>
            <w:vAlign w:val="center"/>
            <w:hideMark/>
          </w:tcPr>
          <w:p w14:paraId="5FD966C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19</w:t>
            </w:r>
          </w:p>
        </w:tc>
        <w:tc>
          <w:tcPr>
            <w:tcW w:w="255" w:type="pct"/>
            <w:tcBorders>
              <w:top w:val="nil"/>
              <w:left w:val="nil"/>
              <w:bottom w:val="single" w:sz="4" w:space="0" w:color="auto"/>
              <w:right w:val="single" w:sz="4" w:space="0" w:color="auto"/>
            </w:tcBorders>
            <w:shd w:val="clear" w:color="000000" w:fill="FFFFFF"/>
            <w:noWrap/>
            <w:vAlign w:val="center"/>
            <w:hideMark/>
          </w:tcPr>
          <w:p w14:paraId="3249BE95"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11</w:t>
            </w:r>
          </w:p>
        </w:tc>
        <w:tc>
          <w:tcPr>
            <w:tcW w:w="261" w:type="pct"/>
            <w:tcBorders>
              <w:top w:val="nil"/>
              <w:left w:val="nil"/>
              <w:bottom w:val="single" w:sz="4" w:space="0" w:color="auto"/>
              <w:right w:val="single" w:sz="4" w:space="0" w:color="auto"/>
            </w:tcBorders>
            <w:shd w:val="clear" w:color="000000" w:fill="FFFFFF"/>
            <w:noWrap/>
            <w:vAlign w:val="center"/>
            <w:hideMark/>
          </w:tcPr>
          <w:p w14:paraId="52213A7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10</w:t>
            </w:r>
          </w:p>
        </w:tc>
        <w:tc>
          <w:tcPr>
            <w:tcW w:w="261" w:type="pct"/>
            <w:tcBorders>
              <w:top w:val="nil"/>
              <w:left w:val="nil"/>
              <w:bottom w:val="single" w:sz="4" w:space="0" w:color="auto"/>
              <w:right w:val="single" w:sz="4" w:space="0" w:color="auto"/>
            </w:tcBorders>
            <w:shd w:val="clear" w:color="000000" w:fill="FFFFFF"/>
            <w:noWrap/>
            <w:vAlign w:val="center"/>
            <w:hideMark/>
          </w:tcPr>
          <w:p w14:paraId="5FCD978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10</w:t>
            </w:r>
          </w:p>
        </w:tc>
        <w:tc>
          <w:tcPr>
            <w:tcW w:w="261" w:type="pct"/>
            <w:tcBorders>
              <w:top w:val="nil"/>
              <w:left w:val="nil"/>
              <w:bottom w:val="single" w:sz="4" w:space="0" w:color="auto"/>
              <w:right w:val="single" w:sz="4" w:space="0" w:color="auto"/>
            </w:tcBorders>
            <w:shd w:val="clear" w:color="000000" w:fill="FFFFFF"/>
            <w:noWrap/>
            <w:vAlign w:val="center"/>
            <w:hideMark/>
          </w:tcPr>
          <w:p w14:paraId="6D3A6F1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1.137</w:t>
            </w:r>
          </w:p>
        </w:tc>
      </w:tr>
      <w:tr w:rsidR="003107DC" w:rsidRPr="003107DC" w14:paraId="52EC554F"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0501B559" w14:textId="77777777" w:rsidR="003107DC" w:rsidRPr="003107DC" w:rsidRDefault="003107DC" w:rsidP="003107DC">
            <w:pPr>
              <w:spacing w:before="0" w:after="0"/>
              <w:jc w:val="left"/>
              <w:rPr>
                <w:rFonts w:ascii="Calibri" w:hAnsi="Calibri"/>
                <w:i/>
                <w:iCs/>
                <w:color w:val="000000"/>
                <w:sz w:val="18"/>
                <w:szCs w:val="18"/>
                <w:u w:val="single"/>
                <w:lang w:val="es-CO" w:eastAsia="es-CO"/>
              </w:rPr>
            </w:pPr>
            <w:r w:rsidRPr="003107DC">
              <w:rPr>
                <w:rFonts w:ascii="Calibri" w:hAnsi="Calibri"/>
                <w:i/>
                <w:iCs/>
                <w:color w:val="000000"/>
                <w:sz w:val="18"/>
                <w:szCs w:val="18"/>
                <w:u w:val="single"/>
                <w:lang w:val="es-CO" w:eastAsia="es-CO"/>
              </w:rPr>
              <w:t>2. Instalación de medición inteligente en clientes de consumo alto</w:t>
            </w:r>
          </w:p>
        </w:tc>
        <w:tc>
          <w:tcPr>
            <w:tcW w:w="457" w:type="pct"/>
            <w:tcBorders>
              <w:top w:val="nil"/>
              <w:left w:val="nil"/>
              <w:bottom w:val="single" w:sz="4" w:space="0" w:color="auto"/>
              <w:right w:val="single" w:sz="4" w:space="0" w:color="auto"/>
            </w:tcBorders>
            <w:shd w:val="clear" w:color="000000" w:fill="FFFFFF"/>
            <w:noWrap/>
            <w:vAlign w:val="center"/>
            <w:hideMark/>
          </w:tcPr>
          <w:p w14:paraId="2D96CE68"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449</w:t>
            </w:r>
          </w:p>
        </w:tc>
        <w:tc>
          <w:tcPr>
            <w:tcW w:w="255" w:type="pct"/>
            <w:tcBorders>
              <w:top w:val="nil"/>
              <w:left w:val="nil"/>
              <w:bottom w:val="single" w:sz="4" w:space="0" w:color="auto"/>
              <w:right w:val="single" w:sz="4" w:space="0" w:color="auto"/>
            </w:tcBorders>
            <w:shd w:val="clear" w:color="000000" w:fill="FFFFFF"/>
            <w:noWrap/>
            <w:vAlign w:val="center"/>
            <w:hideMark/>
          </w:tcPr>
          <w:p w14:paraId="0D7932A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449</w:t>
            </w:r>
          </w:p>
        </w:tc>
        <w:tc>
          <w:tcPr>
            <w:tcW w:w="255" w:type="pct"/>
            <w:tcBorders>
              <w:top w:val="nil"/>
              <w:left w:val="nil"/>
              <w:bottom w:val="single" w:sz="4" w:space="0" w:color="auto"/>
              <w:right w:val="single" w:sz="4" w:space="0" w:color="auto"/>
            </w:tcBorders>
            <w:shd w:val="clear" w:color="000000" w:fill="FFFFFF"/>
            <w:noWrap/>
            <w:vAlign w:val="center"/>
            <w:hideMark/>
          </w:tcPr>
          <w:p w14:paraId="7D997726"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561</w:t>
            </w:r>
          </w:p>
        </w:tc>
        <w:tc>
          <w:tcPr>
            <w:tcW w:w="255" w:type="pct"/>
            <w:tcBorders>
              <w:top w:val="nil"/>
              <w:left w:val="nil"/>
              <w:bottom w:val="single" w:sz="4" w:space="0" w:color="auto"/>
              <w:right w:val="single" w:sz="4" w:space="0" w:color="auto"/>
            </w:tcBorders>
            <w:shd w:val="clear" w:color="000000" w:fill="FFFFFF"/>
            <w:noWrap/>
            <w:vAlign w:val="center"/>
            <w:hideMark/>
          </w:tcPr>
          <w:p w14:paraId="037CF361"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231</w:t>
            </w:r>
          </w:p>
        </w:tc>
        <w:tc>
          <w:tcPr>
            <w:tcW w:w="255" w:type="pct"/>
            <w:tcBorders>
              <w:top w:val="nil"/>
              <w:left w:val="nil"/>
              <w:bottom w:val="single" w:sz="4" w:space="0" w:color="auto"/>
              <w:right w:val="single" w:sz="4" w:space="0" w:color="auto"/>
            </w:tcBorders>
            <w:shd w:val="clear" w:color="000000" w:fill="FFFFFF"/>
            <w:noWrap/>
            <w:vAlign w:val="center"/>
            <w:hideMark/>
          </w:tcPr>
          <w:p w14:paraId="6B918C6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55" w:type="pct"/>
            <w:tcBorders>
              <w:top w:val="nil"/>
              <w:left w:val="nil"/>
              <w:bottom w:val="single" w:sz="4" w:space="0" w:color="auto"/>
              <w:right w:val="single" w:sz="4" w:space="0" w:color="auto"/>
            </w:tcBorders>
            <w:shd w:val="clear" w:color="000000" w:fill="FFFFFF"/>
            <w:noWrap/>
            <w:vAlign w:val="center"/>
            <w:hideMark/>
          </w:tcPr>
          <w:p w14:paraId="49C44626"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488</w:t>
            </w:r>
          </w:p>
        </w:tc>
        <w:tc>
          <w:tcPr>
            <w:tcW w:w="255" w:type="pct"/>
            <w:tcBorders>
              <w:top w:val="nil"/>
              <w:left w:val="nil"/>
              <w:bottom w:val="single" w:sz="4" w:space="0" w:color="auto"/>
              <w:right w:val="single" w:sz="4" w:space="0" w:color="auto"/>
            </w:tcBorders>
            <w:shd w:val="clear" w:color="000000" w:fill="FFFFFF"/>
            <w:noWrap/>
            <w:vAlign w:val="center"/>
            <w:hideMark/>
          </w:tcPr>
          <w:p w14:paraId="09C40E0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391</w:t>
            </w:r>
          </w:p>
        </w:tc>
        <w:tc>
          <w:tcPr>
            <w:tcW w:w="255" w:type="pct"/>
            <w:tcBorders>
              <w:top w:val="nil"/>
              <w:left w:val="nil"/>
              <w:bottom w:val="single" w:sz="4" w:space="0" w:color="auto"/>
              <w:right w:val="single" w:sz="4" w:space="0" w:color="auto"/>
            </w:tcBorders>
            <w:shd w:val="clear" w:color="000000" w:fill="FFFFFF"/>
            <w:noWrap/>
            <w:vAlign w:val="center"/>
            <w:hideMark/>
          </w:tcPr>
          <w:p w14:paraId="415ADD70"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391</w:t>
            </w:r>
          </w:p>
        </w:tc>
        <w:tc>
          <w:tcPr>
            <w:tcW w:w="261" w:type="pct"/>
            <w:tcBorders>
              <w:top w:val="nil"/>
              <w:left w:val="nil"/>
              <w:bottom w:val="single" w:sz="4" w:space="0" w:color="auto"/>
              <w:right w:val="single" w:sz="4" w:space="0" w:color="auto"/>
            </w:tcBorders>
            <w:shd w:val="clear" w:color="000000" w:fill="FFFFFF"/>
            <w:noWrap/>
            <w:vAlign w:val="center"/>
            <w:hideMark/>
          </w:tcPr>
          <w:p w14:paraId="55EDE2AF"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391</w:t>
            </w:r>
          </w:p>
        </w:tc>
        <w:tc>
          <w:tcPr>
            <w:tcW w:w="261" w:type="pct"/>
            <w:tcBorders>
              <w:top w:val="nil"/>
              <w:left w:val="nil"/>
              <w:bottom w:val="single" w:sz="4" w:space="0" w:color="auto"/>
              <w:right w:val="single" w:sz="4" w:space="0" w:color="auto"/>
            </w:tcBorders>
            <w:shd w:val="clear" w:color="000000" w:fill="FFFFFF"/>
            <w:noWrap/>
            <w:vAlign w:val="center"/>
            <w:hideMark/>
          </w:tcPr>
          <w:p w14:paraId="221E3AFA"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293</w:t>
            </w:r>
          </w:p>
        </w:tc>
        <w:tc>
          <w:tcPr>
            <w:tcW w:w="261" w:type="pct"/>
            <w:tcBorders>
              <w:top w:val="nil"/>
              <w:left w:val="nil"/>
              <w:bottom w:val="single" w:sz="4" w:space="0" w:color="auto"/>
              <w:right w:val="single" w:sz="4" w:space="0" w:color="auto"/>
            </w:tcBorders>
            <w:shd w:val="clear" w:color="000000" w:fill="FFFFFF"/>
            <w:noWrap/>
            <w:vAlign w:val="center"/>
            <w:hideMark/>
          </w:tcPr>
          <w:p w14:paraId="7CC955C5"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3.644</w:t>
            </w:r>
          </w:p>
        </w:tc>
      </w:tr>
      <w:tr w:rsidR="003107DC" w:rsidRPr="003107DC" w14:paraId="7121B0EE"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4F91A385" w14:textId="77777777" w:rsidR="003107DC" w:rsidRPr="003107DC" w:rsidRDefault="003107DC" w:rsidP="003107DC">
            <w:pPr>
              <w:spacing w:before="0" w:after="0"/>
              <w:jc w:val="lef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 Redes protegidas en zonas de riesgo de alta perdida</w:t>
            </w:r>
          </w:p>
        </w:tc>
        <w:tc>
          <w:tcPr>
            <w:tcW w:w="457" w:type="pct"/>
            <w:tcBorders>
              <w:top w:val="nil"/>
              <w:left w:val="nil"/>
              <w:bottom w:val="single" w:sz="4" w:space="0" w:color="auto"/>
              <w:right w:val="single" w:sz="4" w:space="0" w:color="auto"/>
            </w:tcBorders>
            <w:shd w:val="clear" w:color="000000" w:fill="FFFFFF"/>
            <w:noWrap/>
            <w:vAlign w:val="center"/>
            <w:hideMark/>
          </w:tcPr>
          <w:p w14:paraId="213B0DC5"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234</w:t>
            </w:r>
          </w:p>
        </w:tc>
        <w:tc>
          <w:tcPr>
            <w:tcW w:w="255" w:type="pct"/>
            <w:tcBorders>
              <w:top w:val="nil"/>
              <w:left w:val="nil"/>
              <w:bottom w:val="single" w:sz="4" w:space="0" w:color="auto"/>
              <w:right w:val="single" w:sz="4" w:space="0" w:color="auto"/>
            </w:tcBorders>
            <w:shd w:val="clear" w:color="000000" w:fill="FFFFFF"/>
            <w:noWrap/>
            <w:vAlign w:val="center"/>
            <w:hideMark/>
          </w:tcPr>
          <w:p w14:paraId="718BF9F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390</w:t>
            </w:r>
          </w:p>
        </w:tc>
        <w:tc>
          <w:tcPr>
            <w:tcW w:w="255" w:type="pct"/>
            <w:tcBorders>
              <w:top w:val="nil"/>
              <w:left w:val="nil"/>
              <w:bottom w:val="single" w:sz="4" w:space="0" w:color="auto"/>
              <w:right w:val="single" w:sz="4" w:space="0" w:color="auto"/>
            </w:tcBorders>
            <w:shd w:val="clear" w:color="000000" w:fill="FFFFFF"/>
            <w:noWrap/>
            <w:vAlign w:val="center"/>
            <w:hideMark/>
          </w:tcPr>
          <w:p w14:paraId="220213F6"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390</w:t>
            </w:r>
          </w:p>
        </w:tc>
        <w:tc>
          <w:tcPr>
            <w:tcW w:w="255" w:type="pct"/>
            <w:tcBorders>
              <w:top w:val="nil"/>
              <w:left w:val="nil"/>
              <w:bottom w:val="single" w:sz="4" w:space="0" w:color="auto"/>
              <w:right w:val="single" w:sz="4" w:space="0" w:color="auto"/>
            </w:tcBorders>
            <w:shd w:val="clear" w:color="000000" w:fill="FFFFFF"/>
            <w:noWrap/>
            <w:vAlign w:val="center"/>
            <w:hideMark/>
          </w:tcPr>
          <w:p w14:paraId="44C48EE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312</w:t>
            </w:r>
          </w:p>
        </w:tc>
        <w:tc>
          <w:tcPr>
            <w:tcW w:w="255" w:type="pct"/>
            <w:tcBorders>
              <w:top w:val="nil"/>
              <w:left w:val="nil"/>
              <w:bottom w:val="single" w:sz="4" w:space="0" w:color="auto"/>
              <w:right w:val="single" w:sz="4" w:space="0" w:color="auto"/>
            </w:tcBorders>
            <w:shd w:val="clear" w:color="000000" w:fill="FFFFFF"/>
            <w:noWrap/>
            <w:vAlign w:val="center"/>
            <w:hideMark/>
          </w:tcPr>
          <w:p w14:paraId="43ABC34F"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234</w:t>
            </w:r>
          </w:p>
        </w:tc>
        <w:tc>
          <w:tcPr>
            <w:tcW w:w="255" w:type="pct"/>
            <w:tcBorders>
              <w:top w:val="nil"/>
              <w:left w:val="nil"/>
              <w:bottom w:val="single" w:sz="4" w:space="0" w:color="auto"/>
              <w:right w:val="single" w:sz="4" w:space="0" w:color="auto"/>
            </w:tcBorders>
            <w:shd w:val="clear" w:color="000000" w:fill="FFFFFF"/>
            <w:noWrap/>
            <w:vAlign w:val="center"/>
            <w:hideMark/>
          </w:tcPr>
          <w:p w14:paraId="2F7083C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146</w:t>
            </w:r>
          </w:p>
        </w:tc>
        <w:tc>
          <w:tcPr>
            <w:tcW w:w="255" w:type="pct"/>
            <w:tcBorders>
              <w:top w:val="nil"/>
              <w:left w:val="nil"/>
              <w:bottom w:val="single" w:sz="4" w:space="0" w:color="auto"/>
              <w:right w:val="single" w:sz="4" w:space="0" w:color="auto"/>
            </w:tcBorders>
            <w:shd w:val="clear" w:color="000000" w:fill="FFFFFF"/>
            <w:noWrap/>
            <w:vAlign w:val="center"/>
            <w:hideMark/>
          </w:tcPr>
          <w:p w14:paraId="0A7CD146"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244</w:t>
            </w:r>
          </w:p>
        </w:tc>
        <w:tc>
          <w:tcPr>
            <w:tcW w:w="255" w:type="pct"/>
            <w:tcBorders>
              <w:top w:val="nil"/>
              <w:left w:val="nil"/>
              <w:bottom w:val="single" w:sz="4" w:space="0" w:color="auto"/>
              <w:right w:val="single" w:sz="4" w:space="0" w:color="auto"/>
            </w:tcBorders>
            <w:shd w:val="clear" w:color="000000" w:fill="FFFFFF"/>
            <w:noWrap/>
            <w:vAlign w:val="center"/>
            <w:hideMark/>
          </w:tcPr>
          <w:p w14:paraId="71752BB1"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244</w:t>
            </w:r>
          </w:p>
        </w:tc>
        <w:tc>
          <w:tcPr>
            <w:tcW w:w="261" w:type="pct"/>
            <w:tcBorders>
              <w:top w:val="nil"/>
              <w:left w:val="nil"/>
              <w:bottom w:val="single" w:sz="4" w:space="0" w:color="auto"/>
              <w:right w:val="single" w:sz="4" w:space="0" w:color="auto"/>
            </w:tcBorders>
            <w:shd w:val="clear" w:color="000000" w:fill="FFFFFF"/>
            <w:noWrap/>
            <w:vAlign w:val="center"/>
            <w:hideMark/>
          </w:tcPr>
          <w:p w14:paraId="371A0728"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195</w:t>
            </w:r>
          </w:p>
        </w:tc>
        <w:tc>
          <w:tcPr>
            <w:tcW w:w="261" w:type="pct"/>
            <w:tcBorders>
              <w:top w:val="nil"/>
              <w:left w:val="nil"/>
              <w:bottom w:val="single" w:sz="4" w:space="0" w:color="auto"/>
              <w:right w:val="single" w:sz="4" w:space="0" w:color="auto"/>
            </w:tcBorders>
            <w:shd w:val="clear" w:color="000000" w:fill="FFFFFF"/>
            <w:noWrap/>
            <w:vAlign w:val="center"/>
            <w:hideMark/>
          </w:tcPr>
          <w:p w14:paraId="7C916C0F"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146</w:t>
            </w:r>
          </w:p>
        </w:tc>
        <w:tc>
          <w:tcPr>
            <w:tcW w:w="261" w:type="pct"/>
            <w:tcBorders>
              <w:top w:val="nil"/>
              <w:left w:val="nil"/>
              <w:bottom w:val="single" w:sz="4" w:space="0" w:color="auto"/>
              <w:right w:val="single" w:sz="4" w:space="0" w:color="auto"/>
            </w:tcBorders>
            <w:shd w:val="clear" w:color="000000" w:fill="FFFFFF"/>
            <w:noWrap/>
            <w:vAlign w:val="center"/>
            <w:hideMark/>
          </w:tcPr>
          <w:p w14:paraId="71EB762E"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2.538</w:t>
            </w:r>
          </w:p>
        </w:tc>
      </w:tr>
      <w:tr w:rsidR="003107DC" w:rsidRPr="003107DC" w14:paraId="6B710F91"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348D7BCB" w14:textId="77777777" w:rsidR="003107DC" w:rsidRPr="003107DC" w:rsidRDefault="003107DC" w:rsidP="003107DC">
            <w:pPr>
              <w:spacing w:before="0" w:after="0"/>
              <w:jc w:val="left"/>
              <w:rPr>
                <w:rFonts w:ascii="Calibri" w:hAnsi="Calibri"/>
                <w:i/>
                <w:iCs/>
                <w:color w:val="000000"/>
                <w:sz w:val="18"/>
                <w:szCs w:val="18"/>
                <w:u w:val="single"/>
                <w:lang w:val="es-CO" w:eastAsia="es-CO"/>
              </w:rPr>
            </w:pPr>
            <w:r w:rsidRPr="003107DC">
              <w:rPr>
                <w:rFonts w:ascii="Calibri" w:hAnsi="Calibri"/>
                <w:i/>
                <w:iCs/>
                <w:color w:val="000000"/>
                <w:sz w:val="18"/>
                <w:szCs w:val="18"/>
                <w:u w:val="single"/>
                <w:lang w:val="es-CO" w:eastAsia="es-CO"/>
              </w:rPr>
              <w:t>4</w:t>
            </w:r>
            <w:bookmarkStart w:id="19" w:name="_Hlk41990913"/>
            <w:r w:rsidRPr="003107DC">
              <w:rPr>
                <w:rFonts w:ascii="Calibri" w:hAnsi="Calibri"/>
                <w:i/>
                <w:iCs/>
                <w:color w:val="000000"/>
                <w:sz w:val="18"/>
                <w:szCs w:val="18"/>
                <w:u w:val="single"/>
                <w:lang w:val="es-CO" w:eastAsia="es-CO"/>
              </w:rPr>
              <w:t>. Instalación de medición inteligente en clientes especiales</w:t>
            </w:r>
            <w:bookmarkEnd w:id="19"/>
          </w:p>
        </w:tc>
        <w:tc>
          <w:tcPr>
            <w:tcW w:w="457" w:type="pct"/>
            <w:tcBorders>
              <w:top w:val="nil"/>
              <w:left w:val="nil"/>
              <w:bottom w:val="single" w:sz="4" w:space="0" w:color="auto"/>
              <w:right w:val="single" w:sz="4" w:space="0" w:color="auto"/>
            </w:tcBorders>
            <w:shd w:val="clear" w:color="000000" w:fill="FFFFFF"/>
            <w:noWrap/>
            <w:vAlign w:val="center"/>
            <w:hideMark/>
          </w:tcPr>
          <w:p w14:paraId="32D2F2CA"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478</w:t>
            </w:r>
          </w:p>
        </w:tc>
        <w:tc>
          <w:tcPr>
            <w:tcW w:w="255" w:type="pct"/>
            <w:tcBorders>
              <w:top w:val="nil"/>
              <w:left w:val="nil"/>
              <w:bottom w:val="single" w:sz="4" w:space="0" w:color="auto"/>
              <w:right w:val="single" w:sz="4" w:space="0" w:color="auto"/>
            </w:tcBorders>
            <w:shd w:val="clear" w:color="000000" w:fill="FFFFFF"/>
            <w:noWrap/>
            <w:vAlign w:val="center"/>
            <w:hideMark/>
          </w:tcPr>
          <w:p w14:paraId="61B8F34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469</w:t>
            </w:r>
          </w:p>
        </w:tc>
        <w:tc>
          <w:tcPr>
            <w:tcW w:w="255" w:type="pct"/>
            <w:tcBorders>
              <w:top w:val="nil"/>
              <w:left w:val="nil"/>
              <w:bottom w:val="single" w:sz="4" w:space="0" w:color="auto"/>
              <w:right w:val="single" w:sz="4" w:space="0" w:color="auto"/>
            </w:tcBorders>
            <w:shd w:val="clear" w:color="000000" w:fill="FFFFFF"/>
            <w:noWrap/>
            <w:vAlign w:val="center"/>
            <w:hideMark/>
          </w:tcPr>
          <w:p w14:paraId="0F596746"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473</w:t>
            </w:r>
          </w:p>
        </w:tc>
        <w:tc>
          <w:tcPr>
            <w:tcW w:w="255" w:type="pct"/>
            <w:tcBorders>
              <w:top w:val="nil"/>
              <w:left w:val="nil"/>
              <w:bottom w:val="single" w:sz="4" w:space="0" w:color="auto"/>
              <w:right w:val="single" w:sz="4" w:space="0" w:color="auto"/>
            </w:tcBorders>
            <w:shd w:val="clear" w:color="000000" w:fill="FFFFFF"/>
            <w:noWrap/>
            <w:vAlign w:val="center"/>
            <w:hideMark/>
          </w:tcPr>
          <w:p w14:paraId="73DBADA9"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465</w:t>
            </w:r>
          </w:p>
        </w:tc>
        <w:tc>
          <w:tcPr>
            <w:tcW w:w="255" w:type="pct"/>
            <w:tcBorders>
              <w:top w:val="nil"/>
              <w:left w:val="nil"/>
              <w:bottom w:val="single" w:sz="4" w:space="0" w:color="auto"/>
              <w:right w:val="single" w:sz="4" w:space="0" w:color="auto"/>
            </w:tcBorders>
            <w:shd w:val="clear" w:color="000000" w:fill="FFFFFF"/>
            <w:noWrap/>
            <w:vAlign w:val="center"/>
            <w:hideMark/>
          </w:tcPr>
          <w:p w14:paraId="4DA2264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482</w:t>
            </w:r>
          </w:p>
        </w:tc>
        <w:tc>
          <w:tcPr>
            <w:tcW w:w="255" w:type="pct"/>
            <w:tcBorders>
              <w:top w:val="nil"/>
              <w:left w:val="nil"/>
              <w:bottom w:val="single" w:sz="4" w:space="0" w:color="auto"/>
              <w:right w:val="single" w:sz="4" w:space="0" w:color="auto"/>
            </w:tcBorders>
            <w:shd w:val="clear" w:color="000000" w:fill="FFFFFF"/>
            <w:noWrap/>
            <w:vAlign w:val="center"/>
            <w:hideMark/>
          </w:tcPr>
          <w:p w14:paraId="60A44631"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131</w:t>
            </w:r>
          </w:p>
        </w:tc>
        <w:tc>
          <w:tcPr>
            <w:tcW w:w="255" w:type="pct"/>
            <w:tcBorders>
              <w:top w:val="nil"/>
              <w:left w:val="nil"/>
              <w:bottom w:val="single" w:sz="4" w:space="0" w:color="auto"/>
              <w:right w:val="single" w:sz="4" w:space="0" w:color="auto"/>
            </w:tcBorders>
            <w:shd w:val="clear" w:color="000000" w:fill="FFFFFF"/>
            <w:noWrap/>
            <w:vAlign w:val="center"/>
            <w:hideMark/>
          </w:tcPr>
          <w:p w14:paraId="1925A70F"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130</w:t>
            </w:r>
          </w:p>
        </w:tc>
        <w:tc>
          <w:tcPr>
            <w:tcW w:w="255" w:type="pct"/>
            <w:tcBorders>
              <w:top w:val="nil"/>
              <w:left w:val="nil"/>
              <w:bottom w:val="single" w:sz="4" w:space="0" w:color="auto"/>
              <w:right w:val="single" w:sz="4" w:space="0" w:color="auto"/>
            </w:tcBorders>
            <w:shd w:val="clear" w:color="000000" w:fill="FFFFFF"/>
            <w:noWrap/>
            <w:vAlign w:val="center"/>
            <w:hideMark/>
          </w:tcPr>
          <w:p w14:paraId="5486BB72"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130</w:t>
            </w:r>
          </w:p>
        </w:tc>
        <w:tc>
          <w:tcPr>
            <w:tcW w:w="261" w:type="pct"/>
            <w:tcBorders>
              <w:top w:val="nil"/>
              <w:left w:val="nil"/>
              <w:bottom w:val="single" w:sz="4" w:space="0" w:color="auto"/>
              <w:right w:val="single" w:sz="4" w:space="0" w:color="auto"/>
            </w:tcBorders>
            <w:shd w:val="clear" w:color="000000" w:fill="FFFFFF"/>
            <w:noWrap/>
            <w:vAlign w:val="center"/>
            <w:hideMark/>
          </w:tcPr>
          <w:p w14:paraId="4FD1EBD1"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130</w:t>
            </w:r>
          </w:p>
        </w:tc>
        <w:tc>
          <w:tcPr>
            <w:tcW w:w="261" w:type="pct"/>
            <w:tcBorders>
              <w:top w:val="nil"/>
              <w:left w:val="nil"/>
              <w:bottom w:val="single" w:sz="4" w:space="0" w:color="auto"/>
              <w:right w:val="single" w:sz="4" w:space="0" w:color="auto"/>
            </w:tcBorders>
            <w:shd w:val="clear" w:color="000000" w:fill="FFFFFF"/>
            <w:noWrap/>
            <w:vAlign w:val="center"/>
            <w:hideMark/>
          </w:tcPr>
          <w:p w14:paraId="43507DE1"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61" w:type="pct"/>
            <w:tcBorders>
              <w:top w:val="nil"/>
              <w:left w:val="nil"/>
              <w:bottom w:val="single" w:sz="4" w:space="0" w:color="auto"/>
              <w:right w:val="single" w:sz="4" w:space="0" w:color="auto"/>
            </w:tcBorders>
            <w:shd w:val="clear" w:color="000000" w:fill="FFFFFF"/>
            <w:noWrap/>
            <w:vAlign w:val="center"/>
            <w:hideMark/>
          </w:tcPr>
          <w:p w14:paraId="01F9E920"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2.888</w:t>
            </w:r>
          </w:p>
        </w:tc>
      </w:tr>
      <w:tr w:rsidR="003107DC" w:rsidRPr="003107DC" w14:paraId="2881D2FF"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6B6F2E8D" w14:textId="77777777" w:rsidR="003107DC" w:rsidRPr="003107DC" w:rsidRDefault="003107DC" w:rsidP="003107DC">
            <w:pPr>
              <w:spacing w:before="0" w:after="0"/>
              <w:jc w:val="lef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 Plan de mejora de la gestión comercial</w:t>
            </w:r>
          </w:p>
        </w:tc>
        <w:tc>
          <w:tcPr>
            <w:tcW w:w="457" w:type="pct"/>
            <w:tcBorders>
              <w:top w:val="nil"/>
              <w:left w:val="nil"/>
              <w:bottom w:val="single" w:sz="4" w:space="0" w:color="auto"/>
              <w:right w:val="single" w:sz="4" w:space="0" w:color="auto"/>
            </w:tcBorders>
            <w:shd w:val="clear" w:color="000000" w:fill="FFFFFF"/>
            <w:noWrap/>
            <w:vAlign w:val="center"/>
            <w:hideMark/>
          </w:tcPr>
          <w:p w14:paraId="2359D85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507</w:t>
            </w:r>
          </w:p>
        </w:tc>
        <w:tc>
          <w:tcPr>
            <w:tcW w:w="255" w:type="pct"/>
            <w:tcBorders>
              <w:top w:val="nil"/>
              <w:left w:val="nil"/>
              <w:bottom w:val="single" w:sz="4" w:space="0" w:color="auto"/>
              <w:right w:val="single" w:sz="4" w:space="0" w:color="auto"/>
            </w:tcBorders>
            <w:shd w:val="clear" w:color="000000" w:fill="FFFFFF"/>
            <w:noWrap/>
            <w:vAlign w:val="center"/>
            <w:hideMark/>
          </w:tcPr>
          <w:p w14:paraId="48CCC0C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564</w:t>
            </w:r>
          </w:p>
        </w:tc>
        <w:tc>
          <w:tcPr>
            <w:tcW w:w="255" w:type="pct"/>
            <w:tcBorders>
              <w:top w:val="nil"/>
              <w:left w:val="nil"/>
              <w:bottom w:val="single" w:sz="4" w:space="0" w:color="auto"/>
              <w:right w:val="single" w:sz="4" w:space="0" w:color="auto"/>
            </w:tcBorders>
            <w:shd w:val="clear" w:color="000000" w:fill="FFFFFF"/>
            <w:noWrap/>
            <w:vAlign w:val="center"/>
            <w:hideMark/>
          </w:tcPr>
          <w:p w14:paraId="720D010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55" w:type="pct"/>
            <w:tcBorders>
              <w:top w:val="nil"/>
              <w:left w:val="nil"/>
              <w:bottom w:val="single" w:sz="4" w:space="0" w:color="auto"/>
              <w:right w:val="single" w:sz="4" w:space="0" w:color="auto"/>
            </w:tcBorders>
            <w:shd w:val="clear" w:color="000000" w:fill="FFFFFF"/>
            <w:noWrap/>
            <w:vAlign w:val="center"/>
            <w:hideMark/>
          </w:tcPr>
          <w:p w14:paraId="77ECC50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55" w:type="pct"/>
            <w:tcBorders>
              <w:top w:val="nil"/>
              <w:left w:val="nil"/>
              <w:bottom w:val="single" w:sz="4" w:space="0" w:color="auto"/>
              <w:right w:val="single" w:sz="4" w:space="0" w:color="auto"/>
            </w:tcBorders>
            <w:shd w:val="clear" w:color="000000" w:fill="FFFFFF"/>
            <w:noWrap/>
            <w:vAlign w:val="center"/>
            <w:hideMark/>
          </w:tcPr>
          <w:p w14:paraId="5150726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55" w:type="pct"/>
            <w:tcBorders>
              <w:top w:val="nil"/>
              <w:left w:val="nil"/>
              <w:bottom w:val="single" w:sz="4" w:space="0" w:color="auto"/>
              <w:right w:val="single" w:sz="4" w:space="0" w:color="auto"/>
            </w:tcBorders>
            <w:shd w:val="clear" w:color="000000" w:fill="FFFFFF"/>
            <w:noWrap/>
            <w:vAlign w:val="center"/>
            <w:hideMark/>
          </w:tcPr>
          <w:p w14:paraId="16414B1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55" w:type="pct"/>
            <w:tcBorders>
              <w:top w:val="nil"/>
              <w:left w:val="nil"/>
              <w:bottom w:val="single" w:sz="4" w:space="0" w:color="auto"/>
              <w:right w:val="single" w:sz="4" w:space="0" w:color="auto"/>
            </w:tcBorders>
            <w:shd w:val="clear" w:color="000000" w:fill="FFFFFF"/>
            <w:noWrap/>
            <w:vAlign w:val="center"/>
            <w:hideMark/>
          </w:tcPr>
          <w:p w14:paraId="61EB3069"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55" w:type="pct"/>
            <w:tcBorders>
              <w:top w:val="nil"/>
              <w:left w:val="nil"/>
              <w:bottom w:val="single" w:sz="4" w:space="0" w:color="auto"/>
              <w:right w:val="single" w:sz="4" w:space="0" w:color="auto"/>
            </w:tcBorders>
            <w:shd w:val="clear" w:color="000000" w:fill="FFFFFF"/>
            <w:noWrap/>
            <w:vAlign w:val="center"/>
            <w:hideMark/>
          </w:tcPr>
          <w:p w14:paraId="16AD11A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61" w:type="pct"/>
            <w:tcBorders>
              <w:top w:val="nil"/>
              <w:left w:val="nil"/>
              <w:bottom w:val="single" w:sz="4" w:space="0" w:color="auto"/>
              <w:right w:val="single" w:sz="4" w:space="0" w:color="auto"/>
            </w:tcBorders>
            <w:shd w:val="clear" w:color="000000" w:fill="FFFFFF"/>
            <w:noWrap/>
            <w:vAlign w:val="center"/>
            <w:hideMark/>
          </w:tcPr>
          <w:p w14:paraId="088BD20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61" w:type="pct"/>
            <w:tcBorders>
              <w:top w:val="nil"/>
              <w:left w:val="nil"/>
              <w:bottom w:val="single" w:sz="4" w:space="0" w:color="auto"/>
              <w:right w:val="single" w:sz="4" w:space="0" w:color="auto"/>
            </w:tcBorders>
            <w:shd w:val="clear" w:color="000000" w:fill="FFFFFF"/>
            <w:noWrap/>
            <w:vAlign w:val="center"/>
            <w:hideMark/>
          </w:tcPr>
          <w:p w14:paraId="7705D2A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0</w:t>
            </w:r>
          </w:p>
        </w:tc>
        <w:tc>
          <w:tcPr>
            <w:tcW w:w="261" w:type="pct"/>
            <w:tcBorders>
              <w:top w:val="nil"/>
              <w:left w:val="nil"/>
              <w:bottom w:val="single" w:sz="4" w:space="0" w:color="auto"/>
              <w:right w:val="single" w:sz="4" w:space="0" w:color="auto"/>
            </w:tcBorders>
            <w:shd w:val="clear" w:color="000000" w:fill="FFFFFF"/>
            <w:noWrap/>
            <w:vAlign w:val="center"/>
            <w:hideMark/>
          </w:tcPr>
          <w:p w14:paraId="35701928"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1.071</w:t>
            </w:r>
          </w:p>
        </w:tc>
      </w:tr>
      <w:tr w:rsidR="003107DC" w:rsidRPr="003107DC" w14:paraId="568CB353"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178854B6" w14:textId="77777777" w:rsidR="003107DC" w:rsidRPr="003107DC" w:rsidRDefault="003107DC" w:rsidP="003107DC">
            <w:pPr>
              <w:spacing w:before="0" w:after="0"/>
              <w:jc w:val="left"/>
              <w:rPr>
                <w:rFonts w:ascii="Calibri" w:hAnsi="Calibri"/>
                <w:i/>
                <w:iCs/>
                <w:color w:val="000000"/>
                <w:sz w:val="18"/>
                <w:szCs w:val="18"/>
                <w:lang w:val="es-CO" w:eastAsia="es-CO"/>
              </w:rPr>
            </w:pPr>
            <w:r w:rsidRPr="003107DC">
              <w:rPr>
                <w:rFonts w:ascii="Calibri" w:hAnsi="Calibri"/>
                <w:i/>
                <w:iCs/>
                <w:color w:val="000000"/>
                <w:sz w:val="18"/>
                <w:szCs w:val="18"/>
                <w:lang w:val="es-CO" w:eastAsia="es-CO"/>
              </w:rPr>
              <w:t>6. Campaña de revisión y normalización</w:t>
            </w:r>
          </w:p>
        </w:tc>
        <w:tc>
          <w:tcPr>
            <w:tcW w:w="457" w:type="pct"/>
            <w:tcBorders>
              <w:top w:val="nil"/>
              <w:left w:val="nil"/>
              <w:bottom w:val="single" w:sz="4" w:space="0" w:color="auto"/>
              <w:right w:val="single" w:sz="4" w:space="0" w:color="auto"/>
            </w:tcBorders>
            <w:shd w:val="clear" w:color="000000" w:fill="FFFFFF"/>
            <w:noWrap/>
            <w:vAlign w:val="center"/>
            <w:hideMark/>
          </w:tcPr>
          <w:p w14:paraId="642675F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582</w:t>
            </w:r>
          </w:p>
        </w:tc>
        <w:tc>
          <w:tcPr>
            <w:tcW w:w="255" w:type="pct"/>
            <w:tcBorders>
              <w:top w:val="nil"/>
              <w:left w:val="nil"/>
              <w:bottom w:val="single" w:sz="4" w:space="0" w:color="auto"/>
              <w:right w:val="single" w:sz="4" w:space="0" w:color="auto"/>
            </w:tcBorders>
            <w:shd w:val="clear" w:color="000000" w:fill="FFFFFF"/>
            <w:noWrap/>
            <w:vAlign w:val="center"/>
            <w:hideMark/>
          </w:tcPr>
          <w:p w14:paraId="3287CF15"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623</w:t>
            </w:r>
          </w:p>
        </w:tc>
        <w:tc>
          <w:tcPr>
            <w:tcW w:w="255" w:type="pct"/>
            <w:tcBorders>
              <w:top w:val="nil"/>
              <w:left w:val="nil"/>
              <w:bottom w:val="single" w:sz="4" w:space="0" w:color="auto"/>
              <w:right w:val="single" w:sz="4" w:space="0" w:color="auto"/>
            </w:tcBorders>
            <w:shd w:val="clear" w:color="000000" w:fill="FFFFFF"/>
            <w:noWrap/>
            <w:vAlign w:val="center"/>
            <w:hideMark/>
          </w:tcPr>
          <w:p w14:paraId="1F20305F"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696</w:t>
            </w:r>
          </w:p>
        </w:tc>
        <w:tc>
          <w:tcPr>
            <w:tcW w:w="255" w:type="pct"/>
            <w:tcBorders>
              <w:top w:val="nil"/>
              <w:left w:val="nil"/>
              <w:bottom w:val="single" w:sz="4" w:space="0" w:color="auto"/>
              <w:right w:val="single" w:sz="4" w:space="0" w:color="auto"/>
            </w:tcBorders>
            <w:shd w:val="clear" w:color="000000" w:fill="FFFFFF"/>
            <w:noWrap/>
            <w:vAlign w:val="center"/>
            <w:hideMark/>
          </w:tcPr>
          <w:p w14:paraId="30EC7AE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767</w:t>
            </w:r>
          </w:p>
        </w:tc>
        <w:tc>
          <w:tcPr>
            <w:tcW w:w="255" w:type="pct"/>
            <w:tcBorders>
              <w:top w:val="nil"/>
              <w:left w:val="nil"/>
              <w:bottom w:val="single" w:sz="4" w:space="0" w:color="auto"/>
              <w:right w:val="single" w:sz="4" w:space="0" w:color="auto"/>
            </w:tcBorders>
            <w:shd w:val="clear" w:color="000000" w:fill="FFFFFF"/>
            <w:noWrap/>
            <w:vAlign w:val="center"/>
            <w:hideMark/>
          </w:tcPr>
          <w:p w14:paraId="7B33302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664</w:t>
            </w:r>
          </w:p>
        </w:tc>
        <w:tc>
          <w:tcPr>
            <w:tcW w:w="255" w:type="pct"/>
            <w:tcBorders>
              <w:top w:val="nil"/>
              <w:left w:val="nil"/>
              <w:bottom w:val="single" w:sz="4" w:space="0" w:color="auto"/>
              <w:right w:val="single" w:sz="4" w:space="0" w:color="auto"/>
            </w:tcBorders>
            <w:shd w:val="clear" w:color="000000" w:fill="FFFFFF"/>
            <w:noWrap/>
            <w:vAlign w:val="center"/>
            <w:hideMark/>
          </w:tcPr>
          <w:p w14:paraId="75CB324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356</w:t>
            </w:r>
          </w:p>
        </w:tc>
        <w:tc>
          <w:tcPr>
            <w:tcW w:w="255" w:type="pct"/>
            <w:tcBorders>
              <w:top w:val="nil"/>
              <w:left w:val="nil"/>
              <w:bottom w:val="single" w:sz="4" w:space="0" w:color="auto"/>
              <w:right w:val="single" w:sz="4" w:space="0" w:color="auto"/>
            </w:tcBorders>
            <w:shd w:val="clear" w:color="000000" w:fill="FFFFFF"/>
            <w:noWrap/>
            <w:vAlign w:val="center"/>
            <w:hideMark/>
          </w:tcPr>
          <w:p w14:paraId="0F543C5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389</w:t>
            </w:r>
          </w:p>
        </w:tc>
        <w:tc>
          <w:tcPr>
            <w:tcW w:w="255" w:type="pct"/>
            <w:tcBorders>
              <w:top w:val="nil"/>
              <w:left w:val="nil"/>
              <w:bottom w:val="single" w:sz="4" w:space="0" w:color="auto"/>
              <w:right w:val="single" w:sz="4" w:space="0" w:color="auto"/>
            </w:tcBorders>
            <w:shd w:val="clear" w:color="000000" w:fill="FFFFFF"/>
            <w:noWrap/>
            <w:vAlign w:val="center"/>
            <w:hideMark/>
          </w:tcPr>
          <w:p w14:paraId="2D9B7CC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465</w:t>
            </w:r>
          </w:p>
        </w:tc>
        <w:tc>
          <w:tcPr>
            <w:tcW w:w="261" w:type="pct"/>
            <w:tcBorders>
              <w:top w:val="nil"/>
              <w:left w:val="nil"/>
              <w:bottom w:val="single" w:sz="4" w:space="0" w:color="auto"/>
              <w:right w:val="single" w:sz="4" w:space="0" w:color="auto"/>
            </w:tcBorders>
            <w:shd w:val="clear" w:color="000000" w:fill="FFFFFF"/>
            <w:noWrap/>
            <w:vAlign w:val="center"/>
            <w:hideMark/>
          </w:tcPr>
          <w:p w14:paraId="410F518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380</w:t>
            </w:r>
          </w:p>
        </w:tc>
        <w:tc>
          <w:tcPr>
            <w:tcW w:w="261" w:type="pct"/>
            <w:tcBorders>
              <w:top w:val="nil"/>
              <w:left w:val="nil"/>
              <w:bottom w:val="single" w:sz="4" w:space="0" w:color="auto"/>
              <w:right w:val="single" w:sz="4" w:space="0" w:color="auto"/>
            </w:tcBorders>
            <w:shd w:val="clear" w:color="000000" w:fill="FFFFFF"/>
            <w:noWrap/>
            <w:vAlign w:val="center"/>
            <w:hideMark/>
          </w:tcPr>
          <w:p w14:paraId="03B6D94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175</w:t>
            </w:r>
          </w:p>
        </w:tc>
        <w:tc>
          <w:tcPr>
            <w:tcW w:w="261" w:type="pct"/>
            <w:tcBorders>
              <w:top w:val="nil"/>
              <w:left w:val="nil"/>
              <w:bottom w:val="single" w:sz="4" w:space="0" w:color="auto"/>
              <w:right w:val="single" w:sz="4" w:space="0" w:color="auto"/>
            </w:tcBorders>
            <w:shd w:val="clear" w:color="000000" w:fill="FFFFFF"/>
            <w:noWrap/>
            <w:vAlign w:val="center"/>
            <w:hideMark/>
          </w:tcPr>
          <w:p w14:paraId="18BAEFC2"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5.097</w:t>
            </w:r>
          </w:p>
        </w:tc>
      </w:tr>
      <w:tr w:rsidR="003107DC" w:rsidRPr="003107DC" w14:paraId="7ADC608E"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6EC86CCA" w14:textId="77777777" w:rsidR="003107DC" w:rsidRPr="003107DC" w:rsidRDefault="003107DC" w:rsidP="003107DC">
            <w:pPr>
              <w:spacing w:before="0" w:after="0"/>
              <w:jc w:val="left"/>
              <w:rPr>
                <w:rFonts w:ascii="Calibri" w:hAnsi="Calibri"/>
                <w:i/>
                <w:iCs/>
                <w:color w:val="000000"/>
                <w:sz w:val="18"/>
                <w:szCs w:val="18"/>
                <w:lang w:val="es-CO" w:eastAsia="es-CO"/>
              </w:rPr>
            </w:pPr>
            <w:r w:rsidRPr="003107DC">
              <w:rPr>
                <w:rFonts w:ascii="Calibri" w:hAnsi="Calibri"/>
                <w:i/>
                <w:iCs/>
                <w:color w:val="000000"/>
                <w:sz w:val="18"/>
                <w:szCs w:val="18"/>
                <w:lang w:val="es-CO" w:eastAsia="es-CO"/>
              </w:rPr>
              <w:t>7. Mantenimiento de la medida y el control de energía</w:t>
            </w:r>
          </w:p>
        </w:tc>
        <w:tc>
          <w:tcPr>
            <w:tcW w:w="457" w:type="pct"/>
            <w:tcBorders>
              <w:top w:val="nil"/>
              <w:left w:val="nil"/>
              <w:bottom w:val="single" w:sz="4" w:space="0" w:color="auto"/>
              <w:right w:val="single" w:sz="4" w:space="0" w:color="auto"/>
            </w:tcBorders>
            <w:shd w:val="clear" w:color="000000" w:fill="FFFFFF"/>
            <w:noWrap/>
            <w:vAlign w:val="center"/>
            <w:hideMark/>
          </w:tcPr>
          <w:p w14:paraId="1A0261F8"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231</w:t>
            </w:r>
          </w:p>
        </w:tc>
        <w:tc>
          <w:tcPr>
            <w:tcW w:w="255" w:type="pct"/>
            <w:tcBorders>
              <w:top w:val="nil"/>
              <w:left w:val="nil"/>
              <w:bottom w:val="single" w:sz="4" w:space="0" w:color="auto"/>
              <w:right w:val="single" w:sz="4" w:space="0" w:color="auto"/>
            </w:tcBorders>
            <w:shd w:val="clear" w:color="000000" w:fill="FFFFFF"/>
            <w:noWrap/>
            <w:vAlign w:val="center"/>
            <w:hideMark/>
          </w:tcPr>
          <w:p w14:paraId="68751FD0"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220</w:t>
            </w:r>
          </w:p>
        </w:tc>
        <w:tc>
          <w:tcPr>
            <w:tcW w:w="255" w:type="pct"/>
            <w:tcBorders>
              <w:top w:val="nil"/>
              <w:left w:val="nil"/>
              <w:bottom w:val="single" w:sz="4" w:space="0" w:color="auto"/>
              <w:right w:val="single" w:sz="4" w:space="0" w:color="auto"/>
            </w:tcBorders>
            <w:shd w:val="clear" w:color="000000" w:fill="FFFFFF"/>
            <w:noWrap/>
            <w:vAlign w:val="center"/>
            <w:hideMark/>
          </w:tcPr>
          <w:p w14:paraId="70525BA8"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282</w:t>
            </w:r>
          </w:p>
        </w:tc>
        <w:tc>
          <w:tcPr>
            <w:tcW w:w="255" w:type="pct"/>
            <w:tcBorders>
              <w:top w:val="nil"/>
              <w:left w:val="nil"/>
              <w:bottom w:val="single" w:sz="4" w:space="0" w:color="auto"/>
              <w:right w:val="single" w:sz="4" w:space="0" w:color="auto"/>
            </w:tcBorders>
            <w:shd w:val="clear" w:color="000000" w:fill="FFFFFF"/>
            <w:noWrap/>
            <w:vAlign w:val="center"/>
            <w:hideMark/>
          </w:tcPr>
          <w:p w14:paraId="229327D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292</w:t>
            </w:r>
          </w:p>
        </w:tc>
        <w:tc>
          <w:tcPr>
            <w:tcW w:w="255" w:type="pct"/>
            <w:tcBorders>
              <w:top w:val="nil"/>
              <w:left w:val="nil"/>
              <w:bottom w:val="single" w:sz="4" w:space="0" w:color="auto"/>
              <w:right w:val="single" w:sz="4" w:space="0" w:color="auto"/>
            </w:tcBorders>
            <w:shd w:val="clear" w:color="000000" w:fill="FFFFFF"/>
            <w:noWrap/>
            <w:vAlign w:val="center"/>
            <w:hideMark/>
          </w:tcPr>
          <w:p w14:paraId="026CBEB9"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291</w:t>
            </w:r>
          </w:p>
        </w:tc>
        <w:tc>
          <w:tcPr>
            <w:tcW w:w="255" w:type="pct"/>
            <w:tcBorders>
              <w:top w:val="nil"/>
              <w:left w:val="nil"/>
              <w:bottom w:val="single" w:sz="4" w:space="0" w:color="auto"/>
              <w:right w:val="single" w:sz="4" w:space="0" w:color="auto"/>
            </w:tcBorders>
            <w:shd w:val="clear" w:color="000000" w:fill="FFFFFF"/>
            <w:noWrap/>
            <w:vAlign w:val="center"/>
            <w:hideMark/>
          </w:tcPr>
          <w:p w14:paraId="20DD8199"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325</w:t>
            </w:r>
          </w:p>
        </w:tc>
        <w:tc>
          <w:tcPr>
            <w:tcW w:w="255" w:type="pct"/>
            <w:tcBorders>
              <w:top w:val="nil"/>
              <w:left w:val="nil"/>
              <w:bottom w:val="single" w:sz="4" w:space="0" w:color="auto"/>
              <w:right w:val="single" w:sz="4" w:space="0" w:color="auto"/>
            </w:tcBorders>
            <w:shd w:val="clear" w:color="000000" w:fill="FFFFFF"/>
            <w:noWrap/>
            <w:vAlign w:val="center"/>
            <w:hideMark/>
          </w:tcPr>
          <w:p w14:paraId="6CC17B83"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306</w:t>
            </w:r>
          </w:p>
        </w:tc>
        <w:tc>
          <w:tcPr>
            <w:tcW w:w="255" w:type="pct"/>
            <w:tcBorders>
              <w:top w:val="nil"/>
              <w:left w:val="nil"/>
              <w:bottom w:val="single" w:sz="4" w:space="0" w:color="auto"/>
              <w:right w:val="single" w:sz="4" w:space="0" w:color="auto"/>
            </w:tcBorders>
            <w:shd w:val="clear" w:color="000000" w:fill="FFFFFF"/>
            <w:noWrap/>
            <w:vAlign w:val="center"/>
            <w:hideMark/>
          </w:tcPr>
          <w:p w14:paraId="55AC3285"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344</w:t>
            </w:r>
          </w:p>
        </w:tc>
        <w:tc>
          <w:tcPr>
            <w:tcW w:w="261" w:type="pct"/>
            <w:tcBorders>
              <w:top w:val="nil"/>
              <w:left w:val="nil"/>
              <w:bottom w:val="single" w:sz="4" w:space="0" w:color="auto"/>
              <w:right w:val="single" w:sz="4" w:space="0" w:color="auto"/>
            </w:tcBorders>
            <w:shd w:val="clear" w:color="000000" w:fill="FFFFFF"/>
            <w:noWrap/>
            <w:vAlign w:val="center"/>
            <w:hideMark/>
          </w:tcPr>
          <w:p w14:paraId="4A1B01B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284</w:t>
            </w:r>
          </w:p>
        </w:tc>
        <w:tc>
          <w:tcPr>
            <w:tcW w:w="261" w:type="pct"/>
            <w:tcBorders>
              <w:top w:val="nil"/>
              <w:left w:val="nil"/>
              <w:bottom w:val="single" w:sz="4" w:space="0" w:color="auto"/>
              <w:right w:val="single" w:sz="4" w:space="0" w:color="auto"/>
            </w:tcBorders>
            <w:shd w:val="clear" w:color="000000" w:fill="FFFFFF"/>
            <w:noWrap/>
            <w:vAlign w:val="center"/>
            <w:hideMark/>
          </w:tcPr>
          <w:p w14:paraId="091E9F4F"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261</w:t>
            </w:r>
          </w:p>
        </w:tc>
        <w:tc>
          <w:tcPr>
            <w:tcW w:w="261" w:type="pct"/>
            <w:tcBorders>
              <w:top w:val="nil"/>
              <w:left w:val="nil"/>
              <w:bottom w:val="single" w:sz="4" w:space="0" w:color="auto"/>
              <w:right w:val="single" w:sz="4" w:space="0" w:color="auto"/>
            </w:tcBorders>
            <w:shd w:val="clear" w:color="000000" w:fill="FFFFFF"/>
            <w:noWrap/>
            <w:vAlign w:val="center"/>
            <w:hideMark/>
          </w:tcPr>
          <w:p w14:paraId="76D23F89"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2.836</w:t>
            </w:r>
          </w:p>
        </w:tc>
      </w:tr>
      <w:tr w:rsidR="003107DC" w:rsidRPr="003107DC" w14:paraId="7B945F28"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7371161A" w14:textId="77777777" w:rsidR="003107DC" w:rsidRPr="003107DC" w:rsidRDefault="003107DC" w:rsidP="003107DC">
            <w:pPr>
              <w:spacing w:before="0" w:after="0"/>
              <w:jc w:val="left"/>
              <w:rPr>
                <w:rFonts w:ascii="Calibri" w:hAnsi="Calibri"/>
                <w:i/>
                <w:iCs/>
                <w:color w:val="000000"/>
                <w:sz w:val="18"/>
                <w:szCs w:val="18"/>
                <w:lang w:val="es-CO" w:eastAsia="es-CO"/>
              </w:rPr>
            </w:pPr>
            <w:r w:rsidRPr="003107DC">
              <w:rPr>
                <w:rFonts w:ascii="Calibri" w:hAnsi="Calibri"/>
                <w:i/>
                <w:iCs/>
                <w:color w:val="000000"/>
                <w:sz w:val="18"/>
                <w:szCs w:val="18"/>
                <w:lang w:val="es-CO" w:eastAsia="es-CO"/>
              </w:rPr>
              <w:t>8. Costos de procesos de apoyo y gestión</w:t>
            </w:r>
          </w:p>
        </w:tc>
        <w:tc>
          <w:tcPr>
            <w:tcW w:w="457" w:type="pct"/>
            <w:tcBorders>
              <w:top w:val="nil"/>
              <w:left w:val="nil"/>
              <w:bottom w:val="single" w:sz="4" w:space="0" w:color="auto"/>
              <w:right w:val="single" w:sz="4" w:space="0" w:color="auto"/>
            </w:tcBorders>
            <w:shd w:val="clear" w:color="000000" w:fill="FFFFFF"/>
            <w:noWrap/>
            <w:vAlign w:val="center"/>
            <w:hideMark/>
          </w:tcPr>
          <w:p w14:paraId="5469E0A6"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545</w:t>
            </w:r>
          </w:p>
        </w:tc>
        <w:tc>
          <w:tcPr>
            <w:tcW w:w="255" w:type="pct"/>
            <w:tcBorders>
              <w:top w:val="nil"/>
              <w:left w:val="nil"/>
              <w:bottom w:val="single" w:sz="4" w:space="0" w:color="auto"/>
              <w:right w:val="single" w:sz="4" w:space="0" w:color="auto"/>
            </w:tcBorders>
            <w:shd w:val="clear" w:color="000000" w:fill="FFFFFF"/>
            <w:noWrap/>
            <w:vAlign w:val="center"/>
            <w:hideMark/>
          </w:tcPr>
          <w:p w14:paraId="7CDC2E39"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577</w:t>
            </w:r>
          </w:p>
        </w:tc>
        <w:tc>
          <w:tcPr>
            <w:tcW w:w="255" w:type="pct"/>
            <w:tcBorders>
              <w:top w:val="nil"/>
              <w:left w:val="nil"/>
              <w:bottom w:val="single" w:sz="4" w:space="0" w:color="auto"/>
              <w:right w:val="single" w:sz="4" w:space="0" w:color="auto"/>
            </w:tcBorders>
            <w:shd w:val="clear" w:color="000000" w:fill="FFFFFF"/>
            <w:noWrap/>
            <w:vAlign w:val="center"/>
            <w:hideMark/>
          </w:tcPr>
          <w:p w14:paraId="25E62C75"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482</w:t>
            </w:r>
          </w:p>
        </w:tc>
        <w:tc>
          <w:tcPr>
            <w:tcW w:w="255" w:type="pct"/>
            <w:tcBorders>
              <w:top w:val="nil"/>
              <w:left w:val="nil"/>
              <w:bottom w:val="single" w:sz="4" w:space="0" w:color="auto"/>
              <w:right w:val="single" w:sz="4" w:space="0" w:color="auto"/>
            </w:tcBorders>
            <w:shd w:val="clear" w:color="000000" w:fill="FFFFFF"/>
            <w:noWrap/>
            <w:vAlign w:val="center"/>
            <w:hideMark/>
          </w:tcPr>
          <w:p w14:paraId="0A443FC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422</w:t>
            </w:r>
          </w:p>
        </w:tc>
        <w:tc>
          <w:tcPr>
            <w:tcW w:w="255" w:type="pct"/>
            <w:tcBorders>
              <w:top w:val="nil"/>
              <w:left w:val="nil"/>
              <w:bottom w:val="single" w:sz="4" w:space="0" w:color="auto"/>
              <w:right w:val="single" w:sz="4" w:space="0" w:color="auto"/>
            </w:tcBorders>
            <w:shd w:val="clear" w:color="000000" w:fill="FFFFFF"/>
            <w:noWrap/>
            <w:vAlign w:val="center"/>
            <w:hideMark/>
          </w:tcPr>
          <w:p w14:paraId="774F5C6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366</w:t>
            </w:r>
          </w:p>
        </w:tc>
        <w:tc>
          <w:tcPr>
            <w:tcW w:w="255" w:type="pct"/>
            <w:tcBorders>
              <w:top w:val="nil"/>
              <w:left w:val="nil"/>
              <w:bottom w:val="single" w:sz="4" w:space="0" w:color="auto"/>
              <w:right w:val="single" w:sz="4" w:space="0" w:color="auto"/>
            </w:tcBorders>
            <w:shd w:val="clear" w:color="000000" w:fill="FFFFFF"/>
            <w:noWrap/>
            <w:vAlign w:val="center"/>
            <w:hideMark/>
          </w:tcPr>
          <w:p w14:paraId="3A98D49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336</w:t>
            </w:r>
          </w:p>
        </w:tc>
        <w:tc>
          <w:tcPr>
            <w:tcW w:w="255" w:type="pct"/>
            <w:tcBorders>
              <w:top w:val="nil"/>
              <w:left w:val="nil"/>
              <w:bottom w:val="single" w:sz="4" w:space="0" w:color="auto"/>
              <w:right w:val="single" w:sz="4" w:space="0" w:color="auto"/>
            </w:tcBorders>
            <w:shd w:val="clear" w:color="000000" w:fill="FFFFFF"/>
            <w:noWrap/>
            <w:vAlign w:val="center"/>
            <w:hideMark/>
          </w:tcPr>
          <w:p w14:paraId="142000AB"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338</w:t>
            </w:r>
          </w:p>
        </w:tc>
        <w:tc>
          <w:tcPr>
            <w:tcW w:w="255" w:type="pct"/>
            <w:tcBorders>
              <w:top w:val="nil"/>
              <w:left w:val="nil"/>
              <w:bottom w:val="single" w:sz="4" w:space="0" w:color="auto"/>
              <w:right w:val="single" w:sz="4" w:space="0" w:color="auto"/>
            </w:tcBorders>
            <w:shd w:val="clear" w:color="000000" w:fill="FFFFFF"/>
            <w:noWrap/>
            <w:vAlign w:val="center"/>
            <w:hideMark/>
          </w:tcPr>
          <w:p w14:paraId="2AC65DD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353</w:t>
            </w:r>
          </w:p>
        </w:tc>
        <w:tc>
          <w:tcPr>
            <w:tcW w:w="261" w:type="pct"/>
            <w:tcBorders>
              <w:top w:val="nil"/>
              <w:left w:val="nil"/>
              <w:bottom w:val="single" w:sz="4" w:space="0" w:color="auto"/>
              <w:right w:val="single" w:sz="4" w:space="0" w:color="auto"/>
            </w:tcBorders>
            <w:shd w:val="clear" w:color="000000" w:fill="FFFFFF"/>
            <w:noWrap/>
            <w:vAlign w:val="center"/>
            <w:hideMark/>
          </w:tcPr>
          <w:p w14:paraId="170BB48A"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326</w:t>
            </w:r>
          </w:p>
        </w:tc>
        <w:tc>
          <w:tcPr>
            <w:tcW w:w="261" w:type="pct"/>
            <w:tcBorders>
              <w:top w:val="nil"/>
              <w:left w:val="nil"/>
              <w:bottom w:val="single" w:sz="4" w:space="0" w:color="auto"/>
              <w:right w:val="single" w:sz="4" w:space="0" w:color="auto"/>
            </w:tcBorders>
            <w:shd w:val="clear" w:color="000000" w:fill="FFFFFF"/>
            <w:noWrap/>
            <w:vAlign w:val="center"/>
            <w:hideMark/>
          </w:tcPr>
          <w:p w14:paraId="3719D006"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255</w:t>
            </w:r>
          </w:p>
        </w:tc>
        <w:tc>
          <w:tcPr>
            <w:tcW w:w="261" w:type="pct"/>
            <w:tcBorders>
              <w:top w:val="nil"/>
              <w:left w:val="nil"/>
              <w:bottom w:val="single" w:sz="4" w:space="0" w:color="auto"/>
              <w:right w:val="single" w:sz="4" w:space="0" w:color="auto"/>
            </w:tcBorders>
            <w:shd w:val="clear" w:color="000000" w:fill="FFFFFF"/>
            <w:noWrap/>
            <w:vAlign w:val="center"/>
            <w:hideMark/>
          </w:tcPr>
          <w:p w14:paraId="744E515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4.000</w:t>
            </w:r>
          </w:p>
        </w:tc>
      </w:tr>
      <w:tr w:rsidR="003107DC" w:rsidRPr="003107DC" w14:paraId="1A573AE2" w14:textId="77777777" w:rsidTr="003107DC">
        <w:trPr>
          <w:trHeight w:val="170"/>
        </w:trPr>
        <w:tc>
          <w:tcPr>
            <w:tcW w:w="1978" w:type="pct"/>
            <w:tcBorders>
              <w:top w:val="nil"/>
              <w:left w:val="single" w:sz="4" w:space="0" w:color="auto"/>
              <w:bottom w:val="single" w:sz="4" w:space="0" w:color="auto"/>
              <w:right w:val="single" w:sz="4" w:space="0" w:color="auto"/>
            </w:tcBorders>
            <w:shd w:val="clear" w:color="000000" w:fill="FFFFFF"/>
            <w:vAlign w:val="center"/>
            <w:hideMark/>
          </w:tcPr>
          <w:p w14:paraId="061383D6" w14:textId="77777777" w:rsidR="003107DC" w:rsidRPr="003107DC" w:rsidRDefault="003107DC" w:rsidP="003107DC">
            <w:pPr>
              <w:spacing w:before="0" w:after="0"/>
              <w:jc w:val="left"/>
              <w:rPr>
                <w:rFonts w:ascii="Calibri" w:hAnsi="Calibri"/>
                <w:i/>
                <w:iCs/>
                <w:color w:val="000000"/>
                <w:sz w:val="18"/>
                <w:szCs w:val="18"/>
                <w:lang w:val="es-CO" w:eastAsia="es-CO"/>
              </w:rPr>
            </w:pPr>
            <w:r w:rsidRPr="003107DC">
              <w:rPr>
                <w:rFonts w:ascii="Calibri" w:hAnsi="Calibri"/>
                <w:i/>
                <w:iCs/>
                <w:color w:val="000000"/>
                <w:sz w:val="18"/>
                <w:szCs w:val="18"/>
                <w:lang w:val="es-CO" w:eastAsia="es-CO"/>
              </w:rPr>
              <w:t>TOTAL</w:t>
            </w:r>
          </w:p>
        </w:tc>
        <w:tc>
          <w:tcPr>
            <w:tcW w:w="457" w:type="pct"/>
            <w:tcBorders>
              <w:top w:val="nil"/>
              <w:left w:val="nil"/>
              <w:bottom w:val="single" w:sz="4" w:space="0" w:color="auto"/>
              <w:right w:val="single" w:sz="4" w:space="0" w:color="auto"/>
            </w:tcBorders>
            <w:shd w:val="clear" w:color="000000" w:fill="FFFFFF"/>
            <w:noWrap/>
            <w:vAlign w:val="bottom"/>
            <w:hideMark/>
          </w:tcPr>
          <w:p w14:paraId="35B5576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3.498</w:t>
            </w:r>
          </w:p>
        </w:tc>
        <w:tc>
          <w:tcPr>
            <w:tcW w:w="255" w:type="pct"/>
            <w:tcBorders>
              <w:top w:val="nil"/>
              <w:left w:val="nil"/>
              <w:bottom w:val="single" w:sz="4" w:space="0" w:color="auto"/>
              <w:right w:val="single" w:sz="4" w:space="0" w:color="auto"/>
            </w:tcBorders>
            <w:shd w:val="clear" w:color="000000" w:fill="FFFFFF"/>
            <w:noWrap/>
            <w:vAlign w:val="bottom"/>
            <w:hideMark/>
          </w:tcPr>
          <w:p w14:paraId="08E7AA4C"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3.766</w:t>
            </w:r>
          </w:p>
        </w:tc>
        <w:tc>
          <w:tcPr>
            <w:tcW w:w="255" w:type="pct"/>
            <w:tcBorders>
              <w:top w:val="nil"/>
              <w:left w:val="nil"/>
              <w:bottom w:val="single" w:sz="4" w:space="0" w:color="auto"/>
              <w:right w:val="single" w:sz="4" w:space="0" w:color="auto"/>
            </w:tcBorders>
            <w:shd w:val="clear" w:color="000000" w:fill="FFFFFF"/>
            <w:noWrap/>
            <w:vAlign w:val="bottom"/>
            <w:hideMark/>
          </w:tcPr>
          <w:p w14:paraId="3A7CD3D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2.988</w:t>
            </w:r>
          </w:p>
        </w:tc>
        <w:tc>
          <w:tcPr>
            <w:tcW w:w="255" w:type="pct"/>
            <w:tcBorders>
              <w:top w:val="nil"/>
              <w:left w:val="nil"/>
              <w:bottom w:val="single" w:sz="4" w:space="0" w:color="auto"/>
              <w:right w:val="single" w:sz="4" w:space="0" w:color="auto"/>
            </w:tcBorders>
            <w:shd w:val="clear" w:color="000000" w:fill="FFFFFF"/>
            <w:noWrap/>
            <w:vAlign w:val="bottom"/>
            <w:hideMark/>
          </w:tcPr>
          <w:p w14:paraId="61D7BBB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2.500</w:t>
            </w:r>
          </w:p>
        </w:tc>
        <w:tc>
          <w:tcPr>
            <w:tcW w:w="255" w:type="pct"/>
            <w:tcBorders>
              <w:top w:val="nil"/>
              <w:left w:val="nil"/>
              <w:bottom w:val="single" w:sz="4" w:space="0" w:color="auto"/>
              <w:right w:val="single" w:sz="4" w:space="0" w:color="auto"/>
            </w:tcBorders>
            <w:shd w:val="clear" w:color="000000" w:fill="FFFFFF"/>
            <w:noWrap/>
            <w:vAlign w:val="bottom"/>
            <w:hideMark/>
          </w:tcPr>
          <w:p w14:paraId="2C4948C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2.047</w:t>
            </w:r>
          </w:p>
        </w:tc>
        <w:tc>
          <w:tcPr>
            <w:tcW w:w="255" w:type="pct"/>
            <w:tcBorders>
              <w:top w:val="nil"/>
              <w:left w:val="nil"/>
              <w:bottom w:val="single" w:sz="4" w:space="0" w:color="auto"/>
              <w:right w:val="single" w:sz="4" w:space="0" w:color="auto"/>
            </w:tcBorders>
            <w:shd w:val="clear" w:color="000000" w:fill="FFFFFF"/>
            <w:noWrap/>
            <w:vAlign w:val="bottom"/>
            <w:hideMark/>
          </w:tcPr>
          <w:p w14:paraId="127ABAD7"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1.803</w:t>
            </w:r>
          </w:p>
        </w:tc>
        <w:tc>
          <w:tcPr>
            <w:tcW w:w="255" w:type="pct"/>
            <w:tcBorders>
              <w:top w:val="nil"/>
              <w:left w:val="nil"/>
              <w:bottom w:val="single" w:sz="4" w:space="0" w:color="auto"/>
              <w:right w:val="single" w:sz="4" w:space="0" w:color="auto"/>
            </w:tcBorders>
            <w:shd w:val="clear" w:color="000000" w:fill="FFFFFF"/>
            <w:noWrap/>
            <w:vAlign w:val="bottom"/>
            <w:hideMark/>
          </w:tcPr>
          <w:p w14:paraId="095E7FD5"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1.816</w:t>
            </w:r>
          </w:p>
        </w:tc>
        <w:tc>
          <w:tcPr>
            <w:tcW w:w="255" w:type="pct"/>
            <w:tcBorders>
              <w:top w:val="nil"/>
              <w:left w:val="nil"/>
              <w:bottom w:val="single" w:sz="4" w:space="0" w:color="auto"/>
              <w:right w:val="single" w:sz="4" w:space="0" w:color="auto"/>
            </w:tcBorders>
            <w:shd w:val="clear" w:color="000000" w:fill="FFFFFF"/>
            <w:noWrap/>
            <w:vAlign w:val="bottom"/>
            <w:hideMark/>
          </w:tcPr>
          <w:p w14:paraId="095ACAED"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1.938</w:t>
            </w:r>
          </w:p>
        </w:tc>
        <w:tc>
          <w:tcPr>
            <w:tcW w:w="261" w:type="pct"/>
            <w:tcBorders>
              <w:top w:val="nil"/>
              <w:left w:val="nil"/>
              <w:bottom w:val="single" w:sz="4" w:space="0" w:color="auto"/>
              <w:right w:val="single" w:sz="4" w:space="0" w:color="auto"/>
            </w:tcBorders>
            <w:shd w:val="clear" w:color="000000" w:fill="FFFFFF"/>
            <w:noWrap/>
            <w:vAlign w:val="bottom"/>
            <w:hideMark/>
          </w:tcPr>
          <w:p w14:paraId="7B279094"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1.715</w:t>
            </w:r>
          </w:p>
        </w:tc>
        <w:tc>
          <w:tcPr>
            <w:tcW w:w="261" w:type="pct"/>
            <w:tcBorders>
              <w:top w:val="nil"/>
              <w:left w:val="nil"/>
              <w:bottom w:val="single" w:sz="4" w:space="0" w:color="auto"/>
              <w:right w:val="single" w:sz="4" w:space="0" w:color="auto"/>
            </w:tcBorders>
            <w:shd w:val="clear" w:color="000000" w:fill="FFFFFF"/>
            <w:noWrap/>
            <w:vAlign w:val="bottom"/>
            <w:hideMark/>
          </w:tcPr>
          <w:p w14:paraId="37E27D98"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1.140</w:t>
            </w:r>
          </w:p>
        </w:tc>
        <w:tc>
          <w:tcPr>
            <w:tcW w:w="261" w:type="pct"/>
            <w:tcBorders>
              <w:top w:val="nil"/>
              <w:left w:val="nil"/>
              <w:bottom w:val="single" w:sz="4" w:space="0" w:color="auto"/>
              <w:right w:val="single" w:sz="4" w:space="0" w:color="auto"/>
            </w:tcBorders>
            <w:shd w:val="clear" w:color="000000" w:fill="FFFFFF"/>
            <w:noWrap/>
            <w:vAlign w:val="bottom"/>
            <w:hideMark/>
          </w:tcPr>
          <w:p w14:paraId="06F90591" w14:textId="77777777" w:rsidR="003107DC" w:rsidRPr="003107DC" w:rsidRDefault="003107DC" w:rsidP="003107DC">
            <w:pPr>
              <w:spacing w:before="0" w:after="0"/>
              <w:jc w:val="right"/>
              <w:rPr>
                <w:rFonts w:ascii="Calibri" w:hAnsi="Calibri"/>
                <w:i/>
                <w:iCs/>
                <w:color w:val="000000"/>
                <w:sz w:val="18"/>
                <w:szCs w:val="18"/>
                <w:lang w:val="es-CO" w:eastAsia="es-CO"/>
              </w:rPr>
            </w:pPr>
            <w:r w:rsidRPr="003107DC">
              <w:rPr>
                <w:rFonts w:ascii="Calibri" w:hAnsi="Calibri"/>
                <w:i/>
                <w:iCs/>
                <w:color w:val="000000"/>
                <w:sz w:val="18"/>
                <w:szCs w:val="18"/>
                <w:lang w:val="es-CO" w:eastAsia="es-CO"/>
              </w:rPr>
              <w:t>23.211</w:t>
            </w:r>
          </w:p>
        </w:tc>
      </w:tr>
    </w:tbl>
    <w:p w14:paraId="032A4BFD" w14:textId="33D2C2A2" w:rsidR="00401992" w:rsidRPr="001916F7" w:rsidRDefault="00401992" w:rsidP="00401992">
      <w:pPr>
        <w:ind w:left="142"/>
        <w:rPr>
          <w:b/>
          <w:bCs/>
          <w:i/>
          <w:iCs/>
          <w:sz w:val="20"/>
          <w:szCs w:val="20"/>
        </w:rPr>
      </w:pPr>
      <w:r w:rsidRPr="001916F7">
        <w:rPr>
          <w:b/>
          <w:bCs/>
          <w:i/>
          <w:iCs/>
          <w:sz w:val="20"/>
          <w:szCs w:val="20"/>
        </w:rPr>
        <w:t>Subrayado fuera de texto</w:t>
      </w:r>
      <w:r w:rsidR="001916F7" w:rsidRPr="001916F7">
        <w:rPr>
          <w:b/>
          <w:bCs/>
          <w:i/>
          <w:iCs/>
          <w:sz w:val="20"/>
          <w:szCs w:val="20"/>
        </w:rPr>
        <w:t>.</w:t>
      </w:r>
    </w:p>
    <w:p w14:paraId="007186A1" w14:textId="67D71608" w:rsidR="003107DC" w:rsidRDefault="00460C2D" w:rsidP="0023598E">
      <w:r>
        <w:t>Se observa que</w:t>
      </w:r>
      <w:r w:rsidR="00676724">
        <w:t>,</w:t>
      </w:r>
      <w:r>
        <w:t xml:space="preserve"> </w:t>
      </w:r>
      <w:r w:rsidR="00401992">
        <w:t>según lo señalado en la tabla</w:t>
      </w:r>
      <w:r>
        <w:t>,</w:t>
      </w:r>
      <w:r w:rsidR="00401992">
        <w:t xml:space="preserve"> </w:t>
      </w:r>
      <w:r>
        <w:t xml:space="preserve">los programas de pérdidas No 2 y 4 se describen como </w:t>
      </w:r>
      <w:r w:rsidR="00401992">
        <w:t>la i</w:t>
      </w:r>
      <w:r w:rsidR="00401992" w:rsidRPr="00401992">
        <w:t>nstalación de medición inteligente en clientes de consumo alto</w:t>
      </w:r>
      <w:r w:rsidR="00401992">
        <w:t xml:space="preserve"> y a la i</w:t>
      </w:r>
      <w:r w:rsidR="00401992" w:rsidRPr="00401992">
        <w:t>nstalación de medición inteligente en clientes especiales</w:t>
      </w:r>
      <w:r w:rsidR="00401992">
        <w:t>, respectivamente.</w:t>
      </w:r>
    </w:p>
    <w:p w14:paraId="661A63B9" w14:textId="6BCE9197" w:rsidR="00401992" w:rsidRDefault="00460C2D" w:rsidP="0023598E">
      <w:r>
        <w:t xml:space="preserve">En </w:t>
      </w:r>
      <w:r w:rsidR="00EA5F40">
        <w:t xml:space="preserve">los numerales 6.3.2 y 6.3.4 del documento </w:t>
      </w:r>
      <w:r w:rsidR="00EA5F40">
        <w:rPr>
          <w:i/>
          <w:iCs/>
        </w:rPr>
        <w:t>Pl</w:t>
      </w:r>
      <w:r w:rsidR="00EA5F40" w:rsidRPr="00B24CD2">
        <w:rPr>
          <w:i/>
          <w:iCs/>
        </w:rPr>
        <w:t xml:space="preserve">an de reducción de pérdidas no técnicas de energía de EMCARTAGO E.S.P. asociado a la solicitud de cargos del SDL de acuerdo a los lineamientos de la resolución CREG 015 de 2018, la </w:t>
      </w:r>
      <w:r w:rsidR="00EA5F40">
        <w:rPr>
          <w:i/>
          <w:iCs/>
        </w:rPr>
        <w:t>C</w:t>
      </w:r>
      <w:r w:rsidR="00EA5F40" w:rsidRPr="00B24CD2">
        <w:rPr>
          <w:i/>
          <w:iCs/>
        </w:rPr>
        <w:t>ircular 029 de 2018 y la resolución CREG 085 de 2018</w:t>
      </w:r>
      <w:r w:rsidR="00EA5F40">
        <w:rPr>
          <w:i/>
          <w:iCs/>
        </w:rPr>
        <w:t xml:space="preserve"> - P</w:t>
      </w:r>
      <w:r w:rsidR="00EA5F40" w:rsidRPr="00EA5F40">
        <w:rPr>
          <w:i/>
          <w:iCs/>
        </w:rPr>
        <w:t>lan de reducción de pérdidas no técnica</w:t>
      </w:r>
      <w:r w:rsidR="00EA5F40">
        <w:rPr>
          <w:i/>
          <w:iCs/>
        </w:rPr>
        <w:t>s</w:t>
      </w:r>
      <w:r w:rsidR="002A6CEB">
        <w:t xml:space="preserve">, </w:t>
      </w:r>
      <w:r w:rsidR="002A6CEB" w:rsidRPr="00460C2D">
        <w:t>suministrado por el OR como soporte de la solicitud</w:t>
      </w:r>
      <w:r w:rsidR="002A6CEB">
        <w:t xml:space="preserve">, </w:t>
      </w:r>
      <w:r w:rsidR="00EA5F40">
        <w:t xml:space="preserve">se </w:t>
      </w:r>
      <w:r>
        <w:t>presenta la justificación de los proyectos anteriormente mencionados</w:t>
      </w:r>
      <w:r w:rsidR="000C522D">
        <w:t>,</w:t>
      </w:r>
      <w:r>
        <w:t xml:space="preserve"> </w:t>
      </w:r>
      <w:r w:rsidR="002A6CEB">
        <w:t>así</w:t>
      </w:r>
      <w:r>
        <w:t>:</w:t>
      </w:r>
    </w:p>
    <w:p w14:paraId="27899BA3" w14:textId="77777777" w:rsidR="00EA5F40" w:rsidRPr="00EA5F40" w:rsidRDefault="00EA5F40" w:rsidP="000C522D">
      <w:pPr>
        <w:spacing w:before="60" w:after="60"/>
        <w:ind w:left="425"/>
        <w:rPr>
          <w:b/>
          <w:bCs/>
          <w:i/>
          <w:iCs/>
          <w:sz w:val="20"/>
          <w:szCs w:val="20"/>
        </w:rPr>
      </w:pPr>
      <w:r w:rsidRPr="00EA5F40">
        <w:rPr>
          <w:b/>
          <w:bCs/>
          <w:i/>
          <w:iCs/>
          <w:sz w:val="20"/>
          <w:szCs w:val="20"/>
        </w:rPr>
        <w:t>6.3.2 Instalación de medición inteligente en clientes de consumo alto</w:t>
      </w:r>
    </w:p>
    <w:p w14:paraId="652472E9" w14:textId="77777777" w:rsidR="00EA5F40" w:rsidRPr="00EA5F40" w:rsidRDefault="00EA5F40" w:rsidP="000C522D">
      <w:pPr>
        <w:spacing w:before="60" w:after="60"/>
        <w:ind w:left="425"/>
        <w:rPr>
          <w:i/>
          <w:iCs/>
          <w:sz w:val="20"/>
          <w:szCs w:val="20"/>
        </w:rPr>
      </w:pPr>
      <w:r w:rsidRPr="00EA5F40">
        <w:rPr>
          <w:b/>
          <w:bCs/>
          <w:i/>
          <w:iCs/>
          <w:sz w:val="20"/>
          <w:szCs w:val="20"/>
        </w:rPr>
        <w:t>OBJETIVO:</w:t>
      </w:r>
      <w:r w:rsidRPr="00EA5F40">
        <w:rPr>
          <w:i/>
          <w:iCs/>
          <w:sz w:val="20"/>
          <w:szCs w:val="20"/>
        </w:rPr>
        <w:t xml:space="preserve"> </w:t>
      </w:r>
      <w:r w:rsidRPr="00EA5F40">
        <w:rPr>
          <w:i/>
          <w:iCs/>
          <w:sz w:val="20"/>
          <w:szCs w:val="20"/>
          <w:u w:val="single"/>
        </w:rPr>
        <w:t>Instalación de la medición inteligente a todos los clientes de medida Indirecta y Semidirecta</w:t>
      </w:r>
      <w:r w:rsidRPr="00EA5F40">
        <w:rPr>
          <w:i/>
          <w:iCs/>
          <w:sz w:val="20"/>
          <w:szCs w:val="20"/>
        </w:rPr>
        <w:t xml:space="preserve"> y a los clientes de medida directa cuyo consumo presenta valores promedio anuales superiores a 500 kWh en los 5 primeros años y con consumo menor de 500 kWh y mayor de 300 kWh en los 5 años restantes del plan o aquellos que consuman menos de este valor y que a decisión del planificador, y por las características del cliente, su consumo debería estar por encima.</w:t>
      </w:r>
    </w:p>
    <w:p w14:paraId="42594569" w14:textId="77777777" w:rsidR="00EA5F40" w:rsidRPr="00EA5F40" w:rsidRDefault="00EA5F40" w:rsidP="000C522D">
      <w:pPr>
        <w:spacing w:before="60" w:after="60"/>
        <w:ind w:left="425"/>
        <w:rPr>
          <w:b/>
          <w:bCs/>
          <w:i/>
          <w:iCs/>
          <w:sz w:val="20"/>
          <w:szCs w:val="20"/>
        </w:rPr>
      </w:pPr>
      <w:r w:rsidRPr="00EA5F40">
        <w:rPr>
          <w:b/>
          <w:bCs/>
          <w:i/>
          <w:iCs/>
          <w:sz w:val="20"/>
          <w:szCs w:val="20"/>
        </w:rPr>
        <w:t>ALCANCE:</w:t>
      </w:r>
    </w:p>
    <w:p w14:paraId="75C8B524" w14:textId="77777777" w:rsidR="00EA5F40" w:rsidRPr="00EA5F40" w:rsidRDefault="00EA5F40" w:rsidP="000C522D">
      <w:pPr>
        <w:spacing w:before="60" w:after="60"/>
        <w:ind w:left="425"/>
        <w:rPr>
          <w:i/>
          <w:iCs/>
          <w:sz w:val="20"/>
          <w:szCs w:val="20"/>
        </w:rPr>
      </w:pPr>
      <w:r w:rsidRPr="00EA5F40">
        <w:rPr>
          <w:i/>
          <w:iCs/>
          <w:sz w:val="20"/>
          <w:szCs w:val="20"/>
          <w:u w:val="single"/>
        </w:rPr>
        <w:t>Instalación de medidor inteligente</w:t>
      </w:r>
      <w:r w:rsidRPr="00EA5F40">
        <w:rPr>
          <w:i/>
          <w:iCs/>
          <w:sz w:val="20"/>
          <w:szCs w:val="20"/>
        </w:rPr>
        <w:t xml:space="preserve"> a los siguientes clientes:</w:t>
      </w:r>
    </w:p>
    <w:p w14:paraId="2FDA2AC7" w14:textId="77777777" w:rsidR="00EA5F40" w:rsidRPr="00EA5F40" w:rsidRDefault="00EA5F40" w:rsidP="000C522D">
      <w:pPr>
        <w:spacing w:before="60" w:after="60"/>
        <w:ind w:left="425"/>
        <w:rPr>
          <w:i/>
          <w:iCs/>
          <w:sz w:val="20"/>
          <w:szCs w:val="20"/>
        </w:rPr>
      </w:pPr>
      <w:r w:rsidRPr="00EA5F40">
        <w:rPr>
          <w:i/>
          <w:iCs/>
          <w:sz w:val="20"/>
          <w:szCs w:val="20"/>
        </w:rPr>
        <w:t>Todo cliente, de cualquier tarifa, residencial y no residencial de medida directa, que consuma en promedio anual más de 500 kWh</w:t>
      </w:r>
    </w:p>
    <w:p w14:paraId="5FA7E224" w14:textId="77777777" w:rsidR="00EA5F40" w:rsidRPr="00EA5F40" w:rsidRDefault="00EA5F40" w:rsidP="000C522D">
      <w:pPr>
        <w:spacing w:before="60" w:after="60"/>
        <w:ind w:left="425"/>
        <w:rPr>
          <w:i/>
          <w:iCs/>
          <w:sz w:val="20"/>
          <w:szCs w:val="20"/>
        </w:rPr>
      </w:pPr>
      <w:r w:rsidRPr="00EA5F40">
        <w:rPr>
          <w:i/>
          <w:iCs/>
          <w:sz w:val="20"/>
          <w:szCs w:val="20"/>
        </w:rPr>
        <w:t>Todo cliente de cualquier tarifa, que por su condición de uso del predio y ubicación socioeconómica y mediante inspección física, tenga probabilidad de consumir más de 500 kWh.</w:t>
      </w:r>
    </w:p>
    <w:p w14:paraId="469B74B7" w14:textId="77777777" w:rsidR="00EA5F40" w:rsidRPr="00EA5F40" w:rsidRDefault="00EA5F40" w:rsidP="000C522D">
      <w:pPr>
        <w:spacing w:before="60" w:after="60"/>
        <w:ind w:left="425"/>
        <w:rPr>
          <w:i/>
          <w:iCs/>
          <w:sz w:val="20"/>
          <w:szCs w:val="20"/>
        </w:rPr>
      </w:pPr>
      <w:r w:rsidRPr="00EA5F40">
        <w:rPr>
          <w:i/>
          <w:iCs/>
          <w:sz w:val="20"/>
          <w:szCs w:val="20"/>
        </w:rPr>
        <w:t>Todo cliente con medición Indirecta o Semidirecta.</w:t>
      </w:r>
    </w:p>
    <w:p w14:paraId="25863EBD" w14:textId="2004C0FE" w:rsidR="00EA5F40" w:rsidRDefault="00EA5F40" w:rsidP="000C522D">
      <w:pPr>
        <w:spacing w:before="60" w:after="60"/>
        <w:ind w:left="425"/>
        <w:rPr>
          <w:i/>
          <w:iCs/>
          <w:sz w:val="20"/>
          <w:szCs w:val="20"/>
        </w:rPr>
      </w:pPr>
      <w:r w:rsidRPr="00EA5F40">
        <w:rPr>
          <w:i/>
          <w:iCs/>
          <w:sz w:val="20"/>
          <w:szCs w:val="20"/>
        </w:rPr>
        <w:t xml:space="preserve">A partir del sexto año, </w:t>
      </w:r>
      <w:r w:rsidRPr="00EA5F40">
        <w:rPr>
          <w:i/>
          <w:iCs/>
          <w:sz w:val="20"/>
          <w:szCs w:val="20"/>
          <w:u w:val="single"/>
        </w:rPr>
        <w:t>se podrá modificar esta condición y reducir a 300 kWh el criterio de selección de los clientes a instalarle medición inteligente</w:t>
      </w:r>
      <w:r w:rsidRPr="00EA5F40">
        <w:rPr>
          <w:i/>
          <w:iCs/>
          <w:sz w:val="20"/>
          <w:szCs w:val="20"/>
        </w:rPr>
        <w:t>. Esta decisión se tomará en función del incremento en la medición de la energía que se haya logrado.</w:t>
      </w:r>
      <w:r w:rsidR="002A6CEB">
        <w:rPr>
          <w:i/>
          <w:iCs/>
          <w:sz w:val="20"/>
          <w:szCs w:val="20"/>
        </w:rPr>
        <w:t xml:space="preserve"> </w:t>
      </w:r>
      <w:r>
        <w:rPr>
          <w:i/>
          <w:iCs/>
          <w:sz w:val="20"/>
          <w:szCs w:val="20"/>
        </w:rPr>
        <w:t>(…)</w:t>
      </w:r>
    </w:p>
    <w:p w14:paraId="630C5173" w14:textId="77777777" w:rsidR="00EA5F40" w:rsidRPr="00EA5F40" w:rsidRDefault="00EA5F40" w:rsidP="000C522D">
      <w:pPr>
        <w:spacing w:before="60" w:after="60"/>
        <w:ind w:left="425"/>
        <w:rPr>
          <w:b/>
          <w:bCs/>
          <w:i/>
          <w:iCs/>
          <w:sz w:val="20"/>
          <w:szCs w:val="20"/>
        </w:rPr>
      </w:pPr>
      <w:r w:rsidRPr="00EA5F40">
        <w:rPr>
          <w:b/>
          <w:bCs/>
          <w:i/>
          <w:iCs/>
          <w:sz w:val="20"/>
          <w:szCs w:val="20"/>
        </w:rPr>
        <w:t>CRITERIOS DE INSTALACIÓN</w:t>
      </w:r>
    </w:p>
    <w:p w14:paraId="5DD1B106" w14:textId="4479A851" w:rsidR="00EA5F40" w:rsidRPr="00EA5F40" w:rsidRDefault="00EA5F40" w:rsidP="000C522D">
      <w:pPr>
        <w:pStyle w:val="Prrafodelista"/>
        <w:numPr>
          <w:ilvl w:val="0"/>
          <w:numId w:val="23"/>
        </w:numPr>
        <w:spacing w:before="60" w:after="60"/>
        <w:rPr>
          <w:i/>
          <w:iCs/>
          <w:sz w:val="20"/>
        </w:rPr>
      </w:pPr>
      <w:r w:rsidRPr="00EA5F40">
        <w:rPr>
          <w:i/>
          <w:iCs/>
          <w:sz w:val="20"/>
        </w:rPr>
        <w:t xml:space="preserve">EMCARTAGO hará previamente el estudio para la selección de la tecnología que mejor se adapte a este tipo de aplicación, que no es masiva inicialmente. Sin embargo, para efectos de este plan, </w:t>
      </w:r>
      <w:r w:rsidRPr="00EA5F40">
        <w:rPr>
          <w:i/>
          <w:iCs/>
          <w:sz w:val="20"/>
          <w:u w:val="single"/>
        </w:rPr>
        <w:t>se ha partido de programar la instalación de medidores inteligentes individuales</w:t>
      </w:r>
      <w:r w:rsidRPr="00EA5F40">
        <w:rPr>
          <w:i/>
          <w:iCs/>
          <w:sz w:val="20"/>
        </w:rPr>
        <w:t>, con tecnología inalámbrica, con uso de concentradores donde aplique y modem con comunicación GSM.</w:t>
      </w:r>
    </w:p>
    <w:p w14:paraId="50810E24" w14:textId="7440E9D1" w:rsidR="00EA5F40" w:rsidRPr="00EA5F40" w:rsidRDefault="00EA5F40" w:rsidP="000C522D">
      <w:pPr>
        <w:pStyle w:val="Prrafodelista"/>
        <w:numPr>
          <w:ilvl w:val="0"/>
          <w:numId w:val="23"/>
        </w:numPr>
        <w:spacing w:before="60" w:after="60"/>
        <w:rPr>
          <w:i/>
          <w:iCs/>
          <w:sz w:val="20"/>
        </w:rPr>
      </w:pPr>
      <w:r w:rsidRPr="00EA5F40">
        <w:rPr>
          <w:i/>
          <w:iCs/>
          <w:sz w:val="20"/>
          <w:u w:val="single"/>
        </w:rPr>
        <w:t>La programación de los medidores inteligentes</w:t>
      </w:r>
      <w:r w:rsidRPr="00EA5F40">
        <w:rPr>
          <w:i/>
          <w:iCs/>
          <w:sz w:val="20"/>
        </w:rPr>
        <w:t xml:space="preserve"> se hará iniciando con los clientes de mayores consumos a menores consumos.</w:t>
      </w:r>
    </w:p>
    <w:p w14:paraId="0208688D" w14:textId="17429C7D" w:rsidR="00EA5F40" w:rsidRPr="00EA5F40" w:rsidRDefault="00EA5F40" w:rsidP="000C522D">
      <w:pPr>
        <w:pStyle w:val="Prrafodelista"/>
        <w:numPr>
          <w:ilvl w:val="0"/>
          <w:numId w:val="23"/>
        </w:numPr>
        <w:spacing w:before="60" w:after="60"/>
        <w:rPr>
          <w:i/>
          <w:iCs/>
          <w:sz w:val="20"/>
        </w:rPr>
      </w:pPr>
      <w:r w:rsidRPr="00EA5F40">
        <w:rPr>
          <w:i/>
          <w:iCs/>
          <w:sz w:val="20"/>
        </w:rPr>
        <w:t>Se iniciará con las tarifas industriales, comerciales, oficiales y residenciales</w:t>
      </w:r>
    </w:p>
    <w:p w14:paraId="08662A8F" w14:textId="4353DEB9" w:rsidR="00EA5F40" w:rsidRDefault="00EA5F40" w:rsidP="000C522D">
      <w:pPr>
        <w:pStyle w:val="Prrafodelista"/>
        <w:numPr>
          <w:ilvl w:val="0"/>
          <w:numId w:val="23"/>
        </w:numPr>
        <w:spacing w:before="60" w:after="60"/>
        <w:rPr>
          <w:i/>
          <w:iCs/>
          <w:sz w:val="20"/>
        </w:rPr>
      </w:pPr>
      <w:r w:rsidRPr="00EA5F40">
        <w:rPr>
          <w:i/>
          <w:iCs/>
          <w:sz w:val="20"/>
          <w:u w:val="single"/>
        </w:rPr>
        <w:t>Se utilizará medición individual</w:t>
      </w:r>
      <w:r w:rsidRPr="00EA5F40">
        <w:rPr>
          <w:i/>
          <w:iCs/>
          <w:sz w:val="20"/>
        </w:rPr>
        <w:t>, con comunicación inalámbrica. Antes de iniciar se hará una planificación para ubicar geográficamente todos los clientes. De ser posible se deberá utilizar un concentrador que recoja información vía inalámbrica, de varios clientes, y luego esta información sea despachada al CCM, vía conexión inalámbrica o mediante servicio GSM, en forma programada y a voluntad. Solo se hará una comunicación diaria, una vez cuente con la información de las 24 horas anteriores. Esta lectura se podrá adelantar en casos de alarmas o peticiones a voluntad.</w:t>
      </w:r>
      <w:r w:rsidR="00FB2CA8">
        <w:rPr>
          <w:i/>
          <w:iCs/>
          <w:sz w:val="20"/>
        </w:rPr>
        <w:t xml:space="preserve"> (…)</w:t>
      </w:r>
    </w:p>
    <w:p w14:paraId="15604489" w14:textId="6C5809F3" w:rsidR="00EA5F40" w:rsidRPr="00EA5F40" w:rsidRDefault="00EA5F40" w:rsidP="000C522D">
      <w:pPr>
        <w:spacing w:before="60" w:after="60"/>
        <w:ind w:left="425"/>
        <w:rPr>
          <w:b/>
          <w:bCs/>
          <w:i/>
          <w:iCs/>
          <w:sz w:val="20"/>
        </w:rPr>
      </w:pPr>
      <w:r w:rsidRPr="00EA5F40">
        <w:rPr>
          <w:b/>
          <w:bCs/>
          <w:i/>
          <w:iCs/>
          <w:sz w:val="20"/>
        </w:rPr>
        <w:t>6.3.4 Instalación de medición inteligente en clientes especiales</w:t>
      </w:r>
    </w:p>
    <w:p w14:paraId="2931ED13" w14:textId="77777777" w:rsidR="00EA5F40" w:rsidRPr="00EA5F40" w:rsidRDefault="00EA5F40" w:rsidP="000C522D">
      <w:pPr>
        <w:spacing w:before="60" w:after="60"/>
        <w:ind w:left="425"/>
        <w:rPr>
          <w:i/>
          <w:iCs/>
          <w:sz w:val="20"/>
        </w:rPr>
      </w:pPr>
      <w:r w:rsidRPr="00EA5F40">
        <w:rPr>
          <w:b/>
          <w:bCs/>
          <w:i/>
          <w:iCs/>
          <w:sz w:val="20"/>
        </w:rPr>
        <w:t>OBJETIVO:</w:t>
      </w:r>
      <w:r w:rsidRPr="00EA5F40">
        <w:rPr>
          <w:i/>
          <w:iCs/>
          <w:sz w:val="20"/>
        </w:rPr>
        <w:t xml:space="preserve"> </w:t>
      </w:r>
      <w:r w:rsidRPr="00EA5F40">
        <w:rPr>
          <w:i/>
          <w:iCs/>
          <w:sz w:val="20"/>
          <w:u w:val="single"/>
        </w:rPr>
        <w:t>Instalación de la medición inteligente en clientes que hayan presentado una irregularidad</w:t>
      </w:r>
      <w:r w:rsidRPr="00EA5F40">
        <w:rPr>
          <w:i/>
          <w:iCs/>
          <w:sz w:val="20"/>
        </w:rPr>
        <w:t xml:space="preserve"> (medición fraudulenta o anormal), morosidad recurrente, alta probabilidad de defraudación de fluido.</w:t>
      </w:r>
    </w:p>
    <w:p w14:paraId="7B60B94E" w14:textId="77777777" w:rsidR="00EA5F40" w:rsidRPr="00EA5F40" w:rsidRDefault="00EA5F40" w:rsidP="000C522D">
      <w:pPr>
        <w:spacing w:before="60" w:after="60"/>
        <w:ind w:left="425"/>
        <w:rPr>
          <w:b/>
          <w:bCs/>
          <w:i/>
          <w:iCs/>
          <w:sz w:val="20"/>
        </w:rPr>
      </w:pPr>
      <w:r w:rsidRPr="00EA5F40">
        <w:rPr>
          <w:b/>
          <w:bCs/>
          <w:i/>
          <w:iCs/>
          <w:sz w:val="20"/>
        </w:rPr>
        <w:t>ALCANCE:</w:t>
      </w:r>
    </w:p>
    <w:p w14:paraId="7952C311" w14:textId="2E2D359C" w:rsidR="00EA5F40" w:rsidRDefault="00EA5F40" w:rsidP="000C522D">
      <w:pPr>
        <w:spacing w:before="60" w:after="60"/>
        <w:ind w:left="425"/>
        <w:rPr>
          <w:i/>
          <w:iCs/>
          <w:sz w:val="20"/>
        </w:rPr>
      </w:pPr>
      <w:r w:rsidRPr="00EA5F40">
        <w:rPr>
          <w:i/>
          <w:iCs/>
          <w:sz w:val="20"/>
          <w:u w:val="single"/>
        </w:rPr>
        <w:t>Instalación de medidor inteligente</w:t>
      </w:r>
      <w:r w:rsidRPr="00EA5F40">
        <w:rPr>
          <w:i/>
          <w:iCs/>
          <w:sz w:val="20"/>
        </w:rPr>
        <w:t xml:space="preserve"> a los siguientes clientes:</w:t>
      </w:r>
    </w:p>
    <w:p w14:paraId="1173000E" w14:textId="77777777" w:rsidR="00EA5F40" w:rsidRPr="00EA5F40" w:rsidRDefault="00EA5F40" w:rsidP="000C522D">
      <w:pPr>
        <w:spacing w:before="60" w:after="60"/>
        <w:ind w:left="425"/>
        <w:rPr>
          <w:i/>
          <w:iCs/>
          <w:sz w:val="20"/>
        </w:rPr>
      </w:pPr>
      <w:r w:rsidRPr="00EA5F40">
        <w:rPr>
          <w:i/>
          <w:iCs/>
          <w:sz w:val="20"/>
        </w:rPr>
        <w:t>Todo cliente, de cualquier tarifa, residencial y no residencial de medida directa, que haya presentado una irregularidad en los últimos cinco (5) años.</w:t>
      </w:r>
    </w:p>
    <w:p w14:paraId="03D5D1A9" w14:textId="2C200834" w:rsidR="00EA5F40" w:rsidRPr="00EA5F40" w:rsidRDefault="00EA5F40" w:rsidP="000C522D">
      <w:pPr>
        <w:pStyle w:val="Prrafodelista"/>
        <w:numPr>
          <w:ilvl w:val="0"/>
          <w:numId w:val="24"/>
        </w:numPr>
        <w:spacing w:before="60" w:after="60"/>
        <w:rPr>
          <w:i/>
          <w:iCs/>
          <w:sz w:val="20"/>
        </w:rPr>
      </w:pPr>
      <w:r w:rsidRPr="00EA5F40">
        <w:rPr>
          <w:i/>
          <w:iCs/>
          <w:sz w:val="20"/>
        </w:rPr>
        <w:t>Todo cliente de cualquier tarifa, que por su condición de uso del predio y ubicación socioeconómica y mediante inspección física, tenga probabilidad de presentar una irregularidad en la medida y/o en la instalación.</w:t>
      </w:r>
    </w:p>
    <w:p w14:paraId="3CD8F931" w14:textId="63E7755A" w:rsidR="00EA5F40" w:rsidRPr="00EA5F40" w:rsidRDefault="00EA5F40" w:rsidP="000C522D">
      <w:pPr>
        <w:pStyle w:val="Prrafodelista"/>
        <w:numPr>
          <w:ilvl w:val="0"/>
          <w:numId w:val="24"/>
        </w:numPr>
        <w:spacing w:before="60" w:after="60"/>
        <w:rPr>
          <w:i/>
          <w:iCs/>
          <w:sz w:val="20"/>
        </w:rPr>
      </w:pPr>
      <w:r w:rsidRPr="00EA5F40">
        <w:rPr>
          <w:i/>
          <w:iCs/>
          <w:sz w:val="20"/>
        </w:rPr>
        <w:t>Todo cliente que presente morosidad superior a tres (3) meses, y sea de un consumo probable mayor a 100 kWh.</w:t>
      </w:r>
    </w:p>
    <w:p w14:paraId="6C456C38" w14:textId="73448FD1" w:rsidR="00460C2D" w:rsidRPr="001916F7" w:rsidRDefault="00EA5F40" w:rsidP="000C522D">
      <w:pPr>
        <w:pStyle w:val="Prrafodelista"/>
        <w:numPr>
          <w:ilvl w:val="0"/>
          <w:numId w:val="24"/>
        </w:numPr>
        <w:spacing w:before="60" w:after="60"/>
        <w:rPr>
          <w:b/>
          <w:bCs/>
          <w:i/>
          <w:iCs/>
          <w:sz w:val="20"/>
        </w:rPr>
      </w:pPr>
      <w:r w:rsidRPr="00EA5F40">
        <w:rPr>
          <w:i/>
          <w:iCs/>
          <w:sz w:val="20"/>
        </w:rPr>
        <w:t xml:space="preserve">Todo cliente que presente morosidad y esté dispuesto a cancelar su cartera morosa </w:t>
      </w:r>
      <w:r w:rsidRPr="00460C2D">
        <w:rPr>
          <w:i/>
          <w:iCs/>
          <w:sz w:val="20"/>
          <w:u w:val="single"/>
        </w:rPr>
        <w:t>y acepte la instalación de medición inteligente</w:t>
      </w:r>
      <w:r w:rsidRPr="00EA5F40">
        <w:rPr>
          <w:i/>
          <w:iCs/>
          <w:sz w:val="20"/>
        </w:rPr>
        <w:t xml:space="preserve"> con prepago (opcional hasta que EMCARTAGO adapte su sistema comercial a esta tecnología).</w:t>
      </w:r>
      <w:r w:rsidR="001916F7">
        <w:rPr>
          <w:i/>
          <w:iCs/>
          <w:sz w:val="20"/>
        </w:rPr>
        <w:t xml:space="preserve"> </w:t>
      </w:r>
      <w:r w:rsidR="00460C2D" w:rsidRPr="001916F7">
        <w:rPr>
          <w:b/>
          <w:bCs/>
          <w:i/>
          <w:iCs/>
          <w:sz w:val="20"/>
        </w:rPr>
        <w:t>Subrayado fuera de texto.</w:t>
      </w:r>
    </w:p>
    <w:p w14:paraId="01573A2E" w14:textId="0BEE4CE4" w:rsidR="002C04F0" w:rsidRDefault="00FB2CA8" w:rsidP="002C04F0">
      <w:r>
        <w:t>De otra parte, e</w:t>
      </w:r>
      <w:r w:rsidR="00460C2D">
        <w:t xml:space="preserve">n el archivo </w:t>
      </w:r>
      <w:r w:rsidR="003B3CE0" w:rsidRPr="002C04F0">
        <w:rPr>
          <w:i/>
          <w:iCs/>
        </w:rPr>
        <w:t>Anexo 1 Base Datos Plan de Pérdidas.xls</w:t>
      </w:r>
      <w:r w:rsidR="003B3CE0">
        <w:t xml:space="preserve">, </w:t>
      </w:r>
      <w:r w:rsidR="002C04F0">
        <w:t xml:space="preserve">reportado por el OR en la solicitud de aprobación de ingresos, se identifica que los principales elementos </w:t>
      </w:r>
      <w:r>
        <w:t xml:space="preserve">de estos proyectos tienen </w:t>
      </w:r>
      <w:r w:rsidR="002C04F0">
        <w:t xml:space="preserve">las siguientes descripciones </w:t>
      </w:r>
      <w:r w:rsidR="002C04F0" w:rsidRPr="002C04F0">
        <w:rPr>
          <w:i/>
          <w:iCs/>
        </w:rPr>
        <w:t>Medidor monofásico</w:t>
      </w:r>
      <w:r w:rsidR="002C04F0">
        <w:rPr>
          <w:i/>
          <w:iCs/>
        </w:rPr>
        <w:t>/trifásico</w:t>
      </w:r>
      <w:r w:rsidR="002C04F0" w:rsidRPr="002C04F0">
        <w:rPr>
          <w:i/>
          <w:iCs/>
        </w:rPr>
        <w:t xml:space="preserve"> electrónico antifraude Clase 1 (Sistema AMI) y Sistema AMI (Incluye comunicación, concentrador, accesorios)</w:t>
      </w:r>
      <w:r w:rsidR="002C04F0">
        <w:t>.</w:t>
      </w:r>
    </w:p>
    <w:p w14:paraId="02F4C078" w14:textId="224C53B7" w:rsidR="005C36C6" w:rsidRDefault="00A7111B" w:rsidP="002C04F0">
      <w:r>
        <w:t>E</w:t>
      </w:r>
      <w:r w:rsidR="002C04F0">
        <w:t xml:space="preserve">l OR justifica su solicitud </w:t>
      </w:r>
      <w:r w:rsidR="00E92D2E">
        <w:t xml:space="preserve">señalando </w:t>
      </w:r>
      <w:r w:rsidR="002C04F0">
        <w:t>que</w:t>
      </w:r>
      <w:r w:rsidR="000C522D">
        <w:t>,</w:t>
      </w:r>
      <w:r w:rsidR="002C04F0">
        <w:t xml:space="preserve"> por un error involuntario</w:t>
      </w:r>
      <w:r w:rsidR="000C522D">
        <w:t>,</w:t>
      </w:r>
      <w:r w:rsidR="002C04F0">
        <w:t xml:space="preserve"> se </w:t>
      </w:r>
      <w:r w:rsidR="00E92D2E">
        <w:t>diligenció mal el nombre en las actividades</w:t>
      </w:r>
      <w:r w:rsidR="000C522D">
        <w:t>,</w:t>
      </w:r>
      <w:r w:rsidR="00E92D2E">
        <w:t xml:space="preserve"> y que estas corresponden a sistemas de medición centralizada y no a proyectos de infraestructura de medición avanzada, AMI, </w:t>
      </w:r>
      <w:r>
        <w:t xml:space="preserve">sin aportar </w:t>
      </w:r>
      <w:r w:rsidR="00E92D2E">
        <w:t xml:space="preserve">información adicional que permita </w:t>
      </w:r>
      <w:r>
        <w:t>confirmar lo señalado</w:t>
      </w:r>
      <w:r w:rsidR="00FB2CA8">
        <w:t xml:space="preserve">. </w:t>
      </w:r>
    </w:p>
    <w:p w14:paraId="3034C980" w14:textId="2C9813A8" w:rsidR="00E92D2E" w:rsidRDefault="005C36C6" w:rsidP="002C04F0">
      <w:r>
        <w:t>E</w:t>
      </w:r>
      <w:r w:rsidR="003B7A86">
        <w:t xml:space="preserve">n </w:t>
      </w:r>
      <w:r w:rsidR="00E92D2E">
        <w:t xml:space="preserve">la </w:t>
      </w:r>
      <w:r w:rsidR="00A7111B">
        <w:t xml:space="preserve">revisión de la </w:t>
      </w:r>
      <w:r w:rsidR="00E92D2E">
        <w:t xml:space="preserve">información suministrada durante la actuación administrativa se encuentra </w:t>
      </w:r>
      <w:r w:rsidR="00A7111B">
        <w:t xml:space="preserve">en los diferentes archivos y documentos que </w:t>
      </w:r>
      <w:r w:rsidR="00E92D2E">
        <w:t xml:space="preserve">los proyectos señalados en el recurso </w:t>
      </w:r>
      <w:r>
        <w:t>corresponden a sistemas AMI</w:t>
      </w:r>
      <w:r w:rsidR="003B7A86">
        <w:t xml:space="preserve">. </w:t>
      </w:r>
    </w:p>
    <w:p w14:paraId="64F20930" w14:textId="754C29B2" w:rsidR="00E92D2E" w:rsidRDefault="00A7111B" w:rsidP="002C04F0">
      <w:r>
        <w:t>Con base en lo anterior, se considera que los proyectos justificados como proyectos AMI no deben ser incluidos en el programa de reducción de pérdidas y</w:t>
      </w:r>
      <w:r w:rsidR="000C522D">
        <w:t>,</w:t>
      </w:r>
      <w:r>
        <w:t xml:space="preserve"> por tanto</w:t>
      </w:r>
      <w:r w:rsidR="000C522D">
        <w:t>,</w:t>
      </w:r>
      <w:r>
        <w:t xml:space="preserve"> no </w:t>
      </w:r>
      <w:r w:rsidR="005C36C6">
        <w:t xml:space="preserve">se </w:t>
      </w:r>
      <w:r>
        <w:t>accede a la pretensión del recurso en este punto.</w:t>
      </w:r>
    </w:p>
    <w:p w14:paraId="37BF867D" w14:textId="31721347" w:rsidR="000F4223" w:rsidRDefault="00A7111B" w:rsidP="0023598E">
      <w:r>
        <w:t>Finalmente, e</w:t>
      </w:r>
      <w:r w:rsidR="009D02EA">
        <w:t>l OR señala lo siguiente:</w:t>
      </w:r>
    </w:p>
    <w:p w14:paraId="197EA360" w14:textId="77777777" w:rsidR="009D02EA" w:rsidRPr="005C36C6" w:rsidRDefault="009D02EA" w:rsidP="000C522D">
      <w:pPr>
        <w:ind w:left="284"/>
        <w:rPr>
          <w:i/>
          <w:iCs/>
          <w:sz w:val="20"/>
          <w:szCs w:val="20"/>
        </w:rPr>
      </w:pPr>
      <w:r w:rsidRPr="005C36C6">
        <w:rPr>
          <w:i/>
          <w:iCs/>
          <w:sz w:val="20"/>
          <w:szCs w:val="20"/>
        </w:rPr>
        <w:t>Sumado a esto, se solicita al regulador tener en cuenta las inversiones en Equipos de medida en transformadores de distribución (Macromedidores), Medidores en el arranque de todas las Líneas, Equipos de Medida en los puntos de entrada de cada nivel de tensión. Se relaciona detalle</w:t>
      </w:r>
    </w:p>
    <w:p w14:paraId="3C216463" w14:textId="0E4353FE" w:rsidR="006F51FB" w:rsidRDefault="006F51FB" w:rsidP="0023598E">
      <w:r>
        <w:t>En relación con esta solicitud</w:t>
      </w:r>
      <w:r w:rsidR="000C522D">
        <w:t>,</w:t>
      </w:r>
      <w:r>
        <w:t xml:space="preserve"> se indica que en el valor reconocido en la Resolución CREG 019 de 2020 se excluyeron únicamente los proyectos del numeral anterior, relacionados con sistemas AMI</w:t>
      </w:r>
      <w:r w:rsidR="005C36C6">
        <w:t>, es decir</w:t>
      </w:r>
      <w:r w:rsidR="000C522D">
        <w:t>,</w:t>
      </w:r>
      <w:r w:rsidR="005C36C6">
        <w:t xml:space="preserve"> los demás proyectos se encuentran incluidos</w:t>
      </w:r>
      <w:r>
        <w:t>.</w:t>
      </w:r>
    </w:p>
    <w:p w14:paraId="032FF15C" w14:textId="47F9F29E" w:rsidR="009C51C4" w:rsidRDefault="006F51FB" w:rsidP="0023598E">
      <w:r>
        <w:t xml:space="preserve">En la información reportada en la tabla 55 del documento </w:t>
      </w:r>
      <w:r>
        <w:rPr>
          <w:i/>
          <w:iCs/>
        </w:rPr>
        <w:t>Pl</w:t>
      </w:r>
      <w:r w:rsidRPr="00B24CD2">
        <w:rPr>
          <w:i/>
          <w:iCs/>
        </w:rPr>
        <w:t xml:space="preserve">an de reducción de pérdidas no técnicas de energía de EMCARTAGO E.S.P. asociado a la solicitud de cargos del SDL de acuerdo a los lineamientos de la resolución CREG 015 de 2018, la </w:t>
      </w:r>
      <w:r>
        <w:rPr>
          <w:i/>
          <w:iCs/>
        </w:rPr>
        <w:t>C</w:t>
      </w:r>
      <w:r w:rsidRPr="00B24CD2">
        <w:rPr>
          <w:i/>
          <w:iCs/>
        </w:rPr>
        <w:t>ircular 029 de 2018 y la resolución CREG 085 de 2018</w:t>
      </w:r>
      <w:r>
        <w:rPr>
          <w:i/>
          <w:iCs/>
        </w:rPr>
        <w:t xml:space="preserve"> - P</w:t>
      </w:r>
      <w:r w:rsidRPr="00EA5F40">
        <w:rPr>
          <w:i/>
          <w:iCs/>
        </w:rPr>
        <w:t>lan de reducción de pérdidas no técnica</w:t>
      </w:r>
      <w:r>
        <w:rPr>
          <w:i/>
          <w:iCs/>
        </w:rPr>
        <w:t xml:space="preserve">s </w:t>
      </w:r>
      <w:r>
        <w:t>el OR indica que el valor de activos de uso corresponde a 3.445 millones de pesos</w:t>
      </w:r>
      <w:r w:rsidR="000C522D">
        <w:t>,</w:t>
      </w:r>
      <w:r>
        <w:t xml:space="preserve"> y el de los activos no clasificables como UC es de 8.054 millones de pesos, para un total de 11.499 millones de pesos. Del valor correspondiente a activos no clasificables como UC se descontó el valor de los proyectos AMI, cuyo valor es de 6.532 millones de pesos, por lo cual, el valor reconocido es 1.522 millones.</w:t>
      </w:r>
    </w:p>
    <w:p w14:paraId="58FC57C4" w14:textId="19908685" w:rsidR="006F51FB" w:rsidRDefault="005C36C6" w:rsidP="006F51FB">
      <w:r>
        <w:t xml:space="preserve">Se reitera que </w:t>
      </w:r>
      <w:r w:rsidR="006F51FB">
        <w:t xml:space="preserve">las inversiones solicitadas en el programa de reducción de pérdidas, con excepción de los proyectos AMI, se encuentran incluidas en la variable </w:t>
      </w:r>
      <w:r w:rsidR="006F51FB" w:rsidRPr="006F51FB">
        <w:rPr>
          <w:i/>
          <w:iCs/>
        </w:rPr>
        <w:t>INVUC</w:t>
      </w:r>
      <w:r w:rsidR="006F51FB">
        <w:t>, tal como se observa en el archivo entregado al OR</w:t>
      </w:r>
      <w:r w:rsidR="00B05633">
        <w:t xml:space="preserve"> </w:t>
      </w:r>
      <w:r w:rsidR="00B05633" w:rsidRPr="00B05633">
        <w:rPr>
          <w:i/>
          <w:iCs/>
        </w:rPr>
        <w:t>Calculo ingresos D Cartago.xls</w:t>
      </w:r>
      <w:r w:rsidR="00B05633">
        <w:rPr>
          <w:i/>
          <w:iCs/>
        </w:rPr>
        <w:t xml:space="preserve"> - </w:t>
      </w:r>
      <w:r w:rsidR="006F51FB">
        <w:t xml:space="preserve">hoja de cálculo </w:t>
      </w:r>
      <w:r w:rsidR="006F51FB" w:rsidRPr="00B05633">
        <w:rPr>
          <w:i/>
          <w:iCs/>
        </w:rPr>
        <w:t>Cartago</w:t>
      </w:r>
      <w:r w:rsidR="006F51FB">
        <w:t xml:space="preserve"> </w:t>
      </w:r>
      <w:r w:rsidR="00B05633">
        <w:t>- celda B:641.</w:t>
      </w:r>
    </w:p>
    <w:p w14:paraId="227B9602" w14:textId="61369245" w:rsidR="005C36C6" w:rsidRDefault="005C36C6" w:rsidP="005C36C6">
      <w:r>
        <w:t>Con base en la información aportada por el OR en el recurso de reposición y los análisis realizados, la Comisión no encuentra razones para modificar la Resolución CREG 019 de 2020.</w:t>
      </w:r>
    </w:p>
    <w:p w14:paraId="47644FEE" w14:textId="5516BCCC"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7B3A0E">
        <w:rPr>
          <w:spacing w:val="-3"/>
        </w:rPr>
        <w:t>1020</w:t>
      </w:r>
      <w:r w:rsidR="00366AC7">
        <w:rPr>
          <w:spacing w:val="-3"/>
        </w:rPr>
        <w:t xml:space="preserve"> del </w:t>
      </w:r>
      <w:r w:rsidR="007B3A0E">
        <w:rPr>
          <w:spacing w:val="-3"/>
        </w:rPr>
        <w:t>18</w:t>
      </w:r>
      <w:r w:rsidR="006259EB">
        <w:rPr>
          <w:spacing w:val="-3"/>
        </w:rPr>
        <w:t xml:space="preserve"> </w:t>
      </w:r>
      <w:r w:rsidR="002A7D62" w:rsidRPr="00BF69C9">
        <w:rPr>
          <w:spacing w:val="-3"/>
        </w:rPr>
        <w:t xml:space="preserve">de </w:t>
      </w:r>
      <w:r w:rsidR="008F63A8">
        <w:rPr>
          <w:spacing w:val="-3"/>
        </w:rPr>
        <w:t xml:space="preserve">junio </w:t>
      </w:r>
      <w:r w:rsidR="002A7D62" w:rsidRPr="00BF69C9">
        <w:rPr>
          <w:spacing w:val="-3"/>
        </w:rPr>
        <w:t>de 20</w:t>
      </w:r>
      <w:r w:rsidR="0092537D">
        <w:rPr>
          <w:spacing w:val="-3"/>
        </w:rPr>
        <w:t>20</w:t>
      </w:r>
      <w:r w:rsidR="002A7D62" w:rsidRPr="00BF69C9">
        <w:rPr>
          <w:spacing w:val="-3"/>
        </w:rPr>
        <w:t xml:space="preserve">, acordó expedir esta resolución. </w:t>
      </w:r>
    </w:p>
    <w:p w14:paraId="6E5B4B14" w14:textId="77777777" w:rsidR="00595129" w:rsidRPr="0019345E" w:rsidRDefault="00595129" w:rsidP="006B5531">
      <w:pPr>
        <w:spacing w:before="480" w:after="480"/>
        <w:ind w:right="51"/>
        <w:jc w:val="center"/>
        <w:rPr>
          <w:b/>
        </w:rPr>
      </w:pPr>
      <w:r w:rsidRPr="0019345E">
        <w:rPr>
          <w:b/>
        </w:rPr>
        <w:t>RESUELVE:</w:t>
      </w:r>
    </w:p>
    <w:p w14:paraId="137CC772" w14:textId="1F8914F8" w:rsidR="0019345E" w:rsidRDefault="005C36C6" w:rsidP="001916F7">
      <w:pPr>
        <w:pStyle w:val="Artculo"/>
        <w:spacing w:before="120" w:after="120"/>
        <w:ind w:left="0"/>
        <w:outlineLvl w:val="2"/>
        <w:rPr>
          <w:b w:val="0"/>
        </w:rPr>
      </w:pPr>
      <w:r w:rsidRPr="006B1167">
        <w:rPr>
          <w:b w:val="0"/>
        </w:rPr>
        <w:t>No modificar</w:t>
      </w:r>
      <w:r>
        <w:t xml:space="preserve"> </w:t>
      </w:r>
      <w:r>
        <w:rPr>
          <w:b w:val="0"/>
        </w:rPr>
        <w:t xml:space="preserve">la Resolución CREG 019 de 2020 con base en el recurso de reposición interpuesto por </w:t>
      </w:r>
      <w:r w:rsidRPr="005C36C6">
        <w:rPr>
          <w:b w:val="0"/>
          <w:bCs/>
        </w:rPr>
        <w:t>Empresas Municipales de Cartago E.S.P.</w:t>
      </w:r>
      <w:r w:rsidRPr="006B1167">
        <w:rPr>
          <w:b w:val="0"/>
        </w:rPr>
        <w:t xml:space="preserve"> a </w:t>
      </w:r>
      <w:r>
        <w:rPr>
          <w:b w:val="0"/>
        </w:rPr>
        <w:t xml:space="preserve">la citada </w:t>
      </w:r>
      <w:r w:rsidRPr="006B1167">
        <w:rPr>
          <w:b w:val="0"/>
        </w:rPr>
        <w:t>resolución</w:t>
      </w:r>
      <w:r>
        <w:rPr>
          <w:b w:val="0"/>
        </w:rPr>
        <w:t>.</w:t>
      </w:r>
    </w:p>
    <w:p w14:paraId="4E4693B6" w14:textId="77777777" w:rsidR="00630DA7" w:rsidRPr="001916F7" w:rsidRDefault="00630DA7" w:rsidP="001916F7">
      <w:pPr>
        <w:pStyle w:val="Artculo"/>
        <w:spacing w:before="120" w:after="120"/>
        <w:ind w:left="0"/>
        <w:outlineLvl w:val="2"/>
        <w:rPr>
          <w:b w:val="0"/>
        </w:rPr>
      </w:pPr>
      <w:r w:rsidRPr="00630DA7">
        <w:rPr>
          <w:b w:val="0"/>
          <w:bCs/>
        </w:rPr>
        <w:t>Los incentivos por el desempeño de la calidad del servicio, pendientes de aplicar a la fecha de entrada en vigencia de la presente resolución,</w:t>
      </w:r>
      <w:r>
        <w:t xml:space="preserve"> </w:t>
      </w:r>
      <w:r w:rsidRPr="00630DA7">
        <w:rPr>
          <w:b w:val="0"/>
          <w:bCs/>
        </w:rPr>
        <w:t xml:space="preserve">se incluirán en el cargo por desempeño en la calidad del servicio, </w:t>
      </w:r>
      <w:r w:rsidRPr="00630DA7">
        <w:rPr>
          <w:b w:val="0"/>
          <w:bCs/>
          <w:i/>
          <w:iCs/>
        </w:rPr>
        <w:t>Dtcs</w:t>
      </w:r>
      <w:r w:rsidRPr="00630DA7">
        <w:rPr>
          <w:b w:val="0"/>
          <w:bCs/>
          <w:i/>
          <w:iCs/>
          <w:vertAlign w:val="subscript"/>
        </w:rPr>
        <w:t>n,j,m,t</w:t>
      </w:r>
      <w:r w:rsidRPr="00630DA7">
        <w:rPr>
          <w:b w:val="0"/>
          <w:bCs/>
        </w:rPr>
        <w:t>.</w:t>
      </w:r>
    </w:p>
    <w:p w14:paraId="049D8670" w14:textId="77777777" w:rsidR="00630DA7" w:rsidRDefault="00630DA7" w:rsidP="001916F7">
      <w:r>
        <w:t xml:space="preserve">Con este objetivo, desde el mes de inicio de aplicación de esta resolución y durante doce meses, al resultado de la fórmula definida en el numeral 1.1.5 del anexo general de la Resolución CREG 015 de 2018 se le adicionará el valor que resulte de dividir entre 12 la suma de los </w:t>
      </w:r>
      <w:r>
        <w:rPr>
          <w:i/>
          <w:iCs/>
        </w:rPr>
        <w:t>Dtcs</w:t>
      </w:r>
      <w:r>
        <w:rPr>
          <w:i/>
          <w:iCs/>
          <w:vertAlign w:val="subscript"/>
        </w:rPr>
        <w:t>n,j,m,t</w:t>
      </w:r>
      <w:r>
        <w:t xml:space="preserve"> correspondientes a los meses que transcurran entre el 31 de marzo de 2020 y el último día calendario del mes anterior al de inicio de aplicación de la presente resolución.</w:t>
      </w:r>
    </w:p>
    <w:p w14:paraId="56DD0E64" w14:textId="2049D57F" w:rsidR="00793FA6" w:rsidRPr="00630DA7" w:rsidRDefault="00F91043" w:rsidP="001916F7">
      <w:pPr>
        <w:pStyle w:val="Artculo"/>
        <w:spacing w:before="120" w:after="120"/>
        <w:ind w:left="0"/>
        <w:outlineLvl w:val="2"/>
        <w:rPr>
          <w:b w:val="0"/>
        </w:rPr>
      </w:pPr>
      <w:r w:rsidRPr="00630DA7">
        <w:rPr>
          <w:b w:val="0"/>
        </w:rPr>
        <w:t xml:space="preserve">La presente Resolución deberá notificarse a </w:t>
      </w:r>
      <w:r w:rsidR="005C36C6" w:rsidRPr="00630DA7">
        <w:rPr>
          <w:b w:val="0"/>
          <w:bCs/>
        </w:rPr>
        <w:t>Empresas Municipales de Cartago E.S.P.</w:t>
      </w:r>
      <w:r w:rsidRPr="00630DA7">
        <w:rPr>
          <w:b w:val="0"/>
        </w:rPr>
        <w:t xml:space="preserve"> y publicarse en el </w:t>
      </w:r>
      <w:r w:rsidRPr="00630DA7">
        <w:rPr>
          <w:b w:val="0"/>
          <w:i/>
        </w:rPr>
        <w:t>Diario Oficial</w:t>
      </w:r>
      <w:r w:rsidRPr="00630DA7">
        <w:rPr>
          <w:b w:val="0"/>
        </w:rPr>
        <w:t xml:space="preserve">. </w:t>
      </w:r>
      <w:r w:rsidR="00DB77DF" w:rsidRPr="00630DA7">
        <w:rPr>
          <w:b w:val="0"/>
        </w:rPr>
        <w:t xml:space="preserve">Contra lo dispuesto en este acto no procede </w:t>
      </w:r>
      <w:r w:rsidR="00DB77DF" w:rsidRPr="00630DA7">
        <w:rPr>
          <w:b w:val="0"/>
          <w:bCs/>
          <w:lang w:val="es-CO"/>
        </w:rPr>
        <w:t>recurso alguno, toda vez que se entienden agotados todos los recursos que por ley son obligatorios.</w:t>
      </w:r>
    </w:p>
    <w:p w14:paraId="509827C2" w14:textId="5B504651" w:rsidR="001067D3" w:rsidRPr="00BF69C9" w:rsidRDefault="00585CF8" w:rsidP="00C653BA">
      <w:pPr>
        <w:pStyle w:val="Artculo"/>
        <w:numPr>
          <w:ilvl w:val="0"/>
          <w:numId w:val="0"/>
        </w:numPr>
        <w:spacing w:before="480" w:after="480"/>
        <w:jc w:val="center"/>
        <w:rPr>
          <w:b w:val="0"/>
        </w:rPr>
      </w:pPr>
      <w:r>
        <w:t>NOTIF</w:t>
      </w:r>
      <w:r w:rsidR="00157B49">
        <w:t>Í</w:t>
      </w:r>
      <w:r>
        <w:t xml:space="preserve">QUESE, </w:t>
      </w:r>
      <w:r w:rsidR="001067D3" w:rsidRPr="00BF69C9">
        <w:t>PUBLÍQUESE Y CÚMPLASE</w:t>
      </w:r>
    </w:p>
    <w:p w14:paraId="6AA84D0C" w14:textId="6BD26FDB" w:rsidR="007C127E" w:rsidRPr="00BF69C9" w:rsidRDefault="003343FE" w:rsidP="007C127E">
      <w:r w:rsidRPr="00BF69C9">
        <w:t xml:space="preserve">Dado en Bogotá D.C., </w:t>
      </w:r>
      <w:r w:rsidR="007B3A0E" w:rsidRPr="007B3A0E">
        <w:rPr>
          <w:b/>
          <w:bCs/>
        </w:rPr>
        <w:t>18 JUN. 2020</w:t>
      </w:r>
    </w:p>
    <w:p w14:paraId="1315BF01" w14:textId="77777777" w:rsidR="003343FE" w:rsidRPr="00BF69C9" w:rsidRDefault="003343FE" w:rsidP="007C127E"/>
    <w:p w14:paraId="444D55B7" w14:textId="52BB9514" w:rsidR="00950BFC" w:rsidRDefault="00950BFC" w:rsidP="00950BFC"/>
    <w:p w14:paraId="0152F0E5" w14:textId="77777777" w:rsidR="00C653BA" w:rsidRPr="00BF69C9" w:rsidRDefault="00C653BA" w:rsidP="00950BFC"/>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950BFC" w:rsidRPr="00BF69C9" w14:paraId="0364671F" w14:textId="77777777" w:rsidTr="003D0D6B">
        <w:trPr>
          <w:tblCellSpacing w:w="0" w:type="dxa"/>
          <w:jc w:val="center"/>
        </w:trPr>
        <w:tc>
          <w:tcPr>
            <w:tcW w:w="5033" w:type="dxa"/>
          </w:tcPr>
          <w:p w14:paraId="65DE2AD7" w14:textId="77777777" w:rsidR="00950BFC" w:rsidRPr="00BF69C9" w:rsidRDefault="00950BFC" w:rsidP="00894B89">
            <w:pPr>
              <w:spacing w:before="0" w:after="0"/>
              <w:ind w:left="66"/>
              <w:jc w:val="center"/>
              <w:rPr>
                <w:rFonts w:cs="Arial"/>
                <w:b/>
              </w:rPr>
            </w:pPr>
            <w:r w:rsidRPr="00BF69C9">
              <w:rPr>
                <w:rFonts w:cs="Arial"/>
                <w:b/>
              </w:rPr>
              <w:t>DIEGO MESA PUYO</w:t>
            </w:r>
          </w:p>
        </w:tc>
        <w:tc>
          <w:tcPr>
            <w:tcW w:w="4606" w:type="dxa"/>
          </w:tcPr>
          <w:p w14:paraId="171E6063" w14:textId="3DBD619D" w:rsidR="00950BFC" w:rsidRPr="00BF69C9" w:rsidRDefault="00586135" w:rsidP="00DE7B7E">
            <w:pPr>
              <w:spacing w:before="0" w:after="0"/>
              <w:ind w:left="69"/>
              <w:jc w:val="center"/>
              <w:rPr>
                <w:rFonts w:cs="Arial"/>
                <w:b/>
              </w:rPr>
            </w:pPr>
            <w:r>
              <w:rPr>
                <w:rFonts w:cs="Arial"/>
                <w:b/>
              </w:rPr>
              <w:t xml:space="preserve">JORGE </w:t>
            </w:r>
            <w:r w:rsidR="003D0D6B">
              <w:rPr>
                <w:rFonts w:cs="Arial"/>
                <w:b/>
              </w:rPr>
              <w:t xml:space="preserve">ALBERTO </w:t>
            </w:r>
            <w:r>
              <w:rPr>
                <w:rFonts w:cs="Arial"/>
                <w:b/>
              </w:rPr>
              <w:t>VALENCIA MARÍN</w:t>
            </w:r>
          </w:p>
        </w:tc>
      </w:tr>
      <w:tr w:rsidR="00950BFC" w:rsidRPr="00BF69C9" w14:paraId="2768DC86" w14:textId="77777777" w:rsidTr="003D0D6B">
        <w:trPr>
          <w:tblCellSpacing w:w="0" w:type="dxa"/>
          <w:jc w:val="center"/>
        </w:trPr>
        <w:tc>
          <w:tcPr>
            <w:tcW w:w="5033" w:type="dxa"/>
            <w:hideMark/>
          </w:tcPr>
          <w:p w14:paraId="3DD4C9BB" w14:textId="77777777"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 la Ministra de Minas y Energía</w:t>
            </w:r>
          </w:p>
        </w:tc>
        <w:tc>
          <w:tcPr>
            <w:tcW w:w="4606" w:type="dxa"/>
            <w:hideMark/>
          </w:tcPr>
          <w:p w14:paraId="274BF0FD"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027EDF92" w14:textId="77777777" w:rsidTr="003D0D6B">
        <w:trPr>
          <w:tblCellSpacing w:w="0" w:type="dxa"/>
          <w:jc w:val="center"/>
        </w:trPr>
        <w:tc>
          <w:tcPr>
            <w:tcW w:w="5033"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06" w:type="dxa"/>
          </w:tcPr>
          <w:p w14:paraId="562C7484" w14:textId="77777777" w:rsidR="00950BFC" w:rsidRPr="00CF2A2D" w:rsidRDefault="00950BFC" w:rsidP="00894B89">
            <w:pPr>
              <w:spacing w:before="0" w:after="0"/>
              <w:jc w:val="center"/>
              <w:rPr>
                <w:rFonts w:eastAsia="Arial Unicode MS" w:cs="Arial"/>
                <w:color w:val="000000"/>
              </w:rPr>
            </w:pPr>
          </w:p>
        </w:tc>
      </w:tr>
    </w:tbl>
    <w:p w14:paraId="450E8A74" w14:textId="7EF69C6A" w:rsidR="00DB77DF" w:rsidRDefault="00DB77DF" w:rsidP="006B5531">
      <w:pPr>
        <w:ind w:left="2127" w:right="425" w:hanging="1418"/>
        <w:rPr>
          <w:i/>
        </w:rPr>
      </w:pPr>
    </w:p>
    <w:sectPr w:rsidR="00DB77DF" w:rsidSect="001916F7">
      <w:headerReference w:type="default" r:id="rId10"/>
      <w:headerReference w:type="first" r:id="rId11"/>
      <w:type w:val="continuous"/>
      <w:pgSz w:w="12242" w:h="18722" w:code="123"/>
      <w:pgMar w:top="240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99EF" w14:textId="77777777" w:rsidR="00EE29C0" w:rsidRDefault="00EE29C0">
      <w:r>
        <w:separator/>
      </w:r>
    </w:p>
    <w:p w14:paraId="6E835DB5" w14:textId="77777777" w:rsidR="00EE29C0" w:rsidRDefault="00EE29C0"/>
    <w:p w14:paraId="40AEDA92" w14:textId="77777777" w:rsidR="00EE29C0" w:rsidRDefault="00EE29C0" w:rsidP="00C851C0"/>
  </w:endnote>
  <w:endnote w:type="continuationSeparator" w:id="0">
    <w:p w14:paraId="2424CB1A" w14:textId="77777777" w:rsidR="00EE29C0" w:rsidRDefault="00EE29C0">
      <w:r>
        <w:continuationSeparator/>
      </w:r>
    </w:p>
    <w:p w14:paraId="32907359" w14:textId="77777777" w:rsidR="00EE29C0" w:rsidRDefault="00EE29C0"/>
    <w:p w14:paraId="6AA5DB12" w14:textId="77777777" w:rsidR="00EE29C0" w:rsidRDefault="00EE29C0"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ZLJOXI+Arial-BoldMT">
    <w:altName w:val="Arial"/>
    <w:panose1 w:val="00000000000000000000"/>
    <w:charset w:val="00"/>
    <w:family w:val="swiss"/>
    <w:notTrueType/>
    <w:pitch w:val="default"/>
    <w:sig w:usb0="00000003" w:usb1="00000000" w:usb2="00000000" w:usb3="00000000" w:csb0="00000001" w:csb1="00000000"/>
  </w:font>
  <w:font w:name="SPYGBT+Arial-BoldItalicMT">
    <w:altName w:val="Arial"/>
    <w:panose1 w:val="00000000000000000000"/>
    <w:charset w:val="00"/>
    <w:family w:val="swiss"/>
    <w:notTrueType/>
    <w:pitch w:val="default"/>
    <w:sig w:usb0="00000003" w:usb1="00000000" w:usb2="00000000" w:usb3="00000000" w:csb0="00000001" w:csb1="00000000"/>
  </w:font>
  <w:font w:name="MHGOYQ+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A2B8C" w14:textId="77777777" w:rsidR="00EE29C0" w:rsidRDefault="00EE29C0">
      <w:r>
        <w:separator/>
      </w:r>
    </w:p>
    <w:p w14:paraId="645576C5" w14:textId="77777777" w:rsidR="00EE29C0" w:rsidRDefault="00EE29C0"/>
    <w:p w14:paraId="3DBA4666" w14:textId="77777777" w:rsidR="00EE29C0" w:rsidRDefault="00EE29C0" w:rsidP="00C851C0"/>
  </w:footnote>
  <w:footnote w:type="continuationSeparator" w:id="0">
    <w:p w14:paraId="55FE2E69" w14:textId="77777777" w:rsidR="00EE29C0" w:rsidRDefault="00EE29C0">
      <w:r>
        <w:continuationSeparator/>
      </w:r>
    </w:p>
    <w:p w14:paraId="134746F7" w14:textId="77777777" w:rsidR="00EE29C0" w:rsidRDefault="00EE29C0"/>
    <w:p w14:paraId="307A3CE3" w14:textId="77777777" w:rsidR="00EE29C0" w:rsidRDefault="00EE29C0"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D277" w14:textId="6F541D76" w:rsidR="003B5A66" w:rsidRPr="002560C5" w:rsidRDefault="003B5A66" w:rsidP="007B3A0E">
    <w:pPr>
      <w:pStyle w:val="Ttulo1"/>
      <w:numPr>
        <w:ilvl w:val="0"/>
        <w:numId w:val="0"/>
      </w:numPr>
      <w:spacing w:after="0"/>
      <w:ind w:right="6"/>
      <w:jc w:val="left"/>
      <w:rPr>
        <w:rFonts w:cs="Arial"/>
        <w:b w:val="0"/>
        <w:sz w:val="22"/>
        <w:szCs w:val="22"/>
      </w:rPr>
    </w:pPr>
    <w:r w:rsidRPr="002560C5">
      <w:rPr>
        <w:rFonts w:cs="Arial"/>
        <w:b w:val="0"/>
        <w:sz w:val="22"/>
        <w:szCs w:val="22"/>
      </w:rPr>
      <w:t>RESOLUCIÓN No</w:t>
    </w:r>
    <w:r w:rsidRPr="007B3A0E">
      <w:rPr>
        <w:rFonts w:cs="Arial"/>
        <w:b w:val="0"/>
        <w:sz w:val="22"/>
        <w:szCs w:val="22"/>
        <w:u w:val="single"/>
      </w:rPr>
      <w:t>.</w:t>
    </w:r>
    <w:r w:rsidRPr="007B3A0E">
      <w:rPr>
        <w:rFonts w:cs="Arial"/>
        <w:bCs/>
        <w:szCs w:val="24"/>
        <w:u w:val="single"/>
      </w:rPr>
      <w:t xml:space="preserve">  </w:t>
    </w:r>
    <w:r w:rsidR="007B3A0E" w:rsidRPr="007B3A0E">
      <w:rPr>
        <w:rFonts w:cs="Arial"/>
        <w:bCs/>
        <w:szCs w:val="24"/>
        <w:u w:val="single"/>
      </w:rPr>
      <w:t>123</w:t>
    </w:r>
    <w:r w:rsidR="007B3A0E" w:rsidRPr="007B3A0E">
      <w:rPr>
        <w:rFonts w:cs="Arial"/>
        <w:b w:val="0"/>
        <w:sz w:val="22"/>
        <w:szCs w:val="22"/>
        <w:u w:val="single"/>
      </w:rPr>
      <w:t xml:space="preserve">    </w:t>
    </w:r>
    <w:r w:rsidRPr="002560C5">
      <w:rPr>
        <w:rFonts w:cs="Arial"/>
        <w:b w:val="0"/>
        <w:sz w:val="22"/>
        <w:szCs w:val="22"/>
      </w:rPr>
      <w:tab/>
      <w:t>DE</w:t>
    </w:r>
    <w:r w:rsidR="007B3A0E">
      <w:rPr>
        <w:rFonts w:cs="Arial"/>
        <w:b w:val="0"/>
        <w:sz w:val="22"/>
        <w:szCs w:val="22"/>
      </w:rPr>
      <w:t xml:space="preserve"> </w:t>
    </w:r>
    <w:r w:rsidRPr="002560C5">
      <w:rPr>
        <w:rFonts w:cs="Arial"/>
        <w:b w:val="0"/>
        <w:sz w:val="22"/>
        <w:szCs w:val="22"/>
      </w:rPr>
      <w:t xml:space="preserve"> </w:t>
    </w:r>
    <w:r w:rsidR="007B3A0E" w:rsidRPr="007B3A0E">
      <w:rPr>
        <w:rFonts w:cs="Arial"/>
        <w:bCs/>
        <w:szCs w:val="24"/>
        <w:u w:val="single"/>
      </w:rPr>
      <w:t>18 JUN. 2020</w:t>
    </w:r>
    <w:r w:rsidR="007B3A0E">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2</w:t>
    </w:r>
    <w:r w:rsidRPr="002560C5">
      <w:rPr>
        <w:rFonts w:cs="Arial"/>
        <w:b w:val="0"/>
        <w:sz w:val="22"/>
        <w:szCs w:val="22"/>
      </w:rPr>
      <w:fldChar w:fldCharType="end"/>
    </w:r>
    <w:r w:rsidRPr="002560C5">
      <w:rPr>
        <w:rFonts w:cs="Arial"/>
        <w:b w:val="0"/>
        <w:sz w:val="22"/>
        <w:szCs w:val="22"/>
      </w:rPr>
      <w:t>/</w:t>
    </w:r>
    <w:r w:rsidR="0036283B">
      <w:fldChar w:fldCharType="begin"/>
    </w:r>
    <w:r w:rsidR="0036283B">
      <w:instrText xml:space="preserve"> NUMPAGES  \* MERGEFORMAT </w:instrText>
    </w:r>
    <w:r w:rsidR="0036283B">
      <w:fldChar w:fldCharType="separate"/>
    </w:r>
    <w:r w:rsidRPr="005851B8">
      <w:rPr>
        <w:rFonts w:cs="Arial"/>
        <w:b w:val="0"/>
        <w:noProof/>
        <w:sz w:val="22"/>
        <w:szCs w:val="22"/>
      </w:rPr>
      <w:t>14</w:t>
    </w:r>
    <w:r w:rsidR="0036283B">
      <w:rPr>
        <w:rFonts w:cs="Arial"/>
        <w:b w:val="0"/>
        <w:noProof/>
        <w:sz w:val="22"/>
        <w:szCs w:val="22"/>
      </w:rPr>
      <w:fldChar w:fldCharType="end"/>
    </w:r>
  </w:p>
  <w:p w14:paraId="5EEBDD92" w14:textId="77777777" w:rsidR="003B5A66" w:rsidRDefault="003B5A66"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3BEB3D57">
              <wp:simplePos x="0" y="0"/>
              <wp:positionH relativeFrom="column">
                <wp:posOffset>-121285</wp:posOffset>
              </wp:positionH>
              <wp:positionV relativeFrom="paragraph">
                <wp:posOffset>141605</wp:posOffset>
              </wp:positionV>
              <wp:extent cx="6267450" cy="10160000"/>
              <wp:effectExtent l="0" t="0" r="19050" b="1270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60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DBBEC5E" id="Rectangle 1" o:spid="_x0000_s1026" style="position:absolute;margin-left:-9.55pt;margin-top:11.15pt;width:493.5pt;height:80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" filled="f" strokeweight="1.5pt"/>
          </w:pict>
        </mc:Fallback>
      </mc:AlternateContent>
    </w:r>
  </w:p>
  <w:p w14:paraId="19A008AD" w14:textId="0BB7C5E4" w:rsidR="003B5A66" w:rsidRPr="00F30572" w:rsidRDefault="003B5A66" w:rsidP="00C202E9">
    <w:pPr>
      <w:pBdr>
        <w:bottom w:val="single" w:sz="4" w:space="1" w:color="auto"/>
      </w:pBdr>
      <w:rPr>
        <w:sz w:val="22"/>
        <w:szCs w:val="22"/>
      </w:rPr>
    </w:pPr>
    <w:r w:rsidRPr="006C7F6B">
      <w:rPr>
        <w:sz w:val="22"/>
        <w:szCs w:val="22"/>
      </w:rPr>
      <w:t xml:space="preserve">Por la cual se resuelve el recurso de reposición interpuesto por </w:t>
    </w:r>
    <w:r w:rsidRPr="001F1310">
      <w:rPr>
        <w:sz w:val="22"/>
        <w:szCs w:val="22"/>
      </w:rPr>
      <w:t>Empresas Municipales de Cartago E.S.P.</w:t>
    </w:r>
    <w:r w:rsidRPr="006C7F6B">
      <w:rPr>
        <w:sz w:val="22"/>
        <w:szCs w:val="22"/>
      </w:rPr>
      <w:t xml:space="preserve"> contra la Resolución CREG </w:t>
    </w:r>
    <w:r>
      <w:rPr>
        <w:sz w:val="22"/>
        <w:szCs w:val="22"/>
      </w:rPr>
      <w:t xml:space="preserve">019 </w:t>
    </w:r>
    <w:r w:rsidRPr="006C7F6B">
      <w:rPr>
        <w:sz w:val="22"/>
        <w:szCs w:val="22"/>
      </w:rPr>
      <w:t>de 20</w:t>
    </w:r>
    <w:r>
      <w:rPr>
        <w:sz w:val="22"/>
        <w:szCs w:val="22"/>
      </w:rPr>
      <w:t>20</w:t>
    </w:r>
    <w:r w:rsidRPr="00C202E9">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2E89" w14:textId="77777777" w:rsidR="003B5A66" w:rsidRDefault="003B5A66"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3B5A66" w:rsidRDefault="003B5A66">
    <w:pPr>
      <w:pStyle w:val="Encabezado"/>
      <w:jc w:val="center"/>
      <w:rPr>
        <w:rFonts w:ascii="Arial" w:hAnsi="Arial" w:cs="Arial"/>
        <w:spacing w:val="20"/>
        <w:sz w:val="20"/>
      </w:rPr>
    </w:pPr>
  </w:p>
  <w:p w14:paraId="1A5CD802" w14:textId="77777777" w:rsidR="003B5A66" w:rsidRDefault="003B5A6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4C9A41E"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5" w15:restartNumberingAfterBreak="0">
    <w:nsid w:val="23C61820"/>
    <w:multiLevelType w:val="hybridMultilevel"/>
    <w:tmpl w:val="7974ED92"/>
    <w:lvl w:ilvl="0" w:tplc="03426490">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C8F2435"/>
    <w:multiLevelType w:val="hybridMultilevel"/>
    <w:tmpl w:val="7D7ED874"/>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9"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46D64F84"/>
    <w:multiLevelType w:val="hybridMultilevel"/>
    <w:tmpl w:val="D9C05648"/>
    <w:lvl w:ilvl="0" w:tplc="3D5EBB6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4C84179C"/>
    <w:multiLevelType w:val="hybridMultilevel"/>
    <w:tmpl w:val="26C82D44"/>
    <w:lvl w:ilvl="0" w:tplc="240A0019">
      <w:start w:val="1"/>
      <w:numFmt w:val="lowerLetter"/>
      <w:lvlText w:val="%1."/>
      <w:lvlJc w:val="left"/>
      <w:pPr>
        <w:ind w:left="2703" w:hanging="360"/>
      </w:pPr>
    </w:lvl>
    <w:lvl w:ilvl="1" w:tplc="240A0019" w:tentative="1">
      <w:start w:val="1"/>
      <w:numFmt w:val="lowerLetter"/>
      <w:lvlText w:val="%2."/>
      <w:lvlJc w:val="left"/>
      <w:pPr>
        <w:ind w:left="3423" w:hanging="360"/>
      </w:pPr>
    </w:lvl>
    <w:lvl w:ilvl="2" w:tplc="240A001B" w:tentative="1">
      <w:start w:val="1"/>
      <w:numFmt w:val="lowerRoman"/>
      <w:lvlText w:val="%3."/>
      <w:lvlJc w:val="right"/>
      <w:pPr>
        <w:ind w:left="4143" w:hanging="180"/>
      </w:pPr>
    </w:lvl>
    <w:lvl w:ilvl="3" w:tplc="240A000F" w:tentative="1">
      <w:start w:val="1"/>
      <w:numFmt w:val="decimal"/>
      <w:lvlText w:val="%4."/>
      <w:lvlJc w:val="left"/>
      <w:pPr>
        <w:ind w:left="4863" w:hanging="360"/>
      </w:pPr>
    </w:lvl>
    <w:lvl w:ilvl="4" w:tplc="240A0019" w:tentative="1">
      <w:start w:val="1"/>
      <w:numFmt w:val="lowerLetter"/>
      <w:lvlText w:val="%5."/>
      <w:lvlJc w:val="left"/>
      <w:pPr>
        <w:ind w:left="5583" w:hanging="360"/>
      </w:pPr>
    </w:lvl>
    <w:lvl w:ilvl="5" w:tplc="240A001B" w:tentative="1">
      <w:start w:val="1"/>
      <w:numFmt w:val="lowerRoman"/>
      <w:lvlText w:val="%6."/>
      <w:lvlJc w:val="right"/>
      <w:pPr>
        <w:ind w:left="6303" w:hanging="180"/>
      </w:pPr>
    </w:lvl>
    <w:lvl w:ilvl="6" w:tplc="240A000F" w:tentative="1">
      <w:start w:val="1"/>
      <w:numFmt w:val="decimal"/>
      <w:lvlText w:val="%7."/>
      <w:lvlJc w:val="left"/>
      <w:pPr>
        <w:ind w:left="7023" w:hanging="360"/>
      </w:pPr>
    </w:lvl>
    <w:lvl w:ilvl="7" w:tplc="240A0019" w:tentative="1">
      <w:start w:val="1"/>
      <w:numFmt w:val="lowerLetter"/>
      <w:lvlText w:val="%8."/>
      <w:lvlJc w:val="left"/>
      <w:pPr>
        <w:ind w:left="7743" w:hanging="360"/>
      </w:pPr>
    </w:lvl>
    <w:lvl w:ilvl="8" w:tplc="240A001B" w:tentative="1">
      <w:start w:val="1"/>
      <w:numFmt w:val="lowerRoman"/>
      <w:lvlText w:val="%9."/>
      <w:lvlJc w:val="right"/>
      <w:pPr>
        <w:ind w:left="8463" w:hanging="180"/>
      </w:pPr>
    </w:lvl>
  </w:abstractNum>
  <w:abstractNum w:abstractNumId="1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629210D"/>
    <w:multiLevelType w:val="hybridMultilevel"/>
    <w:tmpl w:val="7974ED92"/>
    <w:lvl w:ilvl="0" w:tplc="03426490">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4DF17D6"/>
    <w:multiLevelType w:val="hybridMultilevel"/>
    <w:tmpl w:val="45AC5AC6"/>
    <w:lvl w:ilvl="0" w:tplc="240A0005">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CE309A0"/>
    <w:multiLevelType w:val="hybridMultilevel"/>
    <w:tmpl w:val="7840D0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05C427A"/>
    <w:multiLevelType w:val="hybridMultilevel"/>
    <w:tmpl w:val="2952B7A4"/>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1" w15:restartNumberingAfterBreak="0">
    <w:nsid w:val="71E93AEF"/>
    <w:multiLevelType w:val="hybridMultilevel"/>
    <w:tmpl w:val="254E66D2"/>
    <w:lvl w:ilvl="0" w:tplc="240A0005">
      <w:start w:val="1"/>
      <w:numFmt w:val="bullet"/>
      <w:lvlText w:val=""/>
      <w:lvlJc w:val="left"/>
      <w:pPr>
        <w:ind w:left="437" w:hanging="360"/>
      </w:pPr>
      <w:rPr>
        <w:rFonts w:ascii="Wingdings" w:hAnsi="Wingdings" w:hint="default"/>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22" w15:restartNumberingAfterBreak="0">
    <w:nsid w:val="73334796"/>
    <w:multiLevelType w:val="hybridMultilevel"/>
    <w:tmpl w:val="38E6578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95514CC"/>
    <w:multiLevelType w:val="hybridMultilevel"/>
    <w:tmpl w:val="27A689A6"/>
    <w:lvl w:ilvl="0" w:tplc="240A0001">
      <w:start w:val="1"/>
      <w:numFmt w:val="bullet"/>
      <w:lvlText w:val=""/>
      <w:lvlJc w:val="left"/>
      <w:pPr>
        <w:ind w:left="1145" w:hanging="360"/>
      </w:pPr>
      <w:rPr>
        <w:rFonts w:ascii="Symbol" w:hAnsi="Symbol"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9"/>
  </w:num>
  <w:num w:numId="6">
    <w:abstractNumId w:val="9"/>
  </w:num>
  <w:num w:numId="7">
    <w:abstractNumId w:val="23"/>
  </w:num>
  <w:num w:numId="8">
    <w:abstractNumId w:val="11"/>
  </w:num>
  <w:num w:numId="9">
    <w:abstractNumId w:val="22"/>
  </w:num>
  <w:num w:numId="10">
    <w:abstractNumId w:val="2"/>
  </w:num>
  <w:num w:numId="11">
    <w:abstractNumId w:val="21"/>
  </w:num>
  <w:num w:numId="12">
    <w:abstractNumId w:val="12"/>
  </w:num>
  <w:num w:numId="13">
    <w:abstractNumId w:val="3"/>
  </w:num>
  <w:num w:numId="14">
    <w:abstractNumId w:val="18"/>
  </w:num>
  <w:num w:numId="15">
    <w:abstractNumId w:val="5"/>
  </w:num>
  <w:num w:numId="16">
    <w:abstractNumId w:val="19"/>
  </w:num>
  <w:num w:numId="17">
    <w:abstractNumId w:val="19"/>
  </w:num>
  <w:num w:numId="18">
    <w:abstractNumId w:val="6"/>
  </w:num>
  <w:num w:numId="19">
    <w:abstractNumId w:val="19"/>
  </w:num>
  <w:num w:numId="20">
    <w:abstractNumId w:val="14"/>
  </w:num>
  <w:num w:numId="21">
    <w:abstractNumId w:val="24"/>
  </w:num>
  <w:num w:numId="22">
    <w:abstractNumId w:val="16"/>
  </w:num>
  <w:num w:numId="23">
    <w:abstractNumId w:val="20"/>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5326"/>
    <w:rsid w:val="000055A9"/>
    <w:rsid w:val="000056FB"/>
    <w:rsid w:val="00006585"/>
    <w:rsid w:val="00006AE2"/>
    <w:rsid w:val="00006EF5"/>
    <w:rsid w:val="000076A1"/>
    <w:rsid w:val="0001209B"/>
    <w:rsid w:val="00012259"/>
    <w:rsid w:val="0001368F"/>
    <w:rsid w:val="00015F4C"/>
    <w:rsid w:val="00016B85"/>
    <w:rsid w:val="00016F42"/>
    <w:rsid w:val="00017396"/>
    <w:rsid w:val="000203BE"/>
    <w:rsid w:val="00020991"/>
    <w:rsid w:val="0002117B"/>
    <w:rsid w:val="00021AB8"/>
    <w:rsid w:val="00022832"/>
    <w:rsid w:val="00023841"/>
    <w:rsid w:val="00024B72"/>
    <w:rsid w:val="00024EEB"/>
    <w:rsid w:val="00025383"/>
    <w:rsid w:val="00025D05"/>
    <w:rsid w:val="000268D6"/>
    <w:rsid w:val="00027C0A"/>
    <w:rsid w:val="00027C0E"/>
    <w:rsid w:val="00032C8E"/>
    <w:rsid w:val="000338C8"/>
    <w:rsid w:val="00034669"/>
    <w:rsid w:val="00034F65"/>
    <w:rsid w:val="0003547A"/>
    <w:rsid w:val="0003562B"/>
    <w:rsid w:val="0003568E"/>
    <w:rsid w:val="000356FD"/>
    <w:rsid w:val="0003695A"/>
    <w:rsid w:val="00037C2F"/>
    <w:rsid w:val="00040250"/>
    <w:rsid w:val="00040DE8"/>
    <w:rsid w:val="00042A98"/>
    <w:rsid w:val="000432E2"/>
    <w:rsid w:val="000446EC"/>
    <w:rsid w:val="00045094"/>
    <w:rsid w:val="00045D3D"/>
    <w:rsid w:val="00046B5A"/>
    <w:rsid w:val="0005171B"/>
    <w:rsid w:val="00051D1F"/>
    <w:rsid w:val="000536E8"/>
    <w:rsid w:val="00053BE6"/>
    <w:rsid w:val="00055984"/>
    <w:rsid w:val="00056ECE"/>
    <w:rsid w:val="0005705F"/>
    <w:rsid w:val="0005740C"/>
    <w:rsid w:val="00063454"/>
    <w:rsid w:val="00063657"/>
    <w:rsid w:val="00064F07"/>
    <w:rsid w:val="000701D3"/>
    <w:rsid w:val="000703B1"/>
    <w:rsid w:val="0007409E"/>
    <w:rsid w:val="00076680"/>
    <w:rsid w:val="00076A1D"/>
    <w:rsid w:val="000771FB"/>
    <w:rsid w:val="0007724C"/>
    <w:rsid w:val="0008073E"/>
    <w:rsid w:val="000808A5"/>
    <w:rsid w:val="0008115D"/>
    <w:rsid w:val="00081335"/>
    <w:rsid w:val="000821D9"/>
    <w:rsid w:val="00082B34"/>
    <w:rsid w:val="00082FE9"/>
    <w:rsid w:val="000831AC"/>
    <w:rsid w:val="000837A5"/>
    <w:rsid w:val="00083AA8"/>
    <w:rsid w:val="00084F74"/>
    <w:rsid w:val="000857D1"/>
    <w:rsid w:val="00085C94"/>
    <w:rsid w:val="0008751B"/>
    <w:rsid w:val="0008776A"/>
    <w:rsid w:val="0009104E"/>
    <w:rsid w:val="0009196C"/>
    <w:rsid w:val="00091CDB"/>
    <w:rsid w:val="000931FF"/>
    <w:rsid w:val="000957BC"/>
    <w:rsid w:val="00095EA2"/>
    <w:rsid w:val="000A0B0B"/>
    <w:rsid w:val="000A1319"/>
    <w:rsid w:val="000A19AC"/>
    <w:rsid w:val="000A31B6"/>
    <w:rsid w:val="000A38CC"/>
    <w:rsid w:val="000B2EC9"/>
    <w:rsid w:val="000B3688"/>
    <w:rsid w:val="000B5566"/>
    <w:rsid w:val="000B65BD"/>
    <w:rsid w:val="000B7990"/>
    <w:rsid w:val="000C06AF"/>
    <w:rsid w:val="000C1519"/>
    <w:rsid w:val="000C1951"/>
    <w:rsid w:val="000C1DE0"/>
    <w:rsid w:val="000C23A9"/>
    <w:rsid w:val="000C266A"/>
    <w:rsid w:val="000C522D"/>
    <w:rsid w:val="000C5DF4"/>
    <w:rsid w:val="000C5F9C"/>
    <w:rsid w:val="000C64D6"/>
    <w:rsid w:val="000C6881"/>
    <w:rsid w:val="000C743D"/>
    <w:rsid w:val="000C784A"/>
    <w:rsid w:val="000D06CB"/>
    <w:rsid w:val="000D1E36"/>
    <w:rsid w:val="000D26F8"/>
    <w:rsid w:val="000D2A00"/>
    <w:rsid w:val="000D36AF"/>
    <w:rsid w:val="000D3884"/>
    <w:rsid w:val="000D3FC2"/>
    <w:rsid w:val="000D5201"/>
    <w:rsid w:val="000D5C79"/>
    <w:rsid w:val="000E1309"/>
    <w:rsid w:val="000E1C36"/>
    <w:rsid w:val="000E2A42"/>
    <w:rsid w:val="000E3D26"/>
    <w:rsid w:val="000E41DA"/>
    <w:rsid w:val="000E461D"/>
    <w:rsid w:val="000F30B5"/>
    <w:rsid w:val="000F3A75"/>
    <w:rsid w:val="000F4223"/>
    <w:rsid w:val="000F4463"/>
    <w:rsid w:val="000F47C4"/>
    <w:rsid w:val="000F5392"/>
    <w:rsid w:val="000F563E"/>
    <w:rsid w:val="000F68AA"/>
    <w:rsid w:val="000F69EC"/>
    <w:rsid w:val="000F7AE9"/>
    <w:rsid w:val="000F7C81"/>
    <w:rsid w:val="0010087D"/>
    <w:rsid w:val="0010101F"/>
    <w:rsid w:val="00101F35"/>
    <w:rsid w:val="0010333D"/>
    <w:rsid w:val="00105E02"/>
    <w:rsid w:val="0010658E"/>
    <w:rsid w:val="00106654"/>
    <w:rsid w:val="001067D3"/>
    <w:rsid w:val="00107BE0"/>
    <w:rsid w:val="001106AF"/>
    <w:rsid w:val="001129C7"/>
    <w:rsid w:val="00112F16"/>
    <w:rsid w:val="0011457A"/>
    <w:rsid w:val="001147FF"/>
    <w:rsid w:val="001167F7"/>
    <w:rsid w:val="001177E6"/>
    <w:rsid w:val="001264C4"/>
    <w:rsid w:val="00126763"/>
    <w:rsid w:val="00126B7F"/>
    <w:rsid w:val="0012783F"/>
    <w:rsid w:val="00130D85"/>
    <w:rsid w:val="00132FE3"/>
    <w:rsid w:val="001333FC"/>
    <w:rsid w:val="0013384D"/>
    <w:rsid w:val="001338E9"/>
    <w:rsid w:val="00133EC9"/>
    <w:rsid w:val="0013526C"/>
    <w:rsid w:val="00135C1F"/>
    <w:rsid w:val="00136F57"/>
    <w:rsid w:val="001405C6"/>
    <w:rsid w:val="0014064C"/>
    <w:rsid w:val="0014070B"/>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60A7"/>
    <w:rsid w:val="00157B49"/>
    <w:rsid w:val="00160BCF"/>
    <w:rsid w:val="00161084"/>
    <w:rsid w:val="00164E00"/>
    <w:rsid w:val="00166AA9"/>
    <w:rsid w:val="00166B53"/>
    <w:rsid w:val="001710F9"/>
    <w:rsid w:val="00171B59"/>
    <w:rsid w:val="001762DD"/>
    <w:rsid w:val="00177652"/>
    <w:rsid w:val="001778BC"/>
    <w:rsid w:val="00177CFC"/>
    <w:rsid w:val="00177D48"/>
    <w:rsid w:val="00177E96"/>
    <w:rsid w:val="0018241F"/>
    <w:rsid w:val="001827DF"/>
    <w:rsid w:val="00182E70"/>
    <w:rsid w:val="00184170"/>
    <w:rsid w:val="00185F79"/>
    <w:rsid w:val="001876F9"/>
    <w:rsid w:val="00190C2D"/>
    <w:rsid w:val="001916F7"/>
    <w:rsid w:val="00192CBF"/>
    <w:rsid w:val="00192FF1"/>
    <w:rsid w:val="0019345E"/>
    <w:rsid w:val="001943A1"/>
    <w:rsid w:val="00194947"/>
    <w:rsid w:val="001949D2"/>
    <w:rsid w:val="00194C52"/>
    <w:rsid w:val="0019667F"/>
    <w:rsid w:val="00196D8C"/>
    <w:rsid w:val="00197F32"/>
    <w:rsid w:val="001A0F6F"/>
    <w:rsid w:val="001A1422"/>
    <w:rsid w:val="001A2B6E"/>
    <w:rsid w:val="001A3643"/>
    <w:rsid w:val="001A39D5"/>
    <w:rsid w:val="001A3B32"/>
    <w:rsid w:val="001A42B8"/>
    <w:rsid w:val="001A44FC"/>
    <w:rsid w:val="001A5F1B"/>
    <w:rsid w:val="001A6488"/>
    <w:rsid w:val="001A7613"/>
    <w:rsid w:val="001B03F7"/>
    <w:rsid w:val="001B05A4"/>
    <w:rsid w:val="001B17F4"/>
    <w:rsid w:val="001B1C22"/>
    <w:rsid w:val="001B34C6"/>
    <w:rsid w:val="001C083E"/>
    <w:rsid w:val="001C0C42"/>
    <w:rsid w:val="001C2018"/>
    <w:rsid w:val="001C36F4"/>
    <w:rsid w:val="001C3877"/>
    <w:rsid w:val="001C4A3C"/>
    <w:rsid w:val="001D0772"/>
    <w:rsid w:val="001D2EA9"/>
    <w:rsid w:val="001D31E0"/>
    <w:rsid w:val="001D3333"/>
    <w:rsid w:val="001D516B"/>
    <w:rsid w:val="001D7832"/>
    <w:rsid w:val="001E0A4F"/>
    <w:rsid w:val="001E1023"/>
    <w:rsid w:val="001E3911"/>
    <w:rsid w:val="001E42F7"/>
    <w:rsid w:val="001E485E"/>
    <w:rsid w:val="001E55E0"/>
    <w:rsid w:val="001E692F"/>
    <w:rsid w:val="001E7513"/>
    <w:rsid w:val="001E762B"/>
    <w:rsid w:val="001F08A8"/>
    <w:rsid w:val="001F1310"/>
    <w:rsid w:val="001F277A"/>
    <w:rsid w:val="001F27C5"/>
    <w:rsid w:val="001F2C5B"/>
    <w:rsid w:val="001F2FD8"/>
    <w:rsid w:val="001F4256"/>
    <w:rsid w:val="001F5AFE"/>
    <w:rsid w:val="001F780F"/>
    <w:rsid w:val="002012D8"/>
    <w:rsid w:val="002015A0"/>
    <w:rsid w:val="002038CE"/>
    <w:rsid w:val="002039D6"/>
    <w:rsid w:val="00204D82"/>
    <w:rsid w:val="0020533E"/>
    <w:rsid w:val="00206B97"/>
    <w:rsid w:val="00207D99"/>
    <w:rsid w:val="00210DC1"/>
    <w:rsid w:val="0021157A"/>
    <w:rsid w:val="00211D34"/>
    <w:rsid w:val="002131D7"/>
    <w:rsid w:val="002133FA"/>
    <w:rsid w:val="00214328"/>
    <w:rsid w:val="00214F04"/>
    <w:rsid w:val="00215F30"/>
    <w:rsid w:val="00216E62"/>
    <w:rsid w:val="00217D47"/>
    <w:rsid w:val="00223E50"/>
    <w:rsid w:val="0022483E"/>
    <w:rsid w:val="00224FC9"/>
    <w:rsid w:val="00227061"/>
    <w:rsid w:val="00227E1E"/>
    <w:rsid w:val="0023338E"/>
    <w:rsid w:val="002352B9"/>
    <w:rsid w:val="0023598E"/>
    <w:rsid w:val="0023621E"/>
    <w:rsid w:val="002367F5"/>
    <w:rsid w:val="00237EDC"/>
    <w:rsid w:val="00240640"/>
    <w:rsid w:val="00242A95"/>
    <w:rsid w:val="00242F2B"/>
    <w:rsid w:val="002433FA"/>
    <w:rsid w:val="002436B9"/>
    <w:rsid w:val="00243761"/>
    <w:rsid w:val="00243A0A"/>
    <w:rsid w:val="002444FF"/>
    <w:rsid w:val="002452F2"/>
    <w:rsid w:val="00245E5D"/>
    <w:rsid w:val="00246D05"/>
    <w:rsid w:val="0025525F"/>
    <w:rsid w:val="00255649"/>
    <w:rsid w:val="00255960"/>
    <w:rsid w:val="00255DFE"/>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67B60"/>
    <w:rsid w:val="00270C4A"/>
    <w:rsid w:val="00271C36"/>
    <w:rsid w:val="0027278C"/>
    <w:rsid w:val="00273484"/>
    <w:rsid w:val="002739BD"/>
    <w:rsid w:val="00274C95"/>
    <w:rsid w:val="00275DAB"/>
    <w:rsid w:val="00276059"/>
    <w:rsid w:val="00280F65"/>
    <w:rsid w:val="002821BE"/>
    <w:rsid w:val="002836E2"/>
    <w:rsid w:val="00284120"/>
    <w:rsid w:val="0028662C"/>
    <w:rsid w:val="002903C0"/>
    <w:rsid w:val="002903D1"/>
    <w:rsid w:val="00291726"/>
    <w:rsid w:val="002922A7"/>
    <w:rsid w:val="00292FE9"/>
    <w:rsid w:val="00295582"/>
    <w:rsid w:val="00295857"/>
    <w:rsid w:val="00295ACD"/>
    <w:rsid w:val="0029698E"/>
    <w:rsid w:val="002A1E50"/>
    <w:rsid w:val="002A51EF"/>
    <w:rsid w:val="002A6480"/>
    <w:rsid w:val="002A6CEB"/>
    <w:rsid w:val="002A782A"/>
    <w:rsid w:val="002A7D62"/>
    <w:rsid w:val="002B0922"/>
    <w:rsid w:val="002B0AAA"/>
    <w:rsid w:val="002B11E2"/>
    <w:rsid w:val="002B24B8"/>
    <w:rsid w:val="002B5E3C"/>
    <w:rsid w:val="002B71B1"/>
    <w:rsid w:val="002B73B1"/>
    <w:rsid w:val="002C01FA"/>
    <w:rsid w:val="002C04F0"/>
    <w:rsid w:val="002C0DCD"/>
    <w:rsid w:val="002C3488"/>
    <w:rsid w:val="002C4170"/>
    <w:rsid w:val="002C5023"/>
    <w:rsid w:val="002C5612"/>
    <w:rsid w:val="002C7252"/>
    <w:rsid w:val="002D360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3BEA"/>
    <w:rsid w:val="003040BE"/>
    <w:rsid w:val="00304BEA"/>
    <w:rsid w:val="0030641B"/>
    <w:rsid w:val="003064A2"/>
    <w:rsid w:val="00307E9C"/>
    <w:rsid w:val="00307F8B"/>
    <w:rsid w:val="00307F96"/>
    <w:rsid w:val="003101DA"/>
    <w:rsid w:val="003107DC"/>
    <w:rsid w:val="003111C3"/>
    <w:rsid w:val="00312443"/>
    <w:rsid w:val="00312DDD"/>
    <w:rsid w:val="00313B84"/>
    <w:rsid w:val="00314757"/>
    <w:rsid w:val="0031547B"/>
    <w:rsid w:val="00315689"/>
    <w:rsid w:val="00315CD0"/>
    <w:rsid w:val="003163BC"/>
    <w:rsid w:val="00317410"/>
    <w:rsid w:val="003211CE"/>
    <w:rsid w:val="0032190A"/>
    <w:rsid w:val="00321B6E"/>
    <w:rsid w:val="00322010"/>
    <w:rsid w:val="003225F9"/>
    <w:rsid w:val="003246CB"/>
    <w:rsid w:val="0032714E"/>
    <w:rsid w:val="00327412"/>
    <w:rsid w:val="00327443"/>
    <w:rsid w:val="00330AB2"/>
    <w:rsid w:val="00330E17"/>
    <w:rsid w:val="00331C8C"/>
    <w:rsid w:val="003343C8"/>
    <w:rsid w:val="003343FE"/>
    <w:rsid w:val="003344C3"/>
    <w:rsid w:val="0033564E"/>
    <w:rsid w:val="00335EAC"/>
    <w:rsid w:val="0033715F"/>
    <w:rsid w:val="003373A2"/>
    <w:rsid w:val="00337740"/>
    <w:rsid w:val="00337C84"/>
    <w:rsid w:val="00340ADB"/>
    <w:rsid w:val="00340DAF"/>
    <w:rsid w:val="003473A2"/>
    <w:rsid w:val="00350A8C"/>
    <w:rsid w:val="00350DE4"/>
    <w:rsid w:val="00351E6B"/>
    <w:rsid w:val="00352C2F"/>
    <w:rsid w:val="0035403A"/>
    <w:rsid w:val="003606A3"/>
    <w:rsid w:val="003614BE"/>
    <w:rsid w:val="00361EF5"/>
    <w:rsid w:val="0036283B"/>
    <w:rsid w:val="0036394B"/>
    <w:rsid w:val="003646C3"/>
    <w:rsid w:val="00366AC7"/>
    <w:rsid w:val="00366DB6"/>
    <w:rsid w:val="003671B0"/>
    <w:rsid w:val="0036724C"/>
    <w:rsid w:val="0036763F"/>
    <w:rsid w:val="00370325"/>
    <w:rsid w:val="003706AD"/>
    <w:rsid w:val="003709B5"/>
    <w:rsid w:val="0037156B"/>
    <w:rsid w:val="003717C4"/>
    <w:rsid w:val="003735E3"/>
    <w:rsid w:val="003742B8"/>
    <w:rsid w:val="00374855"/>
    <w:rsid w:val="0037566A"/>
    <w:rsid w:val="003759C2"/>
    <w:rsid w:val="0037710B"/>
    <w:rsid w:val="00377FCD"/>
    <w:rsid w:val="00380F32"/>
    <w:rsid w:val="00381AAD"/>
    <w:rsid w:val="003824F2"/>
    <w:rsid w:val="00383AB4"/>
    <w:rsid w:val="00384BFB"/>
    <w:rsid w:val="00385A73"/>
    <w:rsid w:val="00386A9A"/>
    <w:rsid w:val="00387C27"/>
    <w:rsid w:val="003908A1"/>
    <w:rsid w:val="0039127D"/>
    <w:rsid w:val="0039155D"/>
    <w:rsid w:val="0039172F"/>
    <w:rsid w:val="003919F1"/>
    <w:rsid w:val="003923CF"/>
    <w:rsid w:val="0039240B"/>
    <w:rsid w:val="003927EE"/>
    <w:rsid w:val="00393854"/>
    <w:rsid w:val="00393F9F"/>
    <w:rsid w:val="00396389"/>
    <w:rsid w:val="0039666B"/>
    <w:rsid w:val="00397365"/>
    <w:rsid w:val="00397DA6"/>
    <w:rsid w:val="003A0389"/>
    <w:rsid w:val="003A05F4"/>
    <w:rsid w:val="003A09A2"/>
    <w:rsid w:val="003A1451"/>
    <w:rsid w:val="003A1A65"/>
    <w:rsid w:val="003A31F6"/>
    <w:rsid w:val="003A3A6C"/>
    <w:rsid w:val="003A3E98"/>
    <w:rsid w:val="003A4D67"/>
    <w:rsid w:val="003A6FE1"/>
    <w:rsid w:val="003B1627"/>
    <w:rsid w:val="003B2C98"/>
    <w:rsid w:val="003B3CE0"/>
    <w:rsid w:val="003B3EF0"/>
    <w:rsid w:val="003B4485"/>
    <w:rsid w:val="003B534A"/>
    <w:rsid w:val="003B5531"/>
    <w:rsid w:val="003B5A66"/>
    <w:rsid w:val="003B718A"/>
    <w:rsid w:val="003B79D4"/>
    <w:rsid w:val="003B7A86"/>
    <w:rsid w:val="003B7AE8"/>
    <w:rsid w:val="003C0474"/>
    <w:rsid w:val="003C156A"/>
    <w:rsid w:val="003C242C"/>
    <w:rsid w:val="003C3447"/>
    <w:rsid w:val="003C4072"/>
    <w:rsid w:val="003C5E2C"/>
    <w:rsid w:val="003C6579"/>
    <w:rsid w:val="003D0607"/>
    <w:rsid w:val="003D076C"/>
    <w:rsid w:val="003D0D6B"/>
    <w:rsid w:val="003D1367"/>
    <w:rsid w:val="003D160E"/>
    <w:rsid w:val="003D1FD8"/>
    <w:rsid w:val="003D34F9"/>
    <w:rsid w:val="003D38E3"/>
    <w:rsid w:val="003D6335"/>
    <w:rsid w:val="003D68CE"/>
    <w:rsid w:val="003D7344"/>
    <w:rsid w:val="003E01CE"/>
    <w:rsid w:val="003E0745"/>
    <w:rsid w:val="003E3442"/>
    <w:rsid w:val="003E489D"/>
    <w:rsid w:val="003E5626"/>
    <w:rsid w:val="003E7112"/>
    <w:rsid w:val="003E7817"/>
    <w:rsid w:val="003E7875"/>
    <w:rsid w:val="003E78B5"/>
    <w:rsid w:val="003F1778"/>
    <w:rsid w:val="003F3F29"/>
    <w:rsid w:val="003F54A4"/>
    <w:rsid w:val="003F70F2"/>
    <w:rsid w:val="003F71DF"/>
    <w:rsid w:val="003F77E3"/>
    <w:rsid w:val="003F7F77"/>
    <w:rsid w:val="00400A3D"/>
    <w:rsid w:val="004010BC"/>
    <w:rsid w:val="00401992"/>
    <w:rsid w:val="0040199C"/>
    <w:rsid w:val="00402C03"/>
    <w:rsid w:val="00405029"/>
    <w:rsid w:val="00405433"/>
    <w:rsid w:val="0040566D"/>
    <w:rsid w:val="00407515"/>
    <w:rsid w:val="0040781C"/>
    <w:rsid w:val="0040783A"/>
    <w:rsid w:val="00407A25"/>
    <w:rsid w:val="00410552"/>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32822"/>
    <w:rsid w:val="00436359"/>
    <w:rsid w:val="00440840"/>
    <w:rsid w:val="00440DC7"/>
    <w:rsid w:val="00441C8E"/>
    <w:rsid w:val="00441FD9"/>
    <w:rsid w:val="004429D9"/>
    <w:rsid w:val="0044318E"/>
    <w:rsid w:val="00443B35"/>
    <w:rsid w:val="004457D6"/>
    <w:rsid w:val="00446813"/>
    <w:rsid w:val="00446BEE"/>
    <w:rsid w:val="00446C55"/>
    <w:rsid w:val="0045009B"/>
    <w:rsid w:val="004508F2"/>
    <w:rsid w:val="00450A9D"/>
    <w:rsid w:val="00451303"/>
    <w:rsid w:val="0045178C"/>
    <w:rsid w:val="00452577"/>
    <w:rsid w:val="004526AC"/>
    <w:rsid w:val="0045293D"/>
    <w:rsid w:val="0045463B"/>
    <w:rsid w:val="004557E4"/>
    <w:rsid w:val="00455DAE"/>
    <w:rsid w:val="00455E26"/>
    <w:rsid w:val="00456622"/>
    <w:rsid w:val="00460C2D"/>
    <w:rsid w:val="00461362"/>
    <w:rsid w:val="0046146A"/>
    <w:rsid w:val="00461628"/>
    <w:rsid w:val="00461D9A"/>
    <w:rsid w:val="004629A8"/>
    <w:rsid w:val="00466988"/>
    <w:rsid w:val="0047092D"/>
    <w:rsid w:val="0047122B"/>
    <w:rsid w:val="00472125"/>
    <w:rsid w:val="00473B7A"/>
    <w:rsid w:val="00474922"/>
    <w:rsid w:val="00475A5D"/>
    <w:rsid w:val="004771D9"/>
    <w:rsid w:val="00481F5D"/>
    <w:rsid w:val="0048216C"/>
    <w:rsid w:val="004821BC"/>
    <w:rsid w:val="004829F6"/>
    <w:rsid w:val="00482D44"/>
    <w:rsid w:val="004836D4"/>
    <w:rsid w:val="00483D96"/>
    <w:rsid w:val="00485CA3"/>
    <w:rsid w:val="00490CC9"/>
    <w:rsid w:val="00492C4A"/>
    <w:rsid w:val="00493A74"/>
    <w:rsid w:val="00495EFD"/>
    <w:rsid w:val="004960E9"/>
    <w:rsid w:val="00497384"/>
    <w:rsid w:val="00497DC9"/>
    <w:rsid w:val="004A221B"/>
    <w:rsid w:val="004A2E88"/>
    <w:rsid w:val="004A3BDC"/>
    <w:rsid w:val="004A5305"/>
    <w:rsid w:val="004A6144"/>
    <w:rsid w:val="004A6D92"/>
    <w:rsid w:val="004B132B"/>
    <w:rsid w:val="004B13C6"/>
    <w:rsid w:val="004B41C9"/>
    <w:rsid w:val="004B68F4"/>
    <w:rsid w:val="004B7FAF"/>
    <w:rsid w:val="004C0257"/>
    <w:rsid w:val="004C0564"/>
    <w:rsid w:val="004C05BC"/>
    <w:rsid w:val="004C415D"/>
    <w:rsid w:val="004C485A"/>
    <w:rsid w:val="004C687E"/>
    <w:rsid w:val="004D040D"/>
    <w:rsid w:val="004D182B"/>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73D"/>
    <w:rsid w:val="004F3DF8"/>
    <w:rsid w:val="004F5343"/>
    <w:rsid w:val="004F5F72"/>
    <w:rsid w:val="004F6360"/>
    <w:rsid w:val="004F6460"/>
    <w:rsid w:val="005010CF"/>
    <w:rsid w:val="00501AAD"/>
    <w:rsid w:val="00503B34"/>
    <w:rsid w:val="005044C6"/>
    <w:rsid w:val="00505FC9"/>
    <w:rsid w:val="00506AFF"/>
    <w:rsid w:val="00506E54"/>
    <w:rsid w:val="00507DC6"/>
    <w:rsid w:val="0051095E"/>
    <w:rsid w:val="0051288E"/>
    <w:rsid w:val="00513117"/>
    <w:rsid w:val="00515D56"/>
    <w:rsid w:val="0051635B"/>
    <w:rsid w:val="00517400"/>
    <w:rsid w:val="00517ECD"/>
    <w:rsid w:val="00521271"/>
    <w:rsid w:val="00521367"/>
    <w:rsid w:val="0052144F"/>
    <w:rsid w:val="00521637"/>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9F7"/>
    <w:rsid w:val="00543B0C"/>
    <w:rsid w:val="00544F82"/>
    <w:rsid w:val="00545317"/>
    <w:rsid w:val="00545DA9"/>
    <w:rsid w:val="005460E7"/>
    <w:rsid w:val="00546568"/>
    <w:rsid w:val="00546CD5"/>
    <w:rsid w:val="005509D2"/>
    <w:rsid w:val="00551C12"/>
    <w:rsid w:val="005532D5"/>
    <w:rsid w:val="00554C96"/>
    <w:rsid w:val="005556FC"/>
    <w:rsid w:val="00555BA6"/>
    <w:rsid w:val="00555F0E"/>
    <w:rsid w:val="00557262"/>
    <w:rsid w:val="00560A68"/>
    <w:rsid w:val="005628C1"/>
    <w:rsid w:val="00563C43"/>
    <w:rsid w:val="00563E79"/>
    <w:rsid w:val="0056428B"/>
    <w:rsid w:val="00564B67"/>
    <w:rsid w:val="00564B8B"/>
    <w:rsid w:val="00564EDF"/>
    <w:rsid w:val="0056570C"/>
    <w:rsid w:val="00566685"/>
    <w:rsid w:val="0056668A"/>
    <w:rsid w:val="005673AC"/>
    <w:rsid w:val="00570CC7"/>
    <w:rsid w:val="005711EC"/>
    <w:rsid w:val="005714A3"/>
    <w:rsid w:val="00571C46"/>
    <w:rsid w:val="00571D26"/>
    <w:rsid w:val="00574008"/>
    <w:rsid w:val="005750F5"/>
    <w:rsid w:val="00577185"/>
    <w:rsid w:val="0058059D"/>
    <w:rsid w:val="005843A4"/>
    <w:rsid w:val="005851B8"/>
    <w:rsid w:val="00585CF8"/>
    <w:rsid w:val="00585EEC"/>
    <w:rsid w:val="00586135"/>
    <w:rsid w:val="00586CF2"/>
    <w:rsid w:val="00590B8B"/>
    <w:rsid w:val="00590FA3"/>
    <w:rsid w:val="005912D1"/>
    <w:rsid w:val="0059145D"/>
    <w:rsid w:val="00593C4F"/>
    <w:rsid w:val="005943AA"/>
    <w:rsid w:val="005946A8"/>
    <w:rsid w:val="00595129"/>
    <w:rsid w:val="0059537B"/>
    <w:rsid w:val="005A01FB"/>
    <w:rsid w:val="005A0E0C"/>
    <w:rsid w:val="005A32ED"/>
    <w:rsid w:val="005A35ED"/>
    <w:rsid w:val="005A3E1C"/>
    <w:rsid w:val="005A4407"/>
    <w:rsid w:val="005A59EF"/>
    <w:rsid w:val="005A5B8B"/>
    <w:rsid w:val="005A5DF6"/>
    <w:rsid w:val="005A648D"/>
    <w:rsid w:val="005B1C7E"/>
    <w:rsid w:val="005B2098"/>
    <w:rsid w:val="005B6CB3"/>
    <w:rsid w:val="005B6E70"/>
    <w:rsid w:val="005C00E9"/>
    <w:rsid w:val="005C0F45"/>
    <w:rsid w:val="005C1C67"/>
    <w:rsid w:val="005C2146"/>
    <w:rsid w:val="005C36C6"/>
    <w:rsid w:val="005C3BAA"/>
    <w:rsid w:val="005C51B8"/>
    <w:rsid w:val="005C6976"/>
    <w:rsid w:val="005C772C"/>
    <w:rsid w:val="005C7781"/>
    <w:rsid w:val="005D0A73"/>
    <w:rsid w:val="005D1C05"/>
    <w:rsid w:val="005D1DE8"/>
    <w:rsid w:val="005D352F"/>
    <w:rsid w:val="005D533D"/>
    <w:rsid w:val="005D5BC6"/>
    <w:rsid w:val="005D5F64"/>
    <w:rsid w:val="005D7530"/>
    <w:rsid w:val="005E2B7C"/>
    <w:rsid w:val="005E4914"/>
    <w:rsid w:val="005E6234"/>
    <w:rsid w:val="005F3244"/>
    <w:rsid w:val="005F3416"/>
    <w:rsid w:val="005F39BD"/>
    <w:rsid w:val="005F39CA"/>
    <w:rsid w:val="005F526D"/>
    <w:rsid w:val="005F6F41"/>
    <w:rsid w:val="005F7013"/>
    <w:rsid w:val="00601487"/>
    <w:rsid w:val="00601DDF"/>
    <w:rsid w:val="0060532A"/>
    <w:rsid w:val="00605DA0"/>
    <w:rsid w:val="00605DA7"/>
    <w:rsid w:val="00610A14"/>
    <w:rsid w:val="0061112B"/>
    <w:rsid w:val="00611B5C"/>
    <w:rsid w:val="006140AF"/>
    <w:rsid w:val="00614138"/>
    <w:rsid w:val="00614509"/>
    <w:rsid w:val="0061581B"/>
    <w:rsid w:val="006166B9"/>
    <w:rsid w:val="00616B17"/>
    <w:rsid w:val="00620164"/>
    <w:rsid w:val="006203E4"/>
    <w:rsid w:val="00620F71"/>
    <w:rsid w:val="00623032"/>
    <w:rsid w:val="006236DF"/>
    <w:rsid w:val="00624AF6"/>
    <w:rsid w:val="006259EB"/>
    <w:rsid w:val="00625D9F"/>
    <w:rsid w:val="00625DC6"/>
    <w:rsid w:val="006263B4"/>
    <w:rsid w:val="0062729D"/>
    <w:rsid w:val="00627335"/>
    <w:rsid w:val="00630DA7"/>
    <w:rsid w:val="006310C9"/>
    <w:rsid w:val="006327E7"/>
    <w:rsid w:val="00632871"/>
    <w:rsid w:val="00635B22"/>
    <w:rsid w:val="00635B25"/>
    <w:rsid w:val="00636835"/>
    <w:rsid w:val="00637F1B"/>
    <w:rsid w:val="00641554"/>
    <w:rsid w:val="0064343E"/>
    <w:rsid w:val="0064391D"/>
    <w:rsid w:val="00644E86"/>
    <w:rsid w:val="006456FE"/>
    <w:rsid w:val="00645BF9"/>
    <w:rsid w:val="00646756"/>
    <w:rsid w:val="006508AB"/>
    <w:rsid w:val="00650D7D"/>
    <w:rsid w:val="00651154"/>
    <w:rsid w:val="006516F4"/>
    <w:rsid w:val="00651821"/>
    <w:rsid w:val="00651BBF"/>
    <w:rsid w:val="00651C8E"/>
    <w:rsid w:val="006528E5"/>
    <w:rsid w:val="00653410"/>
    <w:rsid w:val="00654384"/>
    <w:rsid w:val="00657B06"/>
    <w:rsid w:val="006622B2"/>
    <w:rsid w:val="00666A1D"/>
    <w:rsid w:val="006675CD"/>
    <w:rsid w:val="00667AD5"/>
    <w:rsid w:val="00667BDF"/>
    <w:rsid w:val="006709CD"/>
    <w:rsid w:val="0067238D"/>
    <w:rsid w:val="006740B2"/>
    <w:rsid w:val="00674313"/>
    <w:rsid w:val="006747D5"/>
    <w:rsid w:val="00675985"/>
    <w:rsid w:val="00676724"/>
    <w:rsid w:val="00677E6A"/>
    <w:rsid w:val="00680BFA"/>
    <w:rsid w:val="00682A2F"/>
    <w:rsid w:val="0068360C"/>
    <w:rsid w:val="00683EB3"/>
    <w:rsid w:val="00684D9B"/>
    <w:rsid w:val="0068510A"/>
    <w:rsid w:val="00685BCB"/>
    <w:rsid w:val="00690CEF"/>
    <w:rsid w:val="006918A8"/>
    <w:rsid w:val="0069245B"/>
    <w:rsid w:val="006948FC"/>
    <w:rsid w:val="00694E6C"/>
    <w:rsid w:val="00697556"/>
    <w:rsid w:val="006A1CA8"/>
    <w:rsid w:val="006A1EB6"/>
    <w:rsid w:val="006A2EDF"/>
    <w:rsid w:val="006A4993"/>
    <w:rsid w:val="006A4BBD"/>
    <w:rsid w:val="006A5EB3"/>
    <w:rsid w:val="006A616B"/>
    <w:rsid w:val="006A72C7"/>
    <w:rsid w:val="006B1FDF"/>
    <w:rsid w:val="006B4081"/>
    <w:rsid w:val="006B4647"/>
    <w:rsid w:val="006B4C2B"/>
    <w:rsid w:val="006B5531"/>
    <w:rsid w:val="006B5DFE"/>
    <w:rsid w:val="006B6139"/>
    <w:rsid w:val="006B6194"/>
    <w:rsid w:val="006B661E"/>
    <w:rsid w:val="006B6D47"/>
    <w:rsid w:val="006B7078"/>
    <w:rsid w:val="006B719A"/>
    <w:rsid w:val="006C1FD7"/>
    <w:rsid w:val="006C3E16"/>
    <w:rsid w:val="006C4912"/>
    <w:rsid w:val="006C5AFE"/>
    <w:rsid w:val="006C5F0F"/>
    <w:rsid w:val="006C7715"/>
    <w:rsid w:val="006C7AF6"/>
    <w:rsid w:val="006C7F6B"/>
    <w:rsid w:val="006D1ED8"/>
    <w:rsid w:val="006D2747"/>
    <w:rsid w:val="006D30B1"/>
    <w:rsid w:val="006D5E04"/>
    <w:rsid w:val="006E0A54"/>
    <w:rsid w:val="006E155D"/>
    <w:rsid w:val="006E1EEA"/>
    <w:rsid w:val="006E38F5"/>
    <w:rsid w:val="006E4298"/>
    <w:rsid w:val="006E4C15"/>
    <w:rsid w:val="006E5FC3"/>
    <w:rsid w:val="006F0E31"/>
    <w:rsid w:val="006F2302"/>
    <w:rsid w:val="006F268E"/>
    <w:rsid w:val="006F2EC8"/>
    <w:rsid w:val="006F33A3"/>
    <w:rsid w:val="006F3970"/>
    <w:rsid w:val="006F4824"/>
    <w:rsid w:val="006F51FB"/>
    <w:rsid w:val="006F56D0"/>
    <w:rsid w:val="006F5E13"/>
    <w:rsid w:val="006F6886"/>
    <w:rsid w:val="006F6D95"/>
    <w:rsid w:val="006F7CFE"/>
    <w:rsid w:val="007018C5"/>
    <w:rsid w:val="00702937"/>
    <w:rsid w:val="00705F85"/>
    <w:rsid w:val="00706179"/>
    <w:rsid w:val="00706F13"/>
    <w:rsid w:val="007072E8"/>
    <w:rsid w:val="007076FB"/>
    <w:rsid w:val="00707ED5"/>
    <w:rsid w:val="00710754"/>
    <w:rsid w:val="00710CBC"/>
    <w:rsid w:val="00710FF1"/>
    <w:rsid w:val="00711E2F"/>
    <w:rsid w:val="007127EF"/>
    <w:rsid w:val="007134B4"/>
    <w:rsid w:val="00714A31"/>
    <w:rsid w:val="0071618D"/>
    <w:rsid w:val="00720AE2"/>
    <w:rsid w:val="0072116F"/>
    <w:rsid w:val="00721534"/>
    <w:rsid w:val="00721A52"/>
    <w:rsid w:val="00721D5B"/>
    <w:rsid w:val="00722B3D"/>
    <w:rsid w:val="00723CF0"/>
    <w:rsid w:val="0072463D"/>
    <w:rsid w:val="00724792"/>
    <w:rsid w:val="00724A10"/>
    <w:rsid w:val="00724C58"/>
    <w:rsid w:val="00725FA4"/>
    <w:rsid w:val="007275E4"/>
    <w:rsid w:val="00727B2C"/>
    <w:rsid w:val="00732B59"/>
    <w:rsid w:val="00732E0B"/>
    <w:rsid w:val="00732FDC"/>
    <w:rsid w:val="00733DD7"/>
    <w:rsid w:val="007340CC"/>
    <w:rsid w:val="00734187"/>
    <w:rsid w:val="00734C73"/>
    <w:rsid w:val="007351C6"/>
    <w:rsid w:val="00740446"/>
    <w:rsid w:val="007438A9"/>
    <w:rsid w:val="00743E7F"/>
    <w:rsid w:val="0074491E"/>
    <w:rsid w:val="00745C85"/>
    <w:rsid w:val="00746E56"/>
    <w:rsid w:val="007511E4"/>
    <w:rsid w:val="0075578E"/>
    <w:rsid w:val="00756ABB"/>
    <w:rsid w:val="007602F3"/>
    <w:rsid w:val="0076163F"/>
    <w:rsid w:val="0076247A"/>
    <w:rsid w:val="00762FB0"/>
    <w:rsid w:val="00763175"/>
    <w:rsid w:val="00763381"/>
    <w:rsid w:val="0076625D"/>
    <w:rsid w:val="00767391"/>
    <w:rsid w:val="007705CD"/>
    <w:rsid w:val="00771B7C"/>
    <w:rsid w:val="00774ABE"/>
    <w:rsid w:val="00775964"/>
    <w:rsid w:val="0077639F"/>
    <w:rsid w:val="007765FE"/>
    <w:rsid w:val="007766B3"/>
    <w:rsid w:val="00777163"/>
    <w:rsid w:val="00781E1A"/>
    <w:rsid w:val="00785678"/>
    <w:rsid w:val="00787E5A"/>
    <w:rsid w:val="00790375"/>
    <w:rsid w:val="007910F2"/>
    <w:rsid w:val="007914FE"/>
    <w:rsid w:val="007928B7"/>
    <w:rsid w:val="00793623"/>
    <w:rsid w:val="00793C5D"/>
    <w:rsid w:val="00793FA6"/>
    <w:rsid w:val="00794E2E"/>
    <w:rsid w:val="00795373"/>
    <w:rsid w:val="00795BFB"/>
    <w:rsid w:val="00797DBC"/>
    <w:rsid w:val="007A060C"/>
    <w:rsid w:val="007A1FE8"/>
    <w:rsid w:val="007A5E57"/>
    <w:rsid w:val="007B0FAC"/>
    <w:rsid w:val="007B100F"/>
    <w:rsid w:val="007B1CF5"/>
    <w:rsid w:val="007B2760"/>
    <w:rsid w:val="007B3A0E"/>
    <w:rsid w:val="007B53E9"/>
    <w:rsid w:val="007B564B"/>
    <w:rsid w:val="007B5CF2"/>
    <w:rsid w:val="007B6C0B"/>
    <w:rsid w:val="007B71EE"/>
    <w:rsid w:val="007B73FC"/>
    <w:rsid w:val="007B77CE"/>
    <w:rsid w:val="007C127E"/>
    <w:rsid w:val="007C1B10"/>
    <w:rsid w:val="007C2407"/>
    <w:rsid w:val="007C585E"/>
    <w:rsid w:val="007C5B24"/>
    <w:rsid w:val="007C679C"/>
    <w:rsid w:val="007C79E3"/>
    <w:rsid w:val="007D1D55"/>
    <w:rsid w:val="007D49D7"/>
    <w:rsid w:val="007D688D"/>
    <w:rsid w:val="007D69D2"/>
    <w:rsid w:val="007D6B92"/>
    <w:rsid w:val="007E09A4"/>
    <w:rsid w:val="007E1112"/>
    <w:rsid w:val="007E3D47"/>
    <w:rsid w:val="007E4A8E"/>
    <w:rsid w:val="007E53C7"/>
    <w:rsid w:val="007E5792"/>
    <w:rsid w:val="007E5AC9"/>
    <w:rsid w:val="007E5B81"/>
    <w:rsid w:val="007E66B1"/>
    <w:rsid w:val="007E6772"/>
    <w:rsid w:val="007E71A4"/>
    <w:rsid w:val="007E72CE"/>
    <w:rsid w:val="007E7A97"/>
    <w:rsid w:val="007F1280"/>
    <w:rsid w:val="007F1983"/>
    <w:rsid w:val="007F54DB"/>
    <w:rsid w:val="007F6527"/>
    <w:rsid w:val="007F6598"/>
    <w:rsid w:val="007F6C99"/>
    <w:rsid w:val="007F7C1B"/>
    <w:rsid w:val="00800D21"/>
    <w:rsid w:val="00801F33"/>
    <w:rsid w:val="00802E44"/>
    <w:rsid w:val="00803071"/>
    <w:rsid w:val="0080401E"/>
    <w:rsid w:val="008042C8"/>
    <w:rsid w:val="008043BB"/>
    <w:rsid w:val="00804D2E"/>
    <w:rsid w:val="00804DE5"/>
    <w:rsid w:val="00806C01"/>
    <w:rsid w:val="008109A6"/>
    <w:rsid w:val="00810A93"/>
    <w:rsid w:val="00811D3E"/>
    <w:rsid w:val="00812BAE"/>
    <w:rsid w:val="008148CC"/>
    <w:rsid w:val="008167FC"/>
    <w:rsid w:val="00817731"/>
    <w:rsid w:val="008211A4"/>
    <w:rsid w:val="00821986"/>
    <w:rsid w:val="008221CC"/>
    <w:rsid w:val="0082264D"/>
    <w:rsid w:val="00822961"/>
    <w:rsid w:val="0082304A"/>
    <w:rsid w:val="0082311D"/>
    <w:rsid w:val="008237CA"/>
    <w:rsid w:val="008251BC"/>
    <w:rsid w:val="00826960"/>
    <w:rsid w:val="00826E96"/>
    <w:rsid w:val="008276D9"/>
    <w:rsid w:val="00827DCB"/>
    <w:rsid w:val="00830FF0"/>
    <w:rsid w:val="0083140E"/>
    <w:rsid w:val="008318F6"/>
    <w:rsid w:val="00831A7D"/>
    <w:rsid w:val="008324DF"/>
    <w:rsid w:val="00832A68"/>
    <w:rsid w:val="00834EFB"/>
    <w:rsid w:val="00837AD4"/>
    <w:rsid w:val="00841D80"/>
    <w:rsid w:val="00842049"/>
    <w:rsid w:val="00842644"/>
    <w:rsid w:val="00843734"/>
    <w:rsid w:val="00843DAD"/>
    <w:rsid w:val="00845BAD"/>
    <w:rsid w:val="0084642E"/>
    <w:rsid w:val="0084693A"/>
    <w:rsid w:val="008511DC"/>
    <w:rsid w:val="00851B06"/>
    <w:rsid w:val="00854203"/>
    <w:rsid w:val="0085640E"/>
    <w:rsid w:val="008567D4"/>
    <w:rsid w:val="00861829"/>
    <w:rsid w:val="008625B3"/>
    <w:rsid w:val="00862E48"/>
    <w:rsid w:val="00863A37"/>
    <w:rsid w:val="00863AB8"/>
    <w:rsid w:val="00864C35"/>
    <w:rsid w:val="00864F48"/>
    <w:rsid w:val="00870417"/>
    <w:rsid w:val="0087143B"/>
    <w:rsid w:val="00873150"/>
    <w:rsid w:val="00873E50"/>
    <w:rsid w:val="00873F4F"/>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91A"/>
    <w:rsid w:val="00892A07"/>
    <w:rsid w:val="00892F2C"/>
    <w:rsid w:val="0089340F"/>
    <w:rsid w:val="008944D2"/>
    <w:rsid w:val="00894B89"/>
    <w:rsid w:val="00895326"/>
    <w:rsid w:val="00896F62"/>
    <w:rsid w:val="0089779F"/>
    <w:rsid w:val="00897C27"/>
    <w:rsid w:val="00897C75"/>
    <w:rsid w:val="008A0F70"/>
    <w:rsid w:val="008A1221"/>
    <w:rsid w:val="008A1461"/>
    <w:rsid w:val="008A1EDB"/>
    <w:rsid w:val="008A2565"/>
    <w:rsid w:val="008A3CD8"/>
    <w:rsid w:val="008A4148"/>
    <w:rsid w:val="008A4BD9"/>
    <w:rsid w:val="008A6101"/>
    <w:rsid w:val="008A66C8"/>
    <w:rsid w:val="008A6BE9"/>
    <w:rsid w:val="008A7669"/>
    <w:rsid w:val="008B1869"/>
    <w:rsid w:val="008B21A6"/>
    <w:rsid w:val="008B220B"/>
    <w:rsid w:val="008B2CEF"/>
    <w:rsid w:val="008B2EAF"/>
    <w:rsid w:val="008B3AEF"/>
    <w:rsid w:val="008B3DAA"/>
    <w:rsid w:val="008B502D"/>
    <w:rsid w:val="008B61E5"/>
    <w:rsid w:val="008B6760"/>
    <w:rsid w:val="008B6CFD"/>
    <w:rsid w:val="008C1097"/>
    <w:rsid w:val="008C1130"/>
    <w:rsid w:val="008C1914"/>
    <w:rsid w:val="008C3591"/>
    <w:rsid w:val="008C54CC"/>
    <w:rsid w:val="008C6406"/>
    <w:rsid w:val="008C6D97"/>
    <w:rsid w:val="008C6F1F"/>
    <w:rsid w:val="008C7A64"/>
    <w:rsid w:val="008D0647"/>
    <w:rsid w:val="008D13D1"/>
    <w:rsid w:val="008D18E6"/>
    <w:rsid w:val="008D1DC5"/>
    <w:rsid w:val="008D2C6D"/>
    <w:rsid w:val="008D3144"/>
    <w:rsid w:val="008D3613"/>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1341"/>
    <w:rsid w:val="008F1EB1"/>
    <w:rsid w:val="008F1FDC"/>
    <w:rsid w:val="008F21F6"/>
    <w:rsid w:val="008F2EB0"/>
    <w:rsid w:val="008F3E80"/>
    <w:rsid w:val="008F44D5"/>
    <w:rsid w:val="008F63A8"/>
    <w:rsid w:val="008F6FA2"/>
    <w:rsid w:val="008F72E0"/>
    <w:rsid w:val="008F76EA"/>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0CF6"/>
    <w:rsid w:val="00923B14"/>
    <w:rsid w:val="0092537D"/>
    <w:rsid w:val="00925993"/>
    <w:rsid w:val="00926475"/>
    <w:rsid w:val="00926D40"/>
    <w:rsid w:val="00930543"/>
    <w:rsid w:val="00931ADD"/>
    <w:rsid w:val="00931E01"/>
    <w:rsid w:val="0093297A"/>
    <w:rsid w:val="00932B77"/>
    <w:rsid w:val="00935218"/>
    <w:rsid w:val="00936488"/>
    <w:rsid w:val="009364F2"/>
    <w:rsid w:val="00940768"/>
    <w:rsid w:val="009410AA"/>
    <w:rsid w:val="0094147E"/>
    <w:rsid w:val="00942327"/>
    <w:rsid w:val="009427D5"/>
    <w:rsid w:val="0094299F"/>
    <w:rsid w:val="00943CA7"/>
    <w:rsid w:val="00944E53"/>
    <w:rsid w:val="0094513B"/>
    <w:rsid w:val="00950BFC"/>
    <w:rsid w:val="0095183F"/>
    <w:rsid w:val="00951925"/>
    <w:rsid w:val="00951F79"/>
    <w:rsid w:val="009524E2"/>
    <w:rsid w:val="009529A6"/>
    <w:rsid w:val="00954404"/>
    <w:rsid w:val="00954C36"/>
    <w:rsid w:val="00954EB1"/>
    <w:rsid w:val="00955F64"/>
    <w:rsid w:val="009561C0"/>
    <w:rsid w:val="00957503"/>
    <w:rsid w:val="00961195"/>
    <w:rsid w:val="00961EAC"/>
    <w:rsid w:val="0096279C"/>
    <w:rsid w:val="0096342A"/>
    <w:rsid w:val="00964BE8"/>
    <w:rsid w:val="0096528C"/>
    <w:rsid w:val="00967498"/>
    <w:rsid w:val="009703FA"/>
    <w:rsid w:val="00971B12"/>
    <w:rsid w:val="00971CC1"/>
    <w:rsid w:val="009733BB"/>
    <w:rsid w:val="0097499D"/>
    <w:rsid w:val="00974AB5"/>
    <w:rsid w:val="00975624"/>
    <w:rsid w:val="00976EC7"/>
    <w:rsid w:val="00976FD7"/>
    <w:rsid w:val="009820D7"/>
    <w:rsid w:val="00982701"/>
    <w:rsid w:val="0098286E"/>
    <w:rsid w:val="00982A7B"/>
    <w:rsid w:val="00982E74"/>
    <w:rsid w:val="00982FE1"/>
    <w:rsid w:val="0098368D"/>
    <w:rsid w:val="009843A8"/>
    <w:rsid w:val="009844C9"/>
    <w:rsid w:val="00984C3F"/>
    <w:rsid w:val="009851BF"/>
    <w:rsid w:val="009851CD"/>
    <w:rsid w:val="00986A5E"/>
    <w:rsid w:val="0098706D"/>
    <w:rsid w:val="0098764A"/>
    <w:rsid w:val="00991B54"/>
    <w:rsid w:val="009935FB"/>
    <w:rsid w:val="00996E66"/>
    <w:rsid w:val="009971F5"/>
    <w:rsid w:val="00997985"/>
    <w:rsid w:val="00997E69"/>
    <w:rsid w:val="009A0187"/>
    <w:rsid w:val="009A0748"/>
    <w:rsid w:val="009A235E"/>
    <w:rsid w:val="009A320C"/>
    <w:rsid w:val="009A3DAA"/>
    <w:rsid w:val="009A4D1C"/>
    <w:rsid w:val="009A4F41"/>
    <w:rsid w:val="009B079A"/>
    <w:rsid w:val="009B1328"/>
    <w:rsid w:val="009B2383"/>
    <w:rsid w:val="009B283D"/>
    <w:rsid w:val="009B303D"/>
    <w:rsid w:val="009B33F6"/>
    <w:rsid w:val="009B45B2"/>
    <w:rsid w:val="009B4CB8"/>
    <w:rsid w:val="009B4F8D"/>
    <w:rsid w:val="009B5752"/>
    <w:rsid w:val="009B57F5"/>
    <w:rsid w:val="009B5878"/>
    <w:rsid w:val="009C0BED"/>
    <w:rsid w:val="009C15AD"/>
    <w:rsid w:val="009C167B"/>
    <w:rsid w:val="009C17D3"/>
    <w:rsid w:val="009C1933"/>
    <w:rsid w:val="009C2AF0"/>
    <w:rsid w:val="009C3DB8"/>
    <w:rsid w:val="009C422B"/>
    <w:rsid w:val="009C4A7A"/>
    <w:rsid w:val="009C51C4"/>
    <w:rsid w:val="009C6FF8"/>
    <w:rsid w:val="009C71DA"/>
    <w:rsid w:val="009C7500"/>
    <w:rsid w:val="009C7987"/>
    <w:rsid w:val="009C7F29"/>
    <w:rsid w:val="009D02EA"/>
    <w:rsid w:val="009D0F79"/>
    <w:rsid w:val="009D191F"/>
    <w:rsid w:val="009D1F4D"/>
    <w:rsid w:val="009D28E9"/>
    <w:rsid w:val="009D2A09"/>
    <w:rsid w:val="009D4626"/>
    <w:rsid w:val="009D5565"/>
    <w:rsid w:val="009D75F9"/>
    <w:rsid w:val="009E06C2"/>
    <w:rsid w:val="009E0A18"/>
    <w:rsid w:val="009E1320"/>
    <w:rsid w:val="009E1EB8"/>
    <w:rsid w:val="009E3023"/>
    <w:rsid w:val="009E3D1C"/>
    <w:rsid w:val="009E5113"/>
    <w:rsid w:val="009E5521"/>
    <w:rsid w:val="009E5968"/>
    <w:rsid w:val="009E5BC5"/>
    <w:rsid w:val="009E7922"/>
    <w:rsid w:val="009F0489"/>
    <w:rsid w:val="009F10FD"/>
    <w:rsid w:val="009F15BD"/>
    <w:rsid w:val="009F252B"/>
    <w:rsid w:val="009F457C"/>
    <w:rsid w:val="009F47F4"/>
    <w:rsid w:val="009F4A54"/>
    <w:rsid w:val="009F4BEC"/>
    <w:rsid w:val="009F4F37"/>
    <w:rsid w:val="009F553B"/>
    <w:rsid w:val="009F5874"/>
    <w:rsid w:val="009F59FE"/>
    <w:rsid w:val="00A02886"/>
    <w:rsid w:val="00A043FB"/>
    <w:rsid w:val="00A045AB"/>
    <w:rsid w:val="00A04D18"/>
    <w:rsid w:val="00A0515F"/>
    <w:rsid w:val="00A0606B"/>
    <w:rsid w:val="00A061FC"/>
    <w:rsid w:val="00A06C25"/>
    <w:rsid w:val="00A0708C"/>
    <w:rsid w:val="00A07643"/>
    <w:rsid w:val="00A07CC1"/>
    <w:rsid w:val="00A10393"/>
    <w:rsid w:val="00A10857"/>
    <w:rsid w:val="00A11576"/>
    <w:rsid w:val="00A12211"/>
    <w:rsid w:val="00A122C5"/>
    <w:rsid w:val="00A144D4"/>
    <w:rsid w:val="00A169DC"/>
    <w:rsid w:val="00A16ECA"/>
    <w:rsid w:val="00A1772B"/>
    <w:rsid w:val="00A2261B"/>
    <w:rsid w:val="00A23DA6"/>
    <w:rsid w:val="00A240CB"/>
    <w:rsid w:val="00A242DE"/>
    <w:rsid w:val="00A2447F"/>
    <w:rsid w:val="00A2482E"/>
    <w:rsid w:val="00A24CB4"/>
    <w:rsid w:val="00A25FD7"/>
    <w:rsid w:val="00A263AC"/>
    <w:rsid w:val="00A26AF4"/>
    <w:rsid w:val="00A26DEA"/>
    <w:rsid w:val="00A27683"/>
    <w:rsid w:val="00A366F9"/>
    <w:rsid w:val="00A37064"/>
    <w:rsid w:val="00A3773C"/>
    <w:rsid w:val="00A40669"/>
    <w:rsid w:val="00A406BE"/>
    <w:rsid w:val="00A40880"/>
    <w:rsid w:val="00A43041"/>
    <w:rsid w:val="00A43AFF"/>
    <w:rsid w:val="00A454E3"/>
    <w:rsid w:val="00A458BF"/>
    <w:rsid w:val="00A46303"/>
    <w:rsid w:val="00A50F78"/>
    <w:rsid w:val="00A51DA4"/>
    <w:rsid w:val="00A52D39"/>
    <w:rsid w:val="00A532D3"/>
    <w:rsid w:val="00A537A1"/>
    <w:rsid w:val="00A5449F"/>
    <w:rsid w:val="00A60C76"/>
    <w:rsid w:val="00A60F91"/>
    <w:rsid w:val="00A619C0"/>
    <w:rsid w:val="00A62CF6"/>
    <w:rsid w:val="00A6411B"/>
    <w:rsid w:val="00A645DF"/>
    <w:rsid w:val="00A6492A"/>
    <w:rsid w:val="00A65095"/>
    <w:rsid w:val="00A66313"/>
    <w:rsid w:val="00A7111B"/>
    <w:rsid w:val="00A71EA8"/>
    <w:rsid w:val="00A731C3"/>
    <w:rsid w:val="00A73303"/>
    <w:rsid w:val="00A74AD1"/>
    <w:rsid w:val="00A7793A"/>
    <w:rsid w:val="00A77C02"/>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289B"/>
    <w:rsid w:val="00AA3E64"/>
    <w:rsid w:val="00AA4366"/>
    <w:rsid w:val="00AA4CC7"/>
    <w:rsid w:val="00AA535A"/>
    <w:rsid w:val="00AA583A"/>
    <w:rsid w:val="00AA5E8E"/>
    <w:rsid w:val="00AA7048"/>
    <w:rsid w:val="00AB0281"/>
    <w:rsid w:val="00AB0EB1"/>
    <w:rsid w:val="00AB163A"/>
    <w:rsid w:val="00AB1AF2"/>
    <w:rsid w:val="00AB225B"/>
    <w:rsid w:val="00AB2BAD"/>
    <w:rsid w:val="00AB3CF4"/>
    <w:rsid w:val="00AB46ED"/>
    <w:rsid w:val="00AB566F"/>
    <w:rsid w:val="00AB604C"/>
    <w:rsid w:val="00AB6CA7"/>
    <w:rsid w:val="00AB6D57"/>
    <w:rsid w:val="00AB6D86"/>
    <w:rsid w:val="00AB6DD5"/>
    <w:rsid w:val="00AC0BD4"/>
    <w:rsid w:val="00AC3B82"/>
    <w:rsid w:val="00AC3EF0"/>
    <w:rsid w:val="00AC422F"/>
    <w:rsid w:val="00AC45AE"/>
    <w:rsid w:val="00AD01E4"/>
    <w:rsid w:val="00AD0858"/>
    <w:rsid w:val="00AD17E6"/>
    <w:rsid w:val="00AD4D6E"/>
    <w:rsid w:val="00AD744F"/>
    <w:rsid w:val="00AD7D7C"/>
    <w:rsid w:val="00AE02E3"/>
    <w:rsid w:val="00AE1231"/>
    <w:rsid w:val="00AE168C"/>
    <w:rsid w:val="00AE262D"/>
    <w:rsid w:val="00AE2B11"/>
    <w:rsid w:val="00AE5145"/>
    <w:rsid w:val="00AE7340"/>
    <w:rsid w:val="00AF0BB5"/>
    <w:rsid w:val="00AF0C52"/>
    <w:rsid w:val="00AF1BBD"/>
    <w:rsid w:val="00AF246E"/>
    <w:rsid w:val="00AF29D5"/>
    <w:rsid w:val="00AF2D6B"/>
    <w:rsid w:val="00AF4CDE"/>
    <w:rsid w:val="00AF5249"/>
    <w:rsid w:val="00AF53F4"/>
    <w:rsid w:val="00AF794B"/>
    <w:rsid w:val="00B03139"/>
    <w:rsid w:val="00B03620"/>
    <w:rsid w:val="00B04948"/>
    <w:rsid w:val="00B052C2"/>
    <w:rsid w:val="00B05633"/>
    <w:rsid w:val="00B06FFE"/>
    <w:rsid w:val="00B077F9"/>
    <w:rsid w:val="00B10207"/>
    <w:rsid w:val="00B11EAF"/>
    <w:rsid w:val="00B13BDD"/>
    <w:rsid w:val="00B141E7"/>
    <w:rsid w:val="00B14213"/>
    <w:rsid w:val="00B15349"/>
    <w:rsid w:val="00B16417"/>
    <w:rsid w:val="00B16B69"/>
    <w:rsid w:val="00B17A8F"/>
    <w:rsid w:val="00B17D1F"/>
    <w:rsid w:val="00B2421A"/>
    <w:rsid w:val="00B2435A"/>
    <w:rsid w:val="00B24CD2"/>
    <w:rsid w:val="00B25B86"/>
    <w:rsid w:val="00B26197"/>
    <w:rsid w:val="00B26280"/>
    <w:rsid w:val="00B265A1"/>
    <w:rsid w:val="00B26626"/>
    <w:rsid w:val="00B31665"/>
    <w:rsid w:val="00B3194B"/>
    <w:rsid w:val="00B31D3C"/>
    <w:rsid w:val="00B3344F"/>
    <w:rsid w:val="00B3466A"/>
    <w:rsid w:val="00B351B4"/>
    <w:rsid w:val="00B351FA"/>
    <w:rsid w:val="00B35960"/>
    <w:rsid w:val="00B36664"/>
    <w:rsid w:val="00B40D0D"/>
    <w:rsid w:val="00B41DF4"/>
    <w:rsid w:val="00B4232B"/>
    <w:rsid w:val="00B42917"/>
    <w:rsid w:val="00B42993"/>
    <w:rsid w:val="00B43325"/>
    <w:rsid w:val="00B43898"/>
    <w:rsid w:val="00B45A6D"/>
    <w:rsid w:val="00B46BCA"/>
    <w:rsid w:val="00B47528"/>
    <w:rsid w:val="00B478AA"/>
    <w:rsid w:val="00B52415"/>
    <w:rsid w:val="00B5293D"/>
    <w:rsid w:val="00B554FE"/>
    <w:rsid w:val="00B55692"/>
    <w:rsid w:val="00B56028"/>
    <w:rsid w:val="00B565C7"/>
    <w:rsid w:val="00B5711A"/>
    <w:rsid w:val="00B57D8C"/>
    <w:rsid w:val="00B600A4"/>
    <w:rsid w:val="00B600FD"/>
    <w:rsid w:val="00B601FD"/>
    <w:rsid w:val="00B61D64"/>
    <w:rsid w:val="00B64F3D"/>
    <w:rsid w:val="00B65F61"/>
    <w:rsid w:val="00B665CD"/>
    <w:rsid w:val="00B6735F"/>
    <w:rsid w:val="00B710D7"/>
    <w:rsid w:val="00B72E5C"/>
    <w:rsid w:val="00B74125"/>
    <w:rsid w:val="00B744B8"/>
    <w:rsid w:val="00B754FA"/>
    <w:rsid w:val="00B75663"/>
    <w:rsid w:val="00B76A1F"/>
    <w:rsid w:val="00B76A8B"/>
    <w:rsid w:val="00B77482"/>
    <w:rsid w:val="00B77CD0"/>
    <w:rsid w:val="00B80A4C"/>
    <w:rsid w:val="00B80A53"/>
    <w:rsid w:val="00B8131D"/>
    <w:rsid w:val="00B825C2"/>
    <w:rsid w:val="00B82619"/>
    <w:rsid w:val="00B82883"/>
    <w:rsid w:val="00B82DE0"/>
    <w:rsid w:val="00B83CA6"/>
    <w:rsid w:val="00B83F64"/>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A5C68"/>
    <w:rsid w:val="00BB6133"/>
    <w:rsid w:val="00BB6691"/>
    <w:rsid w:val="00BB6A96"/>
    <w:rsid w:val="00BB751A"/>
    <w:rsid w:val="00BC24A1"/>
    <w:rsid w:val="00BC38FD"/>
    <w:rsid w:val="00BC3C53"/>
    <w:rsid w:val="00BC4C9E"/>
    <w:rsid w:val="00BC58DA"/>
    <w:rsid w:val="00BC5BEC"/>
    <w:rsid w:val="00BD1F61"/>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DF6"/>
    <w:rsid w:val="00BF316F"/>
    <w:rsid w:val="00BF350D"/>
    <w:rsid w:val="00BF4A8F"/>
    <w:rsid w:val="00BF4C2F"/>
    <w:rsid w:val="00BF5A0E"/>
    <w:rsid w:val="00BF69C9"/>
    <w:rsid w:val="00BF737C"/>
    <w:rsid w:val="00BF7F5D"/>
    <w:rsid w:val="00C00DFC"/>
    <w:rsid w:val="00C01D40"/>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640B"/>
    <w:rsid w:val="00C170C2"/>
    <w:rsid w:val="00C17547"/>
    <w:rsid w:val="00C17897"/>
    <w:rsid w:val="00C17F23"/>
    <w:rsid w:val="00C202E9"/>
    <w:rsid w:val="00C2199B"/>
    <w:rsid w:val="00C21A7C"/>
    <w:rsid w:val="00C22ACF"/>
    <w:rsid w:val="00C23D5E"/>
    <w:rsid w:val="00C24D55"/>
    <w:rsid w:val="00C2650A"/>
    <w:rsid w:val="00C273C7"/>
    <w:rsid w:val="00C30D93"/>
    <w:rsid w:val="00C312D2"/>
    <w:rsid w:val="00C3136D"/>
    <w:rsid w:val="00C32B95"/>
    <w:rsid w:val="00C32CD4"/>
    <w:rsid w:val="00C32EF4"/>
    <w:rsid w:val="00C357DB"/>
    <w:rsid w:val="00C36017"/>
    <w:rsid w:val="00C362A6"/>
    <w:rsid w:val="00C367C9"/>
    <w:rsid w:val="00C368B1"/>
    <w:rsid w:val="00C36AE6"/>
    <w:rsid w:val="00C40052"/>
    <w:rsid w:val="00C409D5"/>
    <w:rsid w:val="00C435C3"/>
    <w:rsid w:val="00C43912"/>
    <w:rsid w:val="00C43FAE"/>
    <w:rsid w:val="00C4460E"/>
    <w:rsid w:val="00C44B9B"/>
    <w:rsid w:val="00C44CC9"/>
    <w:rsid w:val="00C44E5F"/>
    <w:rsid w:val="00C45493"/>
    <w:rsid w:val="00C46B05"/>
    <w:rsid w:val="00C4722C"/>
    <w:rsid w:val="00C50334"/>
    <w:rsid w:val="00C51595"/>
    <w:rsid w:val="00C51666"/>
    <w:rsid w:val="00C51B7C"/>
    <w:rsid w:val="00C52727"/>
    <w:rsid w:val="00C60C51"/>
    <w:rsid w:val="00C61B63"/>
    <w:rsid w:val="00C6234B"/>
    <w:rsid w:val="00C63EAE"/>
    <w:rsid w:val="00C653BA"/>
    <w:rsid w:val="00C656EE"/>
    <w:rsid w:val="00C7000E"/>
    <w:rsid w:val="00C70E01"/>
    <w:rsid w:val="00C73260"/>
    <w:rsid w:val="00C74B5F"/>
    <w:rsid w:val="00C7540C"/>
    <w:rsid w:val="00C7629F"/>
    <w:rsid w:val="00C766DB"/>
    <w:rsid w:val="00C771BE"/>
    <w:rsid w:val="00C823AC"/>
    <w:rsid w:val="00C83796"/>
    <w:rsid w:val="00C851C0"/>
    <w:rsid w:val="00C856E8"/>
    <w:rsid w:val="00C85990"/>
    <w:rsid w:val="00C86023"/>
    <w:rsid w:val="00C8661B"/>
    <w:rsid w:val="00C87F56"/>
    <w:rsid w:val="00C92DD1"/>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4F3A"/>
    <w:rsid w:val="00CA51FC"/>
    <w:rsid w:val="00CA555C"/>
    <w:rsid w:val="00CA77FB"/>
    <w:rsid w:val="00CA793D"/>
    <w:rsid w:val="00CA7942"/>
    <w:rsid w:val="00CB026C"/>
    <w:rsid w:val="00CB0C67"/>
    <w:rsid w:val="00CB12E8"/>
    <w:rsid w:val="00CB169F"/>
    <w:rsid w:val="00CB2886"/>
    <w:rsid w:val="00CB3293"/>
    <w:rsid w:val="00CB379B"/>
    <w:rsid w:val="00CB3BF4"/>
    <w:rsid w:val="00CB4074"/>
    <w:rsid w:val="00CB454A"/>
    <w:rsid w:val="00CB4F88"/>
    <w:rsid w:val="00CB5DD0"/>
    <w:rsid w:val="00CB7813"/>
    <w:rsid w:val="00CC06BA"/>
    <w:rsid w:val="00CC269A"/>
    <w:rsid w:val="00CC4757"/>
    <w:rsid w:val="00CC4AD9"/>
    <w:rsid w:val="00CC51D4"/>
    <w:rsid w:val="00CC65DA"/>
    <w:rsid w:val="00CC6C62"/>
    <w:rsid w:val="00CD1043"/>
    <w:rsid w:val="00CD13F3"/>
    <w:rsid w:val="00CD14B9"/>
    <w:rsid w:val="00CD1962"/>
    <w:rsid w:val="00CD46B3"/>
    <w:rsid w:val="00CD692C"/>
    <w:rsid w:val="00CD6C8C"/>
    <w:rsid w:val="00CD7B7C"/>
    <w:rsid w:val="00CE02A6"/>
    <w:rsid w:val="00CE11CC"/>
    <w:rsid w:val="00CE18A4"/>
    <w:rsid w:val="00CE2AA7"/>
    <w:rsid w:val="00CE31D4"/>
    <w:rsid w:val="00CE4916"/>
    <w:rsid w:val="00CE5AA0"/>
    <w:rsid w:val="00CE5F1D"/>
    <w:rsid w:val="00CF0103"/>
    <w:rsid w:val="00CF174F"/>
    <w:rsid w:val="00CF18AF"/>
    <w:rsid w:val="00CF18FA"/>
    <w:rsid w:val="00CF21B9"/>
    <w:rsid w:val="00CF2A2D"/>
    <w:rsid w:val="00CF6BF9"/>
    <w:rsid w:val="00D00748"/>
    <w:rsid w:val="00D02A5C"/>
    <w:rsid w:val="00D03745"/>
    <w:rsid w:val="00D03800"/>
    <w:rsid w:val="00D065D3"/>
    <w:rsid w:val="00D06B96"/>
    <w:rsid w:val="00D10C65"/>
    <w:rsid w:val="00D10DD2"/>
    <w:rsid w:val="00D11C4B"/>
    <w:rsid w:val="00D12AEC"/>
    <w:rsid w:val="00D13799"/>
    <w:rsid w:val="00D14142"/>
    <w:rsid w:val="00D14C94"/>
    <w:rsid w:val="00D20068"/>
    <w:rsid w:val="00D20C48"/>
    <w:rsid w:val="00D215E1"/>
    <w:rsid w:val="00D21DF3"/>
    <w:rsid w:val="00D231C8"/>
    <w:rsid w:val="00D256FA"/>
    <w:rsid w:val="00D25F2C"/>
    <w:rsid w:val="00D26D63"/>
    <w:rsid w:val="00D27672"/>
    <w:rsid w:val="00D27F49"/>
    <w:rsid w:val="00D30CE1"/>
    <w:rsid w:val="00D31C4A"/>
    <w:rsid w:val="00D32F94"/>
    <w:rsid w:val="00D332EE"/>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46EAD"/>
    <w:rsid w:val="00D524B1"/>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77B9E"/>
    <w:rsid w:val="00D80C9F"/>
    <w:rsid w:val="00D829B1"/>
    <w:rsid w:val="00D8377A"/>
    <w:rsid w:val="00D84D15"/>
    <w:rsid w:val="00D85297"/>
    <w:rsid w:val="00D85B77"/>
    <w:rsid w:val="00D87054"/>
    <w:rsid w:val="00D87308"/>
    <w:rsid w:val="00D9080F"/>
    <w:rsid w:val="00D91E04"/>
    <w:rsid w:val="00D94CCE"/>
    <w:rsid w:val="00D95055"/>
    <w:rsid w:val="00D95AA4"/>
    <w:rsid w:val="00D964EE"/>
    <w:rsid w:val="00D979E4"/>
    <w:rsid w:val="00DA0339"/>
    <w:rsid w:val="00DA59D4"/>
    <w:rsid w:val="00DA5ADC"/>
    <w:rsid w:val="00DA61BD"/>
    <w:rsid w:val="00DA653F"/>
    <w:rsid w:val="00DA6EF0"/>
    <w:rsid w:val="00DA78EC"/>
    <w:rsid w:val="00DA7CAD"/>
    <w:rsid w:val="00DB020A"/>
    <w:rsid w:val="00DB182C"/>
    <w:rsid w:val="00DB2582"/>
    <w:rsid w:val="00DB390F"/>
    <w:rsid w:val="00DB5402"/>
    <w:rsid w:val="00DB62A2"/>
    <w:rsid w:val="00DB77DF"/>
    <w:rsid w:val="00DC02C0"/>
    <w:rsid w:val="00DC0F46"/>
    <w:rsid w:val="00DC1AB9"/>
    <w:rsid w:val="00DC22D8"/>
    <w:rsid w:val="00DC292D"/>
    <w:rsid w:val="00DC2DB9"/>
    <w:rsid w:val="00DC30E6"/>
    <w:rsid w:val="00DC32A9"/>
    <w:rsid w:val="00DC3445"/>
    <w:rsid w:val="00DC3BD1"/>
    <w:rsid w:val="00DC4047"/>
    <w:rsid w:val="00DC4BB6"/>
    <w:rsid w:val="00DC5A3D"/>
    <w:rsid w:val="00DC61DA"/>
    <w:rsid w:val="00DC756E"/>
    <w:rsid w:val="00DC7B09"/>
    <w:rsid w:val="00DD096C"/>
    <w:rsid w:val="00DD236B"/>
    <w:rsid w:val="00DD3302"/>
    <w:rsid w:val="00DD3943"/>
    <w:rsid w:val="00DD4F0E"/>
    <w:rsid w:val="00DD54ED"/>
    <w:rsid w:val="00DD5F22"/>
    <w:rsid w:val="00DD763B"/>
    <w:rsid w:val="00DE0C49"/>
    <w:rsid w:val="00DE0DD9"/>
    <w:rsid w:val="00DE1D45"/>
    <w:rsid w:val="00DE481D"/>
    <w:rsid w:val="00DE4ACD"/>
    <w:rsid w:val="00DE74ED"/>
    <w:rsid w:val="00DE7A52"/>
    <w:rsid w:val="00DE7B7E"/>
    <w:rsid w:val="00DF004C"/>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1AF5"/>
    <w:rsid w:val="00E24036"/>
    <w:rsid w:val="00E240E2"/>
    <w:rsid w:val="00E24857"/>
    <w:rsid w:val="00E25479"/>
    <w:rsid w:val="00E26F95"/>
    <w:rsid w:val="00E27608"/>
    <w:rsid w:val="00E3092E"/>
    <w:rsid w:val="00E3419F"/>
    <w:rsid w:val="00E348B6"/>
    <w:rsid w:val="00E35613"/>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2EDC"/>
    <w:rsid w:val="00E73CF4"/>
    <w:rsid w:val="00E76552"/>
    <w:rsid w:val="00E770BB"/>
    <w:rsid w:val="00E77C52"/>
    <w:rsid w:val="00E80AA0"/>
    <w:rsid w:val="00E81AA5"/>
    <w:rsid w:val="00E81CB4"/>
    <w:rsid w:val="00E82A33"/>
    <w:rsid w:val="00E8393E"/>
    <w:rsid w:val="00E83DD8"/>
    <w:rsid w:val="00E83F58"/>
    <w:rsid w:val="00E8548B"/>
    <w:rsid w:val="00E8585B"/>
    <w:rsid w:val="00E85C1F"/>
    <w:rsid w:val="00E86C55"/>
    <w:rsid w:val="00E87CCE"/>
    <w:rsid w:val="00E87F41"/>
    <w:rsid w:val="00E90E21"/>
    <w:rsid w:val="00E90F09"/>
    <w:rsid w:val="00E92880"/>
    <w:rsid w:val="00E92D2E"/>
    <w:rsid w:val="00E9330F"/>
    <w:rsid w:val="00E95049"/>
    <w:rsid w:val="00E95321"/>
    <w:rsid w:val="00E95572"/>
    <w:rsid w:val="00E959C0"/>
    <w:rsid w:val="00E96025"/>
    <w:rsid w:val="00E97083"/>
    <w:rsid w:val="00E973B0"/>
    <w:rsid w:val="00EA20BE"/>
    <w:rsid w:val="00EA3193"/>
    <w:rsid w:val="00EA396E"/>
    <w:rsid w:val="00EA3F15"/>
    <w:rsid w:val="00EA5C47"/>
    <w:rsid w:val="00EA5CB1"/>
    <w:rsid w:val="00EA5F40"/>
    <w:rsid w:val="00EA69C9"/>
    <w:rsid w:val="00EA7847"/>
    <w:rsid w:val="00EA7BB7"/>
    <w:rsid w:val="00EB16F4"/>
    <w:rsid w:val="00EB29E1"/>
    <w:rsid w:val="00EB2AD3"/>
    <w:rsid w:val="00EB2F92"/>
    <w:rsid w:val="00EB352A"/>
    <w:rsid w:val="00EB3D1E"/>
    <w:rsid w:val="00EB432F"/>
    <w:rsid w:val="00EB4C2F"/>
    <w:rsid w:val="00EB5054"/>
    <w:rsid w:val="00EB6E9E"/>
    <w:rsid w:val="00EC0085"/>
    <w:rsid w:val="00EC24EC"/>
    <w:rsid w:val="00EC2AFB"/>
    <w:rsid w:val="00EC5748"/>
    <w:rsid w:val="00EC5A4B"/>
    <w:rsid w:val="00EC688C"/>
    <w:rsid w:val="00ED0150"/>
    <w:rsid w:val="00ED0D19"/>
    <w:rsid w:val="00ED130C"/>
    <w:rsid w:val="00ED2AFF"/>
    <w:rsid w:val="00ED3DCD"/>
    <w:rsid w:val="00ED5D82"/>
    <w:rsid w:val="00ED5FF2"/>
    <w:rsid w:val="00ED7DB3"/>
    <w:rsid w:val="00EE14D6"/>
    <w:rsid w:val="00EE1951"/>
    <w:rsid w:val="00EE259D"/>
    <w:rsid w:val="00EE29C0"/>
    <w:rsid w:val="00EE2E6E"/>
    <w:rsid w:val="00EE36B2"/>
    <w:rsid w:val="00EE3FCD"/>
    <w:rsid w:val="00EE4FE4"/>
    <w:rsid w:val="00EE5E86"/>
    <w:rsid w:val="00EE5FCC"/>
    <w:rsid w:val="00EE62C0"/>
    <w:rsid w:val="00EE64AA"/>
    <w:rsid w:val="00EE76C0"/>
    <w:rsid w:val="00EF3279"/>
    <w:rsid w:val="00EF6391"/>
    <w:rsid w:val="00F0030B"/>
    <w:rsid w:val="00F0035C"/>
    <w:rsid w:val="00F00B67"/>
    <w:rsid w:val="00F00C90"/>
    <w:rsid w:val="00F01EB4"/>
    <w:rsid w:val="00F02C0E"/>
    <w:rsid w:val="00F03850"/>
    <w:rsid w:val="00F044B6"/>
    <w:rsid w:val="00F04810"/>
    <w:rsid w:val="00F04C88"/>
    <w:rsid w:val="00F04F0D"/>
    <w:rsid w:val="00F0759E"/>
    <w:rsid w:val="00F11188"/>
    <w:rsid w:val="00F13E43"/>
    <w:rsid w:val="00F144BE"/>
    <w:rsid w:val="00F16A43"/>
    <w:rsid w:val="00F178D8"/>
    <w:rsid w:val="00F17914"/>
    <w:rsid w:val="00F17B18"/>
    <w:rsid w:val="00F219B9"/>
    <w:rsid w:val="00F224BD"/>
    <w:rsid w:val="00F231C2"/>
    <w:rsid w:val="00F2375C"/>
    <w:rsid w:val="00F23E4C"/>
    <w:rsid w:val="00F246AE"/>
    <w:rsid w:val="00F25FBE"/>
    <w:rsid w:val="00F270E9"/>
    <w:rsid w:val="00F2718C"/>
    <w:rsid w:val="00F304FE"/>
    <w:rsid w:val="00F30572"/>
    <w:rsid w:val="00F3147E"/>
    <w:rsid w:val="00F3199B"/>
    <w:rsid w:val="00F320B2"/>
    <w:rsid w:val="00F35F07"/>
    <w:rsid w:val="00F36702"/>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00D4"/>
    <w:rsid w:val="00F6205E"/>
    <w:rsid w:val="00F62A1B"/>
    <w:rsid w:val="00F64373"/>
    <w:rsid w:val="00F678DC"/>
    <w:rsid w:val="00F70043"/>
    <w:rsid w:val="00F72B25"/>
    <w:rsid w:val="00F73E95"/>
    <w:rsid w:val="00F74C38"/>
    <w:rsid w:val="00F75FF9"/>
    <w:rsid w:val="00F7693A"/>
    <w:rsid w:val="00F76BB6"/>
    <w:rsid w:val="00F76C1D"/>
    <w:rsid w:val="00F7760D"/>
    <w:rsid w:val="00F77B04"/>
    <w:rsid w:val="00F77B98"/>
    <w:rsid w:val="00F77D2D"/>
    <w:rsid w:val="00F800C1"/>
    <w:rsid w:val="00F80317"/>
    <w:rsid w:val="00F821A3"/>
    <w:rsid w:val="00F84552"/>
    <w:rsid w:val="00F84C8C"/>
    <w:rsid w:val="00F86162"/>
    <w:rsid w:val="00F91043"/>
    <w:rsid w:val="00F91C11"/>
    <w:rsid w:val="00F9246F"/>
    <w:rsid w:val="00F9309A"/>
    <w:rsid w:val="00F9314A"/>
    <w:rsid w:val="00F940B2"/>
    <w:rsid w:val="00F94902"/>
    <w:rsid w:val="00F95AF6"/>
    <w:rsid w:val="00F95D08"/>
    <w:rsid w:val="00F9742E"/>
    <w:rsid w:val="00FA1462"/>
    <w:rsid w:val="00FA5BD7"/>
    <w:rsid w:val="00FA75EC"/>
    <w:rsid w:val="00FB19E8"/>
    <w:rsid w:val="00FB1DA9"/>
    <w:rsid w:val="00FB24A5"/>
    <w:rsid w:val="00FB2A38"/>
    <w:rsid w:val="00FB2CA8"/>
    <w:rsid w:val="00FB397E"/>
    <w:rsid w:val="00FB41DE"/>
    <w:rsid w:val="00FB5CA9"/>
    <w:rsid w:val="00FB5EC8"/>
    <w:rsid w:val="00FB5FC2"/>
    <w:rsid w:val="00FB61D1"/>
    <w:rsid w:val="00FB67F1"/>
    <w:rsid w:val="00FB6C27"/>
    <w:rsid w:val="00FB7A02"/>
    <w:rsid w:val="00FC4B39"/>
    <w:rsid w:val="00FC4BFD"/>
    <w:rsid w:val="00FC524D"/>
    <w:rsid w:val="00FC5798"/>
    <w:rsid w:val="00FC58EF"/>
    <w:rsid w:val="00FC5ADC"/>
    <w:rsid w:val="00FC64D4"/>
    <w:rsid w:val="00FC783B"/>
    <w:rsid w:val="00FC786D"/>
    <w:rsid w:val="00FD1049"/>
    <w:rsid w:val="00FD1785"/>
    <w:rsid w:val="00FD2D52"/>
    <w:rsid w:val="00FD30C0"/>
    <w:rsid w:val="00FD33DF"/>
    <w:rsid w:val="00FD3CBE"/>
    <w:rsid w:val="00FD5320"/>
    <w:rsid w:val="00FD69A5"/>
    <w:rsid w:val="00FE304A"/>
    <w:rsid w:val="00FE38A0"/>
    <w:rsid w:val="00FE39D7"/>
    <w:rsid w:val="00FE460F"/>
    <w:rsid w:val="00FE4ECD"/>
    <w:rsid w:val="00FE6205"/>
    <w:rsid w:val="00FE672B"/>
    <w:rsid w:val="00FE771C"/>
    <w:rsid w:val="00FE7EAA"/>
    <w:rsid w:val="00FF0A41"/>
    <w:rsid w:val="00FF2D46"/>
    <w:rsid w:val="00FF4689"/>
    <w:rsid w:val="00FF4760"/>
    <w:rsid w:val="00FF4827"/>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586873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0787-635D-4793-9B7C-BA7830E4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4980</Words>
  <Characters>27395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32311</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2020-06-19T13:28:00Z</cp:lastPrinted>
  <dcterms:created xsi:type="dcterms:W3CDTF">2020-06-23T22:18:00Z</dcterms:created>
  <dcterms:modified xsi:type="dcterms:W3CDTF">2020-06-23T22:18:00Z</dcterms:modified>
</cp:coreProperties>
</file>