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5A5339"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8694"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Pr="007507BF" w:rsidRDefault="00D126E3" w:rsidP="00D126E3">
      <w:pPr>
        <w:tabs>
          <w:tab w:val="left" w:pos="0"/>
          <w:tab w:val="right" w:pos="9498"/>
        </w:tabs>
        <w:ind w:left="0" w:right="-142"/>
        <w:jc w:val="center"/>
        <w:rPr>
          <w:rFonts w:ascii="Bookman Old Style" w:hAnsi="Bookman Old Style"/>
          <w:sz w:val="20"/>
          <w:lang w:val="es-ES_tradnl"/>
        </w:rPr>
      </w:pPr>
    </w:p>
    <w:p w:rsidR="00D126E3" w:rsidRDefault="00D126E3" w:rsidP="00D126E3">
      <w:pPr>
        <w:tabs>
          <w:tab w:val="right" w:pos="9498"/>
        </w:tabs>
        <w:ind w:left="0" w:right="-142"/>
        <w:rPr>
          <w:rFonts w:ascii="Bookman Old Style" w:hAnsi="Bookman Old Style"/>
          <w:bCs/>
          <w:sz w:val="22"/>
          <w:lang w:val="es-CO"/>
        </w:rPr>
      </w:pPr>
    </w:p>
    <w:p w:rsidR="00DA3ED9" w:rsidRPr="007507BF" w:rsidRDefault="00DA3ED9"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3F6FB4">
        <w:rPr>
          <w:rFonts w:ascii="Bookman Old Style" w:hAnsi="Bookman Old Style"/>
          <w:bCs/>
          <w:lang w:val="es-CO"/>
        </w:rPr>
        <w:t>Granados Gómez y Cía.</w:t>
      </w:r>
      <w:r w:rsidR="00EC3BB2">
        <w:rPr>
          <w:rFonts w:ascii="Bookman Old Style" w:hAnsi="Bookman Old Style"/>
          <w:bCs/>
          <w:lang w:val="es-CO"/>
        </w:rPr>
        <w:t xml:space="preserve"> S.A. E.S.P.</w:t>
      </w:r>
      <w:r w:rsidRPr="00D7035A">
        <w:rPr>
          <w:rFonts w:ascii="Bookman Old Style" w:hAnsi="Bookman Old Style"/>
          <w:bCs/>
          <w:lang w:val="es-CO"/>
        </w:rPr>
        <w:t xml:space="preserve"> contra la Resolución CREG </w:t>
      </w:r>
      <w:r w:rsidR="00EC3BB2">
        <w:rPr>
          <w:rFonts w:ascii="Bookman Old Style" w:hAnsi="Bookman Old Style"/>
          <w:bCs/>
          <w:lang w:val="es-CO"/>
        </w:rPr>
        <w:t>075 de 2016</w:t>
      </w:r>
      <w:r w:rsidRPr="00D7035A">
        <w:rPr>
          <w:rFonts w:ascii="Bookman Old Style" w:hAnsi="Bookman Old Style"/>
          <w:bCs/>
          <w:lang w:val="es-CO"/>
        </w:rPr>
        <w:t>.</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Pr="003234E2" w:rsidRDefault="00D126E3"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EC3BB2" w:rsidRPr="003234E2" w:rsidRDefault="00EC3BB2" w:rsidP="00EC3BB2">
      <w:pPr>
        <w:tabs>
          <w:tab w:val="right" w:pos="9498"/>
        </w:tabs>
        <w:ind w:left="0" w:right="-142"/>
        <w:jc w:val="center"/>
        <w:rPr>
          <w:rFonts w:ascii="Bookman Old Style" w:hAnsi="Bookman Old Style" w:cs="Arial"/>
          <w:sz w:val="22"/>
        </w:rPr>
      </w:pPr>
    </w:p>
    <w:p w:rsidR="00D126E3" w:rsidRPr="003234E2" w:rsidRDefault="00D126E3" w:rsidP="00D126E3">
      <w:pPr>
        <w:tabs>
          <w:tab w:val="right" w:pos="9498"/>
        </w:tabs>
        <w:ind w:left="0" w:right="-142"/>
        <w:jc w:val="both"/>
        <w:rPr>
          <w:rFonts w:ascii="Bookman Old Style" w:hAnsi="Bookman Old Style" w:cs="Arial"/>
          <w:sz w:val="22"/>
        </w:rPr>
      </w:pPr>
    </w:p>
    <w:p w:rsidR="00D126E3" w:rsidRDefault="00D126E3" w:rsidP="00D126E3">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D126E3" w:rsidRPr="003234E2" w:rsidRDefault="00D126E3" w:rsidP="00D126E3">
      <w:pPr>
        <w:tabs>
          <w:tab w:val="right" w:pos="9498"/>
        </w:tabs>
        <w:ind w:left="0" w:right="-142"/>
        <w:jc w:val="center"/>
        <w:rPr>
          <w:rFonts w:ascii="Bookman Old Style" w:hAnsi="Bookman Old Style" w:cs="Arial"/>
          <w:b/>
          <w:sz w:val="20"/>
        </w:rPr>
      </w:pPr>
    </w:p>
    <w:p w:rsidR="00D126E3" w:rsidRDefault="00D126E3" w:rsidP="00D126E3">
      <w:pPr>
        <w:tabs>
          <w:tab w:val="right" w:pos="9498"/>
        </w:tabs>
        <w:ind w:left="0" w:right="-142"/>
        <w:jc w:val="center"/>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w:t>
      </w:r>
      <w:r w:rsidRPr="00EC3BB2">
        <w:rPr>
          <w:rFonts w:ascii="Bookman Old Style" w:hAnsi="Bookman Old Style" w:cs="Arial"/>
          <w:spacing w:val="-5"/>
          <w:lang w:val="es-CO" w:eastAsia="en-US"/>
        </w:rPr>
        <w:lastRenderedPageBreak/>
        <w:t>dicha norma, atendiendo la capacidad de envase en kilogramos registrado de acuerdo 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00361AE0">
        <w:rPr>
          <w:rFonts w:ascii="Bookman Old Style" w:hAnsi="Bookman Old Style" w:cs="Arial"/>
          <w:b/>
          <w:noProof/>
          <w:sz w:val="22"/>
          <w:szCs w:val="22"/>
        </w:rPr>
        <w:t>1</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B20CD2" w:rsidRDefault="00B20CD2"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r w:rsidRPr="00EC3BB2">
        <w:rPr>
          <w:rFonts w:ascii="Bookman Old Style" w:hAnsi="Bookman Old Style"/>
          <w:sz w:val="22"/>
          <w:szCs w:val="22"/>
        </w:rPr>
        <w:t>donde,</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B20CD2"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5A5339"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5A5339"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5A5339"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B20CD2"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B20CD2"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B20CD2" w:rsidRDefault="005A5339"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5A5339"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5A5339"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B20CD2"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B20CD2"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B20CD2" w:rsidRDefault="00B20CD2"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r w:rsidRPr="00EC3BB2">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B20CD2"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B20CD2"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B20CD2" w:rsidRDefault="00B20CD2"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B20CD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B20CD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B20CD2"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B20CD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B20CD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B20CD2" w:rsidRDefault="00B20CD2"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B20CD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B20CD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B20CD2"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B20CD2" w:rsidRDefault="00B20CD2"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B20CD2"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B20CD2"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B20CD2"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B20CD2"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B20CD2"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C3BB2">
        <w:rPr>
          <w:rFonts w:ascii="Bookman Old Style" w:hAnsi="Bookman Old Style" w:cs="Arial"/>
          <w:b/>
          <w:sz w:val="22"/>
          <w:szCs w:val="22"/>
        </w:rPr>
        <w:t xml:space="preserve">“Artículo 9. Determinación y publicación de información. </w:t>
      </w:r>
      <w:r w:rsidRPr="00EC3BB2">
        <w:rPr>
          <w:rFonts w:ascii="Bookman Old Style" w:hAnsi="Bookman Old Style" w:cs="Arial"/>
          <w:sz w:val="22"/>
          <w:szCs w:val="22"/>
        </w:rPr>
        <w:t xml:space="preserve">Atendiendo lo dispuesto en el artículo anterior, </w:t>
      </w:r>
      <w:r w:rsidRPr="00EC3BB2">
        <w:rPr>
          <w:rFonts w:ascii="Bookman Old Style" w:hAnsi="Bookman Old Style" w:cs="Arial"/>
          <w:b/>
          <w:sz w:val="22"/>
          <w:szCs w:val="22"/>
          <w:u w:val="single"/>
        </w:rPr>
        <w:t>la CREG determinará</w:t>
      </w:r>
      <w:r w:rsidRPr="00EC3BB2">
        <w:rPr>
          <w:rFonts w:ascii="Bookman Old Style" w:hAnsi="Bookman Old Style" w:cs="Arial"/>
          <w:sz w:val="22"/>
          <w:szCs w:val="22"/>
        </w:rPr>
        <w:t xml:space="preserve"> y publicará, por lo menos con un (1) mes de anterioridad al inicio del periodo de compra, la capacidad de compra de cada distribuidor, </w:t>
      </w:r>
      <w:r w:rsidRPr="00EC3BB2">
        <w:rPr>
          <w:rFonts w:ascii="Bookman Old Style" w:hAnsi="Bookman Old Style" w:cs="Arial"/>
          <w:b/>
          <w:sz w:val="22"/>
          <w:szCs w:val="22"/>
          <w:u w:val="single"/>
        </w:rPr>
        <w:t>con información reportada al SUI, hasta el día 10 del mes correspondiente.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C3BB2">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B3BE1">
        <w:rPr>
          <w:rFonts w:ascii="Bookman Old Style" w:hAnsi="Bookman Old Style" w:cs="Arial"/>
          <w:i/>
          <w:color w:val="000000"/>
          <w:sz w:val="22"/>
          <w:szCs w:val="22"/>
          <w:lang w:val="es-CO" w:eastAsia="es-CO"/>
        </w:rPr>
        <w:t>"</w:t>
      </w:r>
      <w:r w:rsidRPr="00EB3BE1">
        <w:rPr>
          <w:rFonts w:ascii="Bookman Old Style" w:hAnsi="Bookman Old Style" w:cs="Arial"/>
          <w:b/>
          <w:sz w:val="22"/>
          <w:szCs w:val="22"/>
          <w:lang w:val="es-ES_tradnl" w:eastAsia="ar-SA"/>
        </w:rPr>
        <w:t>Artículo nuevo. Del sistema único de información</w:t>
      </w:r>
      <w:r w:rsidRPr="00EB3BE1">
        <w:rPr>
          <w:rFonts w:ascii="Bookman Old Style" w:hAnsi="Bookman Old Style" w:cs="Arial"/>
          <w:sz w:val="22"/>
          <w:szCs w:val="22"/>
          <w:lang w:val="es-ES_tradnl" w:eastAsia="ar-SA"/>
        </w:rPr>
        <w:t xml:space="preserve">. </w:t>
      </w:r>
      <w:r w:rsidRPr="00EB3BE1">
        <w:rPr>
          <w:rFonts w:ascii="Bookman Old Style" w:hAnsi="Bookman Old Style" w:cs="Arial"/>
          <w:b/>
          <w:sz w:val="22"/>
          <w:szCs w:val="22"/>
          <w:lang w:val="es-ES_tradnl" w:eastAsia="ar-SA"/>
        </w:rPr>
        <w:t xml:space="preserve">Corresponde a la Superintendencia de Servicios Públicos Domiciliarios, en desarrollo de sus funciones de inspección y vigilancia, establecer, administrar, mantener y operar </w:t>
      </w:r>
      <w:r w:rsidRPr="00EB3BE1">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B3BE1">
        <w:rPr>
          <w:rFonts w:ascii="Bookman Old Style" w:hAnsi="Bookman Old Style" w:cs="Arial"/>
          <w:b/>
          <w:sz w:val="22"/>
          <w:szCs w:val="22"/>
          <w:lang w:val="es-ES_tradnl" w:eastAsia="ar-SA"/>
        </w:rPr>
        <w:t xml:space="preserve"> </w:t>
      </w:r>
      <w:r w:rsidRPr="00EB3BE1">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B3BE1">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B3BE1">
        <w:rPr>
          <w:rFonts w:ascii="Bookman Old Style" w:hAnsi="Bookman Old Style" w:cs="Arial"/>
          <w:sz w:val="22"/>
          <w:szCs w:val="22"/>
          <w:lang w:val="es-ES_tradnl" w:eastAsia="ar-SA"/>
        </w:rPr>
        <w:t>1. Evitar la duplicidad de funciones en materia de información relativa a los servicios públicos.</w:t>
      </w: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B3BE1">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B3BE1">
        <w:rPr>
          <w:rFonts w:ascii="Bookman Old Style" w:hAnsi="Bookman Old Style" w:cs="Arial"/>
          <w:sz w:val="22"/>
          <w:szCs w:val="22"/>
          <w:lang w:val="es-ES_tradnl" w:eastAsia="ar-SA"/>
        </w:rPr>
        <w:t>(…)</w:t>
      </w: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B3BE1">
        <w:rPr>
          <w:rFonts w:ascii="Bookman Old Style" w:hAnsi="Bookman Old Style" w:cs="Arial"/>
          <w:b/>
          <w:sz w:val="22"/>
          <w:szCs w:val="22"/>
          <w:u w:val="single"/>
          <w:lang w:val="es-ES_tradnl" w:eastAsia="ar-SA"/>
        </w:rPr>
        <w:t>4. Apoyar las funciones asignadas a las Comisiones de Regulación.</w:t>
      </w: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B3BE1">
        <w:rPr>
          <w:rFonts w:ascii="Bookman Old Style" w:hAnsi="Bookman Old Style" w:cs="Arial"/>
          <w:sz w:val="22"/>
          <w:szCs w:val="22"/>
          <w:lang w:val="es-ES_tradnl" w:eastAsia="ar-SA"/>
        </w:rPr>
        <w:t>(…)</w:t>
      </w: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B3BE1">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B3BE1">
        <w:rPr>
          <w:rFonts w:ascii="Bookman Old Style" w:hAnsi="Bookman Old Style" w:cs="Arial"/>
          <w:b/>
          <w:sz w:val="22"/>
          <w:szCs w:val="22"/>
          <w:lang w:val="es-ES_tradnl" w:eastAsia="ar-SA"/>
        </w:rPr>
        <w:t>Parágrafo 1°.</w:t>
      </w:r>
      <w:r w:rsidRPr="00EB3BE1">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B3BE1"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B3BE1">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B3BE1"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B3BE1">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B3BE1"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B3BE1">
        <w:rPr>
          <w:rFonts w:ascii="Bookman Old Style" w:hAnsi="Bookman Old Style" w:cs="Arial"/>
          <w:sz w:val="22"/>
          <w:szCs w:val="22"/>
          <w:lang w:val="es-ES_tradnl" w:eastAsia="ar-SA"/>
        </w:rPr>
        <w:t>a.</w:t>
      </w:r>
      <w:r w:rsidRPr="00EB3BE1">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B3BE1"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B3BE1">
        <w:rPr>
          <w:rFonts w:ascii="Bookman Old Style" w:hAnsi="Bookman Old Style" w:cs="Arial"/>
          <w:sz w:val="22"/>
          <w:szCs w:val="22"/>
          <w:lang w:val="es-ES_tradnl" w:eastAsia="ar-SA"/>
        </w:rPr>
        <w:t>b.</w:t>
      </w:r>
      <w:r w:rsidRPr="00EB3BE1">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B3BE1"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B3BE1"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B3BE1">
        <w:rPr>
          <w:rFonts w:ascii="Bookman Old Style" w:hAnsi="Bookman Old Style" w:cs="Arial"/>
          <w:sz w:val="22"/>
          <w:szCs w:val="22"/>
          <w:lang w:val="es-ES_tradnl" w:eastAsia="ar-SA"/>
        </w:rPr>
        <w:t>c.</w:t>
      </w:r>
      <w:r w:rsidRPr="00EB3BE1">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B3BE1">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B3BE1"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EC3BB2">
        <w:rPr>
          <w:rFonts w:ascii="Bookman Old Style" w:hAnsi="Bookman Old Style" w:cs="Arial"/>
          <w:spacing w:val="-5"/>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la Resolución CREG 075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214" w:type="dxa"/>
        <w:jc w:val="center"/>
        <w:tblCellMar>
          <w:left w:w="70" w:type="dxa"/>
          <w:right w:w="70" w:type="dxa"/>
        </w:tblCellMar>
        <w:tblLook w:val="04A0" w:firstRow="1" w:lastRow="0" w:firstColumn="1" w:lastColumn="0" w:noHBand="0" w:noVBand="1"/>
      </w:tblPr>
      <w:tblGrid>
        <w:gridCol w:w="1421"/>
        <w:gridCol w:w="4964"/>
        <w:gridCol w:w="1829"/>
      </w:tblGrid>
      <w:tr w:rsidR="00EC3BB2" w:rsidRPr="00BD1622" w:rsidTr="00B36FE8">
        <w:trPr>
          <w:trHeight w:val="405"/>
          <w:tblHeader/>
          <w:jc w:val="center"/>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BD1622">
            <w:pPr>
              <w:ind w:left="28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6E5ED9" w:rsidRPr="00BD1622" w:rsidTr="00B36FE8">
        <w:trPr>
          <w:trHeight w:val="405"/>
          <w:jc w:val="center"/>
        </w:trPr>
        <w:tc>
          <w:tcPr>
            <w:tcW w:w="1421" w:type="dxa"/>
            <w:tcBorders>
              <w:top w:val="nil"/>
              <w:left w:val="single" w:sz="4" w:space="0" w:color="auto"/>
              <w:bottom w:val="single" w:sz="4" w:space="0" w:color="auto"/>
              <w:right w:val="single" w:sz="4" w:space="0" w:color="auto"/>
            </w:tcBorders>
            <w:shd w:val="clear" w:color="auto" w:fill="auto"/>
            <w:noWrap/>
            <w:hideMark/>
          </w:tcPr>
          <w:p w:rsidR="006E5ED9" w:rsidRPr="00BB6279" w:rsidRDefault="006E5ED9" w:rsidP="00627986">
            <w:pPr>
              <w:rPr>
                <w:rFonts w:ascii="Bookman Old Style" w:hAnsi="Bookman Old Style" w:cs="Arial"/>
                <w:sz w:val="20"/>
                <w:szCs w:val="22"/>
              </w:rPr>
            </w:pPr>
            <w:r w:rsidRPr="00BB6279">
              <w:rPr>
                <w:rFonts w:ascii="Bookman Old Style" w:hAnsi="Bookman Old Style" w:cs="Arial"/>
                <w:sz w:val="20"/>
                <w:szCs w:val="22"/>
              </w:rPr>
              <w:t>1330</w:t>
            </w:r>
          </w:p>
        </w:tc>
        <w:tc>
          <w:tcPr>
            <w:tcW w:w="4964" w:type="dxa"/>
            <w:tcBorders>
              <w:top w:val="nil"/>
              <w:left w:val="nil"/>
              <w:bottom w:val="single" w:sz="4" w:space="0" w:color="auto"/>
              <w:right w:val="single" w:sz="4" w:space="0" w:color="auto"/>
            </w:tcBorders>
            <w:shd w:val="clear" w:color="auto" w:fill="auto"/>
            <w:noWrap/>
            <w:hideMark/>
          </w:tcPr>
          <w:p w:rsidR="006E5ED9" w:rsidRPr="00BB6279" w:rsidRDefault="006E5ED9" w:rsidP="00627986">
            <w:pPr>
              <w:rPr>
                <w:rFonts w:ascii="Bookman Old Style" w:hAnsi="Bookman Old Style" w:cs="Arial"/>
                <w:sz w:val="20"/>
                <w:szCs w:val="22"/>
              </w:rPr>
            </w:pPr>
            <w:r w:rsidRPr="00BB6279">
              <w:rPr>
                <w:rFonts w:ascii="Bookman Old Style" w:hAnsi="Bookman Old Style" w:cs="Arial"/>
                <w:sz w:val="20"/>
                <w:szCs w:val="22"/>
              </w:rPr>
              <w:t>GRANADOS, GOMEZ Y CIA S.A. E.S.P.</w:t>
            </w:r>
          </w:p>
        </w:tc>
        <w:tc>
          <w:tcPr>
            <w:tcW w:w="1829" w:type="dxa"/>
            <w:tcBorders>
              <w:top w:val="nil"/>
              <w:left w:val="nil"/>
              <w:bottom w:val="single" w:sz="4" w:space="0" w:color="auto"/>
              <w:right w:val="single" w:sz="4" w:space="0" w:color="auto"/>
            </w:tcBorders>
            <w:shd w:val="clear" w:color="auto" w:fill="auto"/>
            <w:noWrap/>
            <w:hideMark/>
          </w:tcPr>
          <w:p w:rsidR="006E5ED9" w:rsidRPr="00BB6279" w:rsidRDefault="006E5ED9" w:rsidP="00627986">
            <w:pPr>
              <w:rPr>
                <w:rFonts w:ascii="Bookman Old Style" w:hAnsi="Bookman Old Style" w:cs="Arial"/>
                <w:sz w:val="20"/>
                <w:szCs w:val="22"/>
              </w:rPr>
            </w:pPr>
            <w:r w:rsidRPr="00BB6279">
              <w:rPr>
                <w:rFonts w:ascii="Bookman Old Style" w:hAnsi="Bookman Old Style" w:cs="Arial"/>
                <w:sz w:val="20"/>
                <w:szCs w:val="22"/>
              </w:rPr>
              <w:t>1.293.211</w:t>
            </w:r>
          </w:p>
        </w:tc>
      </w:tr>
    </w:tbl>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ab/>
      </w: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ab/>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6E5ED9">
        <w:rPr>
          <w:rFonts w:ascii="Bookman Old Style" w:hAnsi="Bookman Old Style" w:cs="Arial"/>
          <w:spacing w:val="-5"/>
          <w:lang w:val="es-CO" w:eastAsia="en-US"/>
        </w:rPr>
        <w:t>007190</w:t>
      </w:r>
      <w:r w:rsidRPr="00EC3BB2">
        <w:rPr>
          <w:rFonts w:ascii="Bookman Old Style" w:hAnsi="Bookman Old Style" w:cs="Arial"/>
          <w:spacing w:val="-5"/>
          <w:lang w:val="es-CO" w:eastAsia="en-US"/>
        </w:rPr>
        <w:t xml:space="preserve"> de </w:t>
      </w:r>
      <w:r w:rsidR="006E5ED9">
        <w:rPr>
          <w:rFonts w:ascii="Bookman Old Style" w:hAnsi="Bookman Old Style" w:cs="Arial"/>
          <w:spacing w:val="-5"/>
          <w:lang w:val="es-CO" w:eastAsia="en-US"/>
        </w:rPr>
        <w:t>24 de jun</w:t>
      </w:r>
      <w:r w:rsidRPr="00EC3BB2">
        <w:rPr>
          <w:rFonts w:ascii="Bookman Old Style" w:hAnsi="Bookman Old Style" w:cs="Arial"/>
          <w:spacing w:val="-5"/>
          <w:lang w:val="es-CO" w:eastAsia="en-US"/>
        </w:rPr>
        <w:t xml:space="preserve">io de 2016, </w:t>
      </w:r>
      <w:r w:rsidR="006E5ED9">
        <w:rPr>
          <w:rFonts w:ascii="Bookman Old Style" w:hAnsi="Bookman Old Style" w:cs="Arial"/>
          <w:spacing w:val="-5"/>
          <w:lang w:val="es-CO" w:eastAsia="en-US"/>
        </w:rPr>
        <w:t>la</w:t>
      </w:r>
      <w:r w:rsidRPr="00EC3BB2">
        <w:rPr>
          <w:rFonts w:ascii="Bookman Old Style" w:hAnsi="Bookman Old Style" w:cs="Arial"/>
          <w:spacing w:val="-5"/>
          <w:lang w:val="es-CO" w:eastAsia="en-US"/>
        </w:rPr>
        <w:t xml:space="preserve"> representante legal de la empresa </w:t>
      </w:r>
      <w:r w:rsidR="006E5ED9">
        <w:rPr>
          <w:rFonts w:ascii="Bookman Old Style" w:hAnsi="Bookman Old Style" w:cs="Arial"/>
          <w:spacing w:val="-5"/>
          <w:lang w:val="es-CO" w:eastAsia="en-US"/>
        </w:rPr>
        <w:t>Granados Gómez y Cía.</w:t>
      </w:r>
      <w:r w:rsidRPr="00EC3BB2">
        <w:rPr>
          <w:rFonts w:ascii="Bookman Old Style" w:hAnsi="Bookman Old Style" w:cs="Arial"/>
          <w:spacing w:val="-5"/>
          <w:lang w:val="es-CO" w:eastAsia="en-US"/>
        </w:rPr>
        <w:t xml:space="preserve"> S.A. E.S.P. interpuso recurso de reposición contra la Resolución CREG 075 de 2016, para lo cual realiza las siguientes solicitudes:</w:t>
      </w:r>
    </w:p>
    <w:p w:rsidR="00EC3BB2" w:rsidRPr="00EC3BB2" w:rsidRDefault="00EC3BB2" w:rsidP="00EC3BB2">
      <w:pPr>
        <w:widowControl w:val="0"/>
        <w:tabs>
          <w:tab w:val="right" w:pos="9498"/>
        </w:tabs>
        <w:adjustRightInd w:val="0"/>
        <w:ind w:left="0" w:right="-142"/>
        <w:jc w:val="both"/>
        <w:rPr>
          <w:rFonts w:ascii="Arial" w:hAnsi="Arial" w:cs="Arial"/>
          <w:i/>
          <w:sz w:val="22"/>
          <w:szCs w:val="22"/>
        </w:rPr>
      </w:pPr>
    </w:p>
    <w:p w:rsidR="00E8042D" w:rsidRDefault="00EC3BB2" w:rsidP="006E5ED9">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r w:rsidR="006E5ED9">
        <w:rPr>
          <w:rFonts w:ascii="Bookman Old Style" w:hAnsi="Bookman Old Style" w:cs="Arial"/>
          <w:i/>
          <w:sz w:val="22"/>
          <w:szCs w:val="22"/>
        </w:rPr>
        <w:t>1. Se ajuste el valor de la capacidad de compra de nuestra compañ</w:t>
      </w:r>
      <w:r w:rsidR="00E8042D">
        <w:rPr>
          <w:rFonts w:ascii="Bookman Old Style" w:hAnsi="Bookman Old Style" w:cs="Arial"/>
          <w:i/>
          <w:sz w:val="22"/>
          <w:szCs w:val="22"/>
        </w:rPr>
        <w:t>ía</w:t>
      </w:r>
      <w:r w:rsidR="006E5ED9">
        <w:rPr>
          <w:rFonts w:ascii="Bookman Old Style" w:hAnsi="Bookman Old Style" w:cs="Arial"/>
          <w:i/>
          <w:sz w:val="22"/>
          <w:szCs w:val="22"/>
        </w:rPr>
        <w:t xml:space="preserve"> mínimo al promedio del consumo mensual presentado el año anterior más un diez por</w:t>
      </w:r>
      <w:r w:rsidR="00E8042D">
        <w:rPr>
          <w:rFonts w:ascii="Bookman Old Style" w:hAnsi="Bookman Old Style" w:cs="Arial"/>
          <w:i/>
          <w:sz w:val="22"/>
          <w:szCs w:val="22"/>
        </w:rPr>
        <w:t xml:space="preserve"> ciento para efectos de garantizar nuestra operación y por consiguiente el suministro de GLP a los diferentes tipos de clientes y usuarios que tenemos.</w:t>
      </w:r>
    </w:p>
    <w:p w:rsidR="00E8042D" w:rsidRDefault="00E8042D" w:rsidP="006E5ED9">
      <w:pPr>
        <w:ind w:left="284" w:right="284"/>
        <w:jc w:val="both"/>
        <w:rPr>
          <w:rFonts w:ascii="Bookman Old Style" w:hAnsi="Bookman Old Style" w:cs="Arial"/>
          <w:i/>
          <w:sz w:val="22"/>
          <w:szCs w:val="22"/>
        </w:rPr>
      </w:pPr>
    </w:p>
    <w:p w:rsidR="00EC3BB2" w:rsidRPr="00EC3BB2" w:rsidRDefault="00E8042D" w:rsidP="006E5ED9">
      <w:pPr>
        <w:ind w:left="284" w:right="284"/>
        <w:jc w:val="both"/>
        <w:rPr>
          <w:rFonts w:ascii="Bookman Old Style" w:hAnsi="Bookman Old Style" w:cs="Arial"/>
          <w:i/>
          <w:sz w:val="22"/>
          <w:szCs w:val="22"/>
        </w:rPr>
      </w:pPr>
      <w:r>
        <w:rPr>
          <w:rFonts w:ascii="Bookman Old Style" w:hAnsi="Bookman Old Style" w:cs="Arial"/>
          <w:i/>
          <w:sz w:val="22"/>
          <w:szCs w:val="22"/>
        </w:rPr>
        <w:t>2. Se tome como prueba de la inversión realizada por la compañía, la copia de las facturas de compra de los diferentes cilindros y tanques que aún no están reportados en el SUI, dado que la filosofía de la Res. 075 de 2016 es asignar la capacidad de compra acorde a las inversiones realizadas. Esto dado que las mesas de ayuda que se han contactado en la Superintendencia de Servicios Públicos Domiciliarios manifiestan que no es tan ágil el proceso de actualización</w:t>
      </w:r>
      <w:r w:rsidR="00EC3BB2" w:rsidRPr="00EC3BB2">
        <w:rPr>
          <w:rFonts w:ascii="Bookman Old Style" w:hAnsi="Bookman Old Style" w:cs="Arial"/>
          <w:i/>
          <w:sz w:val="22"/>
          <w:szCs w:val="22"/>
        </w:rPr>
        <w:t>”</w:t>
      </w:r>
    </w:p>
    <w:p w:rsidR="00EC3BB2" w:rsidRPr="00EC3BB2" w:rsidRDefault="00EC3BB2" w:rsidP="00EC3BB2">
      <w:pPr>
        <w:widowControl w:val="0"/>
        <w:tabs>
          <w:tab w:val="right" w:pos="9498"/>
        </w:tabs>
        <w:adjustRightInd w:val="0"/>
        <w:ind w:left="0" w:right="-142"/>
        <w:jc w:val="both"/>
        <w:rPr>
          <w:rFonts w:ascii="Arial" w:hAnsi="Arial" w:cs="Arial"/>
          <w:sz w:val="22"/>
          <w:szCs w:val="22"/>
        </w:rPr>
      </w:pPr>
    </w:p>
    <w:p w:rsidR="006E5ED9" w:rsidRDefault="006E5ED9" w:rsidP="006E5ED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075 de 2016 fue notificada a </w:t>
      </w:r>
      <w:r w:rsidR="00E8042D">
        <w:rPr>
          <w:rFonts w:ascii="Bookman Old Style" w:hAnsi="Bookman Old Style" w:cs="Arial"/>
          <w:spacing w:val="-5"/>
          <w:lang w:val="es-CO" w:eastAsia="en-US"/>
        </w:rPr>
        <w:t>Granados Gómez y Cía.</w:t>
      </w:r>
      <w:r w:rsidRPr="00EC3BB2">
        <w:rPr>
          <w:rFonts w:ascii="Bookman Old Style" w:hAnsi="Bookman Old Style" w:cs="Arial"/>
          <w:spacing w:val="-5"/>
          <w:lang w:val="es-CO" w:eastAsia="en-US"/>
        </w:rPr>
        <w:t xml:space="preserve"> mediante </w:t>
      </w:r>
      <w:r>
        <w:rPr>
          <w:rFonts w:ascii="Bookman Old Style" w:hAnsi="Bookman Old Style" w:cs="Arial"/>
          <w:spacing w:val="-5"/>
          <w:lang w:val="es-CO" w:eastAsia="en-US"/>
        </w:rPr>
        <w:t xml:space="preserve">notificación personal I-2016-003157 de 20 de junio de 2016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o dispuesto en el artículo 67</w:t>
      </w:r>
      <w:r w:rsidRPr="00CD67E2">
        <w:rPr>
          <w:rFonts w:ascii="Bookman Old Style" w:hAnsi="Bookman Old Style" w:cs="Arial"/>
          <w:spacing w:val="-5"/>
          <w:vertAlign w:val="superscript"/>
          <w:lang w:val="es-CO" w:eastAsia="en-US"/>
        </w:rPr>
        <w:footnoteReference w:id="3"/>
      </w:r>
      <w:r w:rsidRPr="00EC3BB2">
        <w:rPr>
          <w:rFonts w:ascii="Bookman Old Style" w:hAnsi="Bookman Old Style" w:cs="Arial"/>
          <w:spacing w:val="-5"/>
          <w:lang w:val="es-CO" w:eastAsia="en-US"/>
        </w:rPr>
        <w:t xml:space="preserve"> de la Ley 1437 de 2011. </w:t>
      </w:r>
    </w:p>
    <w:p w:rsidR="006E5ED9" w:rsidRPr="00EC3BB2" w:rsidRDefault="006E5ED9" w:rsidP="006E5ED9">
      <w:pPr>
        <w:pStyle w:val="Textoindependiente2"/>
        <w:spacing w:after="0" w:line="240" w:lineRule="auto"/>
        <w:ind w:left="-142" w:right="-142"/>
        <w:jc w:val="both"/>
        <w:rPr>
          <w:rFonts w:ascii="Bookman Old Style" w:hAnsi="Bookman Old Style" w:cs="Arial"/>
          <w:spacing w:val="-5"/>
          <w:lang w:val="es-CO" w:eastAsia="en-US"/>
        </w:rPr>
      </w:pPr>
    </w:p>
    <w:p w:rsidR="00CD67E2" w:rsidRDefault="006E5ED9" w:rsidP="00E8042D">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Pr>
          <w:rFonts w:ascii="Bookman Old Style" w:hAnsi="Bookman Old Style" w:cs="Arial"/>
          <w:spacing w:val="-5"/>
          <w:lang w:val="es-CO" w:eastAsia="en-US"/>
        </w:rPr>
        <w:t>27 de jun</w:t>
      </w:r>
      <w:r w:rsidRPr="00EC3BB2">
        <w:rPr>
          <w:rFonts w:ascii="Bookman Old Style" w:hAnsi="Bookman Old Style" w:cs="Arial"/>
          <w:spacing w:val="-5"/>
          <w:lang w:val="es-CO" w:eastAsia="en-US"/>
        </w:rPr>
        <w:t>io de</w:t>
      </w:r>
      <w:r>
        <w:rPr>
          <w:rFonts w:ascii="Bookman Old Style" w:hAnsi="Bookman Old Style" w:cs="Arial"/>
          <w:spacing w:val="-5"/>
          <w:lang w:val="es-CO" w:eastAsia="en-US"/>
        </w:rPr>
        <w:t>l</w:t>
      </w:r>
      <w:r w:rsidRPr="00EC3BB2">
        <w:rPr>
          <w:rFonts w:ascii="Bookman Old Style" w:hAnsi="Bookman Old Style" w:cs="Arial"/>
          <w:spacing w:val="-5"/>
          <w:lang w:val="es-CO" w:eastAsia="en-US"/>
        </w:rPr>
        <w:t xml:space="preserve"> 2016.  </w:t>
      </w: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lastRenderedPageBreak/>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w:t>
      </w:r>
      <w:r w:rsidRPr="0059144A">
        <w:rPr>
          <w:rFonts w:ascii="Bookman Old Style" w:hAnsi="Bookman Old Style" w:cs="Arial"/>
          <w:spacing w:val="-5"/>
          <w:lang w:val="es-CO" w:eastAsia="en-US"/>
        </w:rPr>
        <w:t>Administrativo</w:t>
      </w:r>
      <w:r>
        <w:rPr>
          <w:rFonts w:ascii="Bookman Old Style" w:hAnsi="Bookman Old Style"/>
          <w:szCs w:val="27"/>
        </w:rPr>
        <w:t xml:space="preserve">,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E8042D"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6E5ED9">
        <w:rPr>
          <w:rFonts w:ascii="Bookman Old Style" w:hAnsi="Bookman Old Style"/>
          <w:szCs w:val="27"/>
        </w:rPr>
        <w:t xml:space="preserve">Granados Gómez y </w:t>
      </w:r>
      <w:r>
        <w:rPr>
          <w:rFonts w:ascii="Bookman Old Style" w:hAnsi="Bookman Old Style"/>
          <w:szCs w:val="27"/>
        </w:rPr>
        <w:t>Cía.</w:t>
      </w:r>
      <w:r w:rsidR="002A452D">
        <w:rPr>
          <w:rFonts w:ascii="Bookman Old Style" w:hAnsi="Bookman Old Style"/>
          <w:szCs w:val="27"/>
        </w:rPr>
        <w:t xml:space="preserve"> hacen referencia a lo siguiente:</w:t>
      </w:r>
    </w:p>
    <w:p w:rsidR="002A452D" w:rsidRPr="002A452D" w:rsidRDefault="002A452D" w:rsidP="002A452D">
      <w:pPr>
        <w:ind w:left="284" w:right="284"/>
        <w:jc w:val="both"/>
        <w:rPr>
          <w:rFonts w:ascii="Bookman Old Style" w:hAnsi="Bookman Old Style" w:cs="Arial"/>
          <w:i/>
          <w:sz w:val="22"/>
          <w:szCs w:val="22"/>
        </w:rPr>
      </w:pPr>
    </w:p>
    <w:p w:rsidR="00E8042D" w:rsidRDefault="00D126E3" w:rsidP="00E8042D">
      <w:pPr>
        <w:ind w:left="284" w:right="284"/>
        <w:jc w:val="both"/>
        <w:rPr>
          <w:rFonts w:ascii="Bookman Old Style" w:hAnsi="Bookman Old Style" w:cs="Arial"/>
          <w:i/>
          <w:sz w:val="22"/>
          <w:szCs w:val="22"/>
        </w:rPr>
      </w:pPr>
      <w:r w:rsidRPr="002A452D">
        <w:rPr>
          <w:rFonts w:ascii="Bookman Old Style" w:hAnsi="Bookman Old Style" w:cs="Arial"/>
          <w:i/>
          <w:sz w:val="22"/>
          <w:szCs w:val="22"/>
        </w:rPr>
        <w:t>“</w:t>
      </w:r>
      <w:r w:rsidR="00E8042D">
        <w:rPr>
          <w:rFonts w:ascii="Bookman Old Style" w:hAnsi="Bookman Old Style" w:cs="Arial"/>
          <w:i/>
          <w:sz w:val="22"/>
          <w:szCs w:val="22"/>
        </w:rPr>
        <w:t>1. La cantidad de GLP asignado para el período de la OPC julio – diciembre de 2016 es menor en un 18% a la cantidad promedio consumida el año anterior, esto significa que del período de 180 días que cubre la OPC sólo tendríamos gas para aproximadamente 135 días con las consecuentes implicaciones en cuanto a desabastecimiento de nuestros clientes, además de poner en riesgo la estabilidad y operación de nuestra compañía, incumpliendo lo prescrito en la Ley 142 de 1994 en cuanto a calidad y continuidad del servicio.</w:t>
      </w:r>
    </w:p>
    <w:p w:rsidR="00E8042D" w:rsidRDefault="00E8042D" w:rsidP="00E8042D">
      <w:pPr>
        <w:ind w:left="284" w:right="284"/>
        <w:jc w:val="both"/>
        <w:rPr>
          <w:rFonts w:ascii="Bookman Old Style" w:hAnsi="Bookman Old Style" w:cs="Arial"/>
          <w:i/>
          <w:sz w:val="22"/>
          <w:szCs w:val="22"/>
        </w:rPr>
      </w:pPr>
    </w:p>
    <w:p w:rsidR="005C1184" w:rsidRDefault="00E8042D" w:rsidP="00E8042D">
      <w:pPr>
        <w:ind w:left="284" w:right="284"/>
        <w:jc w:val="both"/>
        <w:rPr>
          <w:rFonts w:ascii="Bookman Old Style" w:hAnsi="Bookman Old Style" w:cs="Arial"/>
          <w:i/>
          <w:sz w:val="22"/>
          <w:szCs w:val="22"/>
        </w:rPr>
      </w:pPr>
      <w:r>
        <w:rPr>
          <w:rFonts w:ascii="Bookman Old Style" w:hAnsi="Bookman Old Style" w:cs="Arial"/>
          <w:i/>
          <w:sz w:val="22"/>
          <w:szCs w:val="22"/>
        </w:rPr>
        <w:t xml:space="preserve">2. Que mediante circulares CREG 060 y 075 de 2014 nuestra compañía informó en su momento y según formatos enviados por ustedes la cantidad de cilindros que tenían hasta el momento por denominación, cantidad que es mayor en un 25% a la cantidad con la que se calculó la capacidad de compra de nuestra compañía. </w:t>
      </w:r>
      <w:r w:rsidR="0093708C">
        <w:rPr>
          <w:rFonts w:ascii="Bookman Old Style" w:hAnsi="Bookman Old Style" w:cs="Arial"/>
          <w:i/>
          <w:sz w:val="22"/>
          <w:szCs w:val="22"/>
        </w:rPr>
        <w:t>En</w:t>
      </w:r>
      <w:r>
        <w:rPr>
          <w:rFonts w:ascii="Bookman Old Style" w:hAnsi="Bookman Old Style" w:cs="Arial"/>
          <w:i/>
          <w:sz w:val="22"/>
          <w:szCs w:val="22"/>
        </w:rPr>
        <w:t xml:space="preserve"> esta circular se hacía una relación de cantidades, denominaciones, fábrica o proveedor de nuestra compañía. En esta circular se hacía </w:t>
      </w:r>
      <w:r w:rsidR="005C1184">
        <w:rPr>
          <w:rFonts w:ascii="Bookman Old Style" w:hAnsi="Bookman Old Style" w:cs="Arial"/>
          <w:i/>
          <w:sz w:val="22"/>
          <w:szCs w:val="22"/>
        </w:rPr>
        <w:t>una relación de cantidades, denominaciones, fábrica, proveedor, factura de compra etc. Esto muestra el interés y la voluntad de nuestra compañía a lo largo de su trayectoria por cumplir la normatividad y mejorar cada vez más las condiciones de seguridad tanto para usuarios como interna.</w:t>
      </w:r>
    </w:p>
    <w:p w:rsidR="00E8042D" w:rsidRPr="00DA3ED9" w:rsidRDefault="005C1184" w:rsidP="00E8042D">
      <w:pPr>
        <w:ind w:left="284" w:right="284"/>
        <w:jc w:val="both"/>
        <w:rPr>
          <w:rFonts w:ascii="Bookman Old Style" w:hAnsi="Bookman Old Style" w:cs="Arial"/>
          <w:i/>
        </w:rPr>
      </w:pPr>
      <w:r>
        <w:rPr>
          <w:rFonts w:ascii="Bookman Old Style" w:hAnsi="Bookman Old Style" w:cs="Arial"/>
          <w:i/>
          <w:sz w:val="22"/>
          <w:szCs w:val="22"/>
        </w:rPr>
        <w:t xml:space="preserve"> </w:t>
      </w:r>
      <w:r w:rsidR="00E8042D">
        <w:rPr>
          <w:rFonts w:ascii="Bookman Old Style" w:hAnsi="Bookman Old Style" w:cs="Arial"/>
          <w:i/>
          <w:sz w:val="22"/>
          <w:szCs w:val="22"/>
        </w:rPr>
        <w:t xml:space="preserve"> </w:t>
      </w:r>
    </w:p>
    <w:p w:rsidR="005C1184" w:rsidRDefault="005C1184" w:rsidP="005C1184">
      <w:pPr>
        <w:ind w:left="284" w:right="284"/>
        <w:jc w:val="both"/>
        <w:rPr>
          <w:rFonts w:ascii="Bookman Old Style" w:hAnsi="Bookman Old Style" w:cs="Arial"/>
          <w:i/>
          <w:sz w:val="22"/>
          <w:szCs w:val="22"/>
        </w:rPr>
      </w:pPr>
      <w:r w:rsidRPr="005C1184">
        <w:rPr>
          <w:rFonts w:ascii="Bookman Old Style" w:hAnsi="Bookman Old Style" w:cs="Arial"/>
          <w:i/>
          <w:sz w:val="22"/>
          <w:szCs w:val="22"/>
        </w:rPr>
        <w:t>3. En este momento estamos en convenio con el Ministerio de</w:t>
      </w:r>
      <w:r>
        <w:rPr>
          <w:rFonts w:ascii="Bookman Old Style" w:hAnsi="Bookman Old Style" w:cs="Arial"/>
          <w:i/>
          <w:sz w:val="22"/>
          <w:szCs w:val="22"/>
        </w:rPr>
        <w:t xml:space="preserve"> Minas y Energía y el Ministerio de Transporte en el desarrollo del proyecto piloto de Autogas, sin GLP disponible no podríamos contar con el desarrollo del mismo</w:t>
      </w:r>
      <w:r w:rsidR="00D126E3" w:rsidRPr="005C1184">
        <w:rPr>
          <w:rFonts w:ascii="Bookman Old Style" w:hAnsi="Bookman Old Style" w:cs="Arial"/>
          <w:i/>
          <w:sz w:val="22"/>
          <w:szCs w:val="22"/>
        </w:rPr>
        <w:t>”</w:t>
      </w:r>
      <w:r w:rsidR="002A01F2" w:rsidRPr="005C1184">
        <w:rPr>
          <w:rFonts w:ascii="Bookman Old Style" w:hAnsi="Bookman Old Style" w:cs="Arial"/>
          <w:i/>
          <w:sz w:val="22"/>
          <w:szCs w:val="22"/>
        </w:rPr>
        <w:t>.</w:t>
      </w:r>
    </w:p>
    <w:p w:rsidR="005C1184" w:rsidRDefault="005C1184" w:rsidP="005C1184">
      <w:pPr>
        <w:ind w:left="0" w:right="284"/>
        <w:jc w:val="both"/>
        <w:rPr>
          <w:rFonts w:ascii="Bookman Old Style" w:hAnsi="Bookman Old Style" w:cs="Arial"/>
          <w:i/>
          <w:sz w:val="22"/>
          <w:szCs w:val="22"/>
        </w:rPr>
      </w:pPr>
    </w:p>
    <w:p w:rsidR="005C1184" w:rsidRDefault="005C1184" w:rsidP="005C1184">
      <w:pPr>
        <w:pStyle w:val="Textoindependiente2"/>
        <w:spacing w:after="0" w:line="240" w:lineRule="auto"/>
        <w:ind w:left="-142" w:right="-142"/>
        <w:jc w:val="both"/>
        <w:rPr>
          <w:rFonts w:ascii="Bookman Old Style" w:hAnsi="Bookman Old Style"/>
          <w:szCs w:val="27"/>
        </w:rPr>
      </w:pPr>
      <w:r w:rsidRPr="005C1184">
        <w:rPr>
          <w:rFonts w:ascii="Bookman Old Style" w:hAnsi="Bookman Old Style"/>
          <w:szCs w:val="27"/>
        </w:rPr>
        <w:t>Adicionalmente hace la solicitud de tener como prueba del recurso la siguiente información:</w:t>
      </w:r>
    </w:p>
    <w:p w:rsidR="005C1184" w:rsidRDefault="005C1184" w:rsidP="005C1184">
      <w:pPr>
        <w:pStyle w:val="Textoindependiente2"/>
        <w:spacing w:after="0" w:line="240" w:lineRule="auto"/>
        <w:ind w:left="-142" w:right="-142"/>
        <w:jc w:val="both"/>
        <w:rPr>
          <w:rFonts w:ascii="Bookman Old Style" w:hAnsi="Bookman Old Style"/>
          <w:szCs w:val="27"/>
        </w:rPr>
      </w:pPr>
    </w:p>
    <w:p w:rsidR="005C1184" w:rsidRPr="0093708C" w:rsidRDefault="0093708C" w:rsidP="0093708C">
      <w:pPr>
        <w:ind w:left="284" w:right="284"/>
        <w:jc w:val="both"/>
        <w:rPr>
          <w:rFonts w:ascii="Bookman Old Style" w:hAnsi="Bookman Old Style" w:cs="Arial"/>
          <w:i/>
          <w:sz w:val="22"/>
          <w:szCs w:val="22"/>
        </w:rPr>
      </w:pPr>
      <w:r>
        <w:rPr>
          <w:rFonts w:ascii="Bookman Old Style" w:hAnsi="Bookman Old Style" w:cs="Arial"/>
          <w:i/>
          <w:sz w:val="22"/>
          <w:szCs w:val="22"/>
        </w:rPr>
        <w:t xml:space="preserve">“1. </w:t>
      </w:r>
      <w:r w:rsidR="005C1184" w:rsidRPr="0093708C">
        <w:rPr>
          <w:rFonts w:ascii="Bookman Old Style" w:hAnsi="Bookman Old Style" w:cs="Arial"/>
          <w:i/>
          <w:sz w:val="22"/>
          <w:szCs w:val="22"/>
        </w:rPr>
        <w:t xml:space="preserve">La información de ventas </w:t>
      </w:r>
      <w:r w:rsidRPr="0093708C">
        <w:rPr>
          <w:rFonts w:ascii="Bookman Old Style" w:hAnsi="Bookman Old Style" w:cs="Arial"/>
          <w:i/>
          <w:sz w:val="22"/>
          <w:szCs w:val="22"/>
        </w:rPr>
        <w:t>mensuales</w:t>
      </w:r>
      <w:r w:rsidR="005C1184" w:rsidRPr="0093708C">
        <w:rPr>
          <w:rFonts w:ascii="Bookman Old Style" w:hAnsi="Bookman Old Style" w:cs="Arial"/>
          <w:i/>
          <w:sz w:val="22"/>
          <w:szCs w:val="22"/>
        </w:rPr>
        <w:t xml:space="preserve"> reportadas en el SUI en el último año (2.015 y parte 2.016)</w:t>
      </w:r>
      <w:r w:rsidRPr="0093708C">
        <w:rPr>
          <w:rFonts w:ascii="Bookman Old Style" w:hAnsi="Bookman Old Style" w:cs="Arial"/>
          <w:i/>
          <w:sz w:val="22"/>
          <w:szCs w:val="22"/>
        </w:rPr>
        <w:t>.</w:t>
      </w:r>
    </w:p>
    <w:p w:rsidR="0093708C" w:rsidRDefault="0093708C" w:rsidP="0093708C">
      <w:pPr>
        <w:ind w:left="284" w:right="284"/>
        <w:jc w:val="both"/>
        <w:rPr>
          <w:rFonts w:ascii="Bookman Old Style" w:hAnsi="Bookman Old Style" w:cs="Arial"/>
          <w:i/>
          <w:sz w:val="22"/>
          <w:szCs w:val="22"/>
        </w:rPr>
      </w:pPr>
    </w:p>
    <w:p w:rsidR="0093708C" w:rsidRPr="0093708C" w:rsidRDefault="0093708C" w:rsidP="0093708C">
      <w:pPr>
        <w:ind w:left="284" w:right="284"/>
        <w:jc w:val="both"/>
        <w:rPr>
          <w:rFonts w:ascii="Bookman Old Style" w:hAnsi="Bookman Old Style" w:cs="Arial"/>
          <w:i/>
          <w:sz w:val="22"/>
          <w:szCs w:val="22"/>
        </w:rPr>
      </w:pPr>
      <w:r>
        <w:rPr>
          <w:rFonts w:ascii="Bookman Old Style" w:hAnsi="Bookman Old Style" w:cs="Arial"/>
          <w:i/>
          <w:sz w:val="22"/>
          <w:szCs w:val="22"/>
        </w:rPr>
        <w:t xml:space="preserve">2. </w:t>
      </w:r>
      <w:r w:rsidRPr="0093708C">
        <w:rPr>
          <w:rFonts w:ascii="Bookman Old Style" w:hAnsi="Bookman Old Style" w:cs="Arial"/>
          <w:i/>
          <w:sz w:val="22"/>
          <w:szCs w:val="22"/>
        </w:rPr>
        <w:t>La cantidad de kilogramos comprados en el último año (2015 y parte de 2016)</w:t>
      </w:r>
    </w:p>
    <w:p w:rsidR="0093708C" w:rsidRDefault="0093708C" w:rsidP="0093708C">
      <w:pPr>
        <w:ind w:left="284" w:right="284"/>
        <w:jc w:val="both"/>
        <w:rPr>
          <w:rFonts w:ascii="Bookman Old Style" w:hAnsi="Bookman Old Style" w:cs="Arial"/>
          <w:i/>
          <w:sz w:val="22"/>
          <w:szCs w:val="22"/>
        </w:rPr>
      </w:pPr>
    </w:p>
    <w:p w:rsidR="0093708C" w:rsidRPr="0093708C" w:rsidRDefault="0093708C" w:rsidP="0093708C">
      <w:pPr>
        <w:ind w:left="284" w:right="284"/>
        <w:jc w:val="both"/>
        <w:rPr>
          <w:rFonts w:ascii="Bookman Old Style" w:hAnsi="Bookman Old Style" w:cs="Arial"/>
          <w:i/>
          <w:sz w:val="22"/>
          <w:szCs w:val="22"/>
        </w:rPr>
      </w:pPr>
      <w:r>
        <w:rPr>
          <w:rFonts w:ascii="Bookman Old Style" w:hAnsi="Bookman Old Style" w:cs="Arial"/>
          <w:i/>
          <w:sz w:val="22"/>
          <w:szCs w:val="22"/>
        </w:rPr>
        <w:t xml:space="preserve">3. </w:t>
      </w:r>
      <w:r w:rsidRPr="0093708C">
        <w:rPr>
          <w:rFonts w:ascii="Bookman Old Style" w:hAnsi="Bookman Old Style" w:cs="Arial"/>
          <w:i/>
          <w:sz w:val="22"/>
          <w:szCs w:val="22"/>
        </w:rPr>
        <w:t xml:space="preserve">Las facturas de compra de los cilindros y tanques para el período completo, </w:t>
      </w:r>
      <w:r w:rsidRPr="008E7B7D">
        <w:rPr>
          <w:rFonts w:ascii="Bookman Old Style" w:hAnsi="Bookman Old Style" w:cs="Arial"/>
          <w:i/>
          <w:sz w:val="22"/>
          <w:szCs w:val="22"/>
          <w:u w:val="single"/>
        </w:rPr>
        <w:t>mientras se actualiza la Base de Datos SUI</w:t>
      </w:r>
      <w:r w:rsidRPr="0093708C">
        <w:rPr>
          <w:rFonts w:ascii="Bookman Old Style" w:hAnsi="Bookman Old Style" w:cs="Arial"/>
          <w:i/>
          <w:sz w:val="22"/>
          <w:szCs w:val="22"/>
        </w:rPr>
        <w:t>” (Resaltado fuera de texto)</w:t>
      </w:r>
    </w:p>
    <w:p w:rsidR="005C1184" w:rsidRPr="00CD67E2" w:rsidRDefault="005C1184" w:rsidP="005C1184">
      <w:pPr>
        <w:ind w:left="0" w:right="284"/>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8E7B7D" w:rsidRDefault="008E7B7D" w:rsidP="00936888">
      <w:pPr>
        <w:pStyle w:val="Textoindependiente2"/>
        <w:spacing w:after="0" w:line="240" w:lineRule="auto"/>
        <w:ind w:left="-142" w:right="-142"/>
        <w:jc w:val="both"/>
        <w:rPr>
          <w:rFonts w:ascii="Bookman Old Style" w:hAnsi="Bookman Old Style"/>
          <w:szCs w:val="27"/>
        </w:rPr>
      </w:pPr>
    </w:p>
    <w:p w:rsidR="00FF62B5" w:rsidRDefault="008E7B7D" w:rsidP="00FF62B5">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0</w:t>
      </w:r>
      <w:r w:rsidR="0059144A">
        <w:rPr>
          <w:rFonts w:ascii="Bookman Old Style" w:hAnsi="Bookman Old Style"/>
          <w:szCs w:val="27"/>
        </w:rPr>
        <w:t>75 de 2016</w:t>
      </w:r>
      <w:r>
        <w:rPr>
          <w:rFonts w:ascii="Bookman Old Style" w:hAnsi="Bookman Old Style"/>
          <w:szCs w:val="27"/>
        </w:rPr>
        <w:t xml:space="preserve"> a </w:t>
      </w:r>
      <w:r w:rsidR="00FF62B5">
        <w:rPr>
          <w:rFonts w:ascii="Bookman Old Style" w:hAnsi="Bookman Old Style"/>
          <w:szCs w:val="27"/>
        </w:rPr>
        <w:t>e</w:t>
      </w:r>
      <w:r>
        <w:rPr>
          <w:rFonts w:ascii="Bookman Old Style" w:hAnsi="Bookman Old Style"/>
          <w:szCs w:val="27"/>
        </w:rPr>
        <w:t xml:space="preserve">fectos de que esta Comisión lleve a </w:t>
      </w:r>
      <w:r w:rsidRPr="00B42221">
        <w:rPr>
          <w:rFonts w:ascii="Bookman Old Style" w:hAnsi="Bookman Old Style"/>
          <w:szCs w:val="27"/>
        </w:rPr>
        <w:t xml:space="preserve">cabo </w:t>
      </w:r>
      <w:r w:rsidR="00FF62B5">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sidR="0059144A">
        <w:rPr>
          <w:rFonts w:ascii="Bookman Old Style" w:hAnsi="Bookman Old Style"/>
          <w:szCs w:val="27"/>
        </w:rPr>
        <w:t xml:space="preserve"> Granados Gómez y Cía.,</w:t>
      </w:r>
      <w:r w:rsidR="00FF62B5">
        <w:rPr>
          <w:rFonts w:ascii="Bookman Old Style" w:hAnsi="Bookman Old Style"/>
          <w:szCs w:val="27"/>
        </w:rPr>
        <w:t xml:space="preserve"> no con base en la información consignada en </w:t>
      </w:r>
      <w:r w:rsidRPr="00B42221">
        <w:rPr>
          <w:rFonts w:ascii="Bookman Old Style" w:hAnsi="Bookman Old Style"/>
          <w:szCs w:val="27"/>
        </w:rPr>
        <w:t xml:space="preserve">el Sistema Único de Información – SUI, </w:t>
      </w:r>
      <w:r w:rsidR="00FF62B5">
        <w:rPr>
          <w:rFonts w:ascii="Bookman Old Style" w:hAnsi="Bookman Old Style"/>
          <w:szCs w:val="27"/>
        </w:rPr>
        <w:t>sino con base en la información aportada en el recurso, la cual correspondería a la realidad de las inversiones en cilindros con las que cuenta dicha empresa.</w:t>
      </w:r>
    </w:p>
    <w:p w:rsidR="00FF62B5" w:rsidRDefault="00FF62B5" w:rsidP="00FF62B5">
      <w:pPr>
        <w:pStyle w:val="Textoindependiente2"/>
        <w:spacing w:after="0" w:line="240" w:lineRule="auto"/>
        <w:ind w:left="-142" w:right="-142"/>
        <w:jc w:val="both"/>
        <w:rPr>
          <w:rFonts w:ascii="Bookman Old Style" w:hAnsi="Bookman Old Style"/>
          <w:szCs w:val="27"/>
        </w:rPr>
      </w:pPr>
    </w:p>
    <w:p w:rsidR="00FF62B5" w:rsidRDefault="00FF62B5" w:rsidP="00FF62B5">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punto se debe tener en cuenta que esta Comisión llevo a cabo la definición de la capacidad de compra de la recurrente con base en </w:t>
      </w:r>
      <w:r w:rsidRPr="00FF62B5">
        <w:rPr>
          <w:rFonts w:ascii="Bookman Old Style" w:hAnsi="Bookman Old Style"/>
          <w:szCs w:val="27"/>
        </w:rPr>
        <w:t xml:space="preserve">la información del Sistema Único de Información – SUI,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solución CREG 075 de 2016 y su anexo</w:t>
      </w:r>
      <w:r w:rsidRPr="00FF62B5">
        <w:rPr>
          <w:rFonts w:ascii="Bookman Old Style" w:hAnsi="Bookman Old Style"/>
          <w:szCs w:val="27"/>
        </w:rPr>
        <w:t>.</w:t>
      </w:r>
      <w:r>
        <w:rPr>
          <w:rFonts w:ascii="Bookman Old Style" w:hAnsi="Bookman Old Style"/>
          <w:szCs w:val="27"/>
        </w:rPr>
        <w:t xml:space="preserve"> En atención a lo anterior, dentro de las disposiciones previstas en la Resolución CREG 063 de 2016 se estableció que:</w:t>
      </w:r>
    </w:p>
    <w:p w:rsidR="00FF62B5" w:rsidRDefault="00FF62B5" w:rsidP="00FF62B5">
      <w:pPr>
        <w:pStyle w:val="Textoindependiente2"/>
        <w:spacing w:after="0" w:line="240" w:lineRule="auto"/>
        <w:ind w:left="0" w:right="-142"/>
        <w:jc w:val="both"/>
        <w:rPr>
          <w:rFonts w:ascii="Bookman Old Style" w:hAnsi="Bookman Old Style"/>
          <w:szCs w:val="27"/>
        </w:rPr>
      </w:pPr>
    </w:p>
    <w:p w:rsidR="00FF62B5" w:rsidRPr="00FF62B5" w:rsidRDefault="00FF62B5" w:rsidP="00FF62B5">
      <w:pPr>
        <w:pStyle w:val="Textoindependiente2"/>
        <w:spacing w:after="0" w:line="240" w:lineRule="auto"/>
        <w:ind w:left="284" w:right="284"/>
        <w:jc w:val="both"/>
        <w:rPr>
          <w:rFonts w:ascii="Bookman Old Style" w:hAnsi="Bookman Old Style"/>
          <w:sz w:val="22"/>
          <w:szCs w:val="22"/>
        </w:rPr>
      </w:pPr>
      <w:r>
        <w:rPr>
          <w:rFonts w:ascii="Bookman Old Style" w:hAnsi="Bookman Old Style"/>
          <w:sz w:val="22"/>
          <w:szCs w:val="22"/>
        </w:rPr>
        <w:t>“</w:t>
      </w:r>
      <w:r w:rsidRPr="00FF62B5">
        <w:rPr>
          <w:rFonts w:ascii="Bookman Old Style" w:hAnsi="Bookman Old Style"/>
          <w:b/>
          <w:sz w:val="22"/>
          <w:szCs w:val="22"/>
        </w:rPr>
        <w:t xml:space="preserve">Artículo 9. Determinación y publicación de información. </w:t>
      </w:r>
      <w:r w:rsidRPr="00FF62B5">
        <w:rPr>
          <w:rFonts w:ascii="Bookman Old Style" w:hAnsi="Bookman Old Style"/>
          <w:sz w:val="22"/>
          <w:szCs w:val="22"/>
        </w:rPr>
        <w:t xml:space="preserve">Atendiendo lo dispuesto en el artículo anterior, la CREG determinará y publicará, por lo menos con un (1) mes de anterioridad al inicio del periodo de compra, </w:t>
      </w:r>
      <w:r w:rsidRPr="00FF62B5">
        <w:rPr>
          <w:rFonts w:ascii="Bookman Old Style" w:hAnsi="Bookman Old Style"/>
          <w:sz w:val="22"/>
          <w:szCs w:val="22"/>
          <w:u w:val="single"/>
        </w:rPr>
        <w:t>la capacidad de compra de cada distribuidor, con información reportada al SUI, hasta el día 10 del mes correspondiente.</w:t>
      </w:r>
      <w:r>
        <w:rPr>
          <w:rFonts w:ascii="Bookman Old Style" w:hAnsi="Bookman Old Style"/>
          <w:sz w:val="22"/>
          <w:szCs w:val="22"/>
        </w:rPr>
        <w:t>”</w:t>
      </w:r>
      <w:r w:rsidR="008E378C">
        <w:rPr>
          <w:rStyle w:val="Refdenotaalpie"/>
          <w:rFonts w:ascii="Bookman Old Style" w:hAnsi="Bookman Old Style"/>
          <w:sz w:val="22"/>
          <w:szCs w:val="22"/>
        </w:rPr>
        <w:footnoteReference w:id="5"/>
      </w:r>
    </w:p>
    <w:p w:rsidR="00FF62B5" w:rsidRDefault="00FF62B5" w:rsidP="00FF62B5">
      <w:pPr>
        <w:pStyle w:val="Textoindependiente2"/>
        <w:spacing w:after="0" w:line="240" w:lineRule="auto"/>
        <w:ind w:left="-142" w:right="-142"/>
        <w:jc w:val="both"/>
        <w:rPr>
          <w:rFonts w:ascii="Bookman Old Style" w:hAnsi="Bookman Old Style"/>
          <w:szCs w:val="27"/>
        </w:rPr>
      </w:pPr>
    </w:p>
    <w:p w:rsidR="008E378C" w:rsidRDefault="00FF62B5" w:rsidP="008E378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Así mismo, a lo largo del artículo 8 se establece que la aplicación de las formulas allí previstas, entre otras la determinación de </w:t>
      </w:r>
      <w:r w:rsidRPr="00FF62B5">
        <w:rPr>
          <w:rFonts w:ascii="Bookman Old Style" w:hAnsi="Bookman Old Style"/>
          <w:szCs w:val="27"/>
        </w:rPr>
        <w:t>la capacidad de envase en kilogramos</w:t>
      </w:r>
      <w:r>
        <w:rPr>
          <w:rFonts w:ascii="Bookman Old Style" w:hAnsi="Bookman Old Style"/>
          <w:szCs w:val="27"/>
        </w:rPr>
        <w:t xml:space="preserve"> se haría con base en </w:t>
      </w:r>
      <w:r w:rsidRPr="00FF62B5">
        <w:rPr>
          <w:rFonts w:ascii="Bookman Old Style" w:hAnsi="Bookman Old Style"/>
          <w:szCs w:val="27"/>
        </w:rPr>
        <w:t>la información reportada en el Sistema Único de Información – SUI</w:t>
      </w:r>
      <w:r>
        <w:rPr>
          <w:rFonts w:ascii="Bookman Old Style" w:hAnsi="Bookman Old Style"/>
          <w:szCs w:val="27"/>
        </w:rPr>
        <w:t xml:space="preserve">. </w:t>
      </w:r>
    </w:p>
    <w:p w:rsidR="008E378C" w:rsidRDefault="008E378C" w:rsidP="008E378C">
      <w:pPr>
        <w:pStyle w:val="Textoindependiente2"/>
        <w:spacing w:after="0" w:line="240" w:lineRule="auto"/>
        <w:ind w:left="-142" w:right="-142"/>
        <w:jc w:val="both"/>
        <w:rPr>
          <w:rFonts w:ascii="Bookman Old Style" w:hAnsi="Bookman Old Style"/>
          <w:szCs w:val="27"/>
        </w:rPr>
      </w:pPr>
    </w:p>
    <w:p w:rsidR="008E378C" w:rsidRDefault="008E378C" w:rsidP="008E378C">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szCs w:val="27"/>
        </w:rPr>
        <w:t>Est</w:t>
      </w:r>
      <w:r w:rsidR="00AB765C">
        <w:rPr>
          <w:rFonts w:ascii="Bookman Old Style" w:hAnsi="Bookman Old Style"/>
          <w:szCs w:val="27"/>
        </w:rPr>
        <w:t xml:space="preserve">as disposiciones se incorporan, </w:t>
      </w:r>
      <w:r>
        <w:rPr>
          <w:rFonts w:ascii="Bookman Old Style" w:hAnsi="Bookman Old Style"/>
          <w:szCs w:val="27"/>
        </w:rPr>
        <w:t>toda vez que como se expone en las consideraciones de la Resolución CREG 063 de 2016, con base en lo dispuesto en la Ley 689 de 2001 y atendiendo las circunstancias específicas en las cuales se ha incorporado la información de cilindros marcados al SUI, esta información corresponde a</w:t>
      </w:r>
      <w:r>
        <w:rPr>
          <w:rFonts w:ascii="Bookman Old Style" w:hAnsi="Bookman Old Style" w:cs="Arial"/>
          <w:spacing w:val="-5"/>
          <w:lang w:val="es-CO" w:eastAsia="en-US"/>
        </w:rPr>
        <w:t xml:space="preserve"> la información oficial correspondiente</w:t>
      </w:r>
      <w:r w:rsidRPr="00EC3BB2">
        <w:rPr>
          <w:rFonts w:ascii="Bookman Old Style" w:hAnsi="Bookman Old Style" w:cs="Arial"/>
          <w:spacing w:val="-5"/>
          <w:lang w:val="es-CO" w:eastAsia="en-US"/>
        </w:rPr>
        <w:t xml:space="preserve"> a los cilindros marcados de los distribuidores, Sistema de Información de Cilindros Marcados (SICMA) a partir de la información entregada por la interventoría AI</w:t>
      </w:r>
      <w:r>
        <w:rPr>
          <w:rFonts w:ascii="Bookman Old Style" w:hAnsi="Bookman Old Style" w:cs="Arial"/>
          <w:spacing w:val="-5"/>
          <w:lang w:val="es-CO" w:eastAsia="en-US"/>
        </w:rPr>
        <w:t>C, proyectos, hasta el año 2012 y</w:t>
      </w:r>
      <w:r w:rsidRPr="00EC3BB2">
        <w:rPr>
          <w:rFonts w:ascii="Bookman Old Style" w:hAnsi="Bookman Old Style" w:cs="Arial"/>
          <w:spacing w:val="-5"/>
          <w:lang w:val="es-CO" w:eastAsia="en-US"/>
        </w:rPr>
        <w:t xml:space="preserve"> la reportada por los distribuidores de GLP ante la Superintendencia, desde el año 2012 hasta la fecha, mediante la Resolución SSPD No. 20141300040755,</w:t>
      </w:r>
      <w:r>
        <w:rPr>
          <w:rFonts w:ascii="Bookman Old Style" w:hAnsi="Bookman Old Style" w:cs="Arial"/>
          <w:spacing w:val="-5"/>
          <w:lang w:val="es-CO" w:eastAsia="en-US"/>
        </w:rPr>
        <w:t xml:space="preserve"> por lo tanto ha de ser la tomada en cuenta a efectos de determinar la capacidad de compra en aplicación de lo previsto en el artículo 8 de la Resolución CREG 063 de 2013.</w:t>
      </w:r>
    </w:p>
    <w:p w:rsidR="008E378C" w:rsidRDefault="008E378C" w:rsidP="008E378C">
      <w:pPr>
        <w:pStyle w:val="Textoindependiente2"/>
        <w:spacing w:after="0" w:line="240" w:lineRule="auto"/>
        <w:ind w:left="-142" w:right="-142"/>
        <w:jc w:val="both"/>
        <w:rPr>
          <w:rFonts w:ascii="Bookman Old Style" w:hAnsi="Bookman Old Style" w:cs="Arial"/>
          <w:spacing w:val="-5"/>
          <w:lang w:val="es-CO" w:eastAsia="en-US"/>
        </w:rPr>
      </w:pPr>
    </w:p>
    <w:p w:rsidR="008E378C" w:rsidRDefault="008E378C" w:rsidP="008E378C">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 xml:space="preserve">Ahora, se debe advertir que este evento está expuesto desde el proceso de consulta de la Resolución 221 de 2015, por lo que adicionalmente a la obligación que tienen los distribuidores de reportar y mantener actualizada la información de cilindros al SUI, atendiendo entre otras lo dispuesto en </w:t>
      </w:r>
      <w:r w:rsidRPr="00EC3BB2">
        <w:rPr>
          <w:rFonts w:ascii="Bookman Old Style" w:hAnsi="Bookman Old Style" w:cs="Arial"/>
          <w:spacing w:val="-5"/>
          <w:lang w:val="es-CO" w:eastAsia="en-US"/>
        </w:rPr>
        <w:t>las resoluciones CREG</w:t>
      </w:r>
      <w:r>
        <w:rPr>
          <w:rFonts w:ascii="Bookman Old Style" w:hAnsi="Bookman Old Style" w:cs="Arial"/>
          <w:spacing w:val="-5"/>
          <w:lang w:val="es-CO" w:eastAsia="en-US"/>
        </w:rPr>
        <w:t xml:space="preserve"> 023, 045 de 2008, CREG 177 de 2011</w:t>
      </w:r>
      <w:r w:rsidR="009152B5">
        <w:rPr>
          <w:rFonts w:ascii="Bookman Old Style" w:hAnsi="Bookman Old Style" w:cs="Arial"/>
          <w:spacing w:val="-5"/>
          <w:lang w:val="es-CO" w:eastAsia="en-US"/>
        </w:rPr>
        <w:t xml:space="preserve">, los agentes contaron con un período aproximado de 5 meses para llevar a cabo </w:t>
      </w:r>
      <w:r w:rsidR="00E9028F">
        <w:rPr>
          <w:rFonts w:ascii="Bookman Old Style" w:hAnsi="Bookman Old Style" w:cs="Arial"/>
          <w:spacing w:val="-5"/>
          <w:lang w:val="es-CO" w:eastAsia="en-US"/>
        </w:rPr>
        <w:t>los reportes y las</w:t>
      </w:r>
      <w:r w:rsidR="009152B5">
        <w:rPr>
          <w:rFonts w:ascii="Bookman Old Style" w:hAnsi="Bookman Old Style" w:cs="Arial"/>
          <w:spacing w:val="-5"/>
          <w:lang w:val="es-CO" w:eastAsia="en-US"/>
        </w:rPr>
        <w:t xml:space="preserve"> actualizaci</w:t>
      </w:r>
      <w:r w:rsidR="00E9028F">
        <w:rPr>
          <w:rFonts w:ascii="Bookman Old Style" w:hAnsi="Bookman Old Style" w:cs="Arial"/>
          <w:spacing w:val="-5"/>
          <w:lang w:val="es-CO" w:eastAsia="en-US"/>
        </w:rPr>
        <w:t>ones</w:t>
      </w:r>
      <w:r w:rsidR="009152B5">
        <w:rPr>
          <w:rFonts w:ascii="Bookman Old Style" w:hAnsi="Bookman Old Style" w:cs="Arial"/>
          <w:spacing w:val="-5"/>
          <w:lang w:val="es-CO" w:eastAsia="en-US"/>
        </w:rPr>
        <w:t xml:space="preserve"> de la información en el SUI. </w:t>
      </w:r>
    </w:p>
    <w:p w:rsidR="009152B5" w:rsidRDefault="009152B5" w:rsidP="008E378C">
      <w:pPr>
        <w:pStyle w:val="Textoindependiente2"/>
        <w:spacing w:after="0" w:line="240" w:lineRule="auto"/>
        <w:ind w:left="-142" w:right="-142"/>
        <w:jc w:val="both"/>
        <w:rPr>
          <w:rFonts w:ascii="Bookman Old Style" w:hAnsi="Bookman Old Style" w:cs="Arial"/>
          <w:spacing w:val="-5"/>
          <w:lang w:val="es-CO" w:eastAsia="en-US"/>
        </w:rPr>
      </w:pPr>
    </w:p>
    <w:p w:rsidR="00220783" w:rsidRDefault="009152B5" w:rsidP="00F64F1B">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 xml:space="preserve">En este sentido, no </w:t>
      </w:r>
      <w:r w:rsidR="00E9028F">
        <w:rPr>
          <w:rFonts w:ascii="Bookman Old Style" w:hAnsi="Bookman Old Style" w:cs="Arial"/>
          <w:spacing w:val="-5"/>
          <w:lang w:val="es-CO" w:eastAsia="en-US"/>
        </w:rPr>
        <w:t>son</w:t>
      </w:r>
      <w:r>
        <w:rPr>
          <w:rFonts w:ascii="Bookman Old Style" w:hAnsi="Bookman Old Style" w:cs="Arial"/>
          <w:spacing w:val="-5"/>
          <w:lang w:val="es-CO" w:eastAsia="en-US"/>
        </w:rPr>
        <w:t xml:space="preserve"> de recibo los argumentos y la información en la expuesta por la empresa con respecto a la cantidad real de cilindros con la que esta cuenta, toda vez que de tenerla como procedente</w:t>
      </w:r>
      <w:r w:rsidR="00E9028F">
        <w:rPr>
          <w:rFonts w:ascii="Bookman Old Style" w:hAnsi="Bookman Old Style" w:cs="Arial"/>
          <w:spacing w:val="-5"/>
          <w:lang w:val="es-CO" w:eastAsia="en-US"/>
        </w:rPr>
        <w:t>,</w:t>
      </w:r>
      <w:r>
        <w:rPr>
          <w:rFonts w:ascii="Bookman Old Style" w:hAnsi="Bookman Old Style" w:cs="Arial"/>
          <w:spacing w:val="-5"/>
          <w:lang w:val="es-CO" w:eastAsia="en-US"/>
        </w:rPr>
        <w:t xml:space="preserve"> esta Comisión estaría desconociendo las obligaciones que la misma regulación ha establecido a cargo de los distribuidores en relación con </w:t>
      </w:r>
      <w:r>
        <w:rPr>
          <w:rFonts w:ascii="Bookman Old Style" w:hAnsi="Bookman Old Style" w:cs="Arial"/>
          <w:spacing w:val="-5"/>
          <w:lang w:val="es-CO" w:eastAsia="en-US"/>
        </w:rPr>
        <w:lastRenderedPageBreak/>
        <w:t>tener actualizado el reporte de esta información, entre otro</w:t>
      </w:r>
      <w:r w:rsidR="00E9028F">
        <w:rPr>
          <w:rFonts w:ascii="Bookman Old Style" w:hAnsi="Bookman Old Style" w:cs="Arial"/>
          <w:spacing w:val="-5"/>
          <w:lang w:val="es-CO" w:eastAsia="en-US"/>
        </w:rPr>
        <w:t>s,</w:t>
      </w:r>
      <w:r>
        <w:rPr>
          <w:rFonts w:ascii="Bookman Old Style" w:hAnsi="Bookman Old Style" w:cs="Arial"/>
          <w:spacing w:val="-5"/>
          <w:lang w:val="es-CO" w:eastAsia="en-US"/>
        </w:rPr>
        <w:t xml:space="preserve"> de acuerdo con lo previsto en los artículos 6 y 9 de la Resolución CREG 023 de 2008. </w:t>
      </w:r>
    </w:p>
    <w:p w:rsidR="00220783" w:rsidRDefault="00220783" w:rsidP="00F64F1B">
      <w:pPr>
        <w:pStyle w:val="Textoindependiente2"/>
        <w:spacing w:after="0" w:line="240" w:lineRule="auto"/>
        <w:ind w:left="-142" w:right="-142"/>
        <w:jc w:val="both"/>
        <w:rPr>
          <w:rFonts w:ascii="Bookman Old Style" w:hAnsi="Bookman Old Style" w:cs="Arial"/>
          <w:spacing w:val="-5"/>
          <w:lang w:val="es-CO" w:eastAsia="en-US"/>
        </w:rPr>
      </w:pPr>
    </w:p>
    <w:p w:rsidR="00F64F1B" w:rsidRDefault="009152B5" w:rsidP="00F64F1B">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Así mismo, se estaría dando un tratamiento diferencial injustificado frente a la forma en que se llevó a cabo la definición de la capacidad de compra a los demás agentes bajo ninguna justificación</w:t>
      </w:r>
      <w:r w:rsidR="00E9028F">
        <w:rPr>
          <w:rFonts w:ascii="Bookman Old Style" w:hAnsi="Bookman Old Style" w:cs="Arial"/>
          <w:spacing w:val="-5"/>
          <w:lang w:val="es-CO" w:eastAsia="en-US"/>
        </w:rPr>
        <w:t xml:space="preserve"> válida y razonable</w:t>
      </w:r>
      <w:r w:rsidR="00F64F1B">
        <w:rPr>
          <w:rFonts w:ascii="Bookman Old Style" w:hAnsi="Bookman Old Style" w:cs="Arial"/>
          <w:spacing w:val="-5"/>
          <w:lang w:val="es-CO" w:eastAsia="en-US"/>
        </w:rPr>
        <w:t xml:space="preserve">, </w:t>
      </w:r>
      <w:r w:rsidR="00F64F1B" w:rsidRPr="00F64F1B">
        <w:rPr>
          <w:rFonts w:ascii="Bookman Old Style" w:hAnsi="Bookman Old Style" w:cs="Arial"/>
          <w:spacing w:val="-5"/>
          <w:lang w:val="es-CO" w:eastAsia="en-US"/>
        </w:rPr>
        <w:t xml:space="preserve">lo cual iría igualmente en contra del principio general del derecho </w:t>
      </w:r>
      <w:r w:rsidR="00F64F1B" w:rsidRPr="00F64F1B">
        <w:rPr>
          <w:rFonts w:ascii="Bookman Old Style" w:hAnsi="Bookman Old Style" w:cs="Arial"/>
          <w:i/>
          <w:spacing w:val="-5"/>
          <w:lang w:val="es-CO" w:eastAsia="en-US"/>
        </w:rPr>
        <w:t>nemo auditur propiam turpitudinem allegans</w:t>
      </w:r>
      <w:r w:rsidR="00F64F1B" w:rsidRPr="00F64F1B">
        <w:rPr>
          <w:rFonts w:ascii="Bookman Old Style" w:hAnsi="Bookman Old Style" w:cs="Arial"/>
          <w:spacing w:val="-5"/>
          <w:lang w:val="es-CO" w:eastAsia="en-US"/>
        </w:rPr>
        <w:t xml:space="preserve"> el cual hace referencia a que nadie puede alegar a su favor su propia culpa, atendiendo el alcance que la Ley 689 de 2001 le ha dado a la información del SUI</w:t>
      </w:r>
      <w:r w:rsidR="00F64F1B">
        <w:rPr>
          <w:rFonts w:ascii="Bookman Old Style" w:hAnsi="Bookman Old Style" w:cs="Arial"/>
          <w:spacing w:val="-5"/>
          <w:lang w:val="es-CO" w:eastAsia="en-US"/>
        </w:rPr>
        <w:t>.</w:t>
      </w:r>
    </w:p>
    <w:p w:rsidR="009152B5" w:rsidRDefault="009152B5" w:rsidP="008E378C">
      <w:pPr>
        <w:pStyle w:val="Textoindependiente2"/>
        <w:spacing w:after="0" w:line="240" w:lineRule="auto"/>
        <w:ind w:left="-142" w:right="-142"/>
        <w:jc w:val="both"/>
        <w:rPr>
          <w:rFonts w:ascii="Bookman Old Style" w:hAnsi="Bookman Old Style" w:cs="Arial"/>
          <w:spacing w:val="-5"/>
          <w:lang w:val="es-CO" w:eastAsia="en-US"/>
        </w:rPr>
      </w:pPr>
    </w:p>
    <w:p w:rsidR="00220783" w:rsidRDefault="009152B5" w:rsidP="008E378C">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 xml:space="preserve">En este sentido, la información allegada es impertinente, improcedente y no brinda elementos de juicio a esta Comisión a </w:t>
      </w:r>
      <w:r w:rsidR="00BE1698">
        <w:rPr>
          <w:rFonts w:ascii="Bookman Old Style" w:hAnsi="Bookman Old Style" w:cs="Arial"/>
          <w:spacing w:val="-5"/>
          <w:lang w:val="es-CO" w:eastAsia="en-US"/>
        </w:rPr>
        <w:t>e</w:t>
      </w:r>
      <w:r>
        <w:rPr>
          <w:rFonts w:ascii="Bookman Old Style" w:hAnsi="Bookman Old Style" w:cs="Arial"/>
          <w:spacing w:val="-5"/>
          <w:lang w:val="es-CO" w:eastAsia="en-US"/>
        </w:rPr>
        <w:t>fectos de modificar lo resuelto en la Resolución CREG 075 de 2016</w:t>
      </w:r>
      <w:r w:rsidR="00BE1698">
        <w:rPr>
          <w:rFonts w:ascii="Bookman Old Style" w:hAnsi="Bookman Old Style" w:cs="Arial"/>
          <w:spacing w:val="-5"/>
          <w:lang w:val="es-CO" w:eastAsia="en-US"/>
        </w:rPr>
        <w:t>, toda vez que la misma debió ser reportada ante la Superintendencia de Servicios Públicos Domiciliarios en cumplimiento de las obligaciones que en esta materia establece la ley y la regulación</w:t>
      </w:r>
      <w:r w:rsidR="003F53CF">
        <w:rPr>
          <w:rFonts w:ascii="Bookman Old Style" w:hAnsi="Bookman Old Style" w:cs="Arial"/>
          <w:spacing w:val="-5"/>
          <w:lang w:val="es-CO" w:eastAsia="en-US"/>
        </w:rPr>
        <w:t xml:space="preserve"> en las normas citadas</w:t>
      </w:r>
      <w:r w:rsidR="00220783">
        <w:rPr>
          <w:rFonts w:ascii="Bookman Old Style" w:hAnsi="Bookman Old Style" w:cs="Arial"/>
          <w:spacing w:val="-5"/>
          <w:lang w:val="es-CO" w:eastAsia="en-US"/>
        </w:rPr>
        <w:t xml:space="preserve">. </w:t>
      </w:r>
    </w:p>
    <w:p w:rsidR="00220783" w:rsidRDefault="00220783" w:rsidP="008E378C">
      <w:pPr>
        <w:pStyle w:val="Textoindependiente2"/>
        <w:spacing w:after="0" w:line="240" w:lineRule="auto"/>
        <w:ind w:left="-142" w:right="-142"/>
        <w:jc w:val="both"/>
        <w:rPr>
          <w:rFonts w:ascii="Bookman Old Style" w:hAnsi="Bookman Old Style" w:cs="Arial"/>
          <w:spacing w:val="-5"/>
          <w:lang w:val="es-CO" w:eastAsia="en-US"/>
        </w:rPr>
      </w:pPr>
    </w:p>
    <w:p w:rsidR="009152B5" w:rsidRPr="008E378C" w:rsidRDefault="00220783" w:rsidP="008E378C">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D</w:t>
      </w:r>
      <w:r w:rsidR="00BE1698">
        <w:rPr>
          <w:rFonts w:ascii="Bookman Old Style" w:hAnsi="Bookman Old Style" w:cs="Arial"/>
          <w:spacing w:val="-5"/>
          <w:lang w:val="es-CO" w:eastAsia="en-US"/>
        </w:rPr>
        <w:t>e la misma manera que no se adjunta ningún sop</w:t>
      </w:r>
      <w:r w:rsidR="003F53CF">
        <w:rPr>
          <w:rFonts w:ascii="Bookman Old Style" w:hAnsi="Bookman Old Style" w:cs="Arial"/>
          <w:spacing w:val="-5"/>
          <w:lang w:val="es-CO" w:eastAsia="en-US"/>
        </w:rPr>
        <w:t>orte del cargue o reporte a</w:t>
      </w:r>
      <w:r w:rsidR="00BE1698">
        <w:rPr>
          <w:rFonts w:ascii="Bookman Old Style" w:hAnsi="Bookman Old Style" w:cs="Arial"/>
          <w:spacing w:val="-5"/>
          <w:lang w:val="es-CO" w:eastAsia="en-US"/>
        </w:rPr>
        <w:t>l SUI por parte de la recurrente</w:t>
      </w:r>
      <w:r w:rsidR="003F53CF">
        <w:rPr>
          <w:rFonts w:ascii="Bookman Old Style" w:hAnsi="Bookman Old Style" w:cs="Arial"/>
          <w:spacing w:val="-5"/>
          <w:lang w:val="es-CO" w:eastAsia="en-US"/>
        </w:rPr>
        <w:t>,</w:t>
      </w:r>
      <w:r>
        <w:rPr>
          <w:rFonts w:ascii="Bookman Old Style" w:hAnsi="Bookman Old Style" w:cs="Arial"/>
          <w:spacing w:val="-5"/>
          <w:lang w:val="es-CO" w:eastAsia="en-US"/>
        </w:rPr>
        <w:t xml:space="preserve"> que genere</w:t>
      </w:r>
      <w:r w:rsidR="00BE1698">
        <w:rPr>
          <w:rFonts w:ascii="Bookman Old Style" w:hAnsi="Bookman Old Style" w:cs="Arial"/>
          <w:spacing w:val="-5"/>
          <w:lang w:val="es-CO" w:eastAsia="en-US"/>
        </w:rPr>
        <w:t xml:space="preserve"> en esta Comisión la necesidad de acudir ante la Superintendencia de Servicios Públicos Domiciliarios a fin de precisar si existe alguna modificación en la información remitida a esta Comisión a efectos de llevar a cabo la determinación de la capacidad de compra.</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Pr="006069BF" w:rsidRDefault="00241733" w:rsidP="006069BF">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Es por esto que una</w:t>
      </w:r>
      <w:r w:rsidR="00D126E3" w:rsidRPr="00AD0844">
        <w:rPr>
          <w:rFonts w:ascii="Bookman Old Style" w:hAnsi="Bookman Old Style"/>
          <w:szCs w:val="27"/>
        </w:rPr>
        <w:t xml:space="preserve"> vez analizadas las consideraciones expuestas por </w:t>
      </w:r>
      <w:r w:rsidR="003F53CF">
        <w:rPr>
          <w:rFonts w:ascii="Bookman Old Style" w:hAnsi="Bookman Old Style"/>
          <w:szCs w:val="27"/>
        </w:rPr>
        <w:t>Granados Gómez y Cía.</w:t>
      </w:r>
      <w:r w:rsidR="00D126E3" w:rsidRPr="00AD0844">
        <w:rPr>
          <w:rFonts w:ascii="Bookman Old Style" w:hAnsi="Bookman Old Style"/>
          <w:szCs w:val="27"/>
        </w:rPr>
        <w:t xml:space="preserve"> en </w:t>
      </w:r>
      <w:r>
        <w:rPr>
          <w:rFonts w:ascii="Bookman Old Style" w:hAnsi="Bookman Old Style"/>
          <w:szCs w:val="27"/>
        </w:rPr>
        <w:t>el recurso de reposición</w:t>
      </w:r>
      <w:r w:rsidR="00D126E3" w:rsidRPr="00AD0844">
        <w:rPr>
          <w:rFonts w:ascii="Bookman Old Style" w:hAnsi="Bookman Old Style"/>
          <w:szCs w:val="27"/>
        </w:rPr>
        <w:t xml:space="preserve">, dichos argumentos no son procedentes, </w:t>
      </w:r>
      <w:r>
        <w:rPr>
          <w:rFonts w:ascii="Bookman Old Style" w:hAnsi="Bookman Old Style"/>
          <w:szCs w:val="27"/>
        </w:rPr>
        <w:t>razón por la cual no</w:t>
      </w:r>
      <w:r w:rsidR="00D126E3" w:rsidRPr="00AD0844">
        <w:rPr>
          <w:rFonts w:ascii="Bookman Old Style" w:hAnsi="Bookman Old Style"/>
          <w:szCs w:val="27"/>
        </w:rPr>
        <w:t xml:space="preserve"> llevan a revocar o modificar la decisión adoptada por la C</w:t>
      </w:r>
      <w:r>
        <w:rPr>
          <w:rFonts w:ascii="Bookman Old Style" w:hAnsi="Bookman Old Style"/>
          <w:szCs w:val="27"/>
        </w:rPr>
        <w:t>REG en la Resolución CREG 075 de 2016</w:t>
      </w:r>
      <w:r w:rsidR="006069BF">
        <w:rPr>
          <w:rFonts w:ascii="Bookman Old Style" w:hAnsi="Bookman Old Style"/>
          <w:szCs w:val="27"/>
        </w:rPr>
        <w:t xml:space="preserve">. </w:t>
      </w:r>
    </w:p>
    <w:p w:rsidR="00C44304" w:rsidRDefault="00C44304" w:rsidP="00D126E3">
      <w:pPr>
        <w:pStyle w:val="Textoindependiente2"/>
        <w:spacing w:after="0" w:line="240" w:lineRule="auto"/>
        <w:ind w:left="-142" w:right="-142"/>
        <w:jc w:val="both"/>
        <w:rPr>
          <w:rFonts w:ascii="Bookman Old Style" w:hAnsi="Bookman Old Style"/>
          <w:szCs w:val="27"/>
        </w:rPr>
      </w:pPr>
    </w:p>
    <w:p w:rsidR="00C44304" w:rsidRPr="00EE6670" w:rsidRDefault="00C44304" w:rsidP="00C4430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 bien, t</w:t>
      </w:r>
      <w:r w:rsidRPr="00EE6670">
        <w:rPr>
          <w:rFonts w:ascii="Bookman Old Style" w:hAnsi="Bookman Old Style"/>
          <w:szCs w:val="27"/>
        </w:rPr>
        <w:t>eniendo en cuenta que dentro de</w:t>
      </w:r>
      <w:r>
        <w:rPr>
          <w:rFonts w:ascii="Bookman Old Style" w:hAnsi="Bookman Old Style"/>
          <w:szCs w:val="27"/>
        </w:rPr>
        <w:t xml:space="preserve"> los argumentos expuestos por una serie de empresas dentro de sus</w:t>
      </w:r>
      <w:r w:rsidRPr="00EE6670">
        <w:rPr>
          <w:rFonts w:ascii="Bookman Old Style" w:hAnsi="Bookman Old Style"/>
          <w:szCs w:val="27"/>
        </w:rPr>
        <w:t xml:space="preserve"> recurso</w:t>
      </w:r>
      <w:r>
        <w:rPr>
          <w:rFonts w:ascii="Bookman Old Style" w:hAnsi="Bookman Old Style"/>
          <w:szCs w:val="27"/>
        </w:rPr>
        <w:t>s</w:t>
      </w:r>
      <w:r w:rsidRPr="00EE6670">
        <w:rPr>
          <w:rFonts w:ascii="Bookman Old Style" w:hAnsi="Bookman Old Style"/>
          <w:szCs w:val="27"/>
        </w:rPr>
        <w:t xml:space="preserve"> de reposición se encontraban elementos relacionados con una posible diferencia de información del Sistema Único de Información – SUI</w:t>
      </w:r>
      <w:r>
        <w:rPr>
          <w:rFonts w:ascii="Bookman Old Style" w:hAnsi="Bookman Old Style"/>
          <w:szCs w:val="27"/>
        </w:rPr>
        <w:t>,</w:t>
      </w:r>
      <w:r w:rsidRPr="00EE6670">
        <w:rPr>
          <w:rFonts w:ascii="Bookman Old Style" w:hAnsi="Bookman Old Style"/>
          <w:szCs w:val="27"/>
        </w:rPr>
        <w:t xml:space="preserve"> en relación con el número </w:t>
      </w:r>
      <w:r>
        <w:rPr>
          <w:rFonts w:ascii="Bookman Old Style" w:hAnsi="Bookman Old Style"/>
          <w:szCs w:val="27"/>
        </w:rPr>
        <w:t>de cilindros marcados y de tanques estacionarios</w:t>
      </w:r>
      <w:r w:rsidRPr="00EE6670">
        <w:rPr>
          <w:rFonts w:ascii="Bookman Old Style" w:hAnsi="Bookman Old Style"/>
          <w:szCs w:val="27"/>
        </w:rPr>
        <w:t xml:space="preserve"> efectivamente reportados</w:t>
      </w:r>
      <w:r>
        <w:rPr>
          <w:rFonts w:ascii="Bookman Old Style" w:hAnsi="Bookman Old Style"/>
          <w:szCs w:val="27"/>
        </w:rPr>
        <w:t>, para lo cual se adjuntaban soportes de estas afirmaciones, esta Comisión de acuerdo con las</w:t>
      </w:r>
      <w:r w:rsidRPr="00EE6670">
        <w:rPr>
          <w:rFonts w:ascii="Bookman Old Style" w:hAnsi="Bookman Old Style"/>
          <w:szCs w:val="27"/>
        </w:rPr>
        <w:t xml:space="preserve"> facultades </w:t>
      </w:r>
      <w:r>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C44304" w:rsidRPr="00EE6670" w:rsidRDefault="00C44304" w:rsidP="00C44304">
      <w:pPr>
        <w:ind w:left="284" w:right="284"/>
        <w:jc w:val="both"/>
        <w:rPr>
          <w:rFonts w:ascii="Bookman Old Style" w:hAnsi="Bookman Old Style" w:cs="Arial"/>
          <w:i/>
          <w:sz w:val="22"/>
          <w:szCs w:val="22"/>
        </w:rPr>
      </w:pPr>
    </w:p>
    <w:p w:rsidR="00C44304" w:rsidRPr="00EE6670" w:rsidRDefault="00C44304" w:rsidP="00C44304">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C44304" w:rsidRPr="00EE6670" w:rsidRDefault="00C44304" w:rsidP="00C44304">
      <w:pPr>
        <w:ind w:left="284" w:right="284"/>
        <w:jc w:val="both"/>
        <w:rPr>
          <w:rFonts w:ascii="Bookman Old Style" w:hAnsi="Bookman Old Style" w:cs="Arial"/>
          <w:i/>
          <w:sz w:val="22"/>
          <w:szCs w:val="22"/>
        </w:rPr>
      </w:pPr>
    </w:p>
    <w:p w:rsidR="00C44304" w:rsidRPr="00EE6670" w:rsidRDefault="00C44304" w:rsidP="00C44304">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C44304" w:rsidRPr="00EE6670" w:rsidRDefault="00C44304" w:rsidP="00C44304">
      <w:pPr>
        <w:ind w:left="284" w:right="284"/>
        <w:jc w:val="both"/>
        <w:rPr>
          <w:rFonts w:ascii="Bookman Old Style" w:hAnsi="Bookman Old Style" w:cs="Arial"/>
          <w:i/>
          <w:sz w:val="22"/>
          <w:szCs w:val="22"/>
        </w:rPr>
      </w:pPr>
    </w:p>
    <w:p w:rsidR="00C44304" w:rsidRPr="00EE6670" w:rsidRDefault="00C44304" w:rsidP="00C44304">
      <w:pPr>
        <w:ind w:left="284" w:right="284"/>
        <w:jc w:val="both"/>
        <w:rPr>
          <w:rFonts w:ascii="Bookman Old Style" w:hAnsi="Bookman Old Style" w:cs="Arial"/>
          <w:i/>
          <w:sz w:val="22"/>
          <w:szCs w:val="22"/>
        </w:rPr>
      </w:pPr>
      <w:r w:rsidRPr="00EE6670">
        <w:rPr>
          <w:rFonts w:ascii="Bookman Old Style" w:hAnsi="Bookman Old Style" w:cs="Arial"/>
          <w:i/>
          <w:sz w:val="22"/>
          <w:szCs w:val="22"/>
        </w:rPr>
        <w:lastRenderedPageBreak/>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C44304" w:rsidRPr="00EE6670" w:rsidRDefault="00C44304" w:rsidP="00C44304">
      <w:pPr>
        <w:ind w:left="284" w:right="284"/>
        <w:jc w:val="both"/>
        <w:rPr>
          <w:rFonts w:ascii="Bookman Old Style" w:hAnsi="Bookman Old Style" w:cs="Arial"/>
          <w:i/>
          <w:sz w:val="22"/>
          <w:szCs w:val="22"/>
        </w:rPr>
      </w:pPr>
    </w:p>
    <w:p w:rsidR="00C44304" w:rsidRPr="00EE6670" w:rsidRDefault="00C44304" w:rsidP="00C44304">
      <w:pPr>
        <w:ind w:left="284" w:right="284"/>
        <w:jc w:val="both"/>
        <w:rPr>
          <w:rFonts w:ascii="Bookman Old Style" w:hAnsi="Bookman Old Style" w:cs="Arial"/>
          <w:i/>
          <w:sz w:val="22"/>
          <w:szCs w:val="22"/>
        </w:rPr>
      </w:pPr>
      <w:r w:rsidRPr="00EE6670">
        <w:rPr>
          <w:rFonts w:ascii="Bookman Old Style" w:hAnsi="Bookman Old Style" w:cs="Arial"/>
          <w:i/>
          <w:sz w:val="22"/>
          <w:szCs w:val="22"/>
        </w:rPr>
        <w:t>Para el efecto se remitirá a la Superintendencia la información del archivo Excel correspondiente al radicado CREG E-2016-005769, así como copia de los recursos de reposición interpuestos en contra de las resolu</w:t>
      </w:r>
      <w:r>
        <w:rPr>
          <w:rFonts w:ascii="Bookman Old Style" w:hAnsi="Bookman Old Style" w:cs="Arial"/>
          <w:i/>
          <w:sz w:val="22"/>
          <w:szCs w:val="22"/>
        </w:rPr>
        <w:t>ciones CREG 075 y 089 de 2016</w:t>
      </w:r>
      <w:r w:rsidRPr="00EE6670">
        <w:rPr>
          <w:rFonts w:ascii="Bookman Old Style" w:hAnsi="Bookman Old Style" w:cs="Arial"/>
          <w:i/>
          <w:sz w:val="22"/>
          <w:szCs w:val="22"/>
        </w:rPr>
        <w:t>.</w:t>
      </w:r>
      <w:r>
        <w:rPr>
          <w:rFonts w:ascii="Bookman Old Style" w:hAnsi="Bookman Old Style" w:cs="Arial"/>
          <w:i/>
          <w:sz w:val="22"/>
          <w:szCs w:val="22"/>
        </w:rPr>
        <w:t>”</w:t>
      </w:r>
    </w:p>
    <w:p w:rsidR="00C44304" w:rsidRPr="007F1548" w:rsidRDefault="00C44304" w:rsidP="00C44304">
      <w:pPr>
        <w:jc w:val="both"/>
        <w:rPr>
          <w:rFonts w:ascii="Arial" w:hAnsi="Arial" w:cs="Arial"/>
          <w:bCs/>
          <w:sz w:val="22"/>
          <w:szCs w:val="22"/>
          <w:lang w:val="es-CO"/>
        </w:rPr>
      </w:pPr>
    </w:p>
    <w:p w:rsidR="00C44304" w:rsidRPr="00EE6670" w:rsidRDefault="00C44304" w:rsidP="00C44304">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C44304" w:rsidRPr="00EE6670" w:rsidRDefault="00C44304" w:rsidP="00C44304">
      <w:pPr>
        <w:pStyle w:val="Textoindependiente2"/>
        <w:spacing w:after="0" w:line="240" w:lineRule="auto"/>
        <w:ind w:left="0" w:right="-142"/>
        <w:jc w:val="both"/>
        <w:rPr>
          <w:rFonts w:ascii="Bookman Old Style" w:hAnsi="Bookman Old Style"/>
          <w:szCs w:val="27"/>
        </w:rPr>
      </w:pPr>
    </w:p>
    <w:p w:rsidR="00C44304" w:rsidRDefault="00C44304" w:rsidP="00C44304">
      <w:pPr>
        <w:pStyle w:val="Textoindependiente2"/>
        <w:spacing w:after="0" w:line="240" w:lineRule="auto"/>
        <w:ind w:left="-142" w:right="-142"/>
        <w:jc w:val="both"/>
        <w:rPr>
          <w:rFonts w:ascii="Bookman Old Style" w:hAnsi="Bookman Old Style"/>
          <w:szCs w:val="27"/>
        </w:rPr>
      </w:pPr>
      <w:r w:rsidRPr="00D24BFC">
        <w:rPr>
          <w:rFonts w:ascii="Bookman Old Style" w:hAnsi="Bookman Old Style"/>
          <w:szCs w:val="27"/>
        </w:rPr>
        <w:t>Mediante oficio</w:t>
      </w:r>
      <w:r>
        <w:rPr>
          <w:rFonts w:ascii="Bookman Old Style" w:hAnsi="Bookman Old Style"/>
          <w:szCs w:val="27"/>
        </w:rPr>
        <w:t>s</w:t>
      </w:r>
      <w:r w:rsidRPr="00D24BFC">
        <w:rPr>
          <w:rFonts w:ascii="Bookman Old Style" w:hAnsi="Bookman Old Style"/>
          <w:szCs w:val="27"/>
        </w:rPr>
        <w:t xml:space="preserve"> con radicado CREG E-2016-010390 de 23 de septiembre </w:t>
      </w:r>
      <w:r>
        <w:rPr>
          <w:rFonts w:ascii="Bookman Old Style" w:hAnsi="Bookman Old Style"/>
          <w:szCs w:val="27"/>
        </w:rPr>
        <w:t>y E-2016-</w:t>
      </w:r>
      <w:r w:rsidR="00DC334D">
        <w:rPr>
          <w:rFonts w:ascii="Bookman Old Style" w:hAnsi="Bookman Old Style"/>
          <w:szCs w:val="27"/>
        </w:rPr>
        <w:t>010452</w:t>
      </w:r>
      <w:r>
        <w:rPr>
          <w:rFonts w:ascii="Bookman Old Style" w:hAnsi="Bookman Old Style"/>
          <w:szCs w:val="27"/>
        </w:rPr>
        <w:t xml:space="preserve"> de septiembre 30 </w:t>
      </w:r>
      <w:r w:rsidRPr="00D24BFC">
        <w:rPr>
          <w:rFonts w:ascii="Bookman Old Style" w:hAnsi="Bookman Old Style"/>
          <w:szCs w:val="27"/>
        </w:rPr>
        <w:t xml:space="preserve">de 2016 la Superintendencia de Servicios Públicos Domiciliarios a través de la Delegada de Energía Eléctrica y Gas Combustible remitió la información solicitada por esta Comisión. </w:t>
      </w:r>
    </w:p>
    <w:p w:rsidR="00C44304" w:rsidRDefault="00C44304" w:rsidP="00C44304">
      <w:pPr>
        <w:pStyle w:val="Textoindependiente2"/>
        <w:spacing w:after="0" w:line="240" w:lineRule="auto"/>
        <w:ind w:left="-142" w:right="-142"/>
        <w:jc w:val="both"/>
        <w:rPr>
          <w:rFonts w:ascii="Bookman Old Style" w:hAnsi="Bookman Old Style"/>
          <w:szCs w:val="27"/>
        </w:rPr>
      </w:pPr>
    </w:p>
    <w:p w:rsidR="00C44304" w:rsidRDefault="00C44304" w:rsidP="00C4430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Igualmente, dentro del auto de pruebas esta Comisión precisó lo siguiente:</w:t>
      </w:r>
    </w:p>
    <w:p w:rsidR="00C44304" w:rsidRDefault="00C44304" w:rsidP="00C44304">
      <w:pPr>
        <w:pStyle w:val="Textoindependiente2"/>
        <w:spacing w:after="0" w:line="240" w:lineRule="auto"/>
        <w:ind w:left="-142" w:right="-142"/>
        <w:jc w:val="both"/>
        <w:rPr>
          <w:rFonts w:ascii="Bookman Old Style" w:hAnsi="Bookman Old Style"/>
          <w:szCs w:val="27"/>
        </w:rPr>
      </w:pPr>
    </w:p>
    <w:p w:rsidR="00C44304" w:rsidRPr="00EE6670" w:rsidRDefault="00C44304" w:rsidP="00C44304">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C44304" w:rsidRPr="00EE6670" w:rsidRDefault="00C44304" w:rsidP="00C44304">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C44304" w:rsidRPr="006B1C94" w:rsidTr="008C7B20">
        <w:trPr>
          <w:jc w:val="center"/>
        </w:trPr>
        <w:tc>
          <w:tcPr>
            <w:tcW w:w="2408" w:type="dxa"/>
            <w:shd w:val="clear" w:color="auto" w:fill="auto"/>
            <w:vAlign w:val="center"/>
          </w:tcPr>
          <w:p w:rsidR="00C44304" w:rsidRPr="006B1C94" w:rsidRDefault="00C44304" w:rsidP="008C7B20">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C44304" w:rsidRPr="006B1C94" w:rsidRDefault="00C44304" w:rsidP="008C7B20">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C44304" w:rsidRPr="006B1C94" w:rsidRDefault="00C44304" w:rsidP="008C7B20">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C44304" w:rsidRDefault="00C44304" w:rsidP="00C44304">
      <w:pPr>
        <w:pStyle w:val="Textoindependiente"/>
        <w:rPr>
          <w:sz w:val="22"/>
          <w:szCs w:val="22"/>
        </w:rPr>
      </w:pPr>
    </w:p>
    <w:p w:rsidR="00C44304" w:rsidRDefault="00C44304" w:rsidP="00C44304">
      <w:pPr>
        <w:ind w:left="284" w:right="284"/>
        <w:jc w:val="both"/>
        <w:rPr>
          <w:rFonts w:ascii="Bookman Old Style" w:hAnsi="Bookman Old Style"/>
          <w:szCs w:val="27"/>
        </w:rPr>
      </w:pPr>
      <w:r w:rsidRPr="00EE6670">
        <w:rPr>
          <w:rFonts w:ascii="Bookman Old Style" w:hAnsi="Bookman Old Style" w:cs="Arial"/>
          <w:i/>
          <w:sz w:val="22"/>
          <w:szCs w:val="22"/>
        </w:rPr>
        <w:t xml:space="preserve">Así mismo, remitir la información de tanques estacionarios atendidos por cada distribuidor y su capacidad en galones correspondiente al año 2015 de acuerdo con lo reportado a la Superintendencia de Servicios Públicos Domiciliarios en el Sistema Único de Información </w:t>
      </w:r>
      <w:r>
        <w:rPr>
          <w:rFonts w:ascii="Bookman Old Style" w:hAnsi="Bookman Old Style" w:cs="Arial"/>
          <w:i/>
          <w:sz w:val="22"/>
          <w:szCs w:val="22"/>
        </w:rPr>
        <w:t>–</w:t>
      </w:r>
      <w:r w:rsidRPr="00EE6670">
        <w:rPr>
          <w:rFonts w:ascii="Bookman Old Style" w:hAnsi="Bookman Old Style" w:cs="Arial"/>
          <w:i/>
          <w:sz w:val="22"/>
          <w:szCs w:val="22"/>
        </w:rPr>
        <w:t xml:space="preserve"> SUI</w:t>
      </w:r>
      <w:r>
        <w:rPr>
          <w:rFonts w:ascii="Bookman Old Style" w:hAnsi="Bookman Old Style" w:cs="Arial"/>
          <w:i/>
          <w:sz w:val="22"/>
          <w:szCs w:val="22"/>
        </w:rPr>
        <w:t>”</w:t>
      </w:r>
    </w:p>
    <w:p w:rsidR="00C44304" w:rsidRDefault="00C44304" w:rsidP="00C44304">
      <w:pPr>
        <w:pStyle w:val="Textoindependiente2"/>
        <w:spacing w:after="0" w:line="240" w:lineRule="auto"/>
        <w:ind w:left="-142" w:right="-142"/>
        <w:jc w:val="both"/>
        <w:rPr>
          <w:rFonts w:ascii="Bookman Old Style" w:hAnsi="Bookman Old Style"/>
          <w:szCs w:val="27"/>
        </w:rPr>
      </w:pPr>
    </w:p>
    <w:p w:rsidR="00C44304" w:rsidRDefault="00C44304" w:rsidP="00C4430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C44304" w:rsidRDefault="00C44304" w:rsidP="00C44304">
      <w:pPr>
        <w:pStyle w:val="Textoindependiente2"/>
        <w:spacing w:after="0" w:line="240" w:lineRule="auto"/>
        <w:ind w:left="0" w:right="-142"/>
        <w:jc w:val="both"/>
        <w:rPr>
          <w:rFonts w:ascii="Bookman Old Style" w:hAnsi="Bookman Old Style"/>
          <w:szCs w:val="27"/>
        </w:rPr>
      </w:pPr>
    </w:p>
    <w:p w:rsidR="00C44304" w:rsidRDefault="00B20CD2" w:rsidP="00A14C71">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4075" cy="933450"/>
            <wp:effectExtent l="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933450"/>
                    </a:xfrm>
                    <a:prstGeom prst="rect">
                      <a:avLst/>
                    </a:prstGeom>
                    <a:noFill/>
                    <a:ln>
                      <a:noFill/>
                    </a:ln>
                  </pic:spPr>
                </pic:pic>
              </a:graphicData>
            </a:graphic>
          </wp:inline>
        </w:drawing>
      </w:r>
    </w:p>
    <w:p w:rsidR="00C44304" w:rsidRDefault="00C44304" w:rsidP="00C44304">
      <w:pPr>
        <w:pStyle w:val="Textoindependiente2"/>
        <w:spacing w:after="0" w:line="240" w:lineRule="auto"/>
        <w:ind w:left="-142" w:right="-142"/>
        <w:jc w:val="both"/>
        <w:rPr>
          <w:rFonts w:ascii="Bookman Old Style" w:hAnsi="Bookman Old Style"/>
          <w:szCs w:val="27"/>
        </w:rPr>
      </w:pPr>
    </w:p>
    <w:p w:rsidR="00C44304" w:rsidRDefault="00C44304" w:rsidP="00C4430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C44304" w:rsidRDefault="00C44304" w:rsidP="00C44304">
      <w:pPr>
        <w:pStyle w:val="Textoindependiente2"/>
        <w:spacing w:after="0" w:line="240" w:lineRule="auto"/>
        <w:ind w:left="-142" w:right="-142"/>
        <w:jc w:val="both"/>
        <w:rPr>
          <w:rFonts w:ascii="Bookman Old Style" w:hAnsi="Bookman Old Style"/>
          <w:szCs w:val="27"/>
        </w:rPr>
      </w:pPr>
    </w:p>
    <w:p w:rsidR="00C44304" w:rsidRDefault="00C44304" w:rsidP="00C4430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de acuerdo con la información remitida por parte de la Superintendencia de Servicios Públicos Domiciliarios, se establece por parte de esta Comisión que se han hecho ajustes a la información del Sistema Único de Información – SUI reportada y remitida inicialmente con corte a 10 de mayo de 2016 con la cual fue definida la capacidad de compra a que hace referencia las resoluciones CREG 075 y 089 de 2016, tanto a nivel de cilindros y tanques estacionarios de las empresas distribuidoras de GLP. De esto se concluye que dichas modificaciones y ajustes al SUI son consideradas como ajustadas a las normas sobre reporte de información por parte de dicha superintendencia y corresponde a información válida dentro de este sistema de información. </w:t>
      </w:r>
    </w:p>
    <w:p w:rsidR="00C44304" w:rsidRDefault="00C44304" w:rsidP="00C44304">
      <w:pPr>
        <w:pStyle w:val="Textoindependiente2"/>
        <w:spacing w:after="0" w:line="240" w:lineRule="auto"/>
        <w:ind w:left="-142" w:right="-142"/>
        <w:jc w:val="both"/>
        <w:rPr>
          <w:rFonts w:ascii="Bookman Old Style" w:hAnsi="Bookman Old Style"/>
          <w:szCs w:val="27"/>
        </w:rPr>
      </w:pPr>
    </w:p>
    <w:p w:rsidR="00C44304" w:rsidRDefault="00C44304" w:rsidP="00C4430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atendiendo el contenido de la información remitida por la Superintendencia de Servicios Públicos, así como en el marco de los principios de: i) neutralidad en el tratamiento de los agentes a que hace referencia el artículo 87 de la Ley 142 de 1994, al dar igual tratamiento a los que estén en condiciones similares, en este caso, respecto del estado del reporte de información al SUI; ii) prevalencia de lo sustancial sobre lo formal, y; iii) así como atendiendo el principio de congruencia </w:t>
      </w:r>
      <w:r w:rsidRPr="00CE445E">
        <w:rPr>
          <w:rFonts w:ascii="Bookman Old Style" w:hAnsi="Bookman Old Style"/>
          <w:szCs w:val="27"/>
        </w:rPr>
        <w:t>de acuerdo con lo previsto en el artículo 80 de la Ley 1437 de 2011</w:t>
      </w:r>
      <w:r w:rsidRPr="00CE445E">
        <w:rPr>
          <w:rFonts w:ascii="Bookman Old Style" w:hAnsi="Bookman Old Style"/>
          <w:szCs w:val="27"/>
        </w:rPr>
        <w:footnoteReference w:id="6"/>
      </w:r>
      <w:r w:rsidRPr="00CE445E">
        <w:rPr>
          <w:rFonts w:ascii="Bookman Old Style" w:hAnsi="Bookman Old Style"/>
          <w:szCs w:val="27"/>
        </w:rPr>
        <w:t xml:space="preserve">, </w:t>
      </w:r>
      <w:r>
        <w:rPr>
          <w:rFonts w:ascii="Bookman Old Style" w:hAnsi="Bookman Old Style"/>
          <w:szCs w:val="27"/>
        </w:rPr>
        <w:t>al considerar que este elemento hace parte de los recursos de reposición interpuestos por los agentes con respecto a lo solicitado o que tienen</w:t>
      </w:r>
      <w:r w:rsidRPr="00CE445E">
        <w:rPr>
          <w:rFonts w:ascii="Bookman Old Style" w:hAnsi="Bookman Old Style"/>
          <w:szCs w:val="27"/>
        </w:rPr>
        <w:t xml:space="preserve"> relación directa con las peticiones hechas</w:t>
      </w:r>
      <w:r>
        <w:rPr>
          <w:rFonts w:ascii="Bookman Old Style" w:hAnsi="Bookman Old Style"/>
          <w:szCs w:val="27"/>
        </w:rPr>
        <w:t xml:space="preserve"> por los interesados; esta Comisión encuentra procedente realizar los ajustes en la definición de la capacidad de compra de las empresas que hayan interpuesto recurso de reposición contras las resoluciones CREG 075 y 089 de 2016, con base en la información </w:t>
      </w:r>
      <w:r w:rsidRPr="009E796E">
        <w:rPr>
          <w:rFonts w:ascii="Bookman Old Style" w:hAnsi="Bookman Old Style"/>
          <w:szCs w:val="27"/>
        </w:rPr>
        <w:t xml:space="preserve">remitida por </w:t>
      </w:r>
      <w:r>
        <w:rPr>
          <w:rFonts w:ascii="Bookman Old Style" w:hAnsi="Bookman Old Style"/>
          <w:szCs w:val="27"/>
        </w:rPr>
        <w:t xml:space="preserve">parte de </w:t>
      </w:r>
      <w:r w:rsidRPr="009E796E">
        <w:rPr>
          <w:rFonts w:ascii="Bookman Old Style" w:hAnsi="Bookman Old Style"/>
          <w:szCs w:val="27"/>
        </w:rPr>
        <w:t>la Superintendencia de Servicios Públicos</w:t>
      </w:r>
      <w:r>
        <w:rPr>
          <w:rFonts w:ascii="Bookman Old Style" w:hAnsi="Bookman Old Style"/>
          <w:szCs w:val="27"/>
        </w:rPr>
        <w:t>.</w:t>
      </w:r>
    </w:p>
    <w:p w:rsidR="00C44304" w:rsidRDefault="00C44304" w:rsidP="00C44304">
      <w:pPr>
        <w:pStyle w:val="Textoindependiente2"/>
        <w:spacing w:after="0" w:line="240" w:lineRule="auto"/>
        <w:ind w:left="-142" w:right="-142"/>
        <w:jc w:val="both"/>
        <w:rPr>
          <w:rFonts w:ascii="Bookman Old Style" w:hAnsi="Bookman Old Style"/>
          <w:szCs w:val="27"/>
        </w:rPr>
      </w:pPr>
    </w:p>
    <w:p w:rsidR="00C44304" w:rsidRPr="003E59E7" w:rsidRDefault="00C44304" w:rsidP="00C44304">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A14C71">
        <w:rPr>
          <w:rFonts w:ascii="Bookman Old Style" w:hAnsi="Bookman Old Style"/>
          <w:szCs w:val="27"/>
        </w:rPr>
        <w:t xml:space="preserve">746 de noviembre 21 </w:t>
      </w:r>
      <w:r w:rsidRPr="003E59E7">
        <w:rPr>
          <w:rFonts w:ascii="Bookman Old Style" w:hAnsi="Bookman Old Style"/>
          <w:szCs w:val="27"/>
        </w:rPr>
        <w:t>de 201</w:t>
      </w:r>
      <w:r>
        <w:rPr>
          <w:rFonts w:ascii="Bookman Old Style" w:hAnsi="Bookman Old Style"/>
          <w:szCs w:val="27"/>
        </w:rPr>
        <w:t>6, acordó expedir la presente r</w:t>
      </w:r>
      <w:r w:rsidRPr="003E59E7">
        <w:rPr>
          <w:rFonts w:ascii="Bookman Old Style" w:hAnsi="Bookman Old Style"/>
          <w:szCs w:val="27"/>
        </w:rPr>
        <w:t>esolución.</w:t>
      </w:r>
    </w:p>
    <w:p w:rsidR="00C44304" w:rsidRPr="003234E2" w:rsidRDefault="00C44304" w:rsidP="00C44304">
      <w:pPr>
        <w:tabs>
          <w:tab w:val="right" w:pos="9498"/>
        </w:tabs>
        <w:ind w:left="0" w:right="-142"/>
        <w:jc w:val="both"/>
        <w:rPr>
          <w:rFonts w:ascii="Bookman Old Style" w:hAnsi="Bookman Old Style"/>
          <w:bCs/>
          <w:sz w:val="20"/>
        </w:rPr>
      </w:pPr>
    </w:p>
    <w:p w:rsidR="00C44304" w:rsidRPr="003234E2" w:rsidRDefault="00A14C71" w:rsidP="00A14C71">
      <w:pPr>
        <w:tabs>
          <w:tab w:val="left" w:pos="5304"/>
        </w:tabs>
        <w:ind w:left="0" w:right="-142"/>
        <w:jc w:val="both"/>
        <w:rPr>
          <w:rFonts w:ascii="Bookman Old Style" w:hAnsi="Bookman Old Style"/>
          <w:bCs/>
          <w:sz w:val="20"/>
        </w:rPr>
      </w:pPr>
      <w:r>
        <w:rPr>
          <w:rFonts w:ascii="Bookman Old Style" w:hAnsi="Bookman Old Style"/>
          <w:bCs/>
          <w:sz w:val="20"/>
        </w:rPr>
        <w:tab/>
      </w:r>
    </w:p>
    <w:p w:rsidR="00C44304" w:rsidRPr="00945A3C" w:rsidRDefault="00C44304" w:rsidP="00C44304">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C44304" w:rsidRPr="003234E2" w:rsidRDefault="00C44304" w:rsidP="00C44304">
      <w:pPr>
        <w:tabs>
          <w:tab w:val="right" w:pos="9498"/>
        </w:tabs>
        <w:ind w:left="0" w:right="-142"/>
        <w:jc w:val="both"/>
        <w:rPr>
          <w:rFonts w:ascii="Bookman Old Style" w:hAnsi="Bookman Old Style" w:cs="Arial"/>
          <w:b/>
          <w:spacing w:val="-3"/>
          <w:sz w:val="20"/>
        </w:rPr>
      </w:pPr>
    </w:p>
    <w:p w:rsidR="00C44304" w:rsidRPr="004620F7" w:rsidRDefault="00C44304" w:rsidP="00C44304">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Pr="004620F7">
        <w:rPr>
          <w:rFonts w:ascii="Bookman Old Style" w:hAnsi="Bookman Old Style"/>
          <w:szCs w:val="27"/>
        </w:rPr>
        <w:t>Negar por improcedente</w:t>
      </w:r>
      <w:r>
        <w:rPr>
          <w:rFonts w:ascii="Bookman Old Style" w:hAnsi="Bookman Old Style"/>
          <w:szCs w:val="27"/>
        </w:rPr>
        <w:t>s</w:t>
      </w:r>
      <w:r w:rsidRPr="004620F7">
        <w:rPr>
          <w:rFonts w:ascii="Bookman Old Style" w:hAnsi="Bookman Old Style"/>
          <w:szCs w:val="27"/>
        </w:rPr>
        <w:t xml:space="preserve"> </w:t>
      </w:r>
      <w:r>
        <w:rPr>
          <w:rFonts w:ascii="Bookman Old Style" w:hAnsi="Bookman Old Style"/>
          <w:szCs w:val="27"/>
        </w:rPr>
        <w:t>los argumentos de Granados Gómez y Cía. S.A. E.S.P.</w:t>
      </w:r>
      <w:r w:rsidRPr="004620F7">
        <w:rPr>
          <w:rFonts w:ascii="Bookman Old Style" w:hAnsi="Bookman Old Style"/>
          <w:szCs w:val="27"/>
        </w:rPr>
        <w:t xml:space="preserve"> </w:t>
      </w:r>
      <w:r>
        <w:rPr>
          <w:rFonts w:ascii="Bookman Old Style" w:hAnsi="Bookman Old Style"/>
          <w:szCs w:val="27"/>
        </w:rPr>
        <w:t>en su recurso de reposición ateniendo</w:t>
      </w:r>
      <w:r w:rsidRPr="004620F7">
        <w:rPr>
          <w:rFonts w:ascii="Bookman Old Style" w:hAnsi="Bookman Old Style"/>
          <w:szCs w:val="27"/>
        </w:rPr>
        <w:t xml:space="preserve"> las consideraciones expuestas</w:t>
      </w:r>
      <w:r>
        <w:rPr>
          <w:rFonts w:ascii="Bookman Old Style" w:hAnsi="Bookman Old Style"/>
          <w:szCs w:val="27"/>
        </w:rPr>
        <w:t xml:space="preserve"> en la presente resolución</w:t>
      </w:r>
      <w:r w:rsidRPr="004620F7">
        <w:rPr>
          <w:rFonts w:ascii="Bookman Old Style" w:hAnsi="Bookman Old Style"/>
          <w:szCs w:val="27"/>
        </w:rPr>
        <w:t>.</w:t>
      </w:r>
    </w:p>
    <w:p w:rsidR="00C44304" w:rsidRPr="004620F7" w:rsidRDefault="00C44304" w:rsidP="00C44304">
      <w:pPr>
        <w:ind w:left="-142" w:right="-142"/>
        <w:jc w:val="both"/>
        <w:rPr>
          <w:rFonts w:ascii="Bookman Old Style" w:hAnsi="Bookman Old Style"/>
          <w:szCs w:val="27"/>
        </w:rPr>
      </w:pPr>
    </w:p>
    <w:p w:rsidR="00C44304" w:rsidRPr="004620F7" w:rsidRDefault="00C44304" w:rsidP="00C44304">
      <w:pPr>
        <w:ind w:left="-142" w:right="-142"/>
        <w:jc w:val="both"/>
        <w:rPr>
          <w:rFonts w:ascii="Bookman Old Style" w:hAnsi="Bookman Old Style"/>
          <w:szCs w:val="27"/>
        </w:rPr>
      </w:pPr>
      <w:r w:rsidRPr="004620F7">
        <w:rPr>
          <w:rFonts w:ascii="Bookman Old Style" w:hAnsi="Bookman Old Style"/>
          <w:b/>
          <w:szCs w:val="27"/>
        </w:rPr>
        <w:t>Artículo 2.</w:t>
      </w:r>
      <w:r w:rsidRPr="004620F7">
        <w:rPr>
          <w:rFonts w:ascii="Bookman Old Style" w:hAnsi="Bookman Old Style"/>
          <w:szCs w:val="27"/>
        </w:rPr>
        <w:t xml:space="preserve"> Modificar el artículo 1 de la Resolución CREG 075 de 2016 de la siguiente forma:</w:t>
      </w:r>
    </w:p>
    <w:p w:rsidR="00C44304" w:rsidRPr="004620F7" w:rsidRDefault="00C44304" w:rsidP="00C44304">
      <w:pPr>
        <w:ind w:left="-142" w:right="-142"/>
        <w:jc w:val="both"/>
        <w:rPr>
          <w:rFonts w:ascii="Bookman Old Style" w:hAnsi="Bookman Old Style"/>
          <w:szCs w:val="27"/>
        </w:rPr>
      </w:pPr>
    </w:p>
    <w:p w:rsidR="00C44304" w:rsidRPr="004620F7" w:rsidRDefault="00C44304" w:rsidP="00A14C71">
      <w:pPr>
        <w:ind w:left="284" w:right="284"/>
        <w:jc w:val="both"/>
        <w:rPr>
          <w:rFonts w:ascii="Bookman Old Style" w:hAnsi="Bookman Old Style"/>
          <w:szCs w:val="27"/>
        </w:rPr>
      </w:pPr>
      <w:r w:rsidRPr="004620F7">
        <w:rPr>
          <w:rFonts w:ascii="Bookman Old Style" w:hAnsi="Bookman Old Style"/>
          <w:szCs w:val="27"/>
        </w:rPr>
        <w:t>La siguiente corresponde a la Capacidad de Compra para cada uno de los códigos SUI de las empresas:</w:t>
      </w:r>
    </w:p>
    <w:p w:rsidR="00C44304" w:rsidRPr="004620F7" w:rsidRDefault="00C44304" w:rsidP="00C44304">
      <w:pPr>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C44304" w:rsidRPr="004620F7" w:rsidTr="008C7B20">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304" w:rsidRPr="004620F7" w:rsidRDefault="00C44304" w:rsidP="003B4BB0">
            <w:pPr>
              <w:ind w:left="0"/>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C44304" w:rsidRPr="004620F7" w:rsidRDefault="00C44304" w:rsidP="003B4BB0">
            <w:pPr>
              <w:ind w:left="0"/>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C44304" w:rsidRPr="004620F7" w:rsidRDefault="00C44304" w:rsidP="003B4BB0">
            <w:pPr>
              <w:ind w:left="0"/>
              <w:jc w:val="center"/>
              <w:rPr>
                <w:rFonts w:ascii="Bookman Old Style" w:hAnsi="Bookman Old Style"/>
                <w:b/>
                <w:bCs/>
                <w:color w:val="000000"/>
                <w:sz w:val="18"/>
                <w:szCs w:val="18"/>
                <w:lang w:eastAsia="es-CO"/>
              </w:rPr>
            </w:pPr>
            <w:r w:rsidRPr="004620F7">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C44304" w:rsidRPr="004620F7" w:rsidTr="003B4BB0">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304" w:rsidRPr="004620F7" w:rsidRDefault="003B4BB0" w:rsidP="008C7B20">
            <w:pPr>
              <w:rPr>
                <w:rFonts w:ascii="Bookman Old Style" w:hAnsi="Bookman Old Style"/>
                <w:sz w:val="18"/>
                <w:szCs w:val="18"/>
              </w:rPr>
            </w:pPr>
            <w:r>
              <w:rPr>
                <w:rFonts w:ascii="Bookman Old Style" w:hAnsi="Bookman Old Style"/>
                <w:sz w:val="18"/>
                <w:szCs w:val="18"/>
              </w:rPr>
              <w:t>1330</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C44304" w:rsidRPr="004620F7" w:rsidRDefault="00C44304" w:rsidP="008C7B20">
            <w:pPr>
              <w:rPr>
                <w:rFonts w:ascii="Bookman Old Style" w:hAnsi="Bookman Old Style"/>
                <w:sz w:val="18"/>
                <w:szCs w:val="18"/>
              </w:rPr>
            </w:pPr>
            <w:r>
              <w:rPr>
                <w:rFonts w:ascii="Bookman Old Style" w:hAnsi="Bookman Old Style"/>
                <w:sz w:val="18"/>
                <w:szCs w:val="18"/>
              </w:rPr>
              <w:t>GRANADOS GOMÉZ Y CÍA</w:t>
            </w:r>
            <w:r w:rsidRPr="004620F7">
              <w:rPr>
                <w:rFonts w:ascii="Bookman Old Style" w:hAnsi="Bookman Old Style"/>
                <w:sz w:val="18"/>
                <w:szCs w:val="18"/>
              </w:rPr>
              <w:t xml:space="preserve"> S.A.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C44304" w:rsidRPr="004620F7" w:rsidRDefault="003B4BB0" w:rsidP="003B4BB0">
            <w:pPr>
              <w:ind w:left="184"/>
              <w:rPr>
                <w:rFonts w:ascii="Bookman Old Style" w:hAnsi="Bookman Old Style"/>
                <w:sz w:val="18"/>
                <w:szCs w:val="18"/>
              </w:rPr>
            </w:pPr>
            <w:r>
              <w:rPr>
                <w:rFonts w:ascii="Bookman Old Style" w:hAnsi="Bookman Old Style"/>
                <w:sz w:val="18"/>
                <w:szCs w:val="18"/>
              </w:rPr>
              <w:t>1.371.</w:t>
            </w:r>
            <w:r w:rsidR="00361AE0">
              <w:rPr>
                <w:rFonts w:ascii="Bookman Old Style" w:hAnsi="Bookman Old Style"/>
                <w:sz w:val="18"/>
                <w:szCs w:val="18"/>
              </w:rPr>
              <w:t>7</w:t>
            </w:r>
            <w:r>
              <w:rPr>
                <w:rFonts w:ascii="Bookman Old Style" w:hAnsi="Bookman Old Style"/>
                <w:sz w:val="18"/>
                <w:szCs w:val="18"/>
              </w:rPr>
              <w:t>44</w:t>
            </w:r>
          </w:p>
        </w:tc>
      </w:tr>
    </w:tbl>
    <w:p w:rsidR="00C44304" w:rsidRPr="004620F7" w:rsidRDefault="00C44304" w:rsidP="00C44304">
      <w:pPr>
        <w:tabs>
          <w:tab w:val="right" w:pos="9498"/>
        </w:tabs>
        <w:ind w:left="0" w:right="-142"/>
        <w:jc w:val="both"/>
        <w:rPr>
          <w:rFonts w:ascii="Bookman Old Style" w:hAnsi="Bookman Old Style" w:cs="Arial"/>
          <w:b/>
          <w:bCs/>
          <w:color w:val="666666"/>
          <w:sz w:val="27"/>
          <w:szCs w:val="27"/>
          <w:lang w:eastAsia="es-CO"/>
        </w:rPr>
      </w:pPr>
    </w:p>
    <w:p w:rsidR="00C44304" w:rsidRPr="004620F7" w:rsidRDefault="00C44304" w:rsidP="00C44304">
      <w:pPr>
        <w:ind w:left="-142" w:right="-142"/>
        <w:jc w:val="both"/>
        <w:rPr>
          <w:rFonts w:ascii="Bookman Old Style" w:hAnsi="Bookman Old Style"/>
          <w:szCs w:val="27"/>
        </w:rPr>
      </w:pPr>
      <w:r w:rsidRPr="004620F7">
        <w:rPr>
          <w:rFonts w:ascii="Bookman Old Style" w:hAnsi="Bookman Old Style"/>
          <w:b/>
          <w:szCs w:val="27"/>
        </w:rPr>
        <w:t>Artículo 3.</w:t>
      </w:r>
      <w:r w:rsidRPr="004620F7">
        <w:rPr>
          <w:rFonts w:ascii="Bookman Old Style" w:hAnsi="Bookman Old Style"/>
          <w:szCs w:val="27"/>
        </w:rPr>
        <w:t xml:space="preserve"> Modificar el Anexo de la Resolución CREG 075 de 2016 de la siguiente forma:</w:t>
      </w:r>
    </w:p>
    <w:p w:rsidR="00B868FC" w:rsidRPr="00CD74B5" w:rsidRDefault="00B868FC" w:rsidP="00B868FC">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B868FC" w:rsidRDefault="00B868FC" w:rsidP="00B868FC">
      <w:pPr>
        <w:jc w:val="both"/>
        <w:rPr>
          <w:rFonts w:ascii="Bookman Old Style" w:hAnsi="Bookman Old Style"/>
        </w:rPr>
      </w:pPr>
    </w:p>
    <w:p w:rsidR="00B868FC" w:rsidRDefault="00B868FC" w:rsidP="00B868FC">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B868FC" w:rsidRDefault="00B868FC" w:rsidP="00B868FC">
      <w:pPr>
        <w:jc w:val="both"/>
        <w:rPr>
          <w:rFonts w:ascii="Bookman Old Style" w:hAnsi="Bookman Old Style"/>
        </w:rPr>
      </w:pPr>
    </w:p>
    <w:p w:rsidR="00B868FC" w:rsidRDefault="00B868FC" w:rsidP="00B868FC">
      <w:pPr>
        <w:pStyle w:val="Prrafodelista"/>
        <w:numPr>
          <w:ilvl w:val="0"/>
          <w:numId w:val="37"/>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B868FC">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B868FC" w:rsidRPr="001C513B" w:rsidRDefault="00B868FC" w:rsidP="00B868FC">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B868FC" w:rsidRPr="00CF4873" w:rsidTr="00EB3BE1">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8FC" w:rsidRPr="00313D63" w:rsidRDefault="00B868FC" w:rsidP="00EB3BE1">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868FC" w:rsidRPr="00313D63" w:rsidRDefault="00B868FC" w:rsidP="00B868FC">
            <w:pPr>
              <w:ind w:left="14"/>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B868FC" w:rsidRPr="00B868FC" w:rsidRDefault="00B868FC" w:rsidP="00B868FC">
            <w:pPr>
              <w:ind w:left="0"/>
              <w:jc w:val="center"/>
              <w:rPr>
                <w:rFonts w:ascii="Bookman Old Style" w:hAnsi="Bookman Old Style"/>
                <w:b/>
                <w:bCs/>
                <w:color w:val="000000"/>
                <w:sz w:val="16"/>
                <w:szCs w:val="16"/>
                <w:lang w:val="es-CO" w:eastAsia="es-CO"/>
              </w:rPr>
            </w:pPr>
            <w:r w:rsidRPr="00B868FC">
              <w:rPr>
                <w:rFonts w:ascii="Bookman Old Style" w:hAnsi="Bookman Old Style"/>
                <w:b/>
                <w:bCs/>
                <w:color w:val="000000"/>
                <w:sz w:val="16"/>
                <w:szCs w:val="16"/>
                <w:lang w:val="es-CO"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868FC" w:rsidRPr="00B868FC" w:rsidRDefault="00B868FC" w:rsidP="00B868FC">
            <w:pPr>
              <w:ind w:left="0"/>
              <w:jc w:val="center"/>
              <w:rPr>
                <w:rFonts w:ascii="Bookman Old Style" w:hAnsi="Bookman Old Style"/>
                <w:b/>
                <w:bCs/>
                <w:color w:val="000000"/>
                <w:sz w:val="16"/>
                <w:szCs w:val="16"/>
                <w:lang w:val="es-CO" w:eastAsia="es-CO"/>
              </w:rPr>
            </w:pPr>
            <w:r w:rsidRPr="00B868FC">
              <w:rPr>
                <w:rFonts w:ascii="Bookman Old Style" w:hAnsi="Bookman Old Style"/>
                <w:b/>
                <w:bCs/>
                <w:color w:val="000000"/>
                <w:sz w:val="16"/>
                <w:szCs w:val="16"/>
                <w:lang w:val="es-CO"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868FC" w:rsidRPr="00B868FC" w:rsidRDefault="00B868FC" w:rsidP="00B868FC">
            <w:pPr>
              <w:ind w:left="0"/>
              <w:jc w:val="center"/>
              <w:rPr>
                <w:rFonts w:ascii="Bookman Old Style" w:hAnsi="Bookman Old Style"/>
                <w:b/>
                <w:bCs/>
                <w:color w:val="000000"/>
                <w:sz w:val="16"/>
                <w:szCs w:val="16"/>
                <w:lang w:val="es-CO" w:eastAsia="es-CO"/>
              </w:rPr>
            </w:pPr>
            <w:r w:rsidRPr="00B868FC">
              <w:rPr>
                <w:rFonts w:ascii="Bookman Old Style" w:hAnsi="Bookman Old Style"/>
                <w:b/>
                <w:bCs/>
                <w:color w:val="000000"/>
                <w:sz w:val="16"/>
                <w:szCs w:val="16"/>
                <w:lang w:val="es-CO"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868FC" w:rsidRPr="00B868FC" w:rsidRDefault="00B868FC" w:rsidP="00B868FC">
            <w:pPr>
              <w:ind w:left="0"/>
              <w:jc w:val="center"/>
              <w:rPr>
                <w:rFonts w:ascii="Bookman Old Style" w:hAnsi="Bookman Old Style"/>
                <w:b/>
                <w:bCs/>
                <w:color w:val="000000"/>
                <w:sz w:val="16"/>
                <w:szCs w:val="16"/>
                <w:lang w:val="es-CO" w:eastAsia="es-CO"/>
              </w:rPr>
            </w:pPr>
            <w:r>
              <w:rPr>
                <w:rFonts w:ascii="Bookman Old Style" w:hAnsi="Bookman Old Style"/>
                <w:b/>
                <w:bCs/>
                <w:color w:val="000000"/>
                <w:sz w:val="16"/>
                <w:szCs w:val="16"/>
                <w:lang w:val="es-CO" w:eastAsia="es-CO"/>
              </w:rPr>
              <w:t>30</w:t>
            </w:r>
            <w:r w:rsidRPr="00B868FC">
              <w:rPr>
                <w:rFonts w:ascii="Bookman Old Style" w:hAnsi="Bookman Old Style"/>
                <w:b/>
                <w:bCs/>
                <w:color w:val="000000"/>
                <w:sz w:val="16"/>
                <w:szCs w:val="16"/>
                <w:lang w:val="es-CO"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868FC" w:rsidRPr="00B868FC" w:rsidRDefault="00B868FC" w:rsidP="00B868FC">
            <w:pPr>
              <w:ind w:left="0"/>
              <w:jc w:val="center"/>
              <w:rPr>
                <w:rFonts w:ascii="Bookman Old Style" w:hAnsi="Bookman Old Style"/>
                <w:b/>
                <w:bCs/>
                <w:color w:val="000000"/>
                <w:sz w:val="16"/>
                <w:szCs w:val="16"/>
                <w:lang w:val="es-CO" w:eastAsia="es-CO"/>
              </w:rPr>
            </w:pPr>
            <w:r w:rsidRPr="00B868FC">
              <w:rPr>
                <w:rFonts w:ascii="Bookman Old Style" w:hAnsi="Bookman Old Style"/>
                <w:b/>
                <w:bCs/>
                <w:color w:val="000000"/>
                <w:sz w:val="16"/>
                <w:szCs w:val="16"/>
                <w:lang w:val="es-CO"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B868FC" w:rsidRPr="00B868FC" w:rsidRDefault="00B868FC" w:rsidP="00B868FC">
            <w:pPr>
              <w:ind w:left="0"/>
              <w:jc w:val="center"/>
              <w:rPr>
                <w:rFonts w:ascii="Bookman Old Style" w:hAnsi="Bookman Old Style"/>
                <w:b/>
                <w:bCs/>
                <w:color w:val="000000"/>
                <w:sz w:val="16"/>
                <w:szCs w:val="16"/>
                <w:lang w:val="es-CO" w:eastAsia="es-CO"/>
              </w:rPr>
            </w:pPr>
            <w:r w:rsidRPr="00B868FC">
              <w:rPr>
                <w:rFonts w:ascii="Bookman Old Style" w:hAnsi="Bookman Old Style"/>
                <w:b/>
                <w:bCs/>
                <w:color w:val="000000"/>
                <w:sz w:val="16"/>
                <w:szCs w:val="16"/>
                <w:lang w:val="es-CO"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B868FC" w:rsidRPr="00B868FC" w:rsidRDefault="00B868FC" w:rsidP="00B868FC">
            <w:pPr>
              <w:ind w:left="0"/>
              <w:jc w:val="center"/>
              <w:rPr>
                <w:rFonts w:ascii="Bookman Old Style" w:hAnsi="Bookman Old Style"/>
                <w:b/>
                <w:bCs/>
                <w:color w:val="000000"/>
                <w:sz w:val="16"/>
                <w:szCs w:val="16"/>
                <w:lang w:val="es-CO" w:eastAsia="es-CO"/>
              </w:rPr>
            </w:pPr>
            <w:r w:rsidRPr="00B868FC">
              <w:rPr>
                <w:rFonts w:ascii="Bookman Old Style" w:hAnsi="Bookman Old Style"/>
                <w:b/>
                <w:bCs/>
                <w:color w:val="000000"/>
                <w:sz w:val="16"/>
                <w:szCs w:val="16"/>
                <w:lang w:val="es-CO"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B868FC" w:rsidRPr="00B868FC" w:rsidRDefault="00B868FC" w:rsidP="00B868FC">
            <w:pPr>
              <w:ind w:left="0"/>
              <w:jc w:val="center"/>
              <w:rPr>
                <w:rFonts w:ascii="Bookman Old Style" w:hAnsi="Bookman Old Style"/>
                <w:b/>
                <w:bCs/>
                <w:color w:val="000000"/>
                <w:sz w:val="16"/>
                <w:szCs w:val="16"/>
                <w:lang w:val="es-CO" w:eastAsia="es-CO"/>
              </w:rPr>
            </w:pPr>
            <w:r w:rsidRPr="00B868FC">
              <w:rPr>
                <w:rFonts w:ascii="Bookman Old Style" w:hAnsi="Bookman Old Style"/>
                <w:b/>
                <w:bCs/>
                <w:color w:val="000000"/>
                <w:sz w:val="16"/>
                <w:szCs w:val="16"/>
                <w:lang w:val="es-CO"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B868FC" w:rsidRPr="00B20CD2" w:rsidRDefault="00B20CD2" w:rsidP="00B868FC">
            <w:pPr>
              <w:ind w:left="0"/>
              <w:jc w:val="center"/>
              <w:rPr>
                <w:rFonts w:ascii="Bookman Old Style" w:hAnsi="Bookman Old Style"/>
                <w:b/>
                <w:bCs/>
                <w:color w:val="000000"/>
                <w:sz w:val="16"/>
                <w:szCs w:val="16"/>
                <w:lang w:val="es-CO"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B868FC" w:rsidRPr="00CF4873" w:rsidTr="00B868FC">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B868FC" w:rsidRPr="00B868FC" w:rsidRDefault="00B868FC" w:rsidP="00B868FC">
            <w:pPr>
              <w:ind w:left="0"/>
              <w:jc w:val="center"/>
              <w:rPr>
                <w:rFonts w:ascii="Bookman Old Style" w:eastAsiaTheme="minorHAnsi" w:hAnsi="Bookman Old Style" w:cstheme="minorBidi"/>
                <w:color w:val="000000"/>
                <w:sz w:val="18"/>
                <w:szCs w:val="20"/>
                <w:lang w:val="es-CO" w:eastAsia="en-US"/>
              </w:rPr>
            </w:pPr>
            <w:r>
              <w:rPr>
                <w:rFonts w:ascii="Bookman Old Style" w:eastAsiaTheme="minorHAnsi" w:hAnsi="Bookman Old Style" w:cstheme="minorBidi"/>
                <w:color w:val="000000"/>
                <w:sz w:val="18"/>
                <w:szCs w:val="20"/>
                <w:lang w:val="es-CO" w:eastAsia="en-US"/>
              </w:rPr>
              <w:t>1330</w:t>
            </w:r>
          </w:p>
        </w:tc>
        <w:tc>
          <w:tcPr>
            <w:tcW w:w="868" w:type="dxa"/>
            <w:tcBorders>
              <w:top w:val="nil"/>
              <w:left w:val="nil"/>
              <w:bottom w:val="single" w:sz="4" w:space="0" w:color="auto"/>
              <w:right w:val="single" w:sz="4" w:space="0" w:color="auto"/>
            </w:tcBorders>
            <w:shd w:val="clear" w:color="auto" w:fill="auto"/>
            <w:noWrap/>
            <w:vAlign w:val="center"/>
          </w:tcPr>
          <w:p w:rsidR="00B868FC" w:rsidRPr="00B868FC" w:rsidRDefault="00B868FC" w:rsidP="00B868FC">
            <w:pPr>
              <w:ind w:left="0"/>
              <w:jc w:val="center"/>
              <w:rPr>
                <w:rFonts w:ascii="Bookman Old Style" w:eastAsiaTheme="minorHAnsi" w:hAnsi="Bookman Old Style" w:cstheme="minorBidi"/>
                <w:color w:val="000000"/>
                <w:sz w:val="18"/>
                <w:szCs w:val="20"/>
                <w:lang w:val="es-CO" w:eastAsia="en-US"/>
              </w:rPr>
            </w:pPr>
            <w:r w:rsidRPr="00B868FC">
              <w:rPr>
                <w:rFonts w:ascii="Bookman Old Style" w:eastAsiaTheme="minorHAnsi" w:hAnsi="Bookman Old Style" w:cstheme="minorBidi"/>
                <w:color w:val="000000"/>
                <w:sz w:val="18"/>
                <w:szCs w:val="20"/>
                <w:lang w:val="es-CO" w:eastAsia="en-US"/>
              </w:rPr>
              <w:t>NR*</w:t>
            </w:r>
          </w:p>
        </w:tc>
        <w:tc>
          <w:tcPr>
            <w:tcW w:w="688" w:type="dxa"/>
            <w:tcBorders>
              <w:top w:val="nil"/>
              <w:left w:val="nil"/>
              <w:bottom w:val="single" w:sz="4" w:space="0" w:color="auto"/>
              <w:right w:val="single" w:sz="4" w:space="0" w:color="auto"/>
            </w:tcBorders>
            <w:shd w:val="clear" w:color="auto" w:fill="auto"/>
            <w:noWrap/>
            <w:vAlign w:val="center"/>
          </w:tcPr>
          <w:p w:rsidR="00B868FC" w:rsidRPr="00B868FC" w:rsidRDefault="00B868FC" w:rsidP="00B868FC">
            <w:pPr>
              <w:ind w:left="0"/>
              <w:jc w:val="center"/>
              <w:rPr>
                <w:rFonts w:ascii="Bookman Old Style" w:eastAsiaTheme="minorHAnsi" w:hAnsi="Bookman Old Style" w:cstheme="minorBidi"/>
                <w:color w:val="000000"/>
                <w:sz w:val="18"/>
                <w:szCs w:val="20"/>
                <w:lang w:val="es-CO" w:eastAsia="en-US"/>
              </w:rPr>
            </w:pPr>
            <w:r w:rsidRPr="00B868FC">
              <w:rPr>
                <w:rFonts w:ascii="Bookman Old Style" w:eastAsiaTheme="minorHAnsi" w:hAnsi="Bookman Old Style" w:cstheme="minorBidi"/>
                <w:color w:val="000000"/>
                <w:sz w:val="18"/>
                <w:szCs w:val="20"/>
                <w:lang w:val="es-CO" w:eastAsia="en-US"/>
              </w:rPr>
              <w:t>NR*</w:t>
            </w:r>
          </w:p>
        </w:tc>
        <w:tc>
          <w:tcPr>
            <w:tcW w:w="756" w:type="dxa"/>
            <w:tcBorders>
              <w:top w:val="nil"/>
              <w:left w:val="nil"/>
              <w:bottom w:val="single" w:sz="4" w:space="0" w:color="auto"/>
              <w:right w:val="single" w:sz="4" w:space="0" w:color="auto"/>
            </w:tcBorders>
            <w:shd w:val="clear" w:color="auto" w:fill="auto"/>
            <w:noWrap/>
            <w:vAlign w:val="center"/>
          </w:tcPr>
          <w:p w:rsidR="00B868FC" w:rsidRPr="00B868FC" w:rsidRDefault="00B868FC" w:rsidP="00B868FC">
            <w:pPr>
              <w:ind w:left="0"/>
              <w:jc w:val="center"/>
              <w:rPr>
                <w:rFonts w:ascii="Bookman Old Style" w:eastAsiaTheme="minorHAnsi" w:hAnsi="Bookman Old Style" w:cstheme="minorBidi"/>
                <w:color w:val="000000"/>
                <w:sz w:val="18"/>
                <w:szCs w:val="20"/>
                <w:lang w:val="es-CO" w:eastAsia="en-US"/>
              </w:rPr>
            </w:pPr>
            <w:r>
              <w:rPr>
                <w:rFonts w:ascii="Bookman Old Style" w:eastAsiaTheme="minorHAnsi" w:hAnsi="Bookman Old Style" w:cstheme="minorBidi"/>
                <w:color w:val="000000"/>
                <w:sz w:val="18"/>
                <w:szCs w:val="20"/>
                <w:lang w:val="es-CO" w:eastAsia="en-US"/>
              </w:rPr>
              <w:t>105</w:t>
            </w:r>
          </w:p>
        </w:tc>
        <w:tc>
          <w:tcPr>
            <w:tcW w:w="756" w:type="dxa"/>
            <w:tcBorders>
              <w:top w:val="nil"/>
              <w:left w:val="nil"/>
              <w:bottom w:val="single" w:sz="4" w:space="0" w:color="auto"/>
              <w:right w:val="single" w:sz="4" w:space="0" w:color="auto"/>
            </w:tcBorders>
            <w:shd w:val="clear" w:color="auto" w:fill="auto"/>
            <w:noWrap/>
            <w:vAlign w:val="center"/>
          </w:tcPr>
          <w:p w:rsidR="00B868FC" w:rsidRPr="00B868FC" w:rsidRDefault="00B868FC" w:rsidP="00B868FC">
            <w:pPr>
              <w:ind w:left="0"/>
              <w:jc w:val="center"/>
              <w:rPr>
                <w:rFonts w:ascii="Bookman Old Style" w:eastAsiaTheme="minorHAnsi" w:hAnsi="Bookman Old Style" w:cstheme="minorBidi"/>
                <w:color w:val="000000"/>
                <w:sz w:val="18"/>
                <w:szCs w:val="20"/>
                <w:lang w:val="es-CO" w:eastAsia="en-US"/>
              </w:rPr>
            </w:pPr>
            <w:r w:rsidRPr="00B868FC">
              <w:rPr>
                <w:rFonts w:ascii="Bookman Old Style" w:eastAsiaTheme="minorHAnsi" w:hAnsi="Bookman Old Style" w:cstheme="minorBidi"/>
                <w:color w:val="000000"/>
                <w:sz w:val="18"/>
                <w:szCs w:val="20"/>
                <w:lang w:val="es-CO" w:eastAsia="en-US"/>
              </w:rPr>
              <w:t>NR*</w:t>
            </w:r>
          </w:p>
        </w:tc>
        <w:tc>
          <w:tcPr>
            <w:tcW w:w="868" w:type="dxa"/>
            <w:tcBorders>
              <w:top w:val="nil"/>
              <w:left w:val="nil"/>
              <w:bottom w:val="single" w:sz="4" w:space="0" w:color="auto"/>
              <w:right w:val="single" w:sz="4" w:space="0" w:color="auto"/>
            </w:tcBorders>
            <w:shd w:val="clear" w:color="auto" w:fill="auto"/>
            <w:noWrap/>
            <w:vAlign w:val="center"/>
          </w:tcPr>
          <w:p w:rsidR="00B868FC" w:rsidRPr="00B868FC" w:rsidRDefault="00B868FC" w:rsidP="00B868FC">
            <w:pPr>
              <w:ind w:left="0"/>
              <w:rPr>
                <w:rFonts w:ascii="Bookman Old Style" w:eastAsiaTheme="minorHAnsi" w:hAnsi="Bookman Old Style" w:cstheme="minorBidi"/>
                <w:color w:val="000000"/>
                <w:sz w:val="18"/>
                <w:szCs w:val="20"/>
                <w:lang w:val="es-CO" w:eastAsia="en-US"/>
              </w:rPr>
            </w:pPr>
            <w:r>
              <w:rPr>
                <w:rFonts w:ascii="Bookman Old Style" w:eastAsiaTheme="minorHAnsi" w:hAnsi="Bookman Old Style" w:cstheme="minorBidi"/>
                <w:color w:val="000000"/>
                <w:sz w:val="18"/>
                <w:szCs w:val="20"/>
                <w:lang w:val="es-CO" w:eastAsia="en-US"/>
              </w:rPr>
              <w:t>7.316</w:t>
            </w:r>
          </w:p>
        </w:tc>
        <w:tc>
          <w:tcPr>
            <w:tcW w:w="868" w:type="dxa"/>
            <w:tcBorders>
              <w:top w:val="nil"/>
              <w:left w:val="nil"/>
              <w:bottom w:val="single" w:sz="4" w:space="0" w:color="auto"/>
              <w:right w:val="single" w:sz="4" w:space="0" w:color="auto"/>
            </w:tcBorders>
            <w:shd w:val="clear" w:color="auto" w:fill="auto"/>
            <w:noWrap/>
            <w:vAlign w:val="center"/>
          </w:tcPr>
          <w:p w:rsidR="00B868FC" w:rsidRPr="00B868FC" w:rsidRDefault="00B868FC" w:rsidP="00B868FC">
            <w:pPr>
              <w:ind w:left="0"/>
              <w:jc w:val="center"/>
              <w:rPr>
                <w:rFonts w:ascii="Bookman Old Style" w:eastAsiaTheme="minorHAnsi" w:hAnsi="Bookman Old Style" w:cstheme="minorBidi"/>
                <w:color w:val="000000"/>
                <w:sz w:val="18"/>
                <w:szCs w:val="20"/>
                <w:lang w:val="es-CO" w:eastAsia="en-US"/>
              </w:rPr>
            </w:pPr>
            <w:r>
              <w:rPr>
                <w:rFonts w:ascii="Bookman Old Style" w:eastAsiaTheme="minorHAnsi" w:hAnsi="Bookman Old Style" w:cstheme="minorBidi"/>
                <w:color w:val="000000"/>
                <w:sz w:val="18"/>
                <w:szCs w:val="20"/>
                <w:lang w:val="es-CO" w:eastAsia="en-US"/>
              </w:rPr>
              <w:t>18.955</w:t>
            </w:r>
          </w:p>
        </w:tc>
        <w:tc>
          <w:tcPr>
            <w:tcW w:w="704" w:type="dxa"/>
            <w:tcBorders>
              <w:top w:val="nil"/>
              <w:left w:val="nil"/>
              <w:bottom w:val="single" w:sz="4" w:space="0" w:color="auto"/>
              <w:right w:val="single" w:sz="4" w:space="0" w:color="auto"/>
            </w:tcBorders>
            <w:shd w:val="clear" w:color="auto" w:fill="auto"/>
            <w:noWrap/>
            <w:vAlign w:val="center"/>
          </w:tcPr>
          <w:p w:rsidR="00B868FC" w:rsidRPr="00B868FC" w:rsidRDefault="00B868FC" w:rsidP="00B868FC">
            <w:pPr>
              <w:ind w:left="0"/>
              <w:jc w:val="center"/>
              <w:rPr>
                <w:rFonts w:ascii="Bookman Old Style" w:eastAsiaTheme="minorHAnsi" w:hAnsi="Bookman Old Style" w:cstheme="minorBidi"/>
                <w:color w:val="000000"/>
                <w:sz w:val="18"/>
                <w:szCs w:val="20"/>
                <w:lang w:val="es-CO" w:eastAsia="en-US"/>
              </w:rPr>
            </w:pPr>
            <w:r w:rsidRPr="00B868FC">
              <w:rPr>
                <w:rFonts w:ascii="Bookman Old Style" w:eastAsiaTheme="minorHAnsi" w:hAnsi="Bookman Old Style" w:cstheme="minorBidi"/>
                <w:color w:val="000000"/>
                <w:sz w:val="18"/>
                <w:szCs w:val="20"/>
                <w:lang w:val="es-CO" w:eastAsia="en-US"/>
              </w:rPr>
              <w:t>NR*</w:t>
            </w:r>
          </w:p>
        </w:tc>
        <w:tc>
          <w:tcPr>
            <w:tcW w:w="832" w:type="dxa"/>
            <w:tcBorders>
              <w:top w:val="nil"/>
              <w:left w:val="nil"/>
              <w:bottom w:val="single" w:sz="4" w:space="0" w:color="auto"/>
              <w:right w:val="single" w:sz="4" w:space="0" w:color="auto"/>
            </w:tcBorders>
            <w:shd w:val="clear" w:color="auto" w:fill="auto"/>
            <w:noWrap/>
            <w:vAlign w:val="center"/>
          </w:tcPr>
          <w:p w:rsidR="00B868FC" w:rsidRPr="00B868FC" w:rsidRDefault="00B868FC" w:rsidP="00B868FC">
            <w:pPr>
              <w:ind w:left="0"/>
              <w:jc w:val="center"/>
              <w:rPr>
                <w:rFonts w:ascii="Bookman Old Style" w:eastAsiaTheme="minorHAnsi" w:hAnsi="Bookman Old Style" w:cstheme="minorBidi"/>
                <w:color w:val="000000"/>
                <w:sz w:val="18"/>
                <w:szCs w:val="20"/>
                <w:lang w:val="es-CO" w:eastAsia="en-US"/>
              </w:rPr>
            </w:pPr>
            <w:r>
              <w:rPr>
                <w:rFonts w:ascii="Bookman Old Style" w:eastAsiaTheme="minorHAnsi" w:hAnsi="Bookman Old Style" w:cstheme="minorBidi"/>
                <w:color w:val="000000"/>
                <w:sz w:val="18"/>
                <w:szCs w:val="20"/>
                <w:lang w:val="es-CO" w:eastAsia="en-US"/>
              </w:rPr>
              <w:t>2.833</w:t>
            </w:r>
          </w:p>
        </w:tc>
        <w:tc>
          <w:tcPr>
            <w:tcW w:w="1037" w:type="dxa"/>
            <w:tcBorders>
              <w:top w:val="nil"/>
              <w:left w:val="nil"/>
              <w:bottom w:val="single" w:sz="4" w:space="0" w:color="auto"/>
              <w:right w:val="single" w:sz="4" w:space="0" w:color="auto"/>
            </w:tcBorders>
            <w:shd w:val="clear" w:color="auto" w:fill="auto"/>
            <w:noWrap/>
            <w:vAlign w:val="center"/>
          </w:tcPr>
          <w:p w:rsidR="00B868FC" w:rsidRPr="00B868FC" w:rsidRDefault="00B868FC" w:rsidP="00B868FC">
            <w:pPr>
              <w:ind w:left="0"/>
              <w:jc w:val="center"/>
              <w:rPr>
                <w:rFonts w:ascii="Bookman Old Style" w:eastAsiaTheme="minorHAnsi" w:hAnsi="Bookman Old Style" w:cstheme="minorBidi"/>
                <w:color w:val="000000"/>
                <w:sz w:val="18"/>
                <w:szCs w:val="20"/>
                <w:lang w:val="es-CO" w:eastAsia="en-US"/>
              </w:rPr>
            </w:pPr>
            <w:r>
              <w:rPr>
                <w:rFonts w:ascii="Bookman Old Style" w:eastAsiaTheme="minorHAnsi" w:hAnsi="Bookman Old Style" w:cstheme="minorBidi"/>
                <w:color w:val="000000"/>
                <w:sz w:val="18"/>
                <w:szCs w:val="20"/>
                <w:lang w:val="es-CO" w:eastAsia="en-US"/>
              </w:rPr>
              <w:t>29.209</w:t>
            </w:r>
          </w:p>
        </w:tc>
        <w:tc>
          <w:tcPr>
            <w:tcW w:w="1266" w:type="dxa"/>
            <w:tcBorders>
              <w:top w:val="nil"/>
              <w:left w:val="nil"/>
              <w:bottom w:val="single" w:sz="4" w:space="0" w:color="auto"/>
              <w:right w:val="single" w:sz="4" w:space="0" w:color="auto"/>
            </w:tcBorders>
            <w:shd w:val="clear" w:color="auto" w:fill="auto"/>
            <w:noWrap/>
            <w:vAlign w:val="center"/>
          </w:tcPr>
          <w:p w:rsidR="00B868FC" w:rsidRPr="00B868FC" w:rsidRDefault="00B868FC" w:rsidP="00B868FC">
            <w:pPr>
              <w:ind w:left="0"/>
              <w:jc w:val="center"/>
              <w:rPr>
                <w:rFonts w:ascii="Bookman Old Style" w:eastAsiaTheme="minorHAnsi" w:hAnsi="Bookman Old Style" w:cstheme="minorBidi"/>
                <w:color w:val="000000"/>
                <w:sz w:val="18"/>
                <w:szCs w:val="20"/>
                <w:lang w:val="es-CO" w:eastAsia="en-US"/>
              </w:rPr>
            </w:pPr>
            <w:r>
              <w:rPr>
                <w:rFonts w:ascii="Bookman Old Style" w:eastAsiaTheme="minorHAnsi" w:hAnsi="Bookman Old Style" w:cstheme="minorBidi"/>
                <w:color w:val="000000"/>
                <w:sz w:val="18"/>
                <w:szCs w:val="20"/>
                <w:lang w:val="es-CO" w:eastAsia="en-US"/>
              </w:rPr>
              <w:t>3.500.416</w:t>
            </w:r>
          </w:p>
        </w:tc>
      </w:tr>
    </w:tbl>
    <w:p w:rsidR="00B868FC" w:rsidRDefault="00B868FC" w:rsidP="00B868FC">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B868FC" w:rsidRDefault="00B868FC" w:rsidP="00B868FC">
      <w:pPr>
        <w:jc w:val="center"/>
        <w:rPr>
          <w:rFonts w:ascii="Bookman Old Style" w:hAnsi="Bookman Old Style"/>
        </w:rPr>
      </w:pPr>
    </w:p>
    <w:p w:rsidR="00B868FC" w:rsidRPr="002E47EE" w:rsidRDefault="00B868FC" w:rsidP="00B868FC">
      <w:pPr>
        <w:pStyle w:val="Prrafodelista"/>
        <w:numPr>
          <w:ilvl w:val="0"/>
          <w:numId w:val="37"/>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B868FC">
        <w:rPr>
          <w:rFonts w:ascii="Bookman Old Style" w:hAnsi="Bookman Old Style"/>
          <w:iCs/>
          <w:sz w:val="24"/>
          <w:szCs w:val="24"/>
        </w:rPr>
        <w:t xml:space="preserve">, a continuación se muestra el conteo de cilindros por código de presentación para cada uno de los códigos SUI de las empresas. </w:t>
      </w:r>
    </w:p>
    <w:tbl>
      <w:tblPr>
        <w:tblStyle w:val="Tablaconcuadrcula"/>
        <w:tblW w:w="0" w:type="auto"/>
        <w:jc w:val="center"/>
        <w:tblLook w:val="04A0" w:firstRow="1" w:lastRow="0" w:firstColumn="1" w:lastColumn="0" w:noHBand="0" w:noVBand="1"/>
      </w:tblPr>
      <w:tblGrid>
        <w:gridCol w:w="1413"/>
        <w:gridCol w:w="1417"/>
      </w:tblGrid>
      <w:tr w:rsidR="00B868FC" w:rsidRPr="00060097" w:rsidTr="00EB3BE1">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Código SUI</w:t>
            </w:r>
          </w:p>
        </w:tc>
        <w:tc>
          <w:tcPr>
            <w:tcW w:w="1417" w:type="dxa"/>
            <w:vAlign w:val="center"/>
          </w:tcPr>
          <w:p w:rsidR="00B868FC" w:rsidRPr="00B868FC" w:rsidRDefault="00B868FC" w:rsidP="00B868FC">
            <w:pPr>
              <w:ind w:left="-106"/>
              <w:jc w:val="center"/>
              <w:rPr>
                <w:rFonts w:ascii="Bookman Old Style" w:hAnsi="Bookman Old Style"/>
                <w:b/>
                <w:sz w:val="18"/>
                <w:szCs w:val="18"/>
              </w:rPr>
            </w:pPr>
            <w:r w:rsidRPr="00B868FC">
              <w:rPr>
                <w:rFonts w:ascii="Bookman Old Style" w:hAnsi="Bookman Old Style"/>
                <w:b/>
                <w:sz w:val="18"/>
                <w:szCs w:val="18"/>
              </w:rPr>
              <w:t>1330</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4 Kg</w:t>
            </w:r>
          </w:p>
        </w:tc>
        <w:tc>
          <w:tcPr>
            <w:tcW w:w="1417" w:type="dxa"/>
            <w:vAlign w:val="center"/>
          </w:tcPr>
          <w:p w:rsidR="00B868FC" w:rsidRDefault="00B868FC" w:rsidP="00B868FC">
            <w:pPr>
              <w:ind w:left="-106"/>
              <w:jc w:val="center"/>
            </w:pPr>
            <w:r w:rsidRPr="00971FE5">
              <w:rPr>
                <w:rFonts w:ascii="Bookman Old Style" w:eastAsiaTheme="minorHAnsi" w:hAnsi="Bookman Old Style" w:cstheme="minorBidi"/>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5 Kg</w:t>
            </w:r>
          </w:p>
        </w:tc>
        <w:tc>
          <w:tcPr>
            <w:tcW w:w="1417" w:type="dxa"/>
            <w:vAlign w:val="center"/>
          </w:tcPr>
          <w:p w:rsidR="00B868FC" w:rsidRDefault="00B868FC" w:rsidP="00B868FC">
            <w:pPr>
              <w:ind w:left="-106"/>
              <w:jc w:val="center"/>
            </w:pPr>
            <w:r w:rsidRPr="00971FE5">
              <w:rPr>
                <w:rFonts w:ascii="Bookman Old Style" w:eastAsiaTheme="minorHAnsi" w:hAnsi="Bookman Old Style" w:cstheme="minorBidi"/>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7 Kg</w:t>
            </w:r>
          </w:p>
        </w:tc>
        <w:tc>
          <w:tcPr>
            <w:tcW w:w="1417" w:type="dxa"/>
            <w:vAlign w:val="center"/>
          </w:tcPr>
          <w:p w:rsidR="00B868FC" w:rsidRDefault="00B868FC" w:rsidP="00B868FC">
            <w:pPr>
              <w:ind w:left="-106"/>
              <w:jc w:val="center"/>
            </w:pPr>
            <w:r w:rsidRPr="00971FE5">
              <w:rPr>
                <w:rFonts w:ascii="Bookman Old Style" w:eastAsiaTheme="minorHAnsi" w:hAnsi="Bookman Old Style" w:cstheme="minorBidi"/>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9 Kg</w:t>
            </w:r>
          </w:p>
        </w:tc>
        <w:tc>
          <w:tcPr>
            <w:tcW w:w="1417" w:type="dxa"/>
            <w:vAlign w:val="center"/>
          </w:tcPr>
          <w:p w:rsidR="00B868FC" w:rsidRDefault="00B868FC" w:rsidP="00B868FC">
            <w:pPr>
              <w:ind w:left="-106"/>
              <w:jc w:val="center"/>
            </w:pPr>
            <w:r w:rsidRPr="00971FE5">
              <w:rPr>
                <w:rFonts w:ascii="Bookman Old Style" w:eastAsiaTheme="minorHAnsi" w:hAnsi="Bookman Old Style" w:cstheme="minorBidi"/>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10 Kg</w:t>
            </w:r>
          </w:p>
        </w:tc>
        <w:tc>
          <w:tcPr>
            <w:tcW w:w="1417" w:type="dxa"/>
            <w:vAlign w:val="center"/>
          </w:tcPr>
          <w:p w:rsidR="00B868FC" w:rsidRDefault="00B868FC" w:rsidP="00B868FC">
            <w:pPr>
              <w:ind w:left="-106"/>
              <w:jc w:val="center"/>
            </w:pPr>
            <w:r w:rsidRPr="00971FE5">
              <w:rPr>
                <w:rFonts w:ascii="Bookman Old Style" w:eastAsiaTheme="minorHAnsi" w:hAnsi="Bookman Old Style" w:cstheme="minorBidi"/>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15 Kg</w:t>
            </w:r>
          </w:p>
        </w:tc>
        <w:tc>
          <w:tcPr>
            <w:tcW w:w="1417" w:type="dxa"/>
            <w:vAlign w:val="center"/>
          </w:tcPr>
          <w:p w:rsidR="00B868FC" w:rsidRDefault="00B868FC" w:rsidP="00B868FC">
            <w:pPr>
              <w:ind w:left="-106"/>
              <w:jc w:val="center"/>
            </w:pPr>
            <w:r w:rsidRPr="00971FE5">
              <w:rPr>
                <w:rFonts w:ascii="Bookman Old Style" w:eastAsiaTheme="minorHAnsi" w:hAnsi="Bookman Old Style" w:cstheme="minorBidi"/>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18 Kg</w:t>
            </w:r>
          </w:p>
        </w:tc>
        <w:tc>
          <w:tcPr>
            <w:tcW w:w="1417" w:type="dxa"/>
            <w:vAlign w:val="center"/>
          </w:tcPr>
          <w:p w:rsidR="00B868FC" w:rsidRPr="00060097" w:rsidRDefault="00B868FC" w:rsidP="00B868FC">
            <w:pPr>
              <w:ind w:left="-106"/>
              <w:jc w:val="center"/>
              <w:rPr>
                <w:rFonts w:ascii="Bookman Old Style" w:hAnsi="Bookman Old Style"/>
                <w:sz w:val="18"/>
                <w:szCs w:val="18"/>
              </w:rPr>
            </w:pPr>
            <w:r>
              <w:rPr>
                <w:rFonts w:ascii="Bookman Old Style" w:hAnsi="Bookman Old Style"/>
                <w:sz w:val="18"/>
                <w:szCs w:val="18"/>
              </w:rPr>
              <w:t>2.148</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20 Kg</w:t>
            </w:r>
          </w:p>
        </w:tc>
        <w:tc>
          <w:tcPr>
            <w:tcW w:w="1417" w:type="dxa"/>
            <w:vAlign w:val="center"/>
          </w:tcPr>
          <w:p w:rsidR="00B868FC" w:rsidRDefault="00B868FC" w:rsidP="00B868FC">
            <w:pPr>
              <w:ind w:left="-106"/>
              <w:jc w:val="center"/>
            </w:pPr>
            <w:r w:rsidRPr="00260716">
              <w:rPr>
                <w:rFonts w:ascii="Bookman Old Style" w:eastAsiaTheme="minorHAnsi" w:hAnsi="Bookman Old Style" w:cstheme="minorBidi"/>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30 Kg</w:t>
            </w:r>
          </w:p>
        </w:tc>
        <w:tc>
          <w:tcPr>
            <w:tcW w:w="1417" w:type="dxa"/>
            <w:vAlign w:val="center"/>
          </w:tcPr>
          <w:p w:rsidR="00B868FC" w:rsidRDefault="00B868FC" w:rsidP="00B868FC">
            <w:pPr>
              <w:ind w:left="-106"/>
              <w:jc w:val="center"/>
            </w:pPr>
            <w:r w:rsidRPr="00260716">
              <w:rPr>
                <w:rFonts w:ascii="Bookman Old Style" w:eastAsiaTheme="minorHAnsi" w:hAnsi="Bookman Old Style" w:cstheme="minorBidi"/>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33 Kg</w:t>
            </w:r>
          </w:p>
        </w:tc>
        <w:tc>
          <w:tcPr>
            <w:tcW w:w="1417" w:type="dxa"/>
            <w:vAlign w:val="center"/>
          </w:tcPr>
          <w:p w:rsidR="00B868FC" w:rsidRDefault="00B868FC" w:rsidP="00B868FC">
            <w:pPr>
              <w:ind w:left="-106"/>
              <w:jc w:val="center"/>
            </w:pPr>
            <w:r w:rsidRPr="00260716">
              <w:rPr>
                <w:rFonts w:ascii="Bookman Old Style" w:eastAsiaTheme="minorHAnsi" w:hAnsi="Bookman Old Style" w:cstheme="minorBidi"/>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35 Kg</w:t>
            </w:r>
          </w:p>
        </w:tc>
        <w:tc>
          <w:tcPr>
            <w:tcW w:w="1417" w:type="dxa"/>
            <w:vAlign w:val="center"/>
          </w:tcPr>
          <w:p w:rsidR="00B868FC" w:rsidRDefault="00B868FC" w:rsidP="00B868FC">
            <w:pPr>
              <w:ind w:left="-106"/>
              <w:jc w:val="center"/>
            </w:pPr>
            <w:r w:rsidRPr="00260716">
              <w:rPr>
                <w:rFonts w:ascii="Bookman Old Style" w:eastAsiaTheme="minorHAnsi" w:hAnsi="Bookman Old Style" w:cstheme="minorBidi"/>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40 Kg</w:t>
            </w:r>
          </w:p>
        </w:tc>
        <w:tc>
          <w:tcPr>
            <w:tcW w:w="1417" w:type="dxa"/>
            <w:vAlign w:val="center"/>
          </w:tcPr>
          <w:p w:rsidR="00B868FC" w:rsidRDefault="00B868FC" w:rsidP="00B868FC">
            <w:pPr>
              <w:ind w:left="-106"/>
              <w:jc w:val="center"/>
            </w:pPr>
            <w:r w:rsidRPr="00260716">
              <w:rPr>
                <w:rFonts w:ascii="Bookman Old Style" w:eastAsiaTheme="minorHAnsi" w:hAnsi="Bookman Old Style" w:cstheme="minorBidi"/>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45 Kg</w:t>
            </w:r>
          </w:p>
        </w:tc>
        <w:tc>
          <w:tcPr>
            <w:tcW w:w="1417" w:type="dxa"/>
            <w:vAlign w:val="center"/>
          </w:tcPr>
          <w:p w:rsidR="00B868FC" w:rsidRPr="00060097" w:rsidRDefault="00B868FC" w:rsidP="00B868FC">
            <w:pPr>
              <w:ind w:left="-106"/>
              <w:jc w:val="center"/>
              <w:rPr>
                <w:rFonts w:ascii="Bookman Old Style" w:hAnsi="Bookman Old Style"/>
                <w:sz w:val="18"/>
                <w:szCs w:val="18"/>
              </w:rPr>
            </w:pPr>
            <w:r>
              <w:rPr>
                <w:rFonts w:ascii="Bookman Old Style" w:hAnsi="Bookman Old Style"/>
                <w:sz w:val="18"/>
                <w:szCs w:val="18"/>
              </w:rPr>
              <w:t>151</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t>100 Kg</w:t>
            </w:r>
          </w:p>
        </w:tc>
        <w:tc>
          <w:tcPr>
            <w:tcW w:w="1417" w:type="dxa"/>
            <w:vAlign w:val="center"/>
          </w:tcPr>
          <w:p w:rsidR="00B868FC" w:rsidRPr="00060097" w:rsidRDefault="00B868FC" w:rsidP="00B868FC">
            <w:pPr>
              <w:ind w:left="-106"/>
              <w:jc w:val="center"/>
              <w:rPr>
                <w:rFonts w:ascii="Bookman Old Style" w:hAnsi="Bookman Old Style"/>
                <w:sz w:val="18"/>
                <w:szCs w:val="18"/>
              </w:rPr>
            </w:pPr>
            <w:r w:rsidRPr="00B868FC">
              <w:rPr>
                <w:rFonts w:ascii="Bookman Old Style" w:eastAsia="Calibri" w:hAnsi="Bookman Old Style"/>
                <w:color w:val="000000"/>
                <w:sz w:val="18"/>
                <w:szCs w:val="20"/>
                <w:lang w:val="es-CO" w:eastAsia="en-US"/>
              </w:rPr>
              <w:t>NR*</w:t>
            </w:r>
          </w:p>
        </w:tc>
      </w:tr>
      <w:tr w:rsidR="00B868FC" w:rsidRPr="00060097" w:rsidTr="00B868FC">
        <w:trPr>
          <w:trHeight w:val="443"/>
          <w:jc w:val="center"/>
        </w:trPr>
        <w:tc>
          <w:tcPr>
            <w:tcW w:w="1413" w:type="dxa"/>
            <w:vAlign w:val="center"/>
          </w:tcPr>
          <w:p w:rsidR="00B868FC" w:rsidRPr="00B868FC" w:rsidRDefault="00B868FC" w:rsidP="00B868FC">
            <w:pPr>
              <w:ind w:left="0"/>
              <w:jc w:val="center"/>
              <w:rPr>
                <w:rFonts w:ascii="Bookman Old Style" w:hAnsi="Bookman Old Style"/>
                <w:b/>
                <w:sz w:val="18"/>
                <w:szCs w:val="18"/>
                <w:lang w:val="es-CO" w:eastAsia="es-CO"/>
              </w:rPr>
            </w:pPr>
            <w:r w:rsidRPr="00B868FC">
              <w:rPr>
                <w:rFonts w:ascii="Bookman Old Style" w:hAnsi="Bookman Old Style"/>
                <w:b/>
                <w:sz w:val="18"/>
                <w:szCs w:val="18"/>
                <w:lang w:val="es-CO" w:eastAsia="es-CO"/>
              </w:rPr>
              <w:lastRenderedPageBreak/>
              <w:t>Total general</w:t>
            </w:r>
          </w:p>
        </w:tc>
        <w:tc>
          <w:tcPr>
            <w:tcW w:w="1417" w:type="dxa"/>
            <w:vAlign w:val="center"/>
          </w:tcPr>
          <w:p w:rsidR="00B868FC" w:rsidRPr="00060097" w:rsidRDefault="00B868FC" w:rsidP="00B868FC">
            <w:pPr>
              <w:ind w:left="-106"/>
              <w:jc w:val="center"/>
              <w:rPr>
                <w:rFonts w:ascii="Bookman Old Style" w:hAnsi="Bookman Old Style"/>
                <w:sz w:val="18"/>
                <w:szCs w:val="18"/>
              </w:rPr>
            </w:pPr>
            <w:r>
              <w:rPr>
                <w:rFonts w:ascii="Bookman Old Style" w:hAnsi="Bookman Old Style"/>
                <w:sz w:val="18"/>
                <w:szCs w:val="18"/>
              </w:rPr>
              <w:t>2.299</w:t>
            </w:r>
          </w:p>
        </w:tc>
      </w:tr>
      <w:tr w:rsidR="00B868FC" w:rsidRPr="00060097" w:rsidTr="00B868FC">
        <w:tblPrEx>
          <w:tblCellMar>
            <w:left w:w="70" w:type="dxa"/>
            <w:right w:w="70" w:type="dxa"/>
          </w:tblCellMar>
        </w:tblPrEx>
        <w:trPr>
          <w:trHeight w:val="443"/>
          <w:jc w:val="center"/>
        </w:trPr>
        <w:tc>
          <w:tcPr>
            <w:tcW w:w="1413" w:type="dxa"/>
            <w:vAlign w:val="center"/>
          </w:tcPr>
          <w:p w:rsidR="00B868FC" w:rsidRPr="00B868FC" w:rsidRDefault="00085546" w:rsidP="00085546">
            <w:pPr>
              <w:ind w:left="0"/>
              <w:jc w:val="center"/>
              <w:rPr>
                <w:rFonts w:ascii="Bookman Old Style" w:hAnsi="Bookman Old Style"/>
                <w:b/>
                <w:sz w:val="18"/>
                <w:szCs w:val="18"/>
                <w:lang w:val="es-CO" w:eastAsia="es-CO"/>
              </w:rPr>
            </w:pPr>
            <m:oMathPara>
              <m:oMath>
                <m:r>
                  <m:rPr>
                    <m:sty m:val="bi"/>
                  </m:rPr>
                  <w:rPr>
                    <w:rFonts w:ascii="Cambria Math" w:hAnsi="Cambria Math"/>
                    <w:sz w:val="18"/>
                    <w:szCs w:val="18"/>
                    <w:lang w:val="es-CO" w:eastAsia="es-CO"/>
                  </w:rPr>
                  <m:t>Cap.</m:t>
                </m:r>
                <m:sSub>
                  <m:sSubPr>
                    <m:ctrlPr>
                      <w:rPr>
                        <w:rFonts w:ascii="Cambria Math" w:hAnsi="Cambria Math"/>
                        <w:b/>
                        <w:i/>
                        <w:sz w:val="18"/>
                        <w:szCs w:val="18"/>
                        <w:lang w:val="es-CO" w:eastAsia="es-CO"/>
                      </w:rPr>
                    </m:ctrlPr>
                  </m:sSubPr>
                  <m:e>
                    <m:r>
                      <m:rPr>
                        <m:sty m:val="bi"/>
                      </m:rPr>
                      <w:rPr>
                        <w:rFonts w:ascii="Cambria Math" w:hAnsi="Cambria Math"/>
                        <w:sz w:val="18"/>
                        <w:szCs w:val="18"/>
                        <w:lang w:val="es-CO" w:eastAsia="es-CO"/>
                      </w:rPr>
                      <m:t>1</m:t>
                    </m:r>
                  </m:e>
                  <m:sub>
                    <m:r>
                      <m:rPr>
                        <m:sty m:val="bi"/>
                      </m:rPr>
                      <w:rPr>
                        <w:rFonts w:ascii="Cambria Math" w:hAnsi="Cambria Math"/>
                        <w:sz w:val="18"/>
                        <w:szCs w:val="18"/>
                        <w:lang w:val="es-CO" w:eastAsia="es-CO"/>
                      </w:rPr>
                      <m:t>i</m:t>
                    </m:r>
                  </m:sub>
                </m:sSub>
                <m:r>
                  <m:rPr>
                    <m:sty m:val="bi"/>
                  </m:rPr>
                  <w:rPr>
                    <w:rFonts w:ascii="Cambria Math" w:hAnsi="Cambria Math"/>
                    <w:sz w:val="18"/>
                    <w:szCs w:val="18"/>
                    <w:lang w:val="es-CO" w:eastAsia="es-CO"/>
                  </w:rPr>
                  <m:t>,t</m:t>
                </m:r>
              </m:oMath>
            </m:oMathPara>
          </w:p>
        </w:tc>
        <w:tc>
          <w:tcPr>
            <w:tcW w:w="1417" w:type="dxa"/>
            <w:vAlign w:val="center"/>
          </w:tcPr>
          <w:p w:rsidR="00B868FC" w:rsidRDefault="007A7682" w:rsidP="00B868FC">
            <w:pPr>
              <w:ind w:left="-106"/>
              <w:jc w:val="center"/>
              <w:rPr>
                <w:rFonts w:ascii="Bookman Old Style" w:hAnsi="Bookman Old Style"/>
                <w:sz w:val="18"/>
                <w:szCs w:val="18"/>
              </w:rPr>
            </w:pPr>
            <w:r>
              <w:rPr>
                <w:rFonts w:ascii="Bookman Old Style" w:hAnsi="Bookman Old Style"/>
                <w:sz w:val="18"/>
                <w:szCs w:val="18"/>
              </w:rPr>
              <w:t>272.754</w:t>
            </w:r>
          </w:p>
        </w:tc>
      </w:tr>
    </w:tbl>
    <w:p w:rsidR="00B868FC" w:rsidRPr="00074962" w:rsidRDefault="00B868FC" w:rsidP="00B868FC">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B868FC" w:rsidRDefault="00B868FC" w:rsidP="00B868FC">
      <w:pPr>
        <w:jc w:val="center"/>
        <w:rPr>
          <w:rFonts w:ascii="Bookman Old Style" w:hAnsi="Bookman Old Style"/>
          <w:sz w:val="18"/>
        </w:rPr>
      </w:pPr>
    </w:p>
    <w:p w:rsidR="00B868FC" w:rsidRPr="00B868FC" w:rsidRDefault="00B868FC" w:rsidP="00B868FC">
      <w:pPr>
        <w:pStyle w:val="Prrafodelista"/>
        <w:numPr>
          <w:ilvl w:val="0"/>
          <w:numId w:val="37"/>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B868FC">
        <w:rPr>
          <w:rFonts w:ascii="Bookman Old Style" w:hAnsi="Bookman Old Style"/>
          <w:iCs/>
          <w:sz w:val="24"/>
          <w:szCs w:val="24"/>
        </w:rPr>
        <w:t xml:space="preserve">, a continuación se muestra el conteo de cilindros por código de presentación para cada uno de los códigos SUI de las empresas. </w:t>
      </w:r>
    </w:p>
    <w:p w:rsidR="00B868FC" w:rsidRPr="0089470C" w:rsidRDefault="00B868FC" w:rsidP="00B868FC">
      <w:pPr>
        <w:pStyle w:val="Prrafodelista"/>
        <w:ind w:left="720"/>
        <w:jc w:val="both"/>
        <w:rPr>
          <w:rFonts w:ascii="Bookman Old Style" w:hAnsi="Bookman Old Style"/>
          <w:sz w:val="24"/>
          <w:szCs w:val="24"/>
        </w:rPr>
      </w:pPr>
    </w:p>
    <w:tbl>
      <w:tblPr>
        <w:tblW w:w="6040" w:type="dxa"/>
        <w:jc w:val="center"/>
        <w:tblCellMar>
          <w:left w:w="70" w:type="dxa"/>
          <w:right w:w="70" w:type="dxa"/>
        </w:tblCellMar>
        <w:tblLook w:val="04A0" w:firstRow="1" w:lastRow="0" w:firstColumn="1" w:lastColumn="0" w:noHBand="0" w:noVBand="1"/>
      </w:tblPr>
      <w:tblGrid>
        <w:gridCol w:w="1420"/>
        <w:gridCol w:w="1660"/>
        <w:gridCol w:w="1360"/>
        <w:gridCol w:w="1600"/>
      </w:tblGrid>
      <w:tr w:rsidR="00B868FC" w:rsidRPr="00074962" w:rsidTr="007A7682">
        <w:trPr>
          <w:trHeight w:val="405"/>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8FC" w:rsidRPr="00074962" w:rsidRDefault="00B868FC" w:rsidP="007A7682">
            <w:pPr>
              <w:ind w:left="0"/>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868FC" w:rsidRPr="00B20CD2" w:rsidRDefault="00B20CD2" w:rsidP="007A7682">
            <w:pPr>
              <w:ind w:left="0"/>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B868FC" w:rsidRPr="00B20CD2" w:rsidRDefault="00B20CD2" w:rsidP="007A7682">
            <w:pPr>
              <w:ind w:left="0"/>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B868FC" w:rsidRPr="00B20CD2" w:rsidRDefault="00B20CD2" w:rsidP="007A7682">
            <w:pPr>
              <w:ind w:left="0"/>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7A7682" w:rsidRPr="00074962" w:rsidTr="007A7682">
        <w:trPr>
          <w:trHeight w:val="311"/>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682" w:rsidRPr="007A7682" w:rsidRDefault="007A7682" w:rsidP="007A7682">
            <w:pPr>
              <w:ind w:left="0"/>
              <w:jc w:val="center"/>
              <w:rPr>
                <w:rFonts w:ascii="Bookman Old Style" w:hAnsi="Bookman Old Style"/>
                <w:color w:val="000000"/>
                <w:sz w:val="20"/>
                <w:szCs w:val="20"/>
              </w:rPr>
            </w:pPr>
            <w:r w:rsidRPr="007A7682">
              <w:rPr>
                <w:rFonts w:ascii="Bookman Old Style" w:hAnsi="Bookman Old Style"/>
                <w:color w:val="000000"/>
                <w:sz w:val="20"/>
                <w:szCs w:val="20"/>
              </w:rPr>
              <w:t>1330</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7A7682" w:rsidRPr="007A7682" w:rsidRDefault="007A7682" w:rsidP="007A7682">
            <w:pPr>
              <w:ind w:left="0"/>
              <w:jc w:val="center"/>
              <w:rPr>
                <w:rFonts w:ascii="Bookman Old Style" w:hAnsi="Bookman Old Style"/>
                <w:color w:val="000000"/>
                <w:sz w:val="20"/>
                <w:szCs w:val="20"/>
                <w:lang w:val="es-CO" w:eastAsia="es-CO"/>
              </w:rPr>
            </w:pPr>
            <w:r w:rsidRPr="007A7682">
              <w:rPr>
                <w:rFonts w:ascii="Bookman Old Style" w:hAnsi="Bookman Old Style"/>
                <w:color w:val="000000"/>
                <w:sz w:val="20"/>
                <w:szCs w:val="20"/>
              </w:rPr>
              <w:t>3.500.416</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7A7682" w:rsidRPr="007A7682" w:rsidRDefault="007A7682" w:rsidP="007A7682">
            <w:pPr>
              <w:ind w:left="0"/>
              <w:jc w:val="center"/>
              <w:rPr>
                <w:rFonts w:ascii="Bookman Old Style" w:hAnsi="Bookman Old Style"/>
                <w:color w:val="000000"/>
                <w:sz w:val="20"/>
                <w:szCs w:val="20"/>
              </w:rPr>
            </w:pPr>
            <w:r w:rsidRPr="007A7682">
              <w:rPr>
                <w:rFonts w:ascii="Bookman Old Style" w:hAnsi="Bookman Old Style"/>
                <w:color w:val="000000"/>
                <w:sz w:val="20"/>
                <w:szCs w:val="20"/>
              </w:rPr>
              <w:t>272.754</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A7682" w:rsidRPr="007A7682" w:rsidRDefault="007A7682" w:rsidP="007A7682">
            <w:pPr>
              <w:ind w:left="0"/>
              <w:jc w:val="center"/>
              <w:rPr>
                <w:rFonts w:ascii="Bookman Old Style" w:hAnsi="Bookman Old Style"/>
                <w:color w:val="000000"/>
                <w:sz w:val="20"/>
                <w:szCs w:val="20"/>
              </w:rPr>
            </w:pPr>
            <w:r w:rsidRPr="007A7682">
              <w:rPr>
                <w:rFonts w:ascii="Bookman Old Style" w:hAnsi="Bookman Old Style"/>
                <w:color w:val="000000"/>
                <w:sz w:val="20"/>
                <w:szCs w:val="20"/>
              </w:rPr>
              <w:t>3.773.170</w:t>
            </w:r>
          </w:p>
        </w:tc>
      </w:tr>
    </w:tbl>
    <w:p w:rsidR="00B868FC" w:rsidRDefault="00B868FC" w:rsidP="00B868FC">
      <w:pPr>
        <w:rPr>
          <w:rFonts w:ascii="Bookman Old Style" w:hAnsi="Bookman Old Style"/>
        </w:rPr>
      </w:pPr>
    </w:p>
    <w:p w:rsidR="00B868FC" w:rsidRPr="004443F3" w:rsidRDefault="00B868FC" w:rsidP="00B868FC">
      <w:pPr>
        <w:pStyle w:val="Prrafodelista"/>
        <w:numPr>
          <w:ilvl w:val="0"/>
          <w:numId w:val="37"/>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B868FC">
        <w:rPr>
          <w:rFonts w:ascii="Bookman Old Style" w:hAnsi="Bookman Old Style"/>
          <w:iCs/>
          <w:sz w:val="24"/>
          <w:szCs w:val="24"/>
        </w:rPr>
        <w:t xml:space="preserve">, a continuación se muestra el conteo de cilindros por código de presentación para cada uno de los códigos SUI de las empresas. </w:t>
      </w:r>
    </w:p>
    <w:tbl>
      <w:tblPr>
        <w:tblW w:w="5799" w:type="dxa"/>
        <w:jc w:val="center"/>
        <w:tblCellMar>
          <w:left w:w="70" w:type="dxa"/>
          <w:right w:w="70" w:type="dxa"/>
        </w:tblCellMar>
        <w:tblLook w:val="04A0" w:firstRow="1" w:lastRow="0" w:firstColumn="1" w:lastColumn="0" w:noHBand="0" w:noVBand="1"/>
      </w:tblPr>
      <w:tblGrid>
        <w:gridCol w:w="1044"/>
        <w:gridCol w:w="1640"/>
        <w:gridCol w:w="1882"/>
        <w:gridCol w:w="1233"/>
      </w:tblGrid>
      <w:tr w:rsidR="00B868FC" w:rsidRPr="0056639C" w:rsidTr="00EB3BE1">
        <w:trPr>
          <w:trHeight w:val="791"/>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8FC" w:rsidRPr="0056639C" w:rsidRDefault="00B868FC" w:rsidP="003A40CE">
            <w:pPr>
              <w:ind w:left="-75"/>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B868FC" w:rsidRPr="0056639C" w:rsidRDefault="00B868FC" w:rsidP="003A40CE">
            <w:pPr>
              <w:ind w:left="-75"/>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(gl)</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B868FC" w:rsidRPr="0056639C" w:rsidRDefault="00B868FC" w:rsidP="003A40CE">
            <w:pPr>
              <w:ind w:left="-75"/>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B868FC" w:rsidRPr="0056639C" w:rsidRDefault="00B20CD2" w:rsidP="003A40CE">
            <w:pPr>
              <w:ind w:left="-75"/>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00B868FC" w:rsidRPr="0056639C">
              <w:rPr>
                <w:rFonts w:ascii="Bookman Old Style" w:hAnsi="Bookman Old Style"/>
                <w:b/>
                <w:bCs/>
                <w:color w:val="000000"/>
                <w:sz w:val="20"/>
                <w:szCs w:val="20"/>
                <w:lang w:eastAsia="es-CO"/>
              </w:rPr>
              <w:t> </w:t>
            </w:r>
          </w:p>
        </w:tc>
      </w:tr>
      <w:tr w:rsidR="003A40CE" w:rsidRPr="0056639C" w:rsidTr="00EB3BE1">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center"/>
          </w:tcPr>
          <w:p w:rsidR="003A40CE" w:rsidRPr="0093479E" w:rsidRDefault="003A40CE" w:rsidP="003A40CE">
            <w:pPr>
              <w:ind w:left="-75"/>
              <w:jc w:val="center"/>
              <w:rPr>
                <w:rFonts w:ascii="Bookman Old Style" w:hAnsi="Bookman Old Style"/>
                <w:color w:val="000000"/>
                <w:sz w:val="18"/>
                <w:szCs w:val="20"/>
              </w:rPr>
            </w:pPr>
            <w:r>
              <w:rPr>
                <w:rFonts w:ascii="Bookman Old Style" w:hAnsi="Bookman Old Style"/>
                <w:color w:val="000000"/>
                <w:sz w:val="18"/>
                <w:szCs w:val="20"/>
              </w:rPr>
              <w:t>1330</w:t>
            </w:r>
          </w:p>
        </w:tc>
        <w:tc>
          <w:tcPr>
            <w:tcW w:w="1640" w:type="dxa"/>
            <w:tcBorders>
              <w:top w:val="nil"/>
              <w:left w:val="nil"/>
              <w:bottom w:val="single" w:sz="4" w:space="0" w:color="auto"/>
              <w:right w:val="single" w:sz="4" w:space="0" w:color="auto"/>
            </w:tcBorders>
            <w:shd w:val="clear" w:color="auto" w:fill="auto"/>
            <w:noWrap/>
            <w:vAlign w:val="center"/>
          </w:tcPr>
          <w:p w:rsidR="003A40CE" w:rsidRDefault="003A40CE" w:rsidP="003A40CE">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60.860</w:t>
            </w:r>
          </w:p>
        </w:tc>
        <w:tc>
          <w:tcPr>
            <w:tcW w:w="1882" w:type="dxa"/>
            <w:tcBorders>
              <w:top w:val="nil"/>
              <w:left w:val="nil"/>
              <w:bottom w:val="single" w:sz="4" w:space="0" w:color="auto"/>
              <w:right w:val="single" w:sz="4" w:space="0" w:color="auto"/>
            </w:tcBorders>
            <w:shd w:val="clear" w:color="auto" w:fill="auto"/>
            <w:noWrap/>
            <w:vAlign w:val="center"/>
          </w:tcPr>
          <w:p w:rsidR="003A40CE" w:rsidRPr="003A40CE" w:rsidRDefault="003A40CE" w:rsidP="003A40CE">
            <w:pPr>
              <w:ind w:left="-65"/>
              <w:jc w:val="center"/>
              <w:rPr>
                <w:rFonts w:ascii="Bookman Old Style" w:hAnsi="Bookman Old Style"/>
                <w:sz w:val="20"/>
                <w:szCs w:val="20"/>
              </w:rPr>
            </w:pPr>
            <w:r w:rsidRPr="003A40CE">
              <w:rPr>
                <w:rFonts w:ascii="Bookman Old Style" w:hAnsi="Bookman Old Style"/>
                <w:sz w:val="20"/>
                <w:szCs w:val="20"/>
              </w:rPr>
              <w:t>164</w:t>
            </w:r>
          </w:p>
        </w:tc>
        <w:tc>
          <w:tcPr>
            <w:tcW w:w="1233" w:type="dxa"/>
            <w:tcBorders>
              <w:top w:val="nil"/>
              <w:left w:val="nil"/>
              <w:bottom w:val="single" w:sz="4" w:space="0" w:color="auto"/>
              <w:right w:val="single" w:sz="4" w:space="0" w:color="auto"/>
            </w:tcBorders>
            <w:shd w:val="clear" w:color="auto" w:fill="auto"/>
            <w:noWrap/>
            <w:vAlign w:val="center"/>
          </w:tcPr>
          <w:p w:rsidR="003A40CE" w:rsidRPr="003A40CE" w:rsidRDefault="003A40CE" w:rsidP="003A40CE">
            <w:pPr>
              <w:ind w:left="-105"/>
              <w:jc w:val="center"/>
              <w:rPr>
                <w:rFonts w:ascii="Bookman Old Style" w:hAnsi="Bookman Old Style"/>
                <w:sz w:val="20"/>
                <w:szCs w:val="20"/>
              </w:rPr>
            </w:pPr>
            <w:r w:rsidRPr="003A40CE">
              <w:rPr>
                <w:rFonts w:ascii="Bookman Old Style" w:hAnsi="Bookman Old Style"/>
                <w:sz w:val="20"/>
                <w:szCs w:val="20"/>
              </w:rPr>
              <w:t>766.836</w:t>
            </w:r>
          </w:p>
        </w:tc>
      </w:tr>
    </w:tbl>
    <w:p w:rsidR="00B868FC" w:rsidRDefault="00B868FC" w:rsidP="00B868FC">
      <w:pPr>
        <w:pStyle w:val="Prrafodelista"/>
        <w:jc w:val="both"/>
        <w:rPr>
          <w:rFonts w:ascii="Bookman Old Style" w:hAnsi="Bookman Old Style"/>
          <w:sz w:val="24"/>
          <w:szCs w:val="24"/>
        </w:rPr>
      </w:pPr>
    </w:p>
    <w:p w:rsidR="00B868FC" w:rsidRPr="004443F3" w:rsidRDefault="00B868FC" w:rsidP="00B868FC">
      <w:pPr>
        <w:pStyle w:val="Prrafodelista"/>
        <w:numPr>
          <w:ilvl w:val="0"/>
          <w:numId w:val="37"/>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B868FC">
        <w:rPr>
          <w:rFonts w:ascii="Bookman Old Style" w:hAnsi="Bookman Old Style"/>
          <w:iCs/>
          <w:sz w:val="24"/>
          <w:szCs w:val="24"/>
        </w:rPr>
        <w:t xml:space="preserve">, a continuación se muestra el conteo de cilindros por código de presentación para cada uno de los códigos SUI de las empresas. </w:t>
      </w:r>
    </w:p>
    <w:p w:rsidR="00B868FC" w:rsidRDefault="00B868FC" w:rsidP="00B868FC">
      <w:pPr>
        <w:pStyle w:val="Prrafodelista"/>
        <w:ind w:left="0"/>
        <w:jc w:val="center"/>
        <w:rPr>
          <w:rFonts w:ascii="Bookman Old Style" w:hAnsi="Bookman Old Style"/>
          <w:sz w:val="18"/>
          <w:szCs w:val="24"/>
        </w:rPr>
      </w:pPr>
    </w:p>
    <w:tbl>
      <w:tblPr>
        <w:tblW w:w="5720" w:type="dxa"/>
        <w:jc w:val="center"/>
        <w:tblCellMar>
          <w:left w:w="70" w:type="dxa"/>
          <w:right w:w="70" w:type="dxa"/>
        </w:tblCellMar>
        <w:tblLook w:val="04A0" w:firstRow="1" w:lastRow="0" w:firstColumn="1" w:lastColumn="0" w:noHBand="0" w:noVBand="1"/>
      </w:tblPr>
      <w:tblGrid>
        <w:gridCol w:w="1200"/>
        <w:gridCol w:w="1700"/>
        <w:gridCol w:w="1340"/>
        <w:gridCol w:w="1480"/>
      </w:tblGrid>
      <w:tr w:rsidR="00B868FC" w:rsidRPr="000768E2" w:rsidTr="00EB3BE1">
        <w:trPr>
          <w:trHeight w:val="570"/>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8FC" w:rsidRPr="000768E2" w:rsidRDefault="00B868FC" w:rsidP="003A40CE">
            <w:pPr>
              <w:ind w:left="-75"/>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868FC" w:rsidRPr="00B20CD2" w:rsidRDefault="00B20CD2" w:rsidP="003A40CE">
            <w:pPr>
              <w:ind w:left="-75"/>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B868FC" w:rsidRPr="00B20CD2" w:rsidRDefault="00B20CD2" w:rsidP="003A40CE">
            <w:pPr>
              <w:ind w:left="-75"/>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868FC" w:rsidRPr="00B20CD2" w:rsidRDefault="00B20CD2" w:rsidP="003A40CE">
            <w:pPr>
              <w:ind w:left="-75"/>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787BC3" w:rsidRPr="000768E2" w:rsidTr="003A40CE">
        <w:trPr>
          <w:trHeight w:val="498"/>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87BC3" w:rsidRDefault="00787BC3" w:rsidP="00787BC3">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1330</w:t>
            </w:r>
          </w:p>
        </w:tc>
        <w:tc>
          <w:tcPr>
            <w:tcW w:w="1700" w:type="dxa"/>
            <w:tcBorders>
              <w:top w:val="nil"/>
              <w:left w:val="nil"/>
              <w:bottom w:val="single" w:sz="4" w:space="0" w:color="auto"/>
              <w:right w:val="single" w:sz="4" w:space="0" w:color="auto"/>
            </w:tcBorders>
            <w:shd w:val="clear" w:color="auto" w:fill="auto"/>
            <w:noWrap/>
            <w:vAlign w:val="center"/>
          </w:tcPr>
          <w:p w:rsidR="00787BC3" w:rsidRDefault="00787BC3" w:rsidP="00787BC3">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3.773.170</w:t>
            </w:r>
          </w:p>
        </w:tc>
        <w:tc>
          <w:tcPr>
            <w:tcW w:w="1340" w:type="dxa"/>
            <w:tcBorders>
              <w:top w:val="nil"/>
              <w:left w:val="nil"/>
              <w:bottom w:val="single" w:sz="4" w:space="0" w:color="auto"/>
              <w:right w:val="single" w:sz="4" w:space="0" w:color="auto"/>
            </w:tcBorders>
            <w:shd w:val="clear" w:color="auto" w:fill="auto"/>
            <w:noWrap/>
            <w:vAlign w:val="center"/>
          </w:tcPr>
          <w:p w:rsidR="00787BC3" w:rsidRDefault="00787BC3" w:rsidP="00787BC3">
            <w:pPr>
              <w:ind w:left="0"/>
              <w:jc w:val="center"/>
              <w:rPr>
                <w:rFonts w:ascii="Bookman Old Style" w:hAnsi="Bookman Old Style"/>
                <w:color w:val="000000"/>
                <w:sz w:val="20"/>
                <w:szCs w:val="20"/>
              </w:rPr>
            </w:pPr>
            <w:r>
              <w:rPr>
                <w:rFonts w:ascii="Bookman Old Style" w:hAnsi="Bookman Old Style"/>
                <w:color w:val="000000"/>
                <w:sz w:val="20"/>
                <w:szCs w:val="20"/>
              </w:rPr>
              <w:t>766.836</w:t>
            </w:r>
          </w:p>
        </w:tc>
        <w:tc>
          <w:tcPr>
            <w:tcW w:w="1480" w:type="dxa"/>
            <w:tcBorders>
              <w:top w:val="nil"/>
              <w:left w:val="nil"/>
              <w:bottom w:val="single" w:sz="4" w:space="0" w:color="auto"/>
              <w:right w:val="single" w:sz="4" w:space="0" w:color="auto"/>
            </w:tcBorders>
            <w:shd w:val="clear" w:color="auto" w:fill="auto"/>
            <w:noWrap/>
            <w:vAlign w:val="center"/>
          </w:tcPr>
          <w:p w:rsidR="00787BC3" w:rsidRDefault="00787BC3" w:rsidP="00787BC3">
            <w:pPr>
              <w:ind w:left="0"/>
              <w:jc w:val="center"/>
              <w:rPr>
                <w:rFonts w:ascii="Bookman Old Style" w:hAnsi="Bookman Old Style"/>
                <w:color w:val="000000"/>
                <w:sz w:val="20"/>
                <w:szCs w:val="20"/>
              </w:rPr>
            </w:pPr>
            <w:r>
              <w:rPr>
                <w:rFonts w:ascii="Bookman Old Style" w:hAnsi="Bookman Old Style"/>
                <w:color w:val="000000"/>
                <w:sz w:val="20"/>
                <w:szCs w:val="20"/>
              </w:rPr>
              <w:t>1.371.744</w:t>
            </w:r>
          </w:p>
        </w:tc>
      </w:tr>
    </w:tbl>
    <w:p w:rsidR="00B868FC" w:rsidRPr="002B4873" w:rsidRDefault="00B868FC" w:rsidP="00B868FC">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C44304" w:rsidRPr="004620F7" w:rsidRDefault="00C44304" w:rsidP="00C44304">
      <w:pPr>
        <w:ind w:left="0" w:right="-142"/>
        <w:jc w:val="both"/>
        <w:rPr>
          <w:rFonts w:ascii="Bookman Old Style" w:hAnsi="Bookman Old Style"/>
          <w:b/>
          <w:szCs w:val="27"/>
        </w:rPr>
      </w:pPr>
    </w:p>
    <w:p w:rsidR="00C44304" w:rsidRPr="004620F7" w:rsidRDefault="00C44304" w:rsidP="00C44304">
      <w:pPr>
        <w:ind w:left="-142" w:right="-142"/>
        <w:jc w:val="both"/>
        <w:rPr>
          <w:rFonts w:ascii="Bookman Old Style" w:hAnsi="Bookman Old Style"/>
          <w:szCs w:val="27"/>
        </w:rPr>
      </w:pPr>
      <w:r w:rsidRPr="004620F7">
        <w:rPr>
          <w:rFonts w:ascii="Bookman Old Style" w:hAnsi="Bookman Old Style"/>
          <w:b/>
          <w:szCs w:val="27"/>
        </w:rPr>
        <w:t xml:space="preserve">Artículo 4. </w:t>
      </w:r>
      <w:r w:rsidRPr="004620F7">
        <w:rPr>
          <w:rFonts w:ascii="Bookman Old Style" w:hAnsi="Bookman Old Style"/>
          <w:szCs w:val="27"/>
        </w:rPr>
        <w:t xml:space="preserve">La presente resolución deberá notificarse a la empresa </w:t>
      </w:r>
      <w:r>
        <w:rPr>
          <w:rFonts w:ascii="Bookman Old Style" w:hAnsi="Bookman Old Style"/>
          <w:szCs w:val="27"/>
        </w:rPr>
        <w:t>Granados Gómez</w:t>
      </w:r>
      <w:r w:rsidRPr="004620F7">
        <w:rPr>
          <w:rFonts w:ascii="Bookman Old Style" w:hAnsi="Bookman Old Style"/>
          <w:szCs w:val="27"/>
        </w:rPr>
        <w:t xml:space="preserve"> </w:t>
      </w:r>
      <w:r>
        <w:rPr>
          <w:rFonts w:ascii="Bookman Old Style" w:hAnsi="Bookman Old Style"/>
          <w:szCs w:val="27"/>
        </w:rPr>
        <w:t xml:space="preserve">Y Cía. </w:t>
      </w:r>
      <w:r w:rsidRPr="004620F7">
        <w:rPr>
          <w:rFonts w:ascii="Bookman Old Style" w:hAnsi="Bookman Old Style"/>
          <w:szCs w:val="27"/>
        </w:rPr>
        <w:t>S.A. E.S.P. Contra lo aquí dispuesto no procede recurso alguno por haber finalizado la actuación administrativa correspondiente a la presentación de recursos previsto en la Ley.</w:t>
      </w:r>
    </w:p>
    <w:p w:rsidR="00C44304" w:rsidRDefault="00C44304" w:rsidP="00C44304">
      <w:pPr>
        <w:pStyle w:val="Textoindependiente2"/>
        <w:spacing w:after="0" w:line="240" w:lineRule="auto"/>
        <w:ind w:left="0" w:right="-142"/>
        <w:jc w:val="both"/>
        <w:rPr>
          <w:rFonts w:ascii="Bookman Old Style" w:hAnsi="Bookman Old Style"/>
          <w:szCs w:val="27"/>
        </w:rPr>
      </w:pPr>
    </w:p>
    <w:p w:rsidR="00C44304" w:rsidRPr="005023D3" w:rsidRDefault="00C44304" w:rsidP="00C44304">
      <w:pPr>
        <w:ind w:left="-181"/>
        <w:jc w:val="center"/>
        <w:rPr>
          <w:rFonts w:ascii="Bookman Old Style" w:hAnsi="Bookman Old Style" w:cs="Arial"/>
          <w:b/>
        </w:rPr>
      </w:pPr>
      <w:r>
        <w:rPr>
          <w:rFonts w:ascii="Bookman Old Style" w:hAnsi="Bookman Old Style" w:cs="Arial"/>
          <w:b/>
        </w:rPr>
        <w:t xml:space="preserve">     NOTIFÍQUESE </w:t>
      </w:r>
      <w:r w:rsidR="00A14C71">
        <w:rPr>
          <w:rFonts w:ascii="Bookman Old Style" w:hAnsi="Bookman Old Style" w:cs="Arial"/>
          <w:b/>
        </w:rPr>
        <w:t xml:space="preserve">Y CÚMPLASE </w:t>
      </w:r>
    </w:p>
    <w:p w:rsidR="00C44304" w:rsidRPr="003234E2" w:rsidRDefault="00C44304" w:rsidP="00C44304">
      <w:pPr>
        <w:ind w:left="0"/>
        <w:rPr>
          <w:rFonts w:ascii="Bookman Old Style" w:hAnsi="Bookman Old Style" w:cs="Arial"/>
          <w:sz w:val="20"/>
          <w:szCs w:val="20"/>
        </w:rPr>
      </w:pPr>
    </w:p>
    <w:p w:rsidR="00A14C71" w:rsidRDefault="00C44304" w:rsidP="00C44304">
      <w:pPr>
        <w:ind w:left="0"/>
        <w:rPr>
          <w:rFonts w:ascii="Bookman Old Style" w:hAnsi="Bookman Old Style" w:cs="Arial"/>
          <w:szCs w:val="20"/>
        </w:rPr>
      </w:pPr>
      <w:r w:rsidRPr="005023D3">
        <w:rPr>
          <w:rFonts w:ascii="Bookman Old Style" w:hAnsi="Bookman Old Style" w:cs="Arial"/>
          <w:szCs w:val="20"/>
        </w:rPr>
        <w:t>Dada en Bogotá, D.C.</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A14C71" w:rsidRPr="00A14C71" w:rsidTr="005D266B">
        <w:trPr>
          <w:tblCellSpacing w:w="0" w:type="dxa"/>
          <w:jc w:val="center"/>
        </w:trPr>
        <w:tc>
          <w:tcPr>
            <w:tcW w:w="5529" w:type="dxa"/>
            <w:hideMark/>
          </w:tcPr>
          <w:p w:rsidR="00A14C71" w:rsidRPr="00A14C71" w:rsidRDefault="00A14C71" w:rsidP="00A14C71">
            <w:pPr>
              <w:ind w:left="0"/>
              <w:rPr>
                <w:rFonts w:ascii="Bookman Old Style" w:hAnsi="Bookman Old Style" w:cs="Arial"/>
                <w:b/>
                <w:spacing w:val="-3"/>
              </w:rPr>
            </w:pPr>
          </w:p>
          <w:p w:rsidR="00A14C71" w:rsidRPr="00A14C71" w:rsidRDefault="00A14C71" w:rsidP="00A14C71">
            <w:pPr>
              <w:ind w:left="0"/>
              <w:rPr>
                <w:rFonts w:ascii="Bookman Old Style" w:hAnsi="Bookman Old Style" w:cs="Arial"/>
                <w:b/>
                <w:spacing w:val="-3"/>
              </w:rPr>
            </w:pPr>
          </w:p>
          <w:p w:rsidR="00A14C71" w:rsidRPr="00A14C71" w:rsidRDefault="00A14C71" w:rsidP="00A14C71">
            <w:pPr>
              <w:ind w:left="0"/>
              <w:rPr>
                <w:rFonts w:ascii="Bookman Old Style" w:hAnsi="Bookman Old Style" w:cs="Arial"/>
                <w:b/>
                <w:spacing w:val="-3"/>
              </w:rPr>
            </w:pPr>
          </w:p>
          <w:p w:rsidR="00A14C71" w:rsidRPr="00A14C71" w:rsidRDefault="00A14C71" w:rsidP="00A14C71">
            <w:pPr>
              <w:ind w:left="66"/>
              <w:jc w:val="center"/>
              <w:rPr>
                <w:rFonts w:ascii="Bookman Old Style" w:hAnsi="Bookman Old Style" w:cs="Arial"/>
                <w:b/>
                <w:spacing w:val="-3"/>
              </w:rPr>
            </w:pPr>
          </w:p>
          <w:p w:rsidR="00A14C71" w:rsidRPr="00A14C71" w:rsidRDefault="00A14C71" w:rsidP="00A14C71">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A14C71" w:rsidRPr="00A14C71" w:rsidRDefault="00A14C71" w:rsidP="00A14C71">
            <w:pPr>
              <w:ind w:left="89"/>
              <w:jc w:val="center"/>
              <w:rPr>
                <w:rFonts w:ascii="Bookman Old Style" w:hAnsi="Bookman Old Style" w:cs="Arial"/>
                <w:b/>
                <w:spacing w:val="-3"/>
              </w:rPr>
            </w:pPr>
          </w:p>
          <w:p w:rsidR="00A14C71" w:rsidRPr="00A14C71" w:rsidRDefault="00A14C71" w:rsidP="00A14C71">
            <w:pPr>
              <w:ind w:left="89"/>
              <w:jc w:val="center"/>
              <w:rPr>
                <w:rFonts w:ascii="Bookman Old Style" w:hAnsi="Bookman Old Style" w:cs="Arial"/>
                <w:b/>
                <w:spacing w:val="-3"/>
              </w:rPr>
            </w:pPr>
          </w:p>
          <w:p w:rsidR="00A14C71" w:rsidRPr="00A14C71" w:rsidRDefault="00A14C71" w:rsidP="00A14C71">
            <w:pPr>
              <w:ind w:left="89"/>
              <w:jc w:val="center"/>
              <w:rPr>
                <w:rFonts w:ascii="Bookman Old Style" w:hAnsi="Bookman Old Style" w:cs="Arial"/>
                <w:b/>
                <w:spacing w:val="-3"/>
              </w:rPr>
            </w:pPr>
          </w:p>
          <w:p w:rsidR="00A14C71" w:rsidRPr="00A14C71" w:rsidRDefault="00A14C71" w:rsidP="00A14C71">
            <w:pPr>
              <w:ind w:left="89"/>
              <w:jc w:val="center"/>
              <w:rPr>
                <w:rFonts w:ascii="Bookman Old Style" w:hAnsi="Bookman Old Style" w:cs="Arial"/>
                <w:b/>
                <w:spacing w:val="-3"/>
              </w:rPr>
            </w:pPr>
          </w:p>
          <w:p w:rsidR="00A14C71" w:rsidRPr="00A14C71" w:rsidRDefault="00A14C71" w:rsidP="00A14C71">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A14C71" w:rsidRPr="00A14C71" w:rsidTr="005D266B">
        <w:trPr>
          <w:tblCellSpacing w:w="0" w:type="dxa"/>
          <w:jc w:val="center"/>
        </w:trPr>
        <w:tc>
          <w:tcPr>
            <w:tcW w:w="5529" w:type="dxa"/>
            <w:hideMark/>
          </w:tcPr>
          <w:p w:rsidR="00A14C71" w:rsidRDefault="00A14C71" w:rsidP="00A14C71">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3F0F02" w:rsidRPr="00A14C71" w:rsidRDefault="003F0F02" w:rsidP="00A14C71">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A14C71" w:rsidRPr="00A14C71" w:rsidRDefault="00A14C71" w:rsidP="00A14C71">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A14C71" w:rsidRPr="00A14C71" w:rsidTr="005D266B">
        <w:trPr>
          <w:tblCellSpacing w:w="0" w:type="dxa"/>
          <w:jc w:val="center"/>
        </w:trPr>
        <w:tc>
          <w:tcPr>
            <w:tcW w:w="5529" w:type="dxa"/>
            <w:hideMark/>
          </w:tcPr>
          <w:p w:rsidR="00A14C71" w:rsidRPr="00A14C71" w:rsidRDefault="00A14C71" w:rsidP="00A14C71">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A14C71" w:rsidRPr="00A14C71" w:rsidRDefault="00A14C71" w:rsidP="00A14C71">
            <w:pPr>
              <w:ind w:left="0"/>
              <w:jc w:val="center"/>
              <w:rPr>
                <w:rFonts w:ascii="Bookman Old Style" w:eastAsia="Arial Unicode MS" w:hAnsi="Bookman Old Style" w:cs="Arial"/>
                <w:color w:val="000000"/>
              </w:rPr>
            </w:pPr>
          </w:p>
        </w:tc>
      </w:tr>
    </w:tbl>
    <w:p w:rsidR="00A14C71" w:rsidRPr="005023D3" w:rsidRDefault="00A14C71" w:rsidP="00C44304">
      <w:pPr>
        <w:ind w:left="0"/>
        <w:rPr>
          <w:rFonts w:ascii="Bookman Old Style" w:hAnsi="Bookman Old Style" w:cs="Arial"/>
          <w:szCs w:val="20"/>
        </w:rPr>
      </w:pPr>
    </w:p>
    <w:sectPr w:rsidR="00A14C71" w:rsidRPr="005023D3" w:rsidSect="00D549B1">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64E" w:rsidRDefault="00BB464E">
      <w:r>
        <w:separator/>
      </w:r>
    </w:p>
  </w:endnote>
  <w:endnote w:type="continuationSeparator" w:id="0">
    <w:p w:rsidR="00BB464E" w:rsidRDefault="00BB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64E" w:rsidRDefault="00BB464E">
      <w:r>
        <w:separator/>
      </w:r>
    </w:p>
  </w:footnote>
  <w:footnote w:type="continuationSeparator" w:id="0">
    <w:p w:rsidR="00BB464E" w:rsidRDefault="00BB464E">
      <w:r>
        <w:continuationSeparator/>
      </w:r>
    </w:p>
  </w:footnote>
  <w:footnote w:id="1">
    <w:p w:rsidR="00EB3BE1" w:rsidRPr="00EC3BB2" w:rsidRDefault="00EB3BE1"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EB3BE1" w:rsidRPr="00BD1622" w:rsidRDefault="00EB3BE1"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EB3BE1" w:rsidRPr="00FC2C01" w:rsidRDefault="00EB3BE1" w:rsidP="006E5ED9">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0059144A">
        <w:rPr>
          <w:rFonts w:ascii="Bookman Old Style" w:hAnsi="Bookman Old Style" w:cs="Arial"/>
          <w:sz w:val="16"/>
          <w:szCs w:val="16"/>
        </w:rPr>
        <w:t xml:space="preserve">Artículo </w:t>
      </w:r>
      <w:r w:rsidRPr="00FC2C01">
        <w:rPr>
          <w:rFonts w:ascii="Bookman Old Style" w:hAnsi="Bookman Old Style" w:cs="Arial"/>
          <w:sz w:val="16"/>
          <w:szCs w:val="16"/>
        </w:rPr>
        <w:t>67. Notificación personal. Las decisiones que pongan término a una actuación administrativa se notificarán personalmente al interesado, a su representante o apoderado, o a la persona debidamente autorizada por el interesado para notificarse.</w:t>
      </w:r>
    </w:p>
    <w:p w:rsidR="00EB3BE1" w:rsidRPr="00FC2C01" w:rsidRDefault="00EB3BE1" w:rsidP="006E5ED9">
      <w:pPr>
        <w:pStyle w:val="Textonotapie"/>
        <w:jc w:val="both"/>
        <w:rPr>
          <w:rFonts w:ascii="Bookman Old Style" w:hAnsi="Bookman Old Style" w:cs="Arial"/>
          <w:sz w:val="16"/>
          <w:szCs w:val="16"/>
        </w:rPr>
      </w:pPr>
    </w:p>
    <w:p w:rsidR="00EB3BE1" w:rsidRPr="00CD67E2" w:rsidRDefault="00EB3BE1" w:rsidP="006E5ED9">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EB3BE1" w:rsidRPr="00FA7CDB" w:rsidRDefault="00EB3BE1" w:rsidP="00CD67E2">
      <w:pPr>
        <w:pStyle w:val="Textonotapie"/>
        <w:jc w:val="both"/>
        <w:rPr>
          <w:rFonts w:ascii="Bookman Old Style" w:hAnsi="Bookman Old Style" w:cs="Arial"/>
          <w:sz w:val="16"/>
          <w:szCs w:val="16"/>
        </w:rPr>
      </w:pPr>
    </w:p>
    <w:p w:rsidR="00EB3BE1" w:rsidRPr="00FA7CDB" w:rsidRDefault="00EB3BE1"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EB3BE1" w:rsidRPr="00FA7CDB" w:rsidRDefault="00EB3BE1"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EB3BE1" w:rsidRPr="00FA7CDB" w:rsidRDefault="00EB3BE1"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EB3BE1" w:rsidRPr="00FA7CDB" w:rsidRDefault="00EB3BE1"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EB3BE1" w:rsidRDefault="00EB3BE1"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EB3BE1" w:rsidRPr="008E378C" w:rsidRDefault="00EB3BE1" w:rsidP="008E378C">
      <w:pPr>
        <w:pStyle w:val="Textonotapie"/>
        <w:jc w:val="both"/>
        <w:rPr>
          <w:rFonts w:ascii="Bookman Old Style" w:hAnsi="Bookman Old Style"/>
          <w:sz w:val="16"/>
          <w:szCs w:val="16"/>
        </w:rPr>
      </w:pPr>
      <w:r w:rsidRPr="008E378C">
        <w:rPr>
          <w:rStyle w:val="Refdenotaalpie"/>
          <w:rFonts w:ascii="Bookman Old Style" w:hAnsi="Bookman Old Style"/>
          <w:sz w:val="16"/>
          <w:szCs w:val="16"/>
        </w:rPr>
        <w:footnoteRef/>
      </w:r>
      <w:r w:rsidRPr="008E378C">
        <w:rPr>
          <w:rFonts w:ascii="Bookman Old Style" w:hAnsi="Bookman Old Style"/>
          <w:sz w:val="16"/>
          <w:szCs w:val="16"/>
        </w:rPr>
        <w:t xml:space="preserve"> Esta información fue remitida por parte de la Superintendencia de Servicios Públicos Domiciliarios y reposa en esta Comisión con el número de radicado CREG E-2016-005769 de 18 de mayo de 2016</w:t>
      </w:r>
    </w:p>
  </w:footnote>
  <w:footnote w:id="6">
    <w:p w:rsidR="00EB3BE1" w:rsidRPr="004E1287" w:rsidRDefault="00EB3BE1" w:rsidP="00C44304">
      <w:pPr>
        <w:pStyle w:val="Textonotapie"/>
        <w:jc w:val="both"/>
        <w:rPr>
          <w:rFonts w:ascii="Bookman Old Style" w:hAnsi="Bookman Old Style" w:cs="Arial"/>
          <w:sz w:val="16"/>
          <w:szCs w:val="16"/>
        </w:rPr>
      </w:pPr>
      <w:r w:rsidRPr="004E1287">
        <w:rPr>
          <w:rStyle w:val="Refdenotaalpie"/>
          <w:rFonts w:ascii="Bookman Old Style" w:hAnsi="Bookman Old Style" w:cs="Arial"/>
          <w:sz w:val="16"/>
          <w:szCs w:val="16"/>
        </w:rPr>
        <w:footnoteRef/>
      </w:r>
      <w:r w:rsidRPr="004E1287">
        <w:rPr>
          <w:rFonts w:ascii="Bookman Old Style" w:hAnsi="Bookman Old Style" w:cs="Arial"/>
          <w:sz w:val="16"/>
          <w:szCs w:val="16"/>
        </w:rPr>
        <w:t xml:space="preserve"> Artículo 80. Decisión de los recursos. Vencido el período probatorio, si a ello hubiere lugar, y sin necesidad de acto que así lo declare, deberá proferirse la decisión motivada que resuelva el recurso.</w:t>
      </w:r>
    </w:p>
    <w:p w:rsidR="00EB3BE1" w:rsidRPr="004E1287" w:rsidRDefault="00EB3BE1" w:rsidP="00C44304">
      <w:pPr>
        <w:pStyle w:val="Textonotapie"/>
        <w:jc w:val="both"/>
        <w:rPr>
          <w:rFonts w:ascii="Bookman Old Style" w:hAnsi="Bookman Old Style" w:cs="Arial"/>
          <w:sz w:val="16"/>
          <w:szCs w:val="16"/>
        </w:rPr>
      </w:pPr>
    </w:p>
    <w:p w:rsidR="00EB3BE1" w:rsidRPr="00321EAE" w:rsidRDefault="00EB3BE1" w:rsidP="00C44304">
      <w:pPr>
        <w:pStyle w:val="Textonotapie"/>
        <w:jc w:val="both"/>
        <w:rPr>
          <w:rFonts w:ascii="Arial" w:hAnsi="Arial" w:cs="Arial"/>
          <w:sz w:val="16"/>
          <w:szCs w:val="16"/>
        </w:rPr>
      </w:pPr>
      <w:r w:rsidRPr="004E1287">
        <w:rPr>
          <w:rFonts w:ascii="Bookman Old Style" w:hAnsi="Bookman Old Style" w:cs="Arial"/>
          <w:sz w:val="16"/>
          <w:szCs w:val="16"/>
        </w:rPr>
        <w:t>La decisión resolverá todas las peticiones que hayan sido oportunamente planteadas y las que surjan con motivo del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BE1" w:rsidRDefault="00EB3BE1" w:rsidP="00951F79">
    <w:pPr>
      <w:pStyle w:val="Ttulo1"/>
      <w:ind w:right="6"/>
      <w:jc w:val="left"/>
      <w:rPr>
        <w:rFonts w:ascii="Bookman Old Style" w:hAnsi="Bookman Old Style" w:cs="Arial"/>
        <w:b w:val="0"/>
        <w:sz w:val="22"/>
        <w:szCs w:val="22"/>
      </w:rPr>
    </w:pPr>
  </w:p>
  <w:p w:rsidR="00EB3BE1" w:rsidRPr="00951F79" w:rsidRDefault="00EB3BE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A5339">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5A5339" w:rsidRPr="005A5339">
        <w:rPr>
          <w:rFonts w:ascii="Bookman Old Style" w:hAnsi="Bookman Old Style" w:cs="Arial"/>
          <w:b w:val="0"/>
          <w:noProof/>
          <w:sz w:val="22"/>
          <w:szCs w:val="22"/>
        </w:rPr>
        <w:t>14</w:t>
      </w:r>
    </w:fldSimple>
  </w:p>
  <w:p w:rsidR="00EB3BE1" w:rsidRDefault="00EB3BE1"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AD19C"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7M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lOG7MegIA&#10;AP0EAAAOAAAAAAAAAAAAAAAAAC4CAABkcnMvZTJvRG9jLnhtbFBLAQItABQABgAIAAAAIQBXFkFY&#10;4wAAAAsBAAAPAAAAAAAAAAAAAAAAANQEAABkcnMvZG93bnJldi54bWxQSwUGAAAAAAQABADzAAAA&#10;5AUAAAAA&#10;" filled="f" strokeweight="1.5pt"/>
          </w:pict>
        </mc:Fallback>
      </mc:AlternateContent>
    </w:r>
  </w:p>
  <w:p w:rsidR="00EB3BE1" w:rsidRPr="00616D65" w:rsidRDefault="00EB3BE1"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Pr>
        <w:rFonts w:ascii="Bookman Old Style" w:hAnsi="Bookman Old Style" w:cs="Arial"/>
        <w:sz w:val="22"/>
        <w:szCs w:val="22"/>
      </w:rPr>
      <w:t>Granados Gómez y Cía.</w:t>
    </w:r>
    <w:r w:rsidRPr="00EC3BB2">
      <w:rPr>
        <w:rFonts w:ascii="Bookman Old Style" w:hAnsi="Bookman Old Style" w:cs="Arial"/>
        <w:sz w:val="22"/>
        <w:szCs w:val="22"/>
      </w:rPr>
      <w:t xml:space="preserve"> S.A. E.S.P. contra</w:t>
    </w:r>
    <w:r>
      <w:rPr>
        <w:rFonts w:ascii="Bookman Old Style" w:hAnsi="Bookman Old Style" w:cs="Arial"/>
        <w:sz w:val="22"/>
        <w:szCs w:val="22"/>
      </w:rPr>
      <w:t xml:space="preserve"> la Resolución CREG 075 de 2016.</w:t>
    </w:r>
  </w:p>
  <w:p w:rsidR="00EB3BE1" w:rsidRPr="00730C9E" w:rsidRDefault="00EB3BE1"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5D292"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BE1" w:rsidRDefault="00EB3BE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EB3BE1" w:rsidRDefault="00EB3BE1">
    <w:pPr>
      <w:pStyle w:val="Encabezado"/>
      <w:jc w:val="center"/>
      <w:rPr>
        <w:rFonts w:ascii="Arial" w:hAnsi="Arial" w:cs="Arial"/>
        <w:spacing w:val="20"/>
        <w:sz w:val="20"/>
      </w:rPr>
    </w:pPr>
  </w:p>
  <w:p w:rsidR="00EB3BE1" w:rsidRDefault="00EB3BE1"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4DCEA"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6540D8"/>
    <w:multiLevelType w:val="hybridMultilevel"/>
    <w:tmpl w:val="03DC8F86"/>
    <w:lvl w:ilvl="0" w:tplc="064C137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5"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9"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9"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34"/>
  </w:num>
  <w:num w:numId="4">
    <w:abstractNumId w:val="12"/>
  </w:num>
  <w:num w:numId="5">
    <w:abstractNumId w:val="24"/>
  </w:num>
  <w:num w:numId="6">
    <w:abstractNumId w:val="3"/>
  </w:num>
  <w:num w:numId="7">
    <w:abstractNumId w:val="2"/>
  </w:num>
  <w:num w:numId="8">
    <w:abstractNumId w:val="27"/>
  </w:num>
  <w:num w:numId="9">
    <w:abstractNumId w:val="25"/>
  </w:num>
  <w:num w:numId="10">
    <w:abstractNumId w:val="19"/>
  </w:num>
  <w:num w:numId="11">
    <w:abstractNumId w:val="35"/>
  </w:num>
  <w:num w:numId="12">
    <w:abstractNumId w:val="32"/>
  </w:num>
  <w:num w:numId="13">
    <w:abstractNumId w:val="15"/>
  </w:num>
  <w:num w:numId="14">
    <w:abstractNumId w:val="1"/>
  </w:num>
  <w:num w:numId="15">
    <w:abstractNumId w:val="20"/>
  </w:num>
  <w:num w:numId="16">
    <w:abstractNumId w:val="0"/>
  </w:num>
  <w:num w:numId="17">
    <w:abstractNumId w:val="33"/>
  </w:num>
  <w:num w:numId="18">
    <w:abstractNumId w:val="8"/>
  </w:num>
  <w:num w:numId="19">
    <w:abstractNumId w:val="21"/>
  </w:num>
  <w:num w:numId="20">
    <w:abstractNumId w:val="22"/>
  </w:num>
  <w:num w:numId="21">
    <w:abstractNumId w:val="31"/>
  </w:num>
  <w:num w:numId="22">
    <w:abstractNumId w:val="26"/>
  </w:num>
  <w:num w:numId="23">
    <w:abstractNumId w:val="30"/>
  </w:num>
  <w:num w:numId="24">
    <w:abstractNumId w:val="11"/>
  </w:num>
  <w:num w:numId="25">
    <w:abstractNumId w:val="9"/>
  </w:num>
  <w:num w:numId="26">
    <w:abstractNumId w:val="23"/>
  </w:num>
  <w:num w:numId="27">
    <w:abstractNumId w:val="6"/>
  </w:num>
  <w:num w:numId="28">
    <w:abstractNumId w:val="7"/>
  </w:num>
  <w:num w:numId="29">
    <w:abstractNumId w:val="13"/>
  </w:num>
  <w:num w:numId="30">
    <w:abstractNumId w:val="29"/>
  </w:num>
  <w:num w:numId="31">
    <w:abstractNumId w:val="10"/>
  </w:num>
  <w:num w:numId="32">
    <w:abstractNumId w:val="16"/>
  </w:num>
  <w:num w:numId="33">
    <w:abstractNumId w:val="28"/>
  </w:num>
  <w:num w:numId="34">
    <w:abstractNumId w:val="36"/>
  </w:num>
  <w:num w:numId="35">
    <w:abstractNumId w:val="4"/>
  </w:num>
  <w:num w:numId="36">
    <w:abstractNumId w:val="1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37A6"/>
    <w:rsid w:val="00034816"/>
    <w:rsid w:val="00034F40"/>
    <w:rsid w:val="000432F7"/>
    <w:rsid w:val="0004674A"/>
    <w:rsid w:val="000537E8"/>
    <w:rsid w:val="00060D57"/>
    <w:rsid w:val="000623A6"/>
    <w:rsid w:val="00063657"/>
    <w:rsid w:val="00065504"/>
    <w:rsid w:val="000657E2"/>
    <w:rsid w:val="00066D23"/>
    <w:rsid w:val="00067308"/>
    <w:rsid w:val="00070222"/>
    <w:rsid w:val="00070B2B"/>
    <w:rsid w:val="00072400"/>
    <w:rsid w:val="0007402F"/>
    <w:rsid w:val="0007548D"/>
    <w:rsid w:val="000761CE"/>
    <w:rsid w:val="00076680"/>
    <w:rsid w:val="00076A1D"/>
    <w:rsid w:val="0008073E"/>
    <w:rsid w:val="00084B8C"/>
    <w:rsid w:val="00085546"/>
    <w:rsid w:val="000867FA"/>
    <w:rsid w:val="00087733"/>
    <w:rsid w:val="00091CDB"/>
    <w:rsid w:val="00092215"/>
    <w:rsid w:val="00096E1F"/>
    <w:rsid w:val="00097013"/>
    <w:rsid w:val="000A061F"/>
    <w:rsid w:val="000A19AC"/>
    <w:rsid w:val="000B03C2"/>
    <w:rsid w:val="000B20EA"/>
    <w:rsid w:val="000B27E6"/>
    <w:rsid w:val="000B48BF"/>
    <w:rsid w:val="000B4B19"/>
    <w:rsid w:val="000B667A"/>
    <w:rsid w:val="000C27EB"/>
    <w:rsid w:val="000C6FE5"/>
    <w:rsid w:val="000D22D4"/>
    <w:rsid w:val="000D26F8"/>
    <w:rsid w:val="000E01B8"/>
    <w:rsid w:val="000F1132"/>
    <w:rsid w:val="000F410B"/>
    <w:rsid w:val="000F5641"/>
    <w:rsid w:val="00100A80"/>
    <w:rsid w:val="00100EBA"/>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4D93"/>
    <w:rsid w:val="0016590D"/>
    <w:rsid w:val="001670CB"/>
    <w:rsid w:val="001779AB"/>
    <w:rsid w:val="00177FE3"/>
    <w:rsid w:val="00182917"/>
    <w:rsid w:val="0018547A"/>
    <w:rsid w:val="00192CBF"/>
    <w:rsid w:val="00192FF1"/>
    <w:rsid w:val="001946B2"/>
    <w:rsid w:val="00195B37"/>
    <w:rsid w:val="00195E5B"/>
    <w:rsid w:val="001A4274"/>
    <w:rsid w:val="001A43F3"/>
    <w:rsid w:val="001A59B6"/>
    <w:rsid w:val="001A5A68"/>
    <w:rsid w:val="001A5F1B"/>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7BEC"/>
    <w:rsid w:val="002205E2"/>
    <w:rsid w:val="00220783"/>
    <w:rsid w:val="00221498"/>
    <w:rsid w:val="00223B98"/>
    <w:rsid w:val="00226B1A"/>
    <w:rsid w:val="00233E7D"/>
    <w:rsid w:val="00240455"/>
    <w:rsid w:val="00241399"/>
    <w:rsid w:val="00241733"/>
    <w:rsid w:val="00241898"/>
    <w:rsid w:val="00241F57"/>
    <w:rsid w:val="00244C3F"/>
    <w:rsid w:val="00246AA1"/>
    <w:rsid w:val="00246C1A"/>
    <w:rsid w:val="002528AF"/>
    <w:rsid w:val="00253E07"/>
    <w:rsid w:val="002606C2"/>
    <w:rsid w:val="002606F0"/>
    <w:rsid w:val="00260CE3"/>
    <w:rsid w:val="00266CD6"/>
    <w:rsid w:val="002709FC"/>
    <w:rsid w:val="00273C18"/>
    <w:rsid w:val="00275DAB"/>
    <w:rsid w:val="002817D6"/>
    <w:rsid w:val="002870E7"/>
    <w:rsid w:val="0029597D"/>
    <w:rsid w:val="00295B70"/>
    <w:rsid w:val="00297D3E"/>
    <w:rsid w:val="002A01F2"/>
    <w:rsid w:val="002A452D"/>
    <w:rsid w:val="002A4E70"/>
    <w:rsid w:val="002A579E"/>
    <w:rsid w:val="002A782A"/>
    <w:rsid w:val="002A7F80"/>
    <w:rsid w:val="002B11E2"/>
    <w:rsid w:val="002B24B8"/>
    <w:rsid w:val="002B3063"/>
    <w:rsid w:val="002B38EF"/>
    <w:rsid w:val="002B3CF4"/>
    <w:rsid w:val="002B43F8"/>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6A9A"/>
    <w:rsid w:val="00317791"/>
    <w:rsid w:val="003211CE"/>
    <w:rsid w:val="003234E2"/>
    <w:rsid w:val="0032669A"/>
    <w:rsid w:val="00332B81"/>
    <w:rsid w:val="00332BE1"/>
    <w:rsid w:val="00333DFB"/>
    <w:rsid w:val="00335916"/>
    <w:rsid w:val="00341341"/>
    <w:rsid w:val="00346E50"/>
    <w:rsid w:val="0035403A"/>
    <w:rsid w:val="00361AE0"/>
    <w:rsid w:val="003638D6"/>
    <w:rsid w:val="0036394B"/>
    <w:rsid w:val="00366D5C"/>
    <w:rsid w:val="0036751E"/>
    <w:rsid w:val="003709B5"/>
    <w:rsid w:val="00373D56"/>
    <w:rsid w:val="00374471"/>
    <w:rsid w:val="003759C2"/>
    <w:rsid w:val="00376A8A"/>
    <w:rsid w:val="00381139"/>
    <w:rsid w:val="0038380F"/>
    <w:rsid w:val="003846C6"/>
    <w:rsid w:val="0038623A"/>
    <w:rsid w:val="0039315E"/>
    <w:rsid w:val="00393F0D"/>
    <w:rsid w:val="003943C4"/>
    <w:rsid w:val="00397365"/>
    <w:rsid w:val="003A31F6"/>
    <w:rsid w:val="003A3AAF"/>
    <w:rsid w:val="003A40CE"/>
    <w:rsid w:val="003B10B0"/>
    <w:rsid w:val="003B10B9"/>
    <w:rsid w:val="003B17FC"/>
    <w:rsid w:val="003B4844"/>
    <w:rsid w:val="003B4BB0"/>
    <w:rsid w:val="003B6A60"/>
    <w:rsid w:val="003B769B"/>
    <w:rsid w:val="003C157F"/>
    <w:rsid w:val="003C1AEF"/>
    <w:rsid w:val="003C3447"/>
    <w:rsid w:val="003C35A2"/>
    <w:rsid w:val="003C5787"/>
    <w:rsid w:val="003D076C"/>
    <w:rsid w:val="003D2A46"/>
    <w:rsid w:val="003D47BD"/>
    <w:rsid w:val="003D5E91"/>
    <w:rsid w:val="003E26E3"/>
    <w:rsid w:val="003E3304"/>
    <w:rsid w:val="003E4875"/>
    <w:rsid w:val="003E59E7"/>
    <w:rsid w:val="003E78B5"/>
    <w:rsid w:val="003F023F"/>
    <w:rsid w:val="003F0F02"/>
    <w:rsid w:val="003F3E5B"/>
    <w:rsid w:val="003F53CF"/>
    <w:rsid w:val="003F6ACE"/>
    <w:rsid w:val="003F6FB4"/>
    <w:rsid w:val="00404DA1"/>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3A01"/>
    <w:rsid w:val="00490647"/>
    <w:rsid w:val="00491E18"/>
    <w:rsid w:val="004926FE"/>
    <w:rsid w:val="00493726"/>
    <w:rsid w:val="00495A52"/>
    <w:rsid w:val="004960E9"/>
    <w:rsid w:val="004A2E88"/>
    <w:rsid w:val="004A5305"/>
    <w:rsid w:val="004A6EE1"/>
    <w:rsid w:val="004B0C00"/>
    <w:rsid w:val="004B78C1"/>
    <w:rsid w:val="004C0BFE"/>
    <w:rsid w:val="004C19C2"/>
    <w:rsid w:val="004C7BD8"/>
    <w:rsid w:val="004D19FA"/>
    <w:rsid w:val="004D1BE8"/>
    <w:rsid w:val="004D3045"/>
    <w:rsid w:val="004D7634"/>
    <w:rsid w:val="004E1536"/>
    <w:rsid w:val="004E33F2"/>
    <w:rsid w:val="004F3744"/>
    <w:rsid w:val="004F4247"/>
    <w:rsid w:val="004F7D1F"/>
    <w:rsid w:val="0050015E"/>
    <w:rsid w:val="00503267"/>
    <w:rsid w:val="0051257C"/>
    <w:rsid w:val="00513865"/>
    <w:rsid w:val="00515932"/>
    <w:rsid w:val="0051687A"/>
    <w:rsid w:val="005217A1"/>
    <w:rsid w:val="005300D3"/>
    <w:rsid w:val="00535B16"/>
    <w:rsid w:val="00536323"/>
    <w:rsid w:val="0054284F"/>
    <w:rsid w:val="00544F82"/>
    <w:rsid w:val="005457C2"/>
    <w:rsid w:val="00547183"/>
    <w:rsid w:val="005544E8"/>
    <w:rsid w:val="00554FFF"/>
    <w:rsid w:val="00557C22"/>
    <w:rsid w:val="00567915"/>
    <w:rsid w:val="00573970"/>
    <w:rsid w:val="00573C98"/>
    <w:rsid w:val="005750EF"/>
    <w:rsid w:val="00581094"/>
    <w:rsid w:val="0058201E"/>
    <w:rsid w:val="0059144A"/>
    <w:rsid w:val="00593C4F"/>
    <w:rsid w:val="005946A8"/>
    <w:rsid w:val="00596B5A"/>
    <w:rsid w:val="00596EEA"/>
    <w:rsid w:val="00596EFA"/>
    <w:rsid w:val="005972F1"/>
    <w:rsid w:val="005A1309"/>
    <w:rsid w:val="005A4407"/>
    <w:rsid w:val="005A5339"/>
    <w:rsid w:val="005A59EF"/>
    <w:rsid w:val="005A6E1A"/>
    <w:rsid w:val="005B1B14"/>
    <w:rsid w:val="005C1184"/>
    <w:rsid w:val="005C41AF"/>
    <w:rsid w:val="005C568C"/>
    <w:rsid w:val="005C6BB2"/>
    <w:rsid w:val="005C6E8F"/>
    <w:rsid w:val="005D77A0"/>
    <w:rsid w:val="005E035F"/>
    <w:rsid w:val="005E253A"/>
    <w:rsid w:val="005E260A"/>
    <w:rsid w:val="005E42A6"/>
    <w:rsid w:val="005E44A9"/>
    <w:rsid w:val="005E7350"/>
    <w:rsid w:val="005F26E0"/>
    <w:rsid w:val="005F3B83"/>
    <w:rsid w:val="005F49DD"/>
    <w:rsid w:val="005F4BB9"/>
    <w:rsid w:val="005F5F07"/>
    <w:rsid w:val="005F6F41"/>
    <w:rsid w:val="005F7184"/>
    <w:rsid w:val="006069BF"/>
    <w:rsid w:val="00606FD6"/>
    <w:rsid w:val="00616D65"/>
    <w:rsid w:val="0062102E"/>
    <w:rsid w:val="00621590"/>
    <w:rsid w:val="006234BC"/>
    <w:rsid w:val="00625DC6"/>
    <w:rsid w:val="00627986"/>
    <w:rsid w:val="00630F5A"/>
    <w:rsid w:val="00631E8F"/>
    <w:rsid w:val="00640301"/>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E48"/>
    <w:rsid w:val="00690C05"/>
    <w:rsid w:val="00693339"/>
    <w:rsid w:val="006965D3"/>
    <w:rsid w:val="00697556"/>
    <w:rsid w:val="006A01FE"/>
    <w:rsid w:val="006A4917"/>
    <w:rsid w:val="006A4D4F"/>
    <w:rsid w:val="006A5FD7"/>
    <w:rsid w:val="006B0FE8"/>
    <w:rsid w:val="006B1C64"/>
    <w:rsid w:val="006B4647"/>
    <w:rsid w:val="006B4C2B"/>
    <w:rsid w:val="006B6D47"/>
    <w:rsid w:val="006C1ECB"/>
    <w:rsid w:val="006C2624"/>
    <w:rsid w:val="006C5AFE"/>
    <w:rsid w:val="006C709E"/>
    <w:rsid w:val="006D3C10"/>
    <w:rsid w:val="006D3E42"/>
    <w:rsid w:val="006D5418"/>
    <w:rsid w:val="006D6139"/>
    <w:rsid w:val="006D79D9"/>
    <w:rsid w:val="006E5ED9"/>
    <w:rsid w:val="006E6198"/>
    <w:rsid w:val="006E73A5"/>
    <w:rsid w:val="006F193C"/>
    <w:rsid w:val="006F1D41"/>
    <w:rsid w:val="006F3BDC"/>
    <w:rsid w:val="006F586A"/>
    <w:rsid w:val="006F6D95"/>
    <w:rsid w:val="006F73FB"/>
    <w:rsid w:val="006F7765"/>
    <w:rsid w:val="00703722"/>
    <w:rsid w:val="00704DA7"/>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87BC3"/>
    <w:rsid w:val="00790CEA"/>
    <w:rsid w:val="00793152"/>
    <w:rsid w:val="00795983"/>
    <w:rsid w:val="00795BFB"/>
    <w:rsid w:val="00796875"/>
    <w:rsid w:val="007974F9"/>
    <w:rsid w:val="007A0FE6"/>
    <w:rsid w:val="007A2F35"/>
    <w:rsid w:val="007A7682"/>
    <w:rsid w:val="007B122F"/>
    <w:rsid w:val="007B1F48"/>
    <w:rsid w:val="007B2760"/>
    <w:rsid w:val="007B40C9"/>
    <w:rsid w:val="007B453E"/>
    <w:rsid w:val="007C56A8"/>
    <w:rsid w:val="007C6762"/>
    <w:rsid w:val="007D111E"/>
    <w:rsid w:val="007D195A"/>
    <w:rsid w:val="007D1EE9"/>
    <w:rsid w:val="007E1F80"/>
    <w:rsid w:val="007E3AB1"/>
    <w:rsid w:val="007F0732"/>
    <w:rsid w:val="008009C2"/>
    <w:rsid w:val="00802179"/>
    <w:rsid w:val="00802330"/>
    <w:rsid w:val="008038CA"/>
    <w:rsid w:val="00804473"/>
    <w:rsid w:val="00804B35"/>
    <w:rsid w:val="00806C01"/>
    <w:rsid w:val="008074E7"/>
    <w:rsid w:val="00810E7F"/>
    <w:rsid w:val="008112E8"/>
    <w:rsid w:val="008136C3"/>
    <w:rsid w:val="008148CC"/>
    <w:rsid w:val="00820A7B"/>
    <w:rsid w:val="008211A4"/>
    <w:rsid w:val="00823A07"/>
    <w:rsid w:val="00832398"/>
    <w:rsid w:val="00833BEE"/>
    <w:rsid w:val="008348CB"/>
    <w:rsid w:val="00836006"/>
    <w:rsid w:val="00850F85"/>
    <w:rsid w:val="00854C37"/>
    <w:rsid w:val="0085598C"/>
    <w:rsid w:val="00862B36"/>
    <w:rsid w:val="00864289"/>
    <w:rsid w:val="00865BD4"/>
    <w:rsid w:val="008679A0"/>
    <w:rsid w:val="00873150"/>
    <w:rsid w:val="0087657D"/>
    <w:rsid w:val="008807D5"/>
    <w:rsid w:val="00880832"/>
    <w:rsid w:val="00882263"/>
    <w:rsid w:val="00883C72"/>
    <w:rsid w:val="00885F45"/>
    <w:rsid w:val="00886EE1"/>
    <w:rsid w:val="0088727D"/>
    <w:rsid w:val="00895F71"/>
    <w:rsid w:val="0089643C"/>
    <w:rsid w:val="00897C75"/>
    <w:rsid w:val="008A0383"/>
    <w:rsid w:val="008A2456"/>
    <w:rsid w:val="008A4076"/>
    <w:rsid w:val="008A657A"/>
    <w:rsid w:val="008B413B"/>
    <w:rsid w:val="008B721E"/>
    <w:rsid w:val="008C1130"/>
    <w:rsid w:val="008C7B20"/>
    <w:rsid w:val="008D0995"/>
    <w:rsid w:val="008D18E6"/>
    <w:rsid w:val="008D191F"/>
    <w:rsid w:val="008D2C00"/>
    <w:rsid w:val="008D464B"/>
    <w:rsid w:val="008D675E"/>
    <w:rsid w:val="008D7A9B"/>
    <w:rsid w:val="008E02E1"/>
    <w:rsid w:val="008E2BF5"/>
    <w:rsid w:val="008E378C"/>
    <w:rsid w:val="008E61CB"/>
    <w:rsid w:val="008E7049"/>
    <w:rsid w:val="008E76AC"/>
    <w:rsid w:val="008E7B7D"/>
    <w:rsid w:val="008F1017"/>
    <w:rsid w:val="008F21F6"/>
    <w:rsid w:val="008F2A14"/>
    <w:rsid w:val="008F3972"/>
    <w:rsid w:val="008F3D3A"/>
    <w:rsid w:val="009011F4"/>
    <w:rsid w:val="00902D87"/>
    <w:rsid w:val="0090417A"/>
    <w:rsid w:val="00913905"/>
    <w:rsid w:val="009152B5"/>
    <w:rsid w:val="00916247"/>
    <w:rsid w:val="00917874"/>
    <w:rsid w:val="0092279E"/>
    <w:rsid w:val="00922CA7"/>
    <w:rsid w:val="009246BD"/>
    <w:rsid w:val="009269A7"/>
    <w:rsid w:val="009270E0"/>
    <w:rsid w:val="00927FA3"/>
    <w:rsid w:val="00931F7E"/>
    <w:rsid w:val="0093345C"/>
    <w:rsid w:val="00936888"/>
    <w:rsid w:val="0093708C"/>
    <w:rsid w:val="00937565"/>
    <w:rsid w:val="009410CB"/>
    <w:rsid w:val="009438AD"/>
    <w:rsid w:val="00945A3C"/>
    <w:rsid w:val="00951F79"/>
    <w:rsid w:val="00952ADF"/>
    <w:rsid w:val="00952F4A"/>
    <w:rsid w:val="00960049"/>
    <w:rsid w:val="00960FB7"/>
    <w:rsid w:val="00962962"/>
    <w:rsid w:val="00967121"/>
    <w:rsid w:val="00967468"/>
    <w:rsid w:val="00971FF2"/>
    <w:rsid w:val="00973049"/>
    <w:rsid w:val="009742E8"/>
    <w:rsid w:val="00974AB5"/>
    <w:rsid w:val="00980704"/>
    <w:rsid w:val="0098213C"/>
    <w:rsid w:val="00985A22"/>
    <w:rsid w:val="0098706D"/>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53A9"/>
    <w:rsid w:val="009D56A3"/>
    <w:rsid w:val="009E11C8"/>
    <w:rsid w:val="009E2F5E"/>
    <w:rsid w:val="009E7A7F"/>
    <w:rsid w:val="009F0D98"/>
    <w:rsid w:val="009F4A3B"/>
    <w:rsid w:val="009F4A54"/>
    <w:rsid w:val="009F4B06"/>
    <w:rsid w:val="009F4BEC"/>
    <w:rsid w:val="00A10A0B"/>
    <w:rsid w:val="00A1296D"/>
    <w:rsid w:val="00A14C71"/>
    <w:rsid w:val="00A16385"/>
    <w:rsid w:val="00A21A33"/>
    <w:rsid w:val="00A22D58"/>
    <w:rsid w:val="00A23A1B"/>
    <w:rsid w:val="00A25FD7"/>
    <w:rsid w:val="00A30197"/>
    <w:rsid w:val="00A35FEF"/>
    <w:rsid w:val="00A40EC5"/>
    <w:rsid w:val="00A42FAB"/>
    <w:rsid w:val="00A433C5"/>
    <w:rsid w:val="00A43AFF"/>
    <w:rsid w:val="00A478A0"/>
    <w:rsid w:val="00A47F3A"/>
    <w:rsid w:val="00A5373F"/>
    <w:rsid w:val="00A54052"/>
    <w:rsid w:val="00A631A3"/>
    <w:rsid w:val="00A654DC"/>
    <w:rsid w:val="00A70F81"/>
    <w:rsid w:val="00A74AF2"/>
    <w:rsid w:val="00A7793A"/>
    <w:rsid w:val="00A87B7A"/>
    <w:rsid w:val="00AA4CC7"/>
    <w:rsid w:val="00AA4F68"/>
    <w:rsid w:val="00AA5E8E"/>
    <w:rsid w:val="00AB2A7D"/>
    <w:rsid w:val="00AB2ACC"/>
    <w:rsid w:val="00AB6CA7"/>
    <w:rsid w:val="00AB6CE2"/>
    <w:rsid w:val="00AB765C"/>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6DEF"/>
    <w:rsid w:val="00B01B73"/>
    <w:rsid w:val="00B040DA"/>
    <w:rsid w:val="00B04B81"/>
    <w:rsid w:val="00B05626"/>
    <w:rsid w:val="00B05914"/>
    <w:rsid w:val="00B10207"/>
    <w:rsid w:val="00B13E74"/>
    <w:rsid w:val="00B141E7"/>
    <w:rsid w:val="00B155C4"/>
    <w:rsid w:val="00B20CD2"/>
    <w:rsid w:val="00B23A09"/>
    <w:rsid w:val="00B309B2"/>
    <w:rsid w:val="00B31959"/>
    <w:rsid w:val="00B351B4"/>
    <w:rsid w:val="00B36FE8"/>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68FC"/>
    <w:rsid w:val="00B87806"/>
    <w:rsid w:val="00B87EC9"/>
    <w:rsid w:val="00B905E0"/>
    <w:rsid w:val="00B92BC9"/>
    <w:rsid w:val="00B92EAC"/>
    <w:rsid w:val="00BA3338"/>
    <w:rsid w:val="00BA67CD"/>
    <w:rsid w:val="00BB076C"/>
    <w:rsid w:val="00BB464E"/>
    <w:rsid w:val="00BB6279"/>
    <w:rsid w:val="00BC2BE8"/>
    <w:rsid w:val="00BC38FD"/>
    <w:rsid w:val="00BC4AE4"/>
    <w:rsid w:val="00BC794F"/>
    <w:rsid w:val="00BD0898"/>
    <w:rsid w:val="00BD1622"/>
    <w:rsid w:val="00BD3267"/>
    <w:rsid w:val="00BE1698"/>
    <w:rsid w:val="00BF35DB"/>
    <w:rsid w:val="00BF4008"/>
    <w:rsid w:val="00BF4A20"/>
    <w:rsid w:val="00C013F0"/>
    <w:rsid w:val="00C034CB"/>
    <w:rsid w:val="00C051A8"/>
    <w:rsid w:val="00C054BC"/>
    <w:rsid w:val="00C0554D"/>
    <w:rsid w:val="00C122C4"/>
    <w:rsid w:val="00C15CDD"/>
    <w:rsid w:val="00C17897"/>
    <w:rsid w:val="00C17DB0"/>
    <w:rsid w:val="00C20BF7"/>
    <w:rsid w:val="00C22517"/>
    <w:rsid w:val="00C225E7"/>
    <w:rsid w:val="00C322F9"/>
    <w:rsid w:val="00C350E9"/>
    <w:rsid w:val="00C35B2B"/>
    <w:rsid w:val="00C3612F"/>
    <w:rsid w:val="00C400BD"/>
    <w:rsid w:val="00C409D5"/>
    <w:rsid w:val="00C4104C"/>
    <w:rsid w:val="00C435C3"/>
    <w:rsid w:val="00C44304"/>
    <w:rsid w:val="00C53E81"/>
    <w:rsid w:val="00C609F5"/>
    <w:rsid w:val="00C6234B"/>
    <w:rsid w:val="00C62D01"/>
    <w:rsid w:val="00C63EAE"/>
    <w:rsid w:val="00C64697"/>
    <w:rsid w:val="00C70A73"/>
    <w:rsid w:val="00C721CE"/>
    <w:rsid w:val="00C7430C"/>
    <w:rsid w:val="00C7629F"/>
    <w:rsid w:val="00C820DC"/>
    <w:rsid w:val="00C85364"/>
    <w:rsid w:val="00C8661B"/>
    <w:rsid w:val="00C9491C"/>
    <w:rsid w:val="00CA139A"/>
    <w:rsid w:val="00CA2899"/>
    <w:rsid w:val="00CA2B1D"/>
    <w:rsid w:val="00CA3A3D"/>
    <w:rsid w:val="00CA77FB"/>
    <w:rsid w:val="00CB379B"/>
    <w:rsid w:val="00CB3D87"/>
    <w:rsid w:val="00CB460F"/>
    <w:rsid w:val="00CB4ACB"/>
    <w:rsid w:val="00CB5DD0"/>
    <w:rsid w:val="00CB7F94"/>
    <w:rsid w:val="00CC0B0B"/>
    <w:rsid w:val="00CC51D4"/>
    <w:rsid w:val="00CC65DA"/>
    <w:rsid w:val="00CD0158"/>
    <w:rsid w:val="00CD3BBA"/>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4C94"/>
    <w:rsid w:val="00D16F2E"/>
    <w:rsid w:val="00D20911"/>
    <w:rsid w:val="00D27114"/>
    <w:rsid w:val="00D313EC"/>
    <w:rsid w:val="00D32669"/>
    <w:rsid w:val="00D342A6"/>
    <w:rsid w:val="00D356D0"/>
    <w:rsid w:val="00D35AB2"/>
    <w:rsid w:val="00D36ABB"/>
    <w:rsid w:val="00D40598"/>
    <w:rsid w:val="00D42A15"/>
    <w:rsid w:val="00D460EB"/>
    <w:rsid w:val="00D464BF"/>
    <w:rsid w:val="00D47AB0"/>
    <w:rsid w:val="00D53E26"/>
    <w:rsid w:val="00D549B1"/>
    <w:rsid w:val="00D6036E"/>
    <w:rsid w:val="00D607B1"/>
    <w:rsid w:val="00D62044"/>
    <w:rsid w:val="00D639B7"/>
    <w:rsid w:val="00D7035A"/>
    <w:rsid w:val="00D74A42"/>
    <w:rsid w:val="00D74BAC"/>
    <w:rsid w:val="00D83101"/>
    <w:rsid w:val="00D84F46"/>
    <w:rsid w:val="00D92EC6"/>
    <w:rsid w:val="00D95493"/>
    <w:rsid w:val="00D96E9A"/>
    <w:rsid w:val="00DA0D65"/>
    <w:rsid w:val="00DA3ED9"/>
    <w:rsid w:val="00DA4135"/>
    <w:rsid w:val="00DA4BB6"/>
    <w:rsid w:val="00DB122B"/>
    <w:rsid w:val="00DB7AC1"/>
    <w:rsid w:val="00DC2818"/>
    <w:rsid w:val="00DC2D17"/>
    <w:rsid w:val="00DC3340"/>
    <w:rsid w:val="00DC334D"/>
    <w:rsid w:val="00DD3CE8"/>
    <w:rsid w:val="00DD4F0E"/>
    <w:rsid w:val="00DE4017"/>
    <w:rsid w:val="00DF070D"/>
    <w:rsid w:val="00DF0BF0"/>
    <w:rsid w:val="00DF465D"/>
    <w:rsid w:val="00DF4E15"/>
    <w:rsid w:val="00DF4F58"/>
    <w:rsid w:val="00E0158D"/>
    <w:rsid w:val="00E0456C"/>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042D"/>
    <w:rsid w:val="00E81CB4"/>
    <w:rsid w:val="00E833E4"/>
    <w:rsid w:val="00E8585B"/>
    <w:rsid w:val="00E877F1"/>
    <w:rsid w:val="00E9028F"/>
    <w:rsid w:val="00E958BA"/>
    <w:rsid w:val="00EA20EE"/>
    <w:rsid w:val="00EA3F15"/>
    <w:rsid w:val="00EA7847"/>
    <w:rsid w:val="00EB1916"/>
    <w:rsid w:val="00EB2614"/>
    <w:rsid w:val="00EB3344"/>
    <w:rsid w:val="00EB3BE1"/>
    <w:rsid w:val="00EB4BA1"/>
    <w:rsid w:val="00EB54E4"/>
    <w:rsid w:val="00EC28B2"/>
    <w:rsid w:val="00EC3BB2"/>
    <w:rsid w:val="00ED028D"/>
    <w:rsid w:val="00ED048C"/>
    <w:rsid w:val="00ED1F55"/>
    <w:rsid w:val="00ED5722"/>
    <w:rsid w:val="00EE25CE"/>
    <w:rsid w:val="00EE2E6E"/>
    <w:rsid w:val="00EF78A2"/>
    <w:rsid w:val="00F0000A"/>
    <w:rsid w:val="00F01F07"/>
    <w:rsid w:val="00F03154"/>
    <w:rsid w:val="00F0499E"/>
    <w:rsid w:val="00F06BB2"/>
    <w:rsid w:val="00F0759E"/>
    <w:rsid w:val="00F14B80"/>
    <w:rsid w:val="00F16F1A"/>
    <w:rsid w:val="00F205F5"/>
    <w:rsid w:val="00F22B1C"/>
    <w:rsid w:val="00F22E25"/>
    <w:rsid w:val="00F30C51"/>
    <w:rsid w:val="00F30F7F"/>
    <w:rsid w:val="00F31FCD"/>
    <w:rsid w:val="00F35523"/>
    <w:rsid w:val="00F369F8"/>
    <w:rsid w:val="00F37CD2"/>
    <w:rsid w:val="00F42EF4"/>
    <w:rsid w:val="00F4350B"/>
    <w:rsid w:val="00F43F5B"/>
    <w:rsid w:val="00F452BE"/>
    <w:rsid w:val="00F471E0"/>
    <w:rsid w:val="00F509F9"/>
    <w:rsid w:val="00F50EDA"/>
    <w:rsid w:val="00F5143E"/>
    <w:rsid w:val="00F53BD8"/>
    <w:rsid w:val="00F57246"/>
    <w:rsid w:val="00F64F1B"/>
    <w:rsid w:val="00F75127"/>
    <w:rsid w:val="00F75280"/>
    <w:rsid w:val="00F821A3"/>
    <w:rsid w:val="00F9314A"/>
    <w:rsid w:val="00F95C9F"/>
    <w:rsid w:val="00FA049B"/>
    <w:rsid w:val="00FA717D"/>
    <w:rsid w:val="00FA7CDB"/>
    <w:rsid w:val="00FB5E09"/>
    <w:rsid w:val="00FB6E4D"/>
    <w:rsid w:val="00FC462E"/>
    <w:rsid w:val="00FC55EF"/>
    <w:rsid w:val="00FC58EF"/>
    <w:rsid w:val="00FD33DF"/>
    <w:rsid w:val="00FD6BF7"/>
    <w:rsid w:val="00FD7259"/>
    <w:rsid w:val="00FE01D4"/>
    <w:rsid w:val="00FE1FDD"/>
    <w:rsid w:val="00FE2D9D"/>
    <w:rsid w:val="00FE39D7"/>
    <w:rsid w:val="00FE3F15"/>
    <w:rsid w:val="00FF1CBF"/>
    <w:rsid w:val="00FF2AEA"/>
    <w:rsid w:val="00FF62B5"/>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D40BE79-1D02-4E5B-B8E0-0E8439E2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0855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187914076">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31C9F-AA79-4623-816D-EA4E129E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14</Pages>
  <Words>5763</Words>
  <Characters>30188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2016-11-24T16:47:00Z</cp:lastPrinted>
  <dcterms:created xsi:type="dcterms:W3CDTF">2016-12-07T17:25:00Z</dcterms:created>
  <dcterms:modified xsi:type="dcterms:W3CDTF">2016-12-07T17:25:00Z</dcterms:modified>
</cp:coreProperties>
</file>