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4F7234" w:rsidRDefault="000905EA" w:rsidP="001A102C">
      <w:bookmarkStart w:id="0" w:name="_GoBack"/>
      <w:bookmarkEnd w:id="0"/>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15pt;margin-top:-53.35pt;width:52.5pt;height:48.75pt;z-index:251657728" fillcolor="#0c9">
            <v:imagedata r:id="rId9" o:title=""/>
          </v:shape>
          <o:OLEObject Type="Embed" ProgID="PBrush" ShapeID="_x0000_s1026" DrawAspect="Content" ObjectID="_1369567461" r:id="rId10"/>
        </w:pict>
      </w:r>
    </w:p>
    <w:p w:rsidR="00625DC6" w:rsidRPr="004F7234" w:rsidRDefault="00625DC6" w:rsidP="001A102C"/>
    <w:p w:rsidR="00CA77FB" w:rsidRPr="004F7234" w:rsidRDefault="000E651D" w:rsidP="001A102C">
      <w:pPr>
        <w:jc w:val="center"/>
        <w:rPr>
          <w:b/>
          <w:noProof/>
          <w:spacing w:val="20"/>
        </w:rPr>
      </w:pPr>
      <w:r w:rsidRPr="004F7234">
        <w:rPr>
          <w:bCs/>
          <w:spacing w:val="20"/>
        </w:rPr>
        <w:t>Ministerio de Minas y Energía</w:t>
      </w:r>
    </w:p>
    <w:p w:rsidR="00CA77FB" w:rsidRPr="004F7234" w:rsidRDefault="00CA77FB" w:rsidP="001A102C">
      <w:pPr>
        <w:jc w:val="center"/>
      </w:pPr>
    </w:p>
    <w:p w:rsidR="00CA77FB" w:rsidRPr="004F7234" w:rsidRDefault="00CA77FB" w:rsidP="001A102C">
      <w:pPr>
        <w:jc w:val="center"/>
        <w:rPr>
          <w:b/>
          <w:bCs/>
          <w:spacing w:val="20"/>
        </w:rPr>
      </w:pPr>
      <w:r w:rsidRPr="004F7234">
        <w:rPr>
          <w:b/>
          <w:bCs/>
          <w:spacing w:val="20"/>
        </w:rPr>
        <w:t>COMISIÓN DE REGULACIÓN DE ENERGÍA Y GAS</w:t>
      </w:r>
    </w:p>
    <w:p w:rsidR="00CA77FB" w:rsidRPr="004F7234" w:rsidRDefault="00CA77FB" w:rsidP="001A102C">
      <w:pPr>
        <w:jc w:val="center"/>
      </w:pPr>
    </w:p>
    <w:p w:rsidR="00CA77FB" w:rsidRPr="004F7234" w:rsidRDefault="00CA77FB" w:rsidP="001A102C">
      <w:pPr>
        <w:jc w:val="center"/>
      </w:pPr>
    </w:p>
    <w:p w:rsidR="00CA77FB" w:rsidRPr="004F7234" w:rsidRDefault="00CA77FB" w:rsidP="001A102C">
      <w:pPr>
        <w:jc w:val="center"/>
        <w:rPr>
          <w:b/>
          <w:spacing w:val="20"/>
        </w:rPr>
      </w:pPr>
      <w:r w:rsidRPr="004F7234">
        <w:rPr>
          <w:b/>
          <w:spacing w:val="20"/>
        </w:rPr>
        <w:t xml:space="preserve">RESOLUCIÓN No. </w:t>
      </w:r>
      <w:r w:rsidR="00795BFB" w:rsidRPr="004F7234">
        <w:rPr>
          <w:b/>
          <w:spacing w:val="20"/>
        </w:rPr>
        <w:t xml:space="preserve">                  </w:t>
      </w:r>
      <w:r w:rsidRPr="004F7234">
        <w:rPr>
          <w:b/>
          <w:spacing w:val="20"/>
        </w:rPr>
        <w:t xml:space="preserve">DE </w:t>
      </w:r>
      <w:r w:rsidR="005F1034" w:rsidRPr="004F7234">
        <w:rPr>
          <w:b/>
          <w:spacing w:val="20"/>
        </w:rPr>
        <w:t>201</w:t>
      </w:r>
      <w:r w:rsidR="005F1034">
        <w:rPr>
          <w:b/>
          <w:spacing w:val="20"/>
        </w:rPr>
        <w:t>1</w:t>
      </w:r>
    </w:p>
    <w:p w:rsidR="00CA77FB" w:rsidRPr="004F7234" w:rsidRDefault="00CA77FB" w:rsidP="001A102C">
      <w:pPr>
        <w:tabs>
          <w:tab w:val="left" w:pos="0"/>
          <w:tab w:val="right" w:pos="9356"/>
        </w:tabs>
        <w:jc w:val="center"/>
        <w:rPr>
          <w:rFonts w:cs="Arial"/>
          <w:b/>
          <w:snapToGrid w:val="0"/>
          <w:color w:val="000000"/>
          <w:lang w:val="es-ES_tradnl"/>
        </w:rPr>
      </w:pPr>
    </w:p>
    <w:p w:rsidR="00CA77FB" w:rsidRPr="004F7234" w:rsidRDefault="00CA77FB" w:rsidP="001A102C">
      <w:pPr>
        <w:jc w:val="center"/>
        <w:rPr>
          <w:b/>
        </w:rPr>
      </w:pPr>
      <w:r w:rsidRPr="004F7234">
        <w:rPr>
          <w:b/>
        </w:rPr>
        <w:t>(                                  )</w:t>
      </w:r>
    </w:p>
    <w:p w:rsidR="00CA77FB" w:rsidRDefault="00CA77FB" w:rsidP="001A102C">
      <w:pPr>
        <w:tabs>
          <w:tab w:val="left" w:pos="0"/>
          <w:tab w:val="right" w:pos="9356"/>
        </w:tabs>
        <w:jc w:val="center"/>
        <w:rPr>
          <w:lang w:val="es-ES_tradnl"/>
        </w:rPr>
      </w:pPr>
    </w:p>
    <w:p w:rsidR="005F1034" w:rsidRDefault="005F1034" w:rsidP="001A102C">
      <w:pPr>
        <w:tabs>
          <w:tab w:val="left" w:pos="0"/>
          <w:tab w:val="right" w:pos="9356"/>
        </w:tabs>
        <w:jc w:val="center"/>
        <w:rPr>
          <w:lang w:val="es-ES_tradnl"/>
        </w:rPr>
      </w:pPr>
    </w:p>
    <w:p w:rsidR="005F1034" w:rsidRDefault="005F1034" w:rsidP="001A102C">
      <w:pPr>
        <w:tabs>
          <w:tab w:val="left" w:pos="0"/>
          <w:tab w:val="right" w:pos="9356"/>
        </w:tabs>
        <w:jc w:val="center"/>
        <w:rPr>
          <w:lang w:val="es-ES_tradnl"/>
        </w:rPr>
      </w:pPr>
    </w:p>
    <w:p w:rsidR="005F1034" w:rsidRPr="004F7234" w:rsidRDefault="005F1034" w:rsidP="001A102C">
      <w:pPr>
        <w:tabs>
          <w:tab w:val="left" w:pos="0"/>
          <w:tab w:val="right" w:pos="9356"/>
        </w:tabs>
        <w:jc w:val="center"/>
        <w:rPr>
          <w:lang w:val="es-ES_tradnl"/>
        </w:rPr>
      </w:pPr>
    </w:p>
    <w:p w:rsidR="0080129A" w:rsidRPr="004F7234" w:rsidRDefault="0080129A" w:rsidP="001A102C">
      <w:pPr>
        <w:pStyle w:val="Textoindependiente2"/>
        <w:spacing w:line="240" w:lineRule="auto"/>
      </w:pPr>
      <w:r w:rsidRPr="004F7234">
        <w:t xml:space="preserve">Por la cual se resuelve el </w:t>
      </w:r>
      <w:r w:rsidR="00967E17" w:rsidRPr="004F7234">
        <w:t xml:space="preserve">recurso </w:t>
      </w:r>
      <w:r w:rsidRPr="004F7234">
        <w:t xml:space="preserve">de </w:t>
      </w:r>
      <w:r w:rsidR="00967E17" w:rsidRPr="004F7234">
        <w:t xml:space="preserve">reposición </w:t>
      </w:r>
      <w:r w:rsidRPr="004F7234">
        <w:t xml:space="preserve">interpuesto por </w:t>
      </w:r>
      <w:r w:rsidR="00BB0D44" w:rsidRPr="004F7234">
        <w:t xml:space="preserve">Transelca </w:t>
      </w:r>
      <w:r w:rsidRPr="004F7234">
        <w:t>S.A. E.S.P. contra la Resolución CREG 1</w:t>
      </w:r>
      <w:r w:rsidR="00967E17" w:rsidRPr="004F7234">
        <w:t>07</w:t>
      </w:r>
      <w:r w:rsidRPr="004F7234">
        <w:t xml:space="preserve"> de 20</w:t>
      </w:r>
      <w:r w:rsidR="00967E17" w:rsidRPr="004F7234">
        <w:t>10</w:t>
      </w:r>
    </w:p>
    <w:p w:rsidR="0080129A" w:rsidRPr="004F7234" w:rsidRDefault="0080129A" w:rsidP="001A102C">
      <w:pPr>
        <w:ind w:left="540" w:right="587"/>
        <w:jc w:val="center"/>
        <w:rPr>
          <w:rFonts w:cs="Arial"/>
        </w:rPr>
      </w:pPr>
    </w:p>
    <w:p w:rsidR="0080129A" w:rsidRPr="004F7234" w:rsidRDefault="0080129A" w:rsidP="001A102C">
      <w:pPr>
        <w:ind w:left="540" w:right="587"/>
        <w:jc w:val="center"/>
        <w:rPr>
          <w:rFonts w:cs="Arial"/>
        </w:rPr>
      </w:pPr>
    </w:p>
    <w:p w:rsidR="0080129A" w:rsidRPr="004F7234" w:rsidRDefault="0080129A" w:rsidP="001A102C">
      <w:pPr>
        <w:jc w:val="center"/>
        <w:rPr>
          <w:b/>
        </w:rPr>
      </w:pPr>
      <w:r w:rsidRPr="004F7234">
        <w:rPr>
          <w:b/>
        </w:rPr>
        <w:t>LA COMISIÓN DE REGULACIÓN DE ENERGÍA Y GAS</w:t>
      </w:r>
    </w:p>
    <w:p w:rsidR="0080129A" w:rsidRPr="004F7234" w:rsidRDefault="0080129A" w:rsidP="001A102C">
      <w:pPr>
        <w:tabs>
          <w:tab w:val="left" w:pos="8640"/>
        </w:tabs>
        <w:ind w:left="720" w:right="766"/>
        <w:rPr>
          <w:rFonts w:cs="Arial"/>
          <w:bCs/>
        </w:rPr>
      </w:pPr>
    </w:p>
    <w:p w:rsidR="0080129A" w:rsidRPr="004F7234" w:rsidRDefault="0080129A" w:rsidP="001A102C">
      <w:pPr>
        <w:tabs>
          <w:tab w:val="left" w:pos="8640"/>
        </w:tabs>
        <w:ind w:left="720" w:right="766"/>
        <w:rPr>
          <w:rFonts w:cs="Arial"/>
          <w:bCs/>
        </w:rPr>
      </w:pPr>
    </w:p>
    <w:p w:rsidR="0080129A" w:rsidRPr="004F7234" w:rsidRDefault="0080129A" w:rsidP="001A102C">
      <w:pPr>
        <w:pStyle w:val="Textoindependiente2"/>
        <w:spacing w:line="240" w:lineRule="auto"/>
        <w:rPr>
          <w:bCs/>
        </w:rPr>
      </w:pPr>
      <w:r w:rsidRPr="004F7234">
        <w:rPr>
          <w:bCs/>
        </w:rPr>
        <w:t>En ejercicio de sus atribuciones legales, en especial de las conferidas por las Leyes 142 de 1994 y 143 de 1994, y en desarrollo de los Decretos 1524 y 2253 de 1994, y</w:t>
      </w:r>
    </w:p>
    <w:p w:rsidR="0080129A" w:rsidRPr="004F7234" w:rsidRDefault="0080129A" w:rsidP="001A102C">
      <w:pPr>
        <w:tabs>
          <w:tab w:val="left" w:pos="8640"/>
        </w:tabs>
        <w:ind w:left="720" w:right="766"/>
        <w:rPr>
          <w:rFonts w:cs="Arial"/>
        </w:rPr>
      </w:pPr>
    </w:p>
    <w:p w:rsidR="0080129A" w:rsidRPr="004F7234" w:rsidRDefault="0080129A" w:rsidP="001A102C">
      <w:pPr>
        <w:pStyle w:val="Ttulo6"/>
        <w:numPr>
          <w:ilvl w:val="0"/>
          <w:numId w:val="0"/>
        </w:numPr>
        <w:ind w:left="1152" w:hanging="1152"/>
        <w:jc w:val="center"/>
        <w:rPr>
          <w:rFonts w:ascii="Bookman Old Style" w:hAnsi="Bookman Old Style"/>
          <w:spacing w:val="60"/>
          <w:sz w:val="24"/>
        </w:rPr>
      </w:pPr>
      <w:r w:rsidRPr="004F7234">
        <w:rPr>
          <w:rFonts w:ascii="Bookman Old Style" w:hAnsi="Bookman Old Style"/>
          <w:spacing w:val="60"/>
          <w:sz w:val="24"/>
        </w:rPr>
        <w:t>CONSIDERANDO QUE:</w:t>
      </w:r>
    </w:p>
    <w:p w:rsidR="0080129A" w:rsidRDefault="0080129A" w:rsidP="001A102C">
      <w:pPr>
        <w:ind w:right="51"/>
        <w:rPr>
          <w:rFonts w:cs="Arial"/>
        </w:rPr>
      </w:pPr>
    </w:p>
    <w:p w:rsidR="005F1034" w:rsidRPr="004F7234" w:rsidRDefault="005F1034" w:rsidP="001A102C">
      <w:pPr>
        <w:ind w:right="51"/>
        <w:rPr>
          <w:rFonts w:cs="Arial"/>
        </w:rPr>
      </w:pPr>
    </w:p>
    <w:p w:rsidR="0080129A" w:rsidRPr="004F7234" w:rsidRDefault="0080129A" w:rsidP="001A102C">
      <w:pPr>
        <w:keepNext/>
        <w:numPr>
          <w:ilvl w:val="0"/>
          <w:numId w:val="11"/>
        </w:numPr>
        <w:overflowPunct w:val="0"/>
        <w:autoSpaceDE w:val="0"/>
        <w:autoSpaceDN w:val="0"/>
        <w:adjustRightInd w:val="0"/>
        <w:spacing w:after="240"/>
        <w:textAlignment w:val="baseline"/>
        <w:outlineLvl w:val="0"/>
        <w:rPr>
          <w:b/>
        </w:rPr>
      </w:pPr>
      <w:r w:rsidRPr="004F7234">
        <w:rPr>
          <w:b/>
        </w:rPr>
        <w:t>ANTECEDENTES</w:t>
      </w:r>
    </w:p>
    <w:p w:rsidR="00967E17" w:rsidRPr="00BB0D44" w:rsidRDefault="00967E17" w:rsidP="001A102C">
      <w:pPr>
        <w:tabs>
          <w:tab w:val="center" w:pos="4680"/>
        </w:tabs>
        <w:rPr>
          <w:rFonts w:cs="Arial"/>
        </w:rPr>
      </w:pPr>
      <w:r w:rsidRPr="00BB0D44">
        <w:rPr>
          <w:rFonts w:cs="Arial"/>
          <w:spacing w:val="-3"/>
        </w:rPr>
        <w:t xml:space="preserve">Mediante la </w:t>
      </w:r>
      <w:r w:rsidRPr="00BB0D44">
        <w:rPr>
          <w:rFonts w:cs="Arial"/>
        </w:rPr>
        <w:t xml:space="preserve">Resolución CREG 011 de 2009 se aprobaron </w:t>
      </w:r>
      <w:r w:rsidRPr="00BB0D44">
        <w:rPr>
          <w:rFonts w:cs="Arial"/>
          <w:spacing w:val="-3"/>
        </w:rPr>
        <w:t>la metodología y fórmulas tarifarias para la remuneración de la actividad de transmisión de energía eléctrica en el Sistema de Transmisión Nacional</w:t>
      </w:r>
      <w:r w:rsidRPr="00BB0D44">
        <w:rPr>
          <w:rFonts w:cs="Arial"/>
        </w:rPr>
        <w:t>.</w:t>
      </w:r>
    </w:p>
    <w:p w:rsidR="0080129A" w:rsidRPr="00BB0D44" w:rsidRDefault="0080129A" w:rsidP="001A102C"/>
    <w:p w:rsidR="0080129A" w:rsidRPr="00BB0D44" w:rsidRDefault="0080129A" w:rsidP="001A102C">
      <w:r w:rsidRPr="00BB0D44">
        <w:t>Mediante la Resolución CREG 1</w:t>
      </w:r>
      <w:r w:rsidR="00967E17" w:rsidRPr="00BB0D44">
        <w:t>07</w:t>
      </w:r>
      <w:r w:rsidRPr="00BB0D44">
        <w:t xml:space="preserve"> de 20</w:t>
      </w:r>
      <w:r w:rsidR="00967E17" w:rsidRPr="00BB0D44">
        <w:t>10</w:t>
      </w:r>
      <w:r w:rsidRPr="00BB0D44">
        <w:t xml:space="preserve">, la Comisión aprobó </w:t>
      </w:r>
      <w:r w:rsidR="001B320C" w:rsidRPr="00BB0D44">
        <w:t xml:space="preserve">la base de activos y los parámetros necesarios para determinar la remuneración de </w:t>
      </w:r>
      <w:r w:rsidR="00BB0D44" w:rsidRPr="00BB0D44">
        <w:t xml:space="preserve">Transelca </w:t>
      </w:r>
      <w:r w:rsidR="001B320C" w:rsidRPr="00BB0D44">
        <w:t>S.A. E.S.P. en el Sistema de Transmisión Nacional</w:t>
      </w:r>
      <w:r w:rsidRPr="00BB0D44">
        <w:t>.</w:t>
      </w:r>
    </w:p>
    <w:p w:rsidR="0080129A" w:rsidRPr="00BB0D44" w:rsidRDefault="0080129A" w:rsidP="001A102C"/>
    <w:p w:rsidR="0080129A" w:rsidRDefault="0080129A" w:rsidP="001A102C">
      <w:pPr>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pPr>
      <w:r w:rsidRPr="00BB0D44">
        <w:t>Mediante radicado CREG E-20</w:t>
      </w:r>
      <w:r w:rsidR="001B320C" w:rsidRPr="00BB0D44">
        <w:t>10</w:t>
      </w:r>
      <w:r w:rsidRPr="00BB0D44">
        <w:t>-0</w:t>
      </w:r>
      <w:r w:rsidR="001B320C" w:rsidRPr="00BB0D44">
        <w:t>06943</w:t>
      </w:r>
      <w:r w:rsidRPr="00BB0D44">
        <w:t xml:space="preserve"> del </w:t>
      </w:r>
      <w:r w:rsidR="001B320C" w:rsidRPr="00BB0D44">
        <w:t>6</w:t>
      </w:r>
      <w:r w:rsidRPr="00BB0D44">
        <w:t xml:space="preserve"> de </w:t>
      </w:r>
      <w:r w:rsidR="001B320C" w:rsidRPr="00BB0D44">
        <w:t xml:space="preserve">agosto </w:t>
      </w:r>
      <w:r w:rsidRPr="00BB0D44">
        <w:t>de 20</w:t>
      </w:r>
      <w:r w:rsidR="001B320C" w:rsidRPr="00BB0D44">
        <w:t>10</w:t>
      </w:r>
      <w:r w:rsidRPr="00BB0D44">
        <w:t xml:space="preserve">, </w:t>
      </w:r>
      <w:r w:rsidR="00BB0D44" w:rsidRPr="00BB0D44">
        <w:t xml:space="preserve">Transelca </w:t>
      </w:r>
      <w:r w:rsidRPr="00BB0D44">
        <w:t xml:space="preserve">S.A. E.S.P., </w:t>
      </w:r>
      <w:r w:rsidR="008736B8" w:rsidRPr="00BB0D44">
        <w:t>a través de su representante legal judicial</w:t>
      </w:r>
      <w:r w:rsidR="008B622D" w:rsidRPr="00BB0D44">
        <w:t>,</w:t>
      </w:r>
      <w:r w:rsidR="008736B8" w:rsidRPr="00BB0D44">
        <w:t xml:space="preserve"> Natalia Abello Vives, </w:t>
      </w:r>
      <w:r w:rsidRPr="00BB0D44">
        <w:t xml:space="preserve">interpuso oportunamente recurso de reposición contra la Resolución CREG </w:t>
      </w:r>
      <w:r w:rsidR="001B320C" w:rsidRPr="00BB0D44">
        <w:t>107 de 2010</w:t>
      </w:r>
      <w:r w:rsidRPr="00BB0D44">
        <w:t xml:space="preserve">, </w:t>
      </w:r>
      <w:r w:rsidR="008B1883" w:rsidRPr="00BB0D44">
        <w:t xml:space="preserve">con el fin de que sea revisada la decisión proferida </w:t>
      </w:r>
      <w:r w:rsidR="00CC3687" w:rsidRPr="00BB0D44">
        <w:t>por consi</w:t>
      </w:r>
      <w:r w:rsidR="00CC3687" w:rsidRPr="00AB5A27">
        <w:t xml:space="preserve">derar que existen yerros </w:t>
      </w:r>
      <w:r w:rsidR="00CC3687" w:rsidRPr="00780FA6">
        <w:t xml:space="preserve">en la </w:t>
      </w:r>
      <w:r w:rsidR="00ED3EB9" w:rsidRPr="00780FA6">
        <w:t>fij</w:t>
      </w:r>
      <w:r w:rsidR="00CC3687" w:rsidRPr="00780FA6">
        <w:t>ación de la remuneración de la empresa en el Sistema de Transmisión Nacional.</w:t>
      </w:r>
    </w:p>
    <w:p w:rsidR="00F831E7" w:rsidRDefault="00F831E7" w:rsidP="003503FF">
      <w:pPr>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pPr>
    </w:p>
    <w:p w:rsidR="00F831E7" w:rsidRPr="005F1034" w:rsidRDefault="00F831E7" w:rsidP="00170917">
      <w:pPr>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pPr>
      <w:r>
        <w:t>En el recurso de reposición presentado, l</w:t>
      </w:r>
      <w:r w:rsidR="00BD5C69">
        <w:t>a</w:t>
      </w:r>
      <w:r>
        <w:t xml:space="preserve"> apoderad</w:t>
      </w:r>
      <w:r w:rsidR="00BD5C69">
        <w:t>a</w:t>
      </w:r>
      <w:r>
        <w:t xml:space="preserve"> de la empresa </w:t>
      </w:r>
      <w:r w:rsidR="00882575" w:rsidRPr="00CC3687">
        <w:t xml:space="preserve">Transelca </w:t>
      </w:r>
      <w:r w:rsidRPr="00CC3687">
        <w:t>S.A. E.S.P. solicit</w:t>
      </w:r>
      <w:r w:rsidR="00ED3EB9">
        <w:t>ó</w:t>
      </w:r>
      <w:r w:rsidRPr="00CC3687">
        <w:t xml:space="preserve"> como prueba</w:t>
      </w:r>
      <w:r w:rsidR="00ED3EB9">
        <w:t>,</w:t>
      </w:r>
      <w:r w:rsidRPr="00CC3687">
        <w:t xml:space="preserve"> </w:t>
      </w:r>
      <w:r w:rsidR="00BD5C69" w:rsidRPr="00CC3687">
        <w:t xml:space="preserve">que </w:t>
      </w:r>
      <w:r w:rsidRPr="00CC3687">
        <w:t xml:space="preserve">se realizara una inspección con intervención de un perito contable </w:t>
      </w:r>
      <w:r w:rsidRPr="005F1034">
        <w:t xml:space="preserve">sobre los libros y papeles de comercio de la empresa, con el fin de establecer la veracidad de los gastos AOM de uso de los años 2001 a 2007, reportados por </w:t>
      </w:r>
      <w:r w:rsidR="00BB0D44" w:rsidRPr="005F1034">
        <w:t xml:space="preserve">Transelca </w:t>
      </w:r>
      <w:r w:rsidRPr="005F1034">
        <w:t>S.A. E.S.P. a la CREG.</w:t>
      </w:r>
    </w:p>
    <w:p w:rsidR="00F831E7" w:rsidRDefault="00F831E7">
      <w:pPr>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pPr>
      <w:r w:rsidRPr="005F1034">
        <w:lastRenderedPageBreak/>
        <w:t>Una vez valorada por esta Comisión la conducencia y pert</w:t>
      </w:r>
      <w:r w:rsidR="00BB0D44" w:rsidRPr="005F1034">
        <w:t>in</w:t>
      </w:r>
      <w:r w:rsidRPr="005F1034">
        <w:t>enc</w:t>
      </w:r>
      <w:r w:rsidR="00BB0D44" w:rsidRPr="005F1034">
        <w:t>i</w:t>
      </w:r>
      <w:r w:rsidRPr="005F1034">
        <w:t>a de la prueba solicitada, se procedió a decretar</w:t>
      </w:r>
      <w:r w:rsidR="00BD5C69" w:rsidRPr="005F1034">
        <w:t xml:space="preserve">la </w:t>
      </w:r>
      <w:r w:rsidRPr="005F1034">
        <w:t xml:space="preserve">y practicarla en observancia de las garantías legales y procesales. </w:t>
      </w:r>
    </w:p>
    <w:p w:rsidR="005F1034" w:rsidRPr="005F1034" w:rsidRDefault="005F1034">
      <w:pPr>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pPr>
    </w:p>
    <w:p w:rsidR="00BD5C69" w:rsidRDefault="00A077F3">
      <w:pPr>
        <w:suppressAutoHyphens/>
        <w:rPr>
          <w:rFonts w:cs="Arial"/>
          <w:spacing w:val="-3"/>
        </w:rPr>
      </w:pPr>
      <w:r w:rsidRPr="00953F1F">
        <w:rPr>
          <w:rFonts w:cs="Arial"/>
          <w:spacing w:val="-3"/>
        </w:rPr>
        <w:t xml:space="preserve">La práctica de la prueba concluyó con el correspondiente dictamen pericial el cual fue rendido el </w:t>
      </w:r>
      <w:r w:rsidR="00B65232" w:rsidRPr="00953F1F">
        <w:rPr>
          <w:rFonts w:cs="Arial"/>
          <w:spacing w:val="-3"/>
        </w:rPr>
        <w:t>1</w:t>
      </w:r>
      <w:r w:rsidR="00953F1F" w:rsidRPr="00953F1F">
        <w:rPr>
          <w:rFonts w:cs="Arial"/>
          <w:spacing w:val="-3"/>
        </w:rPr>
        <w:t>6</w:t>
      </w:r>
      <w:r w:rsidR="00B65232" w:rsidRPr="00953F1F">
        <w:rPr>
          <w:rFonts w:cs="Arial"/>
          <w:spacing w:val="-3"/>
        </w:rPr>
        <w:t xml:space="preserve"> de </w:t>
      </w:r>
      <w:r w:rsidR="00953F1F" w:rsidRPr="00953F1F">
        <w:rPr>
          <w:rFonts w:cs="Arial"/>
          <w:spacing w:val="-3"/>
        </w:rPr>
        <w:t xml:space="preserve">febrero </w:t>
      </w:r>
      <w:r w:rsidR="00B65232" w:rsidRPr="00953F1F">
        <w:rPr>
          <w:rFonts w:cs="Arial"/>
          <w:spacing w:val="-3"/>
        </w:rPr>
        <w:t>de 2011</w:t>
      </w:r>
      <w:r w:rsidR="00953F1F">
        <w:rPr>
          <w:rFonts w:cs="Arial"/>
          <w:spacing w:val="-3"/>
        </w:rPr>
        <w:t>,</w:t>
      </w:r>
      <w:r w:rsidR="00B65232" w:rsidRPr="00953F1F">
        <w:rPr>
          <w:rFonts w:cs="Arial"/>
          <w:spacing w:val="-3"/>
        </w:rPr>
        <w:t xml:space="preserve"> </w:t>
      </w:r>
      <w:r w:rsidRPr="00953F1F">
        <w:rPr>
          <w:rFonts w:cs="Arial"/>
          <w:spacing w:val="-3"/>
        </w:rPr>
        <w:t xml:space="preserve">mediante las comunicaciones </w:t>
      </w:r>
      <w:r w:rsidRPr="00B65232">
        <w:rPr>
          <w:rFonts w:cs="Arial"/>
          <w:spacing w:val="-3"/>
        </w:rPr>
        <w:t>CREG E-2011-002709 y E-2011-002710, del cual se le dio traslado a Transelca mediante la comunicación S-2011-001431 para lo pertinente.</w:t>
      </w:r>
    </w:p>
    <w:p w:rsidR="00953F1F" w:rsidRDefault="00953F1F">
      <w:pPr>
        <w:suppressAutoHyphens/>
        <w:rPr>
          <w:rFonts w:cs="Arial"/>
          <w:spacing w:val="-3"/>
        </w:rPr>
      </w:pPr>
    </w:p>
    <w:p w:rsidR="00953F1F" w:rsidRDefault="00953F1F">
      <w:pPr>
        <w:suppressAutoHyphens/>
        <w:rPr>
          <w:rFonts w:cs="Arial"/>
          <w:spacing w:val="-3"/>
        </w:rPr>
      </w:pPr>
      <w:r>
        <w:rPr>
          <w:rFonts w:cs="Arial"/>
          <w:spacing w:val="-3"/>
        </w:rPr>
        <w:t xml:space="preserve">Habiéndose  realizado las aclaraciones y complementaciones al informe pericial, solicitadas tanto por la empresa como por la CREG, el </w:t>
      </w:r>
      <w:r w:rsidR="00AE7B19">
        <w:rPr>
          <w:rFonts w:cs="Arial"/>
          <w:spacing w:val="-3"/>
        </w:rPr>
        <w:t>procedimiento probatorio,</w:t>
      </w:r>
      <w:r>
        <w:rPr>
          <w:rFonts w:cs="Arial"/>
          <w:spacing w:val="-3"/>
        </w:rPr>
        <w:t xml:space="preserve"> culminó definitivamente el 13 de mayo de 2011.</w:t>
      </w:r>
      <w:r w:rsidR="00AE7B19">
        <w:rPr>
          <w:rFonts w:cs="Arial"/>
          <w:spacing w:val="-3"/>
        </w:rPr>
        <w:t xml:space="preserve"> </w:t>
      </w:r>
    </w:p>
    <w:p w:rsidR="00953F1F" w:rsidRDefault="00953F1F">
      <w:pPr>
        <w:suppressAutoHyphens/>
        <w:rPr>
          <w:rFonts w:cs="Arial"/>
          <w:spacing w:val="-3"/>
        </w:rPr>
      </w:pPr>
    </w:p>
    <w:p w:rsidR="00BD5C69" w:rsidRDefault="00953F1F">
      <w:pPr>
        <w:suppressAutoHyphens/>
        <w:rPr>
          <w:rFonts w:cs="Arial"/>
          <w:spacing w:val="-3"/>
        </w:rPr>
      </w:pPr>
      <w:r>
        <w:rPr>
          <w:rFonts w:cs="Arial"/>
          <w:spacing w:val="-3"/>
        </w:rPr>
        <w:t xml:space="preserve">En atención a lo anterior y habiéndose surtido la prueba solicitada, procede </w:t>
      </w:r>
      <w:r w:rsidR="00AE7B19">
        <w:rPr>
          <w:rFonts w:cs="Arial"/>
          <w:spacing w:val="-3"/>
        </w:rPr>
        <w:t xml:space="preserve">esta Comisión a valorar los argumentos presentados por el recurrente, </w:t>
      </w:r>
      <w:r w:rsidR="00BB0D44" w:rsidRPr="00BB0D44">
        <w:rPr>
          <w:rFonts w:cs="Arial"/>
          <w:spacing w:val="-3"/>
        </w:rPr>
        <w:t xml:space="preserve">y a </w:t>
      </w:r>
      <w:r>
        <w:rPr>
          <w:rFonts w:cs="Arial"/>
          <w:spacing w:val="-3"/>
        </w:rPr>
        <w:t xml:space="preserve">exponer  </w:t>
      </w:r>
      <w:r w:rsidR="00BB0D44" w:rsidRPr="00BB0D44">
        <w:rPr>
          <w:rFonts w:cs="Arial"/>
          <w:spacing w:val="-3"/>
        </w:rPr>
        <w:t>las consideraciones de</w:t>
      </w:r>
      <w:r>
        <w:rPr>
          <w:rFonts w:cs="Arial"/>
          <w:spacing w:val="-3"/>
        </w:rPr>
        <w:t xml:space="preserve">l caso en </w:t>
      </w:r>
      <w:r w:rsidR="00941AC6">
        <w:rPr>
          <w:rFonts w:cs="Arial"/>
          <w:spacing w:val="-3"/>
        </w:rPr>
        <w:t>relaci</w:t>
      </w:r>
      <w:r w:rsidR="00222E5B">
        <w:rPr>
          <w:rFonts w:cs="Arial"/>
          <w:spacing w:val="-3"/>
        </w:rPr>
        <w:t>ón con</w:t>
      </w:r>
      <w:r w:rsidR="00941AC6">
        <w:rPr>
          <w:rFonts w:cs="Arial"/>
          <w:spacing w:val="-3"/>
        </w:rPr>
        <w:t xml:space="preserve"> cada uno de ellos, para resolver de fondo </w:t>
      </w:r>
      <w:r>
        <w:rPr>
          <w:rFonts w:cs="Arial"/>
          <w:spacing w:val="-3"/>
        </w:rPr>
        <w:t xml:space="preserve">el recurso </w:t>
      </w:r>
      <w:r w:rsidR="00941AC6">
        <w:rPr>
          <w:rFonts w:cs="Arial"/>
          <w:spacing w:val="-3"/>
        </w:rPr>
        <w:t>intentado</w:t>
      </w:r>
      <w:r w:rsidR="00BB0D44" w:rsidRPr="00BB0D44">
        <w:rPr>
          <w:rFonts w:cs="Arial"/>
          <w:spacing w:val="-3"/>
        </w:rPr>
        <w:t xml:space="preserve">.   </w:t>
      </w:r>
    </w:p>
    <w:p w:rsidR="00953F1F" w:rsidRPr="00CC3924" w:rsidRDefault="00953F1F">
      <w:pPr>
        <w:suppressAutoHyphens/>
        <w:rPr>
          <w:rFonts w:cs="Arial"/>
          <w:spacing w:val="-3"/>
        </w:rPr>
      </w:pPr>
    </w:p>
    <w:p w:rsidR="00BD5C69" w:rsidRPr="00CC3924" w:rsidRDefault="00BD5C69">
      <w:pPr>
        <w:suppressAutoHyphens/>
        <w:ind w:left="284"/>
        <w:rPr>
          <w:rFonts w:cs="Arial"/>
          <w:spacing w:val="-3"/>
          <w:lang w:val="es-CO"/>
        </w:rPr>
      </w:pPr>
    </w:p>
    <w:p w:rsidR="00B65232" w:rsidRDefault="0080129A">
      <w:pPr>
        <w:keepNext/>
        <w:numPr>
          <w:ilvl w:val="0"/>
          <w:numId w:val="11"/>
        </w:numPr>
        <w:tabs>
          <w:tab w:val="clear" w:pos="720"/>
          <w:tab w:val="num" w:pos="426"/>
        </w:tabs>
        <w:overflowPunct w:val="0"/>
        <w:autoSpaceDE w:val="0"/>
        <w:autoSpaceDN w:val="0"/>
        <w:adjustRightInd w:val="0"/>
        <w:spacing w:after="240"/>
        <w:ind w:left="426" w:hanging="426"/>
        <w:textAlignment w:val="baseline"/>
        <w:outlineLvl w:val="0"/>
        <w:rPr>
          <w:b/>
        </w:rPr>
      </w:pPr>
      <w:r w:rsidRPr="004F7234">
        <w:rPr>
          <w:b/>
        </w:rPr>
        <w:t>ARGUMENTOS DE LA EMPRESA</w:t>
      </w:r>
    </w:p>
    <w:p w:rsidR="0080129A" w:rsidRPr="004F7234" w:rsidRDefault="007769DE">
      <w:pPr>
        <w:keepNext/>
        <w:numPr>
          <w:ilvl w:val="0"/>
          <w:numId w:val="10"/>
        </w:numPr>
        <w:suppressAutoHyphens/>
        <w:adjustRightInd w:val="0"/>
        <w:spacing w:after="240"/>
        <w:ind w:left="641" w:hanging="357"/>
        <w:textAlignment w:val="baseline"/>
        <w:outlineLvl w:val="1"/>
        <w:rPr>
          <w:rFonts w:cs="Arial"/>
          <w:b/>
          <w:spacing w:val="-3"/>
        </w:rPr>
      </w:pPr>
      <w:r w:rsidRPr="004F7234">
        <w:rPr>
          <w:rFonts w:cs="Arial"/>
          <w:b/>
          <w:spacing w:val="-3"/>
        </w:rPr>
        <w:t>Errores en la Base de Activos Aprobada</w:t>
      </w:r>
    </w:p>
    <w:p w:rsidR="007769DE" w:rsidRPr="004F7234" w:rsidRDefault="007769DE">
      <w:pPr>
        <w:pStyle w:val="Cita"/>
        <w:tabs>
          <w:tab w:val="left" w:pos="9072"/>
        </w:tabs>
        <w:ind w:left="284" w:right="284"/>
        <w:rPr>
          <w:rFonts w:ascii="Bookman Old Style" w:hAnsi="Bookman Old Style"/>
          <w:sz w:val="22"/>
        </w:rPr>
      </w:pPr>
      <w:r w:rsidRPr="004F7234">
        <w:rPr>
          <w:rFonts w:ascii="Bookman Old Style" w:hAnsi="Bookman Old Style"/>
          <w:sz w:val="22"/>
        </w:rPr>
        <w:t>En el numeral 1° "Subestaciones" del Anexo "Base de Activos Aprobada" de la Resolución CREG 107 de 2010 se indica que el PU de la UC SE219 correspondiente al interruptor 8130 de la subestación Nueva Barranquilla indicado en el numeral 38 de la Resolución en comento se fijó en 0,500000.</w:t>
      </w:r>
    </w:p>
    <w:p w:rsidR="00274C96" w:rsidRPr="004F7234" w:rsidRDefault="007769DE">
      <w:pPr>
        <w:pStyle w:val="Cita"/>
        <w:tabs>
          <w:tab w:val="left" w:pos="9072"/>
        </w:tabs>
        <w:ind w:left="284" w:right="284"/>
        <w:rPr>
          <w:rFonts w:ascii="Bookman Old Style" w:hAnsi="Bookman Old Style"/>
          <w:sz w:val="22"/>
        </w:rPr>
      </w:pPr>
      <w:r w:rsidRPr="004F7234">
        <w:rPr>
          <w:rFonts w:ascii="Bookman Old Style" w:hAnsi="Bookman Old Style"/>
          <w:sz w:val="22"/>
        </w:rPr>
        <w:t>El PU de 0,50000 asignado a dicho activo no es correcto en razón a que éste es exclusivamente un activo de uso en el STN. En efecto, en el respectivo diámetro solo se encuentra conectada la bahía de línea a 220 k</w:t>
      </w:r>
      <w:r w:rsidR="000E1E62" w:rsidRPr="004F7234">
        <w:rPr>
          <w:rFonts w:ascii="Bookman Old Style" w:hAnsi="Bookman Old Style"/>
          <w:sz w:val="22"/>
        </w:rPr>
        <w:t>V</w:t>
      </w:r>
      <w:r w:rsidRPr="004F7234">
        <w:rPr>
          <w:rFonts w:ascii="Bookman Old Style" w:hAnsi="Bookman Old Style"/>
          <w:sz w:val="22"/>
        </w:rPr>
        <w:t xml:space="preserve"> de la línea Nueva Barranquilla </w:t>
      </w:r>
      <w:r w:rsidR="00274C96" w:rsidRPr="004F7234">
        <w:rPr>
          <w:rFonts w:ascii="Bookman Old Style" w:hAnsi="Bookman Old Style"/>
          <w:sz w:val="22"/>
        </w:rPr>
        <w:t>-</w:t>
      </w:r>
      <w:r w:rsidRPr="004F7234">
        <w:rPr>
          <w:rFonts w:ascii="Bookman Old Style" w:hAnsi="Bookman Old Style"/>
          <w:sz w:val="22"/>
        </w:rPr>
        <w:t xml:space="preserve"> TEBSA. El transformador 220/110 kV -100 MVA que aparece en el diagrama unifilar adjunto a nuestra información no estuvo ni ha estado en operación o en </w:t>
      </w:r>
      <w:r w:rsidR="00274C96" w:rsidRPr="004F7234">
        <w:rPr>
          <w:rFonts w:ascii="Bookman Old Style" w:hAnsi="Bookman Old Style"/>
          <w:sz w:val="22"/>
        </w:rPr>
        <w:t>servicio</w:t>
      </w:r>
      <w:r w:rsidRPr="004F7234">
        <w:rPr>
          <w:rFonts w:ascii="Bookman Old Style" w:hAnsi="Bookman Old Style"/>
          <w:sz w:val="22"/>
        </w:rPr>
        <w:t xml:space="preserve">. El activo no ha hecho parte de los contratos de </w:t>
      </w:r>
      <w:r w:rsidR="00274C96" w:rsidRPr="004F7234">
        <w:rPr>
          <w:rFonts w:ascii="Bookman Old Style" w:hAnsi="Bookman Old Style"/>
          <w:sz w:val="22"/>
        </w:rPr>
        <w:t xml:space="preserve">conexión </w:t>
      </w:r>
      <w:r w:rsidRPr="004F7234">
        <w:rPr>
          <w:rFonts w:ascii="Bookman Old Style" w:hAnsi="Bookman Old Style"/>
          <w:sz w:val="22"/>
        </w:rPr>
        <w:t xml:space="preserve">con el OR, ni es remunerado a TRANSELCA como conexión en la Subestación Nueva </w:t>
      </w:r>
      <w:r w:rsidR="00274C96" w:rsidRPr="004F7234">
        <w:rPr>
          <w:rFonts w:ascii="Bookman Old Style" w:hAnsi="Bookman Old Style"/>
          <w:sz w:val="22"/>
        </w:rPr>
        <w:t>Barranquilla</w:t>
      </w:r>
      <w:r w:rsidRPr="004F7234">
        <w:rPr>
          <w:rFonts w:ascii="Bookman Old Style" w:hAnsi="Bookman Old Style"/>
          <w:sz w:val="22"/>
        </w:rPr>
        <w:t xml:space="preserve"> por ningún otro usuario. De hecho el transformador fue retirado de la subestación Nueva Barranquilla el pasado 23 de junio de 2010, </w:t>
      </w:r>
      <w:r w:rsidR="00274C96" w:rsidRPr="004F7234">
        <w:rPr>
          <w:rFonts w:ascii="Bookman Old Style" w:hAnsi="Bookman Old Style"/>
          <w:sz w:val="22"/>
        </w:rPr>
        <w:t>s</w:t>
      </w:r>
      <w:r w:rsidRPr="004F7234">
        <w:rPr>
          <w:rFonts w:ascii="Bookman Old Style" w:hAnsi="Bookman Old Style"/>
          <w:sz w:val="22"/>
        </w:rPr>
        <w:t>in que nunca hubiese estado en operación. Adjuntamos diagrama unifilar de la Subestación Nueva Barranquilla que refleja lo aquí mencionado</w:t>
      </w:r>
    </w:p>
    <w:p w:rsidR="00D177DE" w:rsidRPr="004F7234" w:rsidRDefault="007769DE">
      <w:pPr>
        <w:pStyle w:val="Cita"/>
        <w:tabs>
          <w:tab w:val="left" w:pos="9072"/>
        </w:tabs>
        <w:ind w:left="284" w:right="284"/>
        <w:rPr>
          <w:rFonts w:ascii="Bookman Old Style" w:hAnsi="Bookman Old Style"/>
          <w:sz w:val="22"/>
        </w:rPr>
      </w:pPr>
      <w:r w:rsidRPr="004F7234">
        <w:rPr>
          <w:rFonts w:ascii="Bookman Old Style" w:hAnsi="Bookman Old Style"/>
          <w:sz w:val="22"/>
        </w:rPr>
        <w:t>El supuesto de la CREG que la UC SE219 correspondiente al interruptor 8130 de la Subestación Nueva Barranquilla se trata de un activo compartido (uso y conexión) conduce a asignar erradamente un PU de 0,50000 al mencionado activo en lugar de un PU de 1,00000 al tratarse de un activo de dedicación exclusiva al STN</w:t>
      </w:r>
    </w:p>
    <w:p w:rsidR="0080129A" w:rsidRPr="004F7234" w:rsidRDefault="007769DE">
      <w:pPr>
        <w:pStyle w:val="Cita"/>
        <w:tabs>
          <w:tab w:val="left" w:pos="9072"/>
        </w:tabs>
        <w:ind w:left="284" w:right="284"/>
        <w:rPr>
          <w:rFonts w:ascii="Bookman Old Style" w:hAnsi="Bookman Old Style"/>
          <w:sz w:val="22"/>
        </w:rPr>
      </w:pPr>
      <w:r w:rsidRPr="004F7234">
        <w:rPr>
          <w:rFonts w:ascii="Bookman Old Style" w:hAnsi="Bookman Old Style"/>
          <w:sz w:val="22"/>
        </w:rPr>
        <w:t>Acorde con lo anterior, el numeral 1</w:t>
      </w:r>
      <w:r w:rsidR="00D177DE" w:rsidRPr="004F7234">
        <w:rPr>
          <w:rFonts w:ascii="Bookman Old Style" w:hAnsi="Bookman Old Style"/>
          <w:sz w:val="22"/>
        </w:rPr>
        <w:t>°</w:t>
      </w:r>
      <w:r w:rsidRPr="004F7234">
        <w:rPr>
          <w:rFonts w:ascii="Bookman Old Style" w:hAnsi="Bookman Old Style"/>
          <w:sz w:val="22"/>
        </w:rPr>
        <w:t xml:space="preserve"> "Subesta</w:t>
      </w:r>
      <w:r w:rsidR="00D177DE" w:rsidRPr="004F7234">
        <w:rPr>
          <w:rFonts w:ascii="Bookman Old Style" w:hAnsi="Bookman Old Style"/>
          <w:sz w:val="22"/>
        </w:rPr>
        <w:t>ci</w:t>
      </w:r>
      <w:r w:rsidRPr="004F7234">
        <w:rPr>
          <w:rFonts w:ascii="Bookman Old Style" w:hAnsi="Bookman Old Style"/>
          <w:sz w:val="22"/>
        </w:rPr>
        <w:t>ones</w:t>
      </w:r>
      <w:r w:rsidR="00D177DE" w:rsidRPr="004F7234">
        <w:rPr>
          <w:rFonts w:ascii="Bookman Old Style" w:hAnsi="Bookman Old Style"/>
          <w:sz w:val="22"/>
        </w:rPr>
        <w:t xml:space="preserve">” </w:t>
      </w:r>
      <w:r w:rsidRPr="004F7234">
        <w:rPr>
          <w:rFonts w:ascii="Bookman Old Style" w:hAnsi="Bookman Old Style"/>
          <w:sz w:val="22"/>
        </w:rPr>
        <w:t>del Anexo "Base de Activos Aprobada</w:t>
      </w:r>
      <w:r w:rsidR="00D177DE" w:rsidRPr="004F7234">
        <w:rPr>
          <w:rFonts w:ascii="Bookman Old Style" w:hAnsi="Bookman Old Style"/>
          <w:sz w:val="22"/>
        </w:rPr>
        <w:t xml:space="preserve">” </w:t>
      </w:r>
      <w:r w:rsidRPr="004F7234">
        <w:rPr>
          <w:rFonts w:ascii="Bookman Old Style" w:hAnsi="Bookman Old Style"/>
          <w:sz w:val="22"/>
        </w:rPr>
        <w:t xml:space="preserve">de la Resolución 107 de 2010 debe ser modificado ajustando de 0,50000 a 1,00000 el PU de la UC SE219 (ubicada en el </w:t>
      </w:r>
      <w:r w:rsidR="00D177DE" w:rsidRPr="004F7234">
        <w:rPr>
          <w:rFonts w:ascii="Bookman Old Style" w:hAnsi="Bookman Old Style"/>
          <w:sz w:val="22"/>
        </w:rPr>
        <w:t>número</w:t>
      </w:r>
      <w:r w:rsidRPr="004F7234">
        <w:rPr>
          <w:rFonts w:ascii="Bookman Old Style" w:hAnsi="Bookman Old Style"/>
          <w:sz w:val="22"/>
        </w:rPr>
        <w:t xml:space="preserve"> 38 del listado) y en consecuencia en la subestación Nueva Barranquilla deben remunerarse cinco (5) cortes </w:t>
      </w:r>
      <w:r w:rsidR="00D177DE" w:rsidRPr="004F7234">
        <w:rPr>
          <w:rFonts w:ascii="Bookman Old Style" w:hAnsi="Bookman Old Style"/>
          <w:sz w:val="22"/>
        </w:rPr>
        <w:t>c</w:t>
      </w:r>
      <w:r w:rsidRPr="004F7234">
        <w:rPr>
          <w:rFonts w:ascii="Bookman Old Style" w:hAnsi="Bookman Old Style"/>
          <w:sz w:val="22"/>
        </w:rPr>
        <w:t xml:space="preserve">entrales al 100% de su </w:t>
      </w:r>
      <w:r w:rsidR="00D177DE" w:rsidRPr="004F7234">
        <w:rPr>
          <w:rFonts w:ascii="Bookman Old Style" w:hAnsi="Bookman Old Style"/>
          <w:sz w:val="22"/>
        </w:rPr>
        <w:t>c</w:t>
      </w:r>
      <w:r w:rsidRPr="004F7234">
        <w:rPr>
          <w:rFonts w:ascii="Bookman Old Style" w:hAnsi="Bookman Old Style"/>
          <w:sz w:val="22"/>
        </w:rPr>
        <w:t xml:space="preserve">osto de reposición y no cuatro (4) </w:t>
      </w:r>
      <w:r w:rsidR="00D177DE" w:rsidRPr="004F7234">
        <w:rPr>
          <w:rFonts w:ascii="Bookman Old Style" w:hAnsi="Bookman Old Style"/>
          <w:sz w:val="22"/>
        </w:rPr>
        <w:t>c</w:t>
      </w:r>
      <w:r w:rsidRPr="004F7234">
        <w:rPr>
          <w:rFonts w:ascii="Bookman Old Style" w:hAnsi="Bookman Old Style"/>
          <w:sz w:val="22"/>
        </w:rPr>
        <w:t>ortes al 100% y uno (1) al 50%</w:t>
      </w:r>
      <w:r w:rsidR="0080129A" w:rsidRPr="004F7234">
        <w:rPr>
          <w:rFonts w:ascii="Bookman Old Style" w:hAnsi="Bookman Old Style"/>
          <w:sz w:val="22"/>
        </w:rPr>
        <w:t>.</w:t>
      </w:r>
    </w:p>
    <w:p w:rsidR="0080129A" w:rsidRPr="004F7234" w:rsidRDefault="0080129A"/>
    <w:p w:rsidR="0080129A" w:rsidRPr="004F7234" w:rsidRDefault="00D177DE">
      <w:pPr>
        <w:keepNext/>
        <w:numPr>
          <w:ilvl w:val="0"/>
          <w:numId w:val="10"/>
        </w:numPr>
        <w:suppressAutoHyphens/>
        <w:adjustRightInd w:val="0"/>
        <w:spacing w:after="240"/>
        <w:ind w:left="641" w:hanging="357"/>
        <w:textAlignment w:val="baseline"/>
        <w:outlineLvl w:val="1"/>
        <w:rPr>
          <w:rFonts w:cs="Arial"/>
          <w:b/>
          <w:spacing w:val="-3"/>
        </w:rPr>
      </w:pPr>
      <w:r w:rsidRPr="004F7234">
        <w:rPr>
          <w:rFonts w:cs="Arial"/>
          <w:b/>
          <w:spacing w:val="-3"/>
        </w:rPr>
        <w:lastRenderedPageBreak/>
        <w:t>Indebido Ajuste del AOM de Referencia</w:t>
      </w:r>
    </w:p>
    <w:p w:rsidR="00D177DE" w:rsidRDefault="00D177DE">
      <w:pPr>
        <w:pStyle w:val="Cita"/>
        <w:ind w:left="284" w:right="284"/>
        <w:rPr>
          <w:rFonts w:ascii="Bookman Old Style" w:hAnsi="Bookman Old Style"/>
          <w:sz w:val="22"/>
        </w:rPr>
      </w:pPr>
      <w:r w:rsidRPr="004F7234">
        <w:rPr>
          <w:rFonts w:ascii="Bookman Old Style" w:hAnsi="Bookman Old Style"/>
          <w:sz w:val="22"/>
        </w:rPr>
        <w:t xml:space="preserve">La CREG para el cálculo del AOM de TRANSELCA S.A. E.S.P. gastado entre los años 2001 a 2007 se fundamentó en la información reportada por TRANSELCA S.A. E.S.P. , según lo establecido en las Resoluciones 011 y Circular 018 de 2009 y en la información que reposa en el Sistema Unificado de Información - </w:t>
      </w:r>
      <w:r w:rsidR="0041566A" w:rsidRPr="004F7234">
        <w:rPr>
          <w:rFonts w:ascii="Bookman Old Style" w:hAnsi="Bookman Old Style"/>
          <w:sz w:val="22"/>
        </w:rPr>
        <w:t>SUI</w:t>
      </w:r>
      <w:r w:rsidRPr="004F7234">
        <w:rPr>
          <w:rFonts w:ascii="Bookman Old Style" w:hAnsi="Bookman Old Style"/>
          <w:sz w:val="22"/>
        </w:rPr>
        <w:t>. Y realizó ajustes que afectan a mi representada, generando un perjuicio económico injustificado, así:</w:t>
      </w:r>
    </w:p>
    <w:p w:rsidR="005F1034" w:rsidRPr="005F1034" w:rsidRDefault="005F1034" w:rsidP="005F1034">
      <w:pPr>
        <w:rPr>
          <w:lang w:val="es-CO" w:eastAsia="en-US"/>
        </w:rPr>
      </w:pPr>
    </w:p>
    <w:p w:rsidR="00D177DE" w:rsidRPr="004F7234" w:rsidRDefault="00D177DE">
      <w:pPr>
        <w:pStyle w:val="Cita"/>
        <w:ind w:left="284" w:right="284"/>
        <w:jc w:val="center"/>
        <w:rPr>
          <w:rFonts w:ascii="Bookman Old Style" w:hAnsi="Bookman Old Style"/>
          <w:sz w:val="22"/>
        </w:rPr>
      </w:pPr>
      <w:r w:rsidRPr="004F7234">
        <w:rPr>
          <w:rFonts w:ascii="Bookman Old Style" w:hAnsi="Bookman Old Style"/>
          <w:sz w:val="22"/>
        </w:rPr>
        <w:t xml:space="preserve">Valor anual de AOM Gastado 2001 -2007 -$ Dic 2008 </w:t>
      </w:r>
      <w:r w:rsidR="007616CB" w:rsidRPr="004F7234">
        <w:rPr>
          <w:rFonts w:ascii="Bookman Old Style" w:hAnsi="Bookman Old Style"/>
          <w:sz w:val="22"/>
        </w:rPr>
        <w:t>-</w:t>
      </w:r>
    </w:p>
    <w:tbl>
      <w:tblPr>
        <w:tblW w:w="0" w:type="auto"/>
        <w:jc w:val="center"/>
        <w:tblInd w:w="1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80"/>
        <w:gridCol w:w="2580"/>
        <w:gridCol w:w="2580"/>
      </w:tblGrid>
      <w:tr w:rsidR="00D177DE" w:rsidRPr="004F7234" w:rsidTr="00790FA2">
        <w:trPr>
          <w:trHeight w:val="397"/>
          <w:jc w:val="center"/>
        </w:trPr>
        <w:tc>
          <w:tcPr>
            <w:tcW w:w="2580" w:type="dxa"/>
            <w:vAlign w:val="center"/>
          </w:tcPr>
          <w:p w:rsidR="00D177DE" w:rsidRPr="0077482C" w:rsidRDefault="00D177DE">
            <w:pPr>
              <w:pStyle w:val="Cita"/>
              <w:spacing w:after="0"/>
              <w:ind w:left="284" w:right="34"/>
              <w:jc w:val="center"/>
              <w:rPr>
                <w:rFonts w:ascii="Bookman Old Style" w:hAnsi="Bookman Old Style"/>
              </w:rPr>
            </w:pPr>
            <w:r w:rsidRPr="0077482C">
              <w:rPr>
                <w:rFonts w:ascii="Bookman Old Style" w:hAnsi="Bookman Old Style"/>
              </w:rPr>
              <w:t>Solicitado</w:t>
            </w:r>
          </w:p>
        </w:tc>
        <w:tc>
          <w:tcPr>
            <w:tcW w:w="2580" w:type="dxa"/>
            <w:vAlign w:val="center"/>
          </w:tcPr>
          <w:p w:rsidR="00D177DE" w:rsidRPr="0077482C" w:rsidRDefault="00D177DE">
            <w:pPr>
              <w:pStyle w:val="Cita"/>
              <w:spacing w:after="0"/>
              <w:ind w:left="284" w:right="11"/>
              <w:jc w:val="center"/>
              <w:rPr>
                <w:rFonts w:ascii="Bookman Old Style" w:hAnsi="Bookman Old Style"/>
              </w:rPr>
            </w:pPr>
            <w:r w:rsidRPr="0077482C">
              <w:rPr>
                <w:rFonts w:ascii="Bookman Old Style" w:hAnsi="Bookman Old Style"/>
              </w:rPr>
              <w:t>Reconocido</w:t>
            </w:r>
          </w:p>
        </w:tc>
        <w:tc>
          <w:tcPr>
            <w:tcW w:w="2580" w:type="dxa"/>
            <w:vAlign w:val="center"/>
          </w:tcPr>
          <w:p w:rsidR="00D177DE" w:rsidRPr="0077482C" w:rsidRDefault="00D177DE">
            <w:pPr>
              <w:pStyle w:val="Cita"/>
              <w:spacing w:after="0"/>
              <w:ind w:left="284" w:right="0"/>
              <w:jc w:val="center"/>
              <w:rPr>
                <w:rFonts w:ascii="Bookman Old Style" w:hAnsi="Bookman Old Style"/>
              </w:rPr>
            </w:pPr>
            <w:r w:rsidRPr="0077482C">
              <w:rPr>
                <w:rFonts w:ascii="Bookman Old Style" w:hAnsi="Bookman Old Style"/>
              </w:rPr>
              <w:t>Diferencia</w:t>
            </w:r>
          </w:p>
        </w:tc>
      </w:tr>
      <w:tr w:rsidR="00D177DE" w:rsidRPr="004F7234" w:rsidTr="00790FA2">
        <w:trPr>
          <w:trHeight w:val="397"/>
          <w:jc w:val="center"/>
        </w:trPr>
        <w:tc>
          <w:tcPr>
            <w:tcW w:w="2580" w:type="dxa"/>
            <w:vAlign w:val="center"/>
          </w:tcPr>
          <w:p w:rsidR="00D177DE" w:rsidRPr="0077482C" w:rsidRDefault="00D177DE" w:rsidP="001A102C">
            <w:pPr>
              <w:pStyle w:val="Cita"/>
              <w:spacing w:after="0"/>
              <w:ind w:left="284" w:right="34"/>
              <w:jc w:val="center"/>
              <w:rPr>
                <w:rFonts w:ascii="Bookman Old Style" w:hAnsi="Bookman Old Style"/>
              </w:rPr>
            </w:pPr>
            <w:r w:rsidRPr="0077482C">
              <w:rPr>
                <w:rFonts w:ascii="Bookman Old Style" w:hAnsi="Bookman Old Style"/>
              </w:rPr>
              <w:t>$27.065.635.222.00</w:t>
            </w:r>
          </w:p>
        </w:tc>
        <w:tc>
          <w:tcPr>
            <w:tcW w:w="2580" w:type="dxa"/>
            <w:vAlign w:val="center"/>
          </w:tcPr>
          <w:p w:rsidR="00D177DE" w:rsidRPr="0077482C" w:rsidRDefault="00D177DE" w:rsidP="00BD67E2">
            <w:pPr>
              <w:pStyle w:val="Cita"/>
              <w:spacing w:after="0"/>
              <w:ind w:left="284" w:right="11"/>
              <w:jc w:val="center"/>
              <w:rPr>
                <w:rFonts w:ascii="Bookman Old Style" w:hAnsi="Bookman Old Style"/>
              </w:rPr>
            </w:pPr>
            <w:r w:rsidRPr="0077482C">
              <w:rPr>
                <w:rFonts w:ascii="Bookman Old Style" w:hAnsi="Bookman Old Style"/>
              </w:rPr>
              <w:t>$21.092.752.749.00</w:t>
            </w:r>
          </w:p>
        </w:tc>
        <w:tc>
          <w:tcPr>
            <w:tcW w:w="2580" w:type="dxa"/>
            <w:vAlign w:val="center"/>
          </w:tcPr>
          <w:p w:rsidR="00D177DE" w:rsidRPr="0077482C" w:rsidRDefault="00D177DE" w:rsidP="003503FF">
            <w:pPr>
              <w:pStyle w:val="Cita"/>
              <w:spacing w:after="0"/>
              <w:ind w:left="284" w:right="0"/>
              <w:jc w:val="center"/>
              <w:rPr>
                <w:rFonts w:ascii="Bookman Old Style" w:hAnsi="Bookman Old Style"/>
              </w:rPr>
            </w:pPr>
            <w:r w:rsidRPr="0077482C">
              <w:rPr>
                <w:rFonts w:ascii="Bookman Old Style" w:hAnsi="Bookman Old Style"/>
              </w:rPr>
              <w:t>$5.972.882.473.00</w:t>
            </w:r>
          </w:p>
        </w:tc>
      </w:tr>
    </w:tbl>
    <w:p w:rsidR="00D177DE" w:rsidRPr="004F7234" w:rsidRDefault="00D177DE" w:rsidP="001A102C">
      <w:pPr>
        <w:pStyle w:val="Cita"/>
        <w:ind w:left="284" w:right="284"/>
        <w:rPr>
          <w:rFonts w:ascii="Bookman Old Style" w:hAnsi="Bookman Old Style"/>
          <w:sz w:val="22"/>
        </w:rPr>
      </w:pPr>
    </w:p>
    <w:p w:rsidR="00D177DE" w:rsidRDefault="00D177DE" w:rsidP="003503FF">
      <w:pPr>
        <w:pStyle w:val="Cita"/>
        <w:ind w:left="284" w:right="284"/>
        <w:rPr>
          <w:rFonts w:ascii="Bookman Old Style" w:hAnsi="Bookman Old Style"/>
          <w:sz w:val="22"/>
        </w:rPr>
      </w:pPr>
      <w:r w:rsidRPr="004F7234">
        <w:rPr>
          <w:rFonts w:ascii="Bookman Old Style" w:hAnsi="Bookman Old Style"/>
          <w:sz w:val="22"/>
        </w:rPr>
        <w:t>Indica la CREG que los criterios tenidos en Cuentas para la revisión son:</w:t>
      </w:r>
    </w:p>
    <w:p w:rsidR="005F1034" w:rsidRPr="005F1034" w:rsidRDefault="005F1034" w:rsidP="005F1034">
      <w:pPr>
        <w:rPr>
          <w:lang w:val="es-CO" w:eastAsia="en-US"/>
        </w:rPr>
      </w:pPr>
    </w:p>
    <w:p w:rsidR="00D177DE" w:rsidRPr="00DE3846" w:rsidRDefault="00D177DE" w:rsidP="00170917">
      <w:pPr>
        <w:pStyle w:val="Cita"/>
        <w:numPr>
          <w:ilvl w:val="1"/>
          <w:numId w:val="9"/>
        </w:numPr>
        <w:ind w:left="709" w:right="284"/>
        <w:rPr>
          <w:rFonts w:ascii="Bookman Old Style" w:hAnsi="Bookman Old Style"/>
          <w:b/>
          <w:sz w:val="22"/>
        </w:rPr>
      </w:pPr>
      <w:r w:rsidRPr="00DE3846">
        <w:rPr>
          <w:rFonts w:ascii="Bookman Old Style" w:hAnsi="Bookman Old Style"/>
          <w:b/>
          <w:sz w:val="22"/>
        </w:rPr>
        <w:t>El menor valor por Cuenta entre el valor registrado por la Solicitud por el TN y el valor registrado en el sistema PUC del SUI</w:t>
      </w:r>
    </w:p>
    <w:p w:rsidR="007616CB" w:rsidRPr="004F7234" w:rsidRDefault="00D177DE">
      <w:pPr>
        <w:pStyle w:val="Cita"/>
        <w:ind w:left="284" w:right="284"/>
        <w:rPr>
          <w:rFonts w:ascii="Bookman Old Style" w:hAnsi="Bookman Old Style"/>
          <w:sz w:val="22"/>
        </w:rPr>
      </w:pPr>
      <w:r w:rsidRPr="004F7234">
        <w:rPr>
          <w:rFonts w:ascii="Bookman Old Style" w:hAnsi="Bookman Old Style"/>
          <w:sz w:val="22"/>
        </w:rPr>
        <w:t>Es preciso aclarar en primera instancia que no hay inconsistencia alguna entre la información de TRANSELCA S</w:t>
      </w:r>
      <w:r w:rsidR="007616CB" w:rsidRPr="004F7234">
        <w:rPr>
          <w:rFonts w:ascii="Bookman Old Style" w:hAnsi="Bookman Old Style"/>
          <w:sz w:val="22"/>
        </w:rPr>
        <w:t>.</w:t>
      </w:r>
      <w:r w:rsidRPr="004F7234">
        <w:rPr>
          <w:rFonts w:ascii="Bookman Old Style" w:hAnsi="Bookman Old Style"/>
          <w:sz w:val="22"/>
        </w:rPr>
        <w:t>A</w:t>
      </w:r>
      <w:r w:rsidR="007616CB" w:rsidRPr="004F7234">
        <w:rPr>
          <w:rFonts w:ascii="Bookman Old Style" w:hAnsi="Bookman Old Style"/>
          <w:sz w:val="22"/>
        </w:rPr>
        <w:t>.</w:t>
      </w:r>
      <w:r w:rsidRPr="004F7234">
        <w:rPr>
          <w:rFonts w:ascii="Bookman Old Style" w:hAnsi="Bookman Old Style"/>
          <w:sz w:val="22"/>
        </w:rPr>
        <w:t xml:space="preserve"> E.S.P. de AO</w:t>
      </w:r>
      <w:r w:rsidR="007616CB" w:rsidRPr="004F7234">
        <w:rPr>
          <w:rFonts w:ascii="Bookman Old Style" w:hAnsi="Bookman Old Style"/>
          <w:sz w:val="22"/>
        </w:rPr>
        <w:t>M</w:t>
      </w:r>
      <w:r w:rsidRPr="004F7234">
        <w:rPr>
          <w:rFonts w:ascii="Bookman Old Style" w:hAnsi="Bookman Old Style"/>
          <w:sz w:val="22"/>
        </w:rPr>
        <w:t xml:space="preserve"> reportada en su momento a la CREG para el período 2001 a 2005 y al Sistema Unificado de información </w:t>
      </w:r>
      <w:r w:rsidR="007616CB" w:rsidRPr="004F7234">
        <w:rPr>
          <w:rFonts w:ascii="Bookman Old Style" w:hAnsi="Bookman Old Style"/>
          <w:sz w:val="22"/>
        </w:rPr>
        <w:t>-</w:t>
      </w:r>
      <w:r w:rsidRPr="004F7234">
        <w:rPr>
          <w:rFonts w:ascii="Bookman Old Style" w:hAnsi="Bookman Old Style"/>
          <w:sz w:val="22"/>
        </w:rPr>
        <w:t xml:space="preserve"> SUI para el período 2006 al 2007 con la información suministrada a la CREG de AO</w:t>
      </w:r>
      <w:r w:rsidR="007616CB" w:rsidRPr="004F7234">
        <w:rPr>
          <w:rFonts w:ascii="Bookman Old Style" w:hAnsi="Bookman Old Style"/>
          <w:sz w:val="22"/>
        </w:rPr>
        <w:t>M</w:t>
      </w:r>
      <w:r w:rsidRPr="004F7234">
        <w:rPr>
          <w:rFonts w:ascii="Bookman Old Style" w:hAnsi="Bookman Old Style"/>
          <w:sz w:val="22"/>
        </w:rPr>
        <w:t xml:space="preserve"> de los años 2001 a 2007, para efectos del c</w:t>
      </w:r>
      <w:r w:rsidR="007616CB" w:rsidRPr="004F7234">
        <w:rPr>
          <w:rFonts w:ascii="Bookman Old Style" w:hAnsi="Bookman Old Style"/>
          <w:sz w:val="22"/>
        </w:rPr>
        <w:t>á</w:t>
      </w:r>
      <w:r w:rsidRPr="004F7234">
        <w:rPr>
          <w:rFonts w:ascii="Bookman Old Style" w:hAnsi="Bookman Old Style"/>
          <w:sz w:val="22"/>
        </w:rPr>
        <w:t>lculo</w:t>
      </w:r>
      <w:r w:rsidR="007616CB" w:rsidRPr="004F7234">
        <w:rPr>
          <w:rFonts w:ascii="Bookman Old Style" w:hAnsi="Bookman Old Style"/>
          <w:sz w:val="22"/>
        </w:rPr>
        <w:t xml:space="preserve"> </w:t>
      </w:r>
      <w:r w:rsidRPr="004F7234">
        <w:rPr>
          <w:rFonts w:ascii="Bookman Old Style" w:hAnsi="Bookman Old Style"/>
          <w:sz w:val="22"/>
        </w:rPr>
        <w:t>de la remuneración de acuerdo a la metodología de la Resolución 011 de 2009.</w:t>
      </w:r>
    </w:p>
    <w:p w:rsidR="007616CB" w:rsidRPr="004F7234" w:rsidRDefault="00D177DE">
      <w:pPr>
        <w:pStyle w:val="Cita"/>
        <w:ind w:left="284" w:right="284"/>
        <w:rPr>
          <w:rFonts w:ascii="Bookman Old Style" w:hAnsi="Bookman Old Style"/>
          <w:sz w:val="22"/>
        </w:rPr>
      </w:pPr>
      <w:r w:rsidRPr="004F7234">
        <w:rPr>
          <w:rFonts w:ascii="Bookman Old Style" w:hAnsi="Bookman Old Style"/>
          <w:sz w:val="22"/>
        </w:rPr>
        <w:t xml:space="preserve">En efecto TRANSELCA S.A. E.S.P. en </w:t>
      </w:r>
      <w:r w:rsidR="007616CB" w:rsidRPr="004F7234">
        <w:rPr>
          <w:rFonts w:ascii="Bookman Old Style" w:hAnsi="Bookman Old Style"/>
          <w:sz w:val="22"/>
        </w:rPr>
        <w:t>c</w:t>
      </w:r>
      <w:r w:rsidRPr="004F7234">
        <w:rPr>
          <w:rFonts w:ascii="Bookman Old Style" w:hAnsi="Bookman Old Style"/>
          <w:sz w:val="22"/>
        </w:rPr>
        <w:t xml:space="preserve">umplimiento de la Circular 021 de 2005 reportó a la CREG en los meses de enero y mayo de 2006 los gastos y </w:t>
      </w:r>
      <w:r w:rsidR="007616CB" w:rsidRPr="004F7234">
        <w:rPr>
          <w:rFonts w:ascii="Bookman Old Style" w:hAnsi="Bookman Old Style"/>
          <w:sz w:val="22"/>
        </w:rPr>
        <w:t>c</w:t>
      </w:r>
      <w:r w:rsidRPr="004F7234">
        <w:rPr>
          <w:rFonts w:ascii="Bookman Old Style" w:hAnsi="Bookman Old Style"/>
          <w:sz w:val="22"/>
        </w:rPr>
        <w:t xml:space="preserve">ostos de </w:t>
      </w:r>
      <w:r w:rsidR="007616CB" w:rsidRPr="004F7234">
        <w:rPr>
          <w:rFonts w:ascii="Bookman Old Style" w:hAnsi="Bookman Old Style"/>
          <w:sz w:val="22"/>
        </w:rPr>
        <w:t>AOM</w:t>
      </w:r>
      <w:r w:rsidRPr="004F7234">
        <w:rPr>
          <w:rFonts w:ascii="Bookman Old Style" w:hAnsi="Bookman Old Style"/>
          <w:sz w:val="22"/>
        </w:rPr>
        <w:t xml:space="preserve"> </w:t>
      </w:r>
      <w:r w:rsidR="007616CB" w:rsidRPr="004F7234">
        <w:rPr>
          <w:rFonts w:ascii="Bookman Old Style" w:hAnsi="Bookman Old Style"/>
          <w:sz w:val="22"/>
        </w:rPr>
        <w:t>c</w:t>
      </w:r>
      <w:r w:rsidRPr="004F7234">
        <w:rPr>
          <w:rFonts w:ascii="Bookman Old Style" w:hAnsi="Bookman Old Style"/>
          <w:sz w:val="22"/>
        </w:rPr>
        <w:t xml:space="preserve">orrespondientes a uso y conexión de los años 2001 a 2005, en unos formatos denominados PUC. </w:t>
      </w:r>
      <w:r w:rsidR="007616CB" w:rsidRPr="004F7234">
        <w:rPr>
          <w:rFonts w:ascii="Bookman Old Style" w:hAnsi="Bookman Old Style"/>
          <w:sz w:val="22"/>
        </w:rPr>
        <w:t xml:space="preserve">Información </w:t>
      </w:r>
      <w:r w:rsidRPr="004F7234">
        <w:rPr>
          <w:rFonts w:ascii="Bookman Old Style" w:hAnsi="Bookman Old Style"/>
          <w:sz w:val="22"/>
        </w:rPr>
        <w:t>que venía siendo suministrada a la Superintendencia de Servicios Públicos de igual manera para el mismo periodo.</w:t>
      </w:r>
    </w:p>
    <w:p w:rsidR="007616CB" w:rsidRPr="004F7234" w:rsidRDefault="00D177DE">
      <w:pPr>
        <w:pStyle w:val="Cita"/>
        <w:ind w:left="284" w:right="284"/>
        <w:rPr>
          <w:rFonts w:ascii="Bookman Old Style" w:hAnsi="Bookman Old Style"/>
          <w:sz w:val="22"/>
        </w:rPr>
      </w:pPr>
      <w:r w:rsidRPr="004F7234">
        <w:rPr>
          <w:rFonts w:ascii="Bookman Old Style" w:hAnsi="Bookman Old Style"/>
          <w:sz w:val="22"/>
        </w:rPr>
        <w:t xml:space="preserve">A partir del año 2006 se empezó a reportar a la SSPD en el Sistema Unificado de ' información </w:t>
      </w:r>
      <w:r w:rsidR="007616CB" w:rsidRPr="004F7234">
        <w:rPr>
          <w:rFonts w:ascii="Bookman Old Style" w:hAnsi="Bookman Old Style"/>
          <w:sz w:val="22"/>
        </w:rPr>
        <w:t>-</w:t>
      </w:r>
      <w:r w:rsidRPr="004F7234">
        <w:rPr>
          <w:rFonts w:ascii="Bookman Old Style" w:hAnsi="Bookman Old Style"/>
          <w:sz w:val="22"/>
        </w:rPr>
        <w:t xml:space="preserve"> SUI el Balance de Energía y el Informe de Costos y Gastos de Energía, que corresponde a los Costos y gastos de AO</w:t>
      </w:r>
      <w:r w:rsidR="00EB4882">
        <w:rPr>
          <w:rFonts w:ascii="Bookman Old Style" w:hAnsi="Bookman Old Style"/>
          <w:sz w:val="22"/>
        </w:rPr>
        <w:t>M</w:t>
      </w:r>
      <w:r w:rsidRPr="004F7234">
        <w:rPr>
          <w:rFonts w:ascii="Bookman Old Style" w:hAnsi="Bookman Old Style"/>
          <w:sz w:val="22"/>
        </w:rPr>
        <w:t xml:space="preserve"> de uso y conexión.</w:t>
      </w:r>
    </w:p>
    <w:p w:rsidR="007616CB" w:rsidRPr="004F7234" w:rsidRDefault="00D177DE">
      <w:pPr>
        <w:pStyle w:val="Cita"/>
        <w:ind w:left="284" w:right="284"/>
        <w:rPr>
          <w:rFonts w:ascii="Bookman Old Style" w:hAnsi="Bookman Old Style"/>
          <w:sz w:val="22"/>
        </w:rPr>
      </w:pPr>
      <w:r w:rsidRPr="004F7234">
        <w:rPr>
          <w:rFonts w:ascii="Bookman Old Style" w:hAnsi="Bookman Old Style"/>
          <w:sz w:val="22"/>
        </w:rPr>
        <w:t xml:space="preserve">Por </w:t>
      </w:r>
      <w:r w:rsidR="007616CB" w:rsidRPr="004F7234">
        <w:rPr>
          <w:rFonts w:ascii="Bookman Old Style" w:hAnsi="Bookman Old Style"/>
          <w:sz w:val="22"/>
        </w:rPr>
        <w:t>ú</w:t>
      </w:r>
      <w:r w:rsidRPr="004F7234">
        <w:rPr>
          <w:rFonts w:ascii="Bookman Old Style" w:hAnsi="Bookman Old Style"/>
          <w:sz w:val="22"/>
        </w:rPr>
        <w:t xml:space="preserve">ltimo, la CREG mediante la Resolución 011 y la Circular 018 de 2009 Solicitó a los Transportadores Nacionales </w:t>
      </w:r>
      <w:r w:rsidR="007616CB" w:rsidRPr="004F7234">
        <w:rPr>
          <w:rFonts w:ascii="Bookman Old Style" w:hAnsi="Bookman Old Style"/>
          <w:sz w:val="22"/>
        </w:rPr>
        <w:t xml:space="preserve">- </w:t>
      </w:r>
      <w:r w:rsidRPr="004F7234">
        <w:rPr>
          <w:rFonts w:ascii="Bookman Old Style" w:hAnsi="Bookman Old Style"/>
          <w:sz w:val="22"/>
        </w:rPr>
        <w:t xml:space="preserve">TN- exclusivamente el AOM de </w:t>
      </w:r>
      <w:r w:rsidR="007616CB" w:rsidRPr="004F7234">
        <w:rPr>
          <w:rFonts w:ascii="Bookman Old Style" w:hAnsi="Bookman Old Style"/>
          <w:sz w:val="22"/>
        </w:rPr>
        <w:t>u</w:t>
      </w:r>
      <w:r w:rsidRPr="004F7234">
        <w:rPr>
          <w:rFonts w:ascii="Bookman Old Style" w:hAnsi="Bookman Old Style"/>
          <w:sz w:val="22"/>
        </w:rPr>
        <w:t xml:space="preserve">so de los años 2001 a 2007. </w:t>
      </w:r>
      <w:r w:rsidR="007616CB" w:rsidRPr="004F7234">
        <w:rPr>
          <w:rFonts w:ascii="Bookman Old Style" w:hAnsi="Bookman Old Style"/>
          <w:sz w:val="22"/>
        </w:rPr>
        <w:t xml:space="preserve">Información </w:t>
      </w:r>
      <w:r w:rsidRPr="004F7234">
        <w:rPr>
          <w:rFonts w:ascii="Bookman Old Style" w:hAnsi="Bookman Old Style"/>
          <w:sz w:val="22"/>
        </w:rPr>
        <w:t>que fue suministrada por TRANSELCA S.A. E.S.P. dentro del tiempo estipulado para ello, tal y como consta en el expediente.</w:t>
      </w:r>
    </w:p>
    <w:p w:rsidR="008736B8" w:rsidRPr="004F7234" w:rsidRDefault="00D177DE">
      <w:pPr>
        <w:pStyle w:val="Cita"/>
        <w:ind w:left="284" w:right="284"/>
        <w:rPr>
          <w:rFonts w:ascii="Bookman Old Style" w:hAnsi="Bookman Old Style"/>
          <w:sz w:val="22"/>
        </w:rPr>
      </w:pPr>
      <w:r w:rsidRPr="004F7234">
        <w:rPr>
          <w:rFonts w:ascii="Bookman Old Style" w:hAnsi="Bookman Old Style"/>
          <w:sz w:val="22"/>
        </w:rPr>
        <w:t xml:space="preserve">Para el </w:t>
      </w:r>
      <w:r w:rsidR="007616CB" w:rsidRPr="004F7234">
        <w:rPr>
          <w:rFonts w:ascii="Bookman Old Style" w:hAnsi="Bookman Old Style"/>
          <w:sz w:val="22"/>
        </w:rPr>
        <w:t>análisis</w:t>
      </w:r>
      <w:r w:rsidRPr="004F7234">
        <w:rPr>
          <w:rFonts w:ascii="Bookman Old Style" w:hAnsi="Bookman Old Style"/>
          <w:sz w:val="22"/>
        </w:rPr>
        <w:t xml:space="preserve"> de la información reportada por el transmisor para efectos de remuneración del AO</w:t>
      </w:r>
      <w:r w:rsidR="008736B8" w:rsidRPr="004F7234">
        <w:rPr>
          <w:rFonts w:ascii="Bookman Old Style" w:hAnsi="Bookman Old Style"/>
          <w:sz w:val="22"/>
        </w:rPr>
        <w:t>M</w:t>
      </w:r>
      <w:r w:rsidRPr="004F7234">
        <w:rPr>
          <w:rFonts w:ascii="Bookman Old Style" w:hAnsi="Bookman Old Style"/>
          <w:sz w:val="22"/>
        </w:rPr>
        <w:t xml:space="preserve"> de uso (Resolución 011 y Circular 018 de 2009), la CREG cotejo por una parte el reporte enviado por TRANSELCA S.A. E.S.P. en el año 2009 correspondiente a los </w:t>
      </w:r>
      <w:r w:rsidR="008736B8" w:rsidRPr="004F7234">
        <w:rPr>
          <w:rFonts w:ascii="Bookman Old Style" w:hAnsi="Bookman Old Style"/>
          <w:sz w:val="22"/>
        </w:rPr>
        <w:t>c</w:t>
      </w:r>
      <w:r w:rsidRPr="004F7234">
        <w:rPr>
          <w:rFonts w:ascii="Bookman Old Style" w:hAnsi="Bookman Old Style"/>
          <w:sz w:val="22"/>
        </w:rPr>
        <w:t xml:space="preserve">ostos y gastos de uso del período 2001 a 2007 y por otra parte la información de </w:t>
      </w:r>
      <w:r w:rsidR="007616CB" w:rsidRPr="004F7234">
        <w:rPr>
          <w:rFonts w:ascii="Bookman Old Style" w:hAnsi="Bookman Old Style"/>
          <w:sz w:val="22"/>
        </w:rPr>
        <w:t>AOM</w:t>
      </w:r>
      <w:r w:rsidRPr="004F7234">
        <w:rPr>
          <w:rFonts w:ascii="Bookman Old Style" w:hAnsi="Bookman Old Style"/>
          <w:sz w:val="22"/>
        </w:rPr>
        <w:t xml:space="preserve"> que había solicitado con anterioridad (Circular 021 de 2005) y que corresponde a uso y conexión para el período 2001 a 2005, más la</w:t>
      </w:r>
      <w:r w:rsidR="008736B8" w:rsidRPr="004F7234">
        <w:rPr>
          <w:rFonts w:ascii="Bookman Old Style" w:hAnsi="Bookman Old Style"/>
          <w:sz w:val="22"/>
        </w:rPr>
        <w:t xml:space="preserve"> </w:t>
      </w:r>
      <w:r w:rsidRPr="004F7234">
        <w:rPr>
          <w:rFonts w:ascii="Bookman Old Style" w:hAnsi="Bookman Old Style"/>
          <w:sz w:val="22"/>
        </w:rPr>
        <w:t xml:space="preserve">información del Sistema Unificado de Información </w:t>
      </w:r>
      <w:r w:rsidR="008736B8" w:rsidRPr="004F7234">
        <w:rPr>
          <w:rFonts w:ascii="Bookman Old Style" w:hAnsi="Bookman Old Style"/>
          <w:sz w:val="22"/>
        </w:rPr>
        <w:t>-</w:t>
      </w:r>
      <w:r w:rsidRPr="004F7234">
        <w:rPr>
          <w:rFonts w:ascii="Bookman Old Style" w:hAnsi="Bookman Old Style"/>
          <w:sz w:val="22"/>
        </w:rPr>
        <w:t xml:space="preserve"> SUI que </w:t>
      </w:r>
      <w:r w:rsidR="008736B8" w:rsidRPr="004F7234">
        <w:rPr>
          <w:rFonts w:ascii="Bookman Old Style" w:hAnsi="Bookman Old Style"/>
          <w:sz w:val="22"/>
        </w:rPr>
        <w:t>c</w:t>
      </w:r>
      <w:r w:rsidRPr="004F7234">
        <w:rPr>
          <w:rFonts w:ascii="Bookman Old Style" w:hAnsi="Bookman Old Style"/>
          <w:sz w:val="22"/>
        </w:rPr>
        <w:t xml:space="preserve">orresponde a </w:t>
      </w:r>
      <w:r w:rsidR="008736B8" w:rsidRPr="004F7234">
        <w:rPr>
          <w:rFonts w:ascii="Bookman Old Style" w:hAnsi="Bookman Old Style"/>
          <w:sz w:val="22"/>
        </w:rPr>
        <w:t>uso</w:t>
      </w:r>
      <w:r w:rsidRPr="004F7234">
        <w:rPr>
          <w:rFonts w:ascii="Bookman Old Style" w:hAnsi="Bookman Old Style"/>
          <w:sz w:val="22"/>
        </w:rPr>
        <w:t xml:space="preserve"> y </w:t>
      </w:r>
      <w:r w:rsidR="008736B8" w:rsidRPr="004F7234">
        <w:rPr>
          <w:rFonts w:ascii="Bookman Old Style" w:hAnsi="Bookman Old Style"/>
          <w:sz w:val="22"/>
        </w:rPr>
        <w:t>c</w:t>
      </w:r>
      <w:r w:rsidRPr="004F7234">
        <w:rPr>
          <w:rFonts w:ascii="Bookman Old Style" w:hAnsi="Bookman Old Style"/>
          <w:sz w:val="22"/>
        </w:rPr>
        <w:t>onexión del período 2006 y 2007.</w:t>
      </w:r>
    </w:p>
    <w:p w:rsidR="008736B8" w:rsidRPr="004F7234" w:rsidRDefault="00D177DE">
      <w:pPr>
        <w:pStyle w:val="Cita"/>
        <w:ind w:left="284" w:right="284"/>
        <w:rPr>
          <w:rFonts w:ascii="Bookman Old Style" w:hAnsi="Bookman Old Style"/>
          <w:sz w:val="22"/>
        </w:rPr>
      </w:pPr>
      <w:r w:rsidRPr="004F7234">
        <w:rPr>
          <w:rFonts w:ascii="Bookman Old Style" w:hAnsi="Bookman Old Style"/>
          <w:sz w:val="22"/>
        </w:rPr>
        <w:t>En dicho an</w:t>
      </w:r>
      <w:r w:rsidR="008736B8" w:rsidRPr="004F7234">
        <w:rPr>
          <w:rFonts w:ascii="Bookman Old Style" w:hAnsi="Bookman Old Style"/>
          <w:sz w:val="22"/>
        </w:rPr>
        <w:t>á</w:t>
      </w:r>
      <w:r w:rsidRPr="004F7234">
        <w:rPr>
          <w:rFonts w:ascii="Bookman Old Style" w:hAnsi="Bookman Old Style"/>
          <w:sz w:val="22"/>
        </w:rPr>
        <w:t xml:space="preserve">lisis comparativo la CREG encontró </w:t>
      </w:r>
      <w:r w:rsidR="008736B8" w:rsidRPr="004F7234">
        <w:rPr>
          <w:rFonts w:ascii="Bookman Old Style" w:hAnsi="Bookman Old Style"/>
          <w:sz w:val="22"/>
        </w:rPr>
        <w:t>c</w:t>
      </w:r>
      <w:r w:rsidRPr="004F7234">
        <w:rPr>
          <w:rFonts w:ascii="Bookman Old Style" w:hAnsi="Bookman Old Style"/>
          <w:sz w:val="22"/>
        </w:rPr>
        <w:t xml:space="preserve">asos en los cuales las </w:t>
      </w:r>
      <w:r w:rsidR="008736B8" w:rsidRPr="004F7234">
        <w:rPr>
          <w:rFonts w:ascii="Bookman Old Style" w:hAnsi="Bookman Old Style"/>
          <w:sz w:val="22"/>
          <w:u w:val="single"/>
        </w:rPr>
        <w:t>c</w:t>
      </w:r>
      <w:r w:rsidRPr="004F7234">
        <w:rPr>
          <w:rFonts w:ascii="Bookman Old Style" w:hAnsi="Bookman Old Style"/>
          <w:sz w:val="22"/>
          <w:u w:val="single"/>
        </w:rPr>
        <w:t>uentas de costos y gastos de uso</w:t>
      </w:r>
      <w:r w:rsidRPr="004F7234">
        <w:rPr>
          <w:rFonts w:ascii="Bookman Old Style" w:hAnsi="Bookman Old Style"/>
          <w:sz w:val="22"/>
        </w:rPr>
        <w:t xml:space="preserve"> reportados a la CREG para efectos de la remuneración de AO</w:t>
      </w:r>
      <w:r w:rsidR="008736B8" w:rsidRPr="004F7234">
        <w:rPr>
          <w:rFonts w:ascii="Bookman Old Style" w:hAnsi="Bookman Old Style"/>
          <w:sz w:val="22"/>
        </w:rPr>
        <w:t>M</w:t>
      </w:r>
      <w:r w:rsidRPr="004F7234">
        <w:rPr>
          <w:rFonts w:ascii="Bookman Old Style" w:hAnsi="Bookman Old Style"/>
          <w:sz w:val="22"/>
        </w:rPr>
        <w:t xml:space="preserve"> superan las mismas cuentas reportadas en el PUC y el SUI para </w:t>
      </w:r>
      <w:r w:rsidR="008736B8" w:rsidRPr="004F7234">
        <w:rPr>
          <w:rFonts w:ascii="Bookman Old Style" w:hAnsi="Bookman Old Style"/>
          <w:sz w:val="22"/>
          <w:u w:val="single"/>
        </w:rPr>
        <w:t>uso</w:t>
      </w:r>
      <w:r w:rsidRPr="004F7234">
        <w:rPr>
          <w:rFonts w:ascii="Bookman Old Style" w:hAnsi="Bookman Old Style"/>
          <w:sz w:val="22"/>
          <w:u w:val="single"/>
        </w:rPr>
        <w:t xml:space="preserve"> y </w:t>
      </w:r>
      <w:r w:rsidR="008736B8" w:rsidRPr="004F7234">
        <w:rPr>
          <w:rFonts w:ascii="Bookman Old Style" w:hAnsi="Bookman Old Style"/>
          <w:sz w:val="22"/>
          <w:u w:val="single"/>
        </w:rPr>
        <w:t>c</w:t>
      </w:r>
      <w:r w:rsidRPr="004F7234">
        <w:rPr>
          <w:rFonts w:ascii="Bookman Old Style" w:hAnsi="Bookman Old Style"/>
          <w:sz w:val="22"/>
          <w:u w:val="single"/>
        </w:rPr>
        <w:t>onexión</w:t>
      </w:r>
      <w:r w:rsidRPr="004F7234">
        <w:rPr>
          <w:rFonts w:ascii="Bookman Old Style" w:hAnsi="Bookman Old Style"/>
          <w:sz w:val="22"/>
        </w:rPr>
        <w:t>, penalizando a TRANSELCA con el menor valor de estos dos conceptos.</w:t>
      </w:r>
    </w:p>
    <w:p w:rsidR="008736B8" w:rsidRPr="004F7234" w:rsidRDefault="00D177DE">
      <w:pPr>
        <w:pStyle w:val="Cita"/>
        <w:ind w:left="284" w:right="284"/>
        <w:rPr>
          <w:rFonts w:ascii="Bookman Old Style" w:hAnsi="Bookman Old Style"/>
          <w:sz w:val="22"/>
        </w:rPr>
      </w:pPr>
      <w:r w:rsidRPr="004F7234">
        <w:rPr>
          <w:rFonts w:ascii="Bookman Old Style" w:hAnsi="Bookman Old Style"/>
          <w:sz w:val="22"/>
        </w:rPr>
        <w:t>Dichas diferencias, que de ninguna manera son inconsistencias, se debe a lo siguiente:</w:t>
      </w:r>
    </w:p>
    <w:p w:rsidR="008736B8" w:rsidRPr="00C516F4" w:rsidRDefault="008736B8">
      <w:pPr>
        <w:pStyle w:val="Cita"/>
        <w:ind w:left="284" w:right="284"/>
        <w:rPr>
          <w:rFonts w:ascii="Bookman Old Style" w:hAnsi="Bookman Old Style"/>
          <w:sz w:val="22"/>
          <w:u w:val="single"/>
        </w:rPr>
      </w:pPr>
      <w:r w:rsidRPr="004F7234">
        <w:rPr>
          <w:rFonts w:ascii="Bookman Old Style" w:hAnsi="Bookman Old Style"/>
          <w:sz w:val="22"/>
        </w:rPr>
        <w:lastRenderedPageBreak/>
        <w:t>-</w:t>
      </w:r>
      <w:r w:rsidR="00D177DE" w:rsidRPr="004F7234">
        <w:rPr>
          <w:rFonts w:ascii="Bookman Old Style" w:hAnsi="Bookman Old Style"/>
          <w:sz w:val="22"/>
        </w:rPr>
        <w:t xml:space="preserve"> </w:t>
      </w:r>
      <w:r w:rsidR="00D177DE" w:rsidRPr="00C516F4">
        <w:rPr>
          <w:rFonts w:ascii="Bookman Old Style" w:hAnsi="Bookman Old Style"/>
          <w:sz w:val="22"/>
          <w:u w:val="single"/>
        </w:rPr>
        <w:t>Diferencias por Cuentas No Consideradas por la CREG en la circular 018 de 2009</w:t>
      </w:r>
    </w:p>
    <w:p w:rsidR="00BF09C9" w:rsidRPr="00BB0D44" w:rsidRDefault="00D177DE">
      <w:pPr>
        <w:pStyle w:val="Cita"/>
        <w:ind w:left="284" w:right="284"/>
        <w:rPr>
          <w:rFonts w:ascii="Bookman Old Style" w:hAnsi="Bookman Old Style"/>
          <w:sz w:val="22"/>
        </w:rPr>
      </w:pPr>
      <w:r w:rsidRPr="00BB0D44">
        <w:rPr>
          <w:rFonts w:ascii="Bookman Old Style" w:hAnsi="Bookman Old Style"/>
          <w:sz w:val="22"/>
        </w:rPr>
        <w:t>Debido a que la Resolución CREG 085 de 2009 (PUC para solicitar el AO</w:t>
      </w:r>
      <w:r w:rsidR="00BF09C9" w:rsidRPr="00BB0D44">
        <w:rPr>
          <w:rFonts w:ascii="Bookman Old Style" w:hAnsi="Bookman Old Style"/>
          <w:sz w:val="22"/>
        </w:rPr>
        <w:t>M</w:t>
      </w:r>
      <w:r w:rsidRPr="00BB0D44">
        <w:rPr>
          <w:rFonts w:ascii="Bookman Old Style" w:hAnsi="Bookman Old Style"/>
          <w:sz w:val="22"/>
        </w:rPr>
        <w:t xml:space="preserve"> de uso de los años 2001 a 2007) no contempló algunas cuentas que hacen parte del Plan de Cuentas del SUI, TRANSELCA</w:t>
      </w:r>
      <w:r w:rsidR="00BF09C9" w:rsidRPr="00BB0D44">
        <w:rPr>
          <w:rFonts w:ascii="Bookman Old Style" w:hAnsi="Bookman Old Style"/>
          <w:sz w:val="22"/>
        </w:rPr>
        <w:t xml:space="preserve"> </w:t>
      </w:r>
      <w:r w:rsidRPr="00BB0D44">
        <w:rPr>
          <w:rFonts w:ascii="Bookman Old Style" w:hAnsi="Bookman Old Style"/>
          <w:sz w:val="22"/>
        </w:rPr>
        <w:t>S.A. E.S.P. procedió a incluir los costos y gastos realizados en cuentas afines existentes en la resolución 085 de 2009. Esta reclasificación generó que dichas cuentas en el reporte realizado a la CREG para efectos de remuneración (Resolución 011 de 2009), acumularan un valor superior a Io reportado en el PUC y en el SUI en pe</w:t>
      </w:r>
      <w:r w:rsidR="00BF09C9" w:rsidRPr="00BB0D44">
        <w:rPr>
          <w:rFonts w:ascii="Bookman Old Style" w:hAnsi="Bookman Old Style"/>
          <w:sz w:val="22"/>
        </w:rPr>
        <w:t>ri</w:t>
      </w:r>
      <w:r w:rsidRPr="00BB0D44">
        <w:rPr>
          <w:rFonts w:ascii="Bookman Old Style" w:hAnsi="Bookman Old Style"/>
          <w:sz w:val="22"/>
        </w:rPr>
        <w:t>odos iguales, por lo cual la CREG afectó el reconocimiento de los costos y gastos de TRANSELCA según la metodología utilizada por ésta entidad</w:t>
      </w:r>
    </w:p>
    <w:p w:rsidR="00BF09C9" w:rsidRPr="00BB0D44" w:rsidRDefault="00D177DE">
      <w:pPr>
        <w:pStyle w:val="Cita"/>
        <w:ind w:left="284" w:right="284"/>
        <w:rPr>
          <w:rFonts w:ascii="Bookman Old Style" w:hAnsi="Bookman Old Style"/>
          <w:sz w:val="22"/>
        </w:rPr>
      </w:pPr>
      <w:r w:rsidRPr="00BB0D44">
        <w:rPr>
          <w:rFonts w:ascii="Bookman Old Style" w:hAnsi="Bookman Old Style"/>
          <w:sz w:val="22"/>
        </w:rPr>
        <w:t>Esta reclasificación que TRANSELCA S.A. E.S.P. se vio forzada a realizar dado el   plan de cuentas exigido por la CREG ha generado un menor valor reconocido de AO</w:t>
      </w:r>
      <w:r w:rsidR="00BF09C9" w:rsidRPr="00BB0D44">
        <w:rPr>
          <w:rFonts w:ascii="Bookman Old Style" w:hAnsi="Bookman Old Style"/>
          <w:sz w:val="22"/>
        </w:rPr>
        <w:t>M</w:t>
      </w:r>
      <w:r w:rsidRPr="00BB0D44">
        <w:rPr>
          <w:rFonts w:ascii="Bookman Old Style" w:hAnsi="Bookman Old Style"/>
          <w:sz w:val="22"/>
        </w:rPr>
        <w:t xml:space="preserve"> a TRANSELCA S.A. E.S.P. entre los años 2001 a 2007.</w:t>
      </w:r>
    </w:p>
    <w:p w:rsidR="00BF09C9" w:rsidRPr="00BB0D44" w:rsidRDefault="00D177DE">
      <w:pPr>
        <w:pStyle w:val="Cita"/>
        <w:ind w:left="284" w:right="284"/>
        <w:rPr>
          <w:rFonts w:ascii="Bookman Old Style" w:hAnsi="Bookman Old Style"/>
          <w:sz w:val="22"/>
        </w:rPr>
      </w:pPr>
      <w:r w:rsidRPr="00BB0D44">
        <w:rPr>
          <w:rFonts w:ascii="Bookman Old Style" w:hAnsi="Bookman Old Style"/>
          <w:sz w:val="22"/>
        </w:rPr>
        <w:t>Vale la pena aclarar que esta situación fue explicada por el Auditor Externo AGN Jim</w:t>
      </w:r>
      <w:r w:rsidR="00BF09C9" w:rsidRPr="00BB0D44">
        <w:rPr>
          <w:rFonts w:ascii="Bookman Old Style" w:hAnsi="Bookman Old Style"/>
          <w:sz w:val="22"/>
        </w:rPr>
        <w:t>é</w:t>
      </w:r>
      <w:r w:rsidRPr="00BB0D44">
        <w:rPr>
          <w:rFonts w:ascii="Bookman Old Style" w:hAnsi="Bookman Old Style"/>
          <w:sz w:val="22"/>
        </w:rPr>
        <w:t>nez y Asociados Ltda en su informe a la CREG, numeral 3.2.1, que textualmente dice:</w:t>
      </w:r>
    </w:p>
    <w:p w:rsidR="00BF09C9" w:rsidRPr="00BB0D44" w:rsidRDefault="00D177DE">
      <w:pPr>
        <w:pStyle w:val="Cita"/>
        <w:ind w:left="284" w:right="284"/>
        <w:rPr>
          <w:rFonts w:ascii="Bookman Old Style" w:hAnsi="Bookman Old Style" w:cs="Bookman Old Style"/>
          <w:sz w:val="22"/>
        </w:rPr>
      </w:pPr>
      <w:r w:rsidRPr="00BB0D44">
        <w:rPr>
          <w:rFonts w:ascii="Bookman Old Style" w:hAnsi="Bookman Old Style"/>
          <w:sz w:val="22"/>
        </w:rPr>
        <w:t>"Debido a que la Resolución CREG 085 no contempló algunas cuentas que fueron reportadas con valores en informes enviados a la CREG y al SUI, a continuación se detalla su nueva presentación....</w:t>
      </w:r>
      <w:r w:rsidRPr="00BB0D44">
        <w:rPr>
          <w:rFonts w:ascii="Bookman Old Style" w:hAnsi="Bookman Old Style" w:cs="Bookman Old Style"/>
          <w:sz w:val="22"/>
        </w:rPr>
        <w:t xml:space="preserve">” </w:t>
      </w:r>
      <w:r w:rsidR="00BF09C9" w:rsidRPr="00BB0D44">
        <w:rPr>
          <w:rFonts w:ascii="Bookman Old Style" w:hAnsi="Bookman Old Style" w:cs="Bookman Old Style"/>
          <w:sz w:val="22"/>
        </w:rPr>
        <w:t xml:space="preserve">- </w:t>
      </w:r>
      <w:r w:rsidRPr="00BB0D44">
        <w:rPr>
          <w:rFonts w:ascii="Bookman Old Style" w:hAnsi="Bookman Old Style" w:cs="Bookman Old Style"/>
          <w:sz w:val="22"/>
        </w:rPr>
        <w:t xml:space="preserve">remitirse a páginas 5 y 6 del informe </w:t>
      </w:r>
      <w:r w:rsidR="00BF09C9" w:rsidRPr="00BB0D44">
        <w:rPr>
          <w:rFonts w:ascii="Bookman Old Style" w:hAnsi="Bookman Old Style" w:cs="Bookman Old Style"/>
          <w:sz w:val="22"/>
        </w:rPr>
        <w:t>–</w:t>
      </w:r>
    </w:p>
    <w:p w:rsidR="0080129A" w:rsidRDefault="00D177DE">
      <w:pPr>
        <w:pStyle w:val="Cita"/>
        <w:ind w:left="284" w:right="284"/>
        <w:rPr>
          <w:rFonts w:ascii="Bookman Old Style" w:hAnsi="Bookman Old Style"/>
          <w:sz w:val="22"/>
        </w:rPr>
      </w:pPr>
      <w:r w:rsidRPr="00BB0D44">
        <w:rPr>
          <w:rFonts w:ascii="Bookman Old Style" w:hAnsi="Bookman Old Style" w:cs="Bookman Old Style"/>
          <w:sz w:val="22"/>
        </w:rPr>
        <w:t>En efecto, la CREG conocía la inclusión que TRANSELCA S.A. E.S.P. debió hacer para poder reportar costos y gastos en cuentas que no</w:t>
      </w:r>
      <w:r w:rsidRPr="00BB0D44">
        <w:rPr>
          <w:rFonts w:ascii="Bookman Old Style" w:hAnsi="Bookman Old Style"/>
          <w:sz w:val="22"/>
        </w:rPr>
        <w:t xml:space="preserve"> existían en el PUC exigido para el reporte de información y no obstante en su análisis de la información para fijar el ingr</w:t>
      </w:r>
      <w:r w:rsidR="00BF09C9" w:rsidRPr="00BB0D44">
        <w:rPr>
          <w:rFonts w:ascii="Bookman Old Style" w:hAnsi="Bookman Old Style"/>
          <w:sz w:val="22"/>
        </w:rPr>
        <w:t>eso anual no la tiene en cuenta.</w:t>
      </w:r>
    </w:p>
    <w:p w:rsidR="00941AC6" w:rsidRPr="00941AC6" w:rsidRDefault="00941AC6" w:rsidP="00941AC6">
      <w:pPr>
        <w:rPr>
          <w:lang w:val="es-CO" w:eastAsia="en-US"/>
        </w:rPr>
      </w:pPr>
    </w:p>
    <w:p w:rsidR="00BF09C9" w:rsidRPr="004F7234" w:rsidRDefault="00BF09C9">
      <w:pPr>
        <w:rPr>
          <w:lang w:val="es-CO" w:eastAsia="en-US"/>
        </w:rPr>
      </w:pPr>
      <w:r w:rsidRPr="004F7234">
        <w:rPr>
          <w:lang w:val="es-CO" w:eastAsia="en-US"/>
        </w:rPr>
        <w:t>En el documento</w:t>
      </w:r>
      <w:r w:rsidR="004F7234" w:rsidRPr="004F7234">
        <w:rPr>
          <w:lang w:val="es-CO" w:eastAsia="en-US"/>
        </w:rPr>
        <w:t>,</w:t>
      </w:r>
      <w:r w:rsidRPr="004F7234">
        <w:rPr>
          <w:lang w:val="es-CO" w:eastAsia="en-US"/>
        </w:rPr>
        <w:t xml:space="preserve"> la empresa presenta los casos en que según ella utilizó cuentas incluidas en la Circular</w:t>
      </w:r>
      <w:r w:rsidR="004F7234" w:rsidRPr="004F7234">
        <w:rPr>
          <w:lang w:val="es-CO" w:eastAsia="en-US"/>
        </w:rPr>
        <w:t xml:space="preserve"> 085 de 2008 para </w:t>
      </w:r>
      <w:r w:rsidR="008331B3">
        <w:rPr>
          <w:lang w:val="es-CO" w:eastAsia="en-US"/>
        </w:rPr>
        <w:t>adicionarle</w:t>
      </w:r>
      <w:r w:rsidR="007F2485">
        <w:rPr>
          <w:lang w:val="es-CO" w:eastAsia="en-US"/>
        </w:rPr>
        <w:t>s</w:t>
      </w:r>
      <w:r w:rsidR="004F7234" w:rsidRPr="004F7234">
        <w:rPr>
          <w:lang w:val="es-CO" w:eastAsia="en-US"/>
        </w:rPr>
        <w:t xml:space="preserve"> valores de cuentas no incluidas en esta circular</w:t>
      </w:r>
      <w:r w:rsidR="004F7234">
        <w:rPr>
          <w:lang w:val="es-CO" w:eastAsia="en-US"/>
        </w:rPr>
        <w:t>, aquí se incluye un resumen</w:t>
      </w:r>
      <w:r w:rsidR="004F7234" w:rsidRPr="004F7234">
        <w:rPr>
          <w:lang w:val="es-CO" w:eastAsia="en-US"/>
        </w:rPr>
        <w:t>:</w:t>
      </w:r>
    </w:p>
    <w:p w:rsidR="004F7234" w:rsidRPr="004F7234" w:rsidRDefault="004F7234">
      <w:pPr>
        <w:rPr>
          <w:lang w:val="es-CO"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0"/>
        <w:gridCol w:w="2977"/>
      </w:tblGrid>
      <w:tr w:rsidR="00126C44" w:rsidRPr="004F7234" w:rsidTr="005F5663">
        <w:trPr>
          <w:tblHeader/>
          <w:jc w:val="center"/>
        </w:trPr>
        <w:tc>
          <w:tcPr>
            <w:tcW w:w="2960" w:type="dxa"/>
            <w:vAlign w:val="center"/>
          </w:tcPr>
          <w:p w:rsidR="00126C44" w:rsidRPr="00126C44" w:rsidRDefault="00126C44">
            <w:pPr>
              <w:jc w:val="center"/>
              <w:rPr>
                <w:b/>
                <w:sz w:val="20"/>
                <w:lang w:val="es-CO" w:eastAsia="en-US"/>
              </w:rPr>
            </w:pPr>
            <w:r w:rsidRPr="00126C44">
              <w:rPr>
                <w:b/>
                <w:sz w:val="20"/>
                <w:lang w:val="es-CO" w:eastAsia="en-US"/>
              </w:rPr>
              <w:t>Cuenta utilizada (contenida en la Circular 085 de 2008)</w:t>
            </w:r>
          </w:p>
        </w:tc>
        <w:tc>
          <w:tcPr>
            <w:tcW w:w="2977" w:type="dxa"/>
            <w:vAlign w:val="center"/>
          </w:tcPr>
          <w:p w:rsidR="00126C44" w:rsidRPr="00126C44" w:rsidRDefault="00126C44">
            <w:pPr>
              <w:jc w:val="center"/>
              <w:rPr>
                <w:b/>
                <w:sz w:val="20"/>
                <w:lang w:val="es-CO" w:eastAsia="en-US"/>
              </w:rPr>
            </w:pPr>
            <w:r w:rsidRPr="00126C44">
              <w:rPr>
                <w:b/>
                <w:sz w:val="20"/>
                <w:lang w:val="es-CO" w:eastAsia="en-US"/>
              </w:rPr>
              <w:t>Cuenta adicionada (no contenida en la Circular 085 de 2008)</w:t>
            </w:r>
          </w:p>
        </w:tc>
      </w:tr>
      <w:tr w:rsidR="00126C44" w:rsidRPr="004F7234" w:rsidTr="005F5663">
        <w:trPr>
          <w:jc w:val="center"/>
        </w:trPr>
        <w:tc>
          <w:tcPr>
            <w:tcW w:w="2960" w:type="dxa"/>
            <w:vAlign w:val="center"/>
          </w:tcPr>
          <w:p w:rsidR="00126C44" w:rsidRPr="00126C44" w:rsidRDefault="00126C44" w:rsidP="001A102C">
            <w:pPr>
              <w:jc w:val="center"/>
              <w:rPr>
                <w:sz w:val="20"/>
                <w:lang w:val="es-CO" w:eastAsia="en-US"/>
              </w:rPr>
            </w:pPr>
            <w:r w:rsidRPr="00126C44">
              <w:rPr>
                <w:sz w:val="20"/>
                <w:lang w:val="es-CO" w:eastAsia="en-US"/>
              </w:rPr>
              <w:t>751037</w:t>
            </w:r>
          </w:p>
        </w:tc>
        <w:tc>
          <w:tcPr>
            <w:tcW w:w="2977" w:type="dxa"/>
            <w:vAlign w:val="center"/>
          </w:tcPr>
          <w:p w:rsidR="00126C44" w:rsidRPr="00126C44" w:rsidRDefault="00126C44" w:rsidP="00BD67E2">
            <w:pPr>
              <w:jc w:val="center"/>
              <w:rPr>
                <w:sz w:val="20"/>
                <w:lang w:val="es-CO" w:eastAsia="en-US"/>
              </w:rPr>
            </w:pPr>
            <w:r w:rsidRPr="00126C44">
              <w:rPr>
                <w:sz w:val="20"/>
                <w:lang w:val="es-CO" w:eastAsia="en-US"/>
              </w:rPr>
              <w:t>751701</w:t>
            </w:r>
          </w:p>
        </w:tc>
      </w:tr>
      <w:tr w:rsidR="00126C44" w:rsidRPr="004F7234" w:rsidTr="005F5663">
        <w:trPr>
          <w:jc w:val="center"/>
        </w:trPr>
        <w:tc>
          <w:tcPr>
            <w:tcW w:w="2960" w:type="dxa"/>
            <w:vAlign w:val="center"/>
          </w:tcPr>
          <w:p w:rsidR="00126C44" w:rsidRPr="00126C44" w:rsidRDefault="00126C44" w:rsidP="001A102C">
            <w:pPr>
              <w:jc w:val="center"/>
              <w:rPr>
                <w:sz w:val="20"/>
                <w:lang w:val="es-CO" w:eastAsia="en-US"/>
              </w:rPr>
            </w:pPr>
            <w:r w:rsidRPr="00126C44">
              <w:rPr>
                <w:sz w:val="20"/>
                <w:lang w:val="es-CO" w:eastAsia="en-US"/>
              </w:rPr>
              <w:t>511190</w:t>
            </w:r>
          </w:p>
        </w:tc>
        <w:tc>
          <w:tcPr>
            <w:tcW w:w="2977" w:type="dxa"/>
            <w:vAlign w:val="center"/>
          </w:tcPr>
          <w:p w:rsidR="00126C44" w:rsidRPr="00126C44" w:rsidRDefault="00126C44" w:rsidP="00BD67E2">
            <w:pPr>
              <w:jc w:val="center"/>
              <w:rPr>
                <w:sz w:val="20"/>
                <w:lang w:val="es-CO" w:eastAsia="en-US"/>
              </w:rPr>
            </w:pPr>
            <w:r w:rsidRPr="00126C44">
              <w:rPr>
                <w:sz w:val="20"/>
                <w:lang w:val="es-CO" w:eastAsia="en-US"/>
              </w:rPr>
              <w:t>511118</w:t>
            </w:r>
          </w:p>
        </w:tc>
      </w:tr>
      <w:tr w:rsidR="00126C44" w:rsidRPr="004F7234" w:rsidTr="005F5663">
        <w:trPr>
          <w:jc w:val="center"/>
        </w:trPr>
        <w:tc>
          <w:tcPr>
            <w:tcW w:w="2960" w:type="dxa"/>
            <w:vAlign w:val="center"/>
          </w:tcPr>
          <w:p w:rsidR="00126C44" w:rsidRPr="00126C44" w:rsidRDefault="00126C44" w:rsidP="001A102C">
            <w:pPr>
              <w:jc w:val="center"/>
              <w:rPr>
                <w:sz w:val="20"/>
                <w:lang w:val="es-CO" w:eastAsia="en-US"/>
              </w:rPr>
            </w:pPr>
            <w:r w:rsidRPr="00126C44">
              <w:rPr>
                <w:sz w:val="20"/>
                <w:lang w:val="es-CO" w:eastAsia="en-US"/>
              </w:rPr>
              <w:t>751090</w:t>
            </w:r>
          </w:p>
        </w:tc>
        <w:tc>
          <w:tcPr>
            <w:tcW w:w="2977" w:type="dxa"/>
            <w:vAlign w:val="center"/>
          </w:tcPr>
          <w:p w:rsidR="00126C44" w:rsidRPr="00126C44" w:rsidRDefault="00126C44" w:rsidP="00BD67E2">
            <w:pPr>
              <w:jc w:val="center"/>
              <w:rPr>
                <w:sz w:val="20"/>
                <w:lang w:val="es-CO" w:eastAsia="en-US"/>
              </w:rPr>
            </w:pPr>
            <w:r w:rsidRPr="00126C44">
              <w:rPr>
                <w:sz w:val="20"/>
                <w:lang w:val="es-CO" w:eastAsia="en-US"/>
              </w:rPr>
              <w:t>753007</w:t>
            </w:r>
          </w:p>
        </w:tc>
      </w:tr>
      <w:tr w:rsidR="00126C44" w:rsidRPr="004F7234" w:rsidTr="005F5663">
        <w:trPr>
          <w:jc w:val="center"/>
        </w:trPr>
        <w:tc>
          <w:tcPr>
            <w:tcW w:w="2960" w:type="dxa"/>
            <w:vAlign w:val="center"/>
          </w:tcPr>
          <w:p w:rsidR="00126C44" w:rsidRPr="00126C44" w:rsidRDefault="00126C44" w:rsidP="001A102C">
            <w:pPr>
              <w:jc w:val="center"/>
              <w:rPr>
                <w:sz w:val="20"/>
                <w:lang w:val="es-CO" w:eastAsia="en-US"/>
              </w:rPr>
            </w:pPr>
            <w:r w:rsidRPr="00126C44">
              <w:rPr>
                <w:sz w:val="20"/>
                <w:lang w:val="es-CO" w:eastAsia="en-US"/>
              </w:rPr>
              <w:t>755090</w:t>
            </w:r>
          </w:p>
        </w:tc>
        <w:tc>
          <w:tcPr>
            <w:tcW w:w="2977" w:type="dxa"/>
            <w:vAlign w:val="center"/>
          </w:tcPr>
          <w:p w:rsidR="00126C44" w:rsidRPr="00126C44" w:rsidRDefault="00126C44" w:rsidP="00BD67E2">
            <w:pPr>
              <w:jc w:val="center"/>
              <w:rPr>
                <w:sz w:val="20"/>
                <w:lang w:val="es-CO" w:eastAsia="en-US"/>
              </w:rPr>
            </w:pPr>
            <w:r w:rsidRPr="00126C44">
              <w:rPr>
                <w:sz w:val="20"/>
                <w:lang w:val="es-CO" w:eastAsia="en-US"/>
              </w:rPr>
              <w:t>753007</w:t>
            </w:r>
          </w:p>
        </w:tc>
      </w:tr>
      <w:tr w:rsidR="00126C44" w:rsidRPr="004F7234" w:rsidTr="005F5663">
        <w:trPr>
          <w:jc w:val="center"/>
        </w:trPr>
        <w:tc>
          <w:tcPr>
            <w:tcW w:w="2960" w:type="dxa"/>
            <w:vAlign w:val="center"/>
          </w:tcPr>
          <w:p w:rsidR="00126C44" w:rsidRPr="00126C44" w:rsidRDefault="00126C44" w:rsidP="001A102C">
            <w:pPr>
              <w:jc w:val="center"/>
              <w:rPr>
                <w:sz w:val="20"/>
                <w:lang w:val="es-CO" w:eastAsia="en-US"/>
              </w:rPr>
            </w:pPr>
            <w:r w:rsidRPr="00126C44">
              <w:rPr>
                <w:sz w:val="20"/>
                <w:lang w:val="es-CO" w:eastAsia="en-US"/>
              </w:rPr>
              <w:t>512090</w:t>
            </w:r>
          </w:p>
        </w:tc>
        <w:tc>
          <w:tcPr>
            <w:tcW w:w="2977" w:type="dxa"/>
            <w:vAlign w:val="center"/>
          </w:tcPr>
          <w:p w:rsidR="00126C44" w:rsidRPr="00126C44" w:rsidRDefault="00126C44" w:rsidP="00BD67E2">
            <w:pPr>
              <w:jc w:val="center"/>
              <w:rPr>
                <w:sz w:val="20"/>
                <w:lang w:val="es-CO" w:eastAsia="en-US"/>
              </w:rPr>
            </w:pPr>
            <w:r w:rsidRPr="00126C44">
              <w:rPr>
                <w:sz w:val="20"/>
                <w:lang w:val="es-CO" w:eastAsia="en-US"/>
              </w:rPr>
              <w:t>531302</w:t>
            </w:r>
          </w:p>
        </w:tc>
      </w:tr>
      <w:tr w:rsidR="00126C44" w:rsidRPr="004F7234" w:rsidTr="005F5663">
        <w:trPr>
          <w:jc w:val="center"/>
        </w:trPr>
        <w:tc>
          <w:tcPr>
            <w:tcW w:w="2960" w:type="dxa"/>
            <w:vAlign w:val="center"/>
          </w:tcPr>
          <w:p w:rsidR="00126C44" w:rsidRPr="00126C44" w:rsidRDefault="00126C44" w:rsidP="001A102C">
            <w:pPr>
              <w:jc w:val="center"/>
              <w:rPr>
                <w:sz w:val="20"/>
                <w:lang w:val="es-CO" w:eastAsia="en-US"/>
              </w:rPr>
            </w:pPr>
            <w:r w:rsidRPr="00126C44">
              <w:rPr>
                <w:sz w:val="20"/>
                <w:lang w:val="es-CO" w:eastAsia="en-US"/>
              </w:rPr>
              <w:t>510204</w:t>
            </w:r>
          </w:p>
        </w:tc>
        <w:tc>
          <w:tcPr>
            <w:tcW w:w="2977" w:type="dxa"/>
            <w:vAlign w:val="center"/>
          </w:tcPr>
          <w:p w:rsidR="00126C44" w:rsidRPr="00126C44" w:rsidRDefault="00126C44" w:rsidP="00BD67E2">
            <w:pPr>
              <w:jc w:val="center"/>
              <w:rPr>
                <w:sz w:val="20"/>
                <w:lang w:val="es-CO" w:eastAsia="en-US"/>
              </w:rPr>
            </w:pPr>
            <w:r w:rsidRPr="00126C44">
              <w:rPr>
                <w:sz w:val="20"/>
                <w:lang w:val="es-CO" w:eastAsia="en-US"/>
              </w:rPr>
              <w:t>510308</w:t>
            </w:r>
          </w:p>
        </w:tc>
      </w:tr>
      <w:tr w:rsidR="00126C44" w:rsidRPr="004F7234" w:rsidTr="005F5663">
        <w:trPr>
          <w:jc w:val="center"/>
        </w:trPr>
        <w:tc>
          <w:tcPr>
            <w:tcW w:w="2960" w:type="dxa"/>
            <w:vAlign w:val="center"/>
          </w:tcPr>
          <w:p w:rsidR="00126C44" w:rsidRPr="00126C44" w:rsidRDefault="00126C44" w:rsidP="001A102C">
            <w:pPr>
              <w:jc w:val="center"/>
              <w:rPr>
                <w:sz w:val="20"/>
                <w:lang w:val="es-CO" w:eastAsia="en-US"/>
              </w:rPr>
            </w:pPr>
            <w:r w:rsidRPr="00126C44">
              <w:rPr>
                <w:sz w:val="20"/>
                <w:lang w:val="es-CO" w:eastAsia="en-US"/>
              </w:rPr>
              <w:t>510290</w:t>
            </w:r>
          </w:p>
        </w:tc>
        <w:tc>
          <w:tcPr>
            <w:tcW w:w="2977" w:type="dxa"/>
            <w:vAlign w:val="center"/>
          </w:tcPr>
          <w:p w:rsidR="00126C44" w:rsidRPr="00126C44" w:rsidRDefault="00126C44" w:rsidP="00BD67E2">
            <w:pPr>
              <w:jc w:val="center"/>
              <w:rPr>
                <w:sz w:val="20"/>
                <w:lang w:val="es-CO" w:eastAsia="en-US"/>
              </w:rPr>
            </w:pPr>
            <w:r w:rsidRPr="00126C44">
              <w:rPr>
                <w:sz w:val="20"/>
                <w:lang w:val="es-CO" w:eastAsia="en-US"/>
              </w:rPr>
              <w:t>510308</w:t>
            </w:r>
          </w:p>
        </w:tc>
      </w:tr>
      <w:tr w:rsidR="00126C44" w:rsidRPr="004F7234" w:rsidTr="005F5663">
        <w:trPr>
          <w:jc w:val="center"/>
        </w:trPr>
        <w:tc>
          <w:tcPr>
            <w:tcW w:w="2960" w:type="dxa"/>
            <w:vAlign w:val="center"/>
          </w:tcPr>
          <w:p w:rsidR="00126C44" w:rsidRPr="00126C44" w:rsidRDefault="00126C44" w:rsidP="001A102C">
            <w:pPr>
              <w:jc w:val="center"/>
              <w:rPr>
                <w:sz w:val="20"/>
                <w:lang w:val="es-CO" w:eastAsia="en-US"/>
              </w:rPr>
            </w:pPr>
            <w:r w:rsidRPr="00126C44">
              <w:rPr>
                <w:sz w:val="20"/>
                <w:lang w:val="es-CO" w:eastAsia="en-US"/>
              </w:rPr>
              <w:t>751090</w:t>
            </w:r>
          </w:p>
        </w:tc>
        <w:tc>
          <w:tcPr>
            <w:tcW w:w="2977" w:type="dxa"/>
            <w:vAlign w:val="center"/>
          </w:tcPr>
          <w:p w:rsidR="00126C44" w:rsidRPr="00126C44" w:rsidRDefault="00126C44" w:rsidP="00BD67E2">
            <w:pPr>
              <w:jc w:val="center"/>
              <w:rPr>
                <w:sz w:val="20"/>
                <w:lang w:val="es-CO" w:eastAsia="en-US"/>
              </w:rPr>
            </w:pPr>
            <w:r w:rsidRPr="00126C44">
              <w:rPr>
                <w:sz w:val="20"/>
                <w:lang w:val="es-CO" w:eastAsia="en-US"/>
              </w:rPr>
              <w:t>751700</w:t>
            </w:r>
          </w:p>
        </w:tc>
      </w:tr>
    </w:tbl>
    <w:p w:rsidR="004F7234" w:rsidRDefault="004F7234" w:rsidP="001A102C">
      <w:pPr>
        <w:rPr>
          <w:lang w:val="es-CO" w:eastAsia="en-US"/>
        </w:rPr>
      </w:pPr>
    </w:p>
    <w:p w:rsidR="007F2485" w:rsidRDefault="00A9400E" w:rsidP="003503FF">
      <w:pPr>
        <w:rPr>
          <w:lang w:val="es-CO" w:eastAsia="en-US"/>
        </w:rPr>
      </w:pPr>
      <w:r>
        <w:rPr>
          <w:lang w:val="es-CO" w:eastAsia="en-US"/>
        </w:rPr>
        <w:t xml:space="preserve">Continúa </w:t>
      </w:r>
      <w:r w:rsidR="00DE3846">
        <w:rPr>
          <w:lang w:val="es-CO" w:eastAsia="en-US"/>
        </w:rPr>
        <w:t>la</w:t>
      </w:r>
      <w:r>
        <w:rPr>
          <w:lang w:val="es-CO" w:eastAsia="en-US"/>
        </w:rPr>
        <w:t xml:space="preserve"> recurrente:</w:t>
      </w:r>
    </w:p>
    <w:p w:rsidR="00A9400E" w:rsidRDefault="00A9400E" w:rsidP="00170917">
      <w:pPr>
        <w:rPr>
          <w:lang w:val="es-CO" w:eastAsia="en-US"/>
        </w:rPr>
      </w:pPr>
    </w:p>
    <w:p w:rsidR="00A9400E" w:rsidRPr="00C516F4" w:rsidRDefault="00A9400E">
      <w:pPr>
        <w:pStyle w:val="Cita"/>
        <w:ind w:left="284" w:right="284"/>
        <w:rPr>
          <w:rFonts w:ascii="Bookman Old Style" w:hAnsi="Bookman Old Style"/>
          <w:sz w:val="22"/>
          <w:u w:val="single"/>
        </w:rPr>
      </w:pPr>
      <w:r w:rsidRPr="00C516F4">
        <w:rPr>
          <w:rFonts w:ascii="Bookman Old Style" w:hAnsi="Bookman Old Style"/>
          <w:sz w:val="22"/>
          <w:u w:val="single"/>
        </w:rPr>
        <w:t>- Costos y Gastos Solicitados en Cuentas Equivocadas</w:t>
      </w:r>
    </w:p>
    <w:p w:rsidR="00A9400E" w:rsidRDefault="00A9400E">
      <w:pPr>
        <w:pStyle w:val="Cita"/>
        <w:ind w:left="284" w:right="284"/>
        <w:rPr>
          <w:rFonts w:ascii="Bookman Old Style" w:hAnsi="Bookman Old Style"/>
          <w:sz w:val="22"/>
        </w:rPr>
      </w:pPr>
      <w:r w:rsidRPr="00A9400E">
        <w:rPr>
          <w:rFonts w:ascii="Bookman Old Style" w:hAnsi="Bookman Old Style"/>
          <w:sz w:val="22"/>
        </w:rPr>
        <w:t xml:space="preserve">TRANSELCA S.A. E.S.P. por inadvertido error, agrupó en determinadas </w:t>
      </w:r>
      <w:r>
        <w:rPr>
          <w:rFonts w:ascii="Bookman Old Style" w:hAnsi="Bookman Old Style"/>
          <w:sz w:val="22"/>
        </w:rPr>
        <w:t>c</w:t>
      </w:r>
      <w:r w:rsidRPr="00A9400E">
        <w:rPr>
          <w:rFonts w:ascii="Bookman Old Style" w:hAnsi="Bookman Old Style"/>
          <w:sz w:val="22"/>
        </w:rPr>
        <w:t xml:space="preserve">uentas de </w:t>
      </w:r>
      <w:r>
        <w:rPr>
          <w:rFonts w:ascii="Bookman Old Style" w:hAnsi="Bookman Old Style"/>
          <w:sz w:val="22"/>
        </w:rPr>
        <w:t>c</w:t>
      </w:r>
      <w:r w:rsidRPr="00A9400E">
        <w:rPr>
          <w:rFonts w:ascii="Bookman Old Style" w:hAnsi="Bookman Old Style"/>
          <w:sz w:val="22"/>
        </w:rPr>
        <w:t xml:space="preserve">ostos y gastos que correspondían a </w:t>
      </w:r>
      <w:r>
        <w:rPr>
          <w:rFonts w:ascii="Bookman Old Style" w:hAnsi="Bookman Old Style"/>
          <w:sz w:val="22"/>
        </w:rPr>
        <w:t>c</w:t>
      </w:r>
      <w:r w:rsidRPr="00A9400E">
        <w:rPr>
          <w:rFonts w:ascii="Bookman Old Style" w:hAnsi="Bookman Old Style"/>
          <w:sz w:val="22"/>
        </w:rPr>
        <w:t xml:space="preserve">uentas de diferente </w:t>
      </w:r>
      <w:r>
        <w:rPr>
          <w:rFonts w:ascii="Bookman Old Style" w:hAnsi="Bookman Old Style"/>
          <w:sz w:val="22"/>
        </w:rPr>
        <w:t>c</w:t>
      </w:r>
      <w:r w:rsidRPr="00A9400E">
        <w:rPr>
          <w:rFonts w:ascii="Bookman Old Style" w:hAnsi="Bookman Old Style"/>
          <w:sz w:val="22"/>
        </w:rPr>
        <w:t>ódigo, que dada la metodología utilizada por la CREG generó una reducción para el AOM, así:</w:t>
      </w:r>
    </w:p>
    <w:p w:rsidR="00A9400E" w:rsidRDefault="00A9400E">
      <w:pPr>
        <w:pStyle w:val="Cita"/>
        <w:ind w:left="284" w:right="284" w:firstLine="282"/>
        <w:rPr>
          <w:rFonts w:ascii="Bookman Old Style" w:hAnsi="Bookman Old Style"/>
          <w:sz w:val="22"/>
        </w:rPr>
      </w:pPr>
      <w:r w:rsidRPr="00A9400E">
        <w:rPr>
          <w:rFonts w:ascii="Bookman Old Style" w:hAnsi="Bookman Old Style"/>
          <w:sz w:val="22"/>
        </w:rPr>
        <w:t xml:space="preserve"> </w:t>
      </w:r>
      <w:r w:rsidR="00C516F4">
        <w:rPr>
          <w:rFonts w:ascii="Bookman Old Style" w:hAnsi="Bookman Old Style"/>
          <w:sz w:val="22"/>
        </w:rPr>
        <w:tab/>
        <w:t>-</w:t>
      </w:r>
      <w:r w:rsidRPr="00A9400E">
        <w:rPr>
          <w:rFonts w:ascii="Bookman Old Style" w:hAnsi="Bookman Old Style"/>
          <w:sz w:val="22"/>
        </w:rPr>
        <w:t xml:space="preserve"> Impuesto Seguridad Democrática</w:t>
      </w:r>
    </w:p>
    <w:p w:rsidR="00C1381C" w:rsidRDefault="00A9400E">
      <w:pPr>
        <w:pStyle w:val="Cita"/>
        <w:ind w:left="284" w:right="284"/>
        <w:rPr>
          <w:rFonts w:ascii="Bookman Old Style" w:hAnsi="Bookman Old Style"/>
          <w:sz w:val="22"/>
        </w:rPr>
      </w:pPr>
      <w:r w:rsidRPr="00A9400E">
        <w:rPr>
          <w:rFonts w:ascii="Bookman Old Style" w:hAnsi="Bookman Old Style"/>
          <w:sz w:val="22"/>
        </w:rPr>
        <w:t xml:space="preserve">En relación </w:t>
      </w:r>
      <w:r>
        <w:rPr>
          <w:rFonts w:ascii="Bookman Old Style" w:hAnsi="Bookman Old Style"/>
          <w:sz w:val="22"/>
        </w:rPr>
        <w:t>c</w:t>
      </w:r>
      <w:r w:rsidRPr="00A9400E">
        <w:rPr>
          <w:rFonts w:ascii="Bookman Old Style" w:hAnsi="Bookman Old Style"/>
          <w:sz w:val="22"/>
        </w:rPr>
        <w:t xml:space="preserve">on el Impuesto Seguridad Democrática Correspondiente a los años 2006 y 2007, se clasificaron en el </w:t>
      </w:r>
      <w:r>
        <w:rPr>
          <w:rFonts w:ascii="Bookman Old Style" w:hAnsi="Bookman Old Style"/>
          <w:sz w:val="22"/>
        </w:rPr>
        <w:t>c</w:t>
      </w:r>
      <w:r w:rsidRPr="00A9400E">
        <w:rPr>
          <w:rFonts w:ascii="Bookman Old Style" w:hAnsi="Bookman Old Style"/>
          <w:sz w:val="22"/>
        </w:rPr>
        <w:t xml:space="preserve">ódigo 512090 </w:t>
      </w:r>
      <w:r>
        <w:rPr>
          <w:rFonts w:ascii="Bookman Old Style" w:hAnsi="Bookman Old Style"/>
          <w:sz w:val="22"/>
        </w:rPr>
        <w:t>c</w:t>
      </w:r>
      <w:r w:rsidRPr="00A9400E">
        <w:rPr>
          <w:rFonts w:ascii="Bookman Old Style" w:hAnsi="Bookman Old Style"/>
          <w:sz w:val="22"/>
        </w:rPr>
        <w:t xml:space="preserve">orrespondiente a Otros impuestos y contribuciones, siendo lo correcto el </w:t>
      </w:r>
      <w:r>
        <w:rPr>
          <w:rFonts w:ascii="Bookman Old Style" w:hAnsi="Bookman Old Style"/>
          <w:sz w:val="22"/>
        </w:rPr>
        <w:t>c</w:t>
      </w:r>
      <w:r w:rsidRPr="00A9400E">
        <w:rPr>
          <w:rFonts w:ascii="Bookman Old Style" w:hAnsi="Bookman Old Style"/>
          <w:sz w:val="22"/>
        </w:rPr>
        <w:t xml:space="preserve">ódigo 512021, lo cual origina que </w:t>
      </w:r>
      <w:r w:rsidRPr="00A9400E">
        <w:rPr>
          <w:rFonts w:ascii="Bookman Old Style" w:hAnsi="Bookman Old Style"/>
          <w:sz w:val="22"/>
        </w:rPr>
        <w:lastRenderedPageBreak/>
        <w:t xml:space="preserve">en el año 2006 no </w:t>
      </w:r>
      <w:r>
        <w:rPr>
          <w:rFonts w:ascii="Bookman Old Style" w:hAnsi="Bookman Old Style"/>
          <w:sz w:val="22"/>
        </w:rPr>
        <w:t>f</w:t>
      </w:r>
      <w:r w:rsidRPr="00A9400E">
        <w:rPr>
          <w:rFonts w:ascii="Bookman Old Style" w:hAnsi="Bookman Old Style"/>
          <w:sz w:val="22"/>
        </w:rPr>
        <w:t>ueran reconocidos $494.179.088.48 y en año 2007 $437.984.610.21</w:t>
      </w:r>
      <w:r w:rsidR="00C1381C">
        <w:rPr>
          <w:rFonts w:ascii="Bookman Old Style" w:hAnsi="Bookman Old Style"/>
          <w:sz w:val="22"/>
        </w:rPr>
        <w:t>.</w:t>
      </w:r>
    </w:p>
    <w:p w:rsidR="00C1381C" w:rsidRDefault="00C1381C">
      <w:pPr>
        <w:pStyle w:val="Cita"/>
        <w:keepNext/>
        <w:ind w:left="284" w:right="284" w:firstLine="284"/>
        <w:rPr>
          <w:rFonts w:ascii="Bookman Old Style" w:hAnsi="Bookman Old Style"/>
          <w:sz w:val="22"/>
        </w:rPr>
      </w:pPr>
      <w:r>
        <w:rPr>
          <w:rFonts w:ascii="Bookman Old Style" w:hAnsi="Bookman Old Style"/>
          <w:sz w:val="22"/>
        </w:rPr>
        <w:t xml:space="preserve">- </w:t>
      </w:r>
      <w:r w:rsidRPr="00C1381C">
        <w:rPr>
          <w:rFonts w:ascii="Bookman Old Style" w:hAnsi="Bookman Old Style"/>
          <w:sz w:val="22"/>
        </w:rPr>
        <w:t>Mantenimiento de Líneas</w:t>
      </w:r>
    </w:p>
    <w:p w:rsidR="00C1381C" w:rsidRDefault="00C1381C">
      <w:pPr>
        <w:pStyle w:val="Cita"/>
        <w:ind w:left="284" w:right="284"/>
        <w:rPr>
          <w:rFonts w:ascii="Bookman Old Style" w:hAnsi="Bookman Old Style"/>
          <w:sz w:val="22"/>
        </w:rPr>
      </w:pPr>
      <w:r w:rsidRPr="00C1381C">
        <w:rPr>
          <w:rFonts w:ascii="Bookman Old Style" w:hAnsi="Bookman Old Style"/>
          <w:sz w:val="22"/>
        </w:rPr>
        <w:t xml:space="preserve">En relación con los </w:t>
      </w:r>
      <w:r>
        <w:rPr>
          <w:rFonts w:ascii="Bookman Old Style" w:hAnsi="Bookman Old Style"/>
          <w:sz w:val="22"/>
        </w:rPr>
        <w:t>c</w:t>
      </w:r>
      <w:r w:rsidRPr="00C1381C">
        <w:rPr>
          <w:rFonts w:ascii="Bookman Old Style" w:hAnsi="Bookman Old Style"/>
          <w:sz w:val="22"/>
        </w:rPr>
        <w:t xml:space="preserve">ostos y gastos en Mantenimiento de Líneas </w:t>
      </w:r>
      <w:r>
        <w:rPr>
          <w:rFonts w:ascii="Bookman Old Style" w:hAnsi="Bookman Old Style"/>
          <w:sz w:val="22"/>
        </w:rPr>
        <w:t>c</w:t>
      </w:r>
      <w:r w:rsidRPr="00C1381C">
        <w:rPr>
          <w:rFonts w:ascii="Bookman Old Style" w:hAnsi="Bookman Old Style"/>
          <w:sz w:val="22"/>
        </w:rPr>
        <w:t xml:space="preserve">orrespondiente al año 2005, </w:t>
      </w:r>
      <w:r>
        <w:rPr>
          <w:rFonts w:ascii="Bookman Old Style" w:hAnsi="Bookman Old Style"/>
          <w:sz w:val="22"/>
        </w:rPr>
        <w:t>s</w:t>
      </w:r>
      <w:r w:rsidRPr="00C1381C">
        <w:rPr>
          <w:rFonts w:ascii="Bookman Old Style" w:hAnsi="Bookman Old Style"/>
          <w:sz w:val="22"/>
        </w:rPr>
        <w:t xml:space="preserve">e clasificaron en el </w:t>
      </w:r>
      <w:r>
        <w:rPr>
          <w:rFonts w:ascii="Bookman Old Style" w:hAnsi="Bookman Old Style"/>
          <w:sz w:val="22"/>
        </w:rPr>
        <w:t>c</w:t>
      </w:r>
      <w:r w:rsidRPr="00C1381C">
        <w:rPr>
          <w:rFonts w:ascii="Bookman Old Style" w:hAnsi="Bookman Old Style"/>
          <w:sz w:val="22"/>
        </w:rPr>
        <w:t xml:space="preserve">ódigo 754007 correspondiente a Mantenimiento de Plantas, siendo lo correcto el </w:t>
      </w:r>
      <w:r>
        <w:rPr>
          <w:rFonts w:ascii="Bookman Old Style" w:hAnsi="Bookman Old Style"/>
          <w:sz w:val="22"/>
        </w:rPr>
        <w:t>c</w:t>
      </w:r>
      <w:r w:rsidRPr="00C1381C">
        <w:rPr>
          <w:rFonts w:ascii="Bookman Old Style" w:hAnsi="Bookman Old Style"/>
          <w:sz w:val="22"/>
        </w:rPr>
        <w:t>ódigo 754008, lo cual origina que en el año 2005 no fueran recono</w:t>
      </w:r>
      <w:r>
        <w:rPr>
          <w:rFonts w:ascii="Bookman Old Style" w:hAnsi="Bookman Old Style"/>
          <w:sz w:val="22"/>
        </w:rPr>
        <w:t>c</w:t>
      </w:r>
      <w:r w:rsidRPr="00C1381C">
        <w:rPr>
          <w:rFonts w:ascii="Bookman Old Style" w:hAnsi="Bookman Old Style"/>
          <w:sz w:val="22"/>
        </w:rPr>
        <w:t>idos $849.325.973.58</w:t>
      </w:r>
      <w:r>
        <w:rPr>
          <w:rFonts w:ascii="Bookman Old Style" w:hAnsi="Bookman Old Style"/>
          <w:sz w:val="22"/>
        </w:rPr>
        <w:t>.</w:t>
      </w:r>
    </w:p>
    <w:p w:rsidR="00C1381C" w:rsidRDefault="00C1381C">
      <w:pPr>
        <w:pStyle w:val="Cita"/>
        <w:ind w:left="284" w:right="284" w:firstLine="282"/>
        <w:rPr>
          <w:rFonts w:ascii="Bookman Old Style" w:hAnsi="Bookman Old Style"/>
          <w:sz w:val="22"/>
        </w:rPr>
      </w:pPr>
      <w:r>
        <w:rPr>
          <w:rFonts w:ascii="Bookman Old Style" w:hAnsi="Bookman Old Style"/>
          <w:sz w:val="22"/>
        </w:rPr>
        <w:t xml:space="preserve">- </w:t>
      </w:r>
      <w:r w:rsidRPr="00C1381C">
        <w:rPr>
          <w:rFonts w:ascii="Bookman Old Style" w:hAnsi="Bookman Old Style"/>
          <w:sz w:val="22"/>
        </w:rPr>
        <w:t>Apo</w:t>
      </w:r>
      <w:r>
        <w:rPr>
          <w:rFonts w:ascii="Bookman Old Style" w:hAnsi="Bookman Old Style"/>
          <w:sz w:val="22"/>
        </w:rPr>
        <w:t>rt</w:t>
      </w:r>
      <w:r w:rsidRPr="00C1381C">
        <w:rPr>
          <w:rFonts w:ascii="Bookman Old Style" w:hAnsi="Bookman Old Style"/>
          <w:sz w:val="22"/>
        </w:rPr>
        <w:t xml:space="preserve">es a la </w:t>
      </w:r>
      <w:r>
        <w:rPr>
          <w:rFonts w:ascii="Bookman Old Style" w:hAnsi="Bookman Old Style"/>
          <w:sz w:val="22"/>
        </w:rPr>
        <w:t>s</w:t>
      </w:r>
      <w:r w:rsidRPr="00C1381C">
        <w:rPr>
          <w:rFonts w:ascii="Bookman Old Style" w:hAnsi="Bookman Old Style"/>
          <w:sz w:val="22"/>
        </w:rPr>
        <w:t xml:space="preserve">eguridad </w:t>
      </w:r>
      <w:r>
        <w:rPr>
          <w:rFonts w:ascii="Bookman Old Style" w:hAnsi="Bookman Old Style"/>
          <w:sz w:val="22"/>
        </w:rPr>
        <w:t>s</w:t>
      </w:r>
      <w:r w:rsidRPr="00C1381C">
        <w:rPr>
          <w:rFonts w:ascii="Bookman Old Style" w:hAnsi="Bookman Old Style"/>
          <w:sz w:val="22"/>
        </w:rPr>
        <w:t xml:space="preserve">ocial y </w:t>
      </w:r>
      <w:r>
        <w:rPr>
          <w:rFonts w:ascii="Bookman Old Style" w:hAnsi="Bookman Old Style"/>
          <w:sz w:val="22"/>
        </w:rPr>
        <w:t>o</w:t>
      </w:r>
      <w:r w:rsidRPr="00C1381C">
        <w:rPr>
          <w:rFonts w:ascii="Bookman Old Style" w:hAnsi="Bookman Old Style"/>
          <w:sz w:val="22"/>
        </w:rPr>
        <w:t xml:space="preserve">tras </w:t>
      </w:r>
      <w:r>
        <w:rPr>
          <w:rFonts w:ascii="Bookman Old Style" w:hAnsi="Bookman Old Style"/>
          <w:sz w:val="22"/>
        </w:rPr>
        <w:t>c</w:t>
      </w:r>
      <w:r w:rsidRPr="00C1381C">
        <w:rPr>
          <w:rFonts w:ascii="Bookman Old Style" w:hAnsi="Bookman Old Style"/>
          <w:sz w:val="22"/>
        </w:rPr>
        <w:t>uentas.</w:t>
      </w:r>
    </w:p>
    <w:p w:rsidR="009A22C0" w:rsidRDefault="00C516F4">
      <w:pPr>
        <w:pStyle w:val="Cita"/>
        <w:ind w:left="284" w:right="284"/>
        <w:rPr>
          <w:rFonts w:ascii="Bookman Old Style" w:hAnsi="Bookman Old Style"/>
          <w:sz w:val="22"/>
        </w:rPr>
      </w:pPr>
      <w:r w:rsidRPr="00C1381C">
        <w:rPr>
          <w:rFonts w:ascii="Bookman Old Style" w:hAnsi="Bookman Old Style"/>
          <w:sz w:val="22"/>
        </w:rPr>
        <w:t xml:space="preserve">En relación </w:t>
      </w:r>
      <w:r>
        <w:rPr>
          <w:rFonts w:ascii="Bookman Old Style" w:hAnsi="Bookman Old Style"/>
          <w:sz w:val="22"/>
        </w:rPr>
        <w:t>co</w:t>
      </w:r>
      <w:r w:rsidRPr="00C1381C">
        <w:rPr>
          <w:rFonts w:ascii="Bookman Old Style" w:hAnsi="Bookman Old Style"/>
          <w:sz w:val="22"/>
        </w:rPr>
        <w:t xml:space="preserve">n estas cuentas, aclaramos que en la solicitud del AOM, para estos años </w:t>
      </w:r>
      <w:r>
        <w:rPr>
          <w:rFonts w:ascii="Bookman Old Style" w:hAnsi="Bookman Old Style"/>
          <w:sz w:val="22"/>
        </w:rPr>
        <w:t>s</w:t>
      </w:r>
      <w:r w:rsidRPr="00C1381C">
        <w:rPr>
          <w:rFonts w:ascii="Bookman Old Style" w:hAnsi="Bookman Old Style"/>
          <w:sz w:val="22"/>
        </w:rPr>
        <w:t xml:space="preserve">e clasificaron en las </w:t>
      </w:r>
      <w:r>
        <w:rPr>
          <w:rFonts w:ascii="Bookman Old Style" w:hAnsi="Bookman Old Style"/>
          <w:sz w:val="22"/>
        </w:rPr>
        <w:t>c</w:t>
      </w:r>
      <w:r w:rsidRPr="00C1381C">
        <w:rPr>
          <w:rFonts w:ascii="Bookman Old Style" w:hAnsi="Bookman Old Style"/>
          <w:sz w:val="22"/>
        </w:rPr>
        <w:t xml:space="preserve">uentas </w:t>
      </w:r>
      <w:r>
        <w:rPr>
          <w:rFonts w:ascii="Bookman Old Style" w:hAnsi="Bookman Old Style"/>
          <w:sz w:val="22"/>
        </w:rPr>
        <w:t>c</w:t>
      </w:r>
      <w:r w:rsidRPr="00C1381C">
        <w:rPr>
          <w:rFonts w:ascii="Bookman Old Style" w:hAnsi="Bookman Old Style"/>
          <w:sz w:val="22"/>
        </w:rPr>
        <w:t xml:space="preserve">orrectas, </w:t>
      </w:r>
      <w:r>
        <w:rPr>
          <w:rFonts w:ascii="Bookman Old Style" w:hAnsi="Bookman Old Style"/>
          <w:sz w:val="22"/>
        </w:rPr>
        <w:t>s</w:t>
      </w:r>
      <w:r w:rsidRPr="00C1381C">
        <w:rPr>
          <w:rFonts w:ascii="Bookman Old Style" w:hAnsi="Bookman Old Style"/>
          <w:sz w:val="22"/>
        </w:rPr>
        <w:t>in embargo en l</w:t>
      </w:r>
      <w:r>
        <w:rPr>
          <w:rFonts w:ascii="Bookman Old Style" w:hAnsi="Bookman Old Style"/>
          <w:sz w:val="22"/>
        </w:rPr>
        <w:t>o</w:t>
      </w:r>
      <w:r w:rsidRPr="00C1381C">
        <w:rPr>
          <w:rFonts w:ascii="Bookman Old Style" w:hAnsi="Bookman Old Style"/>
          <w:sz w:val="22"/>
        </w:rPr>
        <w:t xml:space="preserve">s registros iniciales al SUI en </w:t>
      </w:r>
      <w:r>
        <w:rPr>
          <w:rFonts w:ascii="Bookman Old Style" w:hAnsi="Bookman Old Style"/>
          <w:sz w:val="22"/>
        </w:rPr>
        <w:t>o</w:t>
      </w:r>
      <w:r w:rsidRPr="00C1381C">
        <w:rPr>
          <w:rFonts w:ascii="Bookman Old Style" w:hAnsi="Bookman Old Style"/>
          <w:sz w:val="22"/>
        </w:rPr>
        <w:t xml:space="preserve">tros grupos de </w:t>
      </w:r>
      <w:r>
        <w:rPr>
          <w:rFonts w:ascii="Bookman Old Style" w:hAnsi="Bookman Old Style"/>
          <w:sz w:val="22"/>
        </w:rPr>
        <w:t>c</w:t>
      </w:r>
      <w:r w:rsidRPr="00C1381C">
        <w:rPr>
          <w:rFonts w:ascii="Bookman Old Style" w:hAnsi="Bookman Old Style"/>
          <w:sz w:val="22"/>
        </w:rPr>
        <w:t>uentas</w:t>
      </w:r>
    </w:p>
    <w:p w:rsidR="00C516F4" w:rsidRDefault="009A22C0">
      <w:pPr>
        <w:pStyle w:val="Cita"/>
        <w:ind w:left="284" w:right="284"/>
        <w:rPr>
          <w:rFonts w:ascii="Bookman Old Style" w:hAnsi="Bookman Old Style"/>
          <w:sz w:val="22"/>
        </w:rPr>
      </w:pPr>
      <w:r>
        <w:rPr>
          <w:rFonts w:ascii="Bookman Old Style" w:hAnsi="Bookman Old Style"/>
          <w:sz w:val="22"/>
        </w:rPr>
        <w:t>(</w:t>
      </w:r>
      <w:r w:rsidR="00C516F4">
        <w:rPr>
          <w:rFonts w:ascii="Bookman Old Style" w:hAnsi="Bookman Old Style"/>
          <w:sz w:val="22"/>
        </w:rPr>
        <w:t>…</w:t>
      </w:r>
      <w:r>
        <w:rPr>
          <w:rFonts w:ascii="Bookman Old Style" w:hAnsi="Bookman Old Style"/>
          <w:sz w:val="22"/>
        </w:rPr>
        <w:t>)</w:t>
      </w:r>
    </w:p>
    <w:p w:rsidR="00C516F4" w:rsidRPr="00C516F4" w:rsidRDefault="00C516F4">
      <w:pPr>
        <w:pStyle w:val="Cita"/>
        <w:ind w:left="284" w:right="284"/>
        <w:rPr>
          <w:rFonts w:ascii="Bookman Old Style" w:hAnsi="Bookman Old Style"/>
          <w:sz w:val="22"/>
          <w:u w:val="single"/>
        </w:rPr>
      </w:pPr>
      <w:r w:rsidRPr="00C516F4">
        <w:rPr>
          <w:rFonts w:ascii="Bookman Old Style" w:hAnsi="Bookman Old Style"/>
          <w:sz w:val="22"/>
          <w:u w:val="single"/>
        </w:rPr>
        <w:t>- Valores reportados por TRANSELCA S.A. E.S.P. que no fueron reconocidos por la CREG.</w:t>
      </w:r>
    </w:p>
    <w:p w:rsidR="00C516F4" w:rsidRDefault="00C516F4">
      <w:pPr>
        <w:pStyle w:val="Cita"/>
        <w:ind w:left="284" w:right="284"/>
        <w:rPr>
          <w:rFonts w:ascii="Bookman Old Style" w:hAnsi="Bookman Old Style"/>
          <w:sz w:val="22"/>
        </w:rPr>
      </w:pPr>
      <w:r w:rsidRPr="00C516F4">
        <w:rPr>
          <w:rFonts w:ascii="Bookman Old Style" w:hAnsi="Bookman Old Style"/>
          <w:sz w:val="22"/>
        </w:rPr>
        <w:t>TRANSELCA S.A. E.S.P. en su reporte a la CREG para su remuneración de AO</w:t>
      </w:r>
      <w:r>
        <w:rPr>
          <w:rFonts w:ascii="Bookman Old Style" w:hAnsi="Bookman Old Style"/>
          <w:sz w:val="22"/>
        </w:rPr>
        <w:t>M</w:t>
      </w:r>
      <w:r w:rsidRPr="00C516F4">
        <w:rPr>
          <w:rFonts w:ascii="Bookman Old Style" w:hAnsi="Bookman Old Style"/>
          <w:sz w:val="22"/>
        </w:rPr>
        <w:t xml:space="preserve">, solicitó para el período 2001 </w:t>
      </w:r>
      <w:r>
        <w:rPr>
          <w:rFonts w:ascii="Bookman Old Style" w:hAnsi="Bookman Old Style"/>
          <w:sz w:val="22"/>
        </w:rPr>
        <w:t>a</w:t>
      </w:r>
      <w:r w:rsidRPr="00C516F4">
        <w:rPr>
          <w:rFonts w:ascii="Bookman Old Style" w:hAnsi="Bookman Old Style"/>
          <w:sz w:val="22"/>
        </w:rPr>
        <w:t xml:space="preserve"> 2007, el reconocimiento para las cuentas Otros Seguros </w:t>
      </w:r>
      <w:r>
        <w:rPr>
          <w:rFonts w:ascii="Bookman Old Style" w:hAnsi="Bookman Old Style"/>
          <w:sz w:val="22"/>
        </w:rPr>
        <w:t>-</w:t>
      </w:r>
      <w:r w:rsidRPr="00C516F4">
        <w:rPr>
          <w:rFonts w:ascii="Bookman Old Style" w:hAnsi="Bookman Old Style"/>
          <w:sz w:val="22"/>
        </w:rPr>
        <w:t xml:space="preserve"> 756090 </w:t>
      </w:r>
      <w:r>
        <w:rPr>
          <w:rFonts w:ascii="Bookman Old Style" w:hAnsi="Bookman Old Style"/>
          <w:sz w:val="22"/>
        </w:rPr>
        <w:t xml:space="preserve">- </w:t>
      </w:r>
      <w:r w:rsidRPr="00C516F4">
        <w:rPr>
          <w:rFonts w:ascii="Bookman Old Style" w:hAnsi="Bookman Old Style"/>
          <w:sz w:val="22"/>
        </w:rPr>
        <w:t xml:space="preserve">y Vigilancia y Seguridad </w:t>
      </w:r>
      <w:r>
        <w:rPr>
          <w:rFonts w:ascii="Bookman Old Style" w:hAnsi="Bookman Old Style"/>
          <w:sz w:val="22"/>
        </w:rPr>
        <w:t>-</w:t>
      </w:r>
      <w:r w:rsidRPr="00C516F4">
        <w:rPr>
          <w:rFonts w:ascii="Bookman Old Style" w:hAnsi="Bookman Old Style"/>
          <w:sz w:val="22"/>
        </w:rPr>
        <w:t xml:space="preserve"> 757002 </w:t>
      </w:r>
      <w:r>
        <w:rPr>
          <w:rFonts w:ascii="Bookman Old Style" w:hAnsi="Bookman Old Style"/>
          <w:sz w:val="22"/>
        </w:rPr>
        <w:t>-</w:t>
      </w:r>
      <w:r w:rsidRPr="00C516F4">
        <w:rPr>
          <w:rFonts w:ascii="Bookman Old Style" w:hAnsi="Bookman Old Style"/>
          <w:sz w:val="22"/>
        </w:rPr>
        <w:t xml:space="preserve">, valores que fueron reconocidos en la </w:t>
      </w:r>
      <w:r>
        <w:rPr>
          <w:rFonts w:ascii="Bookman Old Style" w:hAnsi="Bookman Old Style"/>
          <w:sz w:val="22"/>
        </w:rPr>
        <w:t>Re</w:t>
      </w:r>
      <w:r w:rsidRPr="00C516F4">
        <w:rPr>
          <w:rFonts w:ascii="Bookman Old Style" w:hAnsi="Bookman Old Style"/>
          <w:sz w:val="22"/>
        </w:rPr>
        <w:t>soluci</w:t>
      </w:r>
      <w:r>
        <w:rPr>
          <w:rFonts w:ascii="Bookman Old Style" w:hAnsi="Bookman Old Style"/>
          <w:sz w:val="22"/>
        </w:rPr>
        <w:t>ó</w:t>
      </w:r>
      <w:r w:rsidRPr="00C516F4">
        <w:rPr>
          <w:rFonts w:ascii="Bookman Old Style" w:hAnsi="Bookman Old Style"/>
          <w:sz w:val="22"/>
        </w:rPr>
        <w:t xml:space="preserve">n CREG 107, excepto para el año 2002, tal como se puede constatar en el Anexo de la Resolución </w:t>
      </w:r>
      <w:r>
        <w:rPr>
          <w:rFonts w:ascii="Bookman Old Style" w:hAnsi="Bookman Old Style"/>
          <w:sz w:val="22"/>
        </w:rPr>
        <w:t>-</w:t>
      </w:r>
      <w:r w:rsidRPr="00C516F4">
        <w:rPr>
          <w:rFonts w:ascii="Bookman Old Style" w:hAnsi="Bookman Old Style"/>
          <w:sz w:val="22"/>
        </w:rPr>
        <w:t xml:space="preserve"> CD-, lo cual representa para la cuenta de Otros seguros la suma de $1.343.761.621.00 y para la </w:t>
      </w:r>
      <w:r>
        <w:rPr>
          <w:rFonts w:ascii="Bookman Old Style" w:hAnsi="Bookman Old Style"/>
          <w:sz w:val="22"/>
        </w:rPr>
        <w:t>c</w:t>
      </w:r>
      <w:r w:rsidRPr="00C516F4">
        <w:rPr>
          <w:rFonts w:ascii="Bookman Old Style" w:hAnsi="Bookman Old Style"/>
          <w:sz w:val="22"/>
        </w:rPr>
        <w:t xml:space="preserve">uenta de Vigilancia y </w:t>
      </w:r>
      <w:r>
        <w:rPr>
          <w:rFonts w:ascii="Bookman Old Style" w:hAnsi="Bookman Old Style"/>
          <w:sz w:val="22"/>
        </w:rPr>
        <w:t>s</w:t>
      </w:r>
      <w:r w:rsidRPr="00C516F4">
        <w:rPr>
          <w:rFonts w:ascii="Bookman Old Style" w:hAnsi="Bookman Old Style"/>
          <w:sz w:val="22"/>
        </w:rPr>
        <w:t>eguridad $473.961.854.00.</w:t>
      </w:r>
    </w:p>
    <w:p w:rsidR="00322E0B" w:rsidRDefault="00C516F4">
      <w:pPr>
        <w:pStyle w:val="Cita"/>
        <w:ind w:left="284" w:right="284"/>
        <w:rPr>
          <w:rFonts w:ascii="Bookman Old Style" w:hAnsi="Bookman Old Style"/>
          <w:sz w:val="22"/>
        </w:rPr>
      </w:pPr>
      <w:r w:rsidRPr="00C516F4">
        <w:rPr>
          <w:rFonts w:ascii="Bookman Old Style" w:hAnsi="Bookman Old Style"/>
          <w:sz w:val="22"/>
        </w:rPr>
        <w:t>Consideramos que lo anterior obedece a una omisión involuntaria de la CREG, pues no existe ninguna justificación para la exclusión de los valores por estas cuentas en el año 2002.</w:t>
      </w:r>
    </w:p>
    <w:p w:rsidR="003E4001" w:rsidRPr="00BB0D44" w:rsidRDefault="00322E0B">
      <w:pPr>
        <w:pStyle w:val="Cita"/>
        <w:ind w:left="284" w:right="284"/>
        <w:rPr>
          <w:rFonts w:ascii="Bookman Old Style" w:hAnsi="Bookman Old Style"/>
          <w:sz w:val="22"/>
          <w:u w:val="single"/>
        </w:rPr>
      </w:pPr>
      <w:r w:rsidRPr="00BB0D44">
        <w:rPr>
          <w:rFonts w:ascii="Bookman Old Style" w:hAnsi="Bookman Old Style"/>
          <w:sz w:val="22"/>
          <w:u w:val="single"/>
        </w:rPr>
        <w:t xml:space="preserve">- </w:t>
      </w:r>
      <w:r w:rsidR="00C516F4" w:rsidRPr="00BB0D44">
        <w:rPr>
          <w:rFonts w:ascii="Bookman Old Style" w:hAnsi="Bookman Old Style"/>
          <w:sz w:val="22"/>
          <w:u w:val="single"/>
        </w:rPr>
        <w:t xml:space="preserve">Exclusión de los Valores reportados en la Cuenta 581006 </w:t>
      </w:r>
      <w:r w:rsidR="003E4001" w:rsidRPr="00BB0D44">
        <w:rPr>
          <w:rFonts w:ascii="Bookman Old Style" w:hAnsi="Bookman Old Style"/>
          <w:sz w:val="22"/>
          <w:u w:val="single"/>
        </w:rPr>
        <w:t>-</w:t>
      </w:r>
      <w:r w:rsidR="00C516F4" w:rsidRPr="00BB0D44">
        <w:rPr>
          <w:rFonts w:ascii="Bookman Old Style" w:hAnsi="Bookman Old Style"/>
          <w:sz w:val="22"/>
          <w:u w:val="single"/>
        </w:rPr>
        <w:t>Pérdidas en Siniestros</w:t>
      </w:r>
      <w:r w:rsidR="009A22C0" w:rsidRPr="00BB0D44">
        <w:rPr>
          <w:rFonts w:ascii="Bookman Old Style" w:hAnsi="Bookman Old Style"/>
          <w:sz w:val="22"/>
          <w:u w:val="single"/>
        </w:rPr>
        <w:t>-</w:t>
      </w:r>
    </w:p>
    <w:p w:rsidR="003E4001" w:rsidRPr="00BB0D44" w:rsidRDefault="00C516F4">
      <w:pPr>
        <w:pStyle w:val="Cita"/>
        <w:ind w:left="284" w:right="284"/>
        <w:rPr>
          <w:rFonts w:ascii="Bookman Old Style" w:hAnsi="Bookman Old Style"/>
          <w:sz w:val="22"/>
        </w:rPr>
      </w:pPr>
      <w:r w:rsidRPr="00BB0D44">
        <w:rPr>
          <w:rFonts w:ascii="Bookman Old Style" w:hAnsi="Bookman Old Style"/>
          <w:sz w:val="22"/>
        </w:rPr>
        <w:t>TRANSELCA S.A. E.S.P. en su repo</w:t>
      </w:r>
      <w:r w:rsidR="003E4001" w:rsidRPr="00BB0D44">
        <w:rPr>
          <w:rFonts w:ascii="Bookman Old Style" w:hAnsi="Bookman Old Style"/>
          <w:sz w:val="22"/>
        </w:rPr>
        <w:t>rt</w:t>
      </w:r>
      <w:r w:rsidRPr="00BB0D44">
        <w:rPr>
          <w:rFonts w:ascii="Bookman Old Style" w:hAnsi="Bookman Old Style"/>
          <w:sz w:val="22"/>
        </w:rPr>
        <w:t>e a la CREG solicitó el reconocimiento de los costos y gastos por concepto de recuperación de torres afectadas por atentados. Estos valores han sido desconocidos por la C</w:t>
      </w:r>
      <w:r w:rsidR="003E4001" w:rsidRPr="00BB0D44">
        <w:rPr>
          <w:rFonts w:ascii="Bookman Old Style" w:hAnsi="Bookman Old Style"/>
          <w:sz w:val="22"/>
        </w:rPr>
        <w:t>R</w:t>
      </w:r>
      <w:r w:rsidRPr="00BB0D44">
        <w:rPr>
          <w:rFonts w:ascii="Bookman Old Style" w:hAnsi="Bookman Old Style"/>
          <w:sz w:val="22"/>
        </w:rPr>
        <w:t>EG</w:t>
      </w:r>
      <w:r w:rsidR="003E4001" w:rsidRPr="00BB0D44">
        <w:rPr>
          <w:rFonts w:ascii="Bookman Old Style" w:hAnsi="Bookman Old Style"/>
          <w:sz w:val="22"/>
        </w:rPr>
        <w:t xml:space="preserve"> </w:t>
      </w:r>
      <w:r w:rsidRPr="00BB0D44">
        <w:rPr>
          <w:rFonts w:ascii="Bookman Old Style" w:hAnsi="Bookman Old Style"/>
          <w:sz w:val="22"/>
        </w:rPr>
        <w:t xml:space="preserve">ya que en el PUC no existe una </w:t>
      </w:r>
      <w:r w:rsidR="003E4001" w:rsidRPr="00BB0D44">
        <w:rPr>
          <w:rFonts w:ascii="Bookman Old Style" w:hAnsi="Bookman Old Style"/>
          <w:sz w:val="22"/>
        </w:rPr>
        <w:t>c</w:t>
      </w:r>
      <w:r w:rsidRPr="00BB0D44">
        <w:rPr>
          <w:rFonts w:ascii="Bookman Old Style" w:hAnsi="Bookman Old Style"/>
          <w:sz w:val="22"/>
        </w:rPr>
        <w:t xml:space="preserve">uenta asociada a este </w:t>
      </w:r>
      <w:r w:rsidR="003E4001" w:rsidRPr="00BB0D44">
        <w:rPr>
          <w:rFonts w:ascii="Bookman Old Style" w:hAnsi="Bookman Old Style"/>
          <w:sz w:val="22"/>
        </w:rPr>
        <w:t>c</w:t>
      </w:r>
      <w:r w:rsidRPr="00BB0D44">
        <w:rPr>
          <w:rFonts w:ascii="Bookman Old Style" w:hAnsi="Bookman Old Style"/>
          <w:sz w:val="22"/>
        </w:rPr>
        <w:t>oncepto.</w:t>
      </w:r>
    </w:p>
    <w:p w:rsidR="003E4001" w:rsidRPr="00BB0D44" w:rsidRDefault="00C717F6">
      <w:pPr>
        <w:pStyle w:val="Cita"/>
        <w:ind w:left="284" w:right="284"/>
        <w:rPr>
          <w:rFonts w:ascii="Bookman Old Style" w:hAnsi="Bookman Old Style"/>
          <w:sz w:val="22"/>
        </w:rPr>
      </w:pPr>
      <w:r w:rsidRPr="00BB0D44">
        <w:rPr>
          <w:rFonts w:ascii="Bookman Old Style" w:hAnsi="Bookman Old Style"/>
          <w:sz w:val="22"/>
        </w:rPr>
        <w:t>(</w:t>
      </w:r>
      <w:r w:rsidR="003E4001" w:rsidRPr="00BB0D44">
        <w:rPr>
          <w:rFonts w:ascii="Bookman Old Style" w:hAnsi="Bookman Old Style"/>
          <w:sz w:val="22"/>
        </w:rPr>
        <w:t>…</w:t>
      </w:r>
      <w:r w:rsidRPr="00BB0D44">
        <w:rPr>
          <w:rFonts w:ascii="Bookman Old Style" w:hAnsi="Bookman Old Style"/>
          <w:sz w:val="22"/>
        </w:rPr>
        <w:t>)</w:t>
      </w:r>
    </w:p>
    <w:p w:rsidR="003E4001" w:rsidRPr="00BB0D44" w:rsidRDefault="00C516F4">
      <w:pPr>
        <w:pStyle w:val="Cita"/>
        <w:ind w:left="284" w:right="284"/>
        <w:rPr>
          <w:rFonts w:ascii="Bookman Old Style" w:hAnsi="Bookman Old Style"/>
          <w:sz w:val="22"/>
        </w:rPr>
      </w:pPr>
      <w:r w:rsidRPr="00BB0D44">
        <w:rPr>
          <w:rFonts w:ascii="Bookman Old Style" w:hAnsi="Bookman Old Style"/>
          <w:sz w:val="22"/>
        </w:rPr>
        <w:t xml:space="preserve">Insistimos en que la CREG debe reconocer a TRANSELCA S.A. E.S.P. el valor correspondiente a los </w:t>
      </w:r>
      <w:r w:rsidR="003E4001" w:rsidRPr="00BB0D44">
        <w:rPr>
          <w:rFonts w:ascii="Bookman Old Style" w:hAnsi="Bookman Old Style"/>
          <w:sz w:val="22"/>
        </w:rPr>
        <w:t>c</w:t>
      </w:r>
      <w:r w:rsidRPr="00BB0D44">
        <w:rPr>
          <w:rFonts w:ascii="Bookman Old Style" w:hAnsi="Bookman Old Style"/>
          <w:sz w:val="22"/>
        </w:rPr>
        <w:t>ostos y gastos de los años 2001 a 2007 por este concepto y para ello acogemos en su integridad lo reseñado por la Auditoría Externa AGN</w:t>
      </w:r>
      <w:r w:rsidR="003E4001" w:rsidRPr="00BB0D44">
        <w:rPr>
          <w:rFonts w:ascii="Bookman Old Style" w:hAnsi="Bookman Old Style"/>
          <w:sz w:val="22"/>
        </w:rPr>
        <w:t xml:space="preserve"> </w:t>
      </w:r>
      <w:r w:rsidRPr="00BB0D44">
        <w:rPr>
          <w:rFonts w:ascii="Bookman Old Style" w:hAnsi="Bookman Old Style"/>
          <w:sz w:val="22"/>
        </w:rPr>
        <w:t>Jiménez y Asociados tal como transcribimos a continuación:</w:t>
      </w:r>
    </w:p>
    <w:p w:rsidR="00C516F4" w:rsidRPr="00C516F4" w:rsidRDefault="00C516F4">
      <w:pPr>
        <w:pStyle w:val="Cita"/>
        <w:ind w:left="284" w:right="284"/>
        <w:rPr>
          <w:rFonts w:ascii="Bookman Old Style" w:hAnsi="Bookman Old Style"/>
          <w:sz w:val="22"/>
        </w:rPr>
      </w:pPr>
      <w:r w:rsidRPr="00BB0D44">
        <w:rPr>
          <w:rFonts w:ascii="Bookman Old Style" w:hAnsi="Bookman Old Style"/>
          <w:sz w:val="22"/>
        </w:rPr>
        <w:t xml:space="preserve">"No obstante las cuentas asociadas a la recuperación de torres afectadas por atentados no corresponden a cuentas de AOM, es claro que </w:t>
      </w:r>
      <w:r w:rsidR="003E4001" w:rsidRPr="00BB0D44">
        <w:rPr>
          <w:rFonts w:ascii="Bookman Old Style" w:hAnsi="Bookman Old Style"/>
          <w:sz w:val="22"/>
        </w:rPr>
        <w:t>c</w:t>
      </w:r>
      <w:r w:rsidRPr="00BB0D44">
        <w:rPr>
          <w:rFonts w:ascii="Bookman Old Style" w:hAnsi="Bookman Old Style"/>
          <w:sz w:val="22"/>
        </w:rPr>
        <w:t>orresponden a gastos que forman parte de la operación del negocio ya que se requieren para garantizarla continuidad en la prestación del servicio. Una prueba de esto es que este tipo de erogaciones tendrían tratamiento contable como gastos de la operación del negocio con base en las Normas Internacionales de información Financiera.</w:t>
      </w:r>
      <w:r w:rsidR="003E4001" w:rsidRPr="00BB0D44">
        <w:rPr>
          <w:rFonts w:ascii="Bookman Old Style" w:hAnsi="Bookman Old Style"/>
          <w:sz w:val="22"/>
        </w:rPr>
        <w:t>”</w:t>
      </w:r>
    </w:p>
    <w:p w:rsidR="003E4001" w:rsidRDefault="00C516F4">
      <w:pPr>
        <w:pStyle w:val="Cita"/>
        <w:ind w:left="284" w:right="284"/>
        <w:rPr>
          <w:rFonts w:ascii="Bookman Old Style" w:hAnsi="Bookman Old Style"/>
          <w:sz w:val="22"/>
        </w:rPr>
      </w:pPr>
      <w:r w:rsidRPr="00C516F4">
        <w:rPr>
          <w:rFonts w:ascii="Bookman Old Style" w:hAnsi="Bookman Old Style"/>
          <w:sz w:val="22"/>
        </w:rPr>
        <w:t>Sobre este aspecto, la SSPD en la Resolución 2008000003355 del 11 de febrero de 2008, afirmó lo siguiente:</w:t>
      </w:r>
    </w:p>
    <w:p w:rsidR="003E4001" w:rsidRDefault="00C516F4">
      <w:pPr>
        <w:pStyle w:val="Cita"/>
        <w:ind w:left="567" w:right="284"/>
        <w:rPr>
          <w:rFonts w:ascii="Bookman Old Style" w:hAnsi="Bookman Old Style"/>
          <w:sz w:val="22"/>
        </w:rPr>
      </w:pPr>
      <w:r w:rsidRPr="00C516F4">
        <w:rPr>
          <w:rFonts w:ascii="Bookman Old Style" w:hAnsi="Bookman Old Style"/>
          <w:sz w:val="22"/>
        </w:rPr>
        <w:t xml:space="preserve">"En efecto, la reposición o reconstrucción de las torres derribadas por actos delictivos tiene que realizarse a efectos de permitir continuando la prestación del </w:t>
      </w:r>
      <w:r w:rsidR="003E4001">
        <w:rPr>
          <w:rFonts w:ascii="Bookman Old Style" w:hAnsi="Bookman Old Style"/>
          <w:sz w:val="22"/>
        </w:rPr>
        <w:t>s</w:t>
      </w:r>
      <w:r w:rsidRPr="00C516F4">
        <w:rPr>
          <w:rFonts w:ascii="Bookman Old Style" w:hAnsi="Bookman Old Style"/>
          <w:sz w:val="22"/>
        </w:rPr>
        <w:t>e</w:t>
      </w:r>
      <w:r w:rsidR="003E4001">
        <w:rPr>
          <w:rFonts w:ascii="Bookman Old Style" w:hAnsi="Bookman Old Style"/>
          <w:sz w:val="22"/>
        </w:rPr>
        <w:t>rv</w:t>
      </w:r>
      <w:r w:rsidRPr="00C516F4">
        <w:rPr>
          <w:rFonts w:ascii="Bookman Old Style" w:hAnsi="Bookman Old Style"/>
          <w:sz w:val="22"/>
        </w:rPr>
        <w:t xml:space="preserve">icio, de lo contrario el </w:t>
      </w:r>
      <w:r w:rsidR="003E4001">
        <w:rPr>
          <w:rFonts w:ascii="Bookman Old Style" w:hAnsi="Bookman Old Style"/>
          <w:sz w:val="22"/>
        </w:rPr>
        <w:t>s</w:t>
      </w:r>
      <w:r w:rsidRPr="00C516F4">
        <w:rPr>
          <w:rFonts w:ascii="Bookman Old Style" w:hAnsi="Bookman Old Style"/>
          <w:sz w:val="22"/>
        </w:rPr>
        <w:t>e</w:t>
      </w:r>
      <w:r w:rsidR="003E4001">
        <w:rPr>
          <w:rFonts w:ascii="Bookman Old Style" w:hAnsi="Bookman Old Style"/>
          <w:sz w:val="22"/>
        </w:rPr>
        <w:t>rv</w:t>
      </w:r>
      <w:r w:rsidRPr="00C516F4">
        <w:rPr>
          <w:rFonts w:ascii="Bookman Old Style" w:hAnsi="Bookman Old Style"/>
          <w:sz w:val="22"/>
        </w:rPr>
        <w:t>ic</w:t>
      </w:r>
      <w:r w:rsidR="003E4001">
        <w:rPr>
          <w:rFonts w:ascii="Bookman Old Style" w:hAnsi="Bookman Old Style"/>
          <w:sz w:val="22"/>
        </w:rPr>
        <w:t>i</w:t>
      </w:r>
      <w:r w:rsidRPr="00C516F4">
        <w:rPr>
          <w:rFonts w:ascii="Bookman Old Style" w:hAnsi="Bookman Old Style"/>
          <w:sz w:val="22"/>
        </w:rPr>
        <w:t>o p</w:t>
      </w:r>
      <w:r w:rsidR="003E4001">
        <w:rPr>
          <w:rFonts w:ascii="Bookman Old Style" w:hAnsi="Bookman Old Style"/>
          <w:sz w:val="22"/>
        </w:rPr>
        <w:t>ú</w:t>
      </w:r>
      <w:r w:rsidRPr="00C516F4">
        <w:rPr>
          <w:rFonts w:ascii="Bookman Old Style" w:hAnsi="Bookman Old Style"/>
          <w:sz w:val="22"/>
        </w:rPr>
        <w:t>blico respectivo se ver</w:t>
      </w:r>
      <w:r w:rsidR="003E4001">
        <w:rPr>
          <w:rFonts w:ascii="Bookman Old Style" w:hAnsi="Bookman Old Style"/>
          <w:sz w:val="22"/>
        </w:rPr>
        <w:t>í</w:t>
      </w:r>
      <w:r w:rsidRPr="00C516F4">
        <w:rPr>
          <w:rFonts w:ascii="Bookman Old Style" w:hAnsi="Bookman Old Style"/>
          <w:sz w:val="22"/>
        </w:rPr>
        <w:t xml:space="preserve">a afectado con interrupciones </w:t>
      </w:r>
      <w:r w:rsidR="003E4001">
        <w:rPr>
          <w:rFonts w:ascii="Bookman Old Style" w:hAnsi="Bookman Old Style"/>
          <w:sz w:val="22"/>
        </w:rPr>
        <w:t>o</w:t>
      </w:r>
      <w:r w:rsidRPr="00C516F4">
        <w:rPr>
          <w:rFonts w:ascii="Bookman Old Style" w:hAnsi="Bookman Old Style"/>
          <w:sz w:val="22"/>
        </w:rPr>
        <w:t xml:space="preserve"> la suspensión. As</w:t>
      </w:r>
      <w:r w:rsidR="003E4001">
        <w:rPr>
          <w:rFonts w:ascii="Bookman Old Style" w:hAnsi="Bookman Old Style"/>
          <w:sz w:val="22"/>
        </w:rPr>
        <w:t>í</w:t>
      </w:r>
      <w:r w:rsidRPr="00C516F4">
        <w:rPr>
          <w:rFonts w:ascii="Bookman Old Style" w:hAnsi="Bookman Old Style"/>
          <w:sz w:val="22"/>
        </w:rPr>
        <w:t xml:space="preserve"> mismo, este fenómeno no es poco habitual en nuestro país, que si bien en los </w:t>
      </w:r>
      <w:r w:rsidR="003E4001">
        <w:rPr>
          <w:rFonts w:ascii="Bookman Old Style" w:hAnsi="Bookman Old Style"/>
          <w:sz w:val="22"/>
        </w:rPr>
        <w:t>ú</w:t>
      </w:r>
      <w:r w:rsidRPr="00C516F4">
        <w:rPr>
          <w:rFonts w:ascii="Bookman Old Style" w:hAnsi="Bookman Old Style"/>
          <w:sz w:val="22"/>
        </w:rPr>
        <w:t xml:space="preserve">ltimos años </w:t>
      </w:r>
      <w:r w:rsidR="003E4001">
        <w:rPr>
          <w:rFonts w:ascii="Bookman Old Style" w:hAnsi="Bookman Old Style"/>
          <w:sz w:val="22"/>
        </w:rPr>
        <w:t>s</w:t>
      </w:r>
      <w:r w:rsidRPr="00C516F4">
        <w:rPr>
          <w:rFonts w:ascii="Bookman Old Style" w:hAnsi="Bookman Old Style"/>
          <w:sz w:val="22"/>
        </w:rPr>
        <w:t xml:space="preserve">e han mejorado sustancialmente los indicadores respecto a la ocurrencia de hechos relacionados con orden público y seguridad, permanece una constante en este sentido que debe ser </w:t>
      </w:r>
      <w:r w:rsidRPr="00C516F4">
        <w:rPr>
          <w:rFonts w:ascii="Bookman Old Style" w:hAnsi="Bookman Old Style"/>
          <w:sz w:val="22"/>
        </w:rPr>
        <w:lastRenderedPageBreak/>
        <w:t>considerada por los operadores del mercado dentro de sus presupuestos de funcionamiento.</w:t>
      </w:r>
    </w:p>
    <w:p w:rsidR="00CD0A34" w:rsidRDefault="00C516F4">
      <w:pPr>
        <w:pStyle w:val="Cita"/>
        <w:ind w:left="567" w:right="284"/>
        <w:rPr>
          <w:rFonts w:ascii="Bookman Old Style" w:hAnsi="Bookman Old Style"/>
          <w:sz w:val="22"/>
        </w:rPr>
      </w:pPr>
      <w:r w:rsidRPr="00C516F4">
        <w:rPr>
          <w:rFonts w:ascii="Bookman Old Style" w:hAnsi="Bookman Old Style"/>
          <w:sz w:val="22"/>
        </w:rPr>
        <w:t>Por lo tanto, no se obse</w:t>
      </w:r>
      <w:r w:rsidR="003E4001">
        <w:rPr>
          <w:rFonts w:ascii="Bookman Old Style" w:hAnsi="Bookman Old Style"/>
          <w:sz w:val="22"/>
        </w:rPr>
        <w:t>rv</w:t>
      </w:r>
      <w:r w:rsidRPr="00C516F4">
        <w:rPr>
          <w:rFonts w:ascii="Bookman Old Style" w:hAnsi="Bookman Old Style"/>
          <w:sz w:val="22"/>
        </w:rPr>
        <w:t>a c</w:t>
      </w:r>
      <w:r w:rsidR="003E4001">
        <w:rPr>
          <w:rFonts w:ascii="Bookman Old Style" w:hAnsi="Bookman Old Style"/>
          <w:sz w:val="22"/>
        </w:rPr>
        <w:t>ó</w:t>
      </w:r>
      <w:r w:rsidRPr="00C516F4">
        <w:rPr>
          <w:rFonts w:ascii="Bookman Old Style" w:hAnsi="Bookman Old Style"/>
          <w:sz w:val="22"/>
        </w:rPr>
        <w:t xml:space="preserve">mo un gasto relacionado directamente con el hecho de asegurar la prestación adecuada y continua del </w:t>
      </w:r>
      <w:r w:rsidR="003E4001">
        <w:rPr>
          <w:rFonts w:ascii="Bookman Old Style" w:hAnsi="Bookman Old Style"/>
          <w:sz w:val="22"/>
        </w:rPr>
        <w:t>s</w:t>
      </w:r>
      <w:r w:rsidRPr="00C516F4">
        <w:rPr>
          <w:rFonts w:ascii="Bookman Old Style" w:hAnsi="Bookman Old Style"/>
          <w:sz w:val="22"/>
        </w:rPr>
        <w:t>e</w:t>
      </w:r>
      <w:r w:rsidR="003E4001">
        <w:rPr>
          <w:rFonts w:ascii="Bookman Old Style" w:hAnsi="Bookman Old Style"/>
          <w:sz w:val="22"/>
        </w:rPr>
        <w:t>rv</w:t>
      </w:r>
      <w:r w:rsidRPr="00C516F4">
        <w:rPr>
          <w:rFonts w:ascii="Bookman Old Style" w:hAnsi="Bookman Old Style"/>
          <w:sz w:val="22"/>
        </w:rPr>
        <w:t>icio p</w:t>
      </w:r>
      <w:r w:rsidR="003E4001">
        <w:rPr>
          <w:rFonts w:ascii="Bookman Old Style" w:hAnsi="Bookman Old Style"/>
          <w:sz w:val="22"/>
        </w:rPr>
        <w:t>ú</w:t>
      </w:r>
      <w:r w:rsidRPr="00C516F4">
        <w:rPr>
          <w:rFonts w:ascii="Bookman Old Style" w:hAnsi="Bookman Old Style"/>
          <w:sz w:val="22"/>
        </w:rPr>
        <w:t>blico domiciliario, puede ser considerado como un gasto que no es de funcionamiento.</w:t>
      </w:r>
      <w:r w:rsidR="00CD0A34">
        <w:rPr>
          <w:rFonts w:ascii="Bookman Old Style" w:hAnsi="Bookman Old Style"/>
          <w:sz w:val="22"/>
        </w:rPr>
        <w:t xml:space="preserve"> (…)”</w:t>
      </w:r>
    </w:p>
    <w:p w:rsidR="00CD0A34" w:rsidRDefault="00C516F4">
      <w:pPr>
        <w:pStyle w:val="Cita"/>
        <w:ind w:left="284" w:right="284"/>
        <w:rPr>
          <w:rFonts w:ascii="Bookman Old Style" w:hAnsi="Bookman Old Style"/>
          <w:sz w:val="22"/>
        </w:rPr>
      </w:pPr>
      <w:r w:rsidRPr="00C516F4">
        <w:rPr>
          <w:rFonts w:ascii="Bookman Old Style" w:hAnsi="Bookman Old Style"/>
          <w:sz w:val="22"/>
        </w:rPr>
        <w:t>Así mismo la Resolución SSPD 20051300033635 del 28 de Diciembre 2005, establece que:</w:t>
      </w:r>
    </w:p>
    <w:p w:rsidR="00CD0A34" w:rsidRDefault="00C516F4">
      <w:pPr>
        <w:pStyle w:val="Cita"/>
        <w:ind w:left="284" w:right="284"/>
        <w:rPr>
          <w:rFonts w:ascii="Bookman Old Style" w:hAnsi="Bookman Old Style"/>
          <w:sz w:val="22"/>
        </w:rPr>
      </w:pPr>
      <w:r w:rsidRPr="00C516F4">
        <w:rPr>
          <w:rFonts w:ascii="Bookman Old Style" w:hAnsi="Bookman Old Style"/>
          <w:sz w:val="22"/>
        </w:rPr>
        <w:t>Son costo "</w:t>
      </w:r>
      <w:r w:rsidR="00CD0A34">
        <w:rPr>
          <w:rFonts w:ascii="Bookman Old Style" w:hAnsi="Bookman Old Style"/>
          <w:sz w:val="22"/>
        </w:rPr>
        <w:t>l</w:t>
      </w:r>
      <w:r w:rsidRPr="00C516F4">
        <w:rPr>
          <w:rFonts w:ascii="Bookman Old Style" w:hAnsi="Bookman Old Style"/>
          <w:sz w:val="22"/>
        </w:rPr>
        <w:t>os recursos de personal, materiales, equipo, edificios, miscel</w:t>
      </w:r>
      <w:r w:rsidR="00CD0A34">
        <w:rPr>
          <w:rFonts w:ascii="Bookman Old Style" w:hAnsi="Bookman Old Style"/>
          <w:sz w:val="22"/>
        </w:rPr>
        <w:t>á</w:t>
      </w:r>
      <w:r w:rsidRPr="00C516F4">
        <w:rPr>
          <w:rFonts w:ascii="Bookman Old Style" w:hAnsi="Bookman Old Style"/>
          <w:sz w:val="22"/>
        </w:rPr>
        <w:t>neos y bienes y servicios para la venta necesarios directa y conexamente para planear, operar, mantener, controlarla calidad, mercadea</w:t>
      </w:r>
      <w:r w:rsidR="00CD0A34">
        <w:rPr>
          <w:rFonts w:ascii="Bookman Old Style" w:hAnsi="Bookman Old Style"/>
          <w:sz w:val="22"/>
        </w:rPr>
        <w:t>r,</w:t>
      </w:r>
      <w:r w:rsidRPr="00C516F4">
        <w:rPr>
          <w:rFonts w:ascii="Bookman Old Style" w:hAnsi="Bookman Old Style"/>
          <w:sz w:val="22"/>
        </w:rPr>
        <w:t xml:space="preserve"> facturar y recaudar, atender los clientes y controlar comercialmente los servicios. Estos conceptos </w:t>
      </w:r>
      <w:r w:rsidR="00CD0A34">
        <w:rPr>
          <w:rFonts w:ascii="Bookman Old Style" w:hAnsi="Bookman Old Style"/>
          <w:sz w:val="22"/>
        </w:rPr>
        <w:t>s</w:t>
      </w:r>
      <w:r w:rsidRPr="00C516F4">
        <w:rPr>
          <w:rFonts w:ascii="Bookman Old Style" w:hAnsi="Bookman Old Style"/>
          <w:sz w:val="22"/>
        </w:rPr>
        <w:t xml:space="preserve">e imputan a las </w:t>
      </w:r>
      <w:r w:rsidR="00CD0A34">
        <w:rPr>
          <w:rFonts w:ascii="Bookman Old Style" w:hAnsi="Bookman Old Style"/>
          <w:sz w:val="22"/>
        </w:rPr>
        <w:t>c</w:t>
      </w:r>
      <w:r w:rsidRPr="00C516F4">
        <w:rPr>
          <w:rFonts w:ascii="Bookman Old Style" w:hAnsi="Bookman Old Style"/>
          <w:sz w:val="22"/>
        </w:rPr>
        <w:t>uentas de costos (Grupo 75)".</w:t>
      </w:r>
    </w:p>
    <w:p w:rsidR="00CD0A34" w:rsidRDefault="00C516F4">
      <w:pPr>
        <w:pStyle w:val="Cita"/>
        <w:ind w:left="284" w:right="284"/>
        <w:rPr>
          <w:rFonts w:ascii="Bookman Old Style" w:hAnsi="Bookman Old Style"/>
          <w:sz w:val="22"/>
        </w:rPr>
      </w:pPr>
      <w:r w:rsidRPr="00C516F4">
        <w:rPr>
          <w:rFonts w:ascii="Bookman Old Style" w:hAnsi="Bookman Old Style"/>
          <w:sz w:val="22"/>
        </w:rPr>
        <w:t xml:space="preserve">Son costo de prestación del </w:t>
      </w:r>
      <w:r w:rsidR="00CD0A34">
        <w:rPr>
          <w:rFonts w:ascii="Bookman Old Style" w:hAnsi="Bookman Old Style"/>
          <w:sz w:val="22"/>
        </w:rPr>
        <w:t>servicio</w:t>
      </w:r>
      <w:r w:rsidRPr="00C516F4">
        <w:rPr>
          <w:rFonts w:ascii="Bookman Old Style" w:hAnsi="Bookman Old Style"/>
          <w:sz w:val="22"/>
        </w:rPr>
        <w:t xml:space="preserve"> de transmisión los incurridos en los procesos de la cadena de valor del </w:t>
      </w:r>
      <w:r w:rsidR="00CD0A34">
        <w:rPr>
          <w:rFonts w:ascii="Bookman Old Style" w:hAnsi="Bookman Old Style"/>
          <w:sz w:val="22"/>
        </w:rPr>
        <w:t>Servicio</w:t>
      </w:r>
      <w:r w:rsidRPr="00C516F4">
        <w:rPr>
          <w:rFonts w:ascii="Bookman Old Style" w:hAnsi="Bookman Old Style"/>
          <w:sz w:val="22"/>
        </w:rPr>
        <w:t xml:space="preserve"> de Transmisión de Energía. Dicha cadena de valor incluye un proceso denominado Mantenimiento Correctivo descrito así:</w:t>
      </w:r>
    </w:p>
    <w:p w:rsidR="00CD0A34" w:rsidRDefault="00C516F4">
      <w:pPr>
        <w:pStyle w:val="Cita"/>
        <w:ind w:left="567" w:right="284"/>
        <w:rPr>
          <w:rFonts w:ascii="Bookman Old Style" w:hAnsi="Bookman Old Style"/>
          <w:sz w:val="22"/>
        </w:rPr>
      </w:pPr>
      <w:r w:rsidRPr="00C516F4">
        <w:rPr>
          <w:rFonts w:ascii="Bookman Old Style" w:hAnsi="Bookman Old Style"/>
          <w:sz w:val="22"/>
        </w:rPr>
        <w:t>"CORRECTIVO SUBESTACIONES Y L</w:t>
      </w:r>
      <w:r w:rsidR="00CD0A34">
        <w:rPr>
          <w:rFonts w:ascii="Bookman Old Style" w:hAnsi="Bookman Old Style"/>
          <w:sz w:val="22"/>
        </w:rPr>
        <w:t>I</w:t>
      </w:r>
      <w:r w:rsidRPr="00C516F4">
        <w:rPr>
          <w:rFonts w:ascii="Bookman Old Style" w:hAnsi="Bookman Old Style"/>
          <w:sz w:val="22"/>
        </w:rPr>
        <w:t>NEAS</w:t>
      </w:r>
      <w:r w:rsidR="00CD0A34">
        <w:rPr>
          <w:rFonts w:ascii="Bookman Old Style" w:hAnsi="Bookman Old Style"/>
          <w:sz w:val="22"/>
        </w:rPr>
        <w:t>:</w:t>
      </w:r>
      <w:r w:rsidRPr="00C516F4">
        <w:rPr>
          <w:rFonts w:ascii="Bookman Old Style" w:hAnsi="Bookman Old Style"/>
          <w:sz w:val="22"/>
        </w:rPr>
        <w:t xml:space="preserve"> Conjunto de Tareas que se deben llevar a cabo cuando un equipo, instrumento o estructura han tenido una parada forzada o imprevista. Es NO PLANIFICADO cuando es de emergencia. Y PLANIFICADO cuando de antemano se ha podido disponer de los recursos necesarios para ejecutarlo, caso típico de un overhaul. Se consideran acá las Tareas, Acciones y Recursos, requeridos para ejecutar ese tipo de mantenimiento en Subestaciones y Líneas de Transmisión."</w:t>
      </w:r>
    </w:p>
    <w:p w:rsidR="00CD0A34" w:rsidRDefault="00C516F4">
      <w:pPr>
        <w:pStyle w:val="Cita"/>
        <w:ind w:left="284" w:right="284"/>
        <w:rPr>
          <w:rFonts w:ascii="Bookman Old Style" w:hAnsi="Bookman Old Style"/>
          <w:sz w:val="22"/>
        </w:rPr>
      </w:pPr>
      <w:r w:rsidRPr="00AB5A27">
        <w:rPr>
          <w:rFonts w:ascii="Bookman Old Style" w:hAnsi="Bookman Old Style"/>
          <w:sz w:val="22"/>
        </w:rPr>
        <w:t xml:space="preserve">De acuerdo con todo lo antes transcrito, </w:t>
      </w:r>
      <w:r w:rsidR="00CD0A34" w:rsidRPr="00AB5A27">
        <w:rPr>
          <w:rFonts w:ascii="Bookman Old Style" w:hAnsi="Bookman Old Style"/>
          <w:sz w:val="22"/>
        </w:rPr>
        <w:t>s</w:t>
      </w:r>
      <w:r w:rsidRPr="00AB5A27">
        <w:rPr>
          <w:rFonts w:ascii="Bookman Old Style" w:hAnsi="Bookman Old Style"/>
          <w:sz w:val="22"/>
        </w:rPr>
        <w:t xml:space="preserve">e puede concluir que los gastos asociados a la recuperación de torres afectadas por atentados, corresponde a un costo asociado al cumplimiento de la actividad de transporte de energía, que surge como </w:t>
      </w:r>
      <w:r w:rsidR="00CD0A34" w:rsidRPr="00AB5A27">
        <w:rPr>
          <w:rFonts w:ascii="Bookman Old Style" w:hAnsi="Bookman Old Style"/>
          <w:sz w:val="22"/>
        </w:rPr>
        <w:t>c</w:t>
      </w:r>
      <w:r w:rsidRPr="00AB5A27">
        <w:rPr>
          <w:rFonts w:ascii="Bookman Old Style" w:hAnsi="Bookman Old Style"/>
          <w:sz w:val="22"/>
        </w:rPr>
        <w:t>onsecuencia de hechos fuera del alcance de la gestión del transmisor nacional y que al ser gastos</w:t>
      </w:r>
      <w:r w:rsidR="00CD0A34" w:rsidRPr="00AB5A27">
        <w:rPr>
          <w:rFonts w:ascii="Bookman Old Style" w:hAnsi="Bookman Old Style"/>
          <w:sz w:val="22"/>
        </w:rPr>
        <w:t xml:space="preserve"> </w:t>
      </w:r>
      <w:r w:rsidRPr="00AB5A27">
        <w:rPr>
          <w:rFonts w:ascii="Bookman Old Style" w:hAnsi="Bookman Old Style"/>
          <w:sz w:val="22"/>
        </w:rPr>
        <w:t xml:space="preserve">reales en los cuales incurre la Empresa para garantizar la </w:t>
      </w:r>
      <w:r w:rsidR="00CD0A34" w:rsidRPr="00AB5A27">
        <w:rPr>
          <w:rFonts w:ascii="Bookman Old Style" w:hAnsi="Bookman Old Style"/>
          <w:sz w:val="22"/>
        </w:rPr>
        <w:t>c</w:t>
      </w:r>
      <w:r w:rsidRPr="00AB5A27">
        <w:rPr>
          <w:rFonts w:ascii="Bookman Old Style" w:hAnsi="Bookman Old Style"/>
          <w:sz w:val="22"/>
        </w:rPr>
        <w:t xml:space="preserve">ontinuidad en la prestación del servicio, deben ser </w:t>
      </w:r>
      <w:r w:rsidR="00CD0A34" w:rsidRPr="00AB5A27">
        <w:rPr>
          <w:rFonts w:ascii="Bookman Old Style" w:hAnsi="Bookman Old Style"/>
          <w:sz w:val="22"/>
        </w:rPr>
        <w:t>c</w:t>
      </w:r>
      <w:r w:rsidRPr="00AB5A27">
        <w:rPr>
          <w:rFonts w:ascii="Bookman Old Style" w:hAnsi="Bookman Old Style"/>
          <w:sz w:val="22"/>
        </w:rPr>
        <w:t>onsiderados dentro del AO</w:t>
      </w:r>
      <w:r w:rsidR="00CD0A34" w:rsidRPr="00AB5A27">
        <w:rPr>
          <w:rFonts w:ascii="Bookman Old Style" w:hAnsi="Bookman Old Style"/>
          <w:sz w:val="22"/>
        </w:rPr>
        <w:t>M</w:t>
      </w:r>
      <w:r w:rsidRPr="00AB5A27">
        <w:rPr>
          <w:rFonts w:ascii="Bookman Old Style" w:hAnsi="Bookman Old Style"/>
          <w:sz w:val="22"/>
        </w:rPr>
        <w:t xml:space="preserve"> Gastado por la Empresa en el periodo 200</w:t>
      </w:r>
      <w:r w:rsidR="00CD0A34" w:rsidRPr="00AB5A27">
        <w:rPr>
          <w:rFonts w:ascii="Bookman Old Style" w:hAnsi="Bookman Old Style"/>
          <w:sz w:val="22"/>
        </w:rPr>
        <w:t>1</w:t>
      </w:r>
      <w:r w:rsidRPr="00AB5A27">
        <w:rPr>
          <w:rFonts w:ascii="Bookman Old Style" w:hAnsi="Bookman Old Style"/>
          <w:sz w:val="22"/>
        </w:rPr>
        <w:t xml:space="preserve"> </w:t>
      </w:r>
      <w:r w:rsidR="00CD0A34" w:rsidRPr="00AB5A27">
        <w:rPr>
          <w:rFonts w:ascii="Bookman Old Style" w:hAnsi="Bookman Old Style"/>
          <w:sz w:val="22"/>
        </w:rPr>
        <w:t>-</w:t>
      </w:r>
      <w:r w:rsidRPr="00AB5A27">
        <w:rPr>
          <w:rFonts w:ascii="Bookman Old Style" w:hAnsi="Bookman Old Style"/>
          <w:sz w:val="22"/>
        </w:rPr>
        <w:t xml:space="preserve"> 2007.</w:t>
      </w:r>
    </w:p>
    <w:p w:rsidR="006B0FB1" w:rsidRDefault="006B0FB1">
      <w:pPr>
        <w:pStyle w:val="Cita"/>
        <w:ind w:left="284" w:right="284"/>
        <w:rPr>
          <w:rFonts w:ascii="Bookman Old Style" w:hAnsi="Bookman Old Style"/>
          <w:sz w:val="22"/>
        </w:rPr>
      </w:pPr>
      <w:r w:rsidRPr="00C516F4">
        <w:rPr>
          <w:rFonts w:ascii="Bookman Old Style" w:hAnsi="Bookman Old Style"/>
          <w:sz w:val="22"/>
        </w:rPr>
        <w:t>Los costos de recuperación de la infraestructura afectada por atentados se incluyen en la cuenta 581006 "Perdidas en siniestros".</w:t>
      </w:r>
    </w:p>
    <w:p w:rsidR="00F06FB5" w:rsidRPr="00F06FB5" w:rsidRDefault="006B0FB1">
      <w:pPr>
        <w:pStyle w:val="Cita"/>
        <w:numPr>
          <w:ilvl w:val="1"/>
          <w:numId w:val="9"/>
        </w:numPr>
        <w:ind w:left="709" w:right="284"/>
        <w:rPr>
          <w:rFonts w:ascii="Bookman Old Style" w:hAnsi="Bookman Old Style"/>
          <w:b/>
          <w:sz w:val="22"/>
        </w:rPr>
      </w:pPr>
      <w:r w:rsidRPr="00F06FB5">
        <w:rPr>
          <w:rFonts w:ascii="Bookman Old Style" w:hAnsi="Bookman Old Style"/>
          <w:b/>
          <w:sz w:val="22"/>
        </w:rPr>
        <w:t>Valores reportados por TRANSELCA S.A. E.S.P. en respuesta a la circular 018 de 2009, superiores a los registrados en el SUI en los años 2006 y 2007.</w:t>
      </w:r>
    </w:p>
    <w:p w:rsidR="00F06FB5" w:rsidRDefault="006B0FB1">
      <w:pPr>
        <w:pStyle w:val="Cita"/>
        <w:ind w:left="284" w:right="284"/>
        <w:rPr>
          <w:rFonts w:ascii="Bookman Old Style" w:hAnsi="Bookman Old Style"/>
          <w:sz w:val="22"/>
        </w:rPr>
      </w:pPr>
      <w:r w:rsidRPr="006B0FB1">
        <w:rPr>
          <w:rFonts w:ascii="Bookman Old Style" w:hAnsi="Bookman Old Style"/>
          <w:sz w:val="22"/>
        </w:rPr>
        <w:t xml:space="preserve">Como segundo </w:t>
      </w:r>
      <w:r w:rsidR="00F06FB5">
        <w:rPr>
          <w:rFonts w:ascii="Bookman Old Style" w:hAnsi="Bookman Old Style"/>
          <w:sz w:val="22"/>
        </w:rPr>
        <w:t>c</w:t>
      </w:r>
      <w:r w:rsidRPr="006B0FB1">
        <w:rPr>
          <w:rFonts w:ascii="Bookman Old Style" w:hAnsi="Bookman Old Style"/>
          <w:sz w:val="22"/>
        </w:rPr>
        <w:t xml:space="preserve">riterio para la revisión del </w:t>
      </w:r>
      <w:r w:rsidR="00F06FB5">
        <w:rPr>
          <w:rFonts w:ascii="Bookman Old Style" w:hAnsi="Bookman Old Style"/>
          <w:sz w:val="22"/>
        </w:rPr>
        <w:t>AOM</w:t>
      </w:r>
      <w:r w:rsidRPr="006B0FB1">
        <w:rPr>
          <w:rFonts w:ascii="Bookman Old Style" w:hAnsi="Bookman Old Style"/>
          <w:sz w:val="22"/>
        </w:rPr>
        <w:t xml:space="preserve"> gastado plantea la CREG en el Documento CREG 083, soporte de la Resolución 107 de 2010, que </w:t>
      </w:r>
      <w:r w:rsidR="00F06FB5">
        <w:rPr>
          <w:rFonts w:ascii="Bookman Old Style" w:hAnsi="Bookman Old Style"/>
          <w:sz w:val="22"/>
        </w:rPr>
        <w:t>s</w:t>
      </w:r>
      <w:r w:rsidRPr="006B0FB1">
        <w:rPr>
          <w:rFonts w:ascii="Bookman Old Style" w:hAnsi="Bookman Old Style"/>
          <w:sz w:val="22"/>
        </w:rPr>
        <w:t>e verifique que debe existir la unidad de negocio "transmisión" en los reportes de información del Sistema Unificado de Costos y Gastos del SUI y que los valores reportados por el TN en respuesta a la Circular CREG 018 de 2009 no superen los registrados para la unidad de negocio "</w:t>
      </w:r>
      <w:r w:rsidR="00F06FB5" w:rsidRPr="006B0FB1">
        <w:rPr>
          <w:rFonts w:ascii="Bookman Old Style" w:hAnsi="Bookman Old Style"/>
          <w:sz w:val="22"/>
        </w:rPr>
        <w:t>Transmisión</w:t>
      </w:r>
      <w:r w:rsidRPr="006B0FB1">
        <w:rPr>
          <w:rFonts w:ascii="Bookman Old Style" w:hAnsi="Bookman Old Style"/>
          <w:sz w:val="22"/>
        </w:rPr>
        <w:t xml:space="preserve">" en dicho sistema. En </w:t>
      </w:r>
      <w:r w:rsidR="00F06FB5">
        <w:rPr>
          <w:rFonts w:ascii="Bookman Old Style" w:hAnsi="Bookman Old Style"/>
          <w:sz w:val="22"/>
        </w:rPr>
        <w:t>c</w:t>
      </w:r>
      <w:r w:rsidRPr="006B0FB1">
        <w:rPr>
          <w:rFonts w:ascii="Bookman Old Style" w:hAnsi="Bookman Old Style"/>
          <w:sz w:val="22"/>
        </w:rPr>
        <w:t xml:space="preserve">aso de ser necesario </w:t>
      </w:r>
      <w:r w:rsidR="00F06FB5">
        <w:rPr>
          <w:rFonts w:ascii="Bookman Old Style" w:hAnsi="Bookman Old Style"/>
          <w:sz w:val="22"/>
        </w:rPr>
        <w:t>s</w:t>
      </w:r>
      <w:r w:rsidRPr="006B0FB1">
        <w:rPr>
          <w:rFonts w:ascii="Bookman Old Style" w:hAnsi="Bookman Old Style"/>
          <w:sz w:val="22"/>
        </w:rPr>
        <w:t>e hacen ajustes sobre el total de los años 2006 y 2007.</w:t>
      </w:r>
    </w:p>
    <w:p w:rsidR="00F06FB5" w:rsidRDefault="006B0FB1">
      <w:pPr>
        <w:pStyle w:val="Cita"/>
        <w:ind w:left="284" w:right="284"/>
        <w:rPr>
          <w:rFonts w:ascii="Bookman Old Style" w:hAnsi="Bookman Old Style"/>
          <w:sz w:val="22"/>
        </w:rPr>
      </w:pPr>
      <w:r w:rsidRPr="006B0FB1">
        <w:rPr>
          <w:rFonts w:ascii="Bookman Old Style" w:hAnsi="Bookman Old Style"/>
          <w:sz w:val="22"/>
        </w:rPr>
        <w:t xml:space="preserve">La CREG en la Resolución 107 de 2010 al revisar las </w:t>
      </w:r>
      <w:r w:rsidR="00F06FB5">
        <w:rPr>
          <w:rFonts w:ascii="Bookman Old Style" w:hAnsi="Bookman Old Style"/>
          <w:sz w:val="22"/>
        </w:rPr>
        <w:t>c</w:t>
      </w:r>
      <w:r w:rsidRPr="006B0FB1">
        <w:rPr>
          <w:rFonts w:ascii="Bookman Old Style" w:hAnsi="Bookman Old Style"/>
          <w:sz w:val="22"/>
        </w:rPr>
        <w:t xml:space="preserve">ifras reportadas por TRANSELCA S.A. E.S.P. en el SUI observa diferencias con respecto a lo reportado por TRANSELCA en respuesta a la circular CREG 018 de 2009, penalizando el reconocimiento del </w:t>
      </w:r>
      <w:r w:rsidR="00F06FB5">
        <w:rPr>
          <w:rFonts w:ascii="Bookman Old Style" w:hAnsi="Bookman Old Style"/>
          <w:sz w:val="22"/>
        </w:rPr>
        <w:t>AOM</w:t>
      </w:r>
      <w:r w:rsidRPr="006B0FB1">
        <w:rPr>
          <w:rFonts w:ascii="Bookman Old Style" w:hAnsi="Bookman Old Style"/>
          <w:sz w:val="22"/>
        </w:rPr>
        <w:t xml:space="preserve"> de TRANSELCA S.A. E.S.P. de los años 2006 y 2007.</w:t>
      </w:r>
    </w:p>
    <w:p w:rsidR="00F06FB5" w:rsidRDefault="006B0FB1">
      <w:pPr>
        <w:pStyle w:val="Cita"/>
        <w:ind w:left="284" w:right="284"/>
        <w:rPr>
          <w:rFonts w:ascii="Bookman Old Style" w:hAnsi="Bookman Old Style"/>
          <w:sz w:val="22"/>
        </w:rPr>
      </w:pPr>
      <w:r w:rsidRPr="006B0FB1">
        <w:rPr>
          <w:rFonts w:ascii="Bookman Old Style" w:hAnsi="Bookman Old Style"/>
          <w:sz w:val="22"/>
        </w:rPr>
        <w:t xml:space="preserve">El ajuste realizado por la CREG para los años 2006 y 2007 bajo este </w:t>
      </w:r>
      <w:r w:rsidR="00F06FB5">
        <w:rPr>
          <w:rFonts w:ascii="Bookman Old Style" w:hAnsi="Bookman Old Style"/>
          <w:sz w:val="22"/>
        </w:rPr>
        <w:t>c</w:t>
      </w:r>
      <w:r w:rsidRPr="006B0FB1">
        <w:rPr>
          <w:rFonts w:ascii="Bookman Old Style" w:hAnsi="Bookman Old Style"/>
          <w:sz w:val="22"/>
        </w:rPr>
        <w:t>riterio es improcedente, tal como lo pasamos a justificar a continuación:</w:t>
      </w:r>
    </w:p>
    <w:p w:rsidR="00F06FB5" w:rsidRDefault="006B0FB1">
      <w:pPr>
        <w:pStyle w:val="Cita"/>
        <w:ind w:left="284" w:right="284"/>
        <w:rPr>
          <w:rFonts w:ascii="Bookman Old Style" w:hAnsi="Bookman Old Style"/>
          <w:sz w:val="22"/>
        </w:rPr>
      </w:pPr>
      <w:r w:rsidRPr="006B0FB1">
        <w:rPr>
          <w:rFonts w:ascii="Bookman Old Style" w:hAnsi="Bookman Old Style"/>
          <w:sz w:val="22"/>
        </w:rPr>
        <w:t xml:space="preserve">De acuerdo con la Resolución 25985 del año 2006 de la SSPD, se suben al sistema de información SUI, entre </w:t>
      </w:r>
      <w:r w:rsidR="00F06FB5">
        <w:rPr>
          <w:rFonts w:ascii="Bookman Old Style" w:hAnsi="Bookman Old Style"/>
          <w:sz w:val="22"/>
        </w:rPr>
        <w:t>o</w:t>
      </w:r>
      <w:r w:rsidRPr="006B0FB1">
        <w:rPr>
          <w:rFonts w:ascii="Bookman Old Style" w:hAnsi="Bookman Old Style"/>
          <w:sz w:val="22"/>
        </w:rPr>
        <w:t>tros, los siguientes repo</w:t>
      </w:r>
      <w:r w:rsidR="00F06FB5">
        <w:rPr>
          <w:rFonts w:ascii="Bookman Old Style" w:hAnsi="Bookman Old Style"/>
          <w:sz w:val="22"/>
        </w:rPr>
        <w:t>r</w:t>
      </w:r>
      <w:r w:rsidRPr="006B0FB1">
        <w:rPr>
          <w:rFonts w:ascii="Bookman Old Style" w:hAnsi="Bookman Old Style"/>
          <w:sz w:val="22"/>
        </w:rPr>
        <w:t>tes financieros:</w:t>
      </w:r>
    </w:p>
    <w:p w:rsidR="005F1034" w:rsidRPr="005F1034" w:rsidRDefault="005F1034" w:rsidP="005F1034">
      <w:pPr>
        <w:rPr>
          <w:lang w:val="es-CO" w:eastAsia="en-US"/>
        </w:rPr>
      </w:pPr>
    </w:p>
    <w:p w:rsidR="00F06FB5" w:rsidRDefault="006B0FB1">
      <w:pPr>
        <w:pStyle w:val="Cita"/>
        <w:numPr>
          <w:ilvl w:val="0"/>
          <w:numId w:val="6"/>
        </w:numPr>
        <w:ind w:left="567" w:right="284" w:hanging="283"/>
        <w:rPr>
          <w:rFonts w:ascii="Bookman Old Style" w:hAnsi="Bookman Old Style"/>
          <w:sz w:val="22"/>
        </w:rPr>
      </w:pPr>
      <w:r w:rsidRPr="006B0FB1">
        <w:rPr>
          <w:rFonts w:ascii="Bookman Old Style" w:hAnsi="Bookman Old Style"/>
          <w:sz w:val="22"/>
        </w:rPr>
        <w:t>Balance de Energía (STN =USO y CONEXI</w:t>
      </w:r>
      <w:r w:rsidR="00F06FB5">
        <w:rPr>
          <w:rFonts w:ascii="Bookman Old Style" w:hAnsi="Bookman Old Style"/>
          <w:sz w:val="22"/>
        </w:rPr>
        <w:t>Ó</w:t>
      </w:r>
      <w:r w:rsidRPr="006B0FB1">
        <w:rPr>
          <w:rFonts w:ascii="Bookman Old Style" w:hAnsi="Bookman Old Style"/>
          <w:sz w:val="22"/>
        </w:rPr>
        <w:t xml:space="preserve">N): que </w:t>
      </w:r>
      <w:r w:rsidR="00F06FB5">
        <w:rPr>
          <w:rFonts w:ascii="Bookman Old Style" w:hAnsi="Bookman Old Style"/>
          <w:sz w:val="22"/>
        </w:rPr>
        <w:t>c</w:t>
      </w:r>
      <w:r w:rsidRPr="006B0FB1">
        <w:rPr>
          <w:rFonts w:ascii="Bookman Old Style" w:hAnsi="Bookman Old Style"/>
          <w:sz w:val="22"/>
        </w:rPr>
        <w:t xml:space="preserve">ontiene el 100% de las </w:t>
      </w:r>
      <w:r w:rsidR="00F06FB5">
        <w:rPr>
          <w:rFonts w:ascii="Bookman Old Style" w:hAnsi="Bookman Old Style"/>
          <w:sz w:val="22"/>
        </w:rPr>
        <w:t>c</w:t>
      </w:r>
      <w:r w:rsidRPr="006B0FB1">
        <w:rPr>
          <w:rFonts w:ascii="Bookman Old Style" w:hAnsi="Bookman Old Style"/>
          <w:sz w:val="22"/>
        </w:rPr>
        <w:t>uentas de Balance y Resultados.</w:t>
      </w:r>
    </w:p>
    <w:p w:rsidR="00F06FB5" w:rsidRDefault="006B0FB1">
      <w:pPr>
        <w:pStyle w:val="Cita"/>
        <w:numPr>
          <w:ilvl w:val="0"/>
          <w:numId w:val="6"/>
        </w:numPr>
        <w:ind w:left="567" w:right="284" w:hanging="283"/>
        <w:rPr>
          <w:rFonts w:ascii="Bookman Old Style" w:hAnsi="Bookman Old Style"/>
          <w:sz w:val="22"/>
        </w:rPr>
      </w:pPr>
      <w:r w:rsidRPr="006B0FB1">
        <w:rPr>
          <w:rFonts w:ascii="Bookman Old Style" w:hAnsi="Bookman Old Style"/>
          <w:sz w:val="22"/>
        </w:rPr>
        <w:t>El repo</w:t>
      </w:r>
      <w:r w:rsidR="00F06FB5">
        <w:rPr>
          <w:rFonts w:ascii="Bookman Old Style" w:hAnsi="Bookman Old Style"/>
          <w:sz w:val="22"/>
        </w:rPr>
        <w:t>r</w:t>
      </w:r>
      <w:r w:rsidRPr="006B0FB1">
        <w:rPr>
          <w:rFonts w:ascii="Bookman Old Style" w:hAnsi="Bookman Old Style"/>
          <w:sz w:val="22"/>
        </w:rPr>
        <w:t xml:space="preserve">te Costos y Gastos de Energía (STN </w:t>
      </w:r>
      <w:r w:rsidR="00F06FB5">
        <w:rPr>
          <w:rFonts w:ascii="Bookman Old Style" w:hAnsi="Bookman Old Style"/>
          <w:sz w:val="22"/>
        </w:rPr>
        <w:t>=</w:t>
      </w:r>
      <w:r w:rsidRPr="006B0FB1">
        <w:rPr>
          <w:rFonts w:ascii="Bookman Old Style" w:hAnsi="Bookman Old Style"/>
          <w:sz w:val="22"/>
        </w:rPr>
        <w:t>USO y CONEXI</w:t>
      </w:r>
      <w:r w:rsidR="00F06FB5">
        <w:rPr>
          <w:rFonts w:ascii="Bookman Old Style" w:hAnsi="Bookman Old Style"/>
          <w:sz w:val="22"/>
        </w:rPr>
        <w:t>Ó</w:t>
      </w:r>
      <w:r w:rsidRPr="006B0FB1">
        <w:rPr>
          <w:rFonts w:ascii="Bookman Old Style" w:hAnsi="Bookman Old Style"/>
          <w:sz w:val="22"/>
        </w:rPr>
        <w:t xml:space="preserve">N) el cual </w:t>
      </w:r>
      <w:r w:rsidR="00F06FB5">
        <w:rPr>
          <w:rFonts w:ascii="Bookman Old Style" w:hAnsi="Bookman Old Style"/>
          <w:sz w:val="22"/>
        </w:rPr>
        <w:t>c</w:t>
      </w:r>
      <w:r w:rsidRPr="006B0FB1">
        <w:rPr>
          <w:rFonts w:ascii="Bookman Old Style" w:hAnsi="Bookman Old Style"/>
          <w:sz w:val="22"/>
        </w:rPr>
        <w:t xml:space="preserve">ontiene todas las </w:t>
      </w:r>
      <w:r w:rsidR="00F06FB5">
        <w:rPr>
          <w:rFonts w:ascii="Bookman Old Style" w:hAnsi="Bookman Old Style"/>
          <w:sz w:val="22"/>
        </w:rPr>
        <w:t>c</w:t>
      </w:r>
      <w:r w:rsidRPr="006B0FB1">
        <w:rPr>
          <w:rFonts w:ascii="Bookman Old Style" w:hAnsi="Bookman Old Style"/>
          <w:sz w:val="22"/>
        </w:rPr>
        <w:t xml:space="preserve">uentas del estado de resultados con excepción de las cuentas del </w:t>
      </w:r>
      <w:r w:rsidR="00F06FB5">
        <w:rPr>
          <w:rFonts w:ascii="Bookman Old Style" w:hAnsi="Bookman Old Style"/>
          <w:sz w:val="22"/>
        </w:rPr>
        <w:t>c</w:t>
      </w:r>
      <w:r w:rsidRPr="006B0FB1">
        <w:rPr>
          <w:rFonts w:ascii="Bookman Old Style" w:hAnsi="Bookman Old Style"/>
          <w:sz w:val="22"/>
        </w:rPr>
        <w:t>ódigo 53 (provisiones) y 58 (gastos financieros).</w:t>
      </w:r>
    </w:p>
    <w:p w:rsidR="00730815" w:rsidRDefault="006B0FB1">
      <w:pPr>
        <w:pStyle w:val="Cita"/>
        <w:ind w:left="284" w:right="284"/>
        <w:rPr>
          <w:szCs w:val="20"/>
          <w:lang w:val="es-ES"/>
        </w:rPr>
      </w:pPr>
      <w:r w:rsidRPr="006B0FB1">
        <w:rPr>
          <w:rFonts w:ascii="Bookman Old Style" w:hAnsi="Bookman Old Style"/>
          <w:sz w:val="22"/>
        </w:rPr>
        <w:t xml:space="preserve">Cabe aclarar que la única diferencia entre estos dos reportes, atendiendo las especificaciones de </w:t>
      </w:r>
      <w:r w:rsidR="00F06FB5">
        <w:rPr>
          <w:rFonts w:ascii="Bookman Old Style" w:hAnsi="Bookman Old Style"/>
          <w:sz w:val="22"/>
        </w:rPr>
        <w:t>c</w:t>
      </w:r>
      <w:r w:rsidRPr="006B0FB1">
        <w:rPr>
          <w:rFonts w:ascii="Bookman Old Style" w:hAnsi="Bookman Old Style"/>
          <w:sz w:val="22"/>
        </w:rPr>
        <w:t xml:space="preserve">osteo ABC establecidas por la SSPD, son los costos de las provisiones incluidas en la </w:t>
      </w:r>
      <w:r w:rsidR="00F06FB5">
        <w:rPr>
          <w:rFonts w:ascii="Bookman Old Style" w:hAnsi="Bookman Old Style"/>
          <w:sz w:val="22"/>
        </w:rPr>
        <w:t>c</w:t>
      </w:r>
      <w:r w:rsidRPr="006B0FB1">
        <w:rPr>
          <w:rFonts w:ascii="Bookman Old Style" w:hAnsi="Bookman Old Style"/>
          <w:sz w:val="22"/>
        </w:rPr>
        <w:t xml:space="preserve">uenta 53 y el total de los costos de la cuenta 58 </w:t>
      </w:r>
      <w:r w:rsidR="009A22C0" w:rsidRPr="009A22C0">
        <w:rPr>
          <w:rFonts w:ascii="Bookman Old Style" w:hAnsi="Bookman Old Style"/>
          <w:sz w:val="22"/>
        </w:rPr>
        <w:t>como se muestra a continuación</w:t>
      </w:r>
      <w:r w:rsidR="009A22C0">
        <w:rPr>
          <w:rFonts w:ascii="Bookman Old Style" w:hAnsi="Bookman Old Style"/>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992"/>
        <w:gridCol w:w="1985"/>
        <w:gridCol w:w="1843"/>
        <w:gridCol w:w="1956"/>
        <w:gridCol w:w="1956"/>
      </w:tblGrid>
      <w:tr w:rsidR="00730815" w:rsidRPr="00FE1AB4" w:rsidTr="005F5663">
        <w:trPr>
          <w:jc w:val="center"/>
        </w:trPr>
        <w:tc>
          <w:tcPr>
            <w:tcW w:w="992" w:type="dxa"/>
            <w:vAlign w:val="center"/>
          </w:tcPr>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Codigos contables</w:t>
            </w:r>
          </w:p>
        </w:tc>
        <w:tc>
          <w:tcPr>
            <w:tcW w:w="1985" w:type="dxa"/>
            <w:vAlign w:val="center"/>
          </w:tcPr>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Balance de</w:t>
            </w:r>
            <w:r w:rsidR="009A22C0">
              <w:rPr>
                <w:rFonts w:cs="Arial"/>
                <w:i/>
                <w:sz w:val="18"/>
                <w:szCs w:val="18"/>
                <w:lang w:eastAsia="en-US"/>
              </w:rPr>
              <w:t xml:space="preserve"> </w:t>
            </w:r>
            <w:r w:rsidRPr="00730815">
              <w:rPr>
                <w:rFonts w:cs="Arial"/>
                <w:i/>
                <w:sz w:val="18"/>
                <w:szCs w:val="18"/>
                <w:lang w:eastAsia="en-US"/>
              </w:rPr>
              <w:t>energía</w:t>
            </w:r>
          </w:p>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2006</w:t>
            </w:r>
          </w:p>
        </w:tc>
        <w:tc>
          <w:tcPr>
            <w:tcW w:w="1843" w:type="dxa"/>
            <w:vAlign w:val="center"/>
          </w:tcPr>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Informe de costos y gastos Energía</w:t>
            </w:r>
          </w:p>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2006</w:t>
            </w:r>
          </w:p>
        </w:tc>
        <w:tc>
          <w:tcPr>
            <w:tcW w:w="1956" w:type="dxa"/>
            <w:vAlign w:val="center"/>
          </w:tcPr>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Balance de energía</w:t>
            </w:r>
          </w:p>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2007</w:t>
            </w:r>
          </w:p>
        </w:tc>
        <w:tc>
          <w:tcPr>
            <w:tcW w:w="1956" w:type="dxa"/>
            <w:vAlign w:val="center"/>
          </w:tcPr>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Informe de costos y gastos Energía</w:t>
            </w:r>
          </w:p>
          <w:p w:rsidR="00730815" w:rsidRPr="00730815" w:rsidRDefault="00730815">
            <w:pPr>
              <w:autoSpaceDE w:val="0"/>
              <w:autoSpaceDN w:val="0"/>
              <w:adjustRightInd w:val="0"/>
              <w:jc w:val="center"/>
              <w:rPr>
                <w:rFonts w:cs="Arial"/>
                <w:i/>
                <w:sz w:val="18"/>
                <w:szCs w:val="18"/>
                <w:lang w:eastAsia="en-US"/>
              </w:rPr>
            </w:pPr>
            <w:r w:rsidRPr="00730815">
              <w:rPr>
                <w:rFonts w:cs="Arial"/>
                <w:i/>
                <w:sz w:val="18"/>
                <w:szCs w:val="18"/>
                <w:lang w:eastAsia="en-US"/>
              </w:rPr>
              <w:t>2007</w:t>
            </w:r>
          </w:p>
        </w:tc>
      </w:tr>
      <w:tr w:rsidR="00730815" w:rsidRPr="00FE1AB4" w:rsidTr="005F5663">
        <w:trPr>
          <w:jc w:val="center"/>
        </w:trPr>
        <w:tc>
          <w:tcPr>
            <w:tcW w:w="992" w:type="dxa"/>
          </w:tcPr>
          <w:p w:rsidR="00730815" w:rsidRPr="00730815" w:rsidRDefault="00730815" w:rsidP="001A102C">
            <w:pPr>
              <w:autoSpaceDE w:val="0"/>
              <w:autoSpaceDN w:val="0"/>
              <w:adjustRightInd w:val="0"/>
              <w:jc w:val="center"/>
              <w:rPr>
                <w:rFonts w:cs="Arial"/>
                <w:i/>
                <w:sz w:val="18"/>
                <w:szCs w:val="18"/>
                <w:lang w:eastAsia="en-US"/>
              </w:rPr>
            </w:pPr>
            <w:r w:rsidRPr="00730815">
              <w:rPr>
                <w:rFonts w:cs="Arial"/>
                <w:i/>
                <w:sz w:val="18"/>
                <w:szCs w:val="18"/>
                <w:lang w:eastAsia="en-US"/>
              </w:rPr>
              <w:t>51</w:t>
            </w:r>
          </w:p>
        </w:tc>
        <w:tc>
          <w:tcPr>
            <w:tcW w:w="1985" w:type="dxa"/>
          </w:tcPr>
          <w:p w:rsidR="00730815" w:rsidRPr="00730815" w:rsidRDefault="00730815" w:rsidP="00BD67E2">
            <w:pPr>
              <w:autoSpaceDE w:val="0"/>
              <w:autoSpaceDN w:val="0"/>
              <w:adjustRightInd w:val="0"/>
              <w:jc w:val="right"/>
              <w:rPr>
                <w:rFonts w:cs="Arial"/>
                <w:i/>
                <w:sz w:val="18"/>
                <w:szCs w:val="18"/>
                <w:lang w:eastAsia="en-US"/>
              </w:rPr>
            </w:pPr>
            <w:r w:rsidRPr="00730815">
              <w:rPr>
                <w:rFonts w:cs="Arial"/>
                <w:i/>
                <w:sz w:val="18"/>
                <w:szCs w:val="18"/>
                <w:lang w:eastAsia="en-US"/>
              </w:rPr>
              <w:t>16.180.255.799,00</w:t>
            </w:r>
          </w:p>
        </w:tc>
        <w:tc>
          <w:tcPr>
            <w:tcW w:w="1843" w:type="dxa"/>
          </w:tcPr>
          <w:p w:rsidR="00730815" w:rsidRPr="00730815" w:rsidRDefault="00730815" w:rsidP="003503FF">
            <w:pPr>
              <w:autoSpaceDE w:val="0"/>
              <w:autoSpaceDN w:val="0"/>
              <w:adjustRightInd w:val="0"/>
              <w:jc w:val="right"/>
              <w:rPr>
                <w:rFonts w:cs="Arial"/>
                <w:i/>
                <w:sz w:val="18"/>
                <w:szCs w:val="18"/>
                <w:lang w:eastAsia="en-US"/>
              </w:rPr>
            </w:pPr>
            <w:r w:rsidRPr="00730815">
              <w:rPr>
                <w:rFonts w:cs="Arial"/>
                <w:i/>
                <w:sz w:val="18"/>
                <w:szCs w:val="18"/>
                <w:lang w:eastAsia="en-US"/>
              </w:rPr>
              <w:t>16.180.255.799,00</w:t>
            </w:r>
          </w:p>
        </w:tc>
        <w:tc>
          <w:tcPr>
            <w:tcW w:w="1956" w:type="dxa"/>
          </w:tcPr>
          <w:p w:rsidR="00730815" w:rsidRPr="00730815" w:rsidRDefault="00730815" w:rsidP="00170917">
            <w:pPr>
              <w:autoSpaceDE w:val="0"/>
              <w:autoSpaceDN w:val="0"/>
              <w:adjustRightInd w:val="0"/>
              <w:jc w:val="right"/>
              <w:rPr>
                <w:rFonts w:cs="Arial"/>
                <w:i/>
                <w:sz w:val="18"/>
                <w:szCs w:val="18"/>
                <w:lang w:eastAsia="en-US"/>
              </w:rPr>
            </w:pPr>
            <w:r w:rsidRPr="00730815">
              <w:rPr>
                <w:rFonts w:cs="Arial"/>
                <w:i/>
                <w:sz w:val="18"/>
                <w:szCs w:val="18"/>
                <w:lang w:eastAsia="en-US"/>
              </w:rPr>
              <w:t>15.450.458.475,00</w:t>
            </w:r>
          </w:p>
        </w:tc>
        <w:tc>
          <w:tcPr>
            <w:tcW w:w="1956" w:type="dxa"/>
          </w:tcPr>
          <w:p w:rsidR="00730815" w:rsidRPr="00730815" w:rsidRDefault="00730815">
            <w:pPr>
              <w:autoSpaceDE w:val="0"/>
              <w:autoSpaceDN w:val="0"/>
              <w:adjustRightInd w:val="0"/>
              <w:jc w:val="right"/>
              <w:rPr>
                <w:rFonts w:cs="Arial"/>
                <w:i/>
                <w:sz w:val="18"/>
                <w:szCs w:val="18"/>
                <w:lang w:eastAsia="en-US"/>
              </w:rPr>
            </w:pPr>
            <w:r w:rsidRPr="00730815">
              <w:rPr>
                <w:rFonts w:cs="Arial"/>
                <w:i/>
                <w:sz w:val="18"/>
                <w:szCs w:val="18"/>
                <w:lang w:eastAsia="en-US"/>
              </w:rPr>
              <w:t>15.450.458.475,00</w:t>
            </w:r>
          </w:p>
        </w:tc>
      </w:tr>
      <w:tr w:rsidR="00730815" w:rsidRPr="00FE1AB4" w:rsidTr="005F5663">
        <w:trPr>
          <w:jc w:val="center"/>
        </w:trPr>
        <w:tc>
          <w:tcPr>
            <w:tcW w:w="992" w:type="dxa"/>
          </w:tcPr>
          <w:p w:rsidR="00730815" w:rsidRPr="00730815" w:rsidRDefault="00730815" w:rsidP="001A102C">
            <w:pPr>
              <w:autoSpaceDE w:val="0"/>
              <w:autoSpaceDN w:val="0"/>
              <w:adjustRightInd w:val="0"/>
              <w:jc w:val="center"/>
              <w:rPr>
                <w:rFonts w:cs="Arial"/>
                <w:i/>
                <w:sz w:val="18"/>
                <w:szCs w:val="18"/>
                <w:lang w:eastAsia="en-US"/>
              </w:rPr>
            </w:pPr>
            <w:r w:rsidRPr="00730815">
              <w:rPr>
                <w:rFonts w:cs="Arial"/>
                <w:i/>
                <w:sz w:val="18"/>
                <w:szCs w:val="18"/>
                <w:lang w:eastAsia="en-US"/>
              </w:rPr>
              <w:t>75</w:t>
            </w:r>
          </w:p>
        </w:tc>
        <w:tc>
          <w:tcPr>
            <w:tcW w:w="1985" w:type="dxa"/>
          </w:tcPr>
          <w:p w:rsidR="00730815" w:rsidRPr="00730815" w:rsidRDefault="00730815" w:rsidP="00BD67E2">
            <w:pPr>
              <w:autoSpaceDE w:val="0"/>
              <w:autoSpaceDN w:val="0"/>
              <w:adjustRightInd w:val="0"/>
              <w:jc w:val="right"/>
              <w:rPr>
                <w:rFonts w:cs="Arial"/>
                <w:i/>
                <w:sz w:val="18"/>
                <w:szCs w:val="18"/>
                <w:lang w:eastAsia="en-US"/>
              </w:rPr>
            </w:pPr>
            <w:r w:rsidRPr="00730815">
              <w:rPr>
                <w:rFonts w:cs="Arial"/>
                <w:i/>
                <w:sz w:val="18"/>
                <w:szCs w:val="18"/>
                <w:lang w:eastAsia="en-US"/>
              </w:rPr>
              <w:t>52.209.551.377,00</w:t>
            </w:r>
          </w:p>
        </w:tc>
        <w:tc>
          <w:tcPr>
            <w:tcW w:w="1843" w:type="dxa"/>
          </w:tcPr>
          <w:p w:rsidR="00730815" w:rsidRPr="00730815" w:rsidRDefault="00730815" w:rsidP="003503FF">
            <w:pPr>
              <w:autoSpaceDE w:val="0"/>
              <w:autoSpaceDN w:val="0"/>
              <w:adjustRightInd w:val="0"/>
              <w:jc w:val="right"/>
              <w:rPr>
                <w:rFonts w:cs="Arial"/>
                <w:i/>
                <w:sz w:val="18"/>
                <w:szCs w:val="18"/>
                <w:lang w:eastAsia="en-US"/>
              </w:rPr>
            </w:pPr>
            <w:r w:rsidRPr="00730815">
              <w:rPr>
                <w:rFonts w:cs="Arial"/>
                <w:i/>
                <w:sz w:val="18"/>
                <w:szCs w:val="18"/>
                <w:lang w:eastAsia="en-US"/>
              </w:rPr>
              <w:t>52.209.551.377,00</w:t>
            </w:r>
          </w:p>
        </w:tc>
        <w:tc>
          <w:tcPr>
            <w:tcW w:w="1956" w:type="dxa"/>
          </w:tcPr>
          <w:p w:rsidR="00730815" w:rsidRPr="00730815" w:rsidRDefault="00730815" w:rsidP="00170917">
            <w:pPr>
              <w:autoSpaceDE w:val="0"/>
              <w:autoSpaceDN w:val="0"/>
              <w:adjustRightInd w:val="0"/>
              <w:jc w:val="right"/>
              <w:rPr>
                <w:rFonts w:cs="Arial"/>
                <w:i/>
                <w:sz w:val="18"/>
                <w:szCs w:val="18"/>
                <w:lang w:eastAsia="en-US"/>
              </w:rPr>
            </w:pPr>
            <w:r w:rsidRPr="00730815">
              <w:rPr>
                <w:rFonts w:cs="Arial"/>
                <w:i/>
                <w:sz w:val="18"/>
                <w:szCs w:val="18"/>
                <w:lang w:eastAsia="en-US"/>
              </w:rPr>
              <w:t>51.177.089.304,00</w:t>
            </w:r>
          </w:p>
        </w:tc>
        <w:tc>
          <w:tcPr>
            <w:tcW w:w="1956" w:type="dxa"/>
          </w:tcPr>
          <w:p w:rsidR="00730815" w:rsidRPr="00730815" w:rsidRDefault="00730815">
            <w:pPr>
              <w:autoSpaceDE w:val="0"/>
              <w:autoSpaceDN w:val="0"/>
              <w:adjustRightInd w:val="0"/>
              <w:jc w:val="right"/>
              <w:rPr>
                <w:rFonts w:cs="Arial"/>
                <w:i/>
                <w:sz w:val="18"/>
                <w:szCs w:val="18"/>
                <w:lang w:eastAsia="en-US"/>
              </w:rPr>
            </w:pPr>
            <w:r w:rsidRPr="00730815">
              <w:rPr>
                <w:rFonts w:cs="Arial"/>
                <w:i/>
                <w:sz w:val="18"/>
                <w:szCs w:val="18"/>
                <w:lang w:eastAsia="en-US"/>
              </w:rPr>
              <w:t>51.177.089.304,00</w:t>
            </w:r>
          </w:p>
        </w:tc>
      </w:tr>
      <w:tr w:rsidR="00730815" w:rsidRPr="00FE1AB4" w:rsidTr="005F5663">
        <w:trPr>
          <w:jc w:val="center"/>
        </w:trPr>
        <w:tc>
          <w:tcPr>
            <w:tcW w:w="992" w:type="dxa"/>
          </w:tcPr>
          <w:p w:rsidR="00730815" w:rsidRPr="00730815" w:rsidRDefault="00730815" w:rsidP="001A102C">
            <w:pPr>
              <w:autoSpaceDE w:val="0"/>
              <w:autoSpaceDN w:val="0"/>
              <w:adjustRightInd w:val="0"/>
              <w:jc w:val="center"/>
              <w:rPr>
                <w:rFonts w:cs="Arial"/>
                <w:i/>
                <w:sz w:val="18"/>
                <w:szCs w:val="18"/>
                <w:lang w:eastAsia="en-US"/>
              </w:rPr>
            </w:pPr>
            <w:r w:rsidRPr="00730815">
              <w:rPr>
                <w:rFonts w:cs="Arial"/>
                <w:i/>
                <w:sz w:val="18"/>
                <w:szCs w:val="18"/>
                <w:lang w:eastAsia="en-US"/>
              </w:rPr>
              <w:t>53</w:t>
            </w:r>
          </w:p>
        </w:tc>
        <w:tc>
          <w:tcPr>
            <w:tcW w:w="1985" w:type="dxa"/>
          </w:tcPr>
          <w:p w:rsidR="00730815" w:rsidRPr="00730815" w:rsidRDefault="00730815" w:rsidP="00BD67E2">
            <w:pPr>
              <w:autoSpaceDE w:val="0"/>
              <w:autoSpaceDN w:val="0"/>
              <w:adjustRightInd w:val="0"/>
              <w:jc w:val="right"/>
              <w:rPr>
                <w:rFonts w:cs="Arial"/>
                <w:i/>
                <w:sz w:val="18"/>
                <w:szCs w:val="18"/>
                <w:lang w:eastAsia="en-US"/>
              </w:rPr>
            </w:pPr>
            <w:r w:rsidRPr="00730815">
              <w:rPr>
                <w:rFonts w:cs="Arial"/>
                <w:i/>
                <w:sz w:val="18"/>
                <w:szCs w:val="18"/>
                <w:lang w:eastAsia="en-US"/>
              </w:rPr>
              <w:t>5.668.261.934,00</w:t>
            </w:r>
          </w:p>
        </w:tc>
        <w:tc>
          <w:tcPr>
            <w:tcW w:w="1843" w:type="dxa"/>
          </w:tcPr>
          <w:p w:rsidR="00730815" w:rsidRPr="00730815" w:rsidRDefault="00730815" w:rsidP="003503FF">
            <w:pPr>
              <w:autoSpaceDE w:val="0"/>
              <w:autoSpaceDN w:val="0"/>
              <w:adjustRightInd w:val="0"/>
              <w:jc w:val="right"/>
              <w:rPr>
                <w:rFonts w:cs="Arial"/>
                <w:i/>
                <w:sz w:val="18"/>
                <w:szCs w:val="18"/>
                <w:lang w:eastAsia="en-US"/>
              </w:rPr>
            </w:pPr>
            <w:r w:rsidRPr="00730815">
              <w:rPr>
                <w:rFonts w:cs="Arial"/>
                <w:i/>
                <w:sz w:val="18"/>
                <w:szCs w:val="18"/>
                <w:lang w:eastAsia="en-US"/>
              </w:rPr>
              <w:t>1.116.029.224,00</w:t>
            </w:r>
          </w:p>
        </w:tc>
        <w:tc>
          <w:tcPr>
            <w:tcW w:w="1956" w:type="dxa"/>
          </w:tcPr>
          <w:p w:rsidR="00730815" w:rsidRPr="00730815" w:rsidRDefault="00730815" w:rsidP="00170917">
            <w:pPr>
              <w:autoSpaceDE w:val="0"/>
              <w:autoSpaceDN w:val="0"/>
              <w:adjustRightInd w:val="0"/>
              <w:jc w:val="right"/>
              <w:rPr>
                <w:rFonts w:cs="Arial"/>
                <w:i/>
                <w:sz w:val="18"/>
                <w:szCs w:val="18"/>
                <w:lang w:eastAsia="en-US"/>
              </w:rPr>
            </w:pPr>
            <w:r w:rsidRPr="00730815">
              <w:rPr>
                <w:rFonts w:cs="Arial"/>
                <w:i/>
                <w:sz w:val="18"/>
                <w:szCs w:val="18"/>
                <w:lang w:eastAsia="en-US"/>
              </w:rPr>
              <w:t>1.734.259.033,00</w:t>
            </w:r>
          </w:p>
        </w:tc>
        <w:tc>
          <w:tcPr>
            <w:tcW w:w="1956" w:type="dxa"/>
          </w:tcPr>
          <w:p w:rsidR="00730815" w:rsidRPr="00730815" w:rsidRDefault="00730815">
            <w:pPr>
              <w:autoSpaceDE w:val="0"/>
              <w:autoSpaceDN w:val="0"/>
              <w:adjustRightInd w:val="0"/>
              <w:jc w:val="right"/>
              <w:rPr>
                <w:rFonts w:cs="Arial"/>
                <w:i/>
                <w:sz w:val="18"/>
                <w:szCs w:val="18"/>
                <w:lang w:eastAsia="en-US"/>
              </w:rPr>
            </w:pPr>
            <w:r w:rsidRPr="00730815">
              <w:rPr>
                <w:rFonts w:cs="Arial"/>
                <w:i/>
                <w:sz w:val="18"/>
                <w:szCs w:val="18"/>
                <w:lang w:eastAsia="en-US"/>
              </w:rPr>
              <w:t>1.693.840.732,00</w:t>
            </w:r>
          </w:p>
        </w:tc>
      </w:tr>
      <w:tr w:rsidR="00730815" w:rsidRPr="00FE1AB4" w:rsidTr="005F5663">
        <w:trPr>
          <w:jc w:val="center"/>
        </w:trPr>
        <w:tc>
          <w:tcPr>
            <w:tcW w:w="992" w:type="dxa"/>
          </w:tcPr>
          <w:p w:rsidR="00730815" w:rsidRPr="00730815" w:rsidRDefault="00730815" w:rsidP="001A102C">
            <w:pPr>
              <w:autoSpaceDE w:val="0"/>
              <w:autoSpaceDN w:val="0"/>
              <w:adjustRightInd w:val="0"/>
              <w:jc w:val="center"/>
              <w:rPr>
                <w:rFonts w:cs="Arial"/>
                <w:i/>
                <w:sz w:val="18"/>
                <w:szCs w:val="18"/>
                <w:lang w:eastAsia="en-US"/>
              </w:rPr>
            </w:pPr>
            <w:r w:rsidRPr="00730815">
              <w:rPr>
                <w:rFonts w:cs="Arial"/>
                <w:i/>
                <w:sz w:val="18"/>
                <w:szCs w:val="18"/>
                <w:lang w:eastAsia="en-US"/>
              </w:rPr>
              <w:t>58</w:t>
            </w:r>
          </w:p>
        </w:tc>
        <w:tc>
          <w:tcPr>
            <w:tcW w:w="1985" w:type="dxa"/>
          </w:tcPr>
          <w:p w:rsidR="00730815" w:rsidRPr="00730815" w:rsidRDefault="00730815" w:rsidP="00BD67E2">
            <w:pPr>
              <w:autoSpaceDE w:val="0"/>
              <w:autoSpaceDN w:val="0"/>
              <w:adjustRightInd w:val="0"/>
              <w:jc w:val="right"/>
              <w:rPr>
                <w:rFonts w:cs="Arial"/>
                <w:i/>
                <w:sz w:val="18"/>
                <w:szCs w:val="18"/>
                <w:lang w:eastAsia="en-US"/>
              </w:rPr>
            </w:pPr>
            <w:r w:rsidRPr="00730815">
              <w:rPr>
                <w:rFonts w:cs="Arial"/>
                <w:i/>
                <w:sz w:val="18"/>
                <w:szCs w:val="18"/>
                <w:lang w:eastAsia="en-US"/>
              </w:rPr>
              <w:t>35.358.462.824,00</w:t>
            </w:r>
          </w:p>
        </w:tc>
        <w:tc>
          <w:tcPr>
            <w:tcW w:w="1843" w:type="dxa"/>
          </w:tcPr>
          <w:p w:rsidR="00730815" w:rsidRPr="00730815" w:rsidRDefault="00730815" w:rsidP="003503FF">
            <w:pPr>
              <w:autoSpaceDE w:val="0"/>
              <w:autoSpaceDN w:val="0"/>
              <w:adjustRightInd w:val="0"/>
              <w:jc w:val="right"/>
              <w:rPr>
                <w:rFonts w:cs="Arial"/>
                <w:i/>
                <w:sz w:val="18"/>
                <w:szCs w:val="18"/>
                <w:lang w:eastAsia="en-US"/>
              </w:rPr>
            </w:pPr>
          </w:p>
        </w:tc>
        <w:tc>
          <w:tcPr>
            <w:tcW w:w="1956" w:type="dxa"/>
          </w:tcPr>
          <w:p w:rsidR="00730815" w:rsidRPr="00730815" w:rsidRDefault="00730815" w:rsidP="00170917">
            <w:pPr>
              <w:autoSpaceDE w:val="0"/>
              <w:autoSpaceDN w:val="0"/>
              <w:adjustRightInd w:val="0"/>
              <w:jc w:val="right"/>
              <w:rPr>
                <w:rFonts w:cs="Arial"/>
                <w:i/>
                <w:sz w:val="18"/>
                <w:szCs w:val="18"/>
                <w:lang w:eastAsia="en-US"/>
              </w:rPr>
            </w:pPr>
            <w:r w:rsidRPr="00730815">
              <w:rPr>
                <w:rFonts w:cs="Arial"/>
                <w:i/>
                <w:sz w:val="18"/>
                <w:szCs w:val="18"/>
                <w:lang w:eastAsia="en-US"/>
              </w:rPr>
              <w:t>39.709.347.236,00</w:t>
            </w:r>
          </w:p>
        </w:tc>
        <w:tc>
          <w:tcPr>
            <w:tcW w:w="1956" w:type="dxa"/>
          </w:tcPr>
          <w:p w:rsidR="00730815" w:rsidRPr="00730815" w:rsidRDefault="00730815">
            <w:pPr>
              <w:autoSpaceDE w:val="0"/>
              <w:autoSpaceDN w:val="0"/>
              <w:adjustRightInd w:val="0"/>
              <w:jc w:val="right"/>
              <w:rPr>
                <w:rFonts w:cs="Arial"/>
                <w:i/>
                <w:sz w:val="18"/>
                <w:szCs w:val="18"/>
                <w:lang w:eastAsia="en-US"/>
              </w:rPr>
            </w:pPr>
          </w:p>
        </w:tc>
      </w:tr>
      <w:tr w:rsidR="00730815" w:rsidRPr="00FE1AB4" w:rsidTr="005F5663">
        <w:trPr>
          <w:jc w:val="center"/>
        </w:trPr>
        <w:tc>
          <w:tcPr>
            <w:tcW w:w="992" w:type="dxa"/>
          </w:tcPr>
          <w:p w:rsidR="00730815" w:rsidRPr="00730815" w:rsidRDefault="00730815" w:rsidP="001A102C">
            <w:pPr>
              <w:autoSpaceDE w:val="0"/>
              <w:autoSpaceDN w:val="0"/>
              <w:adjustRightInd w:val="0"/>
              <w:jc w:val="center"/>
              <w:rPr>
                <w:rFonts w:cs="Arial"/>
                <w:i/>
                <w:sz w:val="18"/>
                <w:szCs w:val="18"/>
                <w:lang w:eastAsia="en-US"/>
              </w:rPr>
            </w:pPr>
            <w:r w:rsidRPr="00730815">
              <w:rPr>
                <w:rFonts w:cs="Arial"/>
                <w:i/>
                <w:sz w:val="18"/>
                <w:szCs w:val="18"/>
                <w:lang w:eastAsia="en-US"/>
              </w:rPr>
              <w:t>Totales</w:t>
            </w:r>
          </w:p>
        </w:tc>
        <w:tc>
          <w:tcPr>
            <w:tcW w:w="1985" w:type="dxa"/>
          </w:tcPr>
          <w:p w:rsidR="00730815" w:rsidRPr="00730815" w:rsidRDefault="00730815" w:rsidP="00BD67E2">
            <w:pPr>
              <w:autoSpaceDE w:val="0"/>
              <w:autoSpaceDN w:val="0"/>
              <w:adjustRightInd w:val="0"/>
              <w:jc w:val="right"/>
              <w:rPr>
                <w:rFonts w:cs="Arial"/>
                <w:i/>
                <w:sz w:val="18"/>
                <w:szCs w:val="18"/>
                <w:lang w:eastAsia="en-US"/>
              </w:rPr>
            </w:pPr>
            <w:r w:rsidRPr="00730815">
              <w:rPr>
                <w:rFonts w:cs="Arial"/>
                <w:i/>
                <w:sz w:val="18"/>
                <w:szCs w:val="18"/>
                <w:lang w:eastAsia="en-US"/>
              </w:rPr>
              <w:t>109.416.533.940,00</w:t>
            </w:r>
          </w:p>
        </w:tc>
        <w:tc>
          <w:tcPr>
            <w:tcW w:w="1843" w:type="dxa"/>
          </w:tcPr>
          <w:p w:rsidR="00730815" w:rsidRPr="00730815" w:rsidRDefault="00730815" w:rsidP="003503FF">
            <w:pPr>
              <w:autoSpaceDE w:val="0"/>
              <w:autoSpaceDN w:val="0"/>
              <w:adjustRightInd w:val="0"/>
              <w:jc w:val="right"/>
              <w:rPr>
                <w:rFonts w:cs="Arial"/>
                <w:i/>
                <w:sz w:val="18"/>
                <w:szCs w:val="18"/>
                <w:lang w:eastAsia="en-US"/>
              </w:rPr>
            </w:pPr>
            <w:r w:rsidRPr="00730815">
              <w:rPr>
                <w:rFonts w:cs="Arial"/>
                <w:i/>
                <w:sz w:val="18"/>
                <w:szCs w:val="18"/>
                <w:lang w:eastAsia="en-US"/>
              </w:rPr>
              <w:t>69.505.838.406,00</w:t>
            </w:r>
          </w:p>
        </w:tc>
        <w:tc>
          <w:tcPr>
            <w:tcW w:w="1956" w:type="dxa"/>
          </w:tcPr>
          <w:p w:rsidR="00730815" w:rsidRPr="00730815" w:rsidRDefault="00730815" w:rsidP="00170917">
            <w:pPr>
              <w:autoSpaceDE w:val="0"/>
              <w:autoSpaceDN w:val="0"/>
              <w:adjustRightInd w:val="0"/>
              <w:jc w:val="right"/>
              <w:rPr>
                <w:rFonts w:cs="Arial"/>
                <w:i/>
                <w:sz w:val="18"/>
                <w:szCs w:val="18"/>
                <w:lang w:eastAsia="en-US"/>
              </w:rPr>
            </w:pPr>
            <w:r w:rsidRPr="00730815">
              <w:rPr>
                <w:rFonts w:cs="Arial"/>
                <w:i/>
                <w:sz w:val="18"/>
                <w:szCs w:val="18"/>
                <w:lang w:eastAsia="en-US"/>
              </w:rPr>
              <w:t>108.071.156.055,00</w:t>
            </w:r>
          </w:p>
        </w:tc>
        <w:tc>
          <w:tcPr>
            <w:tcW w:w="1956" w:type="dxa"/>
          </w:tcPr>
          <w:p w:rsidR="00730815" w:rsidRPr="00730815" w:rsidRDefault="00730815">
            <w:pPr>
              <w:autoSpaceDE w:val="0"/>
              <w:autoSpaceDN w:val="0"/>
              <w:adjustRightInd w:val="0"/>
              <w:jc w:val="right"/>
              <w:rPr>
                <w:rFonts w:cs="Arial"/>
                <w:i/>
                <w:sz w:val="18"/>
                <w:szCs w:val="18"/>
                <w:lang w:eastAsia="en-US"/>
              </w:rPr>
            </w:pPr>
            <w:r w:rsidRPr="00730815">
              <w:rPr>
                <w:rFonts w:cs="Arial"/>
                <w:i/>
                <w:sz w:val="18"/>
                <w:szCs w:val="18"/>
                <w:lang w:eastAsia="en-US"/>
              </w:rPr>
              <w:t>68.321.390.518,00</w:t>
            </w:r>
          </w:p>
        </w:tc>
      </w:tr>
    </w:tbl>
    <w:p w:rsidR="00730815" w:rsidRDefault="00730815" w:rsidP="001A102C"/>
    <w:p w:rsidR="00336A64" w:rsidRDefault="006B0FB1" w:rsidP="003503FF">
      <w:pPr>
        <w:pStyle w:val="Cita"/>
        <w:ind w:left="284" w:right="284"/>
        <w:rPr>
          <w:rFonts w:ascii="Bookman Old Style" w:hAnsi="Bookman Old Style"/>
          <w:sz w:val="22"/>
        </w:rPr>
      </w:pPr>
      <w:r w:rsidRPr="006B0FB1">
        <w:rPr>
          <w:rFonts w:ascii="Bookman Old Style" w:hAnsi="Bookman Old Style"/>
          <w:sz w:val="22"/>
        </w:rPr>
        <w:t xml:space="preserve">Atendiendo lo solicitado en la Circular CREG 018 de 2009, TRANSELCA S.A. E.S.P. reportó los gastos y costos de administración, </w:t>
      </w:r>
      <w:r w:rsidR="00F06FB5">
        <w:rPr>
          <w:rFonts w:ascii="Bookman Old Style" w:hAnsi="Bookman Old Style"/>
          <w:sz w:val="22"/>
        </w:rPr>
        <w:t>o</w:t>
      </w:r>
      <w:r w:rsidRPr="006B0FB1">
        <w:rPr>
          <w:rFonts w:ascii="Bookman Old Style" w:hAnsi="Bookman Old Style"/>
          <w:sz w:val="22"/>
        </w:rPr>
        <w:t xml:space="preserve">peración y mantenimiento (columna "reporte de costos y gastos SUI") para los años 2006 y 2007 con valores de $109.417 millones y $108.071 millones respectivamente. Acorde con estos valores TRANSELCA S.A. E.S.P. reportó en la columna "Transmisión otros" la diferencia entre la totalidad de las cuentas de costos y gastos </w:t>
      </w:r>
      <w:r w:rsidRPr="00336A64">
        <w:rPr>
          <w:rFonts w:ascii="Bookman Old Style" w:hAnsi="Bookman Old Style"/>
          <w:sz w:val="22"/>
          <w:u w:val="single"/>
        </w:rPr>
        <w:t>contenida en el "Balan</w:t>
      </w:r>
      <w:r w:rsidR="00336A64" w:rsidRPr="00336A64">
        <w:rPr>
          <w:rFonts w:ascii="Bookman Old Style" w:hAnsi="Bookman Old Style"/>
          <w:sz w:val="22"/>
          <w:u w:val="single"/>
        </w:rPr>
        <w:t>c</w:t>
      </w:r>
      <w:r w:rsidRPr="00336A64">
        <w:rPr>
          <w:rFonts w:ascii="Bookman Old Style" w:hAnsi="Bookman Old Style"/>
          <w:sz w:val="22"/>
          <w:u w:val="single"/>
        </w:rPr>
        <w:t>e de Energía" del SUI</w:t>
      </w:r>
      <w:r w:rsidRPr="006B0FB1">
        <w:rPr>
          <w:rFonts w:ascii="Bookman Old Style" w:hAnsi="Bookman Old Style"/>
          <w:sz w:val="22"/>
        </w:rPr>
        <w:t xml:space="preserve"> y los costos y gastos asignados a </w:t>
      </w:r>
      <w:r w:rsidR="00336A64">
        <w:rPr>
          <w:rFonts w:ascii="Bookman Old Style" w:hAnsi="Bookman Old Style"/>
          <w:sz w:val="22"/>
        </w:rPr>
        <w:t>“</w:t>
      </w:r>
      <w:r w:rsidRPr="006B0FB1">
        <w:rPr>
          <w:rFonts w:ascii="Bookman Old Style" w:hAnsi="Bookman Old Style"/>
          <w:sz w:val="22"/>
        </w:rPr>
        <w:t>Transmisión Uso" señalados en dicha circular.</w:t>
      </w:r>
    </w:p>
    <w:p w:rsidR="00336A64" w:rsidRDefault="006B0FB1" w:rsidP="00170917">
      <w:pPr>
        <w:pStyle w:val="Cita"/>
        <w:ind w:left="284" w:right="284"/>
        <w:rPr>
          <w:rFonts w:ascii="Bookman Old Style" w:hAnsi="Bookman Old Style"/>
          <w:sz w:val="22"/>
        </w:rPr>
      </w:pPr>
      <w:r w:rsidRPr="006B0FB1">
        <w:rPr>
          <w:rFonts w:ascii="Bookman Old Style" w:hAnsi="Bookman Old Style"/>
          <w:sz w:val="22"/>
        </w:rPr>
        <w:t>Los costos totales de energía reportados en la respuesta de TRANSELCA S.A. E.S.P. a la circular 018 de 2009 al fundamentarse en el</w:t>
      </w:r>
      <w:r w:rsidR="00336A64">
        <w:rPr>
          <w:rFonts w:ascii="Bookman Old Style" w:hAnsi="Bookman Old Style"/>
          <w:sz w:val="22"/>
        </w:rPr>
        <w:t xml:space="preserve"> </w:t>
      </w:r>
      <w:r w:rsidRPr="006B0FB1">
        <w:rPr>
          <w:rFonts w:ascii="Bookman Old Style" w:hAnsi="Bookman Old Style"/>
          <w:sz w:val="22"/>
        </w:rPr>
        <w:t>informe "Balance de Energía" del SUI no pueden coincidir con lo reportado en el informe de "Costos y Gastos Energía" del sistema SUI, en razón a que obedecen a reportes diferentes. Recordemos que el reporte "Cost</w:t>
      </w:r>
      <w:r w:rsidR="00336A64">
        <w:rPr>
          <w:rFonts w:ascii="Bookman Old Style" w:hAnsi="Bookman Old Style"/>
          <w:sz w:val="22"/>
        </w:rPr>
        <w:t>o</w:t>
      </w:r>
      <w:r w:rsidRPr="006B0FB1">
        <w:rPr>
          <w:rFonts w:ascii="Bookman Old Style" w:hAnsi="Bookman Old Style"/>
          <w:sz w:val="22"/>
        </w:rPr>
        <w:t>s y Gastos de Energía" excluye las cuentas de provisiones y gastos financieros y por tanto su monto es inferior a los valores del reporte "Balan</w:t>
      </w:r>
      <w:r w:rsidR="00336A64">
        <w:rPr>
          <w:rFonts w:ascii="Bookman Old Style" w:hAnsi="Bookman Old Style"/>
          <w:sz w:val="22"/>
        </w:rPr>
        <w:t>c</w:t>
      </w:r>
      <w:r w:rsidRPr="006B0FB1">
        <w:rPr>
          <w:rFonts w:ascii="Bookman Old Style" w:hAnsi="Bookman Old Style"/>
          <w:sz w:val="22"/>
        </w:rPr>
        <w:t>e de Energía".</w:t>
      </w:r>
    </w:p>
    <w:p w:rsidR="00336A64" w:rsidRDefault="006B0FB1">
      <w:pPr>
        <w:pStyle w:val="Cita"/>
        <w:ind w:left="284" w:right="284"/>
        <w:rPr>
          <w:rFonts w:ascii="Bookman Old Style" w:hAnsi="Bookman Old Style"/>
          <w:sz w:val="22"/>
        </w:rPr>
      </w:pPr>
      <w:r w:rsidRPr="006B0FB1">
        <w:rPr>
          <w:rFonts w:ascii="Bookman Old Style" w:hAnsi="Bookman Old Style"/>
          <w:sz w:val="22"/>
        </w:rPr>
        <w:t>El an</w:t>
      </w:r>
      <w:r w:rsidR="00336A64">
        <w:rPr>
          <w:rFonts w:ascii="Bookman Old Style" w:hAnsi="Bookman Old Style"/>
          <w:sz w:val="22"/>
        </w:rPr>
        <w:t>á</w:t>
      </w:r>
      <w:r w:rsidRPr="006B0FB1">
        <w:rPr>
          <w:rFonts w:ascii="Bookman Old Style" w:hAnsi="Bookman Old Style"/>
          <w:sz w:val="22"/>
        </w:rPr>
        <w:t xml:space="preserve">lisis comparativo de la CREG de la información reportada por TRANSELCA S.A. E.S.P. bajo la Circular 018 de 2009 y el reporte "Costos y Gastos Energía del SUI" para los años 2006 y 2007, tiene </w:t>
      </w:r>
      <w:r w:rsidR="00336A64">
        <w:rPr>
          <w:rFonts w:ascii="Bookman Old Style" w:hAnsi="Bookman Old Style"/>
          <w:sz w:val="22"/>
        </w:rPr>
        <w:t>s</w:t>
      </w:r>
      <w:r w:rsidRPr="006B0FB1">
        <w:rPr>
          <w:rFonts w:ascii="Bookman Old Style" w:hAnsi="Bookman Old Style"/>
          <w:sz w:val="22"/>
        </w:rPr>
        <w:t xml:space="preserve">upuestos diferentes. Si se compara la información reportada por TRANSELCA S.A. E.S.P. en la columna reporte de </w:t>
      </w:r>
      <w:r w:rsidR="00336A64">
        <w:rPr>
          <w:rFonts w:ascii="Bookman Old Style" w:hAnsi="Bookman Old Style"/>
          <w:sz w:val="22"/>
        </w:rPr>
        <w:t>c</w:t>
      </w:r>
      <w:r w:rsidRPr="006B0FB1">
        <w:rPr>
          <w:rFonts w:ascii="Bookman Old Style" w:hAnsi="Bookman Old Style"/>
          <w:sz w:val="22"/>
        </w:rPr>
        <w:t>ostos y gastos SUI para su remuneración de AOM (Circular 018 de 2009) con la información del reporte "Balance de Energía del SUI tal diferencia no existiría, porque las cifras son iguales. Por lo tanto la diferencia que se genera en el an</w:t>
      </w:r>
      <w:r w:rsidR="00336A64">
        <w:rPr>
          <w:rFonts w:ascii="Bookman Old Style" w:hAnsi="Bookman Old Style"/>
          <w:sz w:val="22"/>
        </w:rPr>
        <w:t>á</w:t>
      </w:r>
      <w:r w:rsidRPr="006B0FB1">
        <w:rPr>
          <w:rFonts w:ascii="Bookman Old Style" w:hAnsi="Bookman Old Style"/>
          <w:sz w:val="22"/>
        </w:rPr>
        <w:t xml:space="preserve">lisis no se debe a que la información </w:t>
      </w:r>
      <w:r w:rsidR="00336A64">
        <w:rPr>
          <w:rFonts w:ascii="Bookman Old Style" w:hAnsi="Bookman Old Style"/>
          <w:sz w:val="22"/>
        </w:rPr>
        <w:t>s</w:t>
      </w:r>
      <w:r w:rsidRPr="006B0FB1">
        <w:rPr>
          <w:rFonts w:ascii="Bookman Old Style" w:hAnsi="Bookman Old Style" w:cs="Bookman Old Style"/>
          <w:sz w:val="22"/>
        </w:rPr>
        <w:t>ea inconsistente o a una modificación de la información de AO</w:t>
      </w:r>
      <w:r w:rsidR="00336A64">
        <w:rPr>
          <w:rFonts w:ascii="Bookman Old Style" w:hAnsi="Bookman Old Style" w:cs="Bookman Old Style"/>
          <w:sz w:val="22"/>
        </w:rPr>
        <w:t>M</w:t>
      </w:r>
      <w:r w:rsidRPr="006B0FB1">
        <w:rPr>
          <w:rFonts w:ascii="Bookman Old Style" w:hAnsi="Bookman Old Style" w:cs="Bookman Old Style"/>
          <w:sz w:val="22"/>
        </w:rPr>
        <w:t xml:space="preserve"> reportada al SUI en l</w:t>
      </w:r>
      <w:r w:rsidRPr="006B0FB1">
        <w:rPr>
          <w:rFonts w:ascii="Bookman Old Style" w:hAnsi="Bookman Old Style"/>
          <w:sz w:val="22"/>
        </w:rPr>
        <w:t>os años 2006 y 2007, sino a que la comparación se est</w:t>
      </w:r>
      <w:r w:rsidR="00336A64">
        <w:rPr>
          <w:rFonts w:ascii="Bookman Old Style" w:hAnsi="Bookman Old Style"/>
          <w:sz w:val="22"/>
        </w:rPr>
        <w:t>á</w:t>
      </w:r>
      <w:r w:rsidRPr="006B0FB1">
        <w:rPr>
          <w:rFonts w:ascii="Bookman Old Style" w:hAnsi="Bookman Old Style"/>
          <w:sz w:val="22"/>
        </w:rPr>
        <w:t xml:space="preserve"> haciendo respecto a criterios diferentes.</w:t>
      </w:r>
    </w:p>
    <w:p w:rsidR="00645492" w:rsidRDefault="006B0FB1">
      <w:pPr>
        <w:pStyle w:val="Cita"/>
        <w:ind w:left="284" w:right="284"/>
        <w:rPr>
          <w:rFonts w:ascii="Bookman Old Style" w:hAnsi="Bookman Old Style"/>
          <w:sz w:val="22"/>
        </w:rPr>
      </w:pPr>
      <w:r w:rsidRPr="006B0FB1">
        <w:rPr>
          <w:rFonts w:ascii="Bookman Old Style" w:hAnsi="Bookman Old Style"/>
          <w:sz w:val="22"/>
        </w:rPr>
        <w:t xml:space="preserve">Al ajustar el ejercicio solicitado en la Circular 018 de 2009, bajo la interpretación de la CREG </w:t>
      </w:r>
      <w:r w:rsidR="00336A64">
        <w:rPr>
          <w:rFonts w:ascii="Bookman Old Style" w:hAnsi="Bookman Old Style"/>
          <w:sz w:val="22"/>
        </w:rPr>
        <w:t>-</w:t>
      </w:r>
      <w:r w:rsidRPr="006B0FB1">
        <w:rPr>
          <w:rFonts w:ascii="Bookman Old Style" w:hAnsi="Bookman Old Style"/>
          <w:sz w:val="22"/>
        </w:rPr>
        <w:t xml:space="preserve"> tal como se muestra en el Anexo "Gastos y Costos de Adminis</w:t>
      </w:r>
      <w:r w:rsidR="00645492">
        <w:rPr>
          <w:rFonts w:ascii="Bookman Old Style" w:hAnsi="Bookman Old Style"/>
          <w:sz w:val="22"/>
        </w:rPr>
        <w:softHyphen/>
      </w:r>
      <w:r w:rsidRPr="006B0FB1">
        <w:rPr>
          <w:rFonts w:ascii="Bookman Old Style" w:hAnsi="Bookman Old Style"/>
          <w:sz w:val="22"/>
        </w:rPr>
        <w:t>tración, Operación y Mantenimiento Circular 018 de 2009 Ajustado", es decir, utilizando como base de información el "</w:t>
      </w:r>
      <w:r w:rsidR="00645492">
        <w:rPr>
          <w:rFonts w:ascii="Bookman Old Style" w:hAnsi="Bookman Old Style"/>
          <w:sz w:val="22"/>
        </w:rPr>
        <w:t>I</w:t>
      </w:r>
      <w:r w:rsidRPr="006B0FB1">
        <w:rPr>
          <w:rFonts w:ascii="Bookman Old Style" w:hAnsi="Bookman Old Style"/>
          <w:sz w:val="22"/>
        </w:rPr>
        <w:t>nf</w:t>
      </w:r>
      <w:r w:rsidR="00645492">
        <w:rPr>
          <w:rFonts w:ascii="Bookman Old Style" w:hAnsi="Bookman Old Style"/>
          <w:sz w:val="22"/>
        </w:rPr>
        <w:t>o</w:t>
      </w:r>
      <w:r w:rsidRPr="006B0FB1">
        <w:rPr>
          <w:rFonts w:ascii="Bookman Old Style" w:hAnsi="Bookman Old Style"/>
          <w:sz w:val="22"/>
        </w:rPr>
        <w:t>rme de Costos y Gastos de Energía del SUI" de TRANSELCA S.A. E.S.P. correspondiente a los años 2006 y 2007, la comparación no arrojaría diferencia</w:t>
      </w:r>
      <w:r w:rsidR="00645492">
        <w:rPr>
          <w:rFonts w:ascii="Bookman Old Style" w:hAnsi="Bookman Old Style"/>
          <w:sz w:val="22"/>
        </w:rPr>
        <w:t xml:space="preserve"> </w:t>
      </w:r>
      <w:r w:rsidRPr="006B0FB1">
        <w:rPr>
          <w:rFonts w:ascii="Bookman Old Style" w:hAnsi="Bookman Old Style"/>
          <w:sz w:val="22"/>
        </w:rPr>
        <w:t xml:space="preserve">alguna entre los informes, y en </w:t>
      </w:r>
      <w:r w:rsidR="00645492">
        <w:rPr>
          <w:rFonts w:ascii="Bookman Old Style" w:hAnsi="Bookman Old Style"/>
          <w:sz w:val="22"/>
        </w:rPr>
        <w:t>c</w:t>
      </w:r>
      <w:r w:rsidRPr="006B0FB1">
        <w:rPr>
          <w:rFonts w:ascii="Bookman Old Style" w:hAnsi="Bookman Old Style"/>
          <w:sz w:val="22"/>
        </w:rPr>
        <w:t>onsecuencia, los ajustes aplicados por la CREG del 64% para el año 2006 y del 63% para el año 2007, no serían procedentes.</w:t>
      </w:r>
    </w:p>
    <w:p w:rsidR="006B0FB1" w:rsidRDefault="006B0FB1">
      <w:pPr>
        <w:pStyle w:val="Cita"/>
        <w:ind w:left="284" w:right="284"/>
        <w:rPr>
          <w:rFonts w:ascii="Bookman Old Style" w:hAnsi="Bookman Old Style"/>
          <w:sz w:val="22"/>
        </w:rPr>
      </w:pPr>
      <w:r w:rsidRPr="006B0FB1">
        <w:rPr>
          <w:rFonts w:ascii="Bookman Old Style" w:hAnsi="Bookman Old Style"/>
          <w:sz w:val="22"/>
        </w:rPr>
        <w:lastRenderedPageBreak/>
        <w:t>Por lo expresado, la CREG debe reconocer los valores plenos de AO</w:t>
      </w:r>
      <w:r w:rsidR="00645492">
        <w:rPr>
          <w:rFonts w:ascii="Bookman Old Style" w:hAnsi="Bookman Old Style"/>
          <w:sz w:val="22"/>
        </w:rPr>
        <w:t>M</w:t>
      </w:r>
      <w:r w:rsidRPr="006B0FB1">
        <w:rPr>
          <w:rFonts w:ascii="Bookman Old Style" w:hAnsi="Bookman Old Style"/>
          <w:sz w:val="22"/>
        </w:rPr>
        <w:t xml:space="preserve"> por uso reportados por TRANSELCA S.A. E.S.P. para los años 2006 y 2007.</w:t>
      </w:r>
    </w:p>
    <w:p w:rsidR="00645492" w:rsidRPr="00645492" w:rsidRDefault="00645492">
      <w:pPr>
        <w:rPr>
          <w:lang w:val="es-CO" w:eastAsia="en-US"/>
        </w:rPr>
      </w:pPr>
    </w:p>
    <w:p w:rsidR="0080129A" w:rsidRPr="004F7234" w:rsidRDefault="00645492">
      <w:pPr>
        <w:keepNext/>
        <w:numPr>
          <w:ilvl w:val="0"/>
          <w:numId w:val="10"/>
        </w:numPr>
        <w:suppressAutoHyphens/>
        <w:adjustRightInd w:val="0"/>
        <w:spacing w:after="240"/>
        <w:ind w:left="641" w:hanging="357"/>
        <w:textAlignment w:val="baseline"/>
        <w:outlineLvl w:val="1"/>
        <w:rPr>
          <w:rFonts w:cs="Arial"/>
          <w:b/>
          <w:spacing w:val="-3"/>
        </w:rPr>
      </w:pPr>
      <w:r w:rsidRPr="00645492">
        <w:rPr>
          <w:rFonts w:cs="Arial"/>
          <w:b/>
          <w:spacing w:val="-3"/>
        </w:rPr>
        <w:t>N</w:t>
      </w:r>
      <w:r>
        <w:rPr>
          <w:rFonts w:cs="Arial"/>
          <w:b/>
          <w:spacing w:val="-3"/>
        </w:rPr>
        <w:t>o</w:t>
      </w:r>
      <w:r w:rsidRPr="00645492">
        <w:rPr>
          <w:rFonts w:cs="Arial"/>
          <w:b/>
          <w:spacing w:val="-3"/>
        </w:rPr>
        <w:t xml:space="preserve"> Reconocimiento de AOM de Activos Representados.</w:t>
      </w:r>
    </w:p>
    <w:p w:rsidR="00645492" w:rsidRDefault="00645492">
      <w:pPr>
        <w:pStyle w:val="Cita"/>
        <w:ind w:left="284" w:right="284"/>
        <w:rPr>
          <w:rFonts w:ascii="Bookman Old Style" w:hAnsi="Bookman Old Style"/>
          <w:sz w:val="22"/>
        </w:rPr>
      </w:pPr>
      <w:r w:rsidRPr="00645492">
        <w:rPr>
          <w:rFonts w:ascii="Bookman Old Style" w:hAnsi="Bookman Old Style"/>
          <w:sz w:val="22"/>
        </w:rPr>
        <w:t>La CREG mediante Resolución 103 de 2000, y con el objeto de permitir remunerar a los propietarios de activos en STN, que desarrollan actividades diversas a la transmisión, autorizó a los transmisores a representar tales activos.</w:t>
      </w:r>
    </w:p>
    <w:p w:rsidR="00645492" w:rsidRDefault="00645492">
      <w:pPr>
        <w:pStyle w:val="Cita"/>
        <w:ind w:left="284" w:right="284"/>
        <w:rPr>
          <w:rFonts w:ascii="Bookman Old Style" w:hAnsi="Bookman Old Style"/>
          <w:sz w:val="22"/>
        </w:rPr>
      </w:pPr>
      <w:r w:rsidRPr="00645492">
        <w:rPr>
          <w:rFonts w:ascii="Bookman Old Style" w:hAnsi="Bookman Old Style"/>
          <w:sz w:val="22"/>
        </w:rPr>
        <w:t>En desarrollo de esta facultad, TRANSELCA S.A. E.S.P. representa activos de GECELCA S.A. E.S.P. y TER</w:t>
      </w:r>
      <w:r>
        <w:rPr>
          <w:rFonts w:ascii="Bookman Old Style" w:hAnsi="Bookman Old Style"/>
          <w:sz w:val="22"/>
        </w:rPr>
        <w:t>M</w:t>
      </w:r>
      <w:r w:rsidRPr="00645492">
        <w:rPr>
          <w:rFonts w:ascii="Bookman Old Style" w:hAnsi="Bookman Old Style"/>
          <w:sz w:val="22"/>
        </w:rPr>
        <w:t xml:space="preserve">OFLORES S.A. E.S.P. Los </w:t>
      </w:r>
      <w:r>
        <w:rPr>
          <w:rFonts w:ascii="Bookman Old Style" w:hAnsi="Bookman Old Style"/>
          <w:sz w:val="22"/>
        </w:rPr>
        <w:t>c</w:t>
      </w:r>
      <w:r w:rsidRPr="00645492">
        <w:rPr>
          <w:rFonts w:ascii="Bookman Old Style" w:hAnsi="Bookman Old Style"/>
          <w:sz w:val="22"/>
        </w:rPr>
        <w:t>ostos y gastos por las actividades de AOM asociados a estos activos, no se encuentran en la contabilidad de TRANSELCA S.A. E.S.P., porque tales costos y gastos son asumidos por el propietario de los activos.</w:t>
      </w:r>
    </w:p>
    <w:p w:rsidR="00645492" w:rsidRDefault="00645492">
      <w:pPr>
        <w:pStyle w:val="Cita"/>
        <w:ind w:left="284" w:right="284"/>
        <w:rPr>
          <w:rFonts w:ascii="Bookman Old Style" w:hAnsi="Bookman Old Style"/>
          <w:sz w:val="22"/>
        </w:rPr>
      </w:pPr>
      <w:r w:rsidRPr="00645492">
        <w:rPr>
          <w:rFonts w:ascii="Bookman Old Style" w:hAnsi="Bookman Old Style"/>
          <w:sz w:val="22"/>
        </w:rPr>
        <w:t>En la solicitud de reconocimiento de AO</w:t>
      </w:r>
      <w:r>
        <w:rPr>
          <w:rFonts w:ascii="Bookman Old Style" w:hAnsi="Bookman Old Style"/>
          <w:sz w:val="22"/>
        </w:rPr>
        <w:t>M</w:t>
      </w:r>
      <w:r w:rsidRPr="00645492">
        <w:rPr>
          <w:rFonts w:ascii="Bookman Old Style" w:hAnsi="Bookman Old Style"/>
          <w:sz w:val="22"/>
        </w:rPr>
        <w:t xml:space="preserve">, TRANSELCA S.A. E.S.P. incluyó los </w:t>
      </w:r>
      <w:r>
        <w:rPr>
          <w:rFonts w:ascii="Bookman Old Style" w:hAnsi="Bookman Old Style"/>
          <w:sz w:val="22"/>
        </w:rPr>
        <w:t>c</w:t>
      </w:r>
      <w:r w:rsidRPr="00645492">
        <w:rPr>
          <w:rFonts w:ascii="Bookman Old Style" w:hAnsi="Bookman Old Style"/>
          <w:sz w:val="22"/>
        </w:rPr>
        <w:t>ostos y gasto de AO</w:t>
      </w:r>
      <w:r>
        <w:rPr>
          <w:rFonts w:ascii="Bookman Old Style" w:hAnsi="Bookman Old Style"/>
          <w:sz w:val="22"/>
        </w:rPr>
        <w:t>M</w:t>
      </w:r>
      <w:r w:rsidRPr="00645492">
        <w:rPr>
          <w:rFonts w:ascii="Bookman Old Style" w:hAnsi="Bookman Old Style"/>
          <w:sz w:val="22"/>
        </w:rPr>
        <w:t xml:space="preserve"> de los propietarios de los</w:t>
      </w:r>
      <w:r>
        <w:rPr>
          <w:rFonts w:ascii="Bookman Old Style" w:hAnsi="Bookman Old Style"/>
          <w:sz w:val="22"/>
        </w:rPr>
        <w:t xml:space="preserve"> </w:t>
      </w:r>
      <w:r w:rsidRPr="00645492">
        <w:rPr>
          <w:rFonts w:ascii="Bookman Old Style" w:hAnsi="Bookman Old Style"/>
          <w:sz w:val="22"/>
        </w:rPr>
        <w:t>activos, no obstante en el AO</w:t>
      </w:r>
      <w:r>
        <w:rPr>
          <w:rFonts w:ascii="Bookman Old Style" w:hAnsi="Bookman Old Style"/>
          <w:sz w:val="22"/>
        </w:rPr>
        <w:t>M</w:t>
      </w:r>
      <w:r w:rsidRPr="00645492">
        <w:rPr>
          <w:rFonts w:ascii="Bookman Old Style" w:hAnsi="Bookman Old Style"/>
          <w:sz w:val="22"/>
        </w:rPr>
        <w:t xml:space="preserve"> reconocido no fueron tenidos en cuenta tales costos y; gastos sin que exista ningún tipo de motivación expresada para tal exclusión.</w:t>
      </w:r>
    </w:p>
    <w:p w:rsidR="00645492" w:rsidRDefault="00645492">
      <w:pPr>
        <w:pStyle w:val="Cita"/>
        <w:ind w:left="284" w:right="284"/>
        <w:rPr>
          <w:rFonts w:ascii="Bookman Old Style" w:hAnsi="Bookman Old Style"/>
          <w:sz w:val="22"/>
        </w:rPr>
      </w:pPr>
      <w:r w:rsidRPr="00645492">
        <w:rPr>
          <w:rFonts w:ascii="Bookman Old Style" w:hAnsi="Bookman Old Style"/>
          <w:sz w:val="22"/>
        </w:rPr>
        <w:t xml:space="preserve">Por lo anterior, </w:t>
      </w:r>
      <w:r>
        <w:rPr>
          <w:rFonts w:ascii="Bookman Old Style" w:hAnsi="Bookman Old Style"/>
          <w:sz w:val="22"/>
        </w:rPr>
        <w:t>c</w:t>
      </w:r>
      <w:r w:rsidRPr="00645492">
        <w:rPr>
          <w:rFonts w:ascii="Bookman Old Style" w:hAnsi="Bookman Old Style"/>
          <w:sz w:val="22"/>
        </w:rPr>
        <w:t xml:space="preserve">onsideramos que los </w:t>
      </w:r>
      <w:r>
        <w:rPr>
          <w:rFonts w:ascii="Bookman Old Style" w:hAnsi="Bookman Old Style"/>
          <w:sz w:val="22"/>
        </w:rPr>
        <w:t>c</w:t>
      </w:r>
      <w:r w:rsidRPr="00645492">
        <w:rPr>
          <w:rFonts w:ascii="Bookman Old Style" w:hAnsi="Bookman Old Style"/>
          <w:sz w:val="22"/>
        </w:rPr>
        <w:t>ostos y gastos incurridos por los propietarios de los activos deben ser considerados para el cálculo del AO</w:t>
      </w:r>
      <w:r>
        <w:rPr>
          <w:rFonts w:ascii="Bookman Old Style" w:hAnsi="Bookman Old Style"/>
          <w:sz w:val="22"/>
        </w:rPr>
        <w:t>M</w:t>
      </w:r>
      <w:r w:rsidRPr="00645492">
        <w:rPr>
          <w:rFonts w:ascii="Bookman Old Style" w:hAnsi="Bookman Old Style"/>
          <w:sz w:val="22"/>
        </w:rPr>
        <w:t>, tal como se solicitó en el Reporte de AO</w:t>
      </w:r>
      <w:r>
        <w:rPr>
          <w:rFonts w:ascii="Bookman Old Style" w:hAnsi="Bookman Old Style"/>
          <w:sz w:val="22"/>
        </w:rPr>
        <w:t>M</w:t>
      </w:r>
      <w:r w:rsidRPr="00645492">
        <w:rPr>
          <w:rFonts w:ascii="Bookman Old Style" w:hAnsi="Bookman Old Style"/>
          <w:sz w:val="22"/>
        </w:rPr>
        <w:t xml:space="preserve"> e </w:t>
      </w:r>
      <w:r>
        <w:rPr>
          <w:rFonts w:ascii="Bookman Old Style" w:hAnsi="Bookman Old Style"/>
          <w:sz w:val="22"/>
        </w:rPr>
        <w:t>I</w:t>
      </w:r>
      <w:r w:rsidRPr="00645492">
        <w:rPr>
          <w:rFonts w:ascii="Bookman Old Style" w:hAnsi="Bookman Old Style"/>
          <w:sz w:val="22"/>
        </w:rPr>
        <w:t xml:space="preserve">nventario de Activos de TRANSELCA S.A. E.S.P., remitido a la CREG mediante </w:t>
      </w:r>
      <w:r>
        <w:rPr>
          <w:rFonts w:ascii="Bookman Old Style" w:hAnsi="Bookman Old Style"/>
          <w:sz w:val="22"/>
        </w:rPr>
        <w:t>c</w:t>
      </w:r>
      <w:r w:rsidRPr="00645492">
        <w:rPr>
          <w:rFonts w:ascii="Bookman Old Style" w:hAnsi="Bookman Old Style"/>
          <w:sz w:val="22"/>
        </w:rPr>
        <w:t>omunicación de fecha 27 de abril de 2009, con radicado TRANSELCA 001606.</w:t>
      </w:r>
    </w:p>
    <w:p w:rsidR="00645492" w:rsidRPr="00645492" w:rsidRDefault="00645492">
      <w:pPr>
        <w:rPr>
          <w:lang w:val="es-CO" w:eastAsia="en-US"/>
        </w:rPr>
      </w:pPr>
    </w:p>
    <w:p w:rsidR="00645492" w:rsidRPr="007F05BB" w:rsidRDefault="00E65B06">
      <w:pPr>
        <w:keepNext/>
        <w:numPr>
          <w:ilvl w:val="0"/>
          <w:numId w:val="10"/>
        </w:numPr>
        <w:suppressAutoHyphens/>
        <w:adjustRightInd w:val="0"/>
        <w:spacing w:after="240"/>
        <w:ind w:left="641" w:hanging="357"/>
        <w:textAlignment w:val="baseline"/>
        <w:outlineLvl w:val="1"/>
        <w:rPr>
          <w:rFonts w:cs="Arial"/>
          <w:b/>
          <w:spacing w:val="-3"/>
        </w:rPr>
      </w:pPr>
      <w:r w:rsidRPr="007F05BB">
        <w:rPr>
          <w:rFonts w:cs="Arial"/>
          <w:b/>
          <w:spacing w:val="-3"/>
        </w:rPr>
        <w:t>No Reconocimiento de AOM correspondientes a las Bahías que estaban siendo remuneradas mediante cargos de conexión y pasaron a ser remuneradas mediante cargos por Uso del STN.</w:t>
      </w:r>
    </w:p>
    <w:p w:rsidR="00B85E34" w:rsidRDefault="00E65B06">
      <w:pPr>
        <w:pStyle w:val="Cita"/>
        <w:ind w:left="284" w:right="284"/>
        <w:rPr>
          <w:rFonts w:ascii="Bookman Old Style" w:hAnsi="Bookman Old Style"/>
          <w:sz w:val="22"/>
        </w:rPr>
      </w:pPr>
      <w:r w:rsidRPr="00E65B06">
        <w:rPr>
          <w:rFonts w:ascii="Bookman Old Style" w:hAnsi="Bookman Old Style"/>
          <w:sz w:val="22"/>
        </w:rPr>
        <w:t>Con la entrada en vigencia de la Resolución CREG 110 de 2009, a partir del 1</w:t>
      </w:r>
      <w:r w:rsidR="00B85E34">
        <w:rPr>
          <w:rFonts w:ascii="Bookman Old Style" w:hAnsi="Bookman Old Style"/>
          <w:sz w:val="22"/>
        </w:rPr>
        <w:t>°</w:t>
      </w:r>
      <w:r w:rsidRPr="00E65B06">
        <w:rPr>
          <w:rFonts w:ascii="Bookman Old Style" w:hAnsi="Bookman Old Style"/>
          <w:sz w:val="22"/>
        </w:rPr>
        <w:t xml:space="preserve"> de diciembre de ese año, las unidades constructivas a 220 kV en configuración anillo e interruptor y medio, dejaron de ser activos de conexión remunerados en los cargos por el STR y pasaron a ser remunerados mediante cargos por uso del STN. En estas condiciones, la información contable presentada por TRANSELCA S.A. E.S.P. correspondiente al periodo 2001 </w:t>
      </w:r>
      <w:r w:rsidR="00B85E34">
        <w:rPr>
          <w:rFonts w:ascii="Bookman Old Style" w:hAnsi="Bookman Old Style"/>
          <w:sz w:val="22"/>
        </w:rPr>
        <w:t>-</w:t>
      </w:r>
      <w:r w:rsidRPr="00E65B06">
        <w:rPr>
          <w:rFonts w:ascii="Bookman Old Style" w:hAnsi="Bookman Old Style"/>
          <w:sz w:val="22"/>
        </w:rPr>
        <w:t xml:space="preserve"> 2007, no incluye los costos y gastos AO</w:t>
      </w:r>
      <w:r w:rsidR="00B85E34">
        <w:rPr>
          <w:rFonts w:ascii="Bookman Old Style" w:hAnsi="Bookman Old Style"/>
          <w:sz w:val="22"/>
        </w:rPr>
        <w:t>M</w:t>
      </w:r>
      <w:r w:rsidRPr="00E65B06">
        <w:rPr>
          <w:rFonts w:ascii="Bookman Old Style" w:hAnsi="Bookman Old Style"/>
          <w:sz w:val="22"/>
        </w:rPr>
        <w:t xml:space="preserve"> asociados a estos activos.</w:t>
      </w:r>
    </w:p>
    <w:p w:rsidR="00B85E34" w:rsidRDefault="00C717F6">
      <w:pPr>
        <w:pStyle w:val="Cita"/>
        <w:ind w:left="284" w:right="284"/>
        <w:rPr>
          <w:rFonts w:ascii="Bookman Old Style" w:hAnsi="Bookman Old Style"/>
          <w:sz w:val="22"/>
        </w:rPr>
      </w:pPr>
      <w:r>
        <w:rPr>
          <w:rFonts w:ascii="Bookman Old Style" w:hAnsi="Bookman Old Style"/>
          <w:sz w:val="22"/>
        </w:rPr>
        <w:t>(</w:t>
      </w:r>
      <w:r w:rsidR="00B85E34">
        <w:rPr>
          <w:rFonts w:ascii="Bookman Old Style" w:hAnsi="Bookman Old Style"/>
          <w:sz w:val="22"/>
        </w:rPr>
        <w:t>…</w:t>
      </w:r>
      <w:r>
        <w:rPr>
          <w:rFonts w:ascii="Bookman Old Style" w:hAnsi="Bookman Old Style"/>
          <w:sz w:val="22"/>
        </w:rPr>
        <w:t>)</w:t>
      </w:r>
      <w:r w:rsidR="00B85E34">
        <w:rPr>
          <w:rFonts w:ascii="Bookman Old Style" w:hAnsi="Bookman Old Style"/>
          <w:sz w:val="22"/>
        </w:rPr>
        <w:t xml:space="preserve"> </w:t>
      </w:r>
    </w:p>
    <w:p w:rsidR="00B85E34" w:rsidRDefault="00E65B06">
      <w:pPr>
        <w:pStyle w:val="Cita"/>
        <w:ind w:left="284" w:right="284"/>
        <w:rPr>
          <w:rFonts w:ascii="Bookman Old Style" w:hAnsi="Bookman Old Style"/>
          <w:sz w:val="22"/>
        </w:rPr>
      </w:pPr>
      <w:r w:rsidRPr="00E65B06">
        <w:rPr>
          <w:rFonts w:ascii="Bookman Old Style" w:hAnsi="Bookman Old Style"/>
          <w:sz w:val="22"/>
        </w:rPr>
        <w:t xml:space="preserve">En la Resolución CREG 107 de 2010, tales activos fueron incluidos en la Base de Activos Aprobada, </w:t>
      </w:r>
      <w:r w:rsidR="00B85E34">
        <w:rPr>
          <w:rFonts w:ascii="Bookman Old Style" w:hAnsi="Bookman Old Style"/>
          <w:sz w:val="22"/>
        </w:rPr>
        <w:t>s</w:t>
      </w:r>
      <w:r w:rsidRPr="00E65B06">
        <w:rPr>
          <w:rFonts w:ascii="Bookman Old Style" w:hAnsi="Bookman Old Style"/>
          <w:sz w:val="22"/>
        </w:rPr>
        <w:t>in embargo el AO</w:t>
      </w:r>
      <w:r w:rsidR="00B85E34">
        <w:rPr>
          <w:rFonts w:ascii="Bookman Old Style" w:hAnsi="Bookman Old Style"/>
          <w:sz w:val="22"/>
        </w:rPr>
        <w:t>M</w:t>
      </w:r>
      <w:r w:rsidRPr="00E65B06">
        <w:rPr>
          <w:rFonts w:ascii="Bookman Old Style" w:hAnsi="Bookman Old Style"/>
          <w:sz w:val="22"/>
        </w:rPr>
        <w:t xml:space="preserve"> asociado a estos no se encuentra reconocido al no ser parte de la información como costos y gastos de AO</w:t>
      </w:r>
      <w:r w:rsidR="00B85E34">
        <w:rPr>
          <w:rFonts w:ascii="Bookman Old Style" w:hAnsi="Bookman Old Style"/>
          <w:sz w:val="22"/>
        </w:rPr>
        <w:t>M</w:t>
      </w:r>
      <w:r w:rsidRPr="00E65B06">
        <w:rPr>
          <w:rFonts w:ascii="Bookman Old Style" w:hAnsi="Bookman Old Style"/>
          <w:sz w:val="22"/>
        </w:rPr>
        <w:t xml:space="preserve"> de uso del periodo 2001- 2007.</w:t>
      </w:r>
    </w:p>
    <w:p w:rsidR="00B85E34" w:rsidRDefault="00E65B06">
      <w:pPr>
        <w:pStyle w:val="Cita"/>
        <w:ind w:left="284" w:right="284"/>
        <w:rPr>
          <w:rFonts w:ascii="Bookman Old Style" w:hAnsi="Bookman Old Style"/>
          <w:sz w:val="22"/>
        </w:rPr>
      </w:pPr>
      <w:r w:rsidRPr="00E65B06">
        <w:rPr>
          <w:rFonts w:ascii="Bookman Old Style" w:hAnsi="Bookman Old Style"/>
          <w:sz w:val="22"/>
        </w:rPr>
        <w:t>La metodología planteada en la Resolución CREG 011 de 2009, reconoce el AO</w:t>
      </w:r>
      <w:r w:rsidR="00B85E34">
        <w:rPr>
          <w:rFonts w:ascii="Bookman Old Style" w:hAnsi="Bookman Old Style"/>
          <w:sz w:val="22"/>
        </w:rPr>
        <w:t>M</w:t>
      </w:r>
      <w:r w:rsidRPr="00E65B06">
        <w:rPr>
          <w:rFonts w:ascii="Bookman Old Style" w:hAnsi="Bookman Old Style"/>
          <w:sz w:val="22"/>
        </w:rPr>
        <w:t xml:space="preserve"> a todos los activos que hacen parte del STN, por tanto, se solicita a la CREG reconocer un monto de AOM asociado a los mencionados activos.</w:t>
      </w:r>
    </w:p>
    <w:p w:rsidR="00B85E34" w:rsidRDefault="00E65B06">
      <w:pPr>
        <w:pStyle w:val="Cita"/>
        <w:ind w:left="284" w:right="284"/>
        <w:rPr>
          <w:rFonts w:ascii="Bookman Old Style" w:hAnsi="Bookman Old Style" w:cs="Bookman Old Style"/>
          <w:sz w:val="22"/>
        </w:rPr>
      </w:pPr>
      <w:r w:rsidRPr="00E65B06">
        <w:rPr>
          <w:rFonts w:ascii="Bookman Old Style" w:hAnsi="Bookman Old Style"/>
          <w:sz w:val="22"/>
        </w:rPr>
        <w:t xml:space="preserve">Para </w:t>
      </w:r>
      <w:r w:rsidR="00B85E34">
        <w:rPr>
          <w:rFonts w:ascii="Bookman Old Style" w:hAnsi="Bookman Old Style"/>
          <w:sz w:val="22"/>
        </w:rPr>
        <w:t>c</w:t>
      </w:r>
      <w:r w:rsidRPr="00E65B06">
        <w:rPr>
          <w:rFonts w:ascii="Bookman Old Style" w:hAnsi="Bookman Old Style"/>
          <w:sz w:val="22"/>
        </w:rPr>
        <w:t>alcular el ingreso de AO</w:t>
      </w:r>
      <w:r w:rsidR="00B85E34">
        <w:rPr>
          <w:rFonts w:ascii="Bookman Old Style" w:hAnsi="Bookman Old Style"/>
          <w:sz w:val="22"/>
        </w:rPr>
        <w:t>M</w:t>
      </w:r>
      <w:r w:rsidRPr="00E65B06">
        <w:rPr>
          <w:rFonts w:ascii="Bookman Old Style" w:hAnsi="Bookman Old Style"/>
          <w:sz w:val="22"/>
        </w:rPr>
        <w:t xml:space="preserve"> correspondiente a los activos arriba indicados, se </w:t>
      </w:r>
      <w:r w:rsidRPr="00E65B06">
        <w:rPr>
          <w:rFonts w:ascii="Bookman Old Style" w:hAnsi="Bookman Old Style" w:cs="Bookman Old Style"/>
          <w:sz w:val="22"/>
        </w:rPr>
        <w:t>deberá recalcular el porcentaje de AOM de referencia para lo cual se propone el siguiente procedimiento:</w:t>
      </w:r>
    </w:p>
    <w:p w:rsidR="00B85E34" w:rsidRDefault="00E65B06">
      <w:pPr>
        <w:pStyle w:val="Cita"/>
        <w:numPr>
          <w:ilvl w:val="0"/>
          <w:numId w:val="7"/>
        </w:numPr>
        <w:ind w:left="567" w:right="284" w:hanging="283"/>
        <w:rPr>
          <w:rFonts w:ascii="Bookman Old Style" w:hAnsi="Bookman Old Style"/>
          <w:sz w:val="22"/>
        </w:rPr>
      </w:pPr>
      <w:r w:rsidRPr="00E65B06">
        <w:rPr>
          <w:rFonts w:ascii="Bookman Old Style" w:hAnsi="Bookman Old Style" w:cs="Bookman Old Style"/>
          <w:sz w:val="22"/>
        </w:rPr>
        <w:t xml:space="preserve">Excluir las unidades constructivas que pasaron al STN del </w:t>
      </w:r>
      <w:r w:rsidR="000C3952">
        <w:rPr>
          <w:rFonts w:ascii="Bookman Old Style" w:hAnsi="Bookman Old Style"/>
          <w:sz w:val="22"/>
        </w:rPr>
        <w:t xml:space="preserve">costo de </w:t>
      </w:r>
      <w:r w:rsidRPr="00E65B06">
        <w:rPr>
          <w:rFonts w:ascii="Bookman Old Style" w:hAnsi="Bookman Old Style"/>
          <w:sz w:val="22"/>
        </w:rPr>
        <w:t>reposición de activos eléctricos (CRE</w:t>
      </w:r>
      <w:r w:rsidR="000C3952">
        <w:rPr>
          <w:rFonts w:ascii="Bookman Old Style" w:hAnsi="Bookman Old Style"/>
          <w:sz w:val="22"/>
        </w:rPr>
        <w:t>j</w:t>
      </w:r>
      <w:r w:rsidRPr="00E65B06">
        <w:rPr>
          <w:rFonts w:ascii="Bookman Old Style" w:hAnsi="Bookman Old Style"/>
          <w:sz w:val="22"/>
        </w:rPr>
        <w:t>).</w:t>
      </w:r>
    </w:p>
    <w:p w:rsidR="00B85E34" w:rsidRDefault="00E65B06">
      <w:pPr>
        <w:pStyle w:val="Cita"/>
        <w:numPr>
          <w:ilvl w:val="0"/>
          <w:numId w:val="7"/>
        </w:numPr>
        <w:ind w:left="567" w:right="284" w:hanging="283"/>
        <w:rPr>
          <w:rFonts w:ascii="Bookman Old Style" w:hAnsi="Bookman Old Style"/>
          <w:sz w:val="22"/>
        </w:rPr>
      </w:pPr>
      <w:r w:rsidRPr="00E65B06">
        <w:rPr>
          <w:rFonts w:ascii="Bookman Old Style" w:hAnsi="Bookman Old Style"/>
          <w:sz w:val="22"/>
        </w:rPr>
        <w:t>Calcular el porcentaje de AOM de referencia como el cuociente entre el Valor de los Gastos de AO</w:t>
      </w:r>
      <w:r w:rsidR="00B85E34">
        <w:rPr>
          <w:rFonts w:ascii="Bookman Old Style" w:hAnsi="Bookman Old Style"/>
          <w:sz w:val="22"/>
        </w:rPr>
        <w:t>M</w:t>
      </w:r>
      <w:r w:rsidRPr="00E65B06">
        <w:rPr>
          <w:rFonts w:ascii="Bookman Old Style" w:hAnsi="Bookman Old Style"/>
          <w:sz w:val="22"/>
        </w:rPr>
        <w:t xml:space="preserve"> solicitados (VAO</w:t>
      </w:r>
      <w:r w:rsidR="00B85E34">
        <w:rPr>
          <w:rFonts w:ascii="Bookman Old Style" w:hAnsi="Bookman Old Style"/>
          <w:sz w:val="22"/>
        </w:rPr>
        <w:t>M</w:t>
      </w:r>
      <w:r w:rsidRPr="00E65B06">
        <w:rPr>
          <w:rFonts w:ascii="Bookman Old Style" w:hAnsi="Bookman Old Style"/>
          <w:sz w:val="22"/>
        </w:rPr>
        <w:t>j) dividido por el CRE</w:t>
      </w:r>
      <w:r w:rsidR="00B85E34">
        <w:rPr>
          <w:rFonts w:ascii="Bookman Old Style" w:hAnsi="Bookman Old Style"/>
          <w:sz w:val="22"/>
        </w:rPr>
        <w:t>j</w:t>
      </w:r>
      <w:r w:rsidRPr="00E65B06">
        <w:rPr>
          <w:rFonts w:ascii="Bookman Old Style" w:hAnsi="Bookman Old Style"/>
          <w:sz w:val="22"/>
        </w:rPr>
        <w:t xml:space="preserve"> indicado en el ítem anterior (sin incluir las unidades constructivas que pasaron al STN).</w:t>
      </w:r>
    </w:p>
    <w:p w:rsidR="00645492" w:rsidRDefault="00E65B06">
      <w:pPr>
        <w:pStyle w:val="Cita"/>
        <w:numPr>
          <w:ilvl w:val="0"/>
          <w:numId w:val="7"/>
        </w:numPr>
        <w:ind w:left="567" w:right="284" w:hanging="283"/>
        <w:rPr>
          <w:rFonts w:ascii="Bookman Old Style" w:hAnsi="Bookman Old Style"/>
          <w:sz w:val="22"/>
        </w:rPr>
      </w:pPr>
      <w:r w:rsidRPr="00E65B06">
        <w:rPr>
          <w:rFonts w:ascii="Bookman Old Style" w:hAnsi="Bookman Old Style"/>
          <w:sz w:val="22"/>
        </w:rPr>
        <w:lastRenderedPageBreak/>
        <w:t>El valor así calculado será el nuevo Porcentaje de AO</w:t>
      </w:r>
      <w:r w:rsidR="00B85E34">
        <w:rPr>
          <w:rFonts w:ascii="Bookman Old Style" w:hAnsi="Bookman Old Style"/>
          <w:sz w:val="22"/>
        </w:rPr>
        <w:t>M</w:t>
      </w:r>
      <w:r w:rsidRPr="00E65B06">
        <w:rPr>
          <w:rFonts w:ascii="Bookman Old Style" w:hAnsi="Bookman Old Style"/>
          <w:sz w:val="22"/>
        </w:rPr>
        <w:t xml:space="preserve"> de referencia.</w:t>
      </w:r>
    </w:p>
    <w:p w:rsidR="00374808" w:rsidRPr="00374808" w:rsidRDefault="00374808">
      <w:pPr>
        <w:rPr>
          <w:lang w:val="es-CO" w:eastAsia="en-US"/>
        </w:rPr>
      </w:pPr>
    </w:p>
    <w:p w:rsidR="00374808" w:rsidRPr="004F7234" w:rsidRDefault="007F05BB">
      <w:pPr>
        <w:keepNext/>
        <w:numPr>
          <w:ilvl w:val="0"/>
          <w:numId w:val="10"/>
        </w:numPr>
        <w:suppressAutoHyphens/>
        <w:adjustRightInd w:val="0"/>
        <w:spacing w:after="240"/>
        <w:ind w:left="641" w:hanging="357"/>
        <w:textAlignment w:val="baseline"/>
        <w:outlineLvl w:val="1"/>
        <w:rPr>
          <w:rFonts w:cs="Arial"/>
          <w:b/>
          <w:spacing w:val="-3"/>
        </w:rPr>
      </w:pPr>
      <w:r w:rsidRPr="007F05BB">
        <w:rPr>
          <w:rFonts w:cs="Arial"/>
          <w:b/>
          <w:spacing w:val="-3"/>
        </w:rPr>
        <w:t>Costo Anual Equivalente de Se</w:t>
      </w:r>
      <w:r>
        <w:rPr>
          <w:rFonts w:cs="Arial"/>
          <w:b/>
          <w:spacing w:val="-3"/>
        </w:rPr>
        <w:t>rv</w:t>
      </w:r>
      <w:r w:rsidRPr="007F05BB">
        <w:rPr>
          <w:rFonts w:cs="Arial"/>
          <w:b/>
          <w:spacing w:val="-3"/>
        </w:rPr>
        <w:t xml:space="preserve">idumbres </w:t>
      </w:r>
      <w:r>
        <w:rPr>
          <w:rFonts w:cs="Arial"/>
          <w:b/>
          <w:spacing w:val="-3"/>
        </w:rPr>
        <w:t>(</w:t>
      </w:r>
      <w:r w:rsidRPr="007F05BB">
        <w:rPr>
          <w:rFonts w:cs="Arial"/>
          <w:b/>
          <w:spacing w:val="-3"/>
        </w:rPr>
        <w:t>CAESj)</w:t>
      </w:r>
      <w:r w:rsidR="00374808" w:rsidRPr="00E65B06">
        <w:rPr>
          <w:rFonts w:cs="Arial"/>
          <w:b/>
          <w:spacing w:val="-3"/>
        </w:rPr>
        <w:t>.</w:t>
      </w:r>
    </w:p>
    <w:p w:rsidR="007F05BB" w:rsidRDefault="007F05BB">
      <w:pPr>
        <w:pStyle w:val="Cita"/>
        <w:ind w:left="284" w:right="284"/>
        <w:rPr>
          <w:rFonts w:ascii="Bookman Old Style" w:hAnsi="Bookman Old Style"/>
          <w:sz w:val="22"/>
        </w:rPr>
      </w:pPr>
      <w:r w:rsidRPr="007F05BB">
        <w:rPr>
          <w:rFonts w:ascii="Bookman Old Style" w:hAnsi="Bookman Old Style"/>
          <w:sz w:val="22"/>
        </w:rPr>
        <w:t>La CREG en el numeral 3o del Documento CREG-083 del 19 de Julio de 2010 denominado "Calculo del Ingreso Anual y Aprobación de la Base de Activos de TRANSELCA S.A E.S.P", soporte de la resolución C</w:t>
      </w:r>
      <w:r>
        <w:rPr>
          <w:rFonts w:ascii="Bookman Old Style" w:hAnsi="Bookman Old Style"/>
          <w:sz w:val="22"/>
        </w:rPr>
        <w:t>R</w:t>
      </w:r>
      <w:r w:rsidRPr="007F05BB">
        <w:rPr>
          <w:rFonts w:ascii="Bookman Old Style" w:hAnsi="Bookman Old Style"/>
          <w:sz w:val="22"/>
        </w:rPr>
        <w:t>EG 107 de 2010 establece que el</w:t>
      </w:r>
      <w:r>
        <w:rPr>
          <w:rFonts w:ascii="Bookman Old Style" w:hAnsi="Bookman Old Style"/>
          <w:sz w:val="22"/>
        </w:rPr>
        <w:t xml:space="preserve"> </w:t>
      </w:r>
      <w:r w:rsidRPr="007F05BB">
        <w:rPr>
          <w:rFonts w:ascii="Bookman Old Style" w:hAnsi="Bookman Old Style"/>
          <w:sz w:val="22"/>
        </w:rPr>
        <w:t>Costo Anual Equivalente de Servidumbres (CAESj) es de $2.713.917.900 pesos de diciembre de 2008.</w:t>
      </w:r>
    </w:p>
    <w:p w:rsidR="007F05BB" w:rsidRDefault="007F05BB">
      <w:pPr>
        <w:pStyle w:val="Cita"/>
        <w:ind w:left="284" w:right="284"/>
        <w:rPr>
          <w:rFonts w:ascii="Bookman Old Style" w:hAnsi="Bookman Old Style"/>
          <w:sz w:val="22"/>
        </w:rPr>
      </w:pPr>
      <w:r w:rsidRPr="007F05BB">
        <w:rPr>
          <w:rFonts w:ascii="Bookman Old Style" w:hAnsi="Bookman Old Style"/>
          <w:sz w:val="22"/>
        </w:rPr>
        <w:t xml:space="preserve">Desconocemos los soportes de la CREG para definir el valor del CAESj en $2.713.917.900 pesos de diciembre de 2008, toda vez que no se indica en la Resolución CREG 107 de 2010, ni en sus documentos soportes y anexos que haya habido lugar a alguna exclusión de valores reportados por TRANSELCA S.A. E.S.P., ni mucho menos que los mismos </w:t>
      </w:r>
      <w:r>
        <w:rPr>
          <w:rFonts w:ascii="Bookman Old Style" w:hAnsi="Bookman Old Style"/>
          <w:sz w:val="22"/>
        </w:rPr>
        <w:t>s</w:t>
      </w:r>
      <w:r w:rsidRPr="007F05BB">
        <w:rPr>
          <w:rFonts w:ascii="Bookman Old Style" w:hAnsi="Bookman Old Style"/>
          <w:sz w:val="22"/>
        </w:rPr>
        <w:t>ean improcedentes.</w:t>
      </w:r>
    </w:p>
    <w:p w:rsidR="007F05BB" w:rsidRDefault="007F05BB">
      <w:pPr>
        <w:pStyle w:val="Cita"/>
        <w:ind w:left="284" w:right="284"/>
        <w:rPr>
          <w:rFonts w:ascii="Bookman Old Style" w:hAnsi="Bookman Old Style"/>
          <w:sz w:val="22"/>
        </w:rPr>
      </w:pPr>
      <w:r w:rsidRPr="007F05BB">
        <w:rPr>
          <w:rFonts w:ascii="Bookman Old Style" w:hAnsi="Bookman Old Style"/>
          <w:sz w:val="22"/>
        </w:rPr>
        <w:t xml:space="preserve">Sin los soportes y explicaciones </w:t>
      </w:r>
      <w:r>
        <w:rPr>
          <w:rFonts w:ascii="Bookman Old Style" w:hAnsi="Bookman Old Style"/>
          <w:sz w:val="22"/>
        </w:rPr>
        <w:t>c</w:t>
      </w:r>
      <w:r w:rsidRPr="007F05BB">
        <w:rPr>
          <w:rFonts w:ascii="Bookman Old Style" w:hAnsi="Bookman Old Style"/>
          <w:sz w:val="22"/>
        </w:rPr>
        <w:t>orrespondientes del análisis realizado por la CREG para llegar al valor reconocido de un costo anual equivalente de $2.713.817.900, el acto administrativo esta indebidamente motivado e impide el ejercicio libre del derecho de contradicción.</w:t>
      </w:r>
    </w:p>
    <w:p w:rsidR="00756AAD" w:rsidRDefault="007F05BB">
      <w:pPr>
        <w:pStyle w:val="Cita"/>
        <w:ind w:left="284" w:right="284"/>
        <w:rPr>
          <w:rFonts w:ascii="Bookman Old Style" w:hAnsi="Bookman Old Style"/>
          <w:sz w:val="22"/>
        </w:rPr>
      </w:pPr>
      <w:r w:rsidRPr="007F05BB">
        <w:rPr>
          <w:rFonts w:ascii="Bookman Old Style" w:hAnsi="Bookman Old Style"/>
          <w:sz w:val="22"/>
        </w:rPr>
        <w:t>TRANSELCA S.A. E.S.P. inicialmente reportó un Costo Anual Equivalente de Se</w:t>
      </w:r>
      <w:r w:rsidR="00756AAD">
        <w:rPr>
          <w:rFonts w:ascii="Bookman Old Style" w:hAnsi="Bookman Old Style"/>
          <w:sz w:val="22"/>
        </w:rPr>
        <w:t>rv</w:t>
      </w:r>
      <w:r w:rsidRPr="007F05BB">
        <w:rPr>
          <w:rFonts w:ascii="Bookman Old Style" w:hAnsi="Bookman Old Style"/>
          <w:sz w:val="22"/>
        </w:rPr>
        <w:t xml:space="preserve">idumbres (CAESj) de $2.771.929.177 de diciembre de 2008 (ver Anexo 3 de la comunicación No. 001606 del 27 de abril de 2009) y posteriormente dio alcance a la Comunicación anterior actualizando el CAESj a $2.967.506.773 por inclusión de nuevas </w:t>
      </w:r>
      <w:r w:rsidR="00756AAD">
        <w:rPr>
          <w:rFonts w:ascii="Bookman Old Style" w:hAnsi="Bookman Old Style"/>
          <w:sz w:val="22"/>
        </w:rPr>
        <w:t>l</w:t>
      </w:r>
      <w:r w:rsidRPr="007F05BB">
        <w:rPr>
          <w:rFonts w:ascii="Bookman Old Style" w:hAnsi="Bookman Old Style"/>
          <w:sz w:val="22"/>
        </w:rPr>
        <w:t xml:space="preserve">egalizaciones de </w:t>
      </w:r>
      <w:r w:rsidR="00756AAD">
        <w:rPr>
          <w:rFonts w:ascii="Bookman Old Style" w:hAnsi="Bookman Old Style"/>
          <w:sz w:val="22"/>
        </w:rPr>
        <w:t>s</w:t>
      </w:r>
      <w:r w:rsidRPr="007F05BB">
        <w:rPr>
          <w:rFonts w:ascii="Bookman Old Style" w:hAnsi="Bookman Old Style"/>
          <w:sz w:val="22"/>
        </w:rPr>
        <w:t>e</w:t>
      </w:r>
      <w:r w:rsidR="00756AAD">
        <w:rPr>
          <w:rFonts w:ascii="Bookman Old Style" w:hAnsi="Bookman Old Style"/>
          <w:sz w:val="22"/>
        </w:rPr>
        <w:t>rv</w:t>
      </w:r>
      <w:r w:rsidRPr="007F05BB">
        <w:rPr>
          <w:rFonts w:ascii="Bookman Old Style" w:hAnsi="Bookman Old Style"/>
          <w:sz w:val="22"/>
        </w:rPr>
        <w:t xml:space="preserve">idumbres. (Ver comunicación No. 00682 del 12 de febrero de 2010). La actualización de la información de pagos por </w:t>
      </w:r>
      <w:r w:rsidR="00756AAD">
        <w:rPr>
          <w:rFonts w:ascii="Bookman Old Style" w:hAnsi="Bookman Old Style"/>
          <w:sz w:val="22"/>
        </w:rPr>
        <w:t>s</w:t>
      </w:r>
      <w:r w:rsidRPr="007F05BB">
        <w:rPr>
          <w:rFonts w:ascii="Bookman Old Style" w:hAnsi="Bookman Old Style"/>
          <w:sz w:val="22"/>
        </w:rPr>
        <w:t>e</w:t>
      </w:r>
      <w:r w:rsidR="00756AAD">
        <w:rPr>
          <w:rFonts w:ascii="Bookman Old Style" w:hAnsi="Bookman Old Style"/>
          <w:sz w:val="22"/>
        </w:rPr>
        <w:t>rv</w:t>
      </w:r>
      <w:r w:rsidRPr="007F05BB">
        <w:rPr>
          <w:rFonts w:ascii="Bookman Old Style" w:hAnsi="Bookman Old Style"/>
          <w:sz w:val="22"/>
        </w:rPr>
        <w:t>idumbres se realizó con anterioridad a la expedición del acto administrativo que recurrimos y dentro del tiempo de análisis y aclaraciones de la CREG de la actuación.</w:t>
      </w:r>
    </w:p>
    <w:p w:rsidR="00374808" w:rsidRDefault="007F05BB">
      <w:pPr>
        <w:pStyle w:val="Cita"/>
        <w:ind w:left="284" w:right="284"/>
        <w:rPr>
          <w:rFonts w:ascii="Bookman Old Style" w:hAnsi="Bookman Old Style"/>
          <w:sz w:val="22"/>
        </w:rPr>
      </w:pPr>
      <w:r w:rsidRPr="007F05BB">
        <w:rPr>
          <w:rFonts w:ascii="Bookman Old Style" w:hAnsi="Bookman Old Style"/>
          <w:sz w:val="22"/>
        </w:rPr>
        <w:t xml:space="preserve">Es de recordar que TRANSELCA S.A. E.S.P. se encuentra adelantando un proyecto de legalización de </w:t>
      </w:r>
      <w:r w:rsidR="00756AAD">
        <w:rPr>
          <w:rFonts w:ascii="Bookman Old Style" w:hAnsi="Bookman Old Style"/>
          <w:sz w:val="22"/>
        </w:rPr>
        <w:t>s</w:t>
      </w:r>
      <w:r w:rsidRPr="007F05BB">
        <w:rPr>
          <w:rFonts w:ascii="Bookman Old Style" w:hAnsi="Bookman Old Style"/>
          <w:sz w:val="22"/>
        </w:rPr>
        <w:t>e</w:t>
      </w:r>
      <w:r w:rsidR="00756AAD">
        <w:rPr>
          <w:rFonts w:ascii="Bookman Old Style" w:hAnsi="Bookman Old Style"/>
          <w:sz w:val="22"/>
        </w:rPr>
        <w:t>rv</w:t>
      </w:r>
      <w:r w:rsidRPr="007F05BB">
        <w:rPr>
          <w:rFonts w:ascii="Bookman Old Style" w:hAnsi="Bookman Old Style"/>
          <w:sz w:val="22"/>
        </w:rPr>
        <w:t>idumbres de las líneas adquiridas a CORELCA S.A. E.S.P. que no tenían regularizada la situación del derecho real. Por lo tanto, estas actualizaciones se continuar</w:t>
      </w:r>
      <w:r w:rsidR="00756AAD">
        <w:rPr>
          <w:rFonts w:ascii="Bookman Old Style" w:hAnsi="Bookman Old Style"/>
          <w:sz w:val="22"/>
        </w:rPr>
        <w:t>á</w:t>
      </w:r>
      <w:r w:rsidRPr="007F05BB">
        <w:rPr>
          <w:rFonts w:ascii="Bookman Old Style" w:hAnsi="Bookman Old Style"/>
          <w:sz w:val="22"/>
        </w:rPr>
        <w:t>n dando anualmente a la CREG, hasta la finalización del proyecto, a fin de obtener la remuneración a que TRANSEL</w:t>
      </w:r>
      <w:r w:rsidR="00756AAD">
        <w:rPr>
          <w:rFonts w:ascii="Bookman Old Style" w:hAnsi="Bookman Old Style"/>
          <w:sz w:val="22"/>
        </w:rPr>
        <w:t>CA S.A. E.S.P. tiene derecho</w:t>
      </w:r>
      <w:r w:rsidR="00374808" w:rsidRPr="00E65B06">
        <w:rPr>
          <w:rFonts w:ascii="Bookman Old Style" w:hAnsi="Bookman Old Style"/>
          <w:sz w:val="22"/>
        </w:rPr>
        <w:t>.</w:t>
      </w:r>
    </w:p>
    <w:p w:rsidR="00645492" w:rsidRPr="00105843" w:rsidRDefault="00645492">
      <w:pPr>
        <w:rPr>
          <w:sz w:val="22"/>
          <w:lang w:val="es-CO" w:eastAsia="en-US"/>
        </w:rPr>
      </w:pPr>
    </w:p>
    <w:p w:rsidR="000530CB" w:rsidRDefault="000530CB">
      <w:pPr>
        <w:keepNext/>
        <w:numPr>
          <w:ilvl w:val="0"/>
          <w:numId w:val="10"/>
        </w:numPr>
        <w:suppressAutoHyphens/>
        <w:adjustRightInd w:val="0"/>
        <w:spacing w:after="240"/>
        <w:ind w:left="641" w:hanging="357"/>
        <w:textAlignment w:val="baseline"/>
        <w:outlineLvl w:val="1"/>
        <w:rPr>
          <w:rFonts w:cs="Arial"/>
          <w:b/>
          <w:spacing w:val="-3"/>
        </w:rPr>
      </w:pPr>
      <w:r w:rsidRPr="000530CB">
        <w:rPr>
          <w:rFonts w:cs="Arial"/>
          <w:b/>
          <w:spacing w:val="-3"/>
        </w:rPr>
        <w:t xml:space="preserve">El Costo Anual Equivalente de Terrenos </w:t>
      </w:r>
      <w:r w:rsidR="00933462">
        <w:rPr>
          <w:rFonts w:cs="Arial"/>
          <w:b/>
          <w:spacing w:val="-3"/>
        </w:rPr>
        <w:t>(</w:t>
      </w:r>
      <w:r w:rsidRPr="000530CB">
        <w:rPr>
          <w:rFonts w:cs="Arial"/>
          <w:b/>
          <w:spacing w:val="-3"/>
        </w:rPr>
        <w:t>CAET</w:t>
      </w:r>
      <w:r w:rsidR="00933462">
        <w:rPr>
          <w:rFonts w:cs="Arial"/>
          <w:b/>
          <w:spacing w:val="-3"/>
        </w:rPr>
        <w:t>j</w:t>
      </w:r>
      <w:r w:rsidRPr="000530CB">
        <w:rPr>
          <w:rFonts w:cs="Arial"/>
          <w:b/>
          <w:spacing w:val="-3"/>
        </w:rPr>
        <w:t>).</w:t>
      </w:r>
    </w:p>
    <w:p w:rsidR="000530CB" w:rsidRPr="000530CB" w:rsidRDefault="000530CB">
      <w:pPr>
        <w:pStyle w:val="Cita"/>
        <w:ind w:left="284" w:right="284"/>
        <w:rPr>
          <w:rFonts w:ascii="Bookman Old Style" w:hAnsi="Bookman Old Style"/>
          <w:sz w:val="22"/>
        </w:rPr>
      </w:pPr>
      <w:r w:rsidRPr="000530CB">
        <w:rPr>
          <w:rFonts w:ascii="Bookman Old Style" w:hAnsi="Bookman Old Style"/>
          <w:sz w:val="22"/>
        </w:rPr>
        <w:t>El Costo Anual Equivalente de Terrenos (CAETj) reconocido en la resolución CREG 107 de 2010 es de $129</w:t>
      </w:r>
      <w:r w:rsidR="00933462">
        <w:rPr>
          <w:rFonts w:ascii="Bookman Old Style" w:hAnsi="Bookman Old Style"/>
          <w:sz w:val="22"/>
        </w:rPr>
        <w:t>.</w:t>
      </w:r>
      <w:r w:rsidRPr="000530CB">
        <w:rPr>
          <w:rFonts w:ascii="Bookman Old Style" w:hAnsi="Bookman Old Style"/>
          <w:sz w:val="22"/>
        </w:rPr>
        <w:t xml:space="preserve">388.741 de diciembre de 2008. Sin embargo, considerando el 100% del </w:t>
      </w:r>
      <w:r w:rsidR="00933462">
        <w:rPr>
          <w:rFonts w:ascii="Bookman Old Style" w:hAnsi="Bookman Old Style"/>
          <w:sz w:val="22"/>
        </w:rPr>
        <w:t>á</w:t>
      </w:r>
      <w:r w:rsidRPr="000530CB">
        <w:rPr>
          <w:rFonts w:ascii="Bookman Old Style" w:hAnsi="Bookman Old Style"/>
          <w:sz w:val="22"/>
        </w:rPr>
        <w:t>rea del corte central correspondiente al interruptor 8130 en la subestación Nueva Barranquilla, el cálculo del CAETj realizado por TRANSELCA S.A. E.S.P. es de $129.274.027. Como puede observarse, el valor de $129.274.027 es menor que el valor definido por la CREG que no considera el 100% del área del corte central indicado anteriormente. No es posible identificar la diferencia al no contarse con los soportes correspondientes a este numeral.</w:t>
      </w:r>
    </w:p>
    <w:p w:rsidR="000530CB" w:rsidRPr="00105843" w:rsidRDefault="000530CB">
      <w:pPr>
        <w:rPr>
          <w:rFonts w:cs="Arial"/>
          <w:sz w:val="22"/>
          <w:szCs w:val="20"/>
          <w:lang w:eastAsia="en-US"/>
        </w:rPr>
      </w:pPr>
    </w:p>
    <w:p w:rsidR="00105843" w:rsidRDefault="00105843">
      <w:pPr>
        <w:keepNext/>
        <w:numPr>
          <w:ilvl w:val="0"/>
          <w:numId w:val="10"/>
        </w:numPr>
        <w:suppressAutoHyphens/>
        <w:adjustRightInd w:val="0"/>
        <w:spacing w:after="240"/>
        <w:ind w:left="641" w:hanging="357"/>
        <w:textAlignment w:val="baseline"/>
        <w:outlineLvl w:val="1"/>
        <w:rPr>
          <w:rFonts w:cs="Arial"/>
          <w:b/>
          <w:spacing w:val="-3"/>
        </w:rPr>
      </w:pPr>
      <w:r w:rsidRPr="000530CB">
        <w:rPr>
          <w:rFonts w:cs="Arial"/>
          <w:b/>
          <w:spacing w:val="-3"/>
        </w:rPr>
        <w:t>Costo de Reposición de Activos Eléctricos</w:t>
      </w:r>
    </w:p>
    <w:p w:rsidR="00105843" w:rsidRDefault="00105843">
      <w:pPr>
        <w:pStyle w:val="Cita"/>
        <w:ind w:left="284" w:right="284"/>
        <w:rPr>
          <w:rFonts w:ascii="Bookman Old Style" w:hAnsi="Bookman Old Style"/>
          <w:sz w:val="22"/>
        </w:rPr>
      </w:pPr>
      <w:r w:rsidRPr="000530CB">
        <w:rPr>
          <w:rFonts w:ascii="Bookman Old Style" w:hAnsi="Bookman Old Style"/>
          <w:sz w:val="22"/>
        </w:rPr>
        <w:t>El artículo 4</w:t>
      </w:r>
      <w:r>
        <w:rPr>
          <w:rFonts w:ascii="Bookman Old Style" w:hAnsi="Bookman Old Style"/>
          <w:sz w:val="22"/>
        </w:rPr>
        <w:t>°</w:t>
      </w:r>
      <w:r w:rsidRPr="000530CB">
        <w:rPr>
          <w:rFonts w:ascii="Bookman Old Style" w:hAnsi="Bookman Old Style"/>
          <w:sz w:val="22"/>
        </w:rPr>
        <w:t xml:space="preserve"> costo de reposición de los activos eléctricos (CRE</w:t>
      </w:r>
      <w:r>
        <w:rPr>
          <w:rFonts w:ascii="Bookman Old Style" w:hAnsi="Bookman Old Style"/>
          <w:sz w:val="22"/>
        </w:rPr>
        <w:t>j</w:t>
      </w:r>
      <w:r w:rsidRPr="000530CB">
        <w:rPr>
          <w:rFonts w:ascii="Bookman Old Style" w:hAnsi="Bookman Old Style"/>
          <w:sz w:val="22"/>
        </w:rPr>
        <w:t xml:space="preserve">) de TRANSELCA S.A. E.S.P., de la Resolución CREG 107 de 2010 debe ser modificado a $643.342.961.018 pesos de diciembre de 2008, en reemplazo del valor de $642.871.571.518, es decir, sumando $471.389.500.00, que </w:t>
      </w:r>
      <w:r>
        <w:rPr>
          <w:rFonts w:ascii="Bookman Old Style" w:hAnsi="Bookman Old Style"/>
          <w:sz w:val="22"/>
        </w:rPr>
        <w:t>c</w:t>
      </w:r>
      <w:r w:rsidRPr="000530CB">
        <w:rPr>
          <w:rFonts w:ascii="Bookman Old Style" w:hAnsi="Bookman Old Style"/>
          <w:sz w:val="22"/>
        </w:rPr>
        <w:t xml:space="preserve">orresponde al 50% del Corte Central SE219 (interruptor 8130) de la Subestación Nueva Barranquilla. Lo anterior en consideración a que al asignarse el PU remunerado de 0,500000 a </w:t>
      </w:r>
      <w:r w:rsidRPr="000530CB">
        <w:rPr>
          <w:rFonts w:ascii="Bookman Old Style" w:hAnsi="Bookman Old Style"/>
          <w:sz w:val="22"/>
        </w:rPr>
        <w:lastRenderedPageBreak/>
        <w:t>la UC SE219 correspondiente al interruptor 8130 de la Subestación Nueva Barranquilla, el costo de reposición es inferior, debiendo ser igualmente ajustado generando el valor arriba indicado, acorde con Io establecido en la Resolución 011 de 2009.</w:t>
      </w:r>
    </w:p>
    <w:p w:rsidR="00105843" w:rsidRPr="00105843" w:rsidRDefault="00105843">
      <w:pPr>
        <w:rPr>
          <w:sz w:val="22"/>
          <w:lang w:val="es-CO" w:eastAsia="en-US"/>
        </w:rPr>
      </w:pPr>
    </w:p>
    <w:p w:rsidR="00105843" w:rsidRPr="008213C6" w:rsidRDefault="00105843">
      <w:pPr>
        <w:keepNext/>
        <w:numPr>
          <w:ilvl w:val="0"/>
          <w:numId w:val="10"/>
        </w:numPr>
        <w:suppressAutoHyphens/>
        <w:adjustRightInd w:val="0"/>
        <w:spacing w:after="240"/>
        <w:ind w:left="641" w:hanging="357"/>
        <w:textAlignment w:val="baseline"/>
        <w:outlineLvl w:val="1"/>
        <w:rPr>
          <w:rFonts w:cs="Arial"/>
          <w:b/>
          <w:spacing w:val="-3"/>
        </w:rPr>
      </w:pPr>
      <w:r w:rsidRPr="008213C6">
        <w:rPr>
          <w:rFonts w:cs="Arial"/>
          <w:b/>
          <w:spacing w:val="-3"/>
        </w:rPr>
        <w:t>Consideraciones de derecho</w:t>
      </w:r>
    </w:p>
    <w:p w:rsidR="00105843" w:rsidRPr="00C0253A" w:rsidRDefault="00105843">
      <w:pPr>
        <w:pStyle w:val="Cita"/>
        <w:ind w:left="284" w:right="284"/>
        <w:rPr>
          <w:rFonts w:ascii="Bookman Old Style" w:hAnsi="Bookman Old Style"/>
          <w:sz w:val="22"/>
        </w:rPr>
      </w:pPr>
      <w:r w:rsidRPr="00C0253A">
        <w:rPr>
          <w:rFonts w:ascii="Bookman Old Style" w:hAnsi="Bookman Old Style"/>
          <w:sz w:val="22"/>
        </w:rPr>
        <w:t>1. Legalidad de los actos administrativos.</w:t>
      </w:r>
    </w:p>
    <w:p w:rsidR="00105843" w:rsidRPr="00C0253A" w:rsidRDefault="00105843">
      <w:pPr>
        <w:pStyle w:val="Cita"/>
        <w:ind w:left="284" w:right="284"/>
        <w:rPr>
          <w:rFonts w:ascii="Bookman Old Style" w:hAnsi="Bookman Old Style"/>
          <w:sz w:val="22"/>
        </w:rPr>
      </w:pPr>
      <w:r w:rsidRPr="00C0253A">
        <w:rPr>
          <w:rFonts w:ascii="Bookman Old Style" w:hAnsi="Bookman Old Style"/>
          <w:sz w:val="22"/>
        </w:rPr>
        <w:t>La piedra angular de los actos administrativos lo constituye, sin duda alguna, el principio de legalidad. En razón de él, los administradores deben supeditar sus actuaciones a la Constitución, las leyes, decretos, reglamentos y los principios generales del derecho.</w:t>
      </w:r>
    </w:p>
    <w:p w:rsidR="00105843" w:rsidRPr="00C0253A" w:rsidRDefault="00105843">
      <w:pPr>
        <w:pStyle w:val="Cita"/>
        <w:ind w:left="284" w:right="284"/>
        <w:rPr>
          <w:rFonts w:ascii="Bookman Old Style" w:hAnsi="Bookman Old Style"/>
          <w:sz w:val="22"/>
        </w:rPr>
      </w:pPr>
      <w:r w:rsidRPr="00C0253A">
        <w:rPr>
          <w:rFonts w:ascii="Bookman Old Style" w:hAnsi="Bookman Old Style"/>
          <w:sz w:val="22"/>
        </w:rPr>
        <w:t>Dentro de los elementos esenciales del acto administrativo, sobresale con especial vigor la motivación. Por virtud de esta, los administradores al proferir sus actos deben considerar las circunstancias de hecho y de derecho, que constituyen la causa del acto administrativo. Cuando los motivos que determinan el acto administrativo no son concordantes con las circunstancias de hecho o de derecho que lo originan, estamos ante la presencia del fenómeno de la falsa motivación.</w:t>
      </w:r>
    </w:p>
    <w:p w:rsidR="00105843" w:rsidRPr="00C0253A" w:rsidRDefault="00105843">
      <w:pPr>
        <w:pStyle w:val="Cita"/>
        <w:ind w:left="284" w:right="284"/>
        <w:rPr>
          <w:rFonts w:ascii="Bookman Old Style" w:hAnsi="Bookman Old Style"/>
          <w:sz w:val="22"/>
        </w:rPr>
      </w:pPr>
      <w:r w:rsidRPr="00C0253A">
        <w:rPr>
          <w:rFonts w:ascii="Bookman Old Style" w:hAnsi="Bookman Old Style"/>
          <w:sz w:val="22"/>
        </w:rPr>
        <w:t>La sanción establecido</w:t>
      </w:r>
      <w:r w:rsidRPr="00C0253A">
        <w:rPr>
          <w:rFonts w:ascii="Bookman Old Style" w:hAnsi="Bookman Old Style"/>
          <w:i w:val="0"/>
          <w:sz w:val="22"/>
        </w:rPr>
        <w:t xml:space="preserve"> </w:t>
      </w:r>
      <w:r w:rsidRPr="00C0253A">
        <w:rPr>
          <w:rFonts w:ascii="Bookman Old Style" w:hAnsi="Bookman Old Style"/>
          <w:sz w:val="22"/>
        </w:rPr>
        <w:t>por el Código Contencioso Administrativo - Decreto 01 de 1984 artículo 84 - para los actos con falsa motivación, es la nulidad.</w:t>
      </w:r>
    </w:p>
    <w:p w:rsidR="001A0B9C" w:rsidRPr="00C0253A" w:rsidRDefault="00105843">
      <w:pPr>
        <w:pStyle w:val="Cita"/>
        <w:ind w:left="284" w:right="284"/>
        <w:rPr>
          <w:rFonts w:ascii="Bookman Old Style" w:hAnsi="Bookman Old Style"/>
          <w:sz w:val="22"/>
        </w:rPr>
      </w:pPr>
      <w:r w:rsidRPr="00C0253A">
        <w:rPr>
          <w:rFonts w:ascii="Bookman Old Style" w:hAnsi="Bookman Old Style"/>
          <w:sz w:val="22"/>
        </w:rPr>
        <w:t>Por su parte, el artículo 69 del precitado decreto, estatuye que los actos administrativos deberán ser revocados por los mismos funcionarios que los hayan expedido o por sus inmediatos superiores, de oficio o a solicitud de parte, cuando en éstos exista una manifiesta oposición a la Constitución o a la Ley, o cuando con estos de</w:t>
      </w:r>
      <w:r w:rsidRPr="00C0253A">
        <w:rPr>
          <w:rFonts w:ascii="Bookman Old Style" w:hAnsi="Bookman Old Style"/>
          <w:i w:val="0"/>
          <w:sz w:val="22"/>
        </w:rPr>
        <w:t xml:space="preserve"> </w:t>
      </w:r>
      <w:r w:rsidR="001A0B9C" w:rsidRPr="00C0253A">
        <w:rPr>
          <w:rFonts w:ascii="Bookman Old Style" w:hAnsi="Bookman Old Style"/>
          <w:i w:val="0"/>
          <w:sz w:val="22"/>
        </w:rPr>
        <w:t xml:space="preserve">(sic) </w:t>
      </w:r>
      <w:r w:rsidRPr="00C0253A">
        <w:rPr>
          <w:rFonts w:ascii="Bookman Old Style" w:hAnsi="Bookman Old Style"/>
          <w:sz w:val="22"/>
        </w:rPr>
        <w:t>cause un agravio injustificado a una persona.</w:t>
      </w:r>
    </w:p>
    <w:p w:rsidR="00105843" w:rsidRPr="00C0253A" w:rsidRDefault="00105843">
      <w:pPr>
        <w:pStyle w:val="Cita"/>
        <w:ind w:left="284" w:right="284"/>
        <w:rPr>
          <w:rFonts w:ascii="Bookman Old Style" w:hAnsi="Bookman Old Style"/>
          <w:sz w:val="22"/>
        </w:rPr>
      </w:pPr>
      <w:r w:rsidRPr="00C0253A">
        <w:rPr>
          <w:rFonts w:ascii="Bookman Old Style" w:hAnsi="Bookman Old Style"/>
          <w:sz w:val="22"/>
        </w:rPr>
        <w:t>Es evidente que la Resolución CREG No.107 del 1 de julio de 2010, al interpretar erróneamente la información reportada por TRANSELCA S.A. E.S.P. y al no motivar</w:t>
      </w:r>
      <w:r w:rsidR="001A0B9C" w:rsidRPr="00C0253A">
        <w:rPr>
          <w:rFonts w:ascii="Bookman Old Style" w:hAnsi="Bookman Old Style"/>
          <w:sz w:val="22"/>
        </w:rPr>
        <w:t xml:space="preserve"> </w:t>
      </w:r>
      <w:r w:rsidRPr="00C0253A">
        <w:rPr>
          <w:rFonts w:ascii="Bookman Old Style" w:hAnsi="Bookman Old Style"/>
          <w:sz w:val="22"/>
        </w:rPr>
        <w:t xml:space="preserve">exclusiones, ajustes o correcciones de la información suministrada por el administrado y con fundamento en los errores de interpretación, exclusiones, ajustes </w:t>
      </w:r>
      <w:r w:rsidR="001A0B9C" w:rsidRPr="00C0253A">
        <w:rPr>
          <w:rFonts w:ascii="Bookman Old Style" w:hAnsi="Bookman Old Style"/>
          <w:sz w:val="22"/>
        </w:rPr>
        <w:t>o</w:t>
      </w:r>
      <w:r w:rsidRPr="00C0253A">
        <w:rPr>
          <w:rFonts w:ascii="Bookman Old Style" w:hAnsi="Bookman Old Style"/>
          <w:sz w:val="22"/>
        </w:rPr>
        <w:t xml:space="preserve"> correcciones calcular el ingreso anual de Transmisor (</w:t>
      </w:r>
      <w:r w:rsidR="001A0B9C" w:rsidRPr="00C0253A">
        <w:rPr>
          <w:rFonts w:ascii="Bookman Old Style" w:hAnsi="Bookman Old Style"/>
          <w:sz w:val="22"/>
        </w:rPr>
        <w:t>I</w:t>
      </w:r>
      <w:r w:rsidRPr="00C0253A">
        <w:rPr>
          <w:rFonts w:ascii="Bookman Old Style" w:hAnsi="Bookman Old Style"/>
          <w:sz w:val="22"/>
        </w:rPr>
        <w:t>ATj), genera en TRANSELCA S.A. E.S.P. un perjuicio patrimonial, además de que tal acto se subsume en la órbita de los actos administrativos con falsa motivación y consecuentemente susceptible de ser declarado nulo.</w:t>
      </w:r>
    </w:p>
    <w:p w:rsidR="001A0B9C" w:rsidRPr="00C0253A" w:rsidRDefault="00105843">
      <w:pPr>
        <w:pStyle w:val="Cita"/>
        <w:ind w:left="284" w:right="284"/>
        <w:rPr>
          <w:rFonts w:ascii="Bookman Old Style" w:hAnsi="Bookman Old Style"/>
          <w:sz w:val="22"/>
        </w:rPr>
      </w:pPr>
      <w:r w:rsidRPr="00C0253A">
        <w:rPr>
          <w:rFonts w:ascii="Bookman Old Style" w:hAnsi="Bookman Old Style"/>
          <w:sz w:val="22"/>
        </w:rPr>
        <w:t xml:space="preserve">En </w:t>
      </w:r>
      <w:r w:rsidR="001A0B9C" w:rsidRPr="00C0253A">
        <w:rPr>
          <w:rFonts w:ascii="Bookman Old Style" w:hAnsi="Bookman Old Style"/>
          <w:sz w:val="22"/>
        </w:rPr>
        <w:t>vía</w:t>
      </w:r>
      <w:r w:rsidRPr="00C0253A">
        <w:rPr>
          <w:rFonts w:ascii="Bookman Old Style" w:hAnsi="Bookman Old Style"/>
          <w:sz w:val="22"/>
        </w:rPr>
        <w:t xml:space="preserve"> administrativa, </w:t>
      </w:r>
      <w:r w:rsidR="001A0B9C" w:rsidRPr="00C0253A">
        <w:rPr>
          <w:rFonts w:ascii="Bookman Old Style" w:hAnsi="Bookman Old Style"/>
          <w:sz w:val="22"/>
        </w:rPr>
        <w:t>c</w:t>
      </w:r>
      <w:r w:rsidRPr="00C0253A">
        <w:rPr>
          <w:rFonts w:ascii="Bookman Old Style" w:hAnsi="Bookman Old Style"/>
          <w:sz w:val="22"/>
        </w:rPr>
        <w:t>orresponde al funcionario que profiere el acto administrativo no ajustado a ley, revisar su decisión para enderezar el curso de la actuación. Es este el objetivo del presente recurso.</w:t>
      </w:r>
    </w:p>
    <w:p w:rsidR="001A0B9C" w:rsidRPr="00AB5A27" w:rsidRDefault="001A0B9C">
      <w:pPr>
        <w:pStyle w:val="Cita"/>
        <w:ind w:left="284" w:right="284"/>
        <w:rPr>
          <w:rFonts w:ascii="Bookman Old Style" w:hAnsi="Bookman Old Style"/>
          <w:sz w:val="8"/>
        </w:rPr>
      </w:pPr>
    </w:p>
    <w:p w:rsidR="001A0B9C" w:rsidRPr="00C0253A" w:rsidRDefault="00105843">
      <w:pPr>
        <w:pStyle w:val="Cita"/>
        <w:ind w:left="284" w:right="284"/>
        <w:rPr>
          <w:rFonts w:ascii="Bookman Old Style" w:hAnsi="Bookman Old Style"/>
          <w:sz w:val="22"/>
        </w:rPr>
      </w:pPr>
      <w:r w:rsidRPr="00C0253A">
        <w:rPr>
          <w:rFonts w:ascii="Bookman Old Style" w:hAnsi="Bookman Old Style"/>
          <w:sz w:val="22"/>
        </w:rPr>
        <w:t>2. Suficiencia financiera de la Tarifa</w:t>
      </w:r>
    </w:p>
    <w:p w:rsidR="001A0B9C" w:rsidRPr="00C0253A" w:rsidRDefault="00105843">
      <w:pPr>
        <w:pStyle w:val="Cita"/>
        <w:ind w:left="284" w:right="284"/>
        <w:rPr>
          <w:rFonts w:ascii="Bookman Old Style" w:hAnsi="Bookman Old Style"/>
          <w:sz w:val="22"/>
        </w:rPr>
      </w:pPr>
      <w:r w:rsidRPr="00C0253A">
        <w:rPr>
          <w:rFonts w:ascii="Bookman Old Style" w:hAnsi="Bookman Old Style"/>
          <w:sz w:val="22"/>
        </w:rPr>
        <w:t>E</w:t>
      </w:r>
      <w:r w:rsidR="001A0B9C" w:rsidRPr="00C0253A">
        <w:rPr>
          <w:rFonts w:ascii="Bookman Old Style" w:hAnsi="Bookman Old Style"/>
          <w:sz w:val="22"/>
        </w:rPr>
        <w:t>l</w:t>
      </w:r>
      <w:r w:rsidRPr="00C0253A">
        <w:rPr>
          <w:rFonts w:ascii="Bookman Old Style" w:hAnsi="Bookman Old Style"/>
          <w:sz w:val="22"/>
        </w:rPr>
        <w:t xml:space="preserve"> artículo 87 de la Ley 142 de 1994, expresa en su numeral 87.4:</w:t>
      </w:r>
    </w:p>
    <w:p w:rsidR="001A0B9C" w:rsidRPr="00C0253A" w:rsidRDefault="00105843">
      <w:pPr>
        <w:pStyle w:val="Cita"/>
        <w:ind w:left="708" w:right="284"/>
        <w:rPr>
          <w:rFonts w:ascii="Bookman Old Style" w:hAnsi="Bookman Old Style"/>
          <w:sz w:val="22"/>
        </w:rPr>
      </w:pPr>
      <w:r w:rsidRPr="00C0253A">
        <w:rPr>
          <w:rFonts w:ascii="Bookman Old Style" w:hAnsi="Bookman Old Style"/>
          <w:sz w:val="22"/>
        </w:rPr>
        <w:t xml:space="preserve">"...Por suficiencia financiera </w:t>
      </w:r>
      <w:r w:rsidR="001A0B9C" w:rsidRPr="00C0253A">
        <w:rPr>
          <w:rFonts w:ascii="Bookman Old Style" w:hAnsi="Bookman Old Style"/>
          <w:sz w:val="22"/>
        </w:rPr>
        <w:t>s</w:t>
      </w:r>
      <w:r w:rsidRPr="00C0253A">
        <w:rPr>
          <w:rFonts w:ascii="Bookman Old Style" w:hAnsi="Bookman Old Style"/>
          <w:sz w:val="22"/>
        </w:rPr>
        <w:t xml:space="preserve">e entiende que las fórmulas de tarifas garantizaran la recuperación de los costos y gastos propios de </w:t>
      </w:r>
      <w:r w:rsidR="001A0B9C" w:rsidRPr="00C0253A">
        <w:rPr>
          <w:rFonts w:ascii="Bookman Old Style" w:hAnsi="Bookman Old Style"/>
          <w:sz w:val="22"/>
        </w:rPr>
        <w:t>o</w:t>
      </w:r>
      <w:r w:rsidRPr="00C0253A">
        <w:rPr>
          <w:rFonts w:ascii="Bookman Old Style" w:hAnsi="Bookman Old Style"/>
          <w:sz w:val="22"/>
        </w:rPr>
        <w:t>peración, incluyendo la expansión, la reposición y el mantenimiento; permitirán remunerar el patrimonio de los accionistas en la misma forma en la que lo habr</w:t>
      </w:r>
      <w:r w:rsidR="001A0B9C" w:rsidRPr="00C0253A">
        <w:rPr>
          <w:rFonts w:ascii="Bookman Old Style" w:hAnsi="Bookman Old Style"/>
          <w:sz w:val="22"/>
        </w:rPr>
        <w:t>í</w:t>
      </w:r>
      <w:r w:rsidRPr="00C0253A">
        <w:rPr>
          <w:rFonts w:ascii="Bookman Old Style" w:hAnsi="Bookman Old Style"/>
          <w:sz w:val="22"/>
        </w:rPr>
        <w:t>a remunerado una empresa eficiente en un sector de riesgo comparable</w:t>
      </w:r>
      <w:r w:rsidR="001A0B9C" w:rsidRPr="00C0253A">
        <w:rPr>
          <w:rFonts w:ascii="Bookman Old Style" w:hAnsi="Bookman Old Style"/>
          <w:sz w:val="22"/>
        </w:rPr>
        <w:t>;</w:t>
      </w:r>
      <w:r w:rsidRPr="00C0253A">
        <w:rPr>
          <w:rFonts w:ascii="Bookman Old Style" w:hAnsi="Bookman Old Style"/>
          <w:sz w:val="22"/>
        </w:rPr>
        <w:t xml:space="preserve"> y permitirán utilizar las tecnologías y sistemas administrativos que garanticen la mejor calidad, continuidad y </w:t>
      </w:r>
      <w:r w:rsidR="001A0B9C" w:rsidRPr="00C0253A">
        <w:rPr>
          <w:rFonts w:ascii="Bookman Old Style" w:hAnsi="Bookman Old Style"/>
          <w:sz w:val="22"/>
        </w:rPr>
        <w:t>s</w:t>
      </w:r>
      <w:r w:rsidRPr="00C0253A">
        <w:rPr>
          <w:rFonts w:ascii="Bookman Old Style" w:hAnsi="Bookman Old Style"/>
          <w:sz w:val="22"/>
        </w:rPr>
        <w:t>eguridad a sus usuarios...</w:t>
      </w:r>
    </w:p>
    <w:p w:rsidR="001A0B9C" w:rsidRPr="00C0253A" w:rsidRDefault="00105843">
      <w:pPr>
        <w:pStyle w:val="Cita"/>
        <w:ind w:left="284" w:right="284"/>
        <w:rPr>
          <w:rFonts w:ascii="Bookman Old Style" w:hAnsi="Bookman Old Style"/>
          <w:sz w:val="22"/>
        </w:rPr>
      </w:pPr>
      <w:r w:rsidRPr="00C0253A">
        <w:rPr>
          <w:rFonts w:ascii="Bookman Old Style" w:hAnsi="Bookman Old Style"/>
          <w:sz w:val="22"/>
        </w:rPr>
        <w:t>Por su parte el numeral 87.7, indica:</w:t>
      </w:r>
    </w:p>
    <w:p w:rsidR="001A0B9C" w:rsidRPr="00C0253A" w:rsidRDefault="00105843">
      <w:pPr>
        <w:pStyle w:val="Cita"/>
        <w:ind w:left="708" w:right="284"/>
        <w:rPr>
          <w:rFonts w:ascii="Bookman Old Style" w:hAnsi="Bookman Old Style"/>
          <w:sz w:val="22"/>
        </w:rPr>
      </w:pPr>
      <w:r w:rsidRPr="00C0253A">
        <w:rPr>
          <w:rFonts w:ascii="Bookman Old Style" w:hAnsi="Bookman Old Style"/>
          <w:sz w:val="22"/>
        </w:rPr>
        <w:t xml:space="preserve">"...Los criterios de eficiencia y suficiencia financiera tendrán prioridad en la definición del régimen tarifario. Si llegare a existir contradicción entre el criterio de eficiencia y el </w:t>
      </w:r>
      <w:r w:rsidR="001A0B9C" w:rsidRPr="00C0253A">
        <w:rPr>
          <w:rFonts w:ascii="Bookman Old Style" w:hAnsi="Bookman Old Style"/>
          <w:sz w:val="22"/>
        </w:rPr>
        <w:t>d</w:t>
      </w:r>
      <w:r w:rsidRPr="00C0253A">
        <w:rPr>
          <w:rFonts w:ascii="Bookman Old Style" w:hAnsi="Bookman Old Style"/>
          <w:sz w:val="22"/>
        </w:rPr>
        <w:t xml:space="preserve">e suficiencia </w:t>
      </w:r>
      <w:r w:rsidR="001A0B9C" w:rsidRPr="00C0253A">
        <w:rPr>
          <w:rFonts w:ascii="Bookman Old Style" w:hAnsi="Bookman Old Style"/>
          <w:sz w:val="22"/>
        </w:rPr>
        <w:t>fi</w:t>
      </w:r>
      <w:r w:rsidRPr="00C0253A">
        <w:rPr>
          <w:rFonts w:ascii="Bookman Old Style" w:hAnsi="Bookman Old Style"/>
          <w:sz w:val="22"/>
        </w:rPr>
        <w:t xml:space="preserve">nanciera, deberá tomarse en cuenta que, para </w:t>
      </w:r>
      <w:r w:rsidRPr="00C0253A">
        <w:rPr>
          <w:rFonts w:ascii="Bookman Old Style" w:hAnsi="Bookman Old Style"/>
          <w:sz w:val="22"/>
        </w:rPr>
        <w:lastRenderedPageBreak/>
        <w:t>una empresa e</w:t>
      </w:r>
      <w:r w:rsidR="001A0B9C" w:rsidRPr="00C0253A">
        <w:rPr>
          <w:rFonts w:ascii="Bookman Old Style" w:hAnsi="Bookman Old Style"/>
          <w:sz w:val="22"/>
        </w:rPr>
        <w:t>fi</w:t>
      </w:r>
      <w:r w:rsidRPr="00C0253A">
        <w:rPr>
          <w:rFonts w:ascii="Bookman Old Style" w:hAnsi="Bookman Old Style"/>
          <w:sz w:val="22"/>
        </w:rPr>
        <w:t>ciente, las tarifas económicamente eficientes se definirán tomando en cuenta la suficiencia financiera</w:t>
      </w:r>
      <w:r w:rsidR="001A0B9C" w:rsidRPr="00C0253A">
        <w:rPr>
          <w:rFonts w:ascii="Bookman Old Style" w:hAnsi="Bookman Old Style"/>
          <w:sz w:val="22"/>
        </w:rPr>
        <w:t>…”</w:t>
      </w:r>
    </w:p>
    <w:p w:rsidR="001A0B9C" w:rsidRPr="00C0253A" w:rsidRDefault="00105843">
      <w:pPr>
        <w:pStyle w:val="Cita"/>
        <w:ind w:left="284" w:right="284"/>
        <w:rPr>
          <w:rFonts w:ascii="Bookman Old Style" w:hAnsi="Bookman Old Style"/>
          <w:sz w:val="22"/>
        </w:rPr>
      </w:pPr>
      <w:r w:rsidRPr="00C0253A">
        <w:rPr>
          <w:rFonts w:ascii="Bookman Old Style" w:hAnsi="Bookman Old Style"/>
          <w:sz w:val="22"/>
        </w:rPr>
        <w:t>Por su parte, la Ley 143 en su art</w:t>
      </w:r>
      <w:r w:rsidR="001A0B9C" w:rsidRPr="00C0253A">
        <w:rPr>
          <w:rFonts w:ascii="Bookman Old Style" w:hAnsi="Bookman Old Style"/>
          <w:sz w:val="22"/>
        </w:rPr>
        <w:t>í</w:t>
      </w:r>
      <w:r w:rsidRPr="00C0253A">
        <w:rPr>
          <w:rFonts w:ascii="Bookman Old Style" w:hAnsi="Bookman Old Style"/>
          <w:sz w:val="22"/>
        </w:rPr>
        <w:t>culo 4</w:t>
      </w:r>
      <w:r w:rsidR="001A0B9C" w:rsidRPr="00C0253A">
        <w:rPr>
          <w:rFonts w:ascii="Bookman Old Style" w:hAnsi="Bookman Old Style"/>
          <w:sz w:val="22"/>
        </w:rPr>
        <w:t>°,</w:t>
      </w:r>
      <w:r w:rsidRPr="00C0253A">
        <w:rPr>
          <w:rFonts w:ascii="Bookman Old Style" w:hAnsi="Bookman Old Style"/>
          <w:sz w:val="22"/>
        </w:rPr>
        <w:t xml:space="preserve"> </w:t>
      </w:r>
      <w:r w:rsidR="001A0B9C" w:rsidRPr="00C0253A">
        <w:rPr>
          <w:rFonts w:ascii="Bookman Old Style" w:hAnsi="Bookman Old Style"/>
          <w:sz w:val="22"/>
        </w:rPr>
        <w:t>l</w:t>
      </w:r>
      <w:r w:rsidRPr="00C0253A">
        <w:rPr>
          <w:rFonts w:ascii="Bookman Old Style" w:hAnsi="Bookman Old Style"/>
          <w:sz w:val="22"/>
        </w:rPr>
        <w:t>iteral a), expresa:</w:t>
      </w:r>
    </w:p>
    <w:p w:rsidR="001A0B9C" w:rsidRPr="00C0253A" w:rsidRDefault="00105843">
      <w:pPr>
        <w:pStyle w:val="Cita"/>
        <w:ind w:left="708" w:right="284"/>
        <w:rPr>
          <w:rFonts w:ascii="Bookman Old Style" w:hAnsi="Bookman Old Style"/>
          <w:sz w:val="22"/>
          <w:u w:val="single"/>
        </w:rPr>
      </w:pPr>
      <w:r w:rsidRPr="00C0253A">
        <w:rPr>
          <w:rFonts w:ascii="Bookman Old Style" w:hAnsi="Bookman Old Style"/>
          <w:sz w:val="22"/>
          <w:u w:val="single"/>
        </w:rPr>
        <w:t>"...EI Estado, en relación con el servicio de electricidad tendrá los siguientes objetivos en el cumplimiento de sus funciones</w:t>
      </w:r>
      <w:r w:rsidR="001A0B9C" w:rsidRPr="00C0253A">
        <w:rPr>
          <w:rFonts w:ascii="Bookman Old Style" w:hAnsi="Bookman Old Style"/>
          <w:sz w:val="22"/>
          <w:u w:val="single"/>
        </w:rPr>
        <w:t>:</w:t>
      </w:r>
    </w:p>
    <w:p w:rsidR="00737B45" w:rsidRPr="00C0253A" w:rsidRDefault="00105843">
      <w:pPr>
        <w:pStyle w:val="Cita"/>
        <w:ind w:left="708" w:right="284"/>
        <w:rPr>
          <w:rFonts w:ascii="Bookman Old Style" w:hAnsi="Bookman Old Style"/>
          <w:sz w:val="22"/>
        </w:rPr>
      </w:pPr>
      <w:r w:rsidRPr="00C0253A">
        <w:rPr>
          <w:rFonts w:ascii="Bookman Old Style" w:hAnsi="Bookman Old Style"/>
          <w:sz w:val="22"/>
        </w:rPr>
        <w:t xml:space="preserve">a) Abastecer </w:t>
      </w:r>
      <w:r w:rsidR="001A0B9C" w:rsidRPr="00C0253A">
        <w:rPr>
          <w:rFonts w:ascii="Bookman Old Style" w:hAnsi="Bookman Old Style"/>
          <w:sz w:val="22"/>
        </w:rPr>
        <w:t>l</w:t>
      </w:r>
      <w:r w:rsidRPr="00C0253A">
        <w:rPr>
          <w:rFonts w:ascii="Bookman Old Style" w:hAnsi="Bookman Old Style"/>
          <w:sz w:val="22"/>
        </w:rPr>
        <w:t xml:space="preserve">a demanda de electricidad de la comunidad bajo criterios económicos y el de </w:t>
      </w:r>
      <w:r w:rsidRPr="00C0253A">
        <w:rPr>
          <w:rFonts w:ascii="Bookman Old Style" w:hAnsi="Bookman Old Style"/>
          <w:sz w:val="22"/>
          <w:u w:val="single"/>
        </w:rPr>
        <w:t xml:space="preserve">viabilidad </w:t>
      </w:r>
      <w:r w:rsidR="001A0B9C" w:rsidRPr="00C0253A">
        <w:rPr>
          <w:rFonts w:ascii="Bookman Old Style" w:hAnsi="Bookman Old Style"/>
          <w:sz w:val="22"/>
          <w:u w:val="single"/>
        </w:rPr>
        <w:t>financiera</w:t>
      </w:r>
      <w:r w:rsidRPr="00C0253A">
        <w:rPr>
          <w:rFonts w:ascii="Bookman Old Style" w:hAnsi="Bookman Old Style"/>
          <w:sz w:val="22"/>
        </w:rPr>
        <w:t>, asegurando su cubrimiento en un marco de uso racional y e</w:t>
      </w:r>
      <w:r w:rsidR="00737B45" w:rsidRPr="00C0253A">
        <w:rPr>
          <w:rFonts w:ascii="Bookman Old Style" w:hAnsi="Bookman Old Style"/>
          <w:sz w:val="22"/>
        </w:rPr>
        <w:t>fi</w:t>
      </w:r>
      <w:r w:rsidRPr="00C0253A">
        <w:rPr>
          <w:rFonts w:ascii="Bookman Old Style" w:hAnsi="Bookman Old Style"/>
          <w:sz w:val="22"/>
        </w:rPr>
        <w:t>ciente de los diferentes recursos energéticos del país;</w:t>
      </w:r>
      <w:r w:rsidR="00737B45" w:rsidRPr="00C0253A">
        <w:rPr>
          <w:rFonts w:ascii="Bookman Old Style" w:hAnsi="Bookman Old Style"/>
          <w:sz w:val="22"/>
        </w:rPr>
        <w:t>…”</w:t>
      </w:r>
    </w:p>
    <w:p w:rsidR="00105843" w:rsidRDefault="00105843">
      <w:pPr>
        <w:pStyle w:val="Cita"/>
        <w:ind w:left="284" w:right="284"/>
        <w:rPr>
          <w:rFonts w:ascii="Bookman Old Style" w:hAnsi="Bookman Old Style"/>
          <w:sz w:val="22"/>
        </w:rPr>
      </w:pPr>
      <w:r w:rsidRPr="00C0253A">
        <w:rPr>
          <w:rFonts w:ascii="Bookman Old Style" w:hAnsi="Bookman Old Style"/>
          <w:sz w:val="22"/>
        </w:rPr>
        <w:t xml:space="preserve">Es </w:t>
      </w:r>
      <w:r w:rsidR="00737B45" w:rsidRPr="00C0253A">
        <w:rPr>
          <w:rFonts w:ascii="Bookman Old Style" w:hAnsi="Bookman Old Style"/>
          <w:sz w:val="22"/>
        </w:rPr>
        <w:t>c</w:t>
      </w:r>
      <w:r w:rsidRPr="00C0253A">
        <w:rPr>
          <w:rFonts w:ascii="Bookman Old Style" w:hAnsi="Bookman Old Style"/>
          <w:sz w:val="22"/>
        </w:rPr>
        <w:t xml:space="preserve">laro que los errores en la interpretación de la información suministrada por TRANSELCA S.A. E.S.P., así como las exclusiones, ajustes </w:t>
      </w:r>
      <w:r w:rsidR="00737B45" w:rsidRPr="00C0253A">
        <w:rPr>
          <w:rFonts w:ascii="Bookman Old Style" w:hAnsi="Bookman Old Style"/>
          <w:sz w:val="22"/>
        </w:rPr>
        <w:t>o</w:t>
      </w:r>
      <w:r w:rsidRPr="00C0253A">
        <w:rPr>
          <w:rFonts w:ascii="Bookman Old Style" w:hAnsi="Bookman Old Style"/>
          <w:sz w:val="22"/>
        </w:rPr>
        <w:t xml:space="preserve"> correcciones de la información, sin justificación motivada, contravienen de manera flagrante las disposiciones precitadas contenidas en las leyes 142 y 143 de 1994. La notoria diferencia entre el Ingreso Anual del Transmisor (</w:t>
      </w:r>
      <w:r w:rsidR="00737B45" w:rsidRPr="00C0253A">
        <w:rPr>
          <w:rFonts w:ascii="Bookman Old Style" w:hAnsi="Bookman Old Style"/>
          <w:sz w:val="22"/>
        </w:rPr>
        <w:t>I</w:t>
      </w:r>
      <w:r w:rsidRPr="00C0253A">
        <w:rPr>
          <w:rFonts w:ascii="Bookman Old Style" w:hAnsi="Bookman Old Style"/>
          <w:sz w:val="22"/>
        </w:rPr>
        <w:t>ATj) reconocido, y el Ingreso Anual del Transmisor (</w:t>
      </w:r>
      <w:r w:rsidR="00737B45" w:rsidRPr="00C0253A">
        <w:rPr>
          <w:rFonts w:ascii="Bookman Old Style" w:hAnsi="Bookman Old Style"/>
          <w:sz w:val="22"/>
        </w:rPr>
        <w:t>I</w:t>
      </w:r>
      <w:r w:rsidRPr="00C0253A">
        <w:rPr>
          <w:rFonts w:ascii="Bookman Old Style" w:hAnsi="Bookman Old Style"/>
          <w:sz w:val="22"/>
        </w:rPr>
        <w:t>ATj) que resulta de la correcta aplicación de la información aportada</w:t>
      </w:r>
      <w:r w:rsidR="00737B45" w:rsidRPr="00C0253A">
        <w:rPr>
          <w:rFonts w:ascii="Bookman Old Style" w:hAnsi="Bookman Old Style"/>
          <w:sz w:val="22"/>
        </w:rPr>
        <w:t xml:space="preserve"> p</w:t>
      </w:r>
      <w:r w:rsidRPr="00C0253A">
        <w:rPr>
          <w:rFonts w:ascii="Bookman Old Style" w:hAnsi="Bookman Old Style"/>
          <w:sz w:val="22"/>
        </w:rPr>
        <w:t>or TRANSELCA S.A. E.S.P., tiene un impacto muy importante en la situación financiera de esta empresa, desmejorando, sin justificación alguna, los ingresos a los que tiene pleno y demostrado derecho.</w:t>
      </w:r>
    </w:p>
    <w:p w:rsidR="00941AC6" w:rsidRPr="005F1034" w:rsidRDefault="00941AC6" w:rsidP="00941AC6">
      <w:pPr>
        <w:rPr>
          <w:sz w:val="14"/>
          <w:lang w:val="es-CO" w:eastAsia="en-US"/>
        </w:rPr>
      </w:pPr>
    </w:p>
    <w:p w:rsidR="00941AC6" w:rsidRPr="00941AC6" w:rsidRDefault="00941AC6" w:rsidP="00941AC6">
      <w:pPr>
        <w:rPr>
          <w:lang w:val="es-CO" w:eastAsia="en-US"/>
        </w:rPr>
      </w:pPr>
      <w:r w:rsidRPr="00941AC6">
        <w:rPr>
          <w:lang w:val="es-CO" w:eastAsia="en-US"/>
        </w:rPr>
        <w:t>Una vez expuestos y desarrollados los argumentos del recurso</w:t>
      </w:r>
      <w:r w:rsidR="00B90127">
        <w:rPr>
          <w:lang w:val="es-CO" w:eastAsia="en-US"/>
        </w:rPr>
        <w:t>,</w:t>
      </w:r>
      <w:r w:rsidRPr="00941AC6">
        <w:rPr>
          <w:lang w:val="es-CO" w:eastAsia="en-US"/>
        </w:rPr>
        <w:t xml:space="preserve"> procede la apoderada a realizar la siguiente petición.</w:t>
      </w:r>
    </w:p>
    <w:p w:rsidR="00941AC6" w:rsidRDefault="00941AC6" w:rsidP="00941AC6">
      <w:pPr>
        <w:rPr>
          <w:highlight w:val="yellow"/>
          <w:lang w:val="es-CO" w:eastAsia="en-US"/>
        </w:rPr>
      </w:pPr>
    </w:p>
    <w:p w:rsidR="00737B45" w:rsidRPr="00941AC6" w:rsidRDefault="00737B45">
      <w:pPr>
        <w:keepNext/>
        <w:numPr>
          <w:ilvl w:val="0"/>
          <w:numId w:val="10"/>
        </w:numPr>
        <w:suppressAutoHyphens/>
        <w:adjustRightInd w:val="0"/>
        <w:spacing w:after="240"/>
        <w:ind w:left="641" w:hanging="357"/>
        <w:textAlignment w:val="baseline"/>
        <w:outlineLvl w:val="1"/>
        <w:rPr>
          <w:rFonts w:cs="Arial"/>
          <w:b/>
          <w:spacing w:val="-3"/>
        </w:rPr>
      </w:pPr>
      <w:r w:rsidRPr="00941AC6">
        <w:rPr>
          <w:rFonts w:cs="Arial"/>
          <w:b/>
          <w:spacing w:val="-3"/>
        </w:rPr>
        <w:t>Petición</w:t>
      </w:r>
    </w:p>
    <w:p w:rsidR="00737B45" w:rsidRPr="00941AC6" w:rsidRDefault="00737B45">
      <w:pPr>
        <w:pStyle w:val="Cita"/>
        <w:ind w:left="284" w:right="284"/>
        <w:rPr>
          <w:rFonts w:ascii="Bookman Old Style" w:hAnsi="Bookman Old Style"/>
          <w:sz w:val="22"/>
        </w:rPr>
      </w:pPr>
      <w:r w:rsidRPr="00941AC6">
        <w:rPr>
          <w:rFonts w:ascii="Bookman Old Style" w:hAnsi="Bookman Old Style"/>
          <w:sz w:val="22"/>
        </w:rPr>
        <w:t>En virtud de lo expuesto, solicito:</w:t>
      </w:r>
    </w:p>
    <w:p w:rsidR="00737B45" w:rsidRPr="00941AC6" w:rsidRDefault="00737B45">
      <w:pPr>
        <w:pStyle w:val="Cita"/>
        <w:ind w:left="284" w:right="284"/>
        <w:rPr>
          <w:rFonts w:ascii="Bookman Old Style" w:hAnsi="Bookman Old Style"/>
          <w:sz w:val="22"/>
        </w:rPr>
      </w:pPr>
      <w:r w:rsidRPr="00941AC6">
        <w:rPr>
          <w:rFonts w:ascii="Bookman Old Style" w:hAnsi="Bookman Old Style"/>
          <w:sz w:val="22"/>
        </w:rPr>
        <w:t>Se modifiquen los artículos 1°, 2°, 3° y 4°, de la Resolución CREG No. 107 de 01 de julio 2010 proferida por su despacho, de tal forma que se ajusten los elementos considerados para la determinación Ingreso Anual del Transmisor (IATj), para TRANSELCA S.A. E.S.P., de acuerdo con la información aportada en debido tiempo y forma, y tomando en cuenta las consideraciones expuestas en el numeral 3.1.5. del presente recurso.</w:t>
      </w:r>
    </w:p>
    <w:p w:rsidR="00737B45" w:rsidRPr="00941AC6" w:rsidRDefault="00737B45">
      <w:pPr>
        <w:pStyle w:val="Cita"/>
        <w:ind w:left="284" w:right="284"/>
        <w:rPr>
          <w:rFonts w:ascii="Bookman Old Style" w:hAnsi="Bookman Old Style"/>
          <w:sz w:val="22"/>
        </w:rPr>
      </w:pPr>
      <w:r w:rsidRPr="00941AC6">
        <w:rPr>
          <w:rFonts w:ascii="Bookman Old Style" w:hAnsi="Bookman Old Style"/>
          <w:sz w:val="22"/>
        </w:rPr>
        <w:t>Para tal efecto se deberá:</w:t>
      </w:r>
    </w:p>
    <w:p w:rsidR="00737B45" w:rsidRPr="00941AC6" w:rsidRDefault="00737B45">
      <w:pPr>
        <w:pStyle w:val="Cita"/>
        <w:ind w:left="284" w:right="284"/>
        <w:rPr>
          <w:rFonts w:ascii="Bookman Old Style" w:hAnsi="Bookman Old Style"/>
          <w:sz w:val="22"/>
        </w:rPr>
      </w:pPr>
      <w:r w:rsidRPr="00941AC6">
        <w:rPr>
          <w:rFonts w:ascii="Bookman Old Style" w:hAnsi="Bookman Old Style"/>
          <w:sz w:val="22"/>
        </w:rPr>
        <w:t>i) Reajustar los valores reconocidos en la resolución recurrida a los siguientes valores:</w:t>
      </w:r>
    </w:p>
    <w:p w:rsidR="004F7AFB" w:rsidRPr="00941AC6" w:rsidRDefault="004F7AFB">
      <w:pPr>
        <w:autoSpaceDE w:val="0"/>
        <w:autoSpaceDN w:val="0"/>
        <w:adjustRightInd w:val="0"/>
        <w:jc w:val="left"/>
        <w:rPr>
          <w:rFonts w:cs="Arial"/>
          <w:sz w:val="20"/>
          <w:szCs w:val="20"/>
          <w:lang w:eastAsia="en-US"/>
        </w:rPr>
      </w:pPr>
    </w:p>
    <w:tbl>
      <w:tblPr>
        <w:tblW w:w="0" w:type="auto"/>
        <w:jc w:val="center"/>
        <w:tblInd w:w="-5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8"/>
        <w:gridCol w:w="2376"/>
      </w:tblGrid>
      <w:tr w:rsidR="004F7AFB" w:rsidRPr="00941AC6" w:rsidTr="005F5663">
        <w:trPr>
          <w:jc w:val="center"/>
        </w:trPr>
        <w:tc>
          <w:tcPr>
            <w:tcW w:w="5528" w:type="dxa"/>
            <w:vAlign w:val="center"/>
          </w:tcPr>
          <w:p w:rsidR="004F7AFB" w:rsidRPr="00941AC6" w:rsidRDefault="004F7AFB">
            <w:pPr>
              <w:autoSpaceDE w:val="0"/>
              <w:autoSpaceDN w:val="0"/>
              <w:adjustRightInd w:val="0"/>
              <w:jc w:val="center"/>
              <w:rPr>
                <w:rFonts w:cs="Arial"/>
                <w:i/>
                <w:sz w:val="20"/>
                <w:szCs w:val="20"/>
                <w:lang w:eastAsia="en-US"/>
              </w:rPr>
            </w:pPr>
            <w:r w:rsidRPr="00941AC6">
              <w:rPr>
                <w:rFonts w:cs="Arial"/>
                <w:i/>
                <w:sz w:val="20"/>
                <w:szCs w:val="20"/>
                <w:lang w:eastAsia="en-US"/>
              </w:rPr>
              <w:t>Costo Anual</w:t>
            </w:r>
          </w:p>
        </w:tc>
        <w:tc>
          <w:tcPr>
            <w:tcW w:w="2376" w:type="dxa"/>
            <w:vAlign w:val="center"/>
          </w:tcPr>
          <w:p w:rsidR="004F7AFB" w:rsidRPr="00941AC6" w:rsidRDefault="004F7AFB">
            <w:pPr>
              <w:autoSpaceDE w:val="0"/>
              <w:autoSpaceDN w:val="0"/>
              <w:adjustRightInd w:val="0"/>
              <w:jc w:val="center"/>
              <w:rPr>
                <w:rFonts w:cs="Arial"/>
                <w:i/>
                <w:sz w:val="20"/>
                <w:szCs w:val="20"/>
                <w:lang w:eastAsia="en-US"/>
              </w:rPr>
            </w:pPr>
            <w:r w:rsidRPr="00941AC6">
              <w:rPr>
                <w:rFonts w:cs="Arial"/>
                <w:i/>
                <w:sz w:val="20"/>
                <w:szCs w:val="20"/>
                <w:lang w:eastAsia="en-US"/>
              </w:rPr>
              <w:t>Valor Reajustado</w:t>
            </w:r>
          </w:p>
          <w:p w:rsidR="004F7AFB" w:rsidRPr="00941AC6" w:rsidRDefault="004F7AFB">
            <w:pPr>
              <w:autoSpaceDE w:val="0"/>
              <w:autoSpaceDN w:val="0"/>
              <w:adjustRightInd w:val="0"/>
              <w:jc w:val="center"/>
              <w:rPr>
                <w:rFonts w:cs="Arial"/>
                <w:i/>
                <w:sz w:val="20"/>
                <w:szCs w:val="20"/>
                <w:lang w:eastAsia="en-US"/>
              </w:rPr>
            </w:pPr>
            <w:r w:rsidRPr="00941AC6">
              <w:rPr>
                <w:rFonts w:cs="Arial"/>
                <w:i/>
                <w:sz w:val="20"/>
                <w:szCs w:val="20"/>
                <w:lang w:eastAsia="en-US"/>
              </w:rPr>
              <w:t>$ diciembre de 2008</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 xml:space="preserve">Costo Anual Equivalente del Activo Eléctrico (CAEAj) </w:t>
            </w:r>
          </w:p>
        </w:tc>
        <w:tc>
          <w:tcPr>
            <w:tcW w:w="2376" w:type="dxa"/>
          </w:tcPr>
          <w:p w:rsidR="004F7AFB" w:rsidRPr="00941AC6" w:rsidRDefault="004F7AFB" w:rsidP="00BD67E2">
            <w:pPr>
              <w:autoSpaceDE w:val="0"/>
              <w:autoSpaceDN w:val="0"/>
              <w:adjustRightInd w:val="0"/>
              <w:jc w:val="right"/>
              <w:rPr>
                <w:rFonts w:cs="Arial"/>
                <w:i/>
                <w:sz w:val="20"/>
                <w:szCs w:val="20"/>
                <w:lang w:eastAsia="en-US"/>
              </w:rPr>
            </w:pPr>
            <w:r w:rsidRPr="00941AC6">
              <w:rPr>
                <w:rFonts w:cs="Arial"/>
                <w:i/>
                <w:sz w:val="20"/>
                <w:szCs w:val="20"/>
                <w:lang w:eastAsia="en-US"/>
              </w:rPr>
              <w:t>$79.659.036.012.00</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 xml:space="preserve">Valor de los gastos de AOM (VAOM) </w:t>
            </w:r>
          </w:p>
        </w:tc>
        <w:tc>
          <w:tcPr>
            <w:tcW w:w="2376" w:type="dxa"/>
          </w:tcPr>
          <w:p w:rsidR="004F7AFB" w:rsidRPr="00941AC6" w:rsidRDefault="004F7AFB" w:rsidP="00BD67E2">
            <w:pPr>
              <w:autoSpaceDE w:val="0"/>
              <w:autoSpaceDN w:val="0"/>
              <w:adjustRightInd w:val="0"/>
              <w:jc w:val="right"/>
              <w:rPr>
                <w:rFonts w:cs="Arial"/>
                <w:i/>
                <w:sz w:val="20"/>
                <w:szCs w:val="20"/>
                <w:lang w:eastAsia="en-US"/>
              </w:rPr>
            </w:pPr>
            <w:r w:rsidRPr="00941AC6">
              <w:rPr>
                <w:rFonts w:cs="Arial"/>
                <w:i/>
                <w:sz w:val="20"/>
                <w:szCs w:val="20"/>
                <w:lang w:eastAsia="en-US"/>
              </w:rPr>
              <w:t>$23.480.862.636.00</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Costo Anual Equivalente de Terrenos (CAETj)</w:t>
            </w:r>
          </w:p>
        </w:tc>
        <w:tc>
          <w:tcPr>
            <w:tcW w:w="2376" w:type="dxa"/>
          </w:tcPr>
          <w:p w:rsidR="004F7AFB" w:rsidRPr="00941AC6" w:rsidRDefault="004F7AFB" w:rsidP="00BD67E2">
            <w:pPr>
              <w:autoSpaceDE w:val="0"/>
              <w:autoSpaceDN w:val="0"/>
              <w:adjustRightInd w:val="0"/>
              <w:jc w:val="right"/>
              <w:rPr>
                <w:rFonts w:cs="Arial"/>
                <w:i/>
                <w:sz w:val="20"/>
                <w:szCs w:val="20"/>
                <w:lang w:eastAsia="en-US"/>
              </w:rPr>
            </w:pPr>
            <w:r w:rsidRPr="00941AC6">
              <w:rPr>
                <w:rFonts w:cs="Arial"/>
                <w:i/>
                <w:sz w:val="20"/>
                <w:szCs w:val="20"/>
                <w:lang w:eastAsia="en-US"/>
              </w:rPr>
              <w:t>$129.274.027.00</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Costo Anual de Servidumbres CAESj</w:t>
            </w:r>
          </w:p>
        </w:tc>
        <w:tc>
          <w:tcPr>
            <w:tcW w:w="2376" w:type="dxa"/>
          </w:tcPr>
          <w:p w:rsidR="004F7AFB" w:rsidRPr="00941AC6" w:rsidRDefault="004F7AFB" w:rsidP="00BD67E2">
            <w:pPr>
              <w:autoSpaceDE w:val="0"/>
              <w:autoSpaceDN w:val="0"/>
              <w:adjustRightInd w:val="0"/>
              <w:jc w:val="right"/>
              <w:rPr>
                <w:rFonts w:cs="Arial"/>
                <w:i/>
                <w:sz w:val="20"/>
                <w:szCs w:val="20"/>
                <w:lang w:eastAsia="en-US"/>
              </w:rPr>
            </w:pPr>
            <w:r w:rsidRPr="00941AC6">
              <w:rPr>
                <w:rFonts w:cs="Arial"/>
                <w:i/>
                <w:sz w:val="20"/>
                <w:szCs w:val="20"/>
                <w:lang w:eastAsia="en-US"/>
              </w:rPr>
              <w:t>$2.967.506.773.00</w:t>
            </w:r>
          </w:p>
        </w:tc>
      </w:tr>
    </w:tbl>
    <w:p w:rsidR="004F7AFB" w:rsidRPr="00941AC6" w:rsidRDefault="004F7AFB" w:rsidP="001A102C">
      <w:pPr>
        <w:rPr>
          <w:i/>
        </w:rPr>
      </w:pPr>
    </w:p>
    <w:tbl>
      <w:tblPr>
        <w:tblW w:w="0" w:type="auto"/>
        <w:jc w:val="center"/>
        <w:tblInd w:w="-5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8"/>
        <w:gridCol w:w="2376"/>
      </w:tblGrid>
      <w:tr w:rsidR="004F7AFB" w:rsidRPr="00941AC6" w:rsidTr="005F5663">
        <w:trPr>
          <w:jc w:val="center"/>
        </w:trPr>
        <w:tc>
          <w:tcPr>
            <w:tcW w:w="5528" w:type="dxa"/>
            <w:vAlign w:val="center"/>
          </w:tcPr>
          <w:p w:rsidR="004F7AFB" w:rsidRPr="00941AC6" w:rsidRDefault="004F7AFB" w:rsidP="00BD67E2">
            <w:pPr>
              <w:autoSpaceDE w:val="0"/>
              <w:autoSpaceDN w:val="0"/>
              <w:adjustRightInd w:val="0"/>
              <w:jc w:val="center"/>
              <w:rPr>
                <w:rFonts w:cs="Arial"/>
                <w:i/>
                <w:sz w:val="20"/>
                <w:szCs w:val="20"/>
                <w:lang w:eastAsia="en-US"/>
              </w:rPr>
            </w:pPr>
            <w:r w:rsidRPr="00941AC6">
              <w:rPr>
                <w:rFonts w:cs="Arial"/>
                <w:i/>
                <w:sz w:val="20"/>
                <w:szCs w:val="20"/>
                <w:lang w:eastAsia="en-US"/>
              </w:rPr>
              <w:t>Valor Anual del AOM</w:t>
            </w:r>
          </w:p>
        </w:tc>
        <w:tc>
          <w:tcPr>
            <w:tcW w:w="2376" w:type="dxa"/>
            <w:vAlign w:val="center"/>
          </w:tcPr>
          <w:p w:rsidR="004F7AFB" w:rsidRPr="00941AC6" w:rsidRDefault="004F7AFB" w:rsidP="003503FF">
            <w:pPr>
              <w:autoSpaceDE w:val="0"/>
              <w:autoSpaceDN w:val="0"/>
              <w:adjustRightInd w:val="0"/>
              <w:jc w:val="center"/>
              <w:rPr>
                <w:rFonts w:cs="Arial"/>
                <w:i/>
                <w:sz w:val="20"/>
                <w:szCs w:val="20"/>
                <w:lang w:eastAsia="en-US"/>
              </w:rPr>
            </w:pPr>
            <w:r w:rsidRPr="00941AC6">
              <w:rPr>
                <w:rFonts w:cs="Arial"/>
                <w:i/>
                <w:sz w:val="20"/>
                <w:szCs w:val="20"/>
                <w:lang w:eastAsia="en-US"/>
              </w:rPr>
              <w:t>$ diciembre de 2008</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Gastado (AOMGj,01-07)</w:t>
            </w:r>
          </w:p>
        </w:tc>
        <w:tc>
          <w:tcPr>
            <w:tcW w:w="2376" w:type="dxa"/>
          </w:tcPr>
          <w:p w:rsidR="004F7AFB" w:rsidRPr="00941AC6" w:rsidRDefault="004F7AFB" w:rsidP="00BD67E2">
            <w:pPr>
              <w:autoSpaceDE w:val="0"/>
              <w:autoSpaceDN w:val="0"/>
              <w:adjustRightInd w:val="0"/>
              <w:jc w:val="right"/>
              <w:rPr>
                <w:rFonts w:cs="Arial"/>
                <w:i/>
                <w:sz w:val="20"/>
                <w:szCs w:val="20"/>
                <w:lang w:eastAsia="en-US"/>
              </w:rPr>
            </w:pPr>
            <w:r w:rsidRPr="00941AC6">
              <w:rPr>
                <w:rFonts w:cs="Arial"/>
                <w:i/>
                <w:sz w:val="20"/>
                <w:szCs w:val="20"/>
                <w:lang w:eastAsia="en-US"/>
              </w:rPr>
              <w:t>$27.065.635.222.00</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Remunerado (AOMRj,08)</w:t>
            </w:r>
          </w:p>
        </w:tc>
        <w:tc>
          <w:tcPr>
            <w:tcW w:w="2376" w:type="dxa"/>
          </w:tcPr>
          <w:p w:rsidR="004F7AFB" w:rsidRPr="00941AC6" w:rsidRDefault="004F7AFB" w:rsidP="00BD67E2">
            <w:pPr>
              <w:autoSpaceDE w:val="0"/>
              <w:autoSpaceDN w:val="0"/>
              <w:adjustRightInd w:val="0"/>
              <w:jc w:val="right"/>
              <w:rPr>
                <w:rFonts w:cs="Arial"/>
                <w:i/>
                <w:sz w:val="20"/>
                <w:szCs w:val="20"/>
                <w:lang w:eastAsia="en-US"/>
              </w:rPr>
            </w:pPr>
            <w:r w:rsidRPr="00941AC6">
              <w:rPr>
                <w:rFonts w:cs="Arial"/>
                <w:i/>
                <w:sz w:val="20"/>
                <w:szCs w:val="20"/>
                <w:lang w:eastAsia="en-US"/>
              </w:rPr>
              <w:t>$19.896.090.050.00</w:t>
            </w:r>
          </w:p>
        </w:tc>
      </w:tr>
    </w:tbl>
    <w:p w:rsidR="004F7AFB" w:rsidRPr="00941AC6" w:rsidRDefault="004F7AFB" w:rsidP="001A102C">
      <w:pPr>
        <w:rPr>
          <w:i/>
        </w:rPr>
      </w:pPr>
    </w:p>
    <w:tbl>
      <w:tblPr>
        <w:tblW w:w="0" w:type="auto"/>
        <w:jc w:val="center"/>
        <w:tblInd w:w="-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8"/>
        <w:gridCol w:w="2376"/>
      </w:tblGrid>
      <w:tr w:rsidR="004F7AFB" w:rsidRPr="00941AC6" w:rsidTr="005F5663">
        <w:trPr>
          <w:jc w:val="center"/>
        </w:trPr>
        <w:tc>
          <w:tcPr>
            <w:tcW w:w="5528" w:type="dxa"/>
            <w:vAlign w:val="center"/>
          </w:tcPr>
          <w:p w:rsidR="004F7AFB" w:rsidRPr="00941AC6" w:rsidRDefault="004F7AFB" w:rsidP="00BD67E2">
            <w:pPr>
              <w:autoSpaceDE w:val="0"/>
              <w:autoSpaceDN w:val="0"/>
              <w:adjustRightInd w:val="0"/>
              <w:jc w:val="center"/>
              <w:rPr>
                <w:rFonts w:cs="Arial"/>
                <w:i/>
                <w:sz w:val="20"/>
                <w:szCs w:val="20"/>
                <w:lang w:eastAsia="en-US"/>
              </w:rPr>
            </w:pPr>
          </w:p>
        </w:tc>
        <w:tc>
          <w:tcPr>
            <w:tcW w:w="2376" w:type="dxa"/>
            <w:vAlign w:val="center"/>
          </w:tcPr>
          <w:p w:rsidR="004F7AFB" w:rsidRPr="00941AC6" w:rsidRDefault="004F7AFB" w:rsidP="003503FF">
            <w:pPr>
              <w:autoSpaceDE w:val="0"/>
              <w:autoSpaceDN w:val="0"/>
              <w:adjustRightInd w:val="0"/>
              <w:jc w:val="center"/>
              <w:rPr>
                <w:rFonts w:cs="Arial"/>
                <w:i/>
                <w:sz w:val="20"/>
                <w:szCs w:val="20"/>
                <w:lang w:eastAsia="en-US"/>
              </w:rPr>
            </w:pPr>
            <w:r w:rsidRPr="00941AC6">
              <w:rPr>
                <w:rFonts w:cs="Arial"/>
                <w:i/>
                <w:sz w:val="20"/>
                <w:szCs w:val="20"/>
                <w:lang w:eastAsia="en-US"/>
              </w:rPr>
              <w:t>$ diciembre de 2008</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Ingreso Anual del Transmisor (IATj)</w:t>
            </w:r>
          </w:p>
        </w:tc>
        <w:tc>
          <w:tcPr>
            <w:tcW w:w="2376" w:type="dxa"/>
          </w:tcPr>
          <w:p w:rsidR="004F7AFB" w:rsidRPr="00941AC6" w:rsidRDefault="004F7AFB" w:rsidP="00BD67E2">
            <w:pPr>
              <w:autoSpaceDE w:val="0"/>
              <w:autoSpaceDN w:val="0"/>
              <w:adjustRightInd w:val="0"/>
              <w:jc w:val="right"/>
              <w:rPr>
                <w:rFonts w:cs="Arial"/>
                <w:i/>
                <w:sz w:val="20"/>
                <w:szCs w:val="20"/>
                <w:lang w:eastAsia="en-US"/>
              </w:rPr>
            </w:pPr>
            <w:r w:rsidRPr="00941AC6">
              <w:rPr>
                <w:rFonts w:cs="Arial"/>
                <w:i/>
                <w:sz w:val="20"/>
                <w:szCs w:val="20"/>
                <w:lang w:eastAsia="en-US"/>
              </w:rPr>
              <w:t>$106.108.236.770.00</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 xml:space="preserve">Costo de Reposición de activos eléctricos (CREj) </w:t>
            </w:r>
          </w:p>
        </w:tc>
        <w:tc>
          <w:tcPr>
            <w:tcW w:w="2376" w:type="dxa"/>
          </w:tcPr>
          <w:p w:rsidR="004F7AFB" w:rsidRPr="00941AC6" w:rsidRDefault="004F7AFB" w:rsidP="00BD67E2">
            <w:pPr>
              <w:autoSpaceDE w:val="0"/>
              <w:autoSpaceDN w:val="0"/>
              <w:adjustRightInd w:val="0"/>
              <w:jc w:val="right"/>
              <w:rPr>
                <w:rFonts w:cs="Arial"/>
                <w:i/>
                <w:sz w:val="20"/>
                <w:szCs w:val="20"/>
                <w:lang w:eastAsia="en-US"/>
              </w:rPr>
            </w:pPr>
            <w:r w:rsidRPr="00941AC6">
              <w:rPr>
                <w:rFonts w:cs="Arial"/>
                <w:i/>
                <w:sz w:val="20"/>
                <w:szCs w:val="20"/>
                <w:lang w:eastAsia="en-US"/>
              </w:rPr>
              <w:t>$643.342.961.018.00</w:t>
            </w:r>
          </w:p>
        </w:tc>
      </w:tr>
    </w:tbl>
    <w:p w:rsidR="004F7AFB" w:rsidRPr="00941AC6" w:rsidRDefault="004F7AFB" w:rsidP="001A102C">
      <w:pPr>
        <w:rPr>
          <w:i/>
        </w:rPr>
      </w:pPr>
    </w:p>
    <w:tbl>
      <w:tblPr>
        <w:tblW w:w="0" w:type="auto"/>
        <w:jc w:val="center"/>
        <w:tblInd w:w="-5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8"/>
        <w:gridCol w:w="2376"/>
      </w:tblGrid>
      <w:tr w:rsidR="004F7AFB" w:rsidRPr="00941AC6" w:rsidTr="005F5663">
        <w:trPr>
          <w:jc w:val="center"/>
        </w:trPr>
        <w:tc>
          <w:tcPr>
            <w:tcW w:w="5528" w:type="dxa"/>
            <w:vAlign w:val="center"/>
          </w:tcPr>
          <w:p w:rsidR="004F7AFB" w:rsidRPr="00941AC6" w:rsidRDefault="004F7AFB" w:rsidP="00BD67E2">
            <w:pPr>
              <w:autoSpaceDE w:val="0"/>
              <w:autoSpaceDN w:val="0"/>
              <w:adjustRightInd w:val="0"/>
              <w:jc w:val="center"/>
              <w:rPr>
                <w:rFonts w:cs="Arial"/>
                <w:i/>
                <w:sz w:val="20"/>
                <w:szCs w:val="20"/>
                <w:lang w:eastAsia="en-US"/>
              </w:rPr>
            </w:pPr>
            <w:r w:rsidRPr="00941AC6">
              <w:rPr>
                <w:rFonts w:cs="Arial"/>
                <w:i/>
                <w:sz w:val="20"/>
                <w:szCs w:val="20"/>
                <w:lang w:eastAsia="en-US"/>
              </w:rPr>
              <w:t>Porcentaje de AOM</w:t>
            </w:r>
          </w:p>
        </w:tc>
        <w:tc>
          <w:tcPr>
            <w:tcW w:w="2376" w:type="dxa"/>
            <w:vAlign w:val="center"/>
          </w:tcPr>
          <w:p w:rsidR="004F7AFB" w:rsidRPr="00941AC6" w:rsidRDefault="004F7AFB" w:rsidP="003503FF">
            <w:pPr>
              <w:autoSpaceDE w:val="0"/>
              <w:autoSpaceDN w:val="0"/>
              <w:adjustRightInd w:val="0"/>
              <w:jc w:val="center"/>
              <w:rPr>
                <w:rFonts w:cs="Arial"/>
                <w:i/>
                <w:sz w:val="20"/>
                <w:szCs w:val="20"/>
                <w:lang w:eastAsia="en-US"/>
              </w:rPr>
            </w:pPr>
            <w:r w:rsidRPr="00941AC6">
              <w:rPr>
                <w:rFonts w:cs="Arial"/>
                <w:i/>
                <w:sz w:val="20"/>
                <w:szCs w:val="20"/>
                <w:lang w:eastAsia="en-US"/>
              </w:rPr>
              <w:t>%</w:t>
            </w:r>
          </w:p>
        </w:tc>
      </w:tr>
      <w:tr w:rsidR="004F7AFB" w:rsidRPr="00941AC6" w:rsidTr="005F5663">
        <w:trPr>
          <w:jc w:val="center"/>
        </w:trPr>
        <w:tc>
          <w:tcPr>
            <w:tcW w:w="5528" w:type="dxa"/>
          </w:tcPr>
          <w:p w:rsidR="004F7AFB" w:rsidRPr="00941AC6" w:rsidRDefault="004F7AFB" w:rsidP="001A102C">
            <w:pPr>
              <w:autoSpaceDE w:val="0"/>
              <w:autoSpaceDN w:val="0"/>
              <w:adjustRightInd w:val="0"/>
              <w:jc w:val="left"/>
              <w:rPr>
                <w:rFonts w:cs="Arial"/>
                <w:i/>
                <w:sz w:val="20"/>
                <w:szCs w:val="20"/>
                <w:lang w:eastAsia="en-US"/>
              </w:rPr>
            </w:pPr>
            <w:r w:rsidRPr="00941AC6">
              <w:rPr>
                <w:rFonts w:cs="Arial"/>
                <w:i/>
                <w:sz w:val="20"/>
                <w:szCs w:val="20"/>
                <w:lang w:eastAsia="en-US"/>
              </w:rPr>
              <w:t xml:space="preserve">De referencia (PAOMj,ref) </w:t>
            </w:r>
          </w:p>
        </w:tc>
        <w:tc>
          <w:tcPr>
            <w:tcW w:w="2376" w:type="dxa"/>
          </w:tcPr>
          <w:p w:rsidR="004F7AFB" w:rsidRPr="00941AC6" w:rsidRDefault="004F7AFB" w:rsidP="00BD67E2">
            <w:pPr>
              <w:autoSpaceDE w:val="0"/>
              <w:autoSpaceDN w:val="0"/>
              <w:adjustRightInd w:val="0"/>
              <w:jc w:val="center"/>
              <w:rPr>
                <w:rFonts w:cs="Arial"/>
                <w:i/>
                <w:sz w:val="20"/>
                <w:szCs w:val="20"/>
                <w:lang w:eastAsia="en-US"/>
              </w:rPr>
            </w:pPr>
            <w:r w:rsidRPr="00941AC6">
              <w:rPr>
                <w:rFonts w:cs="Arial"/>
                <w:i/>
                <w:sz w:val="20"/>
                <w:szCs w:val="20"/>
                <w:lang w:eastAsia="en-US"/>
              </w:rPr>
              <w:t>3.65</w:t>
            </w:r>
          </w:p>
        </w:tc>
      </w:tr>
    </w:tbl>
    <w:p w:rsidR="005F1034" w:rsidRDefault="005F1034" w:rsidP="005F1034">
      <w:pPr>
        <w:pStyle w:val="Cita"/>
        <w:spacing w:after="0"/>
        <w:ind w:left="284" w:right="284"/>
        <w:rPr>
          <w:rFonts w:ascii="Bookman Old Style" w:hAnsi="Bookman Old Style"/>
          <w:sz w:val="22"/>
        </w:rPr>
      </w:pPr>
    </w:p>
    <w:p w:rsidR="00126C44" w:rsidRPr="00941AC6" w:rsidRDefault="00737B45" w:rsidP="005F1034">
      <w:pPr>
        <w:pStyle w:val="Cita"/>
        <w:spacing w:after="0"/>
        <w:ind w:left="284" w:right="284"/>
        <w:rPr>
          <w:rFonts w:ascii="Bookman Old Style" w:hAnsi="Bookman Old Style"/>
          <w:sz w:val="22"/>
        </w:rPr>
      </w:pPr>
      <w:r w:rsidRPr="00941AC6">
        <w:rPr>
          <w:rFonts w:ascii="Bookman Old Style" w:hAnsi="Bookman Old Style"/>
          <w:sz w:val="22"/>
        </w:rPr>
        <w:t>ii) Calcular el AOM de las Bahías que estaban siendo remuneradas mediante cargos de conexión y pasaron a ser remuneradas mediante cargos por Uso del STN, de acuerdo con la metodología propuesta en el numeral 3.1.5.4., y recalcular el Ingreso Anual del Transmisor (IATj) y el Porcentaje de AOM de Referencia (PAOMj,ref) de TRANSELCA S.A. E.S.P., considerando el valor de AOM de tales bahías.</w:t>
      </w:r>
    </w:p>
    <w:p w:rsidR="00304B26" w:rsidRDefault="00304B26" w:rsidP="003503FF">
      <w:pPr>
        <w:suppressAutoHyphens/>
        <w:rPr>
          <w:rFonts w:cs="Arial"/>
          <w:spacing w:val="-3"/>
        </w:rPr>
      </w:pPr>
    </w:p>
    <w:p w:rsidR="00BD1A8E" w:rsidRPr="00BD1A8E" w:rsidRDefault="00BD1A8E" w:rsidP="00BD1A8E">
      <w:pPr>
        <w:keepNext/>
        <w:numPr>
          <w:ilvl w:val="0"/>
          <w:numId w:val="11"/>
        </w:numPr>
        <w:tabs>
          <w:tab w:val="clear" w:pos="720"/>
          <w:tab w:val="num" w:pos="426"/>
        </w:tabs>
        <w:overflowPunct w:val="0"/>
        <w:autoSpaceDE w:val="0"/>
        <w:autoSpaceDN w:val="0"/>
        <w:adjustRightInd w:val="0"/>
        <w:spacing w:after="240"/>
        <w:ind w:left="426" w:hanging="426"/>
        <w:textAlignment w:val="baseline"/>
        <w:outlineLvl w:val="0"/>
        <w:rPr>
          <w:b/>
        </w:rPr>
      </w:pPr>
      <w:r w:rsidRPr="00BD1A8E">
        <w:rPr>
          <w:b/>
        </w:rPr>
        <w:t>PRUEBAS</w:t>
      </w:r>
      <w:r>
        <w:rPr>
          <w:b/>
        </w:rPr>
        <w:t xml:space="preserve"> SOLICITADAS POR LA EMPRESA </w:t>
      </w:r>
      <w:r w:rsidRPr="00BD1A8E">
        <w:rPr>
          <w:b/>
        </w:rPr>
        <w:t xml:space="preserve"> </w:t>
      </w:r>
    </w:p>
    <w:p w:rsidR="00BD1A8E" w:rsidRDefault="00BD1A8E" w:rsidP="00BD1A8E">
      <w:pPr>
        <w:keepNext/>
        <w:suppressAutoHyphens/>
        <w:adjustRightInd w:val="0"/>
        <w:spacing w:after="240"/>
        <w:textAlignment w:val="baseline"/>
        <w:outlineLvl w:val="1"/>
        <w:rPr>
          <w:rFonts w:cs="Arial"/>
          <w:spacing w:val="-3"/>
        </w:rPr>
      </w:pPr>
      <w:r w:rsidRPr="00BD1A8E">
        <w:rPr>
          <w:rFonts w:cs="Arial"/>
          <w:spacing w:val="-3"/>
        </w:rPr>
        <w:t xml:space="preserve">Solicita la apoderada de </w:t>
      </w:r>
      <w:r w:rsidR="00882575" w:rsidRPr="00BD1A8E">
        <w:rPr>
          <w:rFonts w:cs="Arial"/>
          <w:spacing w:val="-3"/>
        </w:rPr>
        <w:t xml:space="preserve">Transelca </w:t>
      </w:r>
      <w:r w:rsidRPr="00BD1A8E">
        <w:rPr>
          <w:rFonts w:cs="Arial"/>
          <w:spacing w:val="-3"/>
        </w:rPr>
        <w:t xml:space="preserve">S.A. E.S.P. en su escrito de reposición la siguiente prueba:  </w:t>
      </w:r>
    </w:p>
    <w:p w:rsidR="00BD1A8E" w:rsidRPr="00222E5B" w:rsidRDefault="00BD1A8E" w:rsidP="00222E5B">
      <w:pPr>
        <w:pStyle w:val="Cita"/>
        <w:ind w:left="284" w:right="284"/>
        <w:rPr>
          <w:rFonts w:ascii="Bookman Old Style" w:hAnsi="Bookman Old Style"/>
          <w:sz w:val="22"/>
        </w:rPr>
      </w:pPr>
      <w:r w:rsidRPr="00222E5B">
        <w:rPr>
          <w:rFonts w:ascii="Bookman Old Style" w:hAnsi="Bookman Old Style"/>
          <w:sz w:val="22"/>
        </w:rPr>
        <w:t xml:space="preserve">Solicito se decrete la práctica de una inspección judicial con intervención de un perito contador, sobre los libros y papeles de comercio de la sociedad que represento, que se practicara en la sede de sus oficinas principales ubicadas en la Carrera 55 No. 72 -109, piso 10 en barranquilla, con el fin de establecer la veracidad de los gastos de AOM de uso de los años 2001 a 2007, reportados pro TRANSELCA S.A. E.S.P. a la CREG para efectos del reconocimiento del Ingreso anual del transmisor. Se requiere un pronunciamiento del perito en relación con los costos y gastos no reconocidos por la CREG en la Resolución 107 de 2010.        </w:t>
      </w:r>
    </w:p>
    <w:p w:rsidR="00B90127" w:rsidRDefault="00B90127" w:rsidP="003503FF">
      <w:pPr>
        <w:suppressAutoHyphens/>
        <w:rPr>
          <w:rFonts w:cs="Arial"/>
          <w:spacing w:val="-3"/>
        </w:rPr>
      </w:pPr>
    </w:p>
    <w:p w:rsidR="00222E5B" w:rsidRPr="00222E5B" w:rsidRDefault="0080129A" w:rsidP="00222E5B">
      <w:pPr>
        <w:keepNext/>
        <w:numPr>
          <w:ilvl w:val="0"/>
          <w:numId w:val="11"/>
        </w:numPr>
        <w:overflowPunct w:val="0"/>
        <w:autoSpaceDE w:val="0"/>
        <w:autoSpaceDN w:val="0"/>
        <w:adjustRightInd w:val="0"/>
        <w:spacing w:after="240"/>
        <w:textAlignment w:val="baseline"/>
        <w:outlineLvl w:val="0"/>
        <w:rPr>
          <w:b/>
        </w:rPr>
      </w:pPr>
      <w:bookmarkStart w:id="1" w:name="_Ref293506996"/>
      <w:r w:rsidRPr="004F7234">
        <w:rPr>
          <w:b/>
        </w:rPr>
        <w:t>CONSIDERACIONES DE LA CREG</w:t>
      </w:r>
      <w:bookmarkEnd w:id="1"/>
    </w:p>
    <w:p w:rsidR="00222E5B" w:rsidRDefault="00222E5B" w:rsidP="00222E5B">
      <w:pPr>
        <w:keepNext/>
        <w:overflowPunct w:val="0"/>
        <w:autoSpaceDE w:val="0"/>
        <w:autoSpaceDN w:val="0"/>
        <w:adjustRightInd w:val="0"/>
        <w:textAlignment w:val="baseline"/>
        <w:outlineLvl w:val="0"/>
      </w:pPr>
      <w:r w:rsidRPr="00222E5B">
        <w:t xml:space="preserve">Presentados todos los argumentos que sustentan el recurso de reposición interpuesto por la empresa, procede esta Comisión a exponer sus consideraciones en relación </w:t>
      </w:r>
      <w:r w:rsidR="00750AEC">
        <w:t>con</w:t>
      </w:r>
      <w:r w:rsidRPr="00222E5B">
        <w:t xml:space="preserve"> cada uno de los temas allí planteados, así:</w:t>
      </w:r>
    </w:p>
    <w:p w:rsidR="00222E5B" w:rsidRDefault="00222E5B" w:rsidP="00222E5B">
      <w:pPr>
        <w:keepNext/>
        <w:overflowPunct w:val="0"/>
        <w:autoSpaceDE w:val="0"/>
        <w:autoSpaceDN w:val="0"/>
        <w:adjustRightInd w:val="0"/>
        <w:textAlignment w:val="baseline"/>
        <w:outlineLvl w:val="0"/>
      </w:pPr>
    </w:p>
    <w:p w:rsidR="006D524F" w:rsidRDefault="006D524F">
      <w:pPr>
        <w:keepNext/>
        <w:numPr>
          <w:ilvl w:val="0"/>
          <w:numId w:val="17"/>
        </w:numPr>
        <w:suppressAutoHyphens/>
        <w:adjustRightInd w:val="0"/>
        <w:spacing w:after="240"/>
        <w:textAlignment w:val="baseline"/>
        <w:outlineLvl w:val="1"/>
        <w:rPr>
          <w:rFonts w:cs="Arial"/>
          <w:b/>
          <w:spacing w:val="-3"/>
        </w:rPr>
      </w:pPr>
      <w:bookmarkStart w:id="2" w:name="_Ref293506978"/>
      <w:r>
        <w:rPr>
          <w:rFonts w:cs="Arial"/>
          <w:b/>
          <w:spacing w:val="-3"/>
        </w:rPr>
        <w:t xml:space="preserve">En relación </w:t>
      </w:r>
      <w:r w:rsidR="00750AEC">
        <w:rPr>
          <w:rFonts w:cs="Arial"/>
          <w:b/>
          <w:spacing w:val="-3"/>
        </w:rPr>
        <w:t>con</w:t>
      </w:r>
      <w:r>
        <w:rPr>
          <w:rFonts w:cs="Arial"/>
          <w:b/>
          <w:spacing w:val="-3"/>
        </w:rPr>
        <w:t xml:space="preserve"> la prueba pericial practicada.</w:t>
      </w:r>
    </w:p>
    <w:p w:rsidR="006D524F" w:rsidRPr="00170917" w:rsidRDefault="006D524F" w:rsidP="00222E5B">
      <w:pPr>
        <w:suppressAutoHyphens/>
        <w:ind w:left="284"/>
        <w:rPr>
          <w:rFonts w:cs="Arial"/>
          <w:spacing w:val="-3"/>
          <w:lang w:val="es-CO"/>
        </w:rPr>
      </w:pPr>
      <w:r w:rsidRPr="00C95D6F">
        <w:rPr>
          <w:rFonts w:cs="Arial"/>
          <w:spacing w:val="-3"/>
        </w:rPr>
        <w:t xml:space="preserve">La CREG, mediante la </w:t>
      </w:r>
      <w:r w:rsidRPr="00C95D6F">
        <w:rPr>
          <w:rFonts w:cs="Arial"/>
          <w:spacing w:val="-3"/>
          <w:lang w:val="es-CO"/>
        </w:rPr>
        <w:t>Resolución CREG 163 del 29 de noviembre de 2010,</w:t>
      </w:r>
      <w:r w:rsidRPr="00C95D6F">
        <w:rPr>
          <w:rFonts w:cs="Arial"/>
          <w:spacing w:val="-3"/>
        </w:rPr>
        <w:t xml:space="preserve"> </w:t>
      </w:r>
      <w:r w:rsidRPr="00C95D6F">
        <w:rPr>
          <w:rFonts w:cs="Arial"/>
          <w:spacing w:val="-3"/>
          <w:lang w:val="es-CO"/>
        </w:rPr>
        <w:t>designó a la firma Sistemas 2000 Consultores, como perito especializado, para adelantar la prueb</w:t>
      </w:r>
      <w:r w:rsidR="00304B26" w:rsidRPr="00C95D6F">
        <w:rPr>
          <w:rFonts w:cs="Arial"/>
          <w:spacing w:val="-3"/>
          <w:lang w:val="es-CO"/>
        </w:rPr>
        <w:t xml:space="preserve">a pericial, solicitada </w:t>
      </w:r>
      <w:r w:rsidRPr="00C95D6F">
        <w:rPr>
          <w:rFonts w:cs="Arial"/>
          <w:spacing w:val="-3"/>
          <w:lang w:val="es-CO"/>
        </w:rPr>
        <w:t xml:space="preserve">dentro del trámite del recurso de reposición interpuesto por Transelca S.A. E.S.P. </w:t>
      </w:r>
      <w:r w:rsidR="00882575">
        <w:rPr>
          <w:rFonts w:cs="Arial"/>
          <w:spacing w:val="-3"/>
          <w:lang w:val="es-CO"/>
        </w:rPr>
        <w:t>E</w:t>
      </w:r>
      <w:r w:rsidR="00304B26" w:rsidRPr="00C95D6F">
        <w:rPr>
          <w:rFonts w:cs="Arial"/>
          <w:spacing w:val="-3"/>
          <w:lang w:val="es-CO"/>
        </w:rPr>
        <w:t xml:space="preserve">n la </w:t>
      </w:r>
      <w:r w:rsidR="00882575">
        <w:rPr>
          <w:rFonts w:cs="Arial"/>
          <w:spacing w:val="-3"/>
          <w:lang w:val="es-CO"/>
        </w:rPr>
        <w:t xml:space="preserve">citada resolución </w:t>
      </w:r>
      <w:r w:rsidR="00304B26" w:rsidRPr="00C95D6F">
        <w:rPr>
          <w:rFonts w:cs="Arial"/>
          <w:spacing w:val="-3"/>
          <w:lang w:val="es-CO"/>
        </w:rPr>
        <w:t xml:space="preserve">se pidió </w:t>
      </w:r>
      <w:r w:rsidRPr="00C95D6F">
        <w:rPr>
          <w:rFonts w:cs="Arial"/>
          <w:spacing w:val="-3"/>
          <w:lang w:val="es-CO"/>
        </w:rPr>
        <w:t xml:space="preserve">que se </w:t>
      </w:r>
      <w:r w:rsidRPr="00C95D6F">
        <w:rPr>
          <w:rFonts w:cs="Arial"/>
          <w:spacing w:val="-3"/>
        </w:rPr>
        <w:t>verificara lo siguiente:</w:t>
      </w:r>
    </w:p>
    <w:p w:rsidR="006D524F" w:rsidRPr="00170917" w:rsidRDefault="006D524F" w:rsidP="00222E5B">
      <w:pPr>
        <w:pStyle w:val="Prrafodelista"/>
        <w:numPr>
          <w:ilvl w:val="0"/>
          <w:numId w:val="15"/>
        </w:numPr>
        <w:spacing w:before="120"/>
        <w:ind w:left="1135" w:right="284" w:hanging="437"/>
        <w:rPr>
          <w:i/>
          <w:sz w:val="22"/>
          <w:szCs w:val="22"/>
        </w:rPr>
      </w:pPr>
      <w:r w:rsidRPr="00170917">
        <w:rPr>
          <w:i/>
          <w:sz w:val="22"/>
          <w:szCs w:val="22"/>
        </w:rPr>
        <w:t>Los valores contenidos en los Estados Financieros para las cuentas (hasta 6 dígitos) que hacen parte de las clases 5 y 7 del Plan Único de Cuentas -PUC- y confron</w:t>
      </w:r>
      <w:r w:rsidRPr="00170917">
        <w:rPr>
          <w:i/>
          <w:sz w:val="22"/>
          <w:szCs w:val="22"/>
        </w:rPr>
        <w:softHyphen/>
        <w:t>tarlos con los reportados en el Sistema Único de Información -SUI.</w:t>
      </w:r>
    </w:p>
    <w:p w:rsidR="006D524F" w:rsidRPr="00170917" w:rsidRDefault="006D524F" w:rsidP="00222E5B">
      <w:pPr>
        <w:pStyle w:val="Prrafodelista"/>
        <w:numPr>
          <w:ilvl w:val="0"/>
          <w:numId w:val="15"/>
        </w:numPr>
        <w:spacing w:before="120"/>
        <w:ind w:left="1135" w:right="284" w:hanging="437"/>
        <w:rPr>
          <w:i/>
          <w:sz w:val="22"/>
        </w:rPr>
      </w:pPr>
      <w:r w:rsidRPr="00170917">
        <w:rPr>
          <w:i/>
          <w:sz w:val="22"/>
        </w:rPr>
        <w:t xml:space="preserve">La distribución de cada uno de los anteriores valores en los dos grupos definidos en la Circular 018 de 2009: “Transmisión Uso” y “Transmisión Otros”, tal como lo hizo </w:t>
      </w:r>
      <w:r w:rsidRPr="00170917">
        <w:rPr>
          <w:rFonts w:cs="Arial"/>
          <w:i/>
          <w:sz w:val="22"/>
          <w:szCs w:val="22"/>
        </w:rPr>
        <w:t>TRANSELCA S.A. E.S.P.</w:t>
      </w:r>
    </w:p>
    <w:p w:rsidR="006D524F" w:rsidRPr="00170917" w:rsidRDefault="006D524F" w:rsidP="00222E5B">
      <w:pPr>
        <w:pStyle w:val="Prrafodelista"/>
        <w:numPr>
          <w:ilvl w:val="0"/>
          <w:numId w:val="15"/>
        </w:numPr>
        <w:spacing w:before="120"/>
        <w:ind w:left="1135" w:right="284" w:hanging="437"/>
        <w:rPr>
          <w:i/>
          <w:sz w:val="22"/>
        </w:rPr>
      </w:pPr>
      <w:r w:rsidRPr="00170917">
        <w:rPr>
          <w:i/>
          <w:sz w:val="22"/>
        </w:rPr>
        <w:t xml:space="preserve">Los valores de las cuentas que utilizó </w:t>
      </w:r>
      <w:r w:rsidRPr="00170917">
        <w:rPr>
          <w:rFonts w:cs="Arial"/>
          <w:i/>
          <w:sz w:val="22"/>
          <w:szCs w:val="22"/>
        </w:rPr>
        <w:t xml:space="preserve">TRANSELCA S.A. E.S.P. </w:t>
      </w:r>
      <w:r w:rsidRPr="00170917">
        <w:rPr>
          <w:i/>
          <w:sz w:val="22"/>
        </w:rPr>
        <w:t>para presentarlos como mayor valor de otras cuentas que hacen parte de la Circular 085 de 2008.</w:t>
      </w:r>
    </w:p>
    <w:p w:rsidR="006D524F" w:rsidRPr="00170917" w:rsidRDefault="006D524F" w:rsidP="00222E5B">
      <w:pPr>
        <w:pStyle w:val="Prrafodelista"/>
        <w:numPr>
          <w:ilvl w:val="0"/>
          <w:numId w:val="15"/>
        </w:numPr>
        <w:spacing w:before="120"/>
        <w:ind w:left="1135" w:right="284" w:hanging="437"/>
        <w:rPr>
          <w:i/>
          <w:sz w:val="22"/>
        </w:rPr>
      </w:pPr>
      <w:r w:rsidRPr="00170917">
        <w:rPr>
          <w:i/>
          <w:sz w:val="22"/>
        </w:rPr>
        <w:t xml:space="preserve">El procedimiento contable utilizado por </w:t>
      </w:r>
      <w:r w:rsidRPr="00170917">
        <w:rPr>
          <w:rFonts w:cs="Arial"/>
          <w:i/>
          <w:sz w:val="22"/>
          <w:szCs w:val="22"/>
        </w:rPr>
        <w:t xml:space="preserve">TRANSELCA S.A. E.S.P. </w:t>
      </w:r>
      <w:r w:rsidRPr="00170917">
        <w:rPr>
          <w:i/>
          <w:sz w:val="22"/>
        </w:rPr>
        <w:t>para registrar los ingresos y gastos correspondientes a activos de uso del STN de propiedad de terceros, y los valores de estos movimientos en los diferentes años y cuentas.</w:t>
      </w:r>
    </w:p>
    <w:p w:rsidR="006D524F" w:rsidRPr="00170917" w:rsidRDefault="006D524F" w:rsidP="00222E5B">
      <w:pPr>
        <w:pStyle w:val="Prrafodelista"/>
        <w:numPr>
          <w:ilvl w:val="0"/>
          <w:numId w:val="15"/>
        </w:numPr>
        <w:spacing w:before="120"/>
        <w:ind w:left="1135" w:right="284" w:hanging="437"/>
        <w:rPr>
          <w:i/>
          <w:sz w:val="22"/>
        </w:rPr>
      </w:pPr>
      <w:r w:rsidRPr="00170917">
        <w:rPr>
          <w:i/>
          <w:sz w:val="22"/>
        </w:rPr>
        <w:t xml:space="preserve">El procedimiento contable utilizado por </w:t>
      </w:r>
      <w:r w:rsidRPr="00170917">
        <w:rPr>
          <w:rFonts w:cs="Arial"/>
          <w:i/>
          <w:sz w:val="22"/>
          <w:szCs w:val="22"/>
        </w:rPr>
        <w:t xml:space="preserve">TRANSELCA S.A. E.S.P. </w:t>
      </w:r>
      <w:r w:rsidRPr="00170917">
        <w:rPr>
          <w:i/>
          <w:sz w:val="22"/>
        </w:rPr>
        <w:t xml:space="preserve">para registrar los ingresos y gastos correspondientes a activos de conexión al </w:t>
      </w:r>
      <w:r w:rsidRPr="00170917">
        <w:rPr>
          <w:i/>
          <w:sz w:val="22"/>
        </w:rPr>
        <w:lastRenderedPageBreak/>
        <w:t>STN, remunerados mediante cargos por uso, y los valores de estos movimientos en los diferentes años y cuentas.</w:t>
      </w:r>
    </w:p>
    <w:p w:rsidR="006D524F" w:rsidRPr="00170917" w:rsidRDefault="006D524F" w:rsidP="00222E5B">
      <w:pPr>
        <w:suppressAutoHyphens/>
        <w:ind w:left="284"/>
        <w:rPr>
          <w:rFonts w:cs="Arial"/>
          <w:spacing w:val="-3"/>
          <w:lang w:val="es-CO"/>
        </w:rPr>
      </w:pPr>
    </w:p>
    <w:p w:rsidR="006D524F" w:rsidRPr="00CC3924" w:rsidRDefault="006D524F" w:rsidP="00217B0D">
      <w:pPr>
        <w:suppressAutoHyphens/>
        <w:ind w:left="426"/>
        <w:rPr>
          <w:rFonts w:cs="Arial"/>
          <w:spacing w:val="-3"/>
        </w:rPr>
      </w:pPr>
      <w:r w:rsidRPr="00CC3924">
        <w:rPr>
          <w:rFonts w:cs="Arial"/>
          <w:spacing w:val="-3"/>
        </w:rPr>
        <w:t xml:space="preserve">En respuesta al cuestionario elaborado por Transelca y por la CREG, el perito entregó el informe el 16 de febrero de 2011, el cual se radicó en la CREG con los números E-2011-001509 y E-2011-001525. </w:t>
      </w:r>
      <w:r w:rsidRPr="00CC3924">
        <w:rPr>
          <w:rFonts w:cs="Arial"/>
          <w:spacing w:val="-3"/>
          <w:lang w:val="es-ES_tradnl"/>
        </w:rPr>
        <w:t xml:space="preserve">Para efectos de lo previsto en el artículo 238 del C. de P. C, se dio traslado de los documentos recibidos </w:t>
      </w:r>
      <w:r w:rsidRPr="00CC3924">
        <w:rPr>
          <w:rFonts w:cs="Arial"/>
          <w:spacing w:val="-3"/>
        </w:rPr>
        <w:t>a Transelca, mediante la comunicación S-2011-000803.</w:t>
      </w:r>
    </w:p>
    <w:p w:rsidR="006D524F" w:rsidRPr="00CC3924" w:rsidRDefault="006D524F" w:rsidP="00217B0D">
      <w:pPr>
        <w:suppressAutoHyphens/>
        <w:ind w:left="426"/>
        <w:rPr>
          <w:rFonts w:cs="Arial"/>
          <w:spacing w:val="-3"/>
        </w:rPr>
      </w:pPr>
    </w:p>
    <w:p w:rsidR="006D524F" w:rsidRPr="00CC3924" w:rsidRDefault="006D524F" w:rsidP="00217B0D">
      <w:pPr>
        <w:suppressAutoHyphens/>
        <w:ind w:left="426"/>
        <w:rPr>
          <w:rFonts w:cs="Arial"/>
          <w:spacing w:val="-3"/>
        </w:rPr>
      </w:pPr>
      <w:r w:rsidRPr="00CC3924">
        <w:rPr>
          <w:rFonts w:cs="Arial"/>
          <w:spacing w:val="-3"/>
        </w:rPr>
        <w:t xml:space="preserve">Transelca no presentó ninguna solicitud de aclaraciones dentro del plazo previsto. La Comisión, mediante comunicación S-2011-000986, solicitó aclaraciones al informe relacionadas principalmente con la desagregación de las cuentas del PUC en “Transmisión uso” y “Transmisión otros”, en la forma como estos conceptos fueron definidos en el cuestionario entregado al perito, dado que al </w:t>
      </w:r>
      <w:r w:rsidRPr="00CC3924">
        <w:rPr>
          <w:rFonts w:cs="Arial"/>
          <w:spacing w:val="-3"/>
          <w:lang w:val="es-ES_tradnl"/>
        </w:rPr>
        <w:t>revisar la información entregada como respuesta se encuentran varias cuentas para las cuales el valor de “Transmisión uso” supera el valor reportado en el PUC.</w:t>
      </w:r>
    </w:p>
    <w:p w:rsidR="006D524F" w:rsidRPr="00CC3924" w:rsidRDefault="006D524F" w:rsidP="00217B0D">
      <w:pPr>
        <w:suppressAutoHyphens/>
        <w:ind w:left="426"/>
        <w:rPr>
          <w:rFonts w:cs="Arial"/>
          <w:spacing w:val="-3"/>
        </w:rPr>
      </w:pPr>
    </w:p>
    <w:p w:rsidR="006D524F" w:rsidRPr="00CC3924" w:rsidRDefault="006D524F" w:rsidP="00217B0D">
      <w:pPr>
        <w:suppressAutoHyphens/>
        <w:ind w:left="426"/>
        <w:rPr>
          <w:rFonts w:cs="Arial"/>
          <w:spacing w:val="-3"/>
        </w:rPr>
      </w:pPr>
      <w:r w:rsidRPr="00CC3924">
        <w:rPr>
          <w:rFonts w:cs="Arial"/>
          <w:spacing w:val="-3"/>
        </w:rPr>
        <w:t>El perito entregó la respuesta a las aclaraciones mediante radicados CREG E-2011-002709 y E-2011-002710, de las cuales se dio traslado a Transelca mediante la comunicación S-2011-001431.</w:t>
      </w:r>
    </w:p>
    <w:p w:rsidR="006D524F" w:rsidRPr="00CC3924" w:rsidRDefault="006D524F" w:rsidP="00217B0D">
      <w:pPr>
        <w:suppressAutoHyphens/>
        <w:ind w:left="426"/>
        <w:rPr>
          <w:rFonts w:cs="Arial"/>
          <w:spacing w:val="-3"/>
        </w:rPr>
      </w:pPr>
    </w:p>
    <w:p w:rsidR="006D524F" w:rsidRPr="00CC3924" w:rsidRDefault="006D524F" w:rsidP="00217B0D">
      <w:pPr>
        <w:suppressAutoHyphens/>
        <w:ind w:left="426"/>
        <w:rPr>
          <w:rFonts w:cs="Arial"/>
          <w:spacing w:val="-3"/>
        </w:rPr>
      </w:pPr>
      <w:r w:rsidRPr="00CC3924">
        <w:rPr>
          <w:rFonts w:cs="Arial"/>
          <w:spacing w:val="-3"/>
        </w:rPr>
        <w:t>Mediante radicado CREG E-2011-003239 Transelca objetó “por error grave” las aclaraciones dadas por el perito y solicitó como pruebas adjuntar información contable al expediente y oficiar a la firma revisora fiscal Ernst &amp; Young S.A. para certificar la veracidad de esta información.</w:t>
      </w:r>
    </w:p>
    <w:p w:rsidR="006D524F" w:rsidRPr="00CC3924" w:rsidRDefault="006D524F" w:rsidP="00217B0D">
      <w:pPr>
        <w:suppressAutoHyphens/>
        <w:ind w:left="426"/>
        <w:rPr>
          <w:rFonts w:cs="Arial"/>
          <w:spacing w:val="-3"/>
        </w:rPr>
      </w:pPr>
    </w:p>
    <w:p w:rsidR="006D524F" w:rsidRPr="00CC3924" w:rsidRDefault="006D524F" w:rsidP="00217B0D">
      <w:pPr>
        <w:suppressAutoHyphens/>
        <w:ind w:left="426"/>
        <w:rPr>
          <w:rFonts w:cs="Arial"/>
          <w:spacing w:val="-3"/>
        </w:rPr>
      </w:pPr>
      <w:r w:rsidRPr="00CC3924">
        <w:rPr>
          <w:rFonts w:cs="Arial"/>
          <w:spacing w:val="-3"/>
        </w:rPr>
        <w:t xml:space="preserve">La CREG, mediante </w:t>
      </w:r>
      <w:r w:rsidR="00867957">
        <w:rPr>
          <w:rFonts w:cs="Arial"/>
          <w:spacing w:val="-3"/>
        </w:rPr>
        <w:t>auto</w:t>
      </w:r>
      <w:r w:rsidRPr="00CC3924">
        <w:rPr>
          <w:rFonts w:cs="Arial"/>
          <w:spacing w:val="-3"/>
        </w:rPr>
        <w:t xml:space="preserve"> del 11 de abril de 2011, por las razones que se argumentan en dicho acto, negó las pruebas solicitadas por Transelca y mediante radicado CREG S-2011-001642 dio traslado al perito solicitando aclaraciones respecto a la objeción presentada.</w:t>
      </w:r>
    </w:p>
    <w:p w:rsidR="006D524F" w:rsidRPr="00CC3924" w:rsidRDefault="006D524F" w:rsidP="00217B0D">
      <w:pPr>
        <w:suppressAutoHyphens/>
        <w:ind w:left="426"/>
        <w:rPr>
          <w:rFonts w:cs="Arial"/>
          <w:spacing w:val="-3"/>
        </w:rPr>
      </w:pPr>
    </w:p>
    <w:p w:rsidR="006D524F" w:rsidRPr="00CC3924" w:rsidRDefault="006D524F" w:rsidP="00217B0D">
      <w:pPr>
        <w:suppressAutoHyphens/>
        <w:ind w:left="426"/>
        <w:rPr>
          <w:rFonts w:cs="Arial"/>
          <w:spacing w:val="-3"/>
        </w:rPr>
      </w:pPr>
      <w:r w:rsidRPr="00CC3924">
        <w:rPr>
          <w:rFonts w:cs="Arial"/>
          <w:spacing w:val="-3"/>
        </w:rPr>
        <w:t>Bajo el argumento de la necesidad de profundizar en la documentación aportada por Transelca, con el radicado CREG E-2011-003873, Sistemas 2000 solicitó ampliar en 5 días hábiles adicionales al plazo otorgado en el auto del 11 de abril de 2011. Este plazo fue adicionado mediante auto del 18 de abril de 2011.</w:t>
      </w:r>
    </w:p>
    <w:p w:rsidR="006D524F" w:rsidRPr="00CC3924" w:rsidRDefault="006D524F" w:rsidP="00217B0D">
      <w:pPr>
        <w:suppressAutoHyphens/>
        <w:ind w:left="426"/>
        <w:rPr>
          <w:rFonts w:cs="Arial"/>
          <w:spacing w:val="-3"/>
        </w:rPr>
      </w:pPr>
    </w:p>
    <w:p w:rsidR="006D524F" w:rsidRPr="00CC3924" w:rsidRDefault="006D524F" w:rsidP="00217B0D">
      <w:pPr>
        <w:suppressAutoHyphens/>
        <w:ind w:left="426"/>
        <w:rPr>
          <w:rFonts w:cs="Arial"/>
          <w:spacing w:val="-3"/>
        </w:rPr>
      </w:pPr>
      <w:r w:rsidRPr="00CC3924">
        <w:rPr>
          <w:rFonts w:cs="Arial"/>
          <w:spacing w:val="-3"/>
        </w:rPr>
        <w:t xml:space="preserve">Las aclaraciones a la objeción presentada por Transelca fueron radicadas en la CREG con los números E-2011-004112 y E-2011-004113 y remitidos al expediente de la actuación mediante </w:t>
      </w:r>
      <w:r w:rsidR="00867957">
        <w:rPr>
          <w:rFonts w:cs="Arial"/>
          <w:spacing w:val="-3"/>
        </w:rPr>
        <w:t>auto</w:t>
      </w:r>
      <w:r w:rsidRPr="00CC3924">
        <w:rPr>
          <w:rFonts w:cs="Arial"/>
          <w:spacing w:val="-3"/>
        </w:rPr>
        <w:t xml:space="preserve"> del 5 de mayo de 2011.</w:t>
      </w:r>
    </w:p>
    <w:p w:rsidR="006D524F" w:rsidRPr="00CC3924" w:rsidRDefault="006D524F" w:rsidP="00217B0D">
      <w:pPr>
        <w:suppressAutoHyphens/>
        <w:ind w:left="426"/>
        <w:rPr>
          <w:rFonts w:cs="Arial"/>
          <w:spacing w:val="-3"/>
        </w:rPr>
      </w:pPr>
    </w:p>
    <w:p w:rsidR="006D524F" w:rsidRPr="00CC3924" w:rsidRDefault="006D524F" w:rsidP="00217B0D">
      <w:pPr>
        <w:suppressAutoHyphens/>
        <w:ind w:left="426"/>
        <w:rPr>
          <w:rFonts w:cs="Arial"/>
          <w:spacing w:val="-3"/>
        </w:rPr>
      </w:pPr>
      <w:r w:rsidRPr="00CC3924">
        <w:rPr>
          <w:rFonts w:cs="Arial"/>
          <w:spacing w:val="-3"/>
        </w:rPr>
        <w:t>Transelca solicitó, mediante comunicación E-2011-004546, el envío de las aclaraciones del perito a la objeción presentada. Esta solicitud fue atendida por la CREG mediante comunicación con radicado S-2011-002465.</w:t>
      </w:r>
    </w:p>
    <w:p w:rsidR="006D524F" w:rsidRDefault="006D524F" w:rsidP="00217B0D">
      <w:pPr>
        <w:suppressAutoHyphens/>
        <w:ind w:left="426"/>
        <w:rPr>
          <w:rFonts w:cs="Arial"/>
          <w:b/>
          <w:spacing w:val="-3"/>
        </w:rPr>
      </w:pPr>
    </w:p>
    <w:p w:rsidR="006D524F" w:rsidRDefault="006D524F" w:rsidP="00217B0D">
      <w:pPr>
        <w:suppressAutoHyphens/>
        <w:adjustRightInd w:val="0"/>
        <w:ind w:left="426"/>
        <w:textAlignment w:val="baseline"/>
        <w:rPr>
          <w:rFonts w:cs="Arial"/>
          <w:spacing w:val="-3"/>
        </w:rPr>
      </w:pPr>
      <w:r>
        <w:rPr>
          <w:rFonts w:cs="Arial"/>
          <w:spacing w:val="-3"/>
        </w:rPr>
        <w:t>Como resultado de esta prueba el perito entregó los valores de cada una de las cuentas</w:t>
      </w:r>
      <w:r w:rsidR="00882575">
        <w:rPr>
          <w:rFonts w:cs="Arial"/>
          <w:spacing w:val="-3"/>
        </w:rPr>
        <w:t xml:space="preserve"> del PUC utilizadas por Transelca</w:t>
      </w:r>
      <w:r>
        <w:rPr>
          <w:rFonts w:cs="Arial"/>
          <w:spacing w:val="-3"/>
        </w:rPr>
        <w:t>, desagregadas en las denominaciones “Transmisión Uso” y Transmisión Otros”, tal como estas se definieron en la Circular 018 de 2009.</w:t>
      </w:r>
    </w:p>
    <w:p w:rsidR="006D524F" w:rsidRDefault="006D524F" w:rsidP="00217B0D">
      <w:pPr>
        <w:suppressAutoHyphens/>
        <w:adjustRightInd w:val="0"/>
        <w:ind w:left="426"/>
        <w:textAlignment w:val="baseline"/>
        <w:rPr>
          <w:rFonts w:cs="Arial"/>
          <w:spacing w:val="-3"/>
        </w:rPr>
      </w:pPr>
    </w:p>
    <w:p w:rsidR="006D524F" w:rsidRDefault="006D524F" w:rsidP="00217B0D">
      <w:pPr>
        <w:suppressAutoHyphens/>
        <w:adjustRightInd w:val="0"/>
        <w:ind w:left="426"/>
        <w:textAlignment w:val="baseline"/>
        <w:rPr>
          <w:rFonts w:cs="Arial"/>
          <w:spacing w:val="-3"/>
        </w:rPr>
      </w:pPr>
      <w:r>
        <w:rPr>
          <w:rFonts w:cs="Arial"/>
          <w:spacing w:val="-3"/>
        </w:rPr>
        <w:lastRenderedPageBreak/>
        <w:t>En las siguientes tablas se presentan los valores reportados para “Transmisión Uso”, agrupados en cuentas incluidas en la Circular CREG 085 de 2008 y cuentas no incluidas en esta circular:</w:t>
      </w:r>
    </w:p>
    <w:p w:rsidR="006D524F" w:rsidRPr="001A102C" w:rsidRDefault="006D524F" w:rsidP="006D524F">
      <w:pPr>
        <w:pStyle w:val="Epgrafe"/>
        <w:keepNext/>
        <w:widowControl/>
        <w:rPr>
          <w:rFonts w:ascii="Bookman Old Style" w:hAnsi="Bookman Old Style" w:cs="Arial"/>
          <w:sz w:val="22"/>
        </w:rPr>
      </w:pPr>
      <w:bookmarkStart w:id="3" w:name="_Ref294598308"/>
      <w:r w:rsidRPr="001A102C">
        <w:rPr>
          <w:rFonts w:ascii="Bookman Old Style" w:hAnsi="Bookman Old Style"/>
          <w:sz w:val="22"/>
        </w:rPr>
        <w:t xml:space="preserve">Tabla </w:t>
      </w:r>
      <w:r w:rsidR="006623A3" w:rsidRPr="001A102C">
        <w:rPr>
          <w:rFonts w:ascii="Bookman Old Style" w:hAnsi="Bookman Old Style"/>
          <w:sz w:val="22"/>
        </w:rPr>
        <w:fldChar w:fldCharType="begin"/>
      </w:r>
      <w:r w:rsidRPr="001A102C">
        <w:rPr>
          <w:rFonts w:ascii="Bookman Old Style" w:hAnsi="Bookman Old Style"/>
          <w:sz w:val="22"/>
        </w:rPr>
        <w:instrText xml:space="preserve"> SEQ Tabla \* ARABIC </w:instrText>
      </w:r>
      <w:r w:rsidR="006623A3" w:rsidRPr="001A102C">
        <w:rPr>
          <w:rFonts w:ascii="Bookman Old Style" w:hAnsi="Bookman Old Style"/>
          <w:sz w:val="22"/>
        </w:rPr>
        <w:fldChar w:fldCharType="separate"/>
      </w:r>
      <w:r w:rsidR="00217B0D">
        <w:rPr>
          <w:rFonts w:ascii="Bookman Old Style" w:hAnsi="Bookman Old Style"/>
          <w:noProof/>
          <w:sz w:val="22"/>
        </w:rPr>
        <w:t>1</w:t>
      </w:r>
      <w:r w:rsidR="006623A3" w:rsidRPr="001A102C">
        <w:rPr>
          <w:rFonts w:ascii="Bookman Old Style" w:hAnsi="Bookman Old Style"/>
          <w:sz w:val="22"/>
        </w:rPr>
        <w:fldChar w:fldCharType="end"/>
      </w:r>
      <w:bookmarkEnd w:id="3"/>
      <w:r w:rsidRPr="001A102C">
        <w:rPr>
          <w:rFonts w:ascii="Bookman Old Style" w:hAnsi="Bookman Old Style"/>
          <w:sz w:val="22"/>
        </w:rPr>
        <w:t>. Cuentas incluidas en Circular CREG 085</w:t>
      </w:r>
    </w:p>
    <w:tbl>
      <w:tblPr>
        <w:tblW w:w="0" w:type="auto"/>
        <w:jc w:val="center"/>
        <w:tblCellMar>
          <w:left w:w="70" w:type="dxa"/>
          <w:right w:w="70" w:type="dxa"/>
        </w:tblCellMar>
        <w:tblLook w:val="04A0" w:firstRow="1" w:lastRow="0" w:firstColumn="1" w:lastColumn="0" w:noHBand="0" w:noVBand="1"/>
      </w:tblPr>
      <w:tblGrid>
        <w:gridCol w:w="838"/>
        <w:gridCol w:w="1215"/>
        <w:gridCol w:w="1215"/>
        <w:gridCol w:w="1215"/>
        <w:gridCol w:w="1215"/>
        <w:gridCol w:w="1215"/>
        <w:gridCol w:w="1215"/>
        <w:gridCol w:w="1215"/>
      </w:tblGrid>
      <w:tr w:rsidR="006D524F" w:rsidRPr="00E2019E" w:rsidTr="006D524F">
        <w:trPr>
          <w:cantSplit/>
          <w:trHeight w:val="255"/>
          <w:tblHeader/>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D24797" w:rsidRDefault="006D524F" w:rsidP="006D524F">
            <w:pPr>
              <w:jc w:val="center"/>
              <w:rPr>
                <w:rFonts w:cs="Tahoma"/>
                <w:b/>
                <w:sz w:val="16"/>
                <w:szCs w:val="15"/>
                <w:lang w:val="es-CO" w:eastAsia="es-CO"/>
              </w:rPr>
            </w:pPr>
            <w:r w:rsidRPr="00D24797">
              <w:rPr>
                <w:rFonts w:cs="Tahoma"/>
                <w:b/>
                <w:sz w:val="16"/>
                <w:szCs w:val="15"/>
                <w:lang w:val="es-CO" w:eastAsia="es-CO"/>
              </w:rPr>
              <w:t>CUENTA</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D24797" w:rsidRDefault="006D524F" w:rsidP="006D524F">
            <w:pPr>
              <w:jc w:val="center"/>
              <w:rPr>
                <w:rFonts w:cs="Arial"/>
                <w:b/>
                <w:sz w:val="16"/>
                <w:szCs w:val="15"/>
                <w:lang w:val="es-CO" w:eastAsia="es-CO"/>
              </w:rPr>
            </w:pPr>
            <w:r w:rsidRPr="00D24797">
              <w:rPr>
                <w:rFonts w:cs="Arial"/>
                <w:b/>
                <w:sz w:val="16"/>
                <w:szCs w:val="15"/>
                <w:lang w:val="es-CO" w:eastAsia="es-CO"/>
              </w:rPr>
              <w:t>2001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D24797" w:rsidRDefault="006D524F" w:rsidP="006D524F">
            <w:pPr>
              <w:jc w:val="center"/>
              <w:rPr>
                <w:rFonts w:cs="Arial"/>
                <w:b/>
                <w:sz w:val="16"/>
                <w:szCs w:val="15"/>
                <w:lang w:val="es-CO" w:eastAsia="es-CO"/>
              </w:rPr>
            </w:pPr>
            <w:r w:rsidRPr="00D24797">
              <w:rPr>
                <w:rFonts w:cs="Arial"/>
                <w:b/>
                <w:sz w:val="16"/>
                <w:szCs w:val="15"/>
                <w:lang w:val="es-CO" w:eastAsia="es-CO"/>
              </w:rPr>
              <w:t>2002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D24797" w:rsidRDefault="006D524F" w:rsidP="006D524F">
            <w:pPr>
              <w:jc w:val="center"/>
              <w:rPr>
                <w:rFonts w:cs="Arial"/>
                <w:b/>
                <w:sz w:val="16"/>
                <w:szCs w:val="15"/>
                <w:lang w:val="es-CO" w:eastAsia="es-CO"/>
              </w:rPr>
            </w:pPr>
            <w:r w:rsidRPr="00D24797">
              <w:rPr>
                <w:rFonts w:cs="Arial"/>
                <w:b/>
                <w:sz w:val="16"/>
                <w:szCs w:val="15"/>
                <w:lang w:val="es-CO" w:eastAsia="es-CO"/>
              </w:rPr>
              <w:t>2003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D24797" w:rsidRDefault="006D524F" w:rsidP="006D524F">
            <w:pPr>
              <w:jc w:val="center"/>
              <w:rPr>
                <w:rFonts w:cs="Arial"/>
                <w:b/>
                <w:sz w:val="16"/>
                <w:szCs w:val="15"/>
                <w:lang w:val="es-CO" w:eastAsia="es-CO"/>
              </w:rPr>
            </w:pPr>
            <w:r w:rsidRPr="00D24797">
              <w:rPr>
                <w:rFonts w:cs="Arial"/>
                <w:b/>
                <w:sz w:val="16"/>
                <w:szCs w:val="15"/>
                <w:lang w:val="es-CO" w:eastAsia="es-CO"/>
              </w:rPr>
              <w:t>2004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D24797" w:rsidRDefault="006D524F" w:rsidP="006D524F">
            <w:pPr>
              <w:jc w:val="center"/>
              <w:rPr>
                <w:rFonts w:cs="Arial"/>
                <w:b/>
                <w:sz w:val="16"/>
                <w:szCs w:val="15"/>
                <w:lang w:val="es-CO" w:eastAsia="es-CO"/>
              </w:rPr>
            </w:pPr>
            <w:r w:rsidRPr="00D24797">
              <w:rPr>
                <w:rFonts w:cs="Arial"/>
                <w:b/>
                <w:sz w:val="16"/>
                <w:szCs w:val="15"/>
                <w:lang w:val="es-CO" w:eastAsia="es-CO"/>
              </w:rPr>
              <w:t>2005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D24797" w:rsidRDefault="006D524F" w:rsidP="006D524F">
            <w:pPr>
              <w:jc w:val="center"/>
              <w:rPr>
                <w:rFonts w:cs="Arial"/>
                <w:b/>
                <w:sz w:val="16"/>
                <w:szCs w:val="15"/>
                <w:lang w:val="es-CO" w:eastAsia="es-CO"/>
              </w:rPr>
            </w:pPr>
            <w:r w:rsidRPr="00D24797">
              <w:rPr>
                <w:rFonts w:cs="Arial"/>
                <w:b/>
                <w:sz w:val="16"/>
                <w:szCs w:val="15"/>
                <w:lang w:val="es-CO" w:eastAsia="es-CO"/>
              </w:rPr>
              <w:t>2006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D24797" w:rsidRDefault="006D524F" w:rsidP="006D524F">
            <w:pPr>
              <w:jc w:val="center"/>
              <w:rPr>
                <w:rFonts w:cs="Arial"/>
                <w:b/>
                <w:sz w:val="16"/>
                <w:szCs w:val="15"/>
                <w:lang w:val="es-CO" w:eastAsia="es-CO"/>
              </w:rPr>
            </w:pPr>
            <w:r w:rsidRPr="00D24797">
              <w:rPr>
                <w:rFonts w:cs="Arial"/>
                <w:b/>
                <w:sz w:val="16"/>
                <w:szCs w:val="15"/>
                <w:lang w:val="es-CO" w:eastAsia="es-CO"/>
              </w:rPr>
              <w:t>2007</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b/>
                <w:bCs/>
                <w:sz w:val="15"/>
                <w:szCs w:val="15"/>
                <w:lang w:val="es-CO" w:eastAsia="es-CO"/>
              </w:rPr>
            </w:pPr>
            <w:r w:rsidRPr="00E2019E">
              <w:rPr>
                <w:rFonts w:cs="Tahoma"/>
                <w:b/>
                <w:bCs/>
                <w:sz w:val="15"/>
                <w:szCs w:val="15"/>
                <w:lang w:val="es-CO" w:eastAsia="es-CO"/>
              </w:rPr>
              <w:t>5101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3.265.008.672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3.656.506.389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3.671.660.902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3.961.879.970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3.790.998.716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3.166.502.043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3.027.670.784</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510201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13.830.863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6.475.135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16.765.936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510203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129.159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510204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554.939.843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509.097.682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636.141.489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580.274.587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1.008.929.285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447.586.897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506.626.139</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510205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797.633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550.888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510290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575.246.148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528.337.367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554.211.621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586.274.788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215.236.608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40.862.972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42.492.612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510301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10.734.774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10.245.775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12.248.677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11.547.268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33.125.670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34.870.356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33.781.843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510302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63.514.770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98.521.232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103.013.461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123.465.813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73.379.905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67.350.733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67.599.361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510303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263.328.383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306.502.035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303.449.484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383.215.050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479.728.517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178.910.155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190.261.922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510304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20.524.032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21.469.885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510305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6.503.056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6.589.966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7.147.469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6.737.300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15.425.626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15.535.587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16.777.772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510306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44.456.803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54.624.111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510307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163.718.651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160.193.981</w:t>
            </w:r>
          </w:p>
        </w:tc>
      </w:tr>
      <w:tr w:rsidR="00AC23C2"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tcPr>
          <w:p w:rsidR="00AC23C2" w:rsidRPr="00E2019E" w:rsidRDefault="00AC23C2" w:rsidP="00AC23C2">
            <w:pPr>
              <w:jc w:val="left"/>
              <w:rPr>
                <w:rFonts w:cs="Tahoma"/>
                <w:b/>
                <w:bCs/>
                <w:sz w:val="15"/>
                <w:szCs w:val="15"/>
                <w:lang w:val="es-CO" w:eastAsia="es-CO"/>
              </w:rPr>
            </w:pPr>
            <w:r w:rsidRPr="00E2019E">
              <w:rPr>
                <w:rFonts w:cs="Tahoma"/>
                <w:b/>
                <w:bCs/>
                <w:sz w:val="15"/>
                <w:szCs w:val="15"/>
                <w:lang w:val="es-CO" w:eastAsia="es-CO"/>
              </w:rPr>
              <w:t>5104</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72.764.025</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83.689.830</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89.636.683</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91.724.882</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84.188.469</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84.499.238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511111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416.939.649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520.670.531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503.980.503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250.955.110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251.522.306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437.971.885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663.909.732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511113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111.316.417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116.002.813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511114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50.276.488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49.167.926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71.453.212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64.352.057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61.987.510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511115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270.049.995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279.691.155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300.160.913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331.827.324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257.413.097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637.639.265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827.358.448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511116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152.736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108.862.135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224.144.323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235.136.682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262.073.709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244.161.767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460.535.102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450.646.754</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511119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8.800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14.654.091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9.007.584</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511120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97.469.521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53.363.048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67.694.632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142.072.219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155.910.147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148.821.363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138.714.372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511121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48.419.186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71.921.297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99.967.750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87.133.743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105.245.778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511122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3.291.497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3.328.166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2.009.599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1.229.406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1.067.696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907.738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718.326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511123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33.593.028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66.127.959</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33.777.460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51.646.807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44.369.433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39.866.277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21.935.723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106.291.722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115.752.114</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77.950.491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511146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58.430.309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35.405.588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20.460.255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511149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350.434.833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361.339.960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511155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15.481.830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20.425.645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21.032.131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23.519.299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36.308.211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34.376.421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38.905.161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511190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307.169.613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307.537.927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322.920.422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409.023.719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563.237.366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699.874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2.019.759</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512001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28.004.554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26.406.777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49.442.210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40.928.787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54.842.672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59.842.258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6.522.345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188.276.945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63.179.551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62.400.000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54.200.590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95.905.833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96.078.904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81.832.875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130.472.090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86.501.606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189.364.373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231.338.017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93.429.000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56.555.200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56.115.600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58.107.600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97.926.050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105.945.883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145.740.395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512005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43.470.646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53.130.844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40.929.265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42.097.654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82.803.974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127.704.402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126.681.018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512009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74.358.000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190.016.480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225.893.378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288.932.680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833.910.640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51.057.302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77.625.950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512010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381.679.306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24.378.569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34.514.118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512011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698.362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309.685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2.263.895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2.153.623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2.024.190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2.381.226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4.241.540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512012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11.239.308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49.487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889.587</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512021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510.165.678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502.052.356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512023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901.831.248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512024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348.375.180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324.818.660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254.430.833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2.516.972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2.593.291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512090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53.066.641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80.730.956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40.679.957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5.592.550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2.418.795.845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110.644.750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534507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107.414.442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88.905.539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28.311.147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12.523.725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16.979.398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17.954.746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39.188.609</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534508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325.476.975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342.490.354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178.361.579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153.179.222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268.815.473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514.546.457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852.710.569</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750501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731.253.846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1.248.671.489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1.344.567.841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1.353.825.363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951.282.058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1.242.766.926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759.977.173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lastRenderedPageBreak/>
              <w:t>750503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135.639.235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153.573.732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128.662.142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117.770.805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313.242.800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300.971.391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226.523.278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8.315.412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6.375.043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9.677.743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17.705.485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43.471.385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3.996.217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3.215.375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750505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141.456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148.436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750513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43.511.351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51.326.682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53.237.466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50.651.823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117.794.319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101.043.578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84.827.912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750514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54.219.713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61.920.601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67.601.797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66.623.829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150.570.802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121.478.122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96.155.132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750515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93.513.479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120.895.974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133.853.256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131.339.530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294.301.700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187.800.761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194.887.299</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393.918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750518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109.577.619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144.776.431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119.294.537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119.830.352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201.761.872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214.064.300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175.665.645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750520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11.609.474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15.057.209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12.726.039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4.262.647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88.815.838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304.949.504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173.121.844</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750522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9.778.575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5.665.678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7.364.645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66.224.272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57.916.387</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750523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468.950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1.549.525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1.218.893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846.434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711.771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1.440.369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1.182.419</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750524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71.052.898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81.782.519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88.972.248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87.249.774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198.492.054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179.867.904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145.201.198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8.519.097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10.068.706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10.390.581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10.248.595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23.778.572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21.200.866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17.244.153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750530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59.980.438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60.039.242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60.900.009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57.500.202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100.070.064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75.290.103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66.504.862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750531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5.868.932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4.911.667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10.119.524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10.716.477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19.246.392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10.155.696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18.649.640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41.061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44.520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750535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93.090.605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58.134.669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62.889.009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140.740.498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120.421.505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105.887.519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82.964.371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750536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50.471.644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54.949.486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58.515.243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113.512.733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80.265.610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73.918.116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62.223.322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750537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40.253.003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39.096.161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49.441.021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53.540.615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318.990.625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328.707.848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269.572.287</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750538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33.647.762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36.853.951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39.245.461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75.675.156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53.510.406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52.943.780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41.482.163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750540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250.074.748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269.336.979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295.304.256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260.813.635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410.760.209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750541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872.157.317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793.998.997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992.178.238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951.747.439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637.638.810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737.992.616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610.661.767</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750543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30.053.776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71.276.628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90.172.077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96.836.273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148.404.550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98.251.913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81.334.955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750544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95.746.259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97.025.848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105.234.120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99.195.097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101.949.112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95.021.314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68.266.222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750545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908.024.387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1.161.626.177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1.346.285.808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1.055.699.371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750546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37.639.026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17.475.145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22.266.138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33.697.863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750547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308.432.972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343.858.049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404.949.629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385.413.687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293.331.931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228.925.097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121.181.031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107.502.125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118.755.845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2.296.642</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750552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54.028.277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62.891.243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68.453.839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67.089.942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151.534.930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141.657.142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114.458.915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750567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141.883.600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122.736.918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750568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266.338.816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197.905.175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750590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5.906.137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74.652.232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60.245.584</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751013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1.824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751023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26.410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18.564</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751025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513.264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241.023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751026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213.693.774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186.090.316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751036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37.458.375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101.560.356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326.840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751037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418.346.576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553.249.329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222.166.867</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751090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1.521.097.550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1.332.427.419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1.522.765.894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1.488.996.690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878.284.429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69.207.514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101.110.435</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752006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16.880.136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9.419.536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754001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269.414.193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12.367.326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754002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52.745.437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34.801.369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78.674.257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51.806.948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146.641.982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50.734.196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754004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420.331.978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219.667.568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271.296.133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401.698.858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178.377.655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150.991.141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63.605.628</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754006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4.942.272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410.263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754007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1.519.498.687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1.522.406.171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1.656.076.025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1.514.383.101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1.780.802.063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1.630.981.802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1.274.455.906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754008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1.005.249.750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899.833.017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900.862.055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780.013.089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449.887.617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83.284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20.791.296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754090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233.499.548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76.735.580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754204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11.953.104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49.047.582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50.114.894</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754207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29.565.262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34.828.204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47.906.737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19.051.651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114.887.496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12.262.860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21.834.776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754290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14.491.836</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14.512.845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14.831.565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159.124.851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196.671.134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2.376.192</w:t>
            </w:r>
          </w:p>
        </w:tc>
      </w:tr>
      <w:tr w:rsidR="00AC23C2"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tcPr>
          <w:p w:rsidR="00AC23C2" w:rsidRPr="00E2019E" w:rsidRDefault="00AC23C2" w:rsidP="00AC23C2">
            <w:pPr>
              <w:jc w:val="left"/>
              <w:rPr>
                <w:rFonts w:cs="Tahoma"/>
                <w:b/>
                <w:bCs/>
                <w:sz w:val="15"/>
                <w:szCs w:val="15"/>
                <w:lang w:val="es-CO" w:eastAsia="es-CO"/>
              </w:rPr>
            </w:pPr>
            <w:r w:rsidRPr="00E2019E">
              <w:rPr>
                <w:rFonts w:cs="Tahoma"/>
                <w:b/>
                <w:bCs/>
                <w:sz w:val="15"/>
                <w:szCs w:val="15"/>
                <w:lang w:val="es-CO" w:eastAsia="es-CO"/>
              </w:rPr>
              <w:t>7545</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292.888.404</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269.787.556</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299.874.757</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8.066.439</w:t>
            </w:r>
          </w:p>
        </w:tc>
        <w:tc>
          <w:tcPr>
            <w:tcW w:w="0" w:type="auto"/>
            <w:tcBorders>
              <w:top w:val="nil"/>
              <w:left w:val="nil"/>
              <w:bottom w:val="single" w:sz="4" w:space="0" w:color="auto"/>
              <w:right w:val="single" w:sz="4" w:space="0" w:color="auto"/>
            </w:tcBorders>
            <w:shd w:val="clear" w:color="auto" w:fill="auto"/>
            <w:noWrap/>
            <w:vAlign w:val="bottom"/>
          </w:tcPr>
          <w:p w:rsidR="00AC23C2" w:rsidRPr="00E2019E" w:rsidRDefault="00AC23C2" w:rsidP="00AC23C2">
            <w:pPr>
              <w:jc w:val="right"/>
              <w:rPr>
                <w:rFonts w:cs="Arial"/>
                <w:sz w:val="15"/>
                <w:szCs w:val="15"/>
                <w:lang w:val="es-CO" w:eastAsia="es-CO"/>
              </w:rPr>
            </w:pPr>
            <w:r w:rsidRPr="00E2019E">
              <w:rPr>
                <w:rFonts w:cs="Arial"/>
                <w:sz w:val="15"/>
                <w:szCs w:val="15"/>
                <w:lang w:val="es-CO" w:eastAsia="es-CO"/>
              </w:rPr>
              <w:t>2.352.173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755004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29.839.873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48.998.171</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lastRenderedPageBreak/>
              <w:t>755090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781.843.914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153.447.610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756002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460.834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787</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756003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9.561.618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8.933.250</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756090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613.433.924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1.343.761.621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1.506.741.035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1.381.347.485</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1.222.690.490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828.187.624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600.217.103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756503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44.880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58.486.856</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756504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224.763.240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 </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756590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0</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1.075.651.297</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1.178.313.143</w:t>
            </w:r>
          </w:p>
        </w:tc>
      </w:tr>
      <w:tr w:rsidR="006D524F" w:rsidRPr="00E2019E" w:rsidTr="006D524F">
        <w:trPr>
          <w:trHeight w:val="255"/>
          <w:jc w:val="center"/>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D524F" w:rsidRPr="00E2019E" w:rsidRDefault="006D524F" w:rsidP="006D524F">
            <w:pPr>
              <w:jc w:val="left"/>
              <w:rPr>
                <w:rFonts w:cs="Tahoma"/>
                <w:sz w:val="15"/>
                <w:szCs w:val="15"/>
                <w:lang w:val="es-CO" w:eastAsia="es-CO"/>
              </w:rPr>
            </w:pPr>
            <w:r w:rsidRPr="00E2019E">
              <w:rPr>
                <w:rFonts w:cs="Tahoma"/>
                <w:sz w:val="15"/>
                <w:szCs w:val="15"/>
                <w:lang w:val="es-CO" w:eastAsia="es-CO"/>
              </w:rPr>
              <w:t>757002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457.567.678</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473.961.854</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494.797.731</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462.240.039</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539.435.273</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424.567.952</w:t>
            </w:r>
          </w:p>
        </w:tc>
        <w:tc>
          <w:tcPr>
            <w:tcW w:w="0" w:type="auto"/>
            <w:tcBorders>
              <w:top w:val="nil"/>
              <w:left w:val="nil"/>
              <w:bottom w:val="single" w:sz="4" w:space="0" w:color="auto"/>
              <w:right w:val="single" w:sz="4" w:space="0" w:color="auto"/>
            </w:tcBorders>
            <w:shd w:val="clear" w:color="auto" w:fill="auto"/>
            <w:noWrap/>
            <w:vAlign w:val="bottom"/>
            <w:hideMark/>
          </w:tcPr>
          <w:p w:rsidR="006D524F" w:rsidRPr="00E2019E" w:rsidRDefault="006D524F" w:rsidP="006D524F">
            <w:pPr>
              <w:jc w:val="right"/>
              <w:rPr>
                <w:rFonts w:cs="Arial"/>
                <w:sz w:val="15"/>
                <w:szCs w:val="15"/>
                <w:lang w:val="es-CO" w:eastAsia="es-CO"/>
              </w:rPr>
            </w:pPr>
            <w:r w:rsidRPr="00E2019E">
              <w:rPr>
                <w:rFonts w:cs="Arial"/>
                <w:sz w:val="15"/>
                <w:szCs w:val="15"/>
                <w:lang w:val="es-CO" w:eastAsia="es-CO"/>
              </w:rPr>
              <w:t>455.207.355</w:t>
            </w:r>
          </w:p>
        </w:tc>
      </w:tr>
    </w:tbl>
    <w:p w:rsidR="006D524F" w:rsidRPr="00AC6CAF" w:rsidRDefault="006D524F" w:rsidP="006D524F">
      <w:pPr>
        <w:suppressAutoHyphens/>
        <w:adjustRightInd w:val="0"/>
        <w:ind w:left="720"/>
        <w:textAlignment w:val="baseline"/>
        <w:rPr>
          <w:rFonts w:cs="Arial"/>
          <w:spacing w:val="-3"/>
        </w:rPr>
      </w:pPr>
    </w:p>
    <w:p w:rsidR="006D524F" w:rsidRPr="00AC6CAF" w:rsidRDefault="006D524F" w:rsidP="00217B0D">
      <w:pPr>
        <w:suppressAutoHyphens/>
        <w:adjustRightInd w:val="0"/>
        <w:ind w:left="284"/>
        <w:textAlignment w:val="baseline"/>
        <w:rPr>
          <w:rFonts w:cs="Arial"/>
        </w:rPr>
      </w:pPr>
      <w:r>
        <w:rPr>
          <w:rFonts w:cs="Arial"/>
        </w:rPr>
        <w:t>La siguiente tabla</w:t>
      </w:r>
      <w:r w:rsidRPr="00AC6CAF">
        <w:rPr>
          <w:rFonts w:cs="Arial"/>
        </w:rPr>
        <w:t xml:space="preserve"> relaciona las cuentas no incluidas en la Circular CREG 085 de 2008 solicitadas por Transelca o que fueron reportadas por el perito tras la verificación de los valores de las cuentas.</w:t>
      </w:r>
    </w:p>
    <w:p w:rsidR="006D524F" w:rsidRPr="001A102C" w:rsidRDefault="006D524F" w:rsidP="006D524F">
      <w:pPr>
        <w:pStyle w:val="Epgrafe"/>
        <w:widowControl/>
        <w:rPr>
          <w:rFonts w:ascii="Bookman Old Style" w:hAnsi="Bookman Old Style" w:cs="Arial"/>
          <w:sz w:val="22"/>
        </w:rPr>
      </w:pPr>
      <w:bookmarkStart w:id="4" w:name="_Ref294602740"/>
      <w:r w:rsidRPr="001A102C">
        <w:rPr>
          <w:rFonts w:ascii="Bookman Old Style" w:hAnsi="Bookman Old Style"/>
          <w:sz w:val="22"/>
        </w:rPr>
        <w:t xml:space="preserve">Tabla </w:t>
      </w:r>
      <w:r w:rsidR="006623A3" w:rsidRPr="001A102C">
        <w:rPr>
          <w:rFonts w:ascii="Bookman Old Style" w:hAnsi="Bookman Old Style"/>
          <w:sz w:val="22"/>
        </w:rPr>
        <w:fldChar w:fldCharType="begin"/>
      </w:r>
      <w:r w:rsidRPr="001A102C">
        <w:rPr>
          <w:rFonts w:ascii="Bookman Old Style" w:hAnsi="Bookman Old Style"/>
          <w:sz w:val="22"/>
        </w:rPr>
        <w:instrText xml:space="preserve"> SEQ Tabla \* ARABIC </w:instrText>
      </w:r>
      <w:r w:rsidR="006623A3" w:rsidRPr="001A102C">
        <w:rPr>
          <w:rFonts w:ascii="Bookman Old Style" w:hAnsi="Bookman Old Style"/>
          <w:sz w:val="22"/>
        </w:rPr>
        <w:fldChar w:fldCharType="separate"/>
      </w:r>
      <w:r w:rsidR="00217B0D">
        <w:rPr>
          <w:rFonts w:ascii="Bookman Old Style" w:hAnsi="Bookman Old Style"/>
          <w:noProof/>
          <w:sz w:val="22"/>
        </w:rPr>
        <w:t>2</w:t>
      </w:r>
      <w:r w:rsidR="006623A3" w:rsidRPr="001A102C">
        <w:rPr>
          <w:rFonts w:ascii="Bookman Old Style" w:hAnsi="Bookman Old Style"/>
          <w:sz w:val="22"/>
        </w:rPr>
        <w:fldChar w:fldCharType="end"/>
      </w:r>
      <w:bookmarkEnd w:id="4"/>
      <w:r w:rsidRPr="001A102C">
        <w:rPr>
          <w:rFonts w:ascii="Bookman Old Style" w:hAnsi="Bookman Old Style"/>
          <w:sz w:val="22"/>
        </w:rPr>
        <w:t>. Cuentas no incluidas en la Circular CREG 085 de 2008</w:t>
      </w:r>
    </w:p>
    <w:tbl>
      <w:tblPr>
        <w:tblW w:w="0" w:type="auto"/>
        <w:jc w:val="center"/>
        <w:tblCellMar>
          <w:left w:w="70" w:type="dxa"/>
          <w:right w:w="70" w:type="dxa"/>
        </w:tblCellMar>
        <w:tblLook w:val="04A0" w:firstRow="1" w:lastRow="0" w:firstColumn="1" w:lastColumn="0" w:noHBand="0" w:noVBand="1"/>
      </w:tblPr>
      <w:tblGrid>
        <w:gridCol w:w="838"/>
        <w:gridCol w:w="1199"/>
        <w:gridCol w:w="1359"/>
        <w:gridCol w:w="1207"/>
        <w:gridCol w:w="1218"/>
        <w:gridCol w:w="1214"/>
        <w:gridCol w:w="1209"/>
        <w:gridCol w:w="1163"/>
      </w:tblGrid>
      <w:tr w:rsidR="006D524F" w:rsidRPr="00291B2A" w:rsidTr="006D524F">
        <w:trPr>
          <w:trHeight w:val="227"/>
          <w:tblHeader/>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291B2A" w:rsidRDefault="006D524F" w:rsidP="006D524F">
            <w:pPr>
              <w:jc w:val="center"/>
              <w:rPr>
                <w:rFonts w:cs="Tahoma"/>
                <w:b/>
                <w:sz w:val="16"/>
                <w:szCs w:val="16"/>
                <w:lang w:val="es-CO" w:eastAsia="es-CO"/>
              </w:rPr>
            </w:pPr>
            <w:r w:rsidRPr="00291B2A">
              <w:rPr>
                <w:rFonts w:cs="Tahoma"/>
                <w:b/>
                <w:sz w:val="16"/>
                <w:szCs w:val="16"/>
                <w:lang w:val="es-CO" w:eastAsia="es-CO"/>
              </w:rPr>
              <w:t>CUENTA</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291B2A" w:rsidRDefault="006D524F" w:rsidP="006D524F">
            <w:pPr>
              <w:ind w:left="63"/>
              <w:jc w:val="center"/>
              <w:rPr>
                <w:rFonts w:cs="Tahoma"/>
                <w:b/>
                <w:sz w:val="16"/>
                <w:szCs w:val="16"/>
                <w:lang w:val="es-CO" w:eastAsia="es-CO"/>
              </w:rPr>
            </w:pPr>
            <w:r w:rsidRPr="00291B2A">
              <w:rPr>
                <w:rFonts w:cs="Tahoma"/>
                <w:b/>
                <w:sz w:val="16"/>
                <w:szCs w:val="16"/>
                <w:lang w:val="es-CO" w:eastAsia="es-CO"/>
              </w:rPr>
              <w:t>2001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291B2A" w:rsidRDefault="006D524F" w:rsidP="006D524F">
            <w:pPr>
              <w:ind w:left="73"/>
              <w:jc w:val="center"/>
              <w:rPr>
                <w:rFonts w:cs="Tahoma"/>
                <w:b/>
                <w:sz w:val="16"/>
                <w:szCs w:val="16"/>
                <w:lang w:val="es-CO" w:eastAsia="es-CO"/>
              </w:rPr>
            </w:pPr>
            <w:r w:rsidRPr="00291B2A">
              <w:rPr>
                <w:rFonts w:cs="Tahoma"/>
                <w:b/>
                <w:sz w:val="16"/>
                <w:szCs w:val="16"/>
                <w:lang w:val="es-CO" w:eastAsia="es-CO"/>
              </w:rPr>
              <w:t>2002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291B2A" w:rsidRDefault="006D524F" w:rsidP="006D524F">
            <w:pPr>
              <w:ind w:left="71"/>
              <w:jc w:val="center"/>
              <w:rPr>
                <w:rFonts w:cs="Tahoma"/>
                <w:b/>
                <w:sz w:val="16"/>
                <w:szCs w:val="16"/>
                <w:lang w:val="es-CO" w:eastAsia="es-CO"/>
              </w:rPr>
            </w:pPr>
            <w:r w:rsidRPr="00291B2A">
              <w:rPr>
                <w:rFonts w:cs="Tahoma"/>
                <w:b/>
                <w:sz w:val="16"/>
                <w:szCs w:val="16"/>
                <w:lang w:val="es-CO" w:eastAsia="es-CO"/>
              </w:rPr>
              <w:t>2003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291B2A" w:rsidRDefault="006D524F" w:rsidP="006D524F">
            <w:pPr>
              <w:ind w:left="82"/>
              <w:jc w:val="center"/>
              <w:rPr>
                <w:rFonts w:cs="Tahoma"/>
                <w:b/>
                <w:sz w:val="16"/>
                <w:szCs w:val="16"/>
                <w:lang w:val="es-CO" w:eastAsia="es-CO"/>
              </w:rPr>
            </w:pPr>
            <w:r w:rsidRPr="00291B2A">
              <w:rPr>
                <w:rFonts w:cs="Tahoma"/>
                <w:b/>
                <w:sz w:val="16"/>
                <w:szCs w:val="16"/>
                <w:lang w:val="es-CO" w:eastAsia="es-CO"/>
              </w:rPr>
              <w:t>2004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291B2A" w:rsidRDefault="006D524F" w:rsidP="006D524F">
            <w:pPr>
              <w:ind w:left="78"/>
              <w:jc w:val="center"/>
              <w:rPr>
                <w:rFonts w:cs="Tahoma"/>
                <w:b/>
                <w:sz w:val="16"/>
                <w:szCs w:val="16"/>
                <w:lang w:val="es-CO" w:eastAsia="es-CO"/>
              </w:rPr>
            </w:pPr>
            <w:r w:rsidRPr="00291B2A">
              <w:rPr>
                <w:rFonts w:cs="Tahoma"/>
                <w:b/>
                <w:sz w:val="16"/>
                <w:szCs w:val="16"/>
                <w:lang w:val="es-CO" w:eastAsia="es-CO"/>
              </w:rPr>
              <w:t>2005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291B2A" w:rsidRDefault="006D524F" w:rsidP="006D524F">
            <w:pPr>
              <w:ind w:left="73"/>
              <w:jc w:val="center"/>
              <w:rPr>
                <w:rFonts w:cs="Tahoma"/>
                <w:b/>
                <w:sz w:val="16"/>
                <w:szCs w:val="16"/>
                <w:lang w:val="es-CO" w:eastAsia="es-CO"/>
              </w:rPr>
            </w:pPr>
            <w:r w:rsidRPr="00291B2A">
              <w:rPr>
                <w:rFonts w:cs="Tahoma"/>
                <w:b/>
                <w:sz w:val="16"/>
                <w:szCs w:val="16"/>
                <w:lang w:val="es-CO" w:eastAsia="es-CO"/>
              </w:rPr>
              <w:t>2006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291B2A" w:rsidRDefault="006D524F" w:rsidP="006D524F">
            <w:pPr>
              <w:ind w:left="27"/>
              <w:jc w:val="center"/>
              <w:rPr>
                <w:rFonts w:cs="Tahoma"/>
                <w:b/>
                <w:sz w:val="16"/>
                <w:szCs w:val="16"/>
                <w:lang w:val="es-CO" w:eastAsia="es-CO"/>
              </w:rPr>
            </w:pPr>
            <w:r w:rsidRPr="00291B2A">
              <w:rPr>
                <w:rFonts w:cs="Tahoma"/>
                <w:b/>
                <w:sz w:val="16"/>
                <w:szCs w:val="16"/>
                <w:lang w:val="es-CO" w:eastAsia="es-CO"/>
              </w:rPr>
              <w:t>2007</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510210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296.706.840</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510308</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583.895.371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110.513.592</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511112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51.133.995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3.552.736</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511118</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23.904.699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321.445.766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377.844.467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424.289.103</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512007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4.198.498</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0</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531302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305.900.267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 </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531390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304.110.607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 </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581006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77.207.611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2.682.756.578</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420.923.904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666.975.340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901.951.103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271.736.349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375.844.042</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751046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748.686</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751701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6.826.713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69.912.425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187.015.513</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751703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1.385.246</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1.540.317</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751707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487.901.748</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587.046.753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555.840.579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164.386.682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190.317.572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126.318.939</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751790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47.658.028</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15.384.730</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753007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325.276.360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697.132.449</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754010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175.287.403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 </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754013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132.981</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 </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754504</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212.432.427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0</w:t>
            </w:r>
          </w:p>
        </w:tc>
      </w:tr>
      <w:tr w:rsidR="006D524F" w:rsidRPr="00AC6CAF" w:rsidTr="006D524F">
        <w:trPr>
          <w:trHeight w:val="227"/>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6D524F" w:rsidRPr="00AC6CAF" w:rsidRDefault="006D524F" w:rsidP="006D524F">
            <w:pPr>
              <w:jc w:val="center"/>
              <w:rPr>
                <w:rFonts w:cs="Tahoma"/>
                <w:sz w:val="16"/>
                <w:szCs w:val="16"/>
                <w:lang w:val="es-CO" w:eastAsia="es-CO"/>
              </w:rPr>
            </w:pPr>
            <w:r w:rsidRPr="00AC6CAF">
              <w:rPr>
                <w:rFonts w:cs="Tahoma"/>
                <w:sz w:val="16"/>
                <w:szCs w:val="16"/>
                <w:lang w:val="es-CO" w:eastAsia="es-CO"/>
              </w:rPr>
              <w:t>757003</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6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1"/>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82"/>
              <w:jc w:val="right"/>
              <w:rPr>
                <w:rFonts w:cs="Tahoma"/>
                <w:sz w:val="16"/>
                <w:szCs w:val="16"/>
                <w:lang w:val="es-CO" w:eastAsia="es-CO"/>
              </w:rPr>
            </w:pPr>
            <w:r w:rsidRPr="00AC6CAF">
              <w:rPr>
                <w:rFonts w:cs="Tahoma"/>
                <w:sz w:val="16"/>
                <w:szCs w:val="16"/>
                <w:lang w:val="es-CO" w:eastAsia="es-CO"/>
              </w:rPr>
              <w:t>0</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8"/>
              <w:jc w:val="right"/>
              <w:rPr>
                <w:rFonts w:cs="Tahoma"/>
                <w:sz w:val="16"/>
                <w:szCs w:val="16"/>
                <w:lang w:val="es-CO" w:eastAsia="es-CO"/>
              </w:rPr>
            </w:pPr>
            <w:r w:rsidRPr="00AC6CAF">
              <w:rPr>
                <w:rFonts w:cs="Tahoma"/>
                <w:sz w:val="16"/>
                <w:szCs w:val="16"/>
                <w:lang w:val="es-CO" w:eastAsia="es-CO"/>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73"/>
              <w:jc w:val="right"/>
              <w:rPr>
                <w:rFonts w:cs="Tahoma"/>
                <w:sz w:val="16"/>
                <w:szCs w:val="16"/>
                <w:lang w:val="es-CO" w:eastAsia="es-CO"/>
              </w:rPr>
            </w:pPr>
            <w:r w:rsidRPr="00AC6CAF">
              <w:rPr>
                <w:rFonts w:cs="Tahoma"/>
                <w:sz w:val="16"/>
                <w:szCs w:val="16"/>
                <w:lang w:val="es-CO" w:eastAsia="es-CO"/>
              </w:rPr>
              <w:t>476.775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D524F" w:rsidRPr="00AC6CAF" w:rsidRDefault="006D524F" w:rsidP="006D524F">
            <w:pPr>
              <w:ind w:left="27"/>
              <w:jc w:val="right"/>
              <w:rPr>
                <w:rFonts w:cs="Tahoma"/>
                <w:sz w:val="16"/>
                <w:szCs w:val="16"/>
                <w:lang w:val="es-CO" w:eastAsia="es-CO"/>
              </w:rPr>
            </w:pPr>
            <w:r w:rsidRPr="00AC6CAF">
              <w:rPr>
                <w:rFonts w:cs="Tahoma"/>
                <w:sz w:val="16"/>
                <w:szCs w:val="16"/>
                <w:lang w:val="es-CO" w:eastAsia="es-CO"/>
              </w:rPr>
              <w:t>4.975.146</w:t>
            </w:r>
          </w:p>
        </w:tc>
      </w:tr>
    </w:tbl>
    <w:p w:rsidR="006D524F" w:rsidRPr="006D524F" w:rsidRDefault="006D524F" w:rsidP="006D524F">
      <w:pPr>
        <w:keepNext/>
        <w:suppressAutoHyphens/>
        <w:adjustRightInd w:val="0"/>
        <w:spacing w:after="240"/>
        <w:textAlignment w:val="baseline"/>
        <w:outlineLvl w:val="1"/>
        <w:rPr>
          <w:rFonts w:cs="Arial"/>
          <w:spacing w:val="-3"/>
        </w:rPr>
      </w:pPr>
      <w:r>
        <w:rPr>
          <w:rFonts w:cs="Arial"/>
          <w:b/>
          <w:spacing w:val="-3"/>
        </w:rPr>
        <w:t xml:space="preserve"> </w:t>
      </w:r>
      <w:r>
        <w:rPr>
          <w:rFonts w:cs="Arial"/>
          <w:spacing w:val="-3"/>
        </w:rPr>
        <w:t xml:space="preserve">   </w:t>
      </w:r>
    </w:p>
    <w:p w:rsidR="00C45948" w:rsidRPr="004F7234" w:rsidRDefault="00867957">
      <w:pPr>
        <w:keepNext/>
        <w:numPr>
          <w:ilvl w:val="0"/>
          <w:numId w:val="17"/>
        </w:numPr>
        <w:suppressAutoHyphens/>
        <w:adjustRightInd w:val="0"/>
        <w:spacing w:after="240"/>
        <w:textAlignment w:val="baseline"/>
        <w:outlineLvl w:val="1"/>
        <w:rPr>
          <w:rFonts w:cs="Arial"/>
          <w:b/>
          <w:spacing w:val="-3"/>
        </w:rPr>
      </w:pPr>
      <w:r>
        <w:rPr>
          <w:rFonts w:cs="Arial"/>
          <w:b/>
          <w:spacing w:val="-3"/>
        </w:rPr>
        <w:t>E</w:t>
      </w:r>
      <w:r w:rsidR="00BE00F7">
        <w:rPr>
          <w:rFonts w:cs="Arial"/>
          <w:b/>
          <w:spacing w:val="-3"/>
        </w:rPr>
        <w:t>rrores en la base de activos aprobada</w:t>
      </w:r>
      <w:bookmarkEnd w:id="2"/>
    </w:p>
    <w:p w:rsidR="00C45948" w:rsidRDefault="00BE00F7">
      <w:pPr>
        <w:suppressAutoHyphens/>
        <w:ind w:left="284"/>
        <w:rPr>
          <w:rFonts w:cs="Arial"/>
          <w:spacing w:val="-3"/>
        </w:rPr>
      </w:pPr>
      <w:r>
        <w:rPr>
          <w:rFonts w:cs="Arial"/>
          <w:spacing w:val="-3"/>
        </w:rPr>
        <w:t xml:space="preserve">De acuerdo con los argumentos presentados por Transelca S.A. </w:t>
      </w:r>
      <w:r w:rsidR="00BA24C2">
        <w:rPr>
          <w:rFonts w:cs="Arial"/>
          <w:spacing w:val="-3"/>
        </w:rPr>
        <w:t>E.S.P.</w:t>
      </w:r>
      <w:r w:rsidR="007541D8">
        <w:rPr>
          <w:rFonts w:cs="Arial"/>
          <w:spacing w:val="-3"/>
        </w:rPr>
        <w:t xml:space="preserve">, en la subestación Nueva Barranquilla sólo hay un </w:t>
      </w:r>
      <w:r w:rsidR="00BA24C2">
        <w:rPr>
          <w:rFonts w:cs="Arial"/>
          <w:spacing w:val="-3"/>
        </w:rPr>
        <w:t>transformador 220/110 kV</w:t>
      </w:r>
      <w:r>
        <w:rPr>
          <w:rFonts w:cs="Arial"/>
          <w:spacing w:val="-3"/>
        </w:rPr>
        <w:t xml:space="preserve">, </w:t>
      </w:r>
      <w:r w:rsidR="007541D8">
        <w:rPr>
          <w:rFonts w:cs="Arial"/>
          <w:spacing w:val="-3"/>
        </w:rPr>
        <w:t xml:space="preserve">ya que el otro transformador, </w:t>
      </w:r>
      <w:r>
        <w:rPr>
          <w:rFonts w:cs="Arial"/>
          <w:spacing w:val="-3"/>
        </w:rPr>
        <w:t xml:space="preserve">mostrado en el diagrama unifilar entregado por </w:t>
      </w:r>
      <w:r w:rsidR="002E7002">
        <w:rPr>
          <w:rFonts w:cs="Arial"/>
          <w:spacing w:val="-3"/>
        </w:rPr>
        <w:t>la empresa</w:t>
      </w:r>
      <w:r>
        <w:rPr>
          <w:rFonts w:cs="Arial"/>
          <w:spacing w:val="-3"/>
        </w:rPr>
        <w:t xml:space="preserve"> dentro de la actuación administrativa, nunca ha estado en operación y en la actualidad no se encuentra</w:t>
      </w:r>
      <w:r w:rsidR="001D498E">
        <w:rPr>
          <w:rFonts w:cs="Arial"/>
          <w:spacing w:val="-3"/>
        </w:rPr>
        <w:t xml:space="preserve"> instalado en esta subestación</w:t>
      </w:r>
      <w:r>
        <w:rPr>
          <w:rFonts w:cs="Arial"/>
          <w:spacing w:val="-3"/>
        </w:rPr>
        <w:t>.</w:t>
      </w:r>
    </w:p>
    <w:p w:rsidR="00BA24C2" w:rsidRDefault="00BA24C2">
      <w:pPr>
        <w:suppressAutoHyphens/>
        <w:ind w:left="284"/>
        <w:rPr>
          <w:rFonts w:cs="Arial"/>
          <w:spacing w:val="-3"/>
        </w:rPr>
      </w:pPr>
    </w:p>
    <w:p w:rsidR="007541D8" w:rsidRDefault="007541D8">
      <w:pPr>
        <w:suppressAutoHyphens/>
        <w:ind w:left="284"/>
        <w:rPr>
          <w:rFonts w:cs="Arial"/>
          <w:spacing w:val="-3"/>
        </w:rPr>
      </w:pPr>
      <w:r>
        <w:rPr>
          <w:rFonts w:cs="Arial"/>
          <w:spacing w:val="-3"/>
        </w:rPr>
        <w:t xml:space="preserve">Al respecto, se consultó la base de datos de XM, denominada “Parámetros Técnicos del SIN – </w:t>
      </w:r>
      <w:r w:rsidR="00FF7FAF">
        <w:rPr>
          <w:rFonts w:cs="Arial"/>
          <w:spacing w:val="-3"/>
        </w:rPr>
        <w:t>Paratec</w:t>
      </w:r>
      <w:r>
        <w:rPr>
          <w:rFonts w:cs="Arial"/>
          <w:spacing w:val="-3"/>
        </w:rPr>
        <w:t>”, y otra información disponible en la Comisión</w:t>
      </w:r>
      <w:r w:rsidR="00FF7FAF">
        <w:rPr>
          <w:rFonts w:cs="Arial"/>
          <w:spacing w:val="-3"/>
        </w:rPr>
        <w:t>,</w:t>
      </w:r>
      <w:r>
        <w:rPr>
          <w:rFonts w:cs="Arial"/>
          <w:spacing w:val="-3"/>
        </w:rPr>
        <w:t xml:space="preserve"> donde se verificó que efectivamente en la subestación Nueva Barranquilla sólo hay un transformador en operación.</w:t>
      </w:r>
    </w:p>
    <w:p w:rsidR="007541D8" w:rsidRDefault="007541D8">
      <w:pPr>
        <w:suppressAutoHyphens/>
        <w:ind w:left="284"/>
        <w:rPr>
          <w:rFonts w:cs="Arial"/>
          <w:spacing w:val="-3"/>
        </w:rPr>
      </w:pPr>
    </w:p>
    <w:p w:rsidR="00BE00F7" w:rsidRPr="004F7234" w:rsidRDefault="002E7002">
      <w:pPr>
        <w:suppressAutoHyphens/>
        <w:ind w:left="284"/>
        <w:rPr>
          <w:rFonts w:cs="Arial"/>
        </w:rPr>
      </w:pPr>
      <w:r>
        <w:rPr>
          <w:rFonts w:cs="Arial"/>
          <w:spacing w:val="-3"/>
        </w:rPr>
        <w:t>De lo anterior se deriva que el corte central que hace parte de</w:t>
      </w:r>
      <w:r w:rsidR="00BA24C2">
        <w:rPr>
          <w:rFonts w:cs="Arial"/>
          <w:spacing w:val="-3"/>
        </w:rPr>
        <w:t xml:space="preserve">l diámetro al que se </w:t>
      </w:r>
      <w:r>
        <w:rPr>
          <w:rFonts w:cs="Arial"/>
          <w:spacing w:val="-3"/>
        </w:rPr>
        <w:t>cone</w:t>
      </w:r>
      <w:r w:rsidR="00BA24C2">
        <w:rPr>
          <w:rFonts w:cs="Arial"/>
          <w:spacing w:val="-3"/>
        </w:rPr>
        <w:t>cta</w:t>
      </w:r>
      <w:r>
        <w:rPr>
          <w:rFonts w:cs="Arial"/>
          <w:spacing w:val="-3"/>
        </w:rPr>
        <w:t xml:space="preserve"> la línea Nueva Barranquilla </w:t>
      </w:r>
      <w:r w:rsidR="00BA24C2">
        <w:rPr>
          <w:rFonts w:cs="Arial"/>
          <w:spacing w:val="-3"/>
        </w:rPr>
        <w:t>-</w:t>
      </w:r>
      <w:r>
        <w:rPr>
          <w:rFonts w:cs="Arial"/>
          <w:spacing w:val="-3"/>
        </w:rPr>
        <w:t xml:space="preserve"> Tebsa 220 kV </w:t>
      </w:r>
      <w:r w:rsidR="00BA24C2">
        <w:rPr>
          <w:rFonts w:cs="Arial"/>
          <w:spacing w:val="-3"/>
        </w:rPr>
        <w:t xml:space="preserve">en </w:t>
      </w:r>
      <w:r>
        <w:rPr>
          <w:rFonts w:cs="Arial"/>
          <w:spacing w:val="-3"/>
        </w:rPr>
        <w:t xml:space="preserve">la subestación Nueva Barranquilla sólo se utiliza para la operación de esta línea. Por esta razón, </w:t>
      </w:r>
      <w:r w:rsidR="009D7152">
        <w:rPr>
          <w:rFonts w:cs="Arial"/>
          <w:spacing w:val="-3"/>
        </w:rPr>
        <w:t xml:space="preserve">se </w:t>
      </w:r>
      <w:r w:rsidR="00BE00F7">
        <w:rPr>
          <w:rFonts w:cs="Arial"/>
          <w:spacing w:val="-3"/>
        </w:rPr>
        <w:t xml:space="preserve">considera pertinente la solicitud hecha por Transelca S.A. E.S.P. </w:t>
      </w:r>
      <w:r>
        <w:rPr>
          <w:rFonts w:cs="Arial"/>
          <w:spacing w:val="-3"/>
        </w:rPr>
        <w:t xml:space="preserve">respecto a este corte central, clasificado con la unidad constructiva SE219, </w:t>
      </w:r>
      <w:r w:rsidR="00BE00F7">
        <w:rPr>
          <w:rFonts w:cs="Arial"/>
          <w:spacing w:val="-3"/>
        </w:rPr>
        <w:t xml:space="preserve">y </w:t>
      </w:r>
      <w:r w:rsidR="009D7152">
        <w:rPr>
          <w:rFonts w:cs="Arial"/>
          <w:spacing w:val="-3"/>
        </w:rPr>
        <w:lastRenderedPageBreak/>
        <w:t xml:space="preserve">se propone </w:t>
      </w:r>
      <w:r w:rsidR="000C7FA4">
        <w:rPr>
          <w:rFonts w:cs="Arial"/>
          <w:spacing w:val="-3"/>
        </w:rPr>
        <w:t xml:space="preserve">modificar el porcentaje de uso (PU) </w:t>
      </w:r>
      <w:r w:rsidR="00BE00F7">
        <w:rPr>
          <w:rFonts w:cs="Arial"/>
          <w:spacing w:val="-3"/>
        </w:rPr>
        <w:t>asigna</w:t>
      </w:r>
      <w:r w:rsidR="000C7FA4">
        <w:rPr>
          <w:rFonts w:cs="Arial"/>
          <w:spacing w:val="-3"/>
        </w:rPr>
        <w:t xml:space="preserve">do en la </w:t>
      </w:r>
      <w:r w:rsidR="000C7FA4" w:rsidRPr="000C7FA4">
        <w:rPr>
          <w:rFonts w:cs="Arial"/>
          <w:spacing w:val="-3"/>
        </w:rPr>
        <w:t xml:space="preserve">Base de Activos </w:t>
      </w:r>
      <w:r w:rsidR="000C7FA4">
        <w:rPr>
          <w:rFonts w:cs="Arial"/>
          <w:spacing w:val="-3"/>
        </w:rPr>
        <w:t>aprobada en la Resolución CREG 107 de 2010, cambiándolo de 0,5 a 1,0</w:t>
      </w:r>
      <w:r>
        <w:rPr>
          <w:rFonts w:cs="Arial"/>
          <w:spacing w:val="-3"/>
        </w:rPr>
        <w:t>.</w:t>
      </w:r>
    </w:p>
    <w:p w:rsidR="004009E2" w:rsidRDefault="004009E2">
      <w:pPr>
        <w:suppressAutoHyphens/>
        <w:rPr>
          <w:rFonts w:cs="Arial"/>
          <w:b/>
          <w:spacing w:val="-3"/>
        </w:rPr>
      </w:pPr>
    </w:p>
    <w:p w:rsidR="0080129A" w:rsidRPr="004F7234" w:rsidRDefault="00105950">
      <w:pPr>
        <w:keepNext/>
        <w:numPr>
          <w:ilvl w:val="0"/>
          <w:numId w:val="17"/>
        </w:numPr>
        <w:suppressAutoHyphens/>
        <w:adjustRightInd w:val="0"/>
        <w:spacing w:after="240"/>
        <w:textAlignment w:val="baseline"/>
        <w:outlineLvl w:val="1"/>
        <w:rPr>
          <w:rFonts w:cs="Arial"/>
          <w:b/>
          <w:spacing w:val="-3"/>
        </w:rPr>
      </w:pPr>
      <w:bookmarkStart w:id="5" w:name="_Ref293568395"/>
      <w:r w:rsidRPr="00105950">
        <w:rPr>
          <w:rFonts w:cs="Arial"/>
          <w:b/>
          <w:spacing w:val="-3"/>
        </w:rPr>
        <w:t>Indebido Ajuste del AOM de Referencia</w:t>
      </w:r>
      <w:bookmarkEnd w:id="5"/>
      <w:r w:rsidR="00B92D3F">
        <w:rPr>
          <w:rFonts w:cs="Arial"/>
          <w:b/>
          <w:spacing w:val="-3"/>
        </w:rPr>
        <w:t>.</w:t>
      </w:r>
    </w:p>
    <w:p w:rsidR="00C626F8" w:rsidRPr="00C626F8" w:rsidRDefault="00C626F8">
      <w:pPr>
        <w:suppressAutoHyphens/>
        <w:ind w:left="284"/>
        <w:rPr>
          <w:rFonts w:cs="Arial"/>
          <w:spacing w:val="-3"/>
          <w:lang w:val="es-CO"/>
        </w:rPr>
      </w:pPr>
      <w:r w:rsidRPr="00C626F8">
        <w:rPr>
          <w:rFonts w:cs="Arial"/>
          <w:spacing w:val="-3"/>
          <w:lang w:val="es-CO"/>
        </w:rPr>
        <w:t>En cuanto a la remuneración de los gastos de administración, operación y mantenimiento (AOM), en  el numeral 2.1.2 del anexo general de la Resolución CREG 011 de 2009 se define la forma de calcular la variable “AOM gastado” que después se utiliza para determinar la variable “AOM de referencia” que, a su vez, sirve para obtener el porcentaje de AOM de referencia aprobado en cada resolución particular de los Transmisores Nacionales. Con re</w:t>
      </w:r>
      <w:r w:rsidR="00182AEE">
        <w:rPr>
          <w:rFonts w:cs="Arial"/>
          <w:spacing w:val="-3"/>
          <w:lang w:val="es-CO"/>
        </w:rPr>
        <w:t>lación</w:t>
      </w:r>
      <w:r w:rsidRPr="00C626F8">
        <w:rPr>
          <w:rFonts w:cs="Arial"/>
          <w:spacing w:val="-3"/>
          <w:lang w:val="es-CO"/>
        </w:rPr>
        <w:t xml:space="preserve"> a la información del Plan Único de Cuentas reportada al SUI y la que se debe tener en cuenta para el cálculo de la variable “AOM gastado”, en el tercer inciso del numeral citado se establece:</w:t>
      </w:r>
    </w:p>
    <w:p w:rsidR="00C626F8" w:rsidRPr="00C626F8" w:rsidRDefault="00C626F8">
      <w:pPr>
        <w:suppressAutoHyphens/>
        <w:ind w:left="284"/>
        <w:rPr>
          <w:rFonts w:cs="Arial"/>
          <w:spacing w:val="-3"/>
          <w:lang w:val="es-CO"/>
        </w:rPr>
      </w:pPr>
    </w:p>
    <w:p w:rsidR="00C626F8" w:rsidRPr="00AA489B" w:rsidRDefault="00C626F8">
      <w:pPr>
        <w:suppressAutoHyphens/>
        <w:ind w:left="708" w:right="284"/>
        <w:rPr>
          <w:rFonts w:cs="Arial"/>
          <w:i/>
          <w:spacing w:val="-3"/>
          <w:sz w:val="22"/>
          <w:lang w:val="es-CO"/>
        </w:rPr>
      </w:pPr>
      <w:r w:rsidRPr="00AA489B">
        <w:rPr>
          <w:rFonts w:cs="Arial"/>
          <w:i/>
          <w:spacing w:val="-3"/>
          <w:sz w:val="22"/>
          <w:lang w:val="es-CO"/>
        </w:rPr>
        <w:t>Para lo anterior los TN utilizarán como referencia el listado de cuentas de la Circular 085 de 2008, incluyendo las cuentas 511163, Contratos de Aprendizaje, 512024, Gravámenes a los movimientos financieros, 512025, Impuesto de Timbre y 752090, Otras Amortizaciones, en la parte que corresponde a AOM de la actividad de Transmisión.</w:t>
      </w:r>
    </w:p>
    <w:p w:rsidR="00C626F8" w:rsidRPr="00C626F8" w:rsidRDefault="00C626F8">
      <w:pPr>
        <w:suppressAutoHyphens/>
        <w:ind w:left="284"/>
        <w:rPr>
          <w:rFonts w:cs="Arial"/>
          <w:spacing w:val="-3"/>
          <w:lang w:val="es-CO"/>
        </w:rPr>
      </w:pPr>
    </w:p>
    <w:p w:rsidR="00C626F8" w:rsidRPr="00C626F8" w:rsidRDefault="001A102C">
      <w:pPr>
        <w:suppressAutoHyphens/>
        <w:ind w:left="284"/>
        <w:rPr>
          <w:rFonts w:cs="Arial"/>
          <w:spacing w:val="-3"/>
          <w:lang w:val="es-CO"/>
        </w:rPr>
      </w:pPr>
      <w:r w:rsidRPr="00C626F8">
        <w:rPr>
          <w:rFonts w:cs="Arial"/>
          <w:spacing w:val="-3"/>
          <w:lang w:val="es-CO"/>
        </w:rPr>
        <w:t xml:space="preserve">Se </w:t>
      </w:r>
      <w:r w:rsidR="00C626F8" w:rsidRPr="00C626F8">
        <w:rPr>
          <w:rFonts w:cs="Arial"/>
          <w:spacing w:val="-3"/>
          <w:lang w:val="es-CO"/>
        </w:rPr>
        <w:t>considera</w:t>
      </w:r>
      <w:r>
        <w:rPr>
          <w:rFonts w:cs="Arial"/>
          <w:spacing w:val="-3"/>
          <w:lang w:val="es-CO"/>
        </w:rPr>
        <w:t>, entonces,</w:t>
      </w:r>
      <w:r w:rsidR="00C626F8" w:rsidRPr="00C626F8">
        <w:rPr>
          <w:rFonts w:cs="Arial"/>
          <w:spacing w:val="-3"/>
          <w:lang w:val="es-CO"/>
        </w:rPr>
        <w:t xml:space="preserve"> que en la metodología de remuneración de la actividad de transmisión quedaron explícitas las cuentas a considerar en el cálculo de la variable “AOM gastado”. Además, dentro de la misma metodología se establece la forma como el porcentaje de AOM a reconocer se actualiza anualmente, teniendo en cuenta los gastos de AOM </w:t>
      </w:r>
      <w:r w:rsidR="00782364">
        <w:rPr>
          <w:rFonts w:cs="Arial"/>
          <w:spacing w:val="-3"/>
          <w:lang w:val="es-CO"/>
        </w:rPr>
        <w:t xml:space="preserve">que </w:t>
      </w:r>
      <w:r w:rsidR="00C626F8" w:rsidRPr="00C626F8">
        <w:rPr>
          <w:rFonts w:cs="Arial"/>
          <w:spacing w:val="-3"/>
          <w:lang w:val="es-CO"/>
        </w:rPr>
        <w:t>dem</w:t>
      </w:r>
      <w:r w:rsidR="00782364">
        <w:rPr>
          <w:rFonts w:cs="Arial"/>
          <w:spacing w:val="-3"/>
          <w:lang w:val="es-CO"/>
        </w:rPr>
        <w:t>ue</w:t>
      </w:r>
      <w:r w:rsidR="00C626F8" w:rsidRPr="00C626F8">
        <w:rPr>
          <w:rFonts w:cs="Arial"/>
          <w:spacing w:val="-3"/>
          <w:lang w:val="es-CO"/>
        </w:rPr>
        <w:t>str</w:t>
      </w:r>
      <w:r w:rsidR="00782364">
        <w:rPr>
          <w:rFonts w:cs="Arial"/>
          <w:spacing w:val="-3"/>
          <w:lang w:val="es-CO"/>
        </w:rPr>
        <w:t xml:space="preserve">e el Transmisor Nacional </w:t>
      </w:r>
      <w:r w:rsidR="00C626F8" w:rsidRPr="00C626F8">
        <w:rPr>
          <w:rFonts w:cs="Arial"/>
          <w:spacing w:val="-3"/>
          <w:lang w:val="es-CO"/>
        </w:rPr>
        <w:t>para el año inmediatamente anterior.</w:t>
      </w:r>
    </w:p>
    <w:p w:rsidR="00C626F8" w:rsidRDefault="00C626F8">
      <w:pPr>
        <w:suppressAutoHyphens/>
        <w:ind w:left="284"/>
        <w:rPr>
          <w:rFonts w:cs="Arial"/>
          <w:spacing w:val="-3"/>
        </w:rPr>
      </w:pPr>
    </w:p>
    <w:p w:rsidR="00B40538" w:rsidRDefault="00782364">
      <w:pPr>
        <w:suppressAutoHyphens/>
        <w:ind w:left="284"/>
        <w:rPr>
          <w:rFonts w:cs="Arial"/>
          <w:spacing w:val="-3"/>
        </w:rPr>
      </w:pPr>
      <w:r>
        <w:rPr>
          <w:rFonts w:cs="Arial"/>
          <w:spacing w:val="-3"/>
        </w:rPr>
        <w:t>A</w:t>
      </w:r>
      <w:r w:rsidR="0000704A">
        <w:rPr>
          <w:rFonts w:cs="Arial"/>
          <w:spacing w:val="-3"/>
        </w:rPr>
        <w:t xml:space="preserve"> continuación se presenta</w:t>
      </w:r>
      <w:r w:rsidR="00BA24C2">
        <w:rPr>
          <w:rFonts w:cs="Arial"/>
          <w:spacing w:val="-3"/>
        </w:rPr>
        <w:t xml:space="preserve"> el respectivo análisis</w:t>
      </w:r>
      <w:r w:rsidR="00C626F8" w:rsidRPr="00C626F8">
        <w:rPr>
          <w:rFonts w:cs="Arial"/>
          <w:spacing w:val="-3"/>
        </w:rPr>
        <w:t xml:space="preserve"> </w:t>
      </w:r>
      <w:r w:rsidR="00C626F8">
        <w:rPr>
          <w:rFonts w:cs="Arial"/>
          <w:spacing w:val="-3"/>
        </w:rPr>
        <w:t>para cada uno de los temas expuestos por la recurrente, relacionados con</w:t>
      </w:r>
      <w:r w:rsidR="00B40538">
        <w:rPr>
          <w:rFonts w:cs="Arial"/>
          <w:spacing w:val="-3"/>
        </w:rPr>
        <w:t>:</w:t>
      </w:r>
    </w:p>
    <w:p w:rsidR="0080129A" w:rsidRPr="004F7234" w:rsidRDefault="0080129A">
      <w:pPr>
        <w:suppressAutoHyphens/>
        <w:ind w:left="708"/>
        <w:rPr>
          <w:rFonts w:cs="Arial"/>
        </w:rPr>
      </w:pPr>
    </w:p>
    <w:p w:rsidR="00782364" w:rsidRPr="00AA489B" w:rsidRDefault="0000704A">
      <w:pPr>
        <w:keepNext/>
        <w:numPr>
          <w:ilvl w:val="0"/>
          <w:numId w:val="8"/>
        </w:numPr>
        <w:suppressAutoHyphens/>
        <w:adjustRightInd w:val="0"/>
        <w:spacing w:after="240"/>
        <w:ind w:left="1134" w:hanging="425"/>
        <w:textAlignment w:val="baseline"/>
        <w:rPr>
          <w:rFonts w:cs="Arial"/>
          <w:b/>
        </w:rPr>
      </w:pPr>
      <w:r w:rsidRPr="00AA489B">
        <w:rPr>
          <w:rFonts w:cs="Arial"/>
          <w:b/>
          <w:spacing w:val="-3"/>
        </w:rPr>
        <w:t>El menor valor por Cuenta entre el valor registrado por la Solicitud por el TN y el valor registrado en el sistema PUC del SUI</w:t>
      </w:r>
    </w:p>
    <w:p w:rsidR="007A6868" w:rsidRDefault="00782364">
      <w:pPr>
        <w:suppressAutoHyphens/>
        <w:adjustRightInd w:val="0"/>
        <w:ind w:left="720"/>
        <w:textAlignment w:val="baseline"/>
        <w:rPr>
          <w:rFonts w:cs="Arial"/>
          <w:spacing w:val="-3"/>
        </w:rPr>
      </w:pPr>
      <w:r>
        <w:rPr>
          <w:rFonts w:cs="Arial"/>
          <w:spacing w:val="-3"/>
        </w:rPr>
        <w:t xml:space="preserve">Teniendo en cuenta lo establecido en el </w:t>
      </w:r>
      <w:r w:rsidRPr="00782364">
        <w:rPr>
          <w:rFonts w:cs="Arial"/>
          <w:spacing w:val="-3"/>
          <w:lang w:val="es-CO"/>
        </w:rPr>
        <w:t>numeral 2.1.2 del anexo general de la Resolución CREG 011 de 2009</w:t>
      </w:r>
      <w:r>
        <w:rPr>
          <w:rFonts w:cs="Arial"/>
          <w:spacing w:val="-3"/>
          <w:lang w:val="es-CO"/>
        </w:rPr>
        <w:t xml:space="preserve">, </w:t>
      </w:r>
      <w:r w:rsidR="007A6868">
        <w:rPr>
          <w:rFonts w:cs="Arial"/>
          <w:spacing w:val="-3"/>
        </w:rPr>
        <w:t>los T</w:t>
      </w:r>
      <w:r w:rsidR="003503FF">
        <w:rPr>
          <w:rFonts w:cs="Arial"/>
          <w:spacing w:val="-3"/>
        </w:rPr>
        <w:t xml:space="preserve">ransmisores </w:t>
      </w:r>
      <w:r w:rsidR="007A6868">
        <w:rPr>
          <w:rFonts w:cs="Arial"/>
          <w:spacing w:val="-3"/>
        </w:rPr>
        <w:t>N</w:t>
      </w:r>
      <w:r w:rsidR="003503FF">
        <w:rPr>
          <w:rFonts w:cs="Arial"/>
          <w:spacing w:val="-3"/>
        </w:rPr>
        <w:t>acionales</w:t>
      </w:r>
      <w:r w:rsidR="007A6868">
        <w:rPr>
          <w:rFonts w:cs="Arial"/>
          <w:spacing w:val="-3"/>
        </w:rPr>
        <w:t xml:space="preserve"> únicamente debieron reportar los valores que corresponden a las cuentas incluidas dentro del listado de referencia </w:t>
      </w:r>
      <w:r w:rsidR="00301ECA">
        <w:rPr>
          <w:rFonts w:cs="Arial"/>
          <w:spacing w:val="-3"/>
        </w:rPr>
        <w:t>determinado</w:t>
      </w:r>
      <w:r w:rsidR="007A6868">
        <w:rPr>
          <w:rFonts w:cs="Arial"/>
          <w:spacing w:val="-3"/>
        </w:rPr>
        <w:t>.</w:t>
      </w:r>
    </w:p>
    <w:p w:rsidR="007A6868" w:rsidRDefault="007A6868">
      <w:pPr>
        <w:suppressAutoHyphens/>
        <w:adjustRightInd w:val="0"/>
        <w:ind w:left="720"/>
        <w:textAlignment w:val="baseline"/>
        <w:rPr>
          <w:rFonts w:cs="Arial"/>
          <w:spacing w:val="-3"/>
        </w:rPr>
      </w:pPr>
    </w:p>
    <w:p w:rsidR="006A4FA6" w:rsidRDefault="00782364">
      <w:pPr>
        <w:suppressAutoHyphens/>
        <w:adjustRightInd w:val="0"/>
        <w:ind w:left="720"/>
        <w:textAlignment w:val="baseline"/>
        <w:rPr>
          <w:rFonts w:cs="Arial"/>
          <w:spacing w:val="-3"/>
        </w:rPr>
      </w:pPr>
      <w:r>
        <w:rPr>
          <w:rFonts w:cs="Arial"/>
          <w:spacing w:val="-3"/>
        </w:rPr>
        <w:t>Con base en lo anterior se</w:t>
      </w:r>
      <w:r w:rsidR="007A6868">
        <w:rPr>
          <w:rFonts w:cs="Arial"/>
          <w:spacing w:val="-3"/>
        </w:rPr>
        <w:t xml:space="preserve"> considera </w:t>
      </w:r>
      <w:r w:rsidR="006A4FA6">
        <w:rPr>
          <w:rFonts w:cs="Arial"/>
          <w:spacing w:val="-3"/>
        </w:rPr>
        <w:t>que cuando Transelca S.A. E.S.P. adicionó a las cuentas del listado de referencia valores de otras cuentas</w:t>
      </w:r>
      <w:r w:rsidR="00301ECA">
        <w:rPr>
          <w:rFonts w:cs="Arial"/>
          <w:spacing w:val="-3"/>
        </w:rPr>
        <w:t>,</w:t>
      </w:r>
      <w:r w:rsidR="006A4FA6">
        <w:rPr>
          <w:rFonts w:cs="Arial"/>
          <w:spacing w:val="-3"/>
        </w:rPr>
        <w:t xml:space="preserve"> que no hacen parte del mencionado listado</w:t>
      </w:r>
      <w:r w:rsidR="00C57726">
        <w:rPr>
          <w:rFonts w:cs="Arial"/>
          <w:spacing w:val="-3"/>
        </w:rPr>
        <w:t>,</w:t>
      </w:r>
      <w:r w:rsidR="006A4FA6">
        <w:rPr>
          <w:rFonts w:cs="Arial"/>
          <w:spacing w:val="-3"/>
        </w:rPr>
        <w:t xml:space="preserve"> </w:t>
      </w:r>
      <w:r w:rsidR="00C57726">
        <w:rPr>
          <w:rFonts w:cs="Arial"/>
          <w:spacing w:val="-3"/>
        </w:rPr>
        <w:t xml:space="preserve">no siguió </w:t>
      </w:r>
      <w:r w:rsidR="006A4FA6">
        <w:rPr>
          <w:rFonts w:cs="Arial"/>
          <w:spacing w:val="-3"/>
        </w:rPr>
        <w:t>lo determinado por la regulación</w:t>
      </w:r>
      <w:r w:rsidR="00C57726">
        <w:rPr>
          <w:rFonts w:cs="Arial"/>
          <w:spacing w:val="-3"/>
        </w:rPr>
        <w:t xml:space="preserve"> generando</w:t>
      </w:r>
      <w:r w:rsidR="006A4FA6">
        <w:rPr>
          <w:rFonts w:cs="Arial"/>
          <w:spacing w:val="-3"/>
        </w:rPr>
        <w:t xml:space="preserve"> </w:t>
      </w:r>
      <w:r w:rsidR="004801C2">
        <w:rPr>
          <w:rFonts w:cs="Arial"/>
          <w:spacing w:val="-3"/>
        </w:rPr>
        <w:t xml:space="preserve">diferencias </w:t>
      </w:r>
      <w:r w:rsidR="006A4FA6">
        <w:rPr>
          <w:rFonts w:cs="Arial"/>
          <w:spacing w:val="-3"/>
        </w:rPr>
        <w:t xml:space="preserve">de información entre lo reportado al SUI y </w:t>
      </w:r>
      <w:r>
        <w:rPr>
          <w:rFonts w:cs="Arial"/>
          <w:spacing w:val="-3"/>
        </w:rPr>
        <w:t>lo sol</w:t>
      </w:r>
      <w:r w:rsidR="00FA4F1A">
        <w:rPr>
          <w:rFonts w:cs="Arial"/>
          <w:spacing w:val="-3"/>
        </w:rPr>
        <w:t>i</w:t>
      </w:r>
      <w:r>
        <w:rPr>
          <w:rFonts w:cs="Arial"/>
          <w:spacing w:val="-3"/>
        </w:rPr>
        <w:t xml:space="preserve">citado </w:t>
      </w:r>
      <w:r w:rsidR="006A4FA6">
        <w:rPr>
          <w:rFonts w:cs="Arial"/>
          <w:spacing w:val="-3"/>
        </w:rPr>
        <w:t xml:space="preserve">a la CREG. </w:t>
      </w:r>
    </w:p>
    <w:p w:rsidR="00AF4EE1" w:rsidRDefault="00AF4EE1">
      <w:pPr>
        <w:suppressAutoHyphens/>
        <w:adjustRightInd w:val="0"/>
        <w:ind w:left="720"/>
        <w:textAlignment w:val="baseline"/>
        <w:rPr>
          <w:rFonts w:cs="Arial"/>
          <w:spacing w:val="-3"/>
        </w:rPr>
      </w:pPr>
    </w:p>
    <w:p w:rsidR="00512893" w:rsidRDefault="00AF4EE1">
      <w:pPr>
        <w:suppressAutoHyphens/>
        <w:adjustRightInd w:val="0"/>
        <w:ind w:left="720"/>
        <w:textAlignment w:val="baseline"/>
        <w:rPr>
          <w:rFonts w:cs="Arial"/>
          <w:spacing w:val="-3"/>
        </w:rPr>
      </w:pPr>
      <w:r>
        <w:rPr>
          <w:rFonts w:cs="Arial"/>
          <w:spacing w:val="-3"/>
        </w:rPr>
        <w:t>No obstante, por solicitud de Transelca, se decretó una prueba pericial “</w:t>
      </w:r>
      <w:r w:rsidRPr="00291B2A">
        <w:rPr>
          <w:rFonts w:cs="Arial"/>
          <w:i/>
          <w:spacing w:val="-3"/>
        </w:rPr>
        <w:t>con el fin de que se dictamine sobre la veracidad de la información correspondiente al plan contable de energía eléctrica de Transelca S.A. E.S.P. para los años 2001 a 2007</w:t>
      </w:r>
      <w:r>
        <w:rPr>
          <w:rFonts w:cs="Arial"/>
          <w:spacing w:val="-3"/>
        </w:rPr>
        <w:t xml:space="preserve">”. </w:t>
      </w:r>
    </w:p>
    <w:p w:rsidR="00512893" w:rsidRDefault="00512893" w:rsidP="00512893">
      <w:pPr>
        <w:suppressAutoHyphens/>
        <w:adjustRightInd w:val="0"/>
        <w:ind w:left="720"/>
        <w:textAlignment w:val="baseline"/>
        <w:rPr>
          <w:rFonts w:cs="Arial"/>
          <w:spacing w:val="-3"/>
        </w:rPr>
      </w:pPr>
    </w:p>
    <w:p w:rsidR="00C65EA1" w:rsidRDefault="005360B9" w:rsidP="001A102C">
      <w:pPr>
        <w:suppressAutoHyphens/>
        <w:adjustRightInd w:val="0"/>
        <w:ind w:left="720"/>
        <w:textAlignment w:val="baseline"/>
        <w:rPr>
          <w:rFonts w:cs="Arial"/>
          <w:spacing w:val="-3"/>
        </w:rPr>
      </w:pPr>
      <w:r>
        <w:rPr>
          <w:rFonts w:cs="Arial"/>
          <w:spacing w:val="-3"/>
        </w:rPr>
        <w:t xml:space="preserve">En </w:t>
      </w:r>
      <w:r w:rsidR="00AC6CAF">
        <w:rPr>
          <w:rFonts w:cs="Arial"/>
          <w:spacing w:val="-3"/>
        </w:rPr>
        <w:t xml:space="preserve">la prueba pericial </w:t>
      </w:r>
      <w:r>
        <w:rPr>
          <w:rFonts w:cs="Arial"/>
          <w:spacing w:val="-3"/>
        </w:rPr>
        <w:t xml:space="preserve">se realizó una desagregación de </w:t>
      </w:r>
      <w:r w:rsidR="001A102C">
        <w:rPr>
          <w:rFonts w:cs="Arial"/>
          <w:spacing w:val="-3"/>
        </w:rPr>
        <w:t xml:space="preserve">las </w:t>
      </w:r>
      <w:r>
        <w:rPr>
          <w:rFonts w:cs="Arial"/>
          <w:spacing w:val="-3"/>
        </w:rPr>
        <w:t xml:space="preserve">cuentas </w:t>
      </w:r>
      <w:r w:rsidR="001A102C">
        <w:rPr>
          <w:rFonts w:cs="Arial"/>
          <w:spacing w:val="-3"/>
        </w:rPr>
        <w:t xml:space="preserve">agrupadas por Transelca </w:t>
      </w:r>
      <w:r>
        <w:rPr>
          <w:rFonts w:cs="Arial"/>
          <w:spacing w:val="-3"/>
        </w:rPr>
        <w:t xml:space="preserve">redistribuyendo, en los casos que se identificó la </w:t>
      </w:r>
      <w:r>
        <w:rPr>
          <w:rFonts w:cs="Arial"/>
          <w:spacing w:val="-3"/>
        </w:rPr>
        <w:lastRenderedPageBreak/>
        <w:t xml:space="preserve">necesidad, los valores que pertenecían a cuentas diferentes a las solicitadas inicialmente por </w:t>
      </w:r>
      <w:r w:rsidR="001A102C">
        <w:rPr>
          <w:rFonts w:cs="Arial"/>
          <w:spacing w:val="-3"/>
        </w:rPr>
        <w:t>la empresa</w:t>
      </w:r>
      <w:r>
        <w:rPr>
          <w:rFonts w:cs="Arial"/>
          <w:spacing w:val="-3"/>
        </w:rPr>
        <w:t>.</w:t>
      </w:r>
      <w:r w:rsidR="00222E5B">
        <w:rPr>
          <w:rFonts w:cs="Arial"/>
          <w:spacing w:val="-3"/>
        </w:rPr>
        <w:t xml:space="preserve"> Los resultados obtenidos en la prueba pericial, que se toman como base para tomar la decisión en cuanto al recurso presentado, son los mostrados en la </w:t>
      </w:r>
      <w:r w:rsidR="006623A3">
        <w:rPr>
          <w:rFonts w:cs="Arial"/>
          <w:spacing w:val="-3"/>
        </w:rPr>
        <w:fldChar w:fldCharType="begin"/>
      </w:r>
      <w:r w:rsidR="00222E5B">
        <w:rPr>
          <w:rFonts w:cs="Arial"/>
          <w:spacing w:val="-3"/>
        </w:rPr>
        <w:instrText xml:space="preserve"> REF _Ref294598308 \h </w:instrText>
      </w:r>
      <w:r w:rsidR="006623A3">
        <w:rPr>
          <w:rFonts w:cs="Arial"/>
          <w:spacing w:val="-3"/>
        </w:rPr>
      </w:r>
      <w:r w:rsidR="006623A3">
        <w:rPr>
          <w:rFonts w:cs="Arial"/>
          <w:spacing w:val="-3"/>
        </w:rPr>
        <w:fldChar w:fldCharType="separate"/>
      </w:r>
      <w:r w:rsidR="00217B0D" w:rsidRPr="001A102C">
        <w:rPr>
          <w:sz w:val="22"/>
        </w:rPr>
        <w:t xml:space="preserve">Tabla </w:t>
      </w:r>
      <w:r w:rsidR="00217B0D">
        <w:rPr>
          <w:noProof/>
          <w:sz w:val="22"/>
        </w:rPr>
        <w:t>1</w:t>
      </w:r>
      <w:r w:rsidR="006623A3">
        <w:rPr>
          <w:rFonts w:cs="Arial"/>
          <w:spacing w:val="-3"/>
        </w:rPr>
        <w:fldChar w:fldCharType="end"/>
      </w:r>
      <w:r w:rsidR="00DB64F1">
        <w:rPr>
          <w:rFonts w:cs="Arial"/>
          <w:spacing w:val="-3"/>
        </w:rPr>
        <w:t xml:space="preserve"> y en la </w:t>
      </w:r>
      <w:r w:rsidR="006623A3">
        <w:rPr>
          <w:rFonts w:cs="Arial"/>
          <w:spacing w:val="-3"/>
        </w:rPr>
        <w:fldChar w:fldCharType="begin"/>
      </w:r>
      <w:r w:rsidR="00DB64F1">
        <w:rPr>
          <w:rFonts w:cs="Arial"/>
          <w:spacing w:val="-3"/>
        </w:rPr>
        <w:instrText xml:space="preserve"> REF _Ref294602740 \h </w:instrText>
      </w:r>
      <w:r w:rsidR="006623A3">
        <w:rPr>
          <w:rFonts w:cs="Arial"/>
          <w:spacing w:val="-3"/>
        </w:rPr>
      </w:r>
      <w:r w:rsidR="006623A3">
        <w:rPr>
          <w:rFonts w:cs="Arial"/>
          <w:spacing w:val="-3"/>
        </w:rPr>
        <w:fldChar w:fldCharType="separate"/>
      </w:r>
      <w:r w:rsidR="00217B0D" w:rsidRPr="001A102C">
        <w:rPr>
          <w:sz w:val="22"/>
        </w:rPr>
        <w:t xml:space="preserve">Tabla </w:t>
      </w:r>
      <w:r w:rsidR="00217B0D">
        <w:rPr>
          <w:noProof/>
          <w:sz w:val="22"/>
        </w:rPr>
        <w:t>2</w:t>
      </w:r>
      <w:r w:rsidR="006623A3">
        <w:rPr>
          <w:rFonts w:cs="Arial"/>
          <w:spacing w:val="-3"/>
        </w:rPr>
        <w:fldChar w:fldCharType="end"/>
      </w:r>
      <w:r w:rsidR="00DB64F1">
        <w:rPr>
          <w:rFonts w:cs="Arial"/>
          <w:spacing w:val="-3"/>
        </w:rPr>
        <w:t xml:space="preserve"> presentadas arriba</w:t>
      </w:r>
      <w:r w:rsidR="00222E5B">
        <w:rPr>
          <w:rFonts w:cs="Arial"/>
          <w:spacing w:val="-3"/>
        </w:rPr>
        <w:t>.</w:t>
      </w:r>
    </w:p>
    <w:p w:rsidR="00F81D5F" w:rsidRDefault="00F81D5F" w:rsidP="003503FF">
      <w:pPr>
        <w:suppressAutoHyphens/>
        <w:adjustRightInd w:val="0"/>
        <w:ind w:left="720"/>
        <w:textAlignment w:val="baseline"/>
        <w:rPr>
          <w:rFonts w:cs="Arial"/>
          <w:b/>
          <w:spacing w:val="-3"/>
        </w:rPr>
      </w:pPr>
    </w:p>
    <w:p w:rsidR="00F113E1" w:rsidRPr="00291B2A" w:rsidRDefault="00F113E1" w:rsidP="001A102C">
      <w:pPr>
        <w:suppressAutoHyphens/>
        <w:adjustRightInd w:val="0"/>
        <w:ind w:left="720"/>
        <w:textAlignment w:val="baseline"/>
        <w:rPr>
          <w:i/>
          <w:iCs/>
          <w:spacing w:val="-3"/>
          <w:u w:val="single"/>
          <w:lang w:val="es-CO"/>
        </w:rPr>
      </w:pPr>
      <w:r w:rsidRPr="001A102C">
        <w:rPr>
          <w:rFonts w:cs="Arial"/>
          <w:spacing w:val="-3"/>
        </w:rPr>
        <w:t xml:space="preserve">Con respecto a las </w:t>
      </w:r>
      <w:r w:rsidRPr="001A102C">
        <w:rPr>
          <w:i/>
          <w:iCs/>
          <w:spacing w:val="-3"/>
          <w:lang w:val="es-CO"/>
        </w:rPr>
        <w:t xml:space="preserve">“Diferencias por Cuentas No Consideradas por la CREG en la circular 018 de 2009” </w:t>
      </w:r>
      <w:r w:rsidRPr="001A102C">
        <w:rPr>
          <w:rFonts w:cs="Arial"/>
          <w:spacing w:val="-3"/>
          <w:lang w:val="es-CO"/>
        </w:rPr>
        <w:t>se ratifica lo expresado arriba relacionado con</w:t>
      </w:r>
      <w:r>
        <w:rPr>
          <w:rFonts w:cs="Arial"/>
          <w:spacing w:val="-3"/>
          <w:lang w:val="es-CO"/>
        </w:rPr>
        <w:t xml:space="preserve"> el cálculo de la variable “AOM Gastado”, para la cual sólo se deben utilizar las cuentas definidas en la metodología general de l</w:t>
      </w:r>
      <w:r w:rsidR="00401B17">
        <w:rPr>
          <w:rFonts w:cs="Arial"/>
          <w:spacing w:val="-3"/>
          <w:lang w:val="es-CO"/>
        </w:rPr>
        <w:t>a</w:t>
      </w:r>
      <w:r>
        <w:rPr>
          <w:rFonts w:cs="Arial"/>
          <w:spacing w:val="-3"/>
          <w:lang w:val="es-CO"/>
        </w:rPr>
        <w:t xml:space="preserve"> </w:t>
      </w:r>
      <w:r w:rsidRPr="00F113E1">
        <w:rPr>
          <w:rFonts w:cs="Arial"/>
          <w:spacing w:val="-3"/>
          <w:lang w:val="es-CO"/>
        </w:rPr>
        <w:t>Resolución CREG 011 de 2009</w:t>
      </w:r>
      <w:r>
        <w:rPr>
          <w:rFonts w:cs="Arial"/>
          <w:spacing w:val="-3"/>
          <w:lang w:val="es-CO"/>
        </w:rPr>
        <w:t>, es decir las cuentas identificadas en el numeral 2.1.2 de esa resolución. Por lo tanto, para el cálculo de la mencionada variable sólo se utilizarán esas cuentas.</w:t>
      </w:r>
    </w:p>
    <w:p w:rsidR="00F113E1" w:rsidRPr="00401B17" w:rsidRDefault="00F113E1" w:rsidP="003503FF">
      <w:pPr>
        <w:suppressAutoHyphens/>
        <w:adjustRightInd w:val="0"/>
        <w:ind w:left="720"/>
        <w:textAlignment w:val="baseline"/>
        <w:rPr>
          <w:rFonts w:cs="Arial"/>
          <w:spacing w:val="-3"/>
          <w:lang w:val="es-CO"/>
        </w:rPr>
      </w:pPr>
    </w:p>
    <w:p w:rsidR="00F113E1" w:rsidRPr="005F5663" w:rsidRDefault="00401B17" w:rsidP="00170917">
      <w:pPr>
        <w:suppressAutoHyphens/>
        <w:adjustRightInd w:val="0"/>
        <w:ind w:left="720"/>
        <w:textAlignment w:val="baseline"/>
        <w:rPr>
          <w:i/>
          <w:iCs/>
          <w:spacing w:val="-3"/>
          <w:lang w:val="es-CO"/>
        </w:rPr>
      </w:pPr>
      <w:r w:rsidRPr="005F5663">
        <w:rPr>
          <w:rFonts w:cs="Arial"/>
          <w:spacing w:val="-3"/>
        </w:rPr>
        <w:t xml:space="preserve">En relación con los </w:t>
      </w:r>
      <w:r w:rsidRPr="005F5663">
        <w:rPr>
          <w:i/>
          <w:iCs/>
          <w:spacing w:val="-3"/>
          <w:lang w:val="es-CO"/>
        </w:rPr>
        <w:t xml:space="preserve">“Costos y Gastos Solicitados en Cuentas Equivocadas” </w:t>
      </w:r>
      <w:r w:rsidRPr="005F5663">
        <w:rPr>
          <w:rFonts w:cs="Arial"/>
          <w:spacing w:val="-3"/>
          <w:lang w:val="es-CO"/>
        </w:rPr>
        <w:t xml:space="preserve">se considera que la revisión adelantada por el perito </w:t>
      </w:r>
      <w:r w:rsidR="001A102C" w:rsidRPr="005F5663">
        <w:rPr>
          <w:rFonts w:cs="Arial"/>
          <w:spacing w:val="-3"/>
          <w:lang w:val="es-CO"/>
        </w:rPr>
        <w:t>resuelve</w:t>
      </w:r>
      <w:r w:rsidRPr="005F5663">
        <w:rPr>
          <w:rFonts w:cs="Arial"/>
          <w:spacing w:val="-3"/>
          <w:lang w:val="es-CO"/>
        </w:rPr>
        <w:t xml:space="preserve"> las inquietudes planteadas por la recurrente.</w:t>
      </w:r>
    </w:p>
    <w:p w:rsidR="00F113E1" w:rsidRPr="005F5663" w:rsidRDefault="00F113E1" w:rsidP="00170917">
      <w:pPr>
        <w:suppressAutoHyphens/>
        <w:adjustRightInd w:val="0"/>
        <w:ind w:left="720"/>
        <w:textAlignment w:val="baseline"/>
        <w:rPr>
          <w:rFonts w:cs="Arial"/>
          <w:spacing w:val="-3"/>
          <w:lang w:val="es-CO"/>
        </w:rPr>
      </w:pPr>
    </w:p>
    <w:p w:rsidR="00962EE6" w:rsidRPr="005F5663" w:rsidRDefault="00685339" w:rsidP="00170917">
      <w:pPr>
        <w:suppressAutoHyphens/>
        <w:adjustRightInd w:val="0"/>
        <w:ind w:left="720"/>
        <w:textAlignment w:val="baseline"/>
        <w:rPr>
          <w:rFonts w:cs="Arial"/>
          <w:spacing w:val="-3"/>
        </w:rPr>
      </w:pPr>
      <w:r w:rsidRPr="005F5663">
        <w:rPr>
          <w:rFonts w:cs="Arial"/>
          <w:spacing w:val="-3"/>
        </w:rPr>
        <w:t xml:space="preserve">En cuanto a los </w:t>
      </w:r>
      <w:r w:rsidR="00401B17" w:rsidRPr="005F5663">
        <w:rPr>
          <w:rFonts w:cs="Arial"/>
          <w:i/>
          <w:spacing w:val="-3"/>
        </w:rPr>
        <w:t>“</w:t>
      </w:r>
      <w:r w:rsidR="00401B17" w:rsidRPr="005F5663">
        <w:rPr>
          <w:i/>
          <w:sz w:val="22"/>
        </w:rPr>
        <w:t>Valores reportados por TRANSELCA S.A. E.S.P. que no fueron reconocidos por la CREG”</w:t>
      </w:r>
      <w:r w:rsidR="00401B17" w:rsidRPr="005F5663">
        <w:rPr>
          <w:rFonts w:cs="Arial"/>
          <w:spacing w:val="-3"/>
        </w:rPr>
        <w:t xml:space="preserve"> </w:t>
      </w:r>
      <w:r w:rsidRPr="005F5663">
        <w:rPr>
          <w:rFonts w:cs="Arial"/>
          <w:spacing w:val="-3"/>
        </w:rPr>
        <w:t xml:space="preserve">de las cuentas Otros seguros, 756090 y Vigilancia y Seguridad, 757002, se </w:t>
      </w:r>
      <w:r w:rsidR="004801C2" w:rsidRPr="005F5663">
        <w:rPr>
          <w:rFonts w:cs="Arial"/>
          <w:spacing w:val="-3"/>
        </w:rPr>
        <w:t xml:space="preserve">propone </w:t>
      </w:r>
      <w:r w:rsidRPr="005F5663">
        <w:rPr>
          <w:rFonts w:cs="Arial"/>
          <w:spacing w:val="-3"/>
        </w:rPr>
        <w:t>acepta</w:t>
      </w:r>
      <w:r w:rsidR="004801C2" w:rsidRPr="005F5663">
        <w:rPr>
          <w:rFonts w:cs="Arial"/>
          <w:spacing w:val="-3"/>
        </w:rPr>
        <w:t>r</w:t>
      </w:r>
      <w:r w:rsidRPr="005F5663">
        <w:rPr>
          <w:rFonts w:cs="Arial"/>
          <w:spacing w:val="-3"/>
        </w:rPr>
        <w:t xml:space="preserve"> la solicitud que hace la recurrente e</w:t>
      </w:r>
      <w:r w:rsidR="00401B17" w:rsidRPr="005F5663">
        <w:rPr>
          <w:rFonts w:cs="Arial"/>
          <w:spacing w:val="-3"/>
        </w:rPr>
        <w:t xml:space="preserve"> </w:t>
      </w:r>
      <w:r w:rsidR="0017331F" w:rsidRPr="005F5663">
        <w:rPr>
          <w:rFonts w:cs="Arial"/>
          <w:spacing w:val="-3"/>
        </w:rPr>
        <w:t xml:space="preserve">incluir </w:t>
      </w:r>
      <w:r w:rsidRPr="005F5663">
        <w:rPr>
          <w:rFonts w:cs="Arial"/>
          <w:spacing w:val="-3"/>
        </w:rPr>
        <w:t xml:space="preserve">los valores reportadas para el año 2002. </w:t>
      </w:r>
    </w:p>
    <w:p w:rsidR="00D72F79" w:rsidRPr="005F5663" w:rsidRDefault="00D72F79" w:rsidP="00170917">
      <w:pPr>
        <w:suppressAutoHyphens/>
        <w:adjustRightInd w:val="0"/>
        <w:ind w:left="708"/>
        <w:textAlignment w:val="baseline"/>
        <w:rPr>
          <w:rFonts w:cs="Arial"/>
          <w:spacing w:val="-3"/>
        </w:rPr>
      </w:pPr>
    </w:p>
    <w:p w:rsidR="00D72F79" w:rsidRPr="005F5663" w:rsidRDefault="00D72F79" w:rsidP="00170917">
      <w:pPr>
        <w:suppressAutoHyphens/>
        <w:adjustRightInd w:val="0"/>
        <w:ind w:left="708"/>
        <w:textAlignment w:val="baseline"/>
        <w:rPr>
          <w:rFonts w:cs="Arial"/>
          <w:spacing w:val="-3"/>
        </w:rPr>
      </w:pPr>
      <w:r w:rsidRPr="005F5663">
        <w:rPr>
          <w:rFonts w:cs="Arial"/>
          <w:spacing w:val="-3"/>
        </w:rPr>
        <w:t xml:space="preserve">Acerca de la </w:t>
      </w:r>
      <w:r w:rsidR="00401B17" w:rsidRPr="005F5663">
        <w:rPr>
          <w:rFonts w:cs="Arial"/>
          <w:i/>
          <w:spacing w:val="-3"/>
        </w:rPr>
        <w:t>“Exclusión de los Valores reportados en la Cuenta 581006 -Pérdidas en Siniestros”</w:t>
      </w:r>
      <w:r w:rsidRPr="005F5663">
        <w:rPr>
          <w:rFonts w:cs="Arial"/>
          <w:spacing w:val="-3"/>
        </w:rPr>
        <w:t>, la CREG no encuentra justificación para incluir el valor de esta cuenta dentro del AOM reconocido a Transelca S.A. E.S.P., ya que dicha cuenta no hace parte del listado de referencia que para tal fin se definió en la regulación.</w:t>
      </w:r>
    </w:p>
    <w:p w:rsidR="009611BB" w:rsidRPr="00B40432" w:rsidRDefault="009611BB">
      <w:pPr>
        <w:suppressAutoHyphens/>
        <w:adjustRightInd w:val="0"/>
        <w:ind w:left="708"/>
        <w:textAlignment w:val="baseline"/>
        <w:rPr>
          <w:rFonts w:cs="Arial"/>
          <w:b/>
          <w:spacing w:val="-3"/>
        </w:rPr>
      </w:pPr>
    </w:p>
    <w:p w:rsidR="00DE4813" w:rsidRPr="00DE4813" w:rsidRDefault="00DE4813">
      <w:pPr>
        <w:suppressAutoHyphens/>
        <w:adjustRightInd w:val="0"/>
        <w:ind w:left="708"/>
        <w:textAlignment w:val="baseline"/>
        <w:rPr>
          <w:rFonts w:cs="Arial"/>
          <w:spacing w:val="-3"/>
        </w:rPr>
      </w:pPr>
      <w:r w:rsidRPr="00B40432">
        <w:rPr>
          <w:rFonts w:cs="Arial"/>
          <w:spacing w:val="-3"/>
        </w:rPr>
        <w:t xml:space="preserve">Adicionalmente, se observa que esta cuenta </w:t>
      </w:r>
      <w:r w:rsidR="0052131A" w:rsidRPr="00B40432">
        <w:rPr>
          <w:rFonts w:cs="Arial"/>
          <w:spacing w:val="-3"/>
        </w:rPr>
        <w:t>tampoco</w:t>
      </w:r>
      <w:r w:rsidRPr="00B40432">
        <w:rPr>
          <w:rFonts w:cs="Arial"/>
          <w:spacing w:val="-3"/>
        </w:rPr>
        <w:t xml:space="preserve"> hace parte de las incluidas por Transelca S.A. E.S.P. dentro del reporte hecho al Sistema </w:t>
      </w:r>
      <w:r w:rsidR="00304120" w:rsidRPr="00B40432">
        <w:rPr>
          <w:rFonts w:cs="Arial"/>
          <w:spacing w:val="-3"/>
        </w:rPr>
        <w:t>Unificado</w:t>
      </w:r>
      <w:r w:rsidRPr="00B40432">
        <w:rPr>
          <w:rFonts w:cs="Arial"/>
          <w:spacing w:val="-3"/>
        </w:rPr>
        <w:t xml:space="preserve"> de Costos y Gastos del SUI</w:t>
      </w:r>
      <w:r w:rsidR="001A102C">
        <w:rPr>
          <w:rFonts w:cs="Arial"/>
          <w:spacing w:val="-3"/>
        </w:rPr>
        <w:t>, tal como se puede verificar en la información que sobre este concepto entregó adjunta con el recurso y tomada como base para resolver el punto tratado a continuación</w:t>
      </w:r>
      <w:r w:rsidR="0052131A" w:rsidRPr="00B40432">
        <w:rPr>
          <w:rFonts w:cs="Arial"/>
          <w:spacing w:val="-3"/>
        </w:rPr>
        <w:t>.</w:t>
      </w:r>
    </w:p>
    <w:p w:rsidR="00DE4813" w:rsidRDefault="00DE4813">
      <w:pPr>
        <w:suppressAutoHyphens/>
        <w:adjustRightInd w:val="0"/>
        <w:ind w:left="708"/>
        <w:textAlignment w:val="baseline"/>
        <w:rPr>
          <w:rFonts w:cs="Arial"/>
          <w:b/>
          <w:spacing w:val="-3"/>
        </w:rPr>
      </w:pPr>
    </w:p>
    <w:p w:rsidR="0080129A" w:rsidRPr="004F7234" w:rsidRDefault="00581644">
      <w:pPr>
        <w:keepNext/>
        <w:numPr>
          <w:ilvl w:val="0"/>
          <w:numId w:val="8"/>
        </w:numPr>
        <w:suppressAutoHyphens/>
        <w:adjustRightInd w:val="0"/>
        <w:spacing w:after="240"/>
        <w:ind w:left="1134" w:hanging="425"/>
        <w:textAlignment w:val="baseline"/>
        <w:rPr>
          <w:rFonts w:cs="Arial"/>
          <w:b/>
          <w:spacing w:val="-3"/>
        </w:rPr>
      </w:pPr>
      <w:r w:rsidRPr="00581644">
        <w:rPr>
          <w:rFonts w:cs="Arial"/>
          <w:b/>
          <w:spacing w:val="-3"/>
        </w:rPr>
        <w:t xml:space="preserve">Valores reportados por TRANSELCA S.A. E.S.P. en respuesta a la </w:t>
      </w:r>
      <w:r w:rsidR="004379D1" w:rsidRPr="00581644">
        <w:rPr>
          <w:rFonts w:cs="Arial"/>
          <w:b/>
          <w:spacing w:val="-3"/>
        </w:rPr>
        <w:t xml:space="preserve">Circular </w:t>
      </w:r>
      <w:r w:rsidRPr="00581644">
        <w:rPr>
          <w:rFonts w:cs="Arial"/>
          <w:b/>
          <w:spacing w:val="-3"/>
        </w:rPr>
        <w:t>018 de 2009, superiores a los registrados en el SUI en los años 2006 y 2007.</w:t>
      </w:r>
    </w:p>
    <w:p w:rsidR="0091457C" w:rsidRDefault="00E8758F">
      <w:pPr>
        <w:suppressAutoHyphens/>
        <w:ind w:left="708"/>
        <w:rPr>
          <w:rFonts w:cs="Arial"/>
          <w:spacing w:val="-3"/>
        </w:rPr>
      </w:pPr>
      <w:r>
        <w:rPr>
          <w:rFonts w:cs="Arial"/>
          <w:spacing w:val="-3"/>
        </w:rPr>
        <w:t>Para la expedición de la Resolución CREG 107 de 2010 se utilizó la información reportada por Transelca S.A</w:t>
      </w:r>
      <w:r w:rsidR="0017331F">
        <w:rPr>
          <w:rFonts w:cs="Arial"/>
          <w:spacing w:val="-3"/>
        </w:rPr>
        <w:t>.</w:t>
      </w:r>
      <w:r>
        <w:rPr>
          <w:rFonts w:cs="Arial"/>
          <w:spacing w:val="-3"/>
        </w:rPr>
        <w:t xml:space="preserve"> E.S.P. en respuesta a la </w:t>
      </w:r>
      <w:r w:rsidR="004379D1">
        <w:rPr>
          <w:rFonts w:cs="Arial"/>
          <w:spacing w:val="-3"/>
        </w:rPr>
        <w:t xml:space="preserve">Circular </w:t>
      </w:r>
      <w:r>
        <w:rPr>
          <w:rFonts w:cs="Arial"/>
          <w:spacing w:val="-3"/>
        </w:rPr>
        <w:t>CREG 018 de 2009</w:t>
      </w:r>
      <w:r w:rsidR="0091457C">
        <w:rPr>
          <w:rFonts w:cs="Arial"/>
          <w:spacing w:val="-3"/>
        </w:rPr>
        <w:t>, que en el tercer punto señala:</w:t>
      </w:r>
    </w:p>
    <w:p w:rsidR="0091457C" w:rsidRDefault="0091457C">
      <w:pPr>
        <w:suppressAutoHyphens/>
        <w:ind w:left="708"/>
        <w:rPr>
          <w:rFonts w:cs="Arial"/>
          <w:spacing w:val="-3"/>
        </w:rPr>
      </w:pPr>
    </w:p>
    <w:p w:rsidR="0091457C" w:rsidRPr="0091457C" w:rsidRDefault="0091457C">
      <w:pPr>
        <w:suppressAutoHyphens/>
        <w:ind w:left="1134" w:right="284" w:hanging="282"/>
        <w:rPr>
          <w:rFonts w:cs="Arial"/>
          <w:i/>
          <w:spacing w:val="-3"/>
          <w:sz w:val="22"/>
          <w:lang w:val="es-CO"/>
        </w:rPr>
      </w:pPr>
      <w:r w:rsidRPr="0091457C">
        <w:rPr>
          <w:rFonts w:cs="Arial"/>
          <w:i/>
          <w:spacing w:val="-3"/>
          <w:sz w:val="22"/>
          <w:lang w:val="es-CO"/>
        </w:rPr>
        <w:t>3.</w:t>
      </w:r>
      <w:r>
        <w:rPr>
          <w:rFonts w:cs="Arial"/>
          <w:i/>
          <w:spacing w:val="-3"/>
          <w:sz w:val="22"/>
          <w:lang w:val="es-CO"/>
        </w:rPr>
        <w:tab/>
      </w:r>
      <w:r w:rsidRPr="0091457C">
        <w:rPr>
          <w:rFonts w:cs="Arial"/>
          <w:i/>
          <w:spacing w:val="-3"/>
          <w:sz w:val="22"/>
          <w:lang w:val="es-CO"/>
        </w:rPr>
        <w:t>Después de incluir una fila en blanco, adicionar las filas necesarias para incluir las cuentas y los montos no reportados dentro de la solicitud de aprobación de inventarios, cuyos valores son llevados como costo a la unidad de negocio “Transmisión”</w:t>
      </w:r>
    </w:p>
    <w:p w:rsidR="0091457C" w:rsidRDefault="0091457C">
      <w:pPr>
        <w:suppressAutoHyphens/>
        <w:ind w:left="708"/>
        <w:rPr>
          <w:rFonts w:cs="Arial"/>
          <w:spacing w:val="-3"/>
        </w:rPr>
      </w:pPr>
    </w:p>
    <w:p w:rsidR="0091457C" w:rsidRDefault="0091457C">
      <w:pPr>
        <w:suppressAutoHyphens/>
        <w:ind w:left="708"/>
        <w:rPr>
          <w:rFonts w:cs="Arial"/>
          <w:spacing w:val="-3"/>
        </w:rPr>
      </w:pPr>
      <w:r>
        <w:rPr>
          <w:rFonts w:cs="Arial"/>
          <w:spacing w:val="-3"/>
        </w:rPr>
        <w:t>Como se observa,</w:t>
      </w:r>
      <w:r w:rsidRPr="0091457C">
        <w:rPr>
          <w:rFonts w:cs="Arial"/>
          <w:spacing w:val="-3"/>
        </w:rPr>
        <w:t xml:space="preserve"> en la circular se solicitó la información del reporte de costos para la unidad de negocio de Transmisión</w:t>
      </w:r>
      <w:r>
        <w:rPr>
          <w:rFonts w:cs="Arial"/>
          <w:spacing w:val="-3"/>
        </w:rPr>
        <w:t xml:space="preserve"> y, por lo tanto</w:t>
      </w:r>
      <w:r w:rsidRPr="0091457C">
        <w:rPr>
          <w:rFonts w:cs="Arial"/>
          <w:spacing w:val="-3"/>
        </w:rPr>
        <w:t xml:space="preserve">, el análisis </w:t>
      </w:r>
      <w:r w:rsidRPr="0091457C">
        <w:rPr>
          <w:rFonts w:cs="Arial"/>
          <w:spacing w:val="-3"/>
        </w:rPr>
        <w:lastRenderedPageBreak/>
        <w:t>de esta información se realizó bajo el supuesto de que la información reportada por los transmisores correspondía a la solicitada por la CREG.</w:t>
      </w:r>
    </w:p>
    <w:p w:rsidR="003B7BC4" w:rsidRDefault="003B7BC4" w:rsidP="00E12258">
      <w:pPr>
        <w:suppressAutoHyphens/>
        <w:ind w:left="708"/>
        <w:rPr>
          <w:rFonts w:cs="Arial"/>
          <w:spacing w:val="-3"/>
        </w:rPr>
      </w:pPr>
    </w:p>
    <w:p w:rsidR="00E12258" w:rsidRPr="00E12258" w:rsidRDefault="00E12258" w:rsidP="00BD67E2">
      <w:pPr>
        <w:suppressAutoHyphens/>
        <w:ind w:left="708"/>
        <w:rPr>
          <w:rFonts w:cs="Arial"/>
          <w:spacing w:val="-3"/>
        </w:rPr>
      </w:pPr>
      <w:r w:rsidRPr="00E12258">
        <w:rPr>
          <w:rFonts w:cs="Arial"/>
          <w:spacing w:val="-3"/>
        </w:rPr>
        <w:t>En el recurso la empresa manifiesta que</w:t>
      </w:r>
      <w:r>
        <w:rPr>
          <w:rFonts w:cs="Arial"/>
          <w:spacing w:val="-3"/>
        </w:rPr>
        <w:t>,</w:t>
      </w:r>
      <w:r w:rsidRPr="00E12258">
        <w:rPr>
          <w:rFonts w:cs="Arial"/>
          <w:spacing w:val="-3"/>
        </w:rPr>
        <w:t xml:space="preserve"> </w:t>
      </w:r>
      <w:r>
        <w:rPr>
          <w:rFonts w:cs="Arial"/>
          <w:spacing w:val="-3"/>
        </w:rPr>
        <w:t xml:space="preserve">en respuesta a </w:t>
      </w:r>
      <w:r w:rsidRPr="00E12258">
        <w:rPr>
          <w:rFonts w:cs="Arial"/>
          <w:spacing w:val="-3"/>
        </w:rPr>
        <w:t>la Circular CREG 018</w:t>
      </w:r>
      <w:r>
        <w:rPr>
          <w:rFonts w:cs="Arial"/>
          <w:spacing w:val="-3"/>
        </w:rPr>
        <w:t xml:space="preserve"> de 2009</w:t>
      </w:r>
      <w:r w:rsidRPr="00E12258">
        <w:rPr>
          <w:rFonts w:cs="Arial"/>
          <w:spacing w:val="-3"/>
        </w:rPr>
        <w:t>, reportó la información correspondiente al Balance de Energía, que contiene todo el negocio de energía eléctrica de la empresa y no solamente la información relacionada con el negocio de transmisión reportado al Sistema Unifi</w:t>
      </w:r>
      <w:r>
        <w:rPr>
          <w:rFonts w:cs="Arial"/>
          <w:spacing w:val="-3"/>
        </w:rPr>
        <w:t xml:space="preserve">cado de Costos y Gastos del SUI, indicando que la diferencia entre estos dos reportes </w:t>
      </w:r>
      <w:r w:rsidRPr="00FF7FAF">
        <w:rPr>
          <w:rFonts w:cs="Arial"/>
          <w:i/>
          <w:spacing w:val="-3"/>
        </w:rPr>
        <w:t>“</w:t>
      </w:r>
      <w:r w:rsidR="00BD67E2" w:rsidRPr="00FF7FAF">
        <w:rPr>
          <w:rFonts w:cs="Arial"/>
          <w:i/>
          <w:spacing w:val="-3"/>
        </w:rPr>
        <w:t>son los costos de las provisiones incluidas en la cuenta 53 y el total de los costos de la cuenta 58”</w:t>
      </w:r>
      <w:r w:rsidR="00FF7FAF">
        <w:rPr>
          <w:rFonts w:cs="Arial"/>
          <w:spacing w:val="-3"/>
        </w:rPr>
        <w:t>.</w:t>
      </w:r>
    </w:p>
    <w:p w:rsidR="00E12258" w:rsidRDefault="00E12258" w:rsidP="00E12258">
      <w:pPr>
        <w:suppressAutoHyphens/>
        <w:ind w:left="708"/>
        <w:rPr>
          <w:rFonts w:cs="Arial"/>
          <w:spacing w:val="-3"/>
        </w:rPr>
      </w:pPr>
    </w:p>
    <w:p w:rsidR="003B7BC4" w:rsidRDefault="003B7BC4" w:rsidP="003503FF">
      <w:pPr>
        <w:suppressAutoHyphens/>
        <w:ind w:left="708"/>
        <w:rPr>
          <w:rFonts w:cs="Arial"/>
          <w:spacing w:val="-3"/>
        </w:rPr>
      </w:pPr>
      <w:r>
        <w:rPr>
          <w:rFonts w:cs="Arial"/>
          <w:spacing w:val="-3"/>
        </w:rPr>
        <w:t xml:space="preserve">Por esta razón la CREG concluye que las diferencias, encontradas al contrastar la información reportada a la CREG por la empresa y la que reposa en el SUI, </w:t>
      </w:r>
      <w:r w:rsidR="004379D1">
        <w:rPr>
          <w:rFonts w:cs="Arial"/>
          <w:spacing w:val="-3"/>
        </w:rPr>
        <w:t xml:space="preserve">relacionada con el negocio de transmisión, </w:t>
      </w:r>
      <w:r>
        <w:rPr>
          <w:rFonts w:cs="Arial"/>
          <w:spacing w:val="-3"/>
        </w:rPr>
        <w:t>se debieron a un reporte equivocado de la recurrente tal y como ésta lo manifiesta en el recurso de reposición.</w:t>
      </w:r>
    </w:p>
    <w:p w:rsidR="003B7BC4" w:rsidRDefault="003B7BC4" w:rsidP="00170917">
      <w:pPr>
        <w:suppressAutoHyphens/>
        <w:ind w:left="708"/>
        <w:rPr>
          <w:rFonts w:cs="Arial"/>
          <w:spacing w:val="-3"/>
        </w:rPr>
      </w:pPr>
    </w:p>
    <w:p w:rsidR="003B7BC4" w:rsidRDefault="003B7BC4" w:rsidP="00170917">
      <w:pPr>
        <w:suppressAutoHyphens/>
        <w:ind w:left="708"/>
        <w:rPr>
          <w:rFonts w:cs="Arial"/>
          <w:spacing w:val="-3"/>
        </w:rPr>
      </w:pPr>
      <w:r>
        <w:rPr>
          <w:rFonts w:cs="Arial"/>
          <w:spacing w:val="-3"/>
        </w:rPr>
        <w:t xml:space="preserve">Así, se acepta </w:t>
      </w:r>
      <w:r w:rsidR="00962EE6">
        <w:rPr>
          <w:rFonts w:cs="Arial"/>
          <w:spacing w:val="-3"/>
        </w:rPr>
        <w:t>utilizar</w:t>
      </w:r>
      <w:r>
        <w:rPr>
          <w:rFonts w:cs="Arial"/>
          <w:spacing w:val="-3"/>
        </w:rPr>
        <w:t xml:space="preserve"> la información que Transelca S.A. E.S.P. </w:t>
      </w:r>
      <w:r w:rsidR="004379D1">
        <w:rPr>
          <w:rFonts w:cs="Arial"/>
          <w:spacing w:val="-3"/>
        </w:rPr>
        <w:t xml:space="preserve">adjunta </w:t>
      </w:r>
      <w:r>
        <w:rPr>
          <w:rFonts w:cs="Arial"/>
          <w:spacing w:val="-3"/>
        </w:rPr>
        <w:t>al recurso</w:t>
      </w:r>
      <w:r w:rsidR="00962EE6">
        <w:rPr>
          <w:rFonts w:cs="Arial"/>
          <w:spacing w:val="-3"/>
        </w:rPr>
        <w:t>,</w:t>
      </w:r>
      <w:r>
        <w:rPr>
          <w:rFonts w:cs="Arial"/>
          <w:spacing w:val="-3"/>
        </w:rPr>
        <w:t xml:space="preserve"> </w:t>
      </w:r>
      <w:r w:rsidR="00962EE6">
        <w:rPr>
          <w:rFonts w:cs="Arial"/>
          <w:spacing w:val="-3"/>
        </w:rPr>
        <w:t>c</w:t>
      </w:r>
      <w:r>
        <w:rPr>
          <w:rFonts w:cs="Arial"/>
          <w:spacing w:val="-3"/>
        </w:rPr>
        <w:t>orres</w:t>
      </w:r>
      <w:r w:rsidR="00962EE6">
        <w:rPr>
          <w:rFonts w:cs="Arial"/>
          <w:spacing w:val="-3"/>
        </w:rPr>
        <w:t>pondiente a lo reportado en el Sistema Unificado de Costos y Gastos del SUI</w:t>
      </w:r>
      <w:r w:rsidR="004379D1">
        <w:rPr>
          <w:rFonts w:cs="Arial"/>
          <w:spacing w:val="-3"/>
        </w:rPr>
        <w:t xml:space="preserve"> para el negocio de transmisión</w:t>
      </w:r>
      <w:r w:rsidR="00962EE6">
        <w:rPr>
          <w:rFonts w:cs="Arial"/>
          <w:spacing w:val="-3"/>
        </w:rPr>
        <w:t>.</w:t>
      </w:r>
    </w:p>
    <w:p w:rsidR="00581644" w:rsidRDefault="00581644">
      <w:pPr>
        <w:suppressAutoHyphens/>
        <w:ind w:left="708"/>
        <w:rPr>
          <w:rFonts w:cs="Arial"/>
          <w:spacing w:val="-3"/>
        </w:rPr>
      </w:pPr>
    </w:p>
    <w:p w:rsidR="00962EE6" w:rsidRDefault="00962EE6">
      <w:pPr>
        <w:keepNext/>
        <w:numPr>
          <w:ilvl w:val="0"/>
          <w:numId w:val="17"/>
        </w:numPr>
        <w:suppressAutoHyphens/>
        <w:adjustRightInd w:val="0"/>
        <w:spacing w:after="240"/>
        <w:textAlignment w:val="baseline"/>
        <w:outlineLvl w:val="1"/>
        <w:rPr>
          <w:rFonts w:cs="Arial"/>
          <w:b/>
          <w:spacing w:val="-3"/>
        </w:rPr>
      </w:pPr>
      <w:r>
        <w:rPr>
          <w:rFonts w:cs="Arial"/>
          <w:b/>
          <w:spacing w:val="-3"/>
        </w:rPr>
        <w:t>No reconocimiento de AOM de activos representados</w:t>
      </w:r>
    </w:p>
    <w:p w:rsidR="006E137E" w:rsidRDefault="008156A0">
      <w:pPr>
        <w:suppressAutoHyphens/>
        <w:adjustRightInd w:val="0"/>
        <w:ind w:left="284"/>
        <w:textAlignment w:val="baseline"/>
        <w:rPr>
          <w:rFonts w:cs="Arial"/>
          <w:spacing w:val="-3"/>
        </w:rPr>
      </w:pPr>
      <w:r>
        <w:rPr>
          <w:rFonts w:cs="Arial"/>
          <w:spacing w:val="-3"/>
          <w:lang w:val="es-CO"/>
        </w:rPr>
        <w:t>Transelca S.A. E.S.P.</w:t>
      </w:r>
      <w:r w:rsidR="006E137E">
        <w:rPr>
          <w:rFonts w:cs="Arial"/>
          <w:spacing w:val="-3"/>
          <w:lang w:val="es-CO"/>
        </w:rPr>
        <w:t>, tanto en la solicitud inicial como en el recurso informa que</w:t>
      </w:r>
      <w:r>
        <w:rPr>
          <w:rFonts w:cs="Arial"/>
          <w:spacing w:val="-3"/>
          <w:lang w:val="es-CO"/>
        </w:rPr>
        <w:t xml:space="preserve"> </w:t>
      </w:r>
      <w:r w:rsidR="006E137E">
        <w:rPr>
          <w:rFonts w:cs="Arial"/>
          <w:spacing w:val="-3"/>
          <w:lang w:val="es-CO"/>
        </w:rPr>
        <w:t xml:space="preserve">está </w:t>
      </w:r>
      <w:r>
        <w:rPr>
          <w:rFonts w:cs="Arial"/>
          <w:spacing w:val="-3"/>
          <w:lang w:val="es-CO"/>
        </w:rPr>
        <w:t>representa</w:t>
      </w:r>
      <w:r w:rsidR="006E137E">
        <w:rPr>
          <w:rFonts w:cs="Arial"/>
          <w:spacing w:val="-3"/>
          <w:lang w:val="es-CO"/>
        </w:rPr>
        <w:t>ndo</w:t>
      </w:r>
      <w:r>
        <w:rPr>
          <w:rFonts w:cs="Arial"/>
          <w:spacing w:val="-3"/>
          <w:lang w:val="es-CO"/>
        </w:rPr>
        <w:t xml:space="preserve"> activos de</w:t>
      </w:r>
      <w:r w:rsidR="00F37C63">
        <w:rPr>
          <w:rFonts w:cs="Arial"/>
          <w:spacing w:val="-3"/>
          <w:lang w:val="es-CO"/>
        </w:rPr>
        <w:t>l STN de propiedad de</w:t>
      </w:r>
      <w:r>
        <w:rPr>
          <w:rFonts w:cs="Arial"/>
          <w:spacing w:val="-3"/>
          <w:lang w:val="es-CO"/>
        </w:rPr>
        <w:t xml:space="preserve"> Gecelca S.A. E.S.P. y de Termoflores S.A. E.S.P.</w:t>
      </w:r>
      <w:r w:rsidR="004F39C1">
        <w:rPr>
          <w:rFonts w:cs="Arial"/>
          <w:spacing w:val="-3"/>
          <w:lang w:val="es-CO"/>
        </w:rPr>
        <w:t xml:space="preserve"> </w:t>
      </w:r>
      <w:r w:rsidR="00AC2B59">
        <w:rPr>
          <w:rFonts w:cs="Arial"/>
          <w:spacing w:val="-3"/>
          <w:lang w:val="es-CO"/>
        </w:rPr>
        <w:t xml:space="preserve">y los </w:t>
      </w:r>
      <w:r w:rsidR="00AC2B59" w:rsidRPr="001E0CC3">
        <w:rPr>
          <w:rFonts w:cs="Arial"/>
          <w:i/>
          <w:spacing w:val="-3"/>
          <w:lang w:val="es-CO"/>
        </w:rPr>
        <w:t>“</w:t>
      </w:r>
      <w:r w:rsidR="00AC2B59" w:rsidRPr="001E0CC3">
        <w:rPr>
          <w:rFonts w:cs="Arial"/>
          <w:i/>
          <w:spacing w:val="-3"/>
        </w:rPr>
        <w:t>costos y gastos por las actividades de AOM asociados a estos activos, no se encuentran en la contabilidad de TRANSELCA S.A. E.S.P., porque tales costos y gastos son asumidos por el propietario de los activos”</w:t>
      </w:r>
      <w:r w:rsidR="00AC2B59" w:rsidRPr="00AC2B59">
        <w:rPr>
          <w:rFonts w:cs="Arial"/>
          <w:spacing w:val="-3"/>
        </w:rPr>
        <w:t>.</w:t>
      </w:r>
    </w:p>
    <w:p w:rsidR="006E137E" w:rsidRDefault="006E137E">
      <w:pPr>
        <w:suppressAutoHyphens/>
        <w:adjustRightInd w:val="0"/>
        <w:ind w:left="284"/>
        <w:textAlignment w:val="baseline"/>
        <w:rPr>
          <w:rFonts w:cs="Arial"/>
          <w:spacing w:val="-3"/>
        </w:rPr>
      </w:pPr>
    </w:p>
    <w:p w:rsidR="006E137E" w:rsidRDefault="006E137E">
      <w:pPr>
        <w:suppressAutoHyphens/>
        <w:adjustRightInd w:val="0"/>
        <w:ind w:left="284"/>
        <w:textAlignment w:val="baseline"/>
        <w:rPr>
          <w:rFonts w:cs="Arial"/>
          <w:spacing w:val="-3"/>
          <w:lang w:val="es-CO"/>
        </w:rPr>
      </w:pPr>
      <w:r>
        <w:rPr>
          <w:rFonts w:cs="Arial"/>
          <w:spacing w:val="-3"/>
          <w:lang w:val="es-CO"/>
        </w:rPr>
        <w:t xml:space="preserve">Al respecto en el artículo 8 de la </w:t>
      </w:r>
      <w:r w:rsidRPr="006E137E">
        <w:rPr>
          <w:rFonts w:cs="Arial"/>
          <w:spacing w:val="-3"/>
          <w:lang w:val="es-CO"/>
        </w:rPr>
        <w:t xml:space="preserve">Resolución CREG 011 de 2009 </w:t>
      </w:r>
      <w:r>
        <w:rPr>
          <w:rFonts w:cs="Arial"/>
          <w:spacing w:val="-3"/>
          <w:lang w:val="es-CO"/>
        </w:rPr>
        <w:t>se establece:</w:t>
      </w:r>
    </w:p>
    <w:p w:rsidR="00EA5B85" w:rsidRDefault="00EA5B85">
      <w:pPr>
        <w:suppressAutoHyphens/>
        <w:adjustRightInd w:val="0"/>
        <w:ind w:left="284"/>
        <w:textAlignment w:val="baseline"/>
        <w:rPr>
          <w:rFonts w:cs="Arial"/>
          <w:spacing w:val="-3"/>
          <w:lang w:val="es-CO"/>
        </w:rPr>
      </w:pPr>
    </w:p>
    <w:p w:rsidR="006E137E" w:rsidRPr="00883632" w:rsidRDefault="006E137E" w:rsidP="00883632">
      <w:pPr>
        <w:suppressAutoHyphens/>
        <w:ind w:left="708" w:right="284"/>
        <w:rPr>
          <w:rFonts w:cs="Arial"/>
          <w:i/>
          <w:spacing w:val="-3"/>
          <w:sz w:val="22"/>
          <w:lang w:val="es-CO"/>
        </w:rPr>
      </w:pPr>
      <w:r w:rsidRPr="00883632">
        <w:rPr>
          <w:rFonts w:cs="Arial"/>
          <w:b/>
          <w:i/>
          <w:spacing w:val="-3"/>
          <w:sz w:val="22"/>
          <w:lang w:val="es-CO"/>
        </w:rPr>
        <w:t>Artículo 8. Representación ante el LAC.</w:t>
      </w:r>
      <w:r w:rsidRPr="00883632">
        <w:rPr>
          <w:rFonts w:cs="Arial"/>
          <w:i/>
          <w:spacing w:val="-3"/>
          <w:sz w:val="22"/>
          <w:lang w:val="es-CO"/>
        </w:rPr>
        <w:t xml:space="preserve"> Cada Activo de Uso deberá estar representado ante el LAC por el TN que lo opera. En el caso de que exista multipropiedad del activo entre varios TN, éstos podrán optar por encargar a uno de ellos la operación y representación del activo ante el LAC o informar los porcentajes de participación en dicho activo, los cuales también se aplicarán al ingreso correspondiente al activo. </w:t>
      </w:r>
    </w:p>
    <w:p w:rsidR="006E137E" w:rsidRPr="00883632" w:rsidRDefault="006E137E" w:rsidP="00883632">
      <w:pPr>
        <w:suppressAutoHyphens/>
        <w:ind w:left="708" w:right="284"/>
        <w:rPr>
          <w:rFonts w:cs="Arial"/>
          <w:i/>
          <w:spacing w:val="-3"/>
          <w:sz w:val="22"/>
          <w:lang w:val="es-CO"/>
        </w:rPr>
      </w:pPr>
    </w:p>
    <w:p w:rsidR="006E137E" w:rsidRPr="00883632" w:rsidRDefault="006E137E" w:rsidP="00883632">
      <w:pPr>
        <w:suppressAutoHyphens/>
        <w:ind w:left="708" w:right="284"/>
        <w:rPr>
          <w:rFonts w:cs="Arial"/>
          <w:i/>
          <w:spacing w:val="-3"/>
          <w:sz w:val="22"/>
          <w:lang w:val="es-CO"/>
        </w:rPr>
      </w:pPr>
      <w:r w:rsidRPr="00883632">
        <w:rPr>
          <w:rFonts w:cs="Arial"/>
          <w:i/>
          <w:spacing w:val="-3"/>
          <w:sz w:val="22"/>
          <w:lang w:val="es-CO"/>
        </w:rPr>
        <w:t>Los TN podrán presentar a la CREG una solicitud debidamente justificada para la modificación de los porcentajes de participación la cual, de aprobarse, modificará la base de activos de los respectivos TN. Los cambios en la representación del activo y en la repartición del ingreso se harán efectivos a partir del primer día del mes siguiente a la fecha de entrada en vigencia de la resolución de la CREG que apruebe los cambios.</w:t>
      </w:r>
    </w:p>
    <w:p w:rsidR="006E137E" w:rsidRPr="00883632" w:rsidRDefault="006E137E" w:rsidP="00883632">
      <w:pPr>
        <w:suppressAutoHyphens/>
        <w:ind w:left="708" w:right="284"/>
        <w:rPr>
          <w:rFonts w:cs="Arial"/>
          <w:i/>
          <w:spacing w:val="-3"/>
          <w:sz w:val="22"/>
          <w:lang w:val="es-CO"/>
        </w:rPr>
      </w:pPr>
    </w:p>
    <w:p w:rsidR="006E137E" w:rsidRPr="00883632" w:rsidRDefault="006E137E" w:rsidP="00883632">
      <w:pPr>
        <w:suppressAutoHyphens/>
        <w:ind w:left="708" w:right="284"/>
        <w:rPr>
          <w:rFonts w:cs="Arial"/>
          <w:i/>
          <w:spacing w:val="-3"/>
          <w:sz w:val="22"/>
          <w:lang w:val="es-CO"/>
        </w:rPr>
      </w:pPr>
      <w:r w:rsidRPr="00883632">
        <w:rPr>
          <w:rFonts w:cs="Arial"/>
          <w:i/>
          <w:spacing w:val="-3"/>
          <w:sz w:val="22"/>
          <w:lang w:val="es-CO"/>
        </w:rPr>
        <w:t>En todo caso el responsable de la operación del activo, así no la efectúe directamente, será el TN que representa el activo ante el LAC.</w:t>
      </w:r>
    </w:p>
    <w:p w:rsidR="006E137E" w:rsidRPr="00E82EFA" w:rsidRDefault="006E137E">
      <w:pPr>
        <w:rPr>
          <w:sz w:val="32"/>
        </w:rPr>
      </w:pPr>
    </w:p>
    <w:p w:rsidR="006E137E" w:rsidRPr="001E0CC3" w:rsidRDefault="006E137E">
      <w:pPr>
        <w:suppressAutoHyphens/>
        <w:adjustRightInd w:val="0"/>
        <w:ind w:left="284"/>
        <w:textAlignment w:val="baseline"/>
        <w:rPr>
          <w:rFonts w:cs="Arial"/>
          <w:spacing w:val="-3"/>
        </w:rPr>
      </w:pPr>
      <w:r>
        <w:rPr>
          <w:rFonts w:cs="Arial"/>
          <w:spacing w:val="-3"/>
        </w:rPr>
        <w:t>Con base en lo anterior se considera que siendo el Transmisor el responsable de la operación de los activos, los gastos y costos en que se incurra por estas actividades debe</w:t>
      </w:r>
      <w:r w:rsidR="00037C66">
        <w:rPr>
          <w:rFonts w:cs="Arial"/>
          <w:spacing w:val="-3"/>
        </w:rPr>
        <w:t>ría</w:t>
      </w:r>
      <w:r>
        <w:rPr>
          <w:rFonts w:cs="Arial"/>
          <w:spacing w:val="-3"/>
        </w:rPr>
        <w:t>n hacer parte de la contabilidad del negocio de transmisión.</w:t>
      </w:r>
      <w:r w:rsidR="00037C66">
        <w:rPr>
          <w:rFonts w:cs="Arial"/>
          <w:spacing w:val="-3"/>
        </w:rPr>
        <w:t xml:space="preserve"> </w:t>
      </w:r>
      <w:r w:rsidR="00037C66">
        <w:rPr>
          <w:rFonts w:cs="Arial"/>
          <w:spacing w:val="-3"/>
        </w:rPr>
        <w:lastRenderedPageBreak/>
        <w:t>Tal como lo informa la recurrente estos valores no se encuentran en su contabilidad</w:t>
      </w:r>
      <w:r w:rsidR="00E03EC6">
        <w:rPr>
          <w:rFonts w:cs="Arial"/>
          <w:spacing w:val="-3"/>
        </w:rPr>
        <w:t xml:space="preserve">, por esta razón la CREG considera que los valores reportados de AOM para estos activos no hacen parte de </w:t>
      </w:r>
      <w:r w:rsidR="00037C66">
        <w:rPr>
          <w:rFonts w:cs="Arial"/>
          <w:spacing w:val="-3"/>
        </w:rPr>
        <w:t xml:space="preserve">las cuentas definidas para el cálculo de la variable “AOM Gastado” y por </w:t>
      </w:r>
      <w:r w:rsidR="00E03EC6">
        <w:rPr>
          <w:rFonts w:cs="Arial"/>
          <w:spacing w:val="-3"/>
        </w:rPr>
        <w:t xml:space="preserve">lo </w:t>
      </w:r>
      <w:r w:rsidR="00037C66">
        <w:rPr>
          <w:rFonts w:cs="Arial"/>
          <w:spacing w:val="-3"/>
        </w:rPr>
        <w:t>tanto</w:t>
      </w:r>
      <w:r w:rsidR="00E03EC6">
        <w:rPr>
          <w:rFonts w:cs="Arial"/>
          <w:spacing w:val="-3"/>
        </w:rPr>
        <w:t xml:space="preserve"> no se incluyen en su cálculo.</w:t>
      </w:r>
    </w:p>
    <w:p w:rsidR="006E137E" w:rsidRDefault="006E137E">
      <w:pPr>
        <w:suppressAutoHyphens/>
        <w:adjustRightInd w:val="0"/>
        <w:ind w:left="284"/>
        <w:textAlignment w:val="baseline"/>
        <w:rPr>
          <w:rFonts w:cs="Arial"/>
          <w:spacing w:val="-3"/>
          <w:lang w:val="es-CO"/>
        </w:rPr>
      </w:pPr>
    </w:p>
    <w:p w:rsidR="0094185F" w:rsidRDefault="00F77405">
      <w:pPr>
        <w:keepNext/>
        <w:numPr>
          <w:ilvl w:val="0"/>
          <w:numId w:val="17"/>
        </w:numPr>
        <w:suppressAutoHyphens/>
        <w:adjustRightInd w:val="0"/>
        <w:spacing w:after="240"/>
        <w:textAlignment w:val="baseline"/>
        <w:outlineLvl w:val="1"/>
        <w:rPr>
          <w:rFonts w:cs="Arial"/>
          <w:b/>
          <w:spacing w:val="-3"/>
        </w:rPr>
      </w:pPr>
      <w:r>
        <w:rPr>
          <w:rFonts w:cs="Arial"/>
          <w:b/>
          <w:spacing w:val="-3"/>
        </w:rPr>
        <w:t>No r</w:t>
      </w:r>
      <w:r w:rsidR="0094185F" w:rsidRPr="0094185F">
        <w:rPr>
          <w:rFonts w:cs="Arial"/>
          <w:b/>
          <w:spacing w:val="-3"/>
        </w:rPr>
        <w:t>econocimiento</w:t>
      </w:r>
      <w:r>
        <w:rPr>
          <w:rFonts w:cs="Arial"/>
          <w:b/>
          <w:spacing w:val="-3"/>
        </w:rPr>
        <w:t xml:space="preserve"> de AOM correspondientes a las b</w:t>
      </w:r>
      <w:r w:rsidR="0094185F" w:rsidRPr="0094185F">
        <w:rPr>
          <w:rFonts w:cs="Arial"/>
          <w:b/>
          <w:spacing w:val="-3"/>
        </w:rPr>
        <w:t>ahías que estaban siendo remuneradas mediante cargos de conexión y pasaron a ser r</w:t>
      </w:r>
      <w:r>
        <w:rPr>
          <w:rFonts w:cs="Arial"/>
          <w:b/>
          <w:spacing w:val="-3"/>
        </w:rPr>
        <w:t>emuneradas mediante cargos por u</w:t>
      </w:r>
      <w:r w:rsidR="0094185F" w:rsidRPr="0094185F">
        <w:rPr>
          <w:rFonts w:cs="Arial"/>
          <w:b/>
          <w:spacing w:val="-3"/>
        </w:rPr>
        <w:t>so del STN.</w:t>
      </w:r>
    </w:p>
    <w:p w:rsidR="00BE64A7" w:rsidRDefault="00964DF0">
      <w:pPr>
        <w:suppressAutoHyphens/>
        <w:adjustRightInd w:val="0"/>
        <w:ind w:left="284"/>
        <w:textAlignment w:val="baseline"/>
        <w:rPr>
          <w:rFonts w:cs="Arial"/>
          <w:spacing w:val="-3"/>
        </w:rPr>
      </w:pPr>
      <w:r>
        <w:rPr>
          <w:rFonts w:cs="Arial"/>
          <w:spacing w:val="-3"/>
        </w:rPr>
        <w:t>De acuerdo con lo establecido en la metodología de la Resolución CREG 011 de 2009,</w:t>
      </w:r>
      <w:r w:rsidR="004511D3">
        <w:rPr>
          <w:rFonts w:cs="Arial"/>
          <w:spacing w:val="-3"/>
        </w:rPr>
        <w:t xml:space="preserve"> </w:t>
      </w:r>
      <w:r w:rsidR="00BE64A7">
        <w:rPr>
          <w:rFonts w:cs="Arial"/>
          <w:spacing w:val="-3"/>
        </w:rPr>
        <w:t>el porcentaje de AOM a reconocer a las empresas será modificado anualmente</w:t>
      </w:r>
      <w:r w:rsidR="002E60C9">
        <w:rPr>
          <w:rFonts w:cs="Arial"/>
          <w:spacing w:val="-3"/>
        </w:rPr>
        <w:t>, con base en los gastos y costos que se demuestren para el año anterior a la actualización</w:t>
      </w:r>
      <w:r w:rsidR="00BE64A7">
        <w:rPr>
          <w:rFonts w:cs="Arial"/>
          <w:spacing w:val="-3"/>
        </w:rPr>
        <w:t xml:space="preserve">. </w:t>
      </w:r>
    </w:p>
    <w:p w:rsidR="00BE64A7" w:rsidRDefault="00BE64A7">
      <w:pPr>
        <w:suppressAutoHyphens/>
        <w:adjustRightInd w:val="0"/>
        <w:ind w:left="284"/>
        <w:textAlignment w:val="baseline"/>
        <w:rPr>
          <w:rFonts w:cs="Arial"/>
          <w:spacing w:val="-3"/>
        </w:rPr>
      </w:pPr>
    </w:p>
    <w:p w:rsidR="00BE64A7" w:rsidRDefault="002E60C9">
      <w:pPr>
        <w:suppressAutoHyphens/>
        <w:adjustRightInd w:val="0"/>
        <w:ind w:left="284"/>
        <w:textAlignment w:val="baseline"/>
        <w:rPr>
          <w:rFonts w:cs="Arial"/>
          <w:spacing w:val="-3"/>
        </w:rPr>
      </w:pPr>
      <w:r>
        <w:rPr>
          <w:rFonts w:cs="Arial"/>
          <w:spacing w:val="-3"/>
        </w:rPr>
        <w:t>Así</w:t>
      </w:r>
      <w:r w:rsidR="00BE64A7">
        <w:rPr>
          <w:rFonts w:cs="Arial"/>
          <w:spacing w:val="-3"/>
        </w:rPr>
        <w:t>, la CREG considera que los costos y gastos relacionados con las bahías de configuración anillo e interruptor y medio, que ahora hacen parte de la base de activos de los transmisores, serán reconocidos a estas empresas en el momento en el que presenten la información anual de gastos y se surta el procedimiento para establecer el porcentaje de AOM a reconocer de que trata el numeral 2.3 del anexo general de la Resolución CREG 011 de 2009.</w:t>
      </w:r>
      <w:r>
        <w:rPr>
          <w:rFonts w:cs="Arial"/>
          <w:spacing w:val="-3"/>
        </w:rPr>
        <w:t xml:space="preserve"> Por lo tanto no se encuentra justificación para hacer </w:t>
      </w:r>
      <w:r w:rsidR="00C0253A">
        <w:rPr>
          <w:rFonts w:cs="Arial"/>
          <w:spacing w:val="-3"/>
        </w:rPr>
        <w:t xml:space="preserve">en esta instancia </w:t>
      </w:r>
      <w:r>
        <w:rPr>
          <w:rFonts w:cs="Arial"/>
          <w:spacing w:val="-3"/>
        </w:rPr>
        <w:t>el ajuste solicitado por la recurrente</w:t>
      </w:r>
      <w:r w:rsidR="00C0253A">
        <w:rPr>
          <w:rFonts w:cs="Arial"/>
          <w:spacing w:val="-3"/>
        </w:rPr>
        <w:t>, pues la regulación vigente tiene plenamente establecido los momentos para contemplar dichos ajustes</w:t>
      </w:r>
      <w:r>
        <w:rPr>
          <w:rFonts w:cs="Arial"/>
          <w:spacing w:val="-3"/>
        </w:rPr>
        <w:t xml:space="preserve">. </w:t>
      </w:r>
    </w:p>
    <w:p w:rsidR="00BE64A7" w:rsidRDefault="00BE64A7">
      <w:pPr>
        <w:suppressAutoHyphens/>
        <w:adjustRightInd w:val="0"/>
        <w:ind w:left="284"/>
        <w:textAlignment w:val="baseline"/>
        <w:rPr>
          <w:rFonts w:cs="Arial"/>
          <w:spacing w:val="-3"/>
        </w:rPr>
      </w:pPr>
    </w:p>
    <w:p w:rsidR="0023176A" w:rsidRDefault="006B1919">
      <w:pPr>
        <w:keepNext/>
        <w:numPr>
          <w:ilvl w:val="0"/>
          <w:numId w:val="17"/>
        </w:numPr>
        <w:suppressAutoHyphens/>
        <w:adjustRightInd w:val="0"/>
        <w:spacing w:after="240"/>
        <w:textAlignment w:val="baseline"/>
        <w:outlineLvl w:val="1"/>
        <w:rPr>
          <w:rFonts w:cs="Arial"/>
          <w:b/>
          <w:spacing w:val="-3"/>
        </w:rPr>
      </w:pPr>
      <w:r>
        <w:rPr>
          <w:rFonts w:cs="Arial"/>
          <w:b/>
          <w:spacing w:val="-3"/>
        </w:rPr>
        <w:t>C</w:t>
      </w:r>
      <w:r w:rsidR="0023176A" w:rsidRPr="0023176A">
        <w:rPr>
          <w:rFonts w:cs="Arial"/>
          <w:b/>
          <w:spacing w:val="-3"/>
        </w:rPr>
        <w:t>osto Anual Equivalente de Servidumbres (CAESj).</w:t>
      </w:r>
    </w:p>
    <w:p w:rsidR="0076761A" w:rsidRDefault="00187D6B">
      <w:pPr>
        <w:suppressAutoHyphens/>
        <w:adjustRightInd w:val="0"/>
        <w:ind w:left="284"/>
        <w:textAlignment w:val="baseline"/>
        <w:rPr>
          <w:rFonts w:cs="Arial"/>
          <w:spacing w:val="-3"/>
        </w:rPr>
      </w:pPr>
      <w:r>
        <w:rPr>
          <w:rFonts w:cs="Arial"/>
          <w:spacing w:val="-3"/>
        </w:rPr>
        <w:t xml:space="preserve">En el parágrafo del artículo 5 de la Resolución CREG 011 de 2008 se estableció </w:t>
      </w:r>
      <w:r w:rsidRPr="00521350">
        <w:rPr>
          <w:rFonts w:cs="Arial"/>
          <w:spacing w:val="-3"/>
        </w:rPr>
        <w:t xml:space="preserve">que </w:t>
      </w:r>
      <w:r w:rsidR="00521350">
        <w:rPr>
          <w:rFonts w:cs="Arial"/>
          <w:spacing w:val="-3"/>
        </w:rPr>
        <w:t>“</w:t>
      </w:r>
      <w:r w:rsidRPr="00521350">
        <w:rPr>
          <w:rFonts w:cs="Arial"/>
          <w:i/>
          <w:spacing w:val="-3"/>
        </w:rPr>
        <w:t xml:space="preserve">el valor a remunerar </w:t>
      </w:r>
      <w:r w:rsidR="00196C3B" w:rsidRPr="00521350">
        <w:rPr>
          <w:rFonts w:cs="Arial"/>
          <w:i/>
          <w:spacing w:val="-3"/>
        </w:rPr>
        <w:t>a cada TN por concepto de servidumbre de líneas será el valor anual que éste demuestre con la información entregada al momento del reporte del inventario de sus activos</w:t>
      </w:r>
      <w:r w:rsidR="00521350">
        <w:rPr>
          <w:rFonts w:cs="Arial"/>
          <w:spacing w:val="-3"/>
        </w:rPr>
        <w:t>”</w:t>
      </w:r>
      <w:r w:rsidR="00196C3B">
        <w:rPr>
          <w:rFonts w:cs="Arial"/>
          <w:spacing w:val="-3"/>
        </w:rPr>
        <w:t>. Según esto</w:t>
      </w:r>
      <w:r w:rsidR="00867957">
        <w:rPr>
          <w:rFonts w:cs="Arial"/>
          <w:spacing w:val="-3"/>
        </w:rPr>
        <w:t>,</w:t>
      </w:r>
      <w:r w:rsidR="00196C3B">
        <w:rPr>
          <w:rFonts w:cs="Arial"/>
          <w:spacing w:val="-3"/>
        </w:rPr>
        <w:t xml:space="preserve"> la CREG utilizó la información de servidumbres reportada por Transelca mediante comunicaciones con radicados CREG E-2009-003664 y E-2009-003669</w:t>
      </w:r>
      <w:r w:rsidR="00B56945">
        <w:rPr>
          <w:rFonts w:cs="Arial"/>
          <w:spacing w:val="-3"/>
        </w:rPr>
        <w:t>, de abril 27 de 2009</w:t>
      </w:r>
      <w:r w:rsidR="00196C3B">
        <w:rPr>
          <w:rFonts w:cs="Arial"/>
          <w:spacing w:val="-3"/>
        </w:rPr>
        <w:t>.</w:t>
      </w:r>
    </w:p>
    <w:p w:rsidR="00196C3B" w:rsidRDefault="00196C3B">
      <w:pPr>
        <w:suppressAutoHyphens/>
        <w:adjustRightInd w:val="0"/>
        <w:ind w:left="284"/>
        <w:textAlignment w:val="baseline"/>
        <w:rPr>
          <w:rFonts w:cs="Arial"/>
          <w:spacing w:val="-3"/>
        </w:rPr>
      </w:pPr>
    </w:p>
    <w:p w:rsidR="00196C3B" w:rsidRDefault="00196C3B">
      <w:pPr>
        <w:suppressAutoHyphens/>
        <w:adjustRightInd w:val="0"/>
        <w:ind w:left="284"/>
        <w:textAlignment w:val="baseline"/>
        <w:rPr>
          <w:rFonts w:cs="Arial"/>
          <w:spacing w:val="-3"/>
        </w:rPr>
      </w:pPr>
      <w:r>
        <w:rPr>
          <w:rFonts w:cs="Arial"/>
          <w:spacing w:val="-3"/>
        </w:rPr>
        <w:t>Por lo anterior, la solicitud hecha por Transelca S.A. E.S.P.</w:t>
      </w:r>
      <w:r w:rsidR="00867957">
        <w:rPr>
          <w:rFonts w:cs="Arial"/>
          <w:spacing w:val="-3"/>
        </w:rPr>
        <w:t>,</w:t>
      </w:r>
      <w:r>
        <w:rPr>
          <w:rFonts w:cs="Arial"/>
          <w:spacing w:val="-3"/>
        </w:rPr>
        <w:t xml:space="preserve"> mediante comunicación E-2010-0</w:t>
      </w:r>
      <w:r w:rsidR="003E6108">
        <w:rPr>
          <w:rFonts w:cs="Arial"/>
          <w:spacing w:val="-3"/>
        </w:rPr>
        <w:t xml:space="preserve">01312 de febrero 15 de 2010, no </w:t>
      </w:r>
      <w:r w:rsidR="00867957">
        <w:rPr>
          <w:rFonts w:cs="Arial"/>
          <w:spacing w:val="-3"/>
        </w:rPr>
        <w:t>fu</w:t>
      </w:r>
      <w:r w:rsidR="006F6BFA">
        <w:rPr>
          <w:rFonts w:cs="Arial"/>
          <w:spacing w:val="-3"/>
        </w:rPr>
        <w:t xml:space="preserve">e </w:t>
      </w:r>
      <w:r w:rsidR="003E6108">
        <w:rPr>
          <w:rFonts w:cs="Arial"/>
          <w:spacing w:val="-3"/>
        </w:rPr>
        <w:t>consider</w:t>
      </w:r>
      <w:r w:rsidR="00867957">
        <w:rPr>
          <w:rFonts w:cs="Arial"/>
          <w:spacing w:val="-3"/>
        </w:rPr>
        <w:t>ada</w:t>
      </w:r>
      <w:r w:rsidR="003E6108">
        <w:rPr>
          <w:rFonts w:cs="Arial"/>
          <w:spacing w:val="-3"/>
        </w:rPr>
        <w:t xml:space="preserve"> por la CREG</w:t>
      </w:r>
      <w:r w:rsidR="00867957">
        <w:rPr>
          <w:rFonts w:cs="Arial"/>
          <w:spacing w:val="-3"/>
        </w:rPr>
        <w:t xml:space="preserve"> en la aprobación de la </w:t>
      </w:r>
      <w:r w:rsidR="00867957" w:rsidRPr="00867957">
        <w:rPr>
          <w:rFonts w:cs="Arial"/>
          <w:spacing w:val="-3"/>
        </w:rPr>
        <w:t xml:space="preserve">Resolución CREG </w:t>
      </w:r>
      <w:r w:rsidR="00867957">
        <w:rPr>
          <w:rFonts w:cs="Arial"/>
          <w:spacing w:val="-3"/>
        </w:rPr>
        <w:t>107</w:t>
      </w:r>
      <w:r w:rsidR="00867957" w:rsidRPr="00867957">
        <w:rPr>
          <w:rFonts w:cs="Arial"/>
          <w:spacing w:val="-3"/>
        </w:rPr>
        <w:t xml:space="preserve"> de 20</w:t>
      </w:r>
      <w:r w:rsidR="00867957">
        <w:rPr>
          <w:rFonts w:cs="Arial"/>
          <w:spacing w:val="-3"/>
        </w:rPr>
        <w:t>10,</w:t>
      </w:r>
      <w:r w:rsidR="003E6108">
        <w:rPr>
          <w:rFonts w:cs="Arial"/>
          <w:spacing w:val="-3"/>
        </w:rPr>
        <w:t xml:space="preserve"> pues no fue entregada en el momento de reporte del inventario de activos.</w:t>
      </w:r>
    </w:p>
    <w:p w:rsidR="003E6108" w:rsidRDefault="003E6108">
      <w:pPr>
        <w:suppressAutoHyphens/>
        <w:adjustRightInd w:val="0"/>
        <w:ind w:left="284"/>
        <w:textAlignment w:val="baseline"/>
        <w:rPr>
          <w:rFonts w:cs="Arial"/>
          <w:spacing w:val="-3"/>
        </w:rPr>
      </w:pPr>
    </w:p>
    <w:p w:rsidR="003E6108" w:rsidRDefault="003E6108">
      <w:pPr>
        <w:suppressAutoHyphens/>
        <w:adjustRightInd w:val="0"/>
        <w:ind w:left="284"/>
        <w:textAlignment w:val="baseline"/>
        <w:rPr>
          <w:rFonts w:cs="Arial"/>
          <w:spacing w:val="-3"/>
        </w:rPr>
      </w:pPr>
      <w:r>
        <w:rPr>
          <w:rFonts w:cs="Arial"/>
          <w:spacing w:val="-3"/>
        </w:rPr>
        <w:t>Adicional a esto, en el numeral 2.2.1 del documento CREG 083 de 2010, la CREG mencionó que:</w:t>
      </w:r>
    </w:p>
    <w:p w:rsidR="003E6108" w:rsidRDefault="003E6108">
      <w:pPr>
        <w:suppressAutoHyphens/>
        <w:adjustRightInd w:val="0"/>
        <w:ind w:left="284"/>
        <w:textAlignment w:val="baseline"/>
        <w:rPr>
          <w:rFonts w:cs="Arial"/>
          <w:spacing w:val="-3"/>
        </w:rPr>
      </w:pPr>
    </w:p>
    <w:p w:rsidR="003E6108" w:rsidRPr="005F5663" w:rsidRDefault="00B56945">
      <w:pPr>
        <w:suppressAutoHyphens/>
        <w:adjustRightInd w:val="0"/>
        <w:ind w:left="698" w:right="425"/>
        <w:textAlignment w:val="baseline"/>
        <w:rPr>
          <w:rFonts w:cs="Arial"/>
          <w:i/>
          <w:spacing w:val="-3"/>
          <w:sz w:val="22"/>
        </w:rPr>
      </w:pPr>
      <w:r w:rsidRPr="005F5663">
        <w:rPr>
          <w:rFonts w:cs="Arial"/>
          <w:i/>
          <w:spacing w:val="-3"/>
          <w:sz w:val="22"/>
        </w:rPr>
        <w:t>“</w:t>
      </w:r>
      <w:r w:rsidR="003E6108" w:rsidRPr="005F5663">
        <w:rPr>
          <w:rFonts w:cs="Arial"/>
          <w:i/>
          <w:spacing w:val="-3"/>
          <w:sz w:val="22"/>
        </w:rPr>
        <w:t xml:space="preserve">(…) dado que los valores </w:t>
      </w:r>
      <w:r w:rsidRPr="005F5663">
        <w:rPr>
          <w:rFonts w:cs="Arial"/>
          <w:i/>
          <w:spacing w:val="-3"/>
          <w:sz w:val="22"/>
        </w:rPr>
        <w:t>reportados por el TN corresponden a pagos únicos, se considera que la utilización de estas servidumbre va más allá de la vida útil estimada para las unidades constructivas de líneas aprobadas en la Resolución CREG 011 de 2009, por lo que se propone calcular una cuota anual a perpetuidad.”</w:t>
      </w:r>
    </w:p>
    <w:p w:rsidR="003E6108" w:rsidRDefault="003E6108">
      <w:pPr>
        <w:suppressAutoHyphens/>
        <w:adjustRightInd w:val="0"/>
        <w:ind w:left="284"/>
        <w:textAlignment w:val="baseline"/>
        <w:rPr>
          <w:rFonts w:cs="Arial"/>
          <w:spacing w:val="-3"/>
        </w:rPr>
      </w:pPr>
    </w:p>
    <w:p w:rsidR="00B56945" w:rsidRDefault="00B56945">
      <w:pPr>
        <w:suppressAutoHyphens/>
        <w:adjustRightInd w:val="0"/>
        <w:ind w:left="284"/>
        <w:textAlignment w:val="baseline"/>
        <w:rPr>
          <w:rFonts w:cs="Arial"/>
          <w:spacing w:val="-3"/>
        </w:rPr>
      </w:pPr>
      <w:r>
        <w:rPr>
          <w:rFonts w:cs="Arial"/>
          <w:spacing w:val="-3"/>
        </w:rPr>
        <w:t>Así</w:t>
      </w:r>
      <w:r w:rsidR="0015572C">
        <w:rPr>
          <w:rFonts w:cs="Arial"/>
          <w:spacing w:val="-3"/>
        </w:rPr>
        <w:t>,</w:t>
      </w:r>
      <w:r>
        <w:rPr>
          <w:rFonts w:cs="Arial"/>
          <w:spacing w:val="-3"/>
        </w:rPr>
        <w:t xml:space="preserve"> el cálculo hecho por Transelca S.A. E.S.P. en el que se obtiene un Costo Anual Equivalente de Servidumbres de $2.771.929.177 de diciembre de 2008 es calculado con vida útil de 40 años, razón por la cual se encuentra la </w:t>
      </w:r>
      <w:r>
        <w:rPr>
          <w:rFonts w:cs="Arial"/>
          <w:spacing w:val="-3"/>
        </w:rPr>
        <w:lastRenderedPageBreak/>
        <w:t>primera diferencia respecto al valor calculado por la CREG</w:t>
      </w:r>
      <w:r w:rsidR="0015572C">
        <w:rPr>
          <w:rFonts w:cs="Arial"/>
          <w:spacing w:val="-3"/>
        </w:rPr>
        <w:t xml:space="preserve"> que, como se mencionó el Documento CREG 083 de 2010, consideró vida útil infinita</w:t>
      </w:r>
      <w:r>
        <w:rPr>
          <w:rFonts w:cs="Arial"/>
          <w:spacing w:val="-3"/>
        </w:rPr>
        <w:t>.</w:t>
      </w:r>
    </w:p>
    <w:p w:rsidR="00B56945" w:rsidRDefault="00B56945">
      <w:pPr>
        <w:suppressAutoHyphens/>
        <w:adjustRightInd w:val="0"/>
        <w:ind w:left="284"/>
        <w:textAlignment w:val="baseline"/>
        <w:rPr>
          <w:rFonts w:cs="Arial"/>
          <w:spacing w:val="-3"/>
        </w:rPr>
      </w:pPr>
    </w:p>
    <w:p w:rsidR="003E6108" w:rsidRDefault="003E6108">
      <w:pPr>
        <w:suppressAutoHyphens/>
        <w:adjustRightInd w:val="0"/>
        <w:ind w:left="284"/>
        <w:textAlignment w:val="baseline"/>
        <w:rPr>
          <w:rFonts w:cs="Arial"/>
          <w:spacing w:val="-3"/>
        </w:rPr>
      </w:pPr>
      <w:r>
        <w:rPr>
          <w:rFonts w:cs="Arial"/>
          <w:spacing w:val="-3"/>
        </w:rPr>
        <w:t xml:space="preserve">Sin embargo, </w:t>
      </w:r>
      <w:r w:rsidR="00B56945">
        <w:rPr>
          <w:rFonts w:cs="Arial"/>
          <w:spacing w:val="-3"/>
        </w:rPr>
        <w:t>se</w:t>
      </w:r>
      <w:r>
        <w:rPr>
          <w:rFonts w:cs="Arial"/>
          <w:spacing w:val="-3"/>
        </w:rPr>
        <w:t xml:space="preserve"> identificó que </w:t>
      </w:r>
      <w:r w:rsidR="00B56945">
        <w:rPr>
          <w:rFonts w:cs="Arial"/>
          <w:spacing w:val="-3"/>
        </w:rPr>
        <w:t xml:space="preserve">la segunda diferencia </w:t>
      </w:r>
      <w:r w:rsidR="00194315">
        <w:rPr>
          <w:rFonts w:cs="Arial"/>
          <w:spacing w:val="-3"/>
        </w:rPr>
        <w:t xml:space="preserve">surge porque </w:t>
      </w:r>
      <w:r>
        <w:rPr>
          <w:rFonts w:cs="Arial"/>
          <w:spacing w:val="-3"/>
        </w:rPr>
        <w:t xml:space="preserve">en el cálculo no </w:t>
      </w:r>
      <w:r w:rsidR="00194315">
        <w:rPr>
          <w:rFonts w:cs="Arial"/>
          <w:spacing w:val="-3"/>
        </w:rPr>
        <w:t xml:space="preserve">se incluyó </w:t>
      </w:r>
      <w:r>
        <w:rPr>
          <w:rFonts w:cs="Arial"/>
          <w:spacing w:val="-3"/>
        </w:rPr>
        <w:t>el reporte de servidumbres escrituradas en el año 2009</w:t>
      </w:r>
      <w:r w:rsidR="002E0486">
        <w:rPr>
          <w:rFonts w:cs="Arial"/>
          <w:spacing w:val="-3"/>
        </w:rPr>
        <w:t>, por un valor aproximado de 195 millones de pesos de 2008,</w:t>
      </w:r>
      <w:r>
        <w:rPr>
          <w:rFonts w:cs="Arial"/>
          <w:spacing w:val="-3"/>
        </w:rPr>
        <w:t xml:space="preserve"> y cuya información fue entregada en el momento del reporte del inventario de activos. </w:t>
      </w:r>
    </w:p>
    <w:p w:rsidR="003E6108" w:rsidRDefault="003E6108">
      <w:pPr>
        <w:suppressAutoHyphens/>
        <w:adjustRightInd w:val="0"/>
        <w:ind w:left="284"/>
        <w:textAlignment w:val="baseline"/>
        <w:rPr>
          <w:rFonts w:cs="Arial"/>
          <w:spacing w:val="-3"/>
        </w:rPr>
      </w:pPr>
    </w:p>
    <w:p w:rsidR="002E0486" w:rsidRDefault="00D91C06">
      <w:pPr>
        <w:suppressAutoHyphens/>
        <w:adjustRightInd w:val="0"/>
        <w:ind w:left="284"/>
        <w:textAlignment w:val="baseline"/>
        <w:rPr>
          <w:rFonts w:cs="Arial"/>
          <w:spacing w:val="-3"/>
        </w:rPr>
      </w:pPr>
      <w:r>
        <w:rPr>
          <w:rFonts w:cs="Arial"/>
          <w:spacing w:val="-3"/>
        </w:rPr>
        <w:t>A partir de lo anterior, se considera necesario ajustar el valor del Costo Anual Equivalente de Servidumbres (CAESj)</w:t>
      </w:r>
      <w:r w:rsidR="002E0486">
        <w:rPr>
          <w:rFonts w:cs="Arial"/>
          <w:spacing w:val="-3"/>
        </w:rPr>
        <w:t xml:space="preserve">, pasando de 2.714 a 2.736 </w:t>
      </w:r>
      <w:r w:rsidR="002E0486" w:rsidRPr="002E0486">
        <w:rPr>
          <w:rFonts w:cs="Arial"/>
          <w:spacing w:val="-3"/>
        </w:rPr>
        <w:t>millones de pesos de 2008</w:t>
      </w:r>
      <w:r w:rsidR="002E0486">
        <w:rPr>
          <w:rFonts w:cs="Arial"/>
          <w:spacing w:val="-3"/>
        </w:rPr>
        <w:t>.</w:t>
      </w:r>
    </w:p>
    <w:p w:rsidR="002E0486" w:rsidRDefault="002E0486">
      <w:pPr>
        <w:suppressAutoHyphens/>
        <w:adjustRightInd w:val="0"/>
        <w:ind w:left="284"/>
        <w:textAlignment w:val="baseline"/>
        <w:rPr>
          <w:rFonts w:cs="Arial"/>
          <w:spacing w:val="-3"/>
        </w:rPr>
      </w:pPr>
    </w:p>
    <w:p w:rsidR="006B1919" w:rsidRDefault="006B1919">
      <w:pPr>
        <w:keepNext/>
        <w:numPr>
          <w:ilvl w:val="0"/>
          <w:numId w:val="17"/>
        </w:numPr>
        <w:suppressAutoHyphens/>
        <w:adjustRightInd w:val="0"/>
        <w:spacing w:after="240"/>
        <w:textAlignment w:val="baseline"/>
        <w:outlineLvl w:val="1"/>
        <w:rPr>
          <w:rFonts w:cs="Arial"/>
          <w:b/>
          <w:spacing w:val="-3"/>
        </w:rPr>
      </w:pPr>
      <w:r w:rsidRPr="006B1919">
        <w:rPr>
          <w:rFonts w:cs="Arial"/>
          <w:b/>
          <w:spacing w:val="-3"/>
        </w:rPr>
        <w:t>El Costo Anual Equivalente de Terrenos (CAETj).</w:t>
      </w:r>
    </w:p>
    <w:p w:rsidR="00637189" w:rsidRDefault="00AB0B80">
      <w:pPr>
        <w:suppressAutoHyphens/>
        <w:ind w:left="284"/>
        <w:rPr>
          <w:rFonts w:cs="Arial"/>
          <w:spacing w:val="-3"/>
        </w:rPr>
      </w:pPr>
      <w:r>
        <w:rPr>
          <w:rFonts w:cs="Arial"/>
          <w:spacing w:val="-3"/>
        </w:rPr>
        <w:t>E</w:t>
      </w:r>
      <w:r w:rsidR="007439E0">
        <w:rPr>
          <w:rFonts w:cs="Arial"/>
          <w:spacing w:val="-3"/>
        </w:rPr>
        <w:t>n el archivo de Excel que se anexó a</w:t>
      </w:r>
      <w:r>
        <w:rPr>
          <w:rFonts w:cs="Arial"/>
          <w:spacing w:val="-3"/>
        </w:rPr>
        <w:t xml:space="preserve">l </w:t>
      </w:r>
      <w:r w:rsidR="007439E0">
        <w:rPr>
          <w:rFonts w:cs="Arial"/>
          <w:spacing w:val="-3"/>
        </w:rPr>
        <w:t>Documento CREG 083</w:t>
      </w:r>
      <w:r w:rsidR="00637189">
        <w:rPr>
          <w:rFonts w:cs="Arial"/>
          <w:spacing w:val="-3"/>
        </w:rPr>
        <w:t xml:space="preserve"> de 2010 se identificó</w:t>
      </w:r>
      <w:r w:rsidR="00C55D13">
        <w:rPr>
          <w:rFonts w:cs="Arial"/>
          <w:spacing w:val="-3"/>
        </w:rPr>
        <w:t>,</w:t>
      </w:r>
      <w:r w:rsidR="00637189">
        <w:rPr>
          <w:rFonts w:cs="Arial"/>
          <w:spacing w:val="-3"/>
        </w:rPr>
        <w:t xml:space="preserve"> para cada subestación</w:t>
      </w:r>
      <w:r w:rsidR="00C55D13">
        <w:rPr>
          <w:rFonts w:cs="Arial"/>
          <w:spacing w:val="-3"/>
        </w:rPr>
        <w:t>,</w:t>
      </w:r>
      <w:r w:rsidR="00637189">
        <w:rPr>
          <w:rFonts w:cs="Arial"/>
          <w:spacing w:val="-3"/>
        </w:rPr>
        <w:t xml:space="preserve"> el área del terreno y el valor catastral del terreno que fueron utilizados para el cálculo del </w:t>
      </w:r>
      <w:r w:rsidR="007439E0">
        <w:rPr>
          <w:rFonts w:cs="Arial"/>
          <w:spacing w:val="-3"/>
        </w:rPr>
        <w:t>Cost</w:t>
      </w:r>
      <w:r w:rsidR="00637189">
        <w:rPr>
          <w:rFonts w:cs="Arial"/>
          <w:spacing w:val="-3"/>
        </w:rPr>
        <w:t>o Anual Equivalente de Terrenos.</w:t>
      </w:r>
      <w:r w:rsidR="00790FA2">
        <w:rPr>
          <w:rFonts w:cs="Arial"/>
          <w:spacing w:val="-3"/>
        </w:rPr>
        <w:t xml:space="preserve"> </w:t>
      </w:r>
      <w:r w:rsidR="00637189">
        <w:rPr>
          <w:rFonts w:cs="Arial"/>
          <w:spacing w:val="-3"/>
        </w:rPr>
        <w:t>A partir de los valores presentados en ese anexo, la CREG encuentra que es posible reproducir el cálculo del CAETj.</w:t>
      </w:r>
    </w:p>
    <w:p w:rsidR="00637189" w:rsidRDefault="00637189">
      <w:pPr>
        <w:suppressAutoHyphens/>
        <w:ind w:left="284"/>
        <w:rPr>
          <w:rFonts w:cs="Arial"/>
          <w:spacing w:val="-3"/>
        </w:rPr>
      </w:pPr>
    </w:p>
    <w:p w:rsidR="00F31978" w:rsidRDefault="00637189">
      <w:pPr>
        <w:suppressAutoHyphens/>
        <w:ind w:left="284"/>
        <w:rPr>
          <w:rFonts w:cs="Arial"/>
          <w:spacing w:val="-3"/>
        </w:rPr>
      </w:pPr>
      <w:r>
        <w:rPr>
          <w:rFonts w:cs="Arial"/>
          <w:spacing w:val="-3"/>
        </w:rPr>
        <w:t xml:space="preserve">Los valores catastrales y los de las áreas que fueron utilizados para el cálculo corresponden a los identificados en los comprobantes de pago del impuesto predial que Transelca S.A. E.S.P. entregó como soporte durante la actuación administrativa. </w:t>
      </w:r>
    </w:p>
    <w:p w:rsidR="00F31978" w:rsidRDefault="00F31978">
      <w:pPr>
        <w:suppressAutoHyphens/>
        <w:ind w:left="284"/>
        <w:rPr>
          <w:rFonts w:cs="Arial"/>
          <w:spacing w:val="-3"/>
        </w:rPr>
      </w:pPr>
    </w:p>
    <w:p w:rsidR="00F31978" w:rsidRDefault="00637189">
      <w:pPr>
        <w:suppressAutoHyphens/>
        <w:ind w:left="284"/>
        <w:rPr>
          <w:rFonts w:cs="Arial"/>
          <w:spacing w:val="-3"/>
        </w:rPr>
      </w:pPr>
      <w:r>
        <w:rPr>
          <w:rFonts w:cs="Arial"/>
          <w:spacing w:val="-3"/>
        </w:rPr>
        <w:t>En</w:t>
      </w:r>
      <w:r w:rsidR="00F31978">
        <w:rPr>
          <w:rFonts w:cs="Arial"/>
          <w:spacing w:val="-3"/>
        </w:rPr>
        <w:t xml:space="preserve"> el caso de las subestaciones Sabanalarga y Fundación alguna</w:t>
      </w:r>
      <w:r>
        <w:rPr>
          <w:rFonts w:cs="Arial"/>
          <w:spacing w:val="-3"/>
        </w:rPr>
        <w:t>s área</w:t>
      </w:r>
      <w:r w:rsidR="00F31978">
        <w:rPr>
          <w:rFonts w:cs="Arial"/>
          <w:spacing w:val="-3"/>
        </w:rPr>
        <w:t>s</w:t>
      </w:r>
      <w:r>
        <w:rPr>
          <w:rFonts w:cs="Arial"/>
          <w:spacing w:val="-3"/>
        </w:rPr>
        <w:t xml:space="preserve"> de terreno</w:t>
      </w:r>
      <w:r w:rsidR="00F31978">
        <w:rPr>
          <w:rFonts w:cs="Arial"/>
          <w:spacing w:val="-3"/>
        </w:rPr>
        <w:t>s</w:t>
      </w:r>
      <w:r>
        <w:rPr>
          <w:rFonts w:cs="Arial"/>
          <w:spacing w:val="-3"/>
        </w:rPr>
        <w:t xml:space="preserve"> solicitada</w:t>
      </w:r>
      <w:r w:rsidR="00C55D13">
        <w:rPr>
          <w:rFonts w:cs="Arial"/>
          <w:spacing w:val="-3"/>
        </w:rPr>
        <w:t>s</w:t>
      </w:r>
      <w:r>
        <w:rPr>
          <w:rFonts w:cs="Arial"/>
          <w:spacing w:val="-3"/>
        </w:rPr>
        <w:t xml:space="preserve"> por la empresa no coincide</w:t>
      </w:r>
      <w:r w:rsidR="00C55D13">
        <w:rPr>
          <w:rFonts w:cs="Arial"/>
          <w:spacing w:val="-3"/>
        </w:rPr>
        <w:t>n</w:t>
      </w:r>
      <w:r>
        <w:rPr>
          <w:rFonts w:cs="Arial"/>
          <w:spacing w:val="-3"/>
        </w:rPr>
        <w:t xml:space="preserve"> con la</w:t>
      </w:r>
      <w:r w:rsidR="00C55D13">
        <w:rPr>
          <w:rFonts w:cs="Arial"/>
          <w:spacing w:val="-3"/>
        </w:rPr>
        <w:t>s</w:t>
      </w:r>
      <w:r>
        <w:rPr>
          <w:rFonts w:cs="Arial"/>
          <w:spacing w:val="-3"/>
        </w:rPr>
        <w:t xml:space="preserve"> soportada</w:t>
      </w:r>
      <w:r w:rsidR="00C55D13">
        <w:rPr>
          <w:rFonts w:cs="Arial"/>
          <w:spacing w:val="-3"/>
        </w:rPr>
        <w:t>s</w:t>
      </w:r>
      <w:r>
        <w:rPr>
          <w:rFonts w:cs="Arial"/>
          <w:spacing w:val="-3"/>
        </w:rPr>
        <w:t xml:space="preserve"> en el comprobante de pago del impuesto predial, por lo tanto la CREG utilizó el área de terreno </w:t>
      </w:r>
      <w:r w:rsidR="00F31978">
        <w:rPr>
          <w:rFonts w:cs="Arial"/>
          <w:spacing w:val="-3"/>
        </w:rPr>
        <w:t>soportada en el comprobante de pago. A continuación  se comparan las áreas solicitadas respecto a las soportadas en el comprobante de pago del impuesto predial de estas subestaciones:</w:t>
      </w:r>
    </w:p>
    <w:p w:rsidR="00F31978" w:rsidRDefault="00F31978">
      <w:pPr>
        <w:suppressAutoHyphens/>
        <w:ind w:left="284"/>
        <w:rPr>
          <w:rFonts w:cs="Arial"/>
          <w:spacing w:val="-3"/>
        </w:rPr>
      </w:pPr>
    </w:p>
    <w:p w:rsidR="005F1034" w:rsidRDefault="005F1034">
      <w:pPr>
        <w:suppressAutoHyphens/>
        <w:ind w:left="284"/>
        <w:rPr>
          <w:rFonts w:cs="Arial"/>
          <w:spacing w:val="-3"/>
        </w:rPr>
      </w:pPr>
    </w:p>
    <w:tbl>
      <w:tblPr>
        <w:tblW w:w="0" w:type="auto"/>
        <w:jc w:val="center"/>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9"/>
        <w:gridCol w:w="1843"/>
        <w:gridCol w:w="1984"/>
        <w:gridCol w:w="1986"/>
      </w:tblGrid>
      <w:tr w:rsidR="00F31978" w:rsidRPr="00F31978" w:rsidTr="00790FA2">
        <w:trPr>
          <w:tblHeader/>
          <w:jc w:val="center"/>
        </w:trPr>
        <w:tc>
          <w:tcPr>
            <w:tcW w:w="1699" w:type="dxa"/>
            <w:vAlign w:val="center"/>
          </w:tcPr>
          <w:p w:rsidR="00F31978" w:rsidRPr="00790FA2" w:rsidRDefault="00F31978">
            <w:pPr>
              <w:keepNext/>
              <w:suppressAutoHyphens/>
              <w:jc w:val="center"/>
              <w:rPr>
                <w:rFonts w:cs="Arial"/>
                <w:b/>
                <w:spacing w:val="-3"/>
                <w:sz w:val="20"/>
              </w:rPr>
            </w:pPr>
            <w:r w:rsidRPr="00790FA2">
              <w:rPr>
                <w:rFonts w:cs="Arial"/>
                <w:b/>
                <w:spacing w:val="-3"/>
                <w:sz w:val="20"/>
              </w:rPr>
              <w:t>Subestación</w:t>
            </w:r>
          </w:p>
        </w:tc>
        <w:tc>
          <w:tcPr>
            <w:tcW w:w="1843" w:type="dxa"/>
            <w:vAlign w:val="center"/>
          </w:tcPr>
          <w:p w:rsidR="00F31978" w:rsidRPr="00790FA2" w:rsidRDefault="00F31978">
            <w:pPr>
              <w:keepNext/>
              <w:suppressAutoHyphens/>
              <w:jc w:val="center"/>
              <w:rPr>
                <w:rFonts w:cs="Arial"/>
                <w:b/>
                <w:spacing w:val="-3"/>
                <w:sz w:val="20"/>
              </w:rPr>
            </w:pPr>
            <w:r w:rsidRPr="00790FA2">
              <w:rPr>
                <w:rFonts w:cs="Arial"/>
                <w:b/>
                <w:spacing w:val="-3"/>
                <w:sz w:val="20"/>
              </w:rPr>
              <w:t>Matrícula del predio</w:t>
            </w:r>
          </w:p>
        </w:tc>
        <w:tc>
          <w:tcPr>
            <w:tcW w:w="1984" w:type="dxa"/>
            <w:vAlign w:val="center"/>
          </w:tcPr>
          <w:p w:rsidR="00F31978" w:rsidRPr="00790FA2" w:rsidRDefault="00F31978">
            <w:pPr>
              <w:keepNext/>
              <w:suppressAutoHyphens/>
              <w:jc w:val="center"/>
              <w:rPr>
                <w:rFonts w:cs="Arial"/>
                <w:b/>
                <w:spacing w:val="-3"/>
                <w:sz w:val="20"/>
              </w:rPr>
            </w:pPr>
            <w:r w:rsidRPr="00790FA2">
              <w:rPr>
                <w:rFonts w:cs="Arial"/>
                <w:b/>
                <w:spacing w:val="-3"/>
                <w:sz w:val="20"/>
              </w:rPr>
              <w:t>Área solicitada por Transelca S.A. E.S.P.</w:t>
            </w:r>
          </w:p>
        </w:tc>
        <w:tc>
          <w:tcPr>
            <w:tcW w:w="1986" w:type="dxa"/>
            <w:vAlign w:val="center"/>
          </w:tcPr>
          <w:p w:rsidR="00F31978" w:rsidRPr="00790FA2" w:rsidRDefault="00F31978">
            <w:pPr>
              <w:keepNext/>
              <w:suppressAutoHyphens/>
              <w:jc w:val="center"/>
              <w:rPr>
                <w:rFonts w:cs="Arial"/>
                <w:b/>
                <w:spacing w:val="-3"/>
                <w:sz w:val="20"/>
              </w:rPr>
            </w:pPr>
            <w:r w:rsidRPr="00790FA2">
              <w:rPr>
                <w:rFonts w:cs="Arial"/>
                <w:b/>
                <w:spacing w:val="-3"/>
                <w:sz w:val="20"/>
              </w:rPr>
              <w:t>Área soportada en comprobante de predial</w:t>
            </w:r>
          </w:p>
        </w:tc>
      </w:tr>
      <w:tr w:rsidR="00F31978" w:rsidRPr="00F31978" w:rsidTr="00790FA2">
        <w:trPr>
          <w:jc w:val="center"/>
        </w:trPr>
        <w:tc>
          <w:tcPr>
            <w:tcW w:w="1699" w:type="dxa"/>
          </w:tcPr>
          <w:p w:rsidR="00F31978" w:rsidRPr="00790FA2" w:rsidRDefault="00F31978" w:rsidP="001A102C">
            <w:pPr>
              <w:suppressAutoHyphens/>
              <w:rPr>
                <w:rFonts w:cs="Arial"/>
                <w:spacing w:val="-3"/>
                <w:sz w:val="20"/>
              </w:rPr>
            </w:pPr>
            <w:r w:rsidRPr="00790FA2">
              <w:rPr>
                <w:rFonts w:cs="Arial"/>
                <w:spacing w:val="-3"/>
                <w:sz w:val="20"/>
              </w:rPr>
              <w:t>Fundación</w:t>
            </w:r>
          </w:p>
        </w:tc>
        <w:tc>
          <w:tcPr>
            <w:tcW w:w="1843" w:type="dxa"/>
          </w:tcPr>
          <w:p w:rsidR="00F31978" w:rsidRPr="00790FA2" w:rsidRDefault="00F31978" w:rsidP="00BD67E2">
            <w:pPr>
              <w:suppressAutoHyphens/>
              <w:jc w:val="center"/>
              <w:rPr>
                <w:rFonts w:cs="Arial"/>
                <w:spacing w:val="-3"/>
                <w:sz w:val="20"/>
              </w:rPr>
            </w:pPr>
            <w:r w:rsidRPr="00790FA2">
              <w:rPr>
                <w:rFonts w:cs="Arial"/>
                <w:spacing w:val="-3"/>
                <w:sz w:val="20"/>
              </w:rPr>
              <w:t>225-0012113</w:t>
            </w:r>
          </w:p>
        </w:tc>
        <w:tc>
          <w:tcPr>
            <w:tcW w:w="1984" w:type="dxa"/>
          </w:tcPr>
          <w:p w:rsidR="00F31978" w:rsidRPr="00790FA2" w:rsidRDefault="00F31978" w:rsidP="003503FF">
            <w:pPr>
              <w:suppressAutoHyphens/>
              <w:jc w:val="center"/>
              <w:rPr>
                <w:rFonts w:cs="Arial"/>
                <w:spacing w:val="-3"/>
                <w:sz w:val="20"/>
                <w:vertAlign w:val="superscript"/>
              </w:rPr>
            </w:pPr>
            <w:r w:rsidRPr="00790FA2">
              <w:rPr>
                <w:rFonts w:cs="Arial"/>
                <w:spacing w:val="-3"/>
                <w:sz w:val="20"/>
              </w:rPr>
              <w:t>4.300 m</w:t>
            </w:r>
            <w:r w:rsidRPr="00790FA2">
              <w:rPr>
                <w:rFonts w:cs="Arial"/>
                <w:spacing w:val="-3"/>
                <w:sz w:val="20"/>
                <w:vertAlign w:val="superscript"/>
              </w:rPr>
              <w:t>2</w:t>
            </w:r>
          </w:p>
        </w:tc>
        <w:tc>
          <w:tcPr>
            <w:tcW w:w="1986" w:type="dxa"/>
          </w:tcPr>
          <w:p w:rsidR="00F31978" w:rsidRPr="00790FA2" w:rsidRDefault="00F31978" w:rsidP="00170917">
            <w:pPr>
              <w:suppressAutoHyphens/>
              <w:jc w:val="center"/>
              <w:rPr>
                <w:rFonts w:cs="Arial"/>
                <w:spacing w:val="-3"/>
                <w:sz w:val="20"/>
                <w:vertAlign w:val="superscript"/>
              </w:rPr>
            </w:pPr>
            <w:r w:rsidRPr="00790FA2">
              <w:rPr>
                <w:rFonts w:cs="Arial"/>
                <w:spacing w:val="-3"/>
                <w:sz w:val="20"/>
              </w:rPr>
              <w:t>4</w:t>
            </w:r>
            <w:r w:rsidR="004009E2">
              <w:rPr>
                <w:rFonts w:cs="Arial"/>
                <w:spacing w:val="-3"/>
                <w:sz w:val="20"/>
              </w:rPr>
              <w:t>.</w:t>
            </w:r>
            <w:r w:rsidRPr="00790FA2">
              <w:rPr>
                <w:rFonts w:cs="Arial"/>
                <w:spacing w:val="-3"/>
                <w:sz w:val="20"/>
              </w:rPr>
              <w:t>300 m</w:t>
            </w:r>
            <w:r w:rsidRPr="00790FA2">
              <w:rPr>
                <w:rFonts w:cs="Arial"/>
                <w:spacing w:val="-3"/>
                <w:sz w:val="20"/>
                <w:vertAlign w:val="superscript"/>
              </w:rPr>
              <w:t>2</w:t>
            </w:r>
          </w:p>
        </w:tc>
      </w:tr>
      <w:tr w:rsidR="00F31978" w:rsidRPr="00F31978" w:rsidTr="00790FA2">
        <w:trPr>
          <w:jc w:val="center"/>
        </w:trPr>
        <w:tc>
          <w:tcPr>
            <w:tcW w:w="1699" w:type="dxa"/>
            <w:vAlign w:val="center"/>
          </w:tcPr>
          <w:p w:rsidR="00F31978" w:rsidRPr="00790FA2" w:rsidRDefault="00F31978" w:rsidP="001A102C">
            <w:pPr>
              <w:suppressAutoHyphens/>
              <w:jc w:val="left"/>
              <w:rPr>
                <w:rFonts w:cs="Arial"/>
                <w:spacing w:val="-3"/>
                <w:sz w:val="20"/>
              </w:rPr>
            </w:pPr>
            <w:r w:rsidRPr="00790FA2">
              <w:rPr>
                <w:rFonts w:cs="Arial"/>
                <w:spacing w:val="-3"/>
                <w:sz w:val="20"/>
              </w:rPr>
              <w:t>Fundación</w:t>
            </w:r>
          </w:p>
        </w:tc>
        <w:tc>
          <w:tcPr>
            <w:tcW w:w="1843" w:type="dxa"/>
            <w:vAlign w:val="center"/>
          </w:tcPr>
          <w:p w:rsidR="00F31978" w:rsidRPr="00790FA2" w:rsidRDefault="00F31978" w:rsidP="00BD67E2">
            <w:pPr>
              <w:suppressAutoHyphens/>
              <w:jc w:val="center"/>
              <w:rPr>
                <w:rFonts w:cs="Arial"/>
                <w:spacing w:val="-3"/>
                <w:sz w:val="20"/>
              </w:rPr>
            </w:pPr>
            <w:r w:rsidRPr="00790FA2">
              <w:rPr>
                <w:rFonts w:cs="Arial"/>
                <w:spacing w:val="-3"/>
                <w:sz w:val="20"/>
              </w:rPr>
              <w:t>225-0007916</w:t>
            </w:r>
          </w:p>
        </w:tc>
        <w:tc>
          <w:tcPr>
            <w:tcW w:w="1984" w:type="dxa"/>
            <w:vAlign w:val="center"/>
          </w:tcPr>
          <w:p w:rsidR="00F31978" w:rsidRPr="00790FA2" w:rsidRDefault="00F31978" w:rsidP="003503FF">
            <w:pPr>
              <w:suppressAutoHyphens/>
              <w:jc w:val="center"/>
              <w:rPr>
                <w:rFonts w:cs="Arial"/>
                <w:spacing w:val="-3"/>
                <w:sz w:val="20"/>
                <w:vertAlign w:val="superscript"/>
              </w:rPr>
            </w:pPr>
            <w:r w:rsidRPr="00790FA2">
              <w:rPr>
                <w:rFonts w:cs="Arial"/>
                <w:spacing w:val="-3"/>
                <w:sz w:val="20"/>
              </w:rPr>
              <w:t>2 hectáreas y 2.325 m</w:t>
            </w:r>
            <w:r w:rsidRPr="00790FA2">
              <w:rPr>
                <w:rFonts w:cs="Arial"/>
                <w:spacing w:val="-3"/>
                <w:sz w:val="20"/>
                <w:vertAlign w:val="superscript"/>
              </w:rPr>
              <w:t>2</w:t>
            </w:r>
          </w:p>
        </w:tc>
        <w:tc>
          <w:tcPr>
            <w:tcW w:w="1986" w:type="dxa"/>
            <w:vAlign w:val="center"/>
          </w:tcPr>
          <w:p w:rsidR="00F31978" w:rsidRPr="00790FA2" w:rsidRDefault="00F31978" w:rsidP="00170917">
            <w:pPr>
              <w:suppressAutoHyphens/>
              <w:jc w:val="center"/>
              <w:rPr>
                <w:rFonts w:cs="Arial"/>
                <w:spacing w:val="-3"/>
                <w:sz w:val="20"/>
                <w:vertAlign w:val="superscript"/>
              </w:rPr>
            </w:pPr>
            <w:r w:rsidRPr="00790FA2">
              <w:rPr>
                <w:rFonts w:cs="Arial"/>
                <w:spacing w:val="-3"/>
                <w:sz w:val="20"/>
              </w:rPr>
              <w:t>30.218 m</w:t>
            </w:r>
            <w:r w:rsidRPr="00790FA2">
              <w:rPr>
                <w:rFonts w:cs="Arial"/>
                <w:spacing w:val="-3"/>
                <w:sz w:val="20"/>
                <w:vertAlign w:val="superscript"/>
              </w:rPr>
              <w:t>2</w:t>
            </w:r>
          </w:p>
        </w:tc>
      </w:tr>
      <w:tr w:rsidR="00F31978" w:rsidRPr="00F31978" w:rsidTr="00790FA2">
        <w:trPr>
          <w:jc w:val="center"/>
        </w:trPr>
        <w:tc>
          <w:tcPr>
            <w:tcW w:w="1699" w:type="dxa"/>
          </w:tcPr>
          <w:p w:rsidR="00F31978" w:rsidRPr="00790FA2" w:rsidRDefault="00F31978" w:rsidP="001A102C">
            <w:pPr>
              <w:suppressAutoHyphens/>
              <w:rPr>
                <w:rFonts w:cs="Arial"/>
                <w:spacing w:val="-3"/>
                <w:sz w:val="20"/>
              </w:rPr>
            </w:pPr>
            <w:r w:rsidRPr="00790FA2">
              <w:rPr>
                <w:rFonts w:cs="Arial"/>
                <w:spacing w:val="-3"/>
                <w:sz w:val="20"/>
              </w:rPr>
              <w:t>Sabanalarga</w:t>
            </w:r>
          </w:p>
        </w:tc>
        <w:tc>
          <w:tcPr>
            <w:tcW w:w="1843" w:type="dxa"/>
          </w:tcPr>
          <w:p w:rsidR="00F31978" w:rsidRPr="00790FA2" w:rsidRDefault="00F31978" w:rsidP="00BD67E2">
            <w:pPr>
              <w:suppressAutoHyphens/>
              <w:jc w:val="center"/>
              <w:rPr>
                <w:rFonts w:cs="Arial"/>
                <w:spacing w:val="-3"/>
                <w:sz w:val="20"/>
              </w:rPr>
            </w:pPr>
            <w:r w:rsidRPr="00790FA2">
              <w:rPr>
                <w:rFonts w:cs="Arial"/>
                <w:spacing w:val="-3"/>
                <w:sz w:val="20"/>
              </w:rPr>
              <w:t>045-38431</w:t>
            </w:r>
          </w:p>
        </w:tc>
        <w:tc>
          <w:tcPr>
            <w:tcW w:w="1984" w:type="dxa"/>
          </w:tcPr>
          <w:p w:rsidR="00F31978" w:rsidRPr="00790FA2" w:rsidRDefault="00F31978" w:rsidP="003503FF">
            <w:pPr>
              <w:suppressAutoHyphens/>
              <w:jc w:val="center"/>
              <w:rPr>
                <w:rFonts w:cs="Arial"/>
                <w:spacing w:val="-3"/>
                <w:sz w:val="20"/>
                <w:vertAlign w:val="superscript"/>
              </w:rPr>
            </w:pPr>
            <w:r w:rsidRPr="00790FA2">
              <w:rPr>
                <w:rFonts w:cs="Arial"/>
                <w:spacing w:val="-3"/>
                <w:sz w:val="20"/>
              </w:rPr>
              <w:t>13.500 m</w:t>
            </w:r>
            <w:r w:rsidRPr="00790FA2">
              <w:rPr>
                <w:rFonts w:cs="Arial"/>
                <w:spacing w:val="-3"/>
                <w:sz w:val="20"/>
                <w:vertAlign w:val="superscript"/>
              </w:rPr>
              <w:t>2</w:t>
            </w:r>
          </w:p>
        </w:tc>
        <w:tc>
          <w:tcPr>
            <w:tcW w:w="1986" w:type="dxa"/>
          </w:tcPr>
          <w:p w:rsidR="00F31978" w:rsidRPr="00790FA2" w:rsidRDefault="00F31978" w:rsidP="00170917">
            <w:pPr>
              <w:suppressAutoHyphens/>
              <w:jc w:val="center"/>
              <w:rPr>
                <w:rFonts w:cs="Arial"/>
                <w:spacing w:val="-3"/>
                <w:sz w:val="20"/>
              </w:rPr>
            </w:pPr>
            <w:r w:rsidRPr="00790FA2">
              <w:rPr>
                <w:rFonts w:cs="Arial"/>
                <w:spacing w:val="-3"/>
                <w:sz w:val="20"/>
              </w:rPr>
              <w:t>13.500 m</w:t>
            </w:r>
            <w:r w:rsidRPr="00790FA2">
              <w:rPr>
                <w:rFonts w:cs="Arial"/>
                <w:spacing w:val="-3"/>
                <w:sz w:val="20"/>
                <w:vertAlign w:val="superscript"/>
              </w:rPr>
              <w:t>2</w:t>
            </w:r>
          </w:p>
        </w:tc>
      </w:tr>
      <w:tr w:rsidR="00F31978" w:rsidRPr="00F31978" w:rsidTr="00790FA2">
        <w:trPr>
          <w:jc w:val="center"/>
        </w:trPr>
        <w:tc>
          <w:tcPr>
            <w:tcW w:w="1699" w:type="dxa"/>
          </w:tcPr>
          <w:p w:rsidR="00F31978" w:rsidRPr="00790FA2" w:rsidRDefault="00F31978" w:rsidP="001A102C">
            <w:pPr>
              <w:suppressAutoHyphens/>
              <w:rPr>
                <w:rFonts w:cs="Arial"/>
                <w:spacing w:val="-3"/>
                <w:sz w:val="20"/>
              </w:rPr>
            </w:pPr>
            <w:r w:rsidRPr="00790FA2">
              <w:rPr>
                <w:rFonts w:cs="Arial"/>
                <w:spacing w:val="-3"/>
                <w:sz w:val="20"/>
              </w:rPr>
              <w:t>Sabanalarga</w:t>
            </w:r>
          </w:p>
        </w:tc>
        <w:tc>
          <w:tcPr>
            <w:tcW w:w="1843" w:type="dxa"/>
          </w:tcPr>
          <w:p w:rsidR="00F31978" w:rsidRPr="00790FA2" w:rsidRDefault="00F31978" w:rsidP="00BD67E2">
            <w:pPr>
              <w:suppressAutoHyphens/>
              <w:jc w:val="center"/>
              <w:rPr>
                <w:rFonts w:cs="Arial"/>
                <w:spacing w:val="-3"/>
                <w:sz w:val="20"/>
              </w:rPr>
            </w:pPr>
            <w:r w:rsidRPr="00790FA2">
              <w:rPr>
                <w:rFonts w:cs="Arial"/>
                <w:spacing w:val="-3"/>
                <w:sz w:val="20"/>
              </w:rPr>
              <w:t>045-24935</w:t>
            </w:r>
          </w:p>
        </w:tc>
        <w:tc>
          <w:tcPr>
            <w:tcW w:w="1984" w:type="dxa"/>
          </w:tcPr>
          <w:p w:rsidR="00F31978" w:rsidRPr="00790FA2" w:rsidRDefault="00F31978" w:rsidP="003503FF">
            <w:pPr>
              <w:suppressAutoHyphens/>
              <w:jc w:val="center"/>
              <w:rPr>
                <w:rFonts w:cs="Arial"/>
                <w:spacing w:val="-3"/>
                <w:sz w:val="20"/>
                <w:vertAlign w:val="superscript"/>
              </w:rPr>
            </w:pPr>
            <w:r w:rsidRPr="00790FA2">
              <w:rPr>
                <w:rFonts w:cs="Arial"/>
                <w:spacing w:val="-3"/>
                <w:sz w:val="20"/>
              </w:rPr>
              <w:t>80.130,64 m</w:t>
            </w:r>
            <w:r w:rsidRPr="00790FA2">
              <w:rPr>
                <w:rFonts w:cs="Arial"/>
                <w:spacing w:val="-3"/>
                <w:sz w:val="20"/>
                <w:vertAlign w:val="superscript"/>
              </w:rPr>
              <w:t>2</w:t>
            </w:r>
          </w:p>
        </w:tc>
        <w:tc>
          <w:tcPr>
            <w:tcW w:w="1986" w:type="dxa"/>
          </w:tcPr>
          <w:p w:rsidR="00F31978" w:rsidRPr="00790FA2" w:rsidRDefault="00F31978" w:rsidP="00170917">
            <w:pPr>
              <w:suppressAutoHyphens/>
              <w:jc w:val="center"/>
              <w:rPr>
                <w:rFonts w:cs="Arial"/>
                <w:spacing w:val="-3"/>
                <w:sz w:val="20"/>
                <w:vertAlign w:val="superscript"/>
              </w:rPr>
            </w:pPr>
            <w:r w:rsidRPr="00790FA2">
              <w:rPr>
                <w:rFonts w:cs="Arial"/>
                <w:spacing w:val="-3"/>
                <w:sz w:val="20"/>
              </w:rPr>
              <w:t>40.000 m</w:t>
            </w:r>
            <w:r w:rsidRPr="00790FA2">
              <w:rPr>
                <w:rFonts w:cs="Arial"/>
                <w:spacing w:val="-3"/>
                <w:sz w:val="20"/>
                <w:vertAlign w:val="superscript"/>
              </w:rPr>
              <w:t>2</w:t>
            </w:r>
          </w:p>
        </w:tc>
      </w:tr>
    </w:tbl>
    <w:p w:rsidR="00F31978" w:rsidRDefault="00F31978" w:rsidP="001A102C">
      <w:pPr>
        <w:suppressAutoHyphens/>
        <w:ind w:left="284"/>
        <w:rPr>
          <w:rFonts w:cs="Arial"/>
          <w:spacing w:val="-3"/>
        </w:rPr>
      </w:pPr>
    </w:p>
    <w:p w:rsidR="005F1034" w:rsidRDefault="005F1034" w:rsidP="001A102C">
      <w:pPr>
        <w:suppressAutoHyphens/>
        <w:ind w:left="284"/>
        <w:rPr>
          <w:rFonts w:cs="Arial"/>
          <w:spacing w:val="-3"/>
        </w:rPr>
      </w:pPr>
    </w:p>
    <w:p w:rsidR="00AB0B80" w:rsidRDefault="00C55D13" w:rsidP="005F1034">
      <w:pPr>
        <w:suppressAutoHyphens/>
        <w:ind w:left="284"/>
        <w:rPr>
          <w:rFonts w:cs="Arial"/>
          <w:spacing w:val="-3"/>
        </w:rPr>
      </w:pPr>
      <w:r>
        <w:rPr>
          <w:rFonts w:cs="Arial"/>
          <w:spacing w:val="-3"/>
        </w:rPr>
        <w:t xml:space="preserve">Con base en lo expuesto, la CREG no identificó errores de cálculo en el valor del </w:t>
      </w:r>
      <w:r w:rsidRPr="004009E2">
        <w:rPr>
          <w:rFonts w:cs="Arial"/>
          <w:i/>
          <w:spacing w:val="-3"/>
        </w:rPr>
        <w:t>CAET</w:t>
      </w:r>
      <w:r w:rsidRPr="004009E2">
        <w:rPr>
          <w:rFonts w:cs="Arial"/>
          <w:i/>
          <w:spacing w:val="-3"/>
          <w:vertAlign w:val="subscript"/>
        </w:rPr>
        <w:t>j</w:t>
      </w:r>
      <w:r>
        <w:rPr>
          <w:rFonts w:cs="Arial"/>
          <w:spacing w:val="-3"/>
        </w:rPr>
        <w:t xml:space="preserve"> y por tanto </w:t>
      </w:r>
      <w:r w:rsidR="004009E2">
        <w:rPr>
          <w:rFonts w:cs="Arial"/>
          <w:spacing w:val="-3"/>
        </w:rPr>
        <w:t xml:space="preserve">sólo </w:t>
      </w:r>
      <w:r>
        <w:rPr>
          <w:rFonts w:cs="Arial"/>
          <w:spacing w:val="-3"/>
        </w:rPr>
        <w:t>s</w:t>
      </w:r>
      <w:r w:rsidR="004009E2">
        <w:rPr>
          <w:rFonts w:cs="Arial"/>
          <w:spacing w:val="-3"/>
        </w:rPr>
        <w:t>e propone</w:t>
      </w:r>
      <w:r>
        <w:rPr>
          <w:rFonts w:cs="Arial"/>
          <w:spacing w:val="-3"/>
        </w:rPr>
        <w:t xml:space="preserve"> ajusta</w:t>
      </w:r>
      <w:r w:rsidR="004009E2">
        <w:rPr>
          <w:rFonts w:cs="Arial"/>
          <w:spacing w:val="-3"/>
        </w:rPr>
        <w:t>r</w:t>
      </w:r>
      <w:r>
        <w:rPr>
          <w:rFonts w:cs="Arial"/>
          <w:spacing w:val="-3"/>
        </w:rPr>
        <w:t xml:space="preserve"> este valor </w:t>
      </w:r>
      <w:r w:rsidR="004009E2">
        <w:rPr>
          <w:rFonts w:cs="Arial"/>
          <w:spacing w:val="-3"/>
        </w:rPr>
        <w:t>con</w:t>
      </w:r>
      <w:r>
        <w:rPr>
          <w:rFonts w:cs="Arial"/>
          <w:spacing w:val="-3"/>
        </w:rPr>
        <w:t xml:space="preserve"> la inclusión del corte central que hace parte de la conexión de la línea Nueva Barranquilla – Tebsa 220 kV, me</w:t>
      </w:r>
      <w:r w:rsidR="004009E2">
        <w:rPr>
          <w:rFonts w:cs="Arial"/>
          <w:spacing w:val="-3"/>
        </w:rPr>
        <w:t>n</w:t>
      </w:r>
      <w:r>
        <w:rPr>
          <w:rFonts w:cs="Arial"/>
          <w:spacing w:val="-3"/>
        </w:rPr>
        <w:t xml:space="preserve">cionado en el </w:t>
      </w:r>
      <w:r w:rsidR="005D791F" w:rsidRPr="005D791F">
        <w:rPr>
          <w:rFonts w:cs="Arial"/>
          <w:spacing w:val="-3"/>
        </w:rPr>
        <w:t xml:space="preserve">numeral 1 del literal “D. </w:t>
      </w:r>
      <w:r>
        <w:rPr>
          <w:rFonts w:cs="Arial"/>
          <w:spacing w:val="-3"/>
        </w:rPr>
        <w:t>Consideraciones de la CREG</w:t>
      </w:r>
      <w:r w:rsidR="004009E2">
        <w:rPr>
          <w:rFonts w:cs="Arial"/>
          <w:spacing w:val="-3"/>
        </w:rPr>
        <w:t>”</w:t>
      </w:r>
      <w:r>
        <w:rPr>
          <w:rFonts w:cs="Arial"/>
          <w:spacing w:val="-3"/>
        </w:rPr>
        <w:t>, que hace parte de esta resolución.</w:t>
      </w:r>
      <w:r w:rsidR="004009E2">
        <w:rPr>
          <w:rFonts w:cs="Arial"/>
          <w:spacing w:val="-3"/>
        </w:rPr>
        <w:t xml:space="preserve"> </w:t>
      </w:r>
      <w:r>
        <w:rPr>
          <w:rFonts w:cs="Arial"/>
          <w:spacing w:val="-3"/>
        </w:rPr>
        <w:t xml:space="preserve">El valor del </w:t>
      </w:r>
      <w:r w:rsidRPr="00C55D13">
        <w:rPr>
          <w:rFonts w:cs="Arial"/>
          <w:spacing w:val="-3"/>
        </w:rPr>
        <w:t xml:space="preserve">Costo Anual </w:t>
      </w:r>
      <w:r>
        <w:rPr>
          <w:rFonts w:cs="Arial"/>
          <w:spacing w:val="-3"/>
        </w:rPr>
        <w:t>Equivalente de Terrenos (</w:t>
      </w:r>
      <w:r w:rsidRPr="005F5663">
        <w:rPr>
          <w:rFonts w:cs="Arial"/>
          <w:i/>
          <w:spacing w:val="-3"/>
        </w:rPr>
        <w:t>CAET</w:t>
      </w:r>
      <w:r w:rsidRPr="005F5663">
        <w:rPr>
          <w:rFonts w:cs="Arial"/>
          <w:i/>
          <w:spacing w:val="-3"/>
          <w:vertAlign w:val="subscript"/>
        </w:rPr>
        <w:t>j</w:t>
      </w:r>
      <w:r w:rsidRPr="005F5663">
        <w:rPr>
          <w:rFonts w:cs="Arial"/>
          <w:i/>
          <w:spacing w:val="-3"/>
        </w:rPr>
        <w:t>)</w:t>
      </w:r>
      <w:r>
        <w:rPr>
          <w:rFonts w:cs="Arial"/>
          <w:spacing w:val="-3"/>
        </w:rPr>
        <w:t xml:space="preserve">, </w:t>
      </w:r>
      <w:r w:rsidR="004009E2">
        <w:rPr>
          <w:rFonts w:cs="Arial"/>
          <w:spacing w:val="-3"/>
        </w:rPr>
        <w:t>cambiaría de 129,4 a 129,5 millones de pesos de 2008.</w:t>
      </w:r>
    </w:p>
    <w:p w:rsidR="006A1A01" w:rsidRDefault="006A1A01" w:rsidP="00170917">
      <w:pPr>
        <w:suppressAutoHyphens/>
        <w:ind w:left="284"/>
        <w:rPr>
          <w:rFonts w:cs="Arial"/>
          <w:spacing w:val="-3"/>
        </w:rPr>
      </w:pPr>
    </w:p>
    <w:p w:rsidR="00CF3491" w:rsidRDefault="00CF3491" w:rsidP="005F1034">
      <w:pPr>
        <w:keepNext/>
        <w:numPr>
          <w:ilvl w:val="0"/>
          <w:numId w:val="17"/>
        </w:numPr>
        <w:suppressAutoHyphens/>
        <w:adjustRightInd w:val="0"/>
        <w:textAlignment w:val="baseline"/>
        <w:outlineLvl w:val="1"/>
        <w:rPr>
          <w:rFonts w:cs="Arial"/>
          <w:b/>
          <w:spacing w:val="-3"/>
        </w:rPr>
      </w:pPr>
      <w:r w:rsidRPr="00CF3491">
        <w:rPr>
          <w:rFonts w:cs="Arial"/>
          <w:b/>
          <w:spacing w:val="-3"/>
        </w:rPr>
        <w:lastRenderedPageBreak/>
        <w:t>Costo de Reposición de Activos Eléctricos</w:t>
      </w:r>
    </w:p>
    <w:p w:rsidR="005F1034" w:rsidRPr="00CF3491" w:rsidRDefault="005F1034" w:rsidP="005F1034">
      <w:pPr>
        <w:keepNext/>
        <w:suppressAutoHyphens/>
        <w:adjustRightInd w:val="0"/>
        <w:ind w:left="644"/>
        <w:textAlignment w:val="baseline"/>
        <w:outlineLvl w:val="1"/>
        <w:rPr>
          <w:rFonts w:cs="Arial"/>
          <w:b/>
          <w:spacing w:val="-3"/>
        </w:rPr>
      </w:pPr>
    </w:p>
    <w:p w:rsidR="002973E4" w:rsidRDefault="002973E4" w:rsidP="003503FF">
      <w:pPr>
        <w:suppressAutoHyphens/>
        <w:ind w:left="284"/>
        <w:rPr>
          <w:rFonts w:cs="Arial"/>
          <w:spacing w:val="-3"/>
        </w:rPr>
      </w:pPr>
      <w:r>
        <w:rPr>
          <w:rFonts w:cs="Arial"/>
          <w:spacing w:val="-3"/>
        </w:rPr>
        <w:t xml:space="preserve">Como se mencionó en el </w:t>
      </w:r>
      <w:r w:rsidR="00EA5B85" w:rsidRPr="00EA5B85">
        <w:rPr>
          <w:rFonts w:cs="Arial"/>
          <w:spacing w:val="-3"/>
        </w:rPr>
        <w:t xml:space="preserve">numeral </w:t>
      </w:r>
      <w:r w:rsidR="005D791F" w:rsidRPr="005D791F">
        <w:rPr>
          <w:rFonts w:cs="Arial"/>
          <w:spacing w:val="-3"/>
        </w:rPr>
        <w:t xml:space="preserve">1 </w:t>
      </w:r>
      <w:r w:rsidR="00EA5B85" w:rsidRPr="00EA5B85">
        <w:rPr>
          <w:rFonts w:cs="Arial"/>
          <w:spacing w:val="-3"/>
        </w:rPr>
        <w:t>de</w:t>
      </w:r>
      <w:r w:rsidR="00722FE5">
        <w:rPr>
          <w:rFonts w:cs="Arial"/>
          <w:spacing w:val="-3"/>
        </w:rPr>
        <w:t xml:space="preserve"> este </w:t>
      </w:r>
      <w:r w:rsidR="00EA5B85" w:rsidRPr="00EA5B85">
        <w:rPr>
          <w:rFonts w:cs="Arial"/>
          <w:spacing w:val="-3"/>
        </w:rPr>
        <w:t>literal</w:t>
      </w:r>
      <w:r>
        <w:rPr>
          <w:rFonts w:cs="Arial"/>
          <w:spacing w:val="-3"/>
        </w:rPr>
        <w:t>, se encuentra pertinente la solicitud hecha por Transelca S.A. E.S.P. respecto a</w:t>
      </w:r>
      <w:r w:rsidR="00EB40D0">
        <w:rPr>
          <w:rFonts w:cs="Arial"/>
          <w:spacing w:val="-3"/>
        </w:rPr>
        <w:t>l</w:t>
      </w:r>
      <w:r>
        <w:rPr>
          <w:rFonts w:cs="Arial"/>
          <w:spacing w:val="-3"/>
        </w:rPr>
        <w:t xml:space="preserve"> </w:t>
      </w:r>
      <w:r w:rsidR="00EB40D0">
        <w:rPr>
          <w:rFonts w:cs="Arial"/>
          <w:spacing w:val="-3"/>
        </w:rPr>
        <w:t>c</w:t>
      </w:r>
      <w:r w:rsidR="00EB40D0" w:rsidRPr="00EB40D0">
        <w:rPr>
          <w:rFonts w:cs="Arial"/>
          <w:spacing w:val="-3"/>
        </w:rPr>
        <w:t xml:space="preserve">orte </w:t>
      </w:r>
      <w:r w:rsidR="00EB40D0">
        <w:rPr>
          <w:rFonts w:cs="Arial"/>
          <w:spacing w:val="-3"/>
        </w:rPr>
        <w:t>c</w:t>
      </w:r>
      <w:r w:rsidR="00EB40D0" w:rsidRPr="00EB40D0">
        <w:rPr>
          <w:rFonts w:cs="Arial"/>
          <w:spacing w:val="-3"/>
        </w:rPr>
        <w:t>entral de la Subestación Nueva Barranquilla</w:t>
      </w:r>
      <w:r>
        <w:rPr>
          <w:rFonts w:cs="Arial"/>
          <w:spacing w:val="-3"/>
        </w:rPr>
        <w:t>, clasificado con la unidad constructiva SE219</w:t>
      </w:r>
      <w:r w:rsidR="00E030E5">
        <w:rPr>
          <w:rFonts w:cs="Arial"/>
          <w:spacing w:val="-3"/>
        </w:rPr>
        <w:t>.</w:t>
      </w:r>
      <w:r>
        <w:rPr>
          <w:rFonts w:cs="Arial"/>
          <w:spacing w:val="-3"/>
        </w:rPr>
        <w:t xml:space="preserve"> </w:t>
      </w:r>
      <w:r w:rsidR="00E030E5">
        <w:rPr>
          <w:rFonts w:cs="Arial"/>
          <w:spacing w:val="-3"/>
        </w:rPr>
        <w:t>P</w:t>
      </w:r>
      <w:r w:rsidR="00476515">
        <w:rPr>
          <w:rFonts w:cs="Arial"/>
          <w:spacing w:val="-3"/>
        </w:rPr>
        <w:t>or consiguiente</w:t>
      </w:r>
      <w:r w:rsidR="00E030E5">
        <w:rPr>
          <w:rFonts w:cs="Arial"/>
          <w:spacing w:val="-3"/>
        </w:rPr>
        <w:t>,</w:t>
      </w:r>
      <w:r w:rsidR="00476515">
        <w:rPr>
          <w:rFonts w:cs="Arial"/>
          <w:spacing w:val="-3"/>
        </w:rPr>
        <w:t xml:space="preserve"> </w:t>
      </w:r>
      <w:r w:rsidR="00E030E5">
        <w:rPr>
          <w:rFonts w:cs="Arial"/>
          <w:spacing w:val="-3"/>
        </w:rPr>
        <w:t>al</w:t>
      </w:r>
      <w:r w:rsidR="00476515">
        <w:rPr>
          <w:rFonts w:cs="Arial"/>
          <w:spacing w:val="-3"/>
        </w:rPr>
        <w:t xml:space="preserve"> </w:t>
      </w:r>
      <w:r>
        <w:rPr>
          <w:rFonts w:cs="Arial"/>
          <w:spacing w:val="-3"/>
        </w:rPr>
        <w:t>asignarle un porcentaje de uso (PU) de 1,0 en la Base de Activos de la empresa</w:t>
      </w:r>
      <w:r w:rsidR="00E030E5">
        <w:rPr>
          <w:rFonts w:cs="Arial"/>
          <w:spacing w:val="-3"/>
        </w:rPr>
        <w:t>, se hace necesario modificar el Costo de Reposición de Activos Eléctricos.</w:t>
      </w:r>
    </w:p>
    <w:p w:rsidR="00C0253A" w:rsidRDefault="00C0253A" w:rsidP="00FF7FAF">
      <w:pPr>
        <w:suppressAutoHyphens/>
        <w:ind w:left="284"/>
        <w:rPr>
          <w:rFonts w:cs="Arial"/>
          <w:spacing w:val="-3"/>
        </w:rPr>
      </w:pPr>
    </w:p>
    <w:p w:rsidR="00C0253A" w:rsidRPr="009354EF" w:rsidRDefault="00FF7FAF" w:rsidP="003503FF">
      <w:pPr>
        <w:keepNext/>
        <w:numPr>
          <w:ilvl w:val="0"/>
          <w:numId w:val="17"/>
        </w:numPr>
        <w:suppressAutoHyphens/>
        <w:adjustRightInd w:val="0"/>
        <w:spacing w:after="240"/>
        <w:textAlignment w:val="baseline"/>
        <w:outlineLvl w:val="1"/>
        <w:rPr>
          <w:rFonts w:cs="Arial"/>
          <w:b/>
          <w:spacing w:val="-3"/>
        </w:rPr>
      </w:pPr>
      <w:r w:rsidRPr="009354EF">
        <w:rPr>
          <w:rFonts w:cs="Arial"/>
          <w:b/>
          <w:spacing w:val="-3"/>
        </w:rPr>
        <w:t>Consideraciones de Derecho</w:t>
      </w:r>
    </w:p>
    <w:p w:rsidR="00476515" w:rsidRDefault="00476515" w:rsidP="00E67F39">
      <w:pPr>
        <w:suppressAutoHyphens/>
        <w:ind w:left="284"/>
        <w:rPr>
          <w:rFonts w:cs="Arial"/>
          <w:spacing w:val="-3"/>
        </w:rPr>
      </w:pPr>
      <w:r>
        <w:rPr>
          <w:rFonts w:cs="Arial"/>
          <w:spacing w:val="-3"/>
        </w:rPr>
        <w:t>Bajo este acápite, sostiene la apoderada de la empresa en el respectivo escrito de reposición que la Resolución CREG 107</w:t>
      </w:r>
      <w:r w:rsidR="00E67F39">
        <w:rPr>
          <w:rFonts w:cs="Arial"/>
          <w:spacing w:val="-3"/>
        </w:rPr>
        <w:t xml:space="preserve"> de 2010</w:t>
      </w:r>
      <w:r>
        <w:rPr>
          <w:rFonts w:cs="Arial"/>
          <w:spacing w:val="-3"/>
        </w:rPr>
        <w:t xml:space="preserve"> adolece de un vicio de nulidad consistente en la falsa motivación</w:t>
      </w:r>
      <w:r w:rsidR="0049097B">
        <w:rPr>
          <w:rFonts w:cs="Arial"/>
          <w:spacing w:val="-3"/>
        </w:rPr>
        <w:t xml:space="preserve">, la cual </w:t>
      </w:r>
      <w:r>
        <w:rPr>
          <w:rFonts w:cs="Arial"/>
          <w:spacing w:val="-3"/>
        </w:rPr>
        <w:t>se origin</w:t>
      </w:r>
      <w:r w:rsidR="00D3149F">
        <w:rPr>
          <w:rFonts w:cs="Arial"/>
          <w:spacing w:val="-3"/>
        </w:rPr>
        <w:t>ó</w:t>
      </w:r>
      <w:r>
        <w:rPr>
          <w:rFonts w:cs="Arial"/>
          <w:spacing w:val="-3"/>
        </w:rPr>
        <w:t xml:space="preserve"> cuando la Comisión de Regulación de </w:t>
      </w:r>
      <w:r w:rsidR="00D3149F">
        <w:rPr>
          <w:rFonts w:cs="Arial"/>
          <w:spacing w:val="-3"/>
        </w:rPr>
        <w:t>E</w:t>
      </w:r>
      <w:r>
        <w:rPr>
          <w:rFonts w:cs="Arial"/>
          <w:spacing w:val="-3"/>
        </w:rPr>
        <w:t>nergía y Gas</w:t>
      </w:r>
      <w:r w:rsidR="00D3149F">
        <w:rPr>
          <w:rFonts w:cs="Arial"/>
          <w:spacing w:val="-3"/>
        </w:rPr>
        <w:t>,</w:t>
      </w:r>
      <w:r>
        <w:rPr>
          <w:rFonts w:cs="Arial"/>
          <w:spacing w:val="-3"/>
        </w:rPr>
        <w:t xml:space="preserve"> </w:t>
      </w:r>
      <w:r w:rsidR="0049097B">
        <w:rPr>
          <w:rFonts w:cs="Arial"/>
          <w:spacing w:val="-3"/>
        </w:rPr>
        <w:t xml:space="preserve">basada en una interpretación </w:t>
      </w:r>
      <w:r>
        <w:rPr>
          <w:rFonts w:cs="Arial"/>
          <w:spacing w:val="-3"/>
        </w:rPr>
        <w:t>errónea</w:t>
      </w:r>
      <w:r w:rsidR="0049097B">
        <w:rPr>
          <w:rFonts w:cs="Arial"/>
          <w:spacing w:val="-3"/>
        </w:rPr>
        <w:t xml:space="preserve"> y equivocada de la </w:t>
      </w:r>
      <w:r>
        <w:rPr>
          <w:rFonts w:cs="Arial"/>
          <w:spacing w:val="-3"/>
        </w:rPr>
        <w:t xml:space="preserve">información reportada por </w:t>
      </w:r>
      <w:r w:rsidR="00E67F39">
        <w:rPr>
          <w:rFonts w:cs="Arial"/>
          <w:spacing w:val="-3"/>
        </w:rPr>
        <w:t xml:space="preserve">Transelca </w:t>
      </w:r>
      <w:r>
        <w:rPr>
          <w:rFonts w:cs="Arial"/>
          <w:spacing w:val="-3"/>
        </w:rPr>
        <w:t xml:space="preserve">S.A. E.S.P. </w:t>
      </w:r>
      <w:r w:rsidR="005952FB">
        <w:rPr>
          <w:rFonts w:cs="Arial"/>
          <w:spacing w:val="-3"/>
        </w:rPr>
        <w:t>tom</w:t>
      </w:r>
      <w:r w:rsidR="0049097B">
        <w:rPr>
          <w:rFonts w:cs="Arial"/>
          <w:spacing w:val="-3"/>
        </w:rPr>
        <w:t>ó</w:t>
      </w:r>
      <w:r>
        <w:rPr>
          <w:rFonts w:cs="Arial"/>
          <w:spacing w:val="-3"/>
        </w:rPr>
        <w:t xml:space="preserve"> las decisiones </w:t>
      </w:r>
      <w:r w:rsidR="0049097B">
        <w:rPr>
          <w:rFonts w:cs="Arial"/>
          <w:spacing w:val="-3"/>
        </w:rPr>
        <w:t xml:space="preserve">que contiene </w:t>
      </w:r>
      <w:r>
        <w:rPr>
          <w:rFonts w:cs="Arial"/>
          <w:spacing w:val="-3"/>
        </w:rPr>
        <w:t xml:space="preserve">la referida Resolución. </w:t>
      </w:r>
    </w:p>
    <w:p w:rsidR="00476515" w:rsidRDefault="00476515" w:rsidP="003503FF">
      <w:pPr>
        <w:suppressAutoHyphens/>
        <w:ind w:left="284"/>
        <w:rPr>
          <w:rFonts w:cs="Arial"/>
          <w:spacing w:val="-3"/>
        </w:rPr>
      </w:pPr>
    </w:p>
    <w:p w:rsidR="00D3149F" w:rsidRDefault="00476515" w:rsidP="00170917">
      <w:pPr>
        <w:suppressAutoHyphens/>
        <w:ind w:left="284"/>
        <w:rPr>
          <w:rFonts w:cs="Arial"/>
          <w:spacing w:val="-3"/>
        </w:rPr>
      </w:pPr>
      <w:r>
        <w:rPr>
          <w:rFonts w:cs="Arial"/>
          <w:spacing w:val="-3"/>
        </w:rPr>
        <w:t xml:space="preserve">Al respecto, </w:t>
      </w:r>
      <w:r w:rsidR="00D3149F">
        <w:rPr>
          <w:rFonts w:cs="Arial"/>
          <w:spacing w:val="-3"/>
        </w:rPr>
        <w:t xml:space="preserve">se </w:t>
      </w:r>
      <w:r>
        <w:rPr>
          <w:rFonts w:cs="Arial"/>
          <w:spacing w:val="-3"/>
        </w:rPr>
        <w:t xml:space="preserve">debe </w:t>
      </w:r>
      <w:r w:rsidR="00D3149F">
        <w:rPr>
          <w:rFonts w:cs="Arial"/>
          <w:spacing w:val="-3"/>
        </w:rPr>
        <w:t xml:space="preserve">ser enfático al afirmar que esta Comisión en ningún momento </w:t>
      </w:r>
      <w:r w:rsidR="00E67F39">
        <w:rPr>
          <w:rFonts w:cs="Arial"/>
          <w:spacing w:val="-3"/>
        </w:rPr>
        <w:t xml:space="preserve">interpretó </w:t>
      </w:r>
      <w:r w:rsidR="00D3149F">
        <w:rPr>
          <w:rFonts w:cs="Arial"/>
          <w:spacing w:val="-3"/>
        </w:rPr>
        <w:t xml:space="preserve">de manera equivocada la información reportada </w:t>
      </w:r>
      <w:r>
        <w:rPr>
          <w:rFonts w:cs="Arial"/>
          <w:spacing w:val="-3"/>
        </w:rPr>
        <w:t xml:space="preserve">por </w:t>
      </w:r>
      <w:r w:rsidR="00E67F39">
        <w:rPr>
          <w:rFonts w:cs="Arial"/>
          <w:spacing w:val="-3"/>
        </w:rPr>
        <w:t xml:space="preserve">Transelca </w:t>
      </w:r>
      <w:r w:rsidR="00D3149F">
        <w:rPr>
          <w:rFonts w:cs="Arial"/>
          <w:spacing w:val="-3"/>
        </w:rPr>
        <w:t xml:space="preserve">S.A. E.S.P. sino que la empresa </w:t>
      </w:r>
      <w:r w:rsidR="002F0B40">
        <w:rPr>
          <w:rFonts w:cs="Arial"/>
          <w:spacing w:val="-3"/>
        </w:rPr>
        <w:t xml:space="preserve">consolidó </w:t>
      </w:r>
      <w:r w:rsidR="00005529">
        <w:rPr>
          <w:rFonts w:cs="Arial"/>
          <w:spacing w:val="-3"/>
        </w:rPr>
        <w:t xml:space="preserve">e inclusive </w:t>
      </w:r>
      <w:r w:rsidR="002F0B40">
        <w:rPr>
          <w:rFonts w:cs="Arial"/>
          <w:spacing w:val="-3"/>
        </w:rPr>
        <w:t xml:space="preserve">reportó </w:t>
      </w:r>
      <w:r w:rsidR="00D3149F">
        <w:rPr>
          <w:rFonts w:cs="Arial"/>
          <w:spacing w:val="-3"/>
        </w:rPr>
        <w:t>su información de manera errónea</w:t>
      </w:r>
      <w:r w:rsidR="00005529">
        <w:rPr>
          <w:rFonts w:cs="Arial"/>
          <w:spacing w:val="-3"/>
        </w:rPr>
        <w:t xml:space="preserve"> ante la CREG</w:t>
      </w:r>
      <w:r w:rsidR="00D3149F">
        <w:rPr>
          <w:rFonts w:cs="Arial"/>
          <w:spacing w:val="-3"/>
        </w:rPr>
        <w:t>.</w:t>
      </w:r>
    </w:p>
    <w:p w:rsidR="00D3149F" w:rsidRDefault="00D3149F" w:rsidP="00170917">
      <w:pPr>
        <w:suppressAutoHyphens/>
        <w:ind w:left="284"/>
        <w:rPr>
          <w:rFonts w:cs="Arial"/>
          <w:spacing w:val="-3"/>
        </w:rPr>
      </w:pPr>
    </w:p>
    <w:p w:rsidR="00D3149F" w:rsidRDefault="00D3149F">
      <w:pPr>
        <w:suppressAutoHyphens/>
        <w:ind w:left="284"/>
        <w:rPr>
          <w:rFonts w:cs="Arial"/>
          <w:spacing w:val="-3"/>
        </w:rPr>
      </w:pPr>
      <w:r>
        <w:rPr>
          <w:rFonts w:cs="Arial"/>
          <w:spacing w:val="-3"/>
        </w:rPr>
        <w:t xml:space="preserve">La anterior afirmación encuentra su sustento en la confesión de la propia apoderada de la empresa que sostiene </w:t>
      </w:r>
      <w:r w:rsidR="00005529">
        <w:rPr>
          <w:rFonts w:cs="Arial"/>
          <w:spacing w:val="-3"/>
        </w:rPr>
        <w:t>en el escrito de reposición lo siguiente:</w:t>
      </w:r>
      <w:r>
        <w:rPr>
          <w:rFonts w:cs="Arial"/>
          <w:spacing w:val="-3"/>
        </w:rPr>
        <w:t xml:space="preserve"> </w:t>
      </w:r>
    </w:p>
    <w:p w:rsidR="00D3149F" w:rsidRDefault="00D3149F">
      <w:pPr>
        <w:suppressAutoHyphens/>
        <w:ind w:left="284"/>
        <w:rPr>
          <w:rFonts w:cs="Arial"/>
          <w:spacing w:val="-3"/>
        </w:rPr>
      </w:pPr>
    </w:p>
    <w:p w:rsidR="00005529" w:rsidRPr="005E390E" w:rsidRDefault="00005529" w:rsidP="004026AA">
      <w:pPr>
        <w:pStyle w:val="Cita"/>
        <w:spacing w:after="0"/>
        <w:ind w:left="851" w:right="425"/>
        <w:rPr>
          <w:rFonts w:ascii="Bookman Old Style" w:hAnsi="Bookman Old Style"/>
          <w:sz w:val="22"/>
        </w:rPr>
      </w:pPr>
      <w:r w:rsidRPr="005E390E">
        <w:rPr>
          <w:rFonts w:ascii="Bookman Old Style" w:hAnsi="Bookman Old Style"/>
          <w:sz w:val="22"/>
        </w:rPr>
        <w:t>Debido a que la Resolución CREG 085 de 2009 (PUC para solicitar el AOM de uso de los años 2001 a 2007) no contempló algunas cuentas que hacen parte del Plan de Cuentas del SUI, TRANSELCA S.A. E.S.P. procedió a incluir los costos y gastos realizados en cuentas afines existentes en la resolución 085 de 2009. Esta reclasificación generó que dichas cuentas en el reporte realizado a la CREG para efectos de remuneración (Resolución 011 de 2009), acumularan un valor superior a Io reportado en el PUC y en el SUI en periodos iguales, por lo cual la CREG afectó el reconocimiento de los costos y gastos de TRANSELCA según la metodología utilizada por ésta entidad</w:t>
      </w:r>
      <w:r w:rsidR="002F0B40">
        <w:rPr>
          <w:rFonts w:ascii="Bookman Old Style" w:hAnsi="Bookman Old Style"/>
          <w:sz w:val="22"/>
        </w:rPr>
        <w:t>.</w:t>
      </w:r>
    </w:p>
    <w:p w:rsidR="00D3149F" w:rsidRPr="004026AA" w:rsidRDefault="00D3149F" w:rsidP="002F0B40">
      <w:pPr>
        <w:suppressAutoHyphens/>
        <w:ind w:left="284"/>
        <w:rPr>
          <w:rFonts w:cs="Arial"/>
          <w:spacing w:val="-3"/>
        </w:rPr>
      </w:pPr>
    </w:p>
    <w:p w:rsidR="00005529" w:rsidRPr="004026AA" w:rsidRDefault="00005529" w:rsidP="002F0B40">
      <w:pPr>
        <w:suppressAutoHyphens/>
        <w:ind w:left="284"/>
      </w:pPr>
      <w:r w:rsidRPr="003503FF">
        <w:rPr>
          <w:rFonts w:cs="Arial"/>
          <w:spacing w:val="-3"/>
        </w:rPr>
        <w:t>Evidencia lo anterior</w:t>
      </w:r>
      <w:r w:rsidR="005952FB" w:rsidRPr="003503FF">
        <w:rPr>
          <w:rFonts w:cs="Arial"/>
          <w:spacing w:val="-3"/>
        </w:rPr>
        <w:t xml:space="preserve">, </w:t>
      </w:r>
      <w:r w:rsidRPr="003503FF">
        <w:rPr>
          <w:rFonts w:cs="Arial"/>
          <w:spacing w:val="-3"/>
        </w:rPr>
        <w:t xml:space="preserve">que como la Circular </w:t>
      </w:r>
      <w:r w:rsidR="002F0B40" w:rsidRPr="003503FF">
        <w:rPr>
          <w:rFonts w:cs="Arial"/>
          <w:spacing w:val="-3"/>
        </w:rPr>
        <w:t xml:space="preserve">CREG </w:t>
      </w:r>
      <w:r w:rsidRPr="003503FF">
        <w:rPr>
          <w:rFonts w:cs="Arial"/>
          <w:spacing w:val="-3"/>
        </w:rPr>
        <w:t>085 de 2008 (</w:t>
      </w:r>
      <w:r w:rsidR="00DB64F1" w:rsidRPr="00512893">
        <w:rPr>
          <w:rFonts w:cs="Arial"/>
          <w:spacing w:val="-3"/>
        </w:rPr>
        <w:t>erróneamente</w:t>
      </w:r>
      <w:r w:rsidR="002F0B40" w:rsidRPr="00512893">
        <w:rPr>
          <w:rFonts w:cs="Arial"/>
          <w:spacing w:val="-3"/>
        </w:rPr>
        <w:t xml:space="preserve"> referenciada por la empresa como la </w:t>
      </w:r>
      <w:r w:rsidRPr="00512893">
        <w:rPr>
          <w:rFonts w:cs="Arial"/>
          <w:spacing w:val="-3"/>
        </w:rPr>
        <w:t xml:space="preserve">Resolución CREG 085 de 2009) no </w:t>
      </w:r>
      <w:r w:rsidR="002F0B40" w:rsidRPr="00170917">
        <w:rPr>
          <w:rFonts w:cs="Arial"/>
          <w:spacing w:val="-3"/>
        </w:rPr>
        <w:t xml:space="preserve">contempló </w:t>
      </w:r>
      <w:r w:rsidRPr="00170917">
        <w:rPr>
          <w:rFonts w:cs="Arial"/>
          <w:spacing w:val="-3"/>
        </w:rPr>
        <w:t xml:space="preserve">algunas cuentas que hacían parte del plan de cuentas de </w:t>
      </w:r>
      <w:r w:rsidR="002F0B40" w:rsidRPr="004026AA">
        <w:t>Transelca</w:t>
      </w:r>
      <w:r w:rsidRPr="004026AA">
        <w:t xml:space="preserve">, la empresa procedió a incluir la información de otras cuentas en aquellas aprobadas en la </w:t>
      </w:r>
      <w:r w:rsidR="002F0B40" w:rsidRPr="004026AA">
        <w:t xml:space="preserve">Circular </w:t>
      </w:r>
      <w:r w:rsidRPr="004026AA">
        <w:t>085, sin ninguna consideración a los parámetros establecidos</w:t>
      </w:r>
      <w:r w:rsidR="002F0B40" w:rsidRPr="004026AA">
        <w:t xml:space="preserve"> en la metodología general de remuneración de la actividad de transmisión, definida en la </w:t>
      </w:r>
      <w:r w:rsidR="002F0B40" w:rsidRPr="004026AA">
        <w:rPr>
          <w:rFonts w:cs="Arial"/>
        </w:rPr>
        <w:t>Resolución CREG 011 de 2009</w:t>
      </w:r>
      <w:r w:rsidRPr="004026AA">
        <w:t>.</w:t>
      </w:r>
    </w:p>
    <w:p w:rsidR="00005529" w:rsidRPr="004026AA" w:rsidRDefault="00005529" w:rsidP="004026AA">
      <w:pPr>
        <w:suppressAutoHyphens/>
        <w:ind w:left="284"/>
      </w:pPr>
    </w:p>
    <w:p w:rsidR="00005529" w:rsidRPr="004026AA" w:rsidRDefault="00005529" w:rsidP="004026AA">
      <w:pPr>
        <w:suppressAutoHyphens/>
        <w:ind w:left="284"/>
      </w:pPr>
      <w:r w:rsidRPr="004026AA">
        <w:t xml:space="preserve">Se tiene entonces que existió un procedimiento irregular de consolidación de la información de la empresa, que la </w:t>
      </w:r>
      <w:r w:rsidR="002F0B40" w:rsidRPr="004026AA">
        <w:t xml:space="preserve">llevó </w:t>
      </w:r>
      <w:r w:rsidRPr="004026AA">
        <w:t>a reportarle a la CREG una información que si bien no correspondía con la realidad contable y financiera de la empresa, fue la información que se entreg</w:t>
      </w:r>
      <w:r w:rsidR="0049097B" w:rsidRPr="004026AA">
        <w:t>ó</w:t>
      </w:r>
      <w:r w:rsidRPr="004026AA">
        <w:t xml:space="preserve"> y fue la información con base en la cual se aprobó el ingreso anual de la respectiva empresa.</w:t>
      </w:r>
    </w:p>
    <w:p w:rsidR="00005529" w:rsidRPr="004026AA" w:rsidRDefault="00005529" w:rsidP="003503FF">
      <w:pPr>
        <w:suppressAutoHyphens/>
        <w:ind w:left="284"/>
      </w:pPr>
    </w:p>
    <w:p w:rsidR="002F0B40" w:rsidRPr="004026AA" w:rsidRDefault="002F0B40" w:rsidP="005F1034">
      <w:pPr>
        <w:suppressAutoHyphens/>
        <w:ind w:left="284"/>
      </w:pPr>
      <w:r w:rsidRPr="004026AA">
        <w:lastRenderedPageBreak/>
        <w:t>Con respecto a la información entregada en respuesta a la Circular CREG 018 de 2010, se presenta una situación similar. Al respecto la empresa manifiesta:</w:t>
      </w:r>
    </w:p>
    <w:p w:rsidR="002F0B40" w:rsidRPr="004026AA" w:rsidRDefault="002F0B40">
      <w:pPr>
        <w:suppressAutoHyphens/>
        <w:ind w:left="284"/>
      </w:pPr>
    </w:p>
    <w:p w:rsidR="002F0B40" w:rsidRPr="002F0B40" w:rsidRDefault="002F0B40" w:rsidP="004026AA">
      <w:pPr>
        <w:suppressAutoHyphens/>
        <w:ind w:left="708" w:right="284"/>
        <w:rPr>
          <w:i/>
          <w:iCs/>
          <w:sz w:val="22"/>
          <w:lang w:val="es-CO"/>
        </w:rPr>
      </w:pPr>
      <w:r w:rsidRPr="002F0B40">
        <w:rPr>
          <w:i/>
          <w:iCs/>
          <w:sz w:val="22"/>
          <w:lang w:val="es-CO"/>
        </w:rPr>
        <w:t xml:space="preserve">Atendiendo lo solicitado en la Circular CREG 018 de 2009, TRANSELCA S.A. E.S.P. reportó los gastos y costos de administración, operación y mantenimiento (columna "reporte de costos y gastos SUI") para los años 2006 y 2007 con valores de $109.417 millones y $108.071 millones respectivamente. Acorde con estos valores TRANSELCA S.A. E.S.P. reportó en la columna "Transmisión otros" la diferencia entre la totalidad de las cuentas de costos y gastos </w:t>
      </w:r>
      <w:r w:rsidRPr="002F0B40">
        <w:rPr>
          <w:i/>
          <w:iCs/>
          <w:sz w:val="22"/>
          <w:u w:val="single"/>
          <w:lang w:val="es-CO"/>
        </w:rPr>
        <w:t>contenida en el "Balance de Energía" del SUI</w:t>
      </w:r>
      <w:r w:rsidRPr="002F0B40">
        <w:rPr>
          <w:i/>
          <w:iCs/>
          <w:sz w:val="22"/>
          <w:lang w:val="es-CO"/>
        </w:rPr>
        <w:t xml:space="preserve"> y los costos y gastos asignados a “Transmisión Uso" señalados en dicha circular.</w:t>
      </w:r>
    </w:p>
    <w:p w:rsidR="002F0B40" w:rsidRPr="004026AA" w:rsidRDefault="002F0B40" w:rsidP="002F0B40">
      <w:pPr>
        <w:suppressAutoHyphens/>
        <w:ind w:left="284"/>
        <w:rPr>
          <w:lang w:val="es-CO"/>
        </w:rPr>
      </w:pPr>
    </w:p>
    <w:p w:rsidR="004026AA" w:rsidRPr="004026AA" w:rsidRDefault="002F0B40" w:rsidP="0051329E">
      <w:pPr>
        <w:suppressAutoHyphens/>
        <w:ind w:left="284"/>
        <w:rPr>
          <w:lang w:val="es-CO"/>
        </w:rPr>
      </w:pPr>
      <w:r w:rsidRPr="004026AA">
        <w:t xml:space="preserve">Aquí se verifica que la empresa no entregó </w:t>
      </w:r>
      <w:r w:rsidR="0051329E" w:rsidRPr="004026AA">
        <w:t xml:space="preserve">la información </w:t>
      </w:r>
      <w:r w:rsidR="004026AA" w:rsidRPr="004026AA">
        <w:t xml:space="preserve">tal como se </w:t>
      </w:r>
      <w:r w:rsidR="0051329E" w:rsidRPr="004026AA">
        <w:t>ped</w:t>
      </w:r>
      <w:r w:rsidR="004026AA" w:rsidRPr="004026AA">
        <w:t>ía</w:t>
      </w:r>
      <w:r w:rsidR="0051329E" w:rsidRPr="004026AA">
        <w:t xml:space="preserve"> en la Circular 018 de 2009</w:t>
      </w:r>
      <w:r w:rsidR="004026AA" w:rsidRPr="004026AA">
        <w:t>,</w:t>
      </w:r>
      <w:r w:rsidR="0051329E" w:rsidRPr="004026AA">
        <w:t xml:space="preserve"> que solicitaba </w:t>
      </w:r>
      <w:r w:rsidR="0051329E" w:rsidRPr="004026AA">
        <w:rPr>
          <w:lang w:val="es-CO"/>
        </w:rPr>
        <w:t xml:space="preserve">incluir </w:t>
      </w:r>
      <w:r w:rsidR="004026AA">
        <w:rPr>
          <w:lang w:val="es-CO"/>
        </w:rPr>
        <w:t xml:space="preserve">solamente </w:t>
      </w:r>
      <w:r w:rsidR="0051329E" w:rsidRPr="004026AA">
        <w:rPr>
          <w:lang w:val="es-CO"/>
        </w:rPr>
        <w:t xml:space="preserve">las cuentas y los montos </w:t>
      </w:r>
      <w:r w:rsidR="004026AA" w:rsidRPr="004026AA">
        <w:rPr>
          <w:i/>
          <w:lang w:val="es-CO"/>
        </w:rPr>
        <w:t>“</w:t>
      </w:r>
      <w:r w:rsidR="0051329E" w:rsidRPr="004026AA">
        <w:rPr>
          <w:i/>
          <w:lang w:val="es-CO"/>
        </w:rPr>
        <w:t xml:space="preserve">cuyos valores son llevados como costo a la unidad de negocio </w:t>
      </w:r>
      <w:r w:rsidR="004026AA" w:rsidRPr="004026AA">
        <w:rPr>
          <w:i/>
          <w:lang w:val="es-CO"/>
        </w:rPr>
        <w:t>‘Transmisión’”</w:t>
      </w:r>
      <w:r w:rsidR="004026AA" w:rsidRPr="004026AA">
        <w:rPr>
          <w:lang w:val="es-CO"/>
        </w:rPr>
        <w:t>, sino que reportó la totalidad de las cuentas de costos y gastos.</w:t>
      </w:r>
    </w:p>
    <w:p w:rsidR="004026AA" w:rsidRPr="004026AA" w:rsidRDefault="004026AA" w:rsidP="0051329E">
      <w:pPr>
        <w:suppressAutoHyphens/>
        <w:ind w:left="284"/>
        <w:rPr>
          <w:i/>
          <w:lang w:val="es-CO"/>
        </w:rPr>
      </w:pPr>
    </w:p>
    <w:p w:rsidR="00005529" w:rsidRPr="004026AA" w:rsidRDefault="00005529" w:rsidP="004026AA">
      <w:pPr>
        <w:suppressAutoHyphens/>
        <w:ind w:left="284"/>
      </w:pPr>
      <w:r w:rsidRPr="004026AA">
        <w:t>De acuerdo con lo anterior debe concluirse que no hubo una equiv</w:t>
      </w:r>
      <w:r w:rsidR="005952FB" w:rsidRPr="004026AA">
        <w:t>o</w:t>
      </w:r>
      <w:r w:rsidRPr="004026AA">
        <w:t xml:space="preserve">cada </w:t>
      </w:r>
      <w:r w:rsidR="005952FB" w:rsidRPr="004026AA">
        <w:t xml:space="preserve">interpretación </w:t>
      </w:r>
      <w:r w:rsidRPr="004026AA">
        <w:t>de</w:t>
      </w:r>
      <w:r w:rsidR="005952FB" w:rsidRPr="004026AA">
        <w:t xml:space="preserve"> la información reportada po</w:t>
      </w:r>
      <w:r w:rsidR="0049097B" w:rsidRPr="004026AA">
        <w:t>r</w:t>
      </w:r>
      <w:r w:rsidR="005952FB" w:rsidRPr="004026AA">
        <w:t xml:space="preserve"> </w:t>
      </w:r>
      <w:r w:rsidR="004026AA" w:rsidRPr="004026AA">
        <w:t xml:space="preserve">Transelca </w:t>
      </w:r>
      <w:r w:rsidR="005952FB" w:rsidRPr="004026AA">
        <w:t>a la CREG</w:t>
      </w:r>
      <w:r w:rsidR="0049097B" w:rsidRPr="004026AA">
        <w:t>,</w:t>
      </w:r>
      <w:r w:rsidR="005952FB" w:rsidRPr="004026AA">
        <w:t xml:space="preserve"> sino una </w:t>
      </w:r>
      <w:r w:rsidR="00AC75FD" w:rsidRPr="004026AA">
        <w:t xml:space="preserve">valoración e interpretación de una información inexacta que fue irregularmente reportada </w:t>
      </w:r>
      <w:r w:rsidR="005952FB" w:rsidRPr="004026AA">
        <w:t xml:space="preserve">por parte de la </w:t>
      </w:r>
      <w:r w:rsidR="00AC75FD" w:rsidRPr="004026AA">
        <w:t xml:space="preserve">misma </w:t>
      </w:r>
      <w:r w:rsidR="005952FB" w:rsidRPr="004026AA">
        <w:t>empresa.</w:t>
      </w:r>
    </w:p>
    <w:p w:rsidR="005952FB" w:rsidRPr="004026AA" w:rsidRDefault="005952FB" w:rsidP="004026AA">
      <w:pPr>
        <w:suppressAutoHyphens/>
        <w:ind w:left="284"/>
      </w:pPr>
    </w:p>
    <w:p w:rsidR="005952FB" w:rsidRPr="004026AA" w:rsidRDefault="004026AA" w:rsidP="004026AA">
      <w:pPr>
        <w:suppressAutoHyphens/>
        <w:ind w:left="284"/>
      </w:pPr>
      <w:r w:rsidRPr="004026AA">
        <w:t>H</w:t>
      </w:r>
      <w:r w:rsidR="005952FB" w:rsidRPr="004026AA">
        <w:t xml:space="preserve">abiéndose reportado dicha información, </w:t>
      </w:r>
      <w:r w:rsidR="0049097B" w:rsidRPr="004026AA">
        <w:t xml:space="preserve">de la manera en que se hizo, </w:t>
      </w:r>
      <w:r w:rsidR="005952FB" w:rsidRPr="004026AA">
        <w:t>esta Comisión la valoró y la interpret</w:t>
      </w:r>
      <w:r w:rsidR="00E030E5">
        <w:t>ó</w:t>
      </w:r>
      <w:r w:rsidR="005952FB" w:rsidRPr="004026AA">
        <w:t xml:space="preserve"> de acuerdo con la metodología establecida para tal fin y en consecuencia sus decisiones están claramente soportadas en los hechos analizados</w:t>
      </w:r>
      <w:r w:rsidR="0049097B" w:rsidRPr="004026AA">
        <w:t>,</w:t>
      </w:r>
      <w:r w:rsidR="005952FB" w:rsidRPr="004026AA">
        <w:t xml:space="preserve"> la información reportada y la metodología </w:t>
      </w:r>
      <w:r w:rsidR="0049097B" w:rsidRPr="004026AA">
        <w:t>establecida para ello</w:t>
      </w:r>
      <w:r w:rsidR="005952FB" w:rsidRPr="004026AA">
        <w:t>.</w:t>
      </w:r>
    </w:p>
    <w:p w:rsidR="005952FB" w:rsidRPr="004026AA" w:rsidRDefault="005952FB" w:rsidP="004026AA">
      <w:pPr>
        <w:suppressAutoHyphens/>
        <w:ind w:left="284"/>
      </w:pPr>
    </w:p>
    <w:p w:rsidR="005952FB" w:rsidRPr="004026AA" w:rsidRDefault="005952FB" w:rsidP="004026AA">
      <w:pPr>
        <w:suppressAutoHyphens/>
        <w:ind w:left="284"/>
      </w:pPr>
      <w:r w:rsidRPr="004026AA">
        <w:t xml:space="preserve">Con relación a la falsa motivación de los actos administrativos a la que se refiere la apoderada </w:t>
      </w:r>
      <w:r w:rsidR="0049097B" w:rsidRPr="004026AA">
        <w:t>en su escrito</w:t>
      </w:r>
      <w:r w:rsidRPr="004026AA">
        <w:t>, se considera pertinente mencionar que la jurisprudencia administrativa ha sido reiterativa al afirmar que dicho fenómeno se presenta cuando la situación de hecho que sirve de fundamento al acto administrativo, se revela inexistente, o cuando existiendo unos hechos, estos han sido calificados erradamente desde el punto de vista jurídico, generándose así en la primera hipótesis el error de hecho y en la segunda el error de derecho, como modalidades diferentes de la falsa motivación</w:t>
      </w:r>
      <w:r w:rsidR="0049097B" w:rsidRPr="004026AA">
        <w:rPr>
          <w:rStyle w:val="Refdenotaalpie"/>
        </w:rPr>
        <w:footnoteReference w:id="1"/>
      </w:r>
      <w:r w:rsidRPr="004026AA">
        <w:t>.</w:t>
      </w:r>
    </w:p>
    <w:p w:rsidR="005952FB" w:rsidRPr="004026AA" w:rsidRDefault="005952FB" w:rsidP="004026AA">
      <w:pPr>
        <w:suppressAutoHyphens/>
        <w:ind w:left="284"/>
      </w:pPr>
    </w:p>
    <w:p w:rsidR="00AC75FD" w:rsidRPr="004026AA" w:rsidRDefault="00B63E58" w:rsidP="004026AA">
      <w:pPr>
        <w:suppressAutoHyphens/>
        <w:ind w:left="284"/>
      </w:pPr>
      <w:r w:rsidRPr="004026AA">
        <w:t>En el caso de la Resolución CREG 107 de 2010, es claro para esta Comisión que los hechos que le sirvieron de fundamento a dicho acto, no se han tornado en ningún momento inexistente</w:t>
      </w:r>
      <w:r w:rsidR="003503FF">
        <w:t>s</w:t>
      </w:r>
      <w:r w:rsidRPr="004026AA">
        <w:t xml:space="preserve">, pues es evidente que la </w:t>
      </w:r>
      <w:r w:rsidR="00AC75FD" w:rsidRPr="004026AA">
        <w:t xml:space="preserve">decisión tomada en dicha resolución obedeció a una solicitud expresa de la empresa y a </w:t>
      </w:r>
      <w:r w:rsidR="003503FF">
        <w:t>l</w:t>
      </w:r>
      <w:r w:rsidR="003503FF" w:rsidRPr="004026AA">
        <w:t xml:space="preserve">a </w:t>
      </w:r>
      <w:r w:rsidR="00AC75FD" w:rsidRPr="004026AA">
        <w:t>valoración de un</w:t>
      </w:r>
      <w:r w:rsidR="003503FF">
        <w:t>a</w:t>
      </w:r>
      <w:r w:rsidR="00AC75FD" w:rsidRPr="004026AA">
        <w:t xml:space="preserve"> información report</w:t>
      </w:r>
      <w:r w:rsidR="003503FF">
        <w:t>ada</w:t>
      </w:r>
      <w:r w:rsidR="00AC75FD" w:rsidRPr="004026AA">
        <w:t xml:space="preserve"> también por ella misma.</w:t>
      </w:r>
    </w:p>
    <w:p w:rsidR="00AC75FD" w:rsidRPr="004026AA" w:rsidRDefault="00AC75FD" w:rsidP="004026AA">
      <w:pPr>
        <w:suppressAutoHyphens/>
        <w:ind w:left="284"/>
      </w:pPr>
    </w:p>
    <w:p w:rsidR="00AC75FD" w:rsidRPr="004026AA" w:rsidRDefault="00AC75FD" w:rsidP="004026AA">
      <w:pPr>
        <w:suppressAutoHyphens/>
        <w:ind w:left="284"/>
      </w:pPr>
      <w:r w:rsidRPr="004026AA">
        <w:lastRenderedPageBreak/>
        <w:t>Ahora bien</w:t>
      </w:r>
      <w:r w:rsidR="003503FF">
        <w:t>,</w:t>
      </w:r>
      <w:r w:rsidRPr="004026AA">
        <w:t xml:space="preserve"> existiendo tales hechos </w:t>
      </w:r>
      <w:r w:rsidR="003503FF">
        <w:t>ca</w:t>
      </w:r>
      <w:r w:rsidR="003503FF" w:rsidRPr="004026AA">
        <w:t xml:space="preserve">be </w:t>
      </w:r>
      <w:r w:rsidRPr="004026AA">
        <w:t xml:space="preserve">preguntarse entonces si se dio una valoración </w:t>
      </w:r>
      <w:r w:rsidR="003503FF" w:rsidRPr="004026AA">
        <w:t xml:space="preserve">equivocada a los mismos, </w:t>
      </w:r>
      <w:r w:rsidRPr="004026AA">
        <w:t>por parte de esta Comisión, a lo cual hay que concluir, después de efectuado el anterior análisis, que no existió una valoración equivocada o una interpretación errónea de la información como lo afirma la apoderada, sino una valoración y una interpretación de una información inexacta e irregularmente reportada.</w:t>
      </w:r>
    </w:p>
    <w:p w:rsidR="00AC75FD" w:rsidRPr="004026AA" w:rsidRDefault="00AC75FD" w:rsidP="004026AA">
      <w:pPr>
        <w:suppressAutoHyphens/>
        <w:ind w:left="284"/>
      </w:pPr>
    </w:p>
    <w:p w:rsidR="00827991" w:rsidRPr="004026AA" w:rsidRDefault="00AC75FD" w:rsidP="004026AA">
      <w:pPr>
        <w:suppressAutoHyphens/>
        <w:ind w:left="284"/>
      </w:pPr>
      <w:r w:rsidRPr="004026AA">
        <w:t>Por las anteriores circunstancias, considera esta Comisión que los presupuesto</w:t>
      </w:r>
      <w:r w:rsidR="00827991" w:rsidRPr="004026AA">
        <w:t>s</w:t>
      </w:r>
      <w:r w:rsidRPr="004026AA">
        <w:t xml:space="preserve"> </w:t>
      </w:r>
      <w:r w:rsidR="00827991" w:rsidRPr="004026AA">
        <w:t>para</w:t>
      </w:r>
      <w:r w:rsidRPr="004026AA">
        <w:t xml:space="preserve"> la falsa motivación de la Resolución CREG 107 de 2010 </w:t>
      </w:r>
      <w:r w:rsidR="00827991" w:rsidRPr="004026AA">
        <w:t xml:space="preserve">que alega la apoderada de </w:t>
      </w:r>
      <w:r w:rsidR="003503FF" w:rsidRPr="004026AA">
        <w:t>Transelca</w:t>
      </w:r>
      <w:r w:rsidR="00827991" w:rsidRPr="004026AA">
        <w:t xml:space="preserve">, </w:t>
      </w:r>
      <w:r w:rsidRPr="004026AA">
        <w:t xml:space="preserve">no se dan en este caso y por consiguiente no </w:t>
      </w:r>
      <w:r w:rsidR="00827991" w:rsidRPr="004026AA">
        <w:t xml:space="preserve">hay </w:t>
      </w:r>
      <w:r w:rsidR="003503FF" w:rsidRPr="004026AA">
        <w:t>m</w:t>
      </w:r>
      <w:r w:rsidR="003503FF">
        <w:t>é</w:t>
      </w:r>
      <w:r w:rsidR="003503FF" w:rsidRPr="004026AA">
        <w:t xml:space="preserve">rito </w:t>
      </w:r>
      <w:r w:rsidR="00827991" w:rsidRPr="004026AA">
        <w:t>alguno para revocar del acto en mención.</w:t>
      </w:r>
    </w:p>
    <w:p w:rsidR="00827991" w:rsidRPr="004026AA" w:rsidRDefault="00827991" w:rsidP="004026AA">
      <w:pPr>
        <w:suppressAutoHyphens/>
        <w:ind w:left="284"/>
      </w:pPr>
    </w:p>
    <w:p w:rsidR="00827991" w:rsidRPr="004026AA" w:rsidRDefault="00827991" w:rsidP="004026AA">
      <w:pPr>
        <w:suppressAutoHyphens/>
        <w:ind w:left="284"/>
      </w:pPr>
      <w:r w:rsidRPr="004026AA">
        <w:t xml:space="preserve">En relación </w:t>
      </w:r>
      <w:r w:rsidR="00750AEC">
        <w:t>con</w:t>
      </w:r>
      <w:r w:rsidRPr="004026AA">
        <w:t xml:space="preserve"> los supuestos perjuicios causados por la CREG que manifiesta  la apoderada en razón a las decisiones tomadas en la referida Resolución, debe decirse en el mismo sentido del razonamiento anterior, que no fue la CREG la que actuó irregularmente al valorar o interpretar la información reportada por la empresa, sino </w:t>
      </w:r>
      <w:r w:rsidR="003503FF" w:rsidRPr="004026AA">
        <w:t>Tra</w:t>
      </w:r>
      <w:r w:rsidR="003503FF">
        <w:t>n</w:t>
      </w:r>
      <w:r w:rsidR="003503FF" w:rsidRPr="004026AA">
        <w:t xml:space="preserve">selca </w:t>
      </w:r>
      <w:r w:rsidRPr="004026AA">
        <w:t xml:space="preserve">la que </w:t>
      </w:r>
      <w:r w:rsidR="003503FF" w:rsidRPr="004026AA">
        <w:t>report</w:t>
      </w:r>
      <w:r w:rsidR="003503FF">
        <w:t>ó</w:t>
      </w:r>
      <w:r w:rsidR="003503FF" w:rsidRPr="004026AA">
        <w:t xml:space="preserve"> </w:t>
      </w:r>
      <w:r w:rsidRPr="004026AA">
        <w:t>a la CREG información inexacta.</w:t>
      </w:r>
    </w:p>
    <w:p w:rsidR="005952FB" w:rsidRPr="004026AA" w:rsidRDefault="005952FB" w:rsidP="004026AA">
      <w:pPr>
        <w:suppressAutoHyphens/>
        <w:ind w:left="284"/>
      </w:pPr>
    </w:p>
    <w:p w:rsidR="00827991" w:rsidRPr="004026AA" w:rsidRDefault="00827991" w:rsidP="004026AA">
      <w:pPr>
        <w:suppressAutoHyphens/>
        <w:ind w:left="284"/>
      </w:pPr>
      <w:r w:rsidRPr="004026AA">
        <w:t xml:space="preserve">En ese orden de ideas, debe concluirse que esta Comisión no </w:t>
      </w:r>
      <w:r w:rsidR="003503FF" w:rsidRPr="004026AA">
        <w:t>caus</w:t>
      </w:r>
      <w:r w:rsidR="003503FF">
        <w:t>ó</w:t>
      </w:r>
      <w:r w:rsidR="003503FF" w:rsidRPr="004026AA">
        <w:t xml:space="preserve"> </w:t>
      </w:r>
      <w:r w:rsidRPr="004026AA">
        <w:t>perjuicio alguno y</w:t>
      </w:r>
      <w:r w:rsidR="00DB64F1">
        <w:t>,</w:t>
      </w:r>
      <w:r w:rsidRPr="004026AA">
        <w:t xml:space="preserve"> con fundamento en todo lo anterior, se </w:t>
      </w:r>
      <w:r w:rsidR="00DB64F1" w:rsidRPr="004026AA">
        <w:t>desestimar</w:t>
      </w:r>
      <w:r w:rsidR="00DB64F1">
        <w:t>á</w:t>
      </w:r>
      <w:r w:rsidR="00DB64F1" w:rsidRPr="004026AA">
        <w:t xml:space="preserve">n </w:t>
      </w:r>
      <w:r w:rsidRPr="004026AA">
        <w:t>las consideraciones jurídicas presentadas.</w:t>
      </w:r>
    </w:p>
    <w:p w:rsidR="00CF3491" w:rsidRPr="004026AA" w:rsidRDefault="00476515" w:rsidP="004026AA">
      <w:pPr>
        <w:suppressAutoHyphens/>
        <w:ind w:left="284"/>
        <w:rPr>
          <w:rFonts w:cs="Arial"/>
          <w:spacing w:val="-3"/>
        </w:rPr>
      </w:pPr>
      <w:r w:rsidRPr="004026AA">
        <w:rPr>
          <w:rFonts w:cs="Arial"/>
          <w:spacing w:val="-3"/>
        </w:rPr>
        <w:t xml:space="preserve">  </w:t>
      </w:r>
    </w:p>
    <w:p w:rsidR="0080129A" w:rsidRPr="004F7234" w:rsidRDefault="00EB40D0" w:rsidP="003503FF">
      <w:pPr>
        <w:keepNext/>
        <w:numPr>
          <w:ilvl w:val="0"/>
          <w:numId w:val="11"/>
        </w:numPr>
        <w:overflowPunct w:val="0"/>
        <w:autoSpaceDE w:val="0"/>
        <w:autoSpaceDN w:val="0"/>
        <w:adjustRightInd w:val="0"/>
        <w:spacing w:after="240"/>
        <w:textAlignment w:val="baseline"/>
        <w:outlineLvl w:val="0"/>
        <w:rPr>
          <w:b/>
        </w:rPr>
      </w:pPr>
      <w:r w:rsidRPr="00EB40D0">
        <w:rPr>
          <w:b/>
        </w:rPr>
        <w:t>MODIFICACIÓN DE LOS VALORES APROBADOS</w:t>
      </w:r>
    </w:p>
    <w:p w:rsidR="00BE005B" w:rsidRDefault="00722FE5" w:rsidP="003503FF">
      <w:pPr>
        <w:tabs>
          <w:tab w:val="left" w:pos="993"/>
        </w:tabs>
        <w:spacing w:after="120"/>
      </w:pPr>
      <w:r>
        <w:t>Teniendo en cuenta lo</w:t>
      </w:r>
      <w:r w:rsidRPr="00B84711">
        <w:t xml:space="preserve"> expuesto en el </w:t>
      </w:r>
      <w:r>
        <w:t xml:space="preserve">numeral </w:t>
      </w:r>
      <w:r w:rsidR="008376F4" w:rsidRPr="008376F4">
        <w:t>3 del literal D</w:t>
      </w:r>
      <w:r w:rsidRPr="00722FE5">
        <w:t xml:space="preserve"> </w:t>
      </w:r>
      <w:r>
        <w:t>se m</w:t>
      </w:r>
      <w:r w:rsidRPr="00722FE5">
        <w:t>odifica</w:t>
      </w:r>
      <w:r>
        <w:t>rá la variable “</w:t>
      </w:r>
      <w:r w:rsidRPr="00722FE5">
        <w:t xml:space="preserve">AOM </w:t>
      </w:r>
      <w:r>
        <w:t>Gastado”, considerando</w:t>
      </w:r>
      <w:r w:rsidR="00BE005B">
        <w:t>:</w:t>
      </w:r>
    </w:p>
    <w:p w:rsidR="00BE005B" w:rsidRPr="00BE005B" w:rsidRDefault="00722FE5" w:rsidP="003503FF">
      <w:pPr>
        <w:pStyle w:val="Prrafodelista"/>
        <w:numPr>
          <w:ilvl w:val="0"/>
          <w:numId w:val="7"/>
        </w:numPr>
        <w:tabs>
          <w:tab w:val="left" w:pos="993"/>
        </w:tabs>
        <w:spacing w:before="120"/>
        <w:ind w:left="714" w:hanging="357"/>
        <w:rPr>
          <w:sz w:val="24"/>
        </w:rPr>
      </w:pPr>
      <w:r w:rsidRPr="00BE005B">
        <w:rPr>
          <w:sz w:val="24"/>
        </w:rPr>
        <w:t>el reporte de</w:t>
      </w:r>
      <w:r w:rsidR="00BE005B">
        <w:rPr>
          <w:sz w:val="24"/>
        </w:rPr>
        <w:t xml:space="preserve"> </w:t>
      </w:r>
      <w:r w:rsidRPr="00BE005B">
        <w:rPr>
          <w:sz w:val="24"/>
        </w:rPr>
        <w:t>la prueba pericial,</w:t>
      </w:r>
    </w:p>
    <w:p w:rsidR="00BE005B" w:rsidRPr="00BE005B" w:rsidRDefault="00722FE5" w:rsidP="00512893">
      <w:pPr>
        <w:pStyle w:val="Prrafodelista"/>
        <w:numPr>
          <w:ilvl w:val="0"/>
          <w:numId w:val="7"/>
        </w:numPr>
        <w:tabs>
          <w:tab w:val="left" w:pos="993"/>
        </w:tabs>
        <w:spacing w:before="120"/>
        <w:ind w:left="714" w:hanging="357"/>
        <w:rPr>
          <w:sz w:val="24"/>
        </w:rPr>
      </w:pPr>
      <w:r w:rsidRPr="00BE005B">
        <w:rPr>
          <w:sz w:val="24"/>
        </w:rPr>
        <w:t>la consideración de las cuentas incluidas en la Circular CREG 085 de 2008 que no fueron tenidas en cuenta para el año 2002</w:t>
      </w:r>
      <w:r w:rsidR="00BE005B" w:rsidRPr="00BE005B">
        <w:rPr>
          <w:sz w:val="24"/>
        </w:rPr>
        <w:t>,</w:t>
      </w:r>
      <w:r w:rsidRPr="00BE005B">
        <w:rPr>
          <w:sz w:val="24"/>
        </w:rPr>
        <w:t xml:space="preserve"> y</w:t>
      </w:r>
    </w:p>
    <w:p w:rsidR="003503FF" w:rsidRDefault="00722FE5" w:rsidP="00170917">
      <w:pPr>
        <w:pStyle w:val="Prrafodelista"/>
        <w:numPr>
          <w:ilvl w:val="0"/>
          <w:numId w:val="7"/>
        </w:numPr>
        <w:tabs>
          <w:tab w:val="left" w:pos="993"/>
        </w:tabs>
        <w:spacing w:before="120"/>
        <w:ind w:left="714" w:hanging="357"/>
        <w:rPr>
          <w:sz w:val="24"/>
        </w:rPr>
      </w:pPr>
      <w:r w:rsidRPr="00BE005B">
        <w:rPr>
          <w:sz w:val="24"/>
        </w:rPr>
        <w:t>el ajuste de los años 2006 y 2007, considerando la nueva información entregada</w:t>
      </w:r>
      <w:r w:rsidR="00BE005B">
        <w:rPr>
          <w:sz w:val="24"/>
        </w:rPr>
        <w:t xml:space="preserve"> </w:t>
      </w:r>
      <w:r w:rsidRPr="00BE005B">
        <w:rPr>
          <w:sz w:val="24"/>
        </w:rPr>
        <w:t>por Transelca en el recurso.</w:t>
      </w:r>
    </w:p>
    <w:p w:rsidR="003503FF" w:rsidRDefault="003503FF" w:rsidP="003503FF">
      <w:pPr>
        <w:tabs>
          <w:tab w:val="left" w:pos="993"/>
        </w:tabs>
      </w:pPr>
    </w:p>
    <w:p w:rsidR="00722FE5" w:rsidRPr="003503FF" w:rsidRDefault="00722FE5" w:rsidP="003503FF">
      <w:pPr>
        <w:tabs>
          <w:tab w:val="left" w:pos="993"/>
        </w:tabs>
      </w:pPr>
      <w:r w:rsidRPr="003503FF">
        <w:t>Con base en lo anterior, los valores considerados para el cálculo del AOM gastado son los siguientes:</w:t>
      </w:r>
    </w:p>
    <w:p w:rsidR="00722FE5" w:rsidRDefault="00722FE5" w:rsidP="003503FF">
      <w:pPr>
        <w:tabs>
          <w:tab w:val="left" w:pos="993"/>
        </w:tabs>
        <w:spacing w:after="120"/>
      </w:pPr>
    </w:p>
    <w:tbl>
      <w:tblPr>
        <w:tblW w:w="3904" w:type="dxa"/>
        <w:jc w:val="center"/>
        <w:tblInd w:w="65" w:type="dxa"/>
        <w:tblCellMar>
          <w:left w:w="70" w:type="dxa"/>
          <w:right w:w="70" w:type="dxa"/>
        </w:tblCellMar>
        <w:tblLook w:val="04A0" w:firstRow="1" w:lastRow="0" w:firstColumn="1" w:lastColumn="0" w:noHBand="0" w:noVBand="1"/>
      </w:tblPr>
      <w:tblGrid>
        <w:gridCol w:w="1384"/>
        <w:gridCol w:w="2520"/>
      </w:tblGrid>
      <w:tr w:rsidR="00722FE5" w:rsidRPr="00722FE5" w:rsidTr="00C548C5">
        <w:trPr>
          <w:trHeight w:val="360"/>
          <w:tblHeader/>
          <w:jc w:val="center"/>
        </w:trPr>
        <w:tc>
          <w:tcPr>
            <w:tcW w:w="13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2FE5" w:rsidRPr="00722FE5" w:rsidRDefault="00722FE5" w:rsidP="00170917">
            <w:pPr>
              <w:jc w:val="center"/>
              <w:rPr>
                <w:rFonts w:cs="Calibri"/>
                <w:b/>
                <w:bCs/>
                <w:color w:val="000000"/>
                <w:sz w:val="20"/>
                <w:szCs w:val="20"/>
                <w:lang w:val="es-CO" w:eastAsia="es-CO"/>
              </w:rPr>
            </w:pPr>
            <w:r w:rsidRPr="00722FE5">
              <w:rPr>
                <w:rFonts w:cs="Calibri"/>
                <w:b/>
                <w:bCs/>
                <w:color w:val="000000"/>
                <w:sz w:val="20"/>
                <w:szCs w:val="20"/>
                <w:lang w:val="es-CO" w:eastAsia="es-CO"/>
              </w:rPr>
              <w:t>Año</w:t>
            </w:r>
          </w:p>
        </w:tc>
        <w:tc>
          <w:tcPr>
            <w:tcW w:w="2520" w:type="dxa"/>
            <w:tcBorders>
              <w:top w:val="single" w:sz="4" w:space="0" w:color="auto"/>
              <w:left w:val="nil"/>
              <w:bottom w:val="single" w:sz="4" w:space="0" w:color="auto"/>
              <w:right w:val="single" w:sz="4" w:space="0" w:color="auto"/>
            </w:tcBorders>
            <w:shd w:val="clear" w:color="auto" w:fill="auto"/>
            <w:vAlign w:val="center"/>
            <w:hideMark/>
          </w:tcPr>
          <w:p w:rsidR="00722FE5" w:rsidRPr="00722FE5" w:rsidRDefault="00722FE5">
            <w:pPr>
              <w:jc w:val="center"/>
              <w:rPr>
                <w:rFonts w:cs="Calibri"/>
                <w:b/>
                <w:bCs/>
                <w:color w:val="000000"/>
                <w:sz w:val="20"/>
                <w:szCs w:val="20"/>
                <w:lang w:val="es-CO" w:eastAsia="es-CO"/>
              </w:rPr>
            </w:pPr>
            <w:r w:rsidRPr="00722FE5">
              <w:rPr>
                <w:rFonts w:cs="Calibri"/>
                <w:b/>
                <w:bCs/>
                <w:color w:val="000000"/>
                <w:sz w:val="20"/>
                <w:szCs w:val="20"/>
                <w:lang w:val="es-CO" w:eastAsia="es-CO"/>
              </w:rPr>
              <w:t>AOM Gastado</w:t>
            </w:r>
            <w:r w:rsidRPr="00722FE5">
              <w:rPr>
                <w:rFonts w:cs="Calibri"/>
                <w:b/>
                <w:bCs/>
                <w:color w:val="000000"/>
                <w:sz w:val="20"/>
                <w:szCs w:val="20"/>
                <w:lang w:val="es-CO" w:eastAsia="es-CO"/>
              </w:rPr>
              <w:br/>
              <w:t>[Pesos dic/08]</w:t>
            </w:r>
          </w:p>
        </w:tc>
      </w:tr>
      <w:tr w:rsidR="00722FE5" w:rsidRPr="00722FE5" w:rsidTr="00BE005B">
        <w:trPr>
          <w:trHeight w:val="330"/>
          <w:jc w:val="center"/>
        </w:trPr>
        <w:tc>
          <w:tcPr>
            <w:tcW w:w="13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2FE5" w:rsidRPr="00722FE5" w:rsidRDefault="00722FE5" w:rsidP="001A102C">
            <w:pPr>
              <w:jc w:val="center"/>
              <w:rPr>
                <w:rFonts w:cs="Calibri"/>
                <w:color w:val="000000"/>
                <w:sz w:val="20"/>
                <w:szCs w:val="20"/>
                <w:lang w:val="es-CO" w:eastAsia="es-CO"/>
              </w:rPr>
            </w:pPr>
            <w:r w:rsidRPr="00722FE5">
              <w:rPr>
                <w:rFonts w:cs="Calibri"/>
                <w:color w:val="000000"/>
                <w:sz w:val="20"/>
                <w:szCs w:val="20"/>
                <w:lang w:val="es-CO" w:eastAsia="es-CO"/>
              </w:rPr>
              <w:t>2001</w:t>
            </w:r>
          </w:p>
        </w:tc>
        <w:tc>
          <w:tcPr>
            <w:tcW w:w="2520" w:type="dxa"/>
            <w:tcBorders>
              <w:top w:val="nil"/>
              <w:left w:val="nil"/>
              <w:bottom w:val="single" w:sz="4" w:space="0" w:color="auto"/>
              <w:right w:val="single" w:sz="4" w:space="0" w:color="auto"/>
            </w:tcBorders>
            <w:shd w:val="clear" w:color="auto" w:fill="auto"/>
            <w:vAlign w:val="center"/>
            <w:hideMark/>
          </w:tcPr>
          <w:p w:rsidR="00722FE5" w:rsidRPr="00722FE5" w:rsidRDefault="00722FE5" w:rsidP="00BD67E2">
            <w:pPr>
              <w:jc w:val="center"/>
              <w:rPr>
                <w:rFonts w:cs="Calibri"/>
                <w:color w:val="000000"/>
                <w:sz w:val="20"/>
                <w:szCs w:val="20"/>
                <w:lang w:val="es-CO" w:eastAsia="es-CO"/>
              </w:rPr>
            </w:pPr>
            <w:r w:rsidRPr="00722FE5">
              <w:rPr>
                <w:rFonts w:cs="Calibri"/>
                <w:color w:val="000000"/>
                <w:sz w:val="20"/>
                <w:szCs w:val="20"/>
                <w:lang w:val="es-CO" w:eastAsia="es-CO"/>
              </w:rPr>
              <w:t>24.732.228.840</w:t>
            </w:r>
          </w:p>
        </w:tc>
      </w:tr>
      <w:tr w:rsidR="00722FE5" w:rsidRPr="00722FE5" w:rsidTr="0023553C">
        <w:trPr>
          <w:trHeight w:val="315"/>
          <w:jc w:val="center"/>
        </w:trPr>
        <w:tc>
          <w:tcPr>
            <w:tcW w:w="13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2FE5" w:rsidRPr="00722FE5" w:rsidRDefault="00722FE5" w:rsidP="001A102C">
            <w:pPr>
              <w:jc w:val="center"/>
              <w:rPr>
                <w:rFonts w:cs="Calibri"/>
                <w:color w:val="000000"/>
                <w:sz w:val="20"/>
                <w:szCs w:val="20"/>
                <w:lang w:val="es-CO" w:eastAsia="es-CO"/>
              </w:rPr>
            </w:pPr>
            <w:r w:rsidRPr="00722FE5">
              <w:rPr>
                <w:rFonts w:cs="Calibri"/>
                <w:color w:val="000000"/>
                <w:sz w:val="20"/>
                <w:szCs w:val="20"/>
                <w:lang w:val="es-CO" w:eastAsia="es-CO"/>
              </w:rPr>
              <w:t>2002</w:t>
            </w:r>
          </w:p>
        </w:tc>
        <w:tc>
          <w:tcPr>
            <w:tcW w:w="2520" w:type="dxa"/>
            <w:tcBorders>
              <w:top w:val="nil"/>
              <w:left w:val="nil"/>
              <w:bottom w:val="single" w:sz="4" w:space="0" w:color="auto"/>
              <w:right w:val="single" w:sz="4" w:space="0" w:color="auto"/>
            </w:tcBorders>
            <w:shd w:val="clear" w:color="auto" w:fill="auto"/>
            <w:vAlign w:val="center"/>
            <w:hideMark/>
          </w:tcPr>
          <w:p w:rsidR="00722FE5" w:rsidRPr="00722FE5" w:rsidRDefault="00722FE5" w:rsidP="00BD67E2">
            <w:pPr>
              <w:jc w:val="center"/>
              <w:rPr>
                <w:rFonts w:cs="Calibri"/>
                <w:color w:val="000000"/>
                <w:sz w:val="20"/>
                <w:szCs w:val="20"/>
                <w:lang w:val="es-CO" w:eastAsia="es-CO"/>
              </w:rPr>
            </w:pPr>
            <w:r w:rsidRPr="00722FE5">
              <w:rPr>
                <w:rFonts w:cs="Calibri"/>
                <w:color w:val="000000"/>
                <w:sz w:val="20"/>
                <w:szCs w:val="20"/>
                <w:lang w:val="es-CO" w:eastAsia="es-CO"/>
              </w:rPr>
              <w:t>23.378.336.001</w:t>
            </w:r>
          </w:p>
        </w:tc>
      </w:tr>
      <w:tr w:rsidR="00722FE5" w:rsidRPr="00722FE5" w:rsidTr="00BE005B">
        <w:trPr>
          <w:trHeight w:val="330"/>
          <w:jc w:val="center"/>
        </w:trPr>
        <w:tc>
          <w:tcPr>
            <w:tcW w:w="13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22FE5" w:rsidRPr="00722FE5" w:rsidRDefault="00722FE5" w:rsidP="001A102C">
            <w:pPr>
              <w:jc w:val="center"/>
              <w:rPr>
                <w:rFonts w:cs="Calibri"/>
                <w:color w:val="000000"/>
                <w:sz w:val="20"/>
                <w:szCs w:val="20"/>
                <w:lang w:val="es-CO" w:eastAsia="es-CO"/>
              </w:rPr>
            </w:pPr>
            <w:r w:rsidRPr="00722FE5">
              <w:rPr>
                <w:rFonts w:cs="Calibri"/>
                <w:color w:val="000000"/>
                <w:sz w:val="20"/>
                <w:szCs w:val="20"/>
                <w:lang w:val="es-CO" w:eastAsia="es-CO"/>
              </w:rPr>
              <w:t>2003</w:t>
            </w:r>
          </w:p>
        </w:tc>
        <w:tc>
          <w:tcPr>
            <w:tcW w:w="2520" w:type="dxa"/>
            <w:tcBorders>
              <w:top w:val="nil"/>
              <w:left w:val="nil"/>
              <w:bottom w:val="single" w:sz="4" w:space="0" w:color="auto"/>
              <w:right w:val="single" w:sz="4" w:space="0" w:color="auto"/>
            </w:tcBorders>
            <w:shd w:val="clear" w:color="auto" w:fill="auto"/>
            <w:vAlign w:val="center"/>
            <w:hideMark/>
          </w:tcPr>
          <w:p w:rsidR="00722FE5" w:rsidRPr="00722FE5" w:rsidRDefault="00722FE5" w:rsidP="00BD67E2">
            <w:pPr>
              <w:jc w:val="center"/>
              <w:rPr>
                <w:rFonts w:cs="Calibri"/>
                <w:color w:val="000000"/>
                <w:sz w:val="20"/>
                <w:szCs w:val="20"/>
                <w:lang w:val="es-CO" w:eastAsia="es-CO"/>
              </w:rPr>
            </w:pPr>
            <w:r w:rsidRPr="00722FE5">
              <w:rPr>
                <w:rFonts w:cs="Calibri"/>
                <w:color w:val="000000"/>
                <w:sz w:val="20"/>
                <w:szCs w:val="20"/>
                <w:lang w:val="es-CO" w:eastAsia="es-CO"/>
              </w:rPr>
              <w:t>23.419.759.531</w:t>
            </w:r>
          </w:p>
        </w:tc>
      </w:tr>
      <w:tr w:rsidR="00722FE5" w:rsidRPr="00722FE5" w:rsidTr="00BE005B">
        <w:trPr>
          <w:trHeight w:val="315"/>
          <w:jc w:val="center"/>
        </w:trPr>
        <w:tc>
          <w:tcPr>
            <w:tcW w:w="1384" w:type="dxa"/>
            <w:tcBorders>
              <w:top w:val="nil"/>
              <w:left w:val="single" w:sz="4" w:space="0" w:color="auto"/>
              <w:bottom w:val="single" w:sz="4" w:space="0" w:color="auto"/>
              <w:right w:val="single" w:sz="4" w:space="0" w:color="auto"/>
            </w:tcBorders>
            <w:shd w:val="clear" w:color="auto" w:fill="auto"/>
            <w:vAlign w:val="center"/>
            <w:hideMark/>
          </w:tcPr>
          <w:p w:rsidR="00722FE5" w:rsidRPr="00722FE5" w:rsidRDefault="00722FE5" w:rsidP="001A102C">
            <w:pPr>
              <w:jc w:val="center"/>
              <w:rPr>
                <w:rFonts w:cs="Calibri"/>
                <w:color w:val="000000"/>
                <w:sz w:val="20"/>
                <w:szCs w:val="20"/>
                <w:lang w:val="es-CO" w:eastAsia="es-CO"/>
              </w:rPr>
            </w:pPr>
            <w:r w:rsidRPr="00722FE5">
              <w:rPr>
                <w:rFonts w:cs="Calibri"/>
                <w:color w:val="000000"/>
                <w:sz w:val="20"/>
                <w:szCs w:val="20"/>
                <w:lang w:val="es-CO" w:eastAsia="es-CO"/>
              </w:rPr>
              <w:t>2004</w:t>
            </w:r>
          </w:p>
        </w:tc>
        <w:tc>
          <w:tcPr>
            <w:tcW w:w="2520" w:type="dxa"/>
            <w:tcBorders>
              <w:top w:val="nil"/>
              <w:left w:val="nil"/>
              <w:bottom w:val="single" w:sz="4" w:space="0" w:color="auto"/>
              <w:right w:val="single" w:sz="4" w:space="0" w:color="auto"/>
            </w:tcBorders>
            <w:shd w:val="clear" w:color="auto" w:fill="auto"/>
            <w:vAlign w:val="center"/>
            <w:hideMark/>
          </w:tcPr>
          <w:p w:rsidR="00722FE5" w:rsidRPr="00722FE5" w:rsidRDefault="00722FE5" w:rsidP="00BD67E2">
            <w:pPr>
              <w:jc w:val="center"/>
              <w:rPr>
                <w:rFonts w:cs="Calibri"/>
                <w:color w:val="000000"/>
                <w:sz w:val="20"/>
                <w:szCs w:val="20"/>
                <w:lang w:val="es-CO" w:eastAsia="es-CO"/>
              </w:rPr>
            </w:pPr>
            <w:r w:rsidRPr="00722FE5">
              <w:rPr>
                <w:rFonts w:cs="Calibri"/>
                <w:color w:val="000000"/>
                <w:sz w:val="20"/>
                <w:szCs w:val="20"/>
                <w:lang w:val="es-CO" w:eastAsia="es-CO"/>
              </w:rPr>
              <w:t>22.319.353.049</w:t>
            </w:r>
          </w:p>
        </w:tc>
      </w:tr>
      <w:tr w:rsidR="00722FE5" w:rsidRPr="00722FE5" w:rsidTr="00BE005B">
        <w:trPr>
          <w:trHeight w:val="315"/>
          <w:jc w:val="center"/>
        </w:trPr>
        <w:tc>
          <w:tcPr>
            <w:tcW w:w="1384" w:type="dxa"/>
            <w:tcBorders>
              <w:top w:val="nil"/>
              <w:left w:val="single" w:sz="4" w:space="0" w:color="auto"/>
              <w:bottom w:val="single" w:sz="4" w:space="0" w:color="auto"/>
              <w:right w:val="single" w:sz="4" w:space="0" w:color="auto"/>
            </w:tcBorders>
            <w:shd w:val="clear" w:color="auto" w:fill="auto"/>
            <w:vAlign w:val="center"/>
            <w:hideMark/>
          </w:tcPr>
          <w:p w:rsidR="00722FE5" w:rsidRPr="00722FE5" w:rsidRDefault="00722FE5" w:rsidP="001A102C">
            <w:pPr>
              <w:jc w:val="center"/>
              <w:rPr>
                <w:rFonts w:cs="Calibri"/>
                <w:color w:val="000000"/>
                <w:sz w:val="20"/>
                <w:szCs w:val="20"/>
                <w:lang w:val="es-CO" w:eastAsia="es-CO"/>
              </w:rPr>
            </w:pPr>
            <w:r w:rsidRPr="00722FE5">
              <w:rPr>
                <w:rFonts w:cs="Calibri"/>
                <w:color w:val="000000"/>
                <w:sz w:val="20"/>
                <w:szCs w:val="20"/>
                <w:lang w:val="es-CO" w:eastAsia="es-CO"/>
              </w:rPr>
              <w:t>2005</w:t>
            </w:r>
          </w:p>
        </w:tc>
        <w:tc>
          <w:tcPr>
            <w:tcW w:w="2520" w:type="dxa"/>
            <w:tcBorders>
              <w:top w:val="nil"/>
              <w:left w:val="nil"/>
              <w:bottom w:val="single" w:sz="4" w:space="0" w:color="auto"/>
              <w:right w:val="single" w:sz="4" w:space="0" w:color="auto"/>
            </w:tcBorders>
            <w:shd w:val="clear" w:color="auto" w:fill="auto"/>
            <w:vAlign w:val="center"/>
            <w:hideMark/>
          </w:tcPr>
          <w:p w:rsidR="00722FE5" w:rsidRPr="00722FE5" w:rsidRDefault="00722FE5" w:rsidP="00BD67E2">
            <w:pPr>
              <w:jc w:val="center"/>
              <w:rPr>
                <w:rFonts w:cs="Calibri"/>
                <w:color w:val="000000"/>
                <w:sz w:val="20"/>
                <w:szCs w:val="20"/>
                <w:lang w:val="es-CO" w:eastAsia="es-CO"/>
              </w:rPr>
            </w:pPr>
            <w:r w:rsidRPr="00722FE5">
              <w:rPr>
                <w:rFonts w:cs="Calibri"/>
                <w:color w:val="000000"/>
                <w:sz w:val="20"/>
                <w:szCs w:val="20"/>
                <w:lang w:val="es-CO" w:eastAsia="es-CO"/>
              </w:rPr>
              <w:t>28.517.070.550</w:t>
            </w:r>
          </w:p>
        </w:tc>
      </w:tr>
      <w:tr w:rsidR="00722FE5" w:rsidRPr="00722FE5" w:rsidTr="00BE005B">
        <w:trPr>
          <w:trHeight w:val="315"/>
          <w:jc w:val="center"/>
        </w:trPr>
        <w:tc>
          <w:tcPr>
            <w:tcW w:w="1384" w:type="dxa"/>
            <w:tcBorders>
              <w:top w:val="nil"/>
              <w:left w:val="single" w:sz="4" w:space="0" w:color="auto"/>
              <w:bottom w:val="single" w:sz="4" w:space="0" w:color="auto"/>
              <w:right w:val="single" w:sz="4" w:space="0" w:color="auto"/>
            </w:tcBorders>
            <w:shd w:val="clear" w:color="auto" w:fill="auto"/>
            <w:vAlign w:val="center"/>
            <w:hideMark/>
          </w:tcPr>
          <w:p w:rsidR="00722FE5" w:rsidRPr="00722FE5" w:rsidRDefault="00722FE5" w:rsidP="001A102C">
            <w:pPr>
              <w:jc w:val="center"/>
              <w:rPr>
                <w:rFonts w:cs="Calibri"/>
                <w:color w:val="000000"/>
                <w:sz w:val="20"/>
                <w:szCs w:val="20"/>
                <w:lang w:val="es-CO" w:eastAsia="es-CO"/>
              </w:rPr>
            </w:pPr>
            <w:r w:rsidRPr="00722FE5">
              <w:rPr>
                <w:rFonts w:cs="Calibri"/>
                <w:color w:val="000000"/>
                <w:sz w:val="20"/>
                <w:szCs w:val="20"/>
                <w:lang w:val="es-CO" w:eastAsia="es-CO"/>
              </w:rPr>
              <w:t>2006</w:t>
            </w:r>
          </w:p>
        </w:tc>
        <w:tc>
          <w:tcPr>
            <w:tcW w:w="2520" w:type="dxa"/>
            <w:tcBorders>
              <w:top w:val="nil"/>
              <w:left w:val="nil"/>
              <w:bottom w:val="single" w:sz="4" w:space="0" w:color="auto"/>
              <w:right w:val="single" w:sz="4" w:space="0" w:color="auto"/>
            </w:tcBorders>
            <w:shd w:val="clear" w:color="auto" w:fill="auto"/>
            <w:vAlign w:val="center"/>
            <w:hideMark/>
          </w:tcPr>
          <w:p w:rsidR="00722FE5" w:rsidRPr="00722FE5" w:rsidRDefault="00722FE5" w:rsidP="00BD67E2">
            <w:pPr>
              <w:jc w:val="center"/>
              <w:rPr>
                <w:rFonts w:cs="Calibri"/>
                <w:color w:val="000000"/>
                <w:sz w:val="20"/>
                <w:szCs w:val="20"/>
                <w:lang w:val="es-CO" w:eastAsia="es-CO"/>
              </w:rPr>
            </w:pPr>
            <w:r w:rsidRPr="00722FE5">
              <w:rPr>
                <w:rFonts w:cs="Calibri"/>
                <w:color w:val="000000"/>
                <w:sz w:val="20"/>
                <w:szCs w:val="20"/>
                <w:lang w:val="es-CO" w:eastAsia="es-CO"/>
              </w:rPr>
              <w:t>24.939.729.587</w:t>
            </w:r>
          </w:p>
        </w:tc>
      </w:tr>
      <w:tr w:rsidR="00722FE5" w:rsidRPr="00722FE5" w:rsidTr="00BE005B">
        <w:trPr>
          <w:trHeight w:val="315"/>
          <w:jc w:val="center"/>
        </w:trPr>
        <w:tc>
          <w:tcPr>
            <w:tcW w:w="1384" w:type="dxa"/>
            <w:tcBorders>
              <w:top w:val="nil"/>
              <w:left w:val="single" w:sz="4" w:space="0" w:color="auto"/>
              <w:bottom w:val="single" w:sz="4" w:space="0" w:color="auto"/>
              <w:right w:val="single" w:sz="4" w:space="0" w:color="auto"/>
            </w:tcBorders>
            <w:shd w:val="clear" w:color="auto" w:fill="auto"/>
            <w:vAlign w:val="center"/>
            <w:hideMark/>
          </w:tcPr>
          <w:p w:rsidR="00722FE5" w:rsidRPr="00722FE5" w:rsidRDefault="00722FE5" w:rsidP="001A102C">
            <w:pPr>
              <w:jc w:val="center"/>
              <w:rPr>
                <w:rFonts w:cs="Calibri"/>
                <w:color w:val="000000"/>
                <w:sz w:val="20"/>
                <w:szCs w:val="20"/>
                <w:lang w:val="es-CO" w:eastAsia="es-CO"/>
              </w:rPr>
            </w:pPr>
            <w:r w:rsidRPr="00722FE5">
              <w:rPr>
                <w:rFonts w:cs="Calibri"/>
                <w:color w:val="000000"/>
                <w:sz w:val="20"/>
                <w:szCs w:val="20"/>
                <w:lang w:val="es-CO" w:eastAsia="es-CO"/>
              </w:rPr>
              <w:t>2007</w:t>
            </w:r>
          </w:p>
        </w:tc>
        <w:tc>
          <w:tcPr>
            <w:tcW w:w="2520" w:type="dxa"/>
            <w:tcBorders>
              <w:top w:val="nil"/>
              <w:left w:val="nil"/>
              <w:bottom w:val="single" w:sz="4" w:space="0" w:color="auto"/>
              <w:right w:val="single" w:sz="4" w:space="0" w:color="auto"/>
            </w:tcBorders>
            <w:shd w:val="clear" w:color="auto" w:fill="auto"/>
            <w:vAlign w:val="center"/>
            <w:hideMark/>
          </w:tcPr>
          <w:p w:rsidR="00722FE5" w:rsidRPr="00722FE5" w:rsidRDefault="00722FE5" w:rsidP="00BD67E2">
            <w:pPr>
              <w:jc w:val="center"/>
              <w:rPr>
                <w:rFonts w:cs="Calibri"/>
                <w:color w:val="000000"/>
                <w:sz w:val="20"/>
                <w:szCs w:val="20"/>
                <w:lang w:val="es-CO" w:eastAsia="es-CO"/>
              </w:rPr>
            </w:pPr>
            <w:r w:rsidRPr="00722FE5">
              <w:rPr>
                <w:rFonts w:cs="Calibri"/>
                <w:color w:val="000000"/>
                <w:sz w:val="20"/>
                <w:szCs w:val="20"/>
                <w:lang w:val="es-CO" w:eastAsia="es-CO"/>
              </w:rPr>
              <w:t>20.672.100.569</w:t>
            </w:r>
          </w:p>
        </w:tc>
      </w:tr>
      <w:tr w:rsidR="00722FE5" w:rsidRPr="00722FE5" w:rsidTr="00BE005B">
        <w:trPr>
          <w:trHeight w:val="300"/>
          <w:jc w:val="center"/>
        </w:trPr>
        <w:tc>
          <w:tcPr>
            <w:tcW w:w="1384" w:type="dxa"/>
            <w:tcBorders>
              <w:top w:val="nil"/>
              <w:left w:val="single" w:sz="4" w:space="0" w:color="auto"/>
              <w:bottom w:val="single" w:sz="4" w:space="0" w:color="auto"/>
              <w:right w:val="single" w:sz="4" w:space="0" w:color="auto"/>
            </w:tcBorders>
            <w:shd w:val="clear" w:color="auto" w:fill="auto"/>
            <w:vAlign w:val="center"/>
            <w:hideMark/>
          </w:tcPr>
          <w:p w:rsidR="00722FE5" w:rsidRPr="00BE005B" w:rsidRDefault="00722FE5" w:rsidP="001A102C">
            <w:pPr>
              <w:jc w:val="center"/>
              <w:rPr>
                <w:rFonts w:cs="Calibri"/>
                <w:b/>
                <w:bCs/>
                <w:i/>
                <w:color w:val="000000"/>
                <w:sz w:val="20"/>
                <w:szCs w:val="20"/>
                <w:lang w:val="es-CO" w:eastAsia="es-CO"/>
              </w:rPr>
            </w:pPr>
            <w:r w:rsidRPr="00BE005B">
              <w:rPr>
                <w:rFonts w:cs="Calibri"/>
                <w:b/>
                <w:bCs/>
                <w:i/>
                <w:color w:val="000000"/>
                <w:sz w:val="22"/>
                <w:szCs w:val="20"/>
                <w:lang w:val="es-CO" w:eastAsia="es-CO"/>
              </w:rPr>
              <w:t>AOMG</w:t>
            </w:r>
            <w:r w:rsidRPr="00BE005B">
              <w:rPr>
                <w:rFonts w:cs="Calibri"/>
                <w:b/>
                <w:bCs/>
                <w:i/>
                <w:color w:val="000000"/>
                <w:sz w:val="22"/>
                <w:szCs w:val="20"/>
                <w:vertAlign w:val="subscript"/>
                <w:lang w:val="es-CO" w:eastAsia="es-CO"/>
              </w:rPr>
              <w:t>j,01-07</w:t>
            </w:r>
          </w:p>
        </w:tc>
        <w:tc>
          <w:tcPr>
            <w:tcW w:w="2520" w:type="dxa"/>
            <w:tcBorders>
              <w:top w:val="nil"/>
              <w:left w:val="nil"/>
              <w:bottom w:val="single" w:sz="4" w:space="0" w:color="auto"/>
              <w:right w:val="single" w:sz="4" w:space="0" w:color="auto"/>
            </w:tcBorders>
            <w:shd w:val="clear" w:color="auto" w:fill="auto"/>
            <w:vAlign w:val="center"/>
            <w:hideMark/>
          </w:tcPr>
          <w:p w:rsidR="00722FE5" w:rsidRPr="00722FE5" w:rsidRDefault="00722FE5" w:rsidP="00BD67E2">
            <w:pPr>
              <w:jc w:val="center"/>
              <w:rPr>
                <w:rFonts w:cs="Calibri"/>
                <w:b/>
                <w:bCs/>
                <w:color w:val="000000"/>
                <w:sz w:val="20"/>
                <w:szCs w:val="20"/>
                <w:lang w:val="es-CO" w:eastAsia="es-CO"/>
              </w:rPr>
            </w:pPr>
            <w:r w:rsidRPr="00722FE5">
              <w:rPr>
                <w:rFonts w:cs="Calibri"/>
                <w:b/>
                <w:bCs/>
                <w:color w:val="000000"/>
                <w:sz w:val="20"/>
                <w:szCs w:val="20"/>
                <w:lang w:val="es-CO" w:eastAsia="es-CO"/>
              </w:rPr>
              <w:t>23.996.939.732</w:t>
            </w:r>
          </w:p>
        </w:tc>
      </w:tr>
    </w:tbl>
    <w:p w:rsidR="00722FE5" w:rsidRDefault="00722FE5" w:rsidP="001A102C">
      <w:pPr>
        <w:tabs>
          <w:tab w:val="left" w:pos="993"/>
        </w:tabs>
      </w:pPr>
    </w:p>
    <w:p w:rsidR="00722FE5" w:rsidRDefault="00BE005B" w:rsidP="002F0B40">
      <w:pPr>
        <w:tabs>
          <w:tab w:val="left" w:pos="993"/>
        </w:tabs>
      </w:pPr>
      <w:r>
        <w:lastRenderedPageBreak/>
        <w:t xml:space="preserve">El anterior resultado se promedia con el “AOM remunerado” con lo cual se obtiene un </w:t>
      </w:r>
      <w:r w:rsidRPr="00BE005B">
        <w:t>“AOM de referencia”</w:t>
      </w:r>
      <w:r>
        <w:t xml:space="preserve"> de 21.946 millones de pesos de 2008</w:t>
      </w:r>
      <w:r w:rsidR="005F5663">
        <w:t>.</w:t>
      </w:r>
    </w:p>
    <w:p w:rsidR="00722FE5" w:rsidRDefault="00722FE5" w:rsidP="003503FF"/>
    <w:p w:rsidR="00EB40D0" w:rsidRPr="00B84711" w:rsidRDefault="00BE005B" w:rsidP="00170917">
      <w:r>
        <w:t xml:space="preserve">Además, teniendo en cuenta </w:t>
      </w:r>
      <w:r w:rsidR="00EB40D0" w:rsidRPr="00B84711">
        <w:t xml:space="preserve">lo analizado en </w:t>
      </w:r>
      <w:r>
        <w:t xml:space="preserve">cuanto al costo de reposición de los activos se harán </w:t>
      </w:r>
      <w:r w:rsidR="00EB40D0" w:rsidRPr="00B84711">
        <w:t>los siguientes cambios:</w:t>
      </w:r>
    </w:p>
    <w:p w:rsidR="00EB40D0" w:rsidRPr="00B84711" w:rsidRDefault="00EB40D0"/>
    <w:p w:rsidR="00EB40D0" w:rsidRPr="00B84711" w:rsidRDefault="00722FE5">
      <w:pPr>
        <w:numPr>
          <w:ilvl w:val="0"/>
          <w:numId w:val="18"/>
        </w:numPr>
        <w:tabs>
          <w:tab w:val="left" w:pos="993"/>
        </w:tabs>
        <w:spacing w:after="120"/>
        <w:ind w:left="992" w:hanging="425"/>
      </w:pPr>
      <w:r>
        <w:t>Modificación del porcentaje de uso de</w:t>
      </w:r>
      <w:r w:rsidR="00BE005B">
        <w:t>l corte central de la subestación Nueva Barranquilla.</w:t>
      </w:r>
    </w:p>
    <w:p w:rsidR="00EB40D0" w:rsidRPr="00B84711" w:rsidRDefault="00EB40D0">
      <w:pPr>
        <w:numPr>
          <w:ilvl w:val="0"/>
          <w:numId w:val="18"/>
        </w:numPr>
        <w:tabs>
          <w:tab w:val="left" w:pos="993"/>
        </w:tabs>
        <w:spacing w:after="120"/>
        <w:ind w:left="992" w:hanging="425"/>
      </w:pPr>
      <w:r w:rsidRPr="00B84711">
        <w:t>Ajuste del valor de lo reconocido por pagos de servidumbres.</w:t>
      </w:r>
    </w:p>
    <w:p w:rsidR="00EB40D0" w:rsidRPr="00B84711" w:rsidRDefault="00EB40D0">
      <w:pPr>
        <w:tabs>
          <w:tab w:val="left" w:pos="993"/>
        </w:tabs>
      </w:pPr>
    </w:p>
    <w:p w:rsidR="00EB40D0" w:rsidRPr="00B84711" w:rsidRDefault="00EB40D0">
      <w:pPr>
        <w:tabs>
          <w:tab w:val="center" w:pos="4680"/>
        </w:tabs>
        <w:rPr>
          <w:rFonts w:cs="Arial"/>
          <w:spacing w:val="-3"/>
        </w:rPr>
      </w:pPr>
      <w:r w:rsidRPr="00B84711">
        <w:rPr>
          <w:rFonts w:cs="Arial"/>
          <w:spacing w:val="-3"/>
        </w:rPr>
        <w:t xml:space="preserve">Aplicada la metodología contenida en la Resolución CREG 011 de 2009 se calcularon para los activos representados por </w:t>
      </w:r>
      <w:r w:rsidR="00BE005B">
        <w:rPr>
          <w:rFonts w:cs="Arial"/>
          <w:spacing w:val="-3"/>
        </w:rPr>
        <w:t>Transel</w:t>
      </w:r>
      <w:r w:rsidRPr="00B84711">
        <w:rPr>
          <w:rFonts w:cs="Arial"/>
          <w:spacing w:val="-3"/>
        </w:rPr>
        <w:t>ca S.A. E.S.P., las siguientes variables principales:</w:t>
      </w:r>
    </w:p>
    <w:p w:rsidR="00EB40D0" w:rsidRPr="00B84711" w:rsidRDefault="00EB40D0">
      <w:pPr>
        <w:tabs>
          <w:tab w:val="center" w:pos="4680"/>
        </w:tabs>
        <w:rPr>
          <w:rFonts w:cs="Arial"/>
          <w:spacing w:val="-3"/>
        </w:rPr>
      </w:pPr>
    </w:p>
    <w:tbl>
      <w:tblPr>
        <w:tblW w:w="8227" w:type="dxa"/>
        <w:jc w:val="center"/>
        <w:tblInd w:w="65" w:type="dxa"/>
        <w:tblCellMar>
          <w:left w:w="70" w:type="dxa"/>
          <w:right w:w="70" w:type="dxa"/>
        </w:tblCellMar>
        <w:tblLook w:val="04A0" w:firstRow="1" w:lastRow="0" w:firstColumn="1" w:lastColumn="0" w:noHBand="0" w:noVBand="1"/>
      </w:tblPr>
      <w:tblGrid>
        <w:gridCol w:w="5675"/>
        <w:gridCol w:w="2552"/>
      </w:tblGrid>
      <w:tr w:rsidR="00EB40D0" w:rsidRPr="00B84711" w:rsidTr="00722FE5">
        <w:trPr>
          <w:trHeight w:val="503"/>
          <w:jc w:val="center"/>
        </w:trPr>
        <w:tc>
          <w:tcPr>
            <w:tcW w:w="56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40D0" w:rsidRPr="00B84711" w:rsidRDefault="00EB40D0">
            <w:pPr>
              <w:jc w:val="center"/>
              <w:rPr>
                <w:rFonts w:cs="Calibri"/>
                <w:b/>
                <w:bCs/>
                <w:color w:val="000000"/>
                <w:sz w:val="22"/>
                <w:szCs w:val="22"/>
                <w:lang w:val="es-CO" w:eastAsia="es-CO"/>
              </w:rPr>
            </w:pPr>
            <w:r w:rsidRPr="00B84711">
              <w:rPr>
                <w:rFonts w:cs="Calibri"/>
                <w:b/>
                <w:bCs/>
                <w:color w:val="000000"/>
                <w:sz w:val="22"/>
                <w:szCs w:val="22"/>
                <w:lang w:val="es-CO" w:eastAsia="es-CO"/>
              </w:rPr>
              <w:t>Costo Anual</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EB40D0" w:rsidRPr="00B84711" w:rsidRDefault="00EB40D0">
            <w:pPr>
              <w:jc w:val="center"/>
              <w:rPr>
                <w:rFonts w:cs="Calibri"/>
                <w:b/>
                <w:bCs/>
                <w:color w:val="000000"/>
                <w:sz w:val="22"/>
                <w:szCs w:val="22"/>
                <w:lang w:val="es-CO" w:eastAsia="es-CO"/>
              </w:rPr>
            </w:pPr>
            <w:r w:rsidRPr="00B84711">
              <w:rPr>
                <w:rFonts w:cs="Calibri"/>
                <w:b/>
                <w:bCs/>
                <w:color w:val="000000"/>
                <w:sz w:val="22"/>
                <w:szCs w:val="22"/>
                <w:lang w:val="es-CO" w:eastAsia="es-CO"/>
              </w:rPr>
              <w:t>Pesos de diciembre de 2008</w:t>
            </w:r>
          </w:p>
        </w:tc>
      </w:tr>
      <w:tr w:rsidR="00EB40D0" w:rsidRPr="00B84711" w:rsidTr="00BE005B">
        <w:trPr>
          <w:trHeight w:val="360"/>
          <w:jc w:val="center"/>
        </w:trPr>
        <w:tc>
          <w:tcPr>
            <w:tcW w:w="5675" w:type="dxa"/>
            <w:tcBorders>
              <w:top w:val="nil"/>
              <w:left w:val="single" w:sz="4" w:space="0" w:color="auto"/>
              <w:bottom w:val="single" w:sz="4" w:space="0" w:color="auto"/>
              <w:right w:val="single" w:sz="4" w:space="0" w:color="auto"/>
            </w:tcBorders>
            <w:shd w:val="clear" w:color="auto" w:fill="auto"/>
            <w:vAlign w:val="center"/>
            <w:hideMark/>
          </w:tcPr>
          <w:p w:rsidR="00EB40D0" w:rsidRPr="00B84711" w:rsidRDefault="00EB40D0" w:rsidP="001A102C">
            <w:pPr>
              <w:tabs>
                <w:tab w:val="center" w:pos="4680"/>
              </w:tabs>
              <w:rPr>
                <w:rFonts w:cs="Arial"/>
                <w:spacing w:val="-3"/>
                <w:sz w:val="22"/>
                <w:szCs w:val="22"/>
              </w:rPr>
            </w:pPr>
            <w:r w:rsidRPr="00B84711">
              <w:rPr>
                <w:rFonts w:cs="Arial"/>
                <w:spacing w:val="-3"/>
                <w:sz w:val="22"/>
                <w:szCs w:val="22"/>
              </w:rPr>
              <w:t>Costo Anual Equivalente del Activo Eléctrico (</w:t>
            </w:r>
            <w:r w:rsidRPr="0023553C">
              <w:rPr>
                <w:rFonts w:cs="Arial"/>
                <w:i/>
                <w:spacing w:val="-3"/>
                <w:sz w:val="22"/>
                <w:szCs w:val="22"/>
              </w:rPr>
              <w:t>CAEA</w:t>
            </w:r>
            <w:r w:rsidRPr="0023553C">
              <w:rPr>
                <w:rFonts w:cs="Arial"/>
                <w:i/>
                <w:spacing w:val="-3"/>
                <w:sz w:val="22"/>
                <w:szCs w:val="22"/>
                <w:vertAlign w:val="subscript"/>
              </w:rPr>
              <w:t>j</w:t>
            </w:r>
            <w:r w:rsidRPr="00B84711">
              <w:rPr>
                <w:rFonts w:cs="Arial"/>
                <w:spacing w:val="-3"/>
                <w:sz w:val="22"/>
                <w:szCs w:val="22"/>
              </w:rPr>
              <w:t>)</w:t>
            </w:r>
          </w:p>
        </w:tc>
        <w:tc>
          <w:tcPr>
            <w:tcW w:w="2552" w:type="dxa"/>
            <w:tcBorders>
              <w:top w:val="nil"/>
              <w:left w:val="nil"/>
              <w:bottom w:val="single" w:sz="4" w:space="0" w:color="auto"/>
              <w:right w:val="single" w:sz="4" w:space="0" w:color="auto"/>
            </w:tcBorders>
            <w:shd w:val="clear" w:color="auto" w:fill="auto"/>
            <w:vAlign w:val="center"/>
          </w:tcPr>
          <w:p w:rsidR="00EB40D0" w:rsidRPr="00B84711" w:rsidRDefault="0023553C" w:rsidP="00BD67E2">
            <w:pPr>
              <w:jc w:val="right"/>
              <w:rPr>
                <w:sz w:val="22"/>
                <w:szCs w:val="22"/>
              </w:rPr>
            </w:pPr>
            <w:r w:rsidRPr="0023553C">
              <w:rPr>
                <w:sz w:val="22"/>
                <w:szCs w:val="22"/>
              </w:rPr>
              <w:t>76.355.068.748</w:t>
            </w:r>
          </w:p>
        </w:tc>
      </w:tr>
      <w:tr w:rsidR="00EB40D0" w:rsidRPr="00B84711" w:rsidTr="00BE005B">
        <w:trPr>
          <w:trHeight w:val="360"/>
          <w:jc w:val="center"/>
        </w:trPr>
        <w:tc>
          <w:tcPr>
            <w:tcW w:w="5675" w:type="dxa"/>
            <w:tcBorders>
              <w:top w:val="nil"/>
              <w:left w:val="single" w:sz="4" w:space="0" w:color="auto"/>
              <w:bottom w:val="single" w:sz="4" w:space="0" w:color="auto"/>
              <w:right w:val="single" w:sz="4" w:space="0" w:color="auto"/>
            </w:tcBorders>
            <w:shd w:val="clear" w:color="auto" w:fill="auto"/>
            <w:vAlign w:val="center"/>
            <w:hideMark/>
          </w:tcPr>
          <w:p w:rsidR="00EB40D0" w:rsidRPr="00B84711" w:rsidRDefault="00EB40D0" w:rsidP="001A102C">
            <w:pPr>
              <w:tabs>
                <w:tab w:val="center" w:pos="4680"/>
              </w:tabs>
              <w:rPr>
                <w:rFonts w:cs="Arial"/>
                <w:spacing w:val="-3"/>
                <w:sz w:val="22"/>
                <w:szCs w:val="22"/>
              </w:rPr>
            </w:pPr>
            <w:r w:rsidRPr="00B84711">
              <w:rPr>
                <w:rFonts w:cs="Arial"/>
                <w:spacing w:val="-3"/>
                <w:sz w:val="22"/>
                <w:szCs w:val="22"/>
              </w:rPr>
              <w:t>Valor de los gastos de AOM (</w:t>
            </w:r>
            <w:r w:rsidRPr="0023553C">
              <w:rPr>
                <w:rFonts w:cs="Arial"/>
                <w:i/>
                <w:spacing w:val="-3"/>
                <w:sz w:val="22"/>
                <w:szCs w:val="22"/>
              </w:rPr>
              <w:t>VAOM</w:t>
            </w:r>
            <w:r w:rsidRPr="0023553C">
              <w:rPr>
                <w:rFonts w:cs="Arial"/>
                <w:i/>
                <w:spacing w:val="-3"/>
                <w:sz w:val="22"/>
                <w:szCs w:val="22"/>
                <w:vertAlign w:val="subscript"/>
              </w:rPr>
              <w:t>j</w:t>
            </w:r>
            <w:r w:rsidRPr="00B84711">
              <w:rPr>
                <w:rFonts w:cs="Arial"/>
                <w:spacing w:val="-3"/>
                <w:sz w:val="22"/>
                <w:szCs w:val="22"/>
              </w:rPr>
              <w:t>)</w:t>
            </w:r>
          </w:p>
        </w:tc>
        <w:tc>
          <w:tcPr>
            <w:tcW w:w="2552" w:type="dxa"/>
            <w:tcBorders>
              <w:top w:val="nil"/>
              <w:left w:val="nil"/>
              <w:bottom w:val="single" w:sz="4" w:space="0" w:color="auto"/>
              <w:right w:val="single" w:sz="4" w:space="0" w:color="auto"/>
            </w:tcBorders>
            <w:shd w:val="clear" w:color="auto" w:fill="auto"/>
            <w:vAlign w:val="center"/>
          </w:tcPr>
          <w:p w:rsidR="00EB40D0" w:rsidRPr="00B84711" w:rsidRDefault="0023553C" w:rsidP="00BD67E2">
            <w:pPr>
              <w:jc w:val="right"/>
              <w:rPr>
                <w:sz w:val="22"/>
                <w:szCs w:val="22"/>
              </w:rPr>
            </w:pPr>
            <w:r>
              <w:rPr>
                <w:sz w:val="22"/>
                <w:szCs w:val="22"/>
              </w:rPr>
              <w:t>21.946.265.565</w:t>
            </w:r>
          </w:p>
        </w:tc>
      </w:tr>
      <w:tr w:rsidR="00EB40D0" w:rsidRPr="00B84711" w:rsidTr="00BE005B">
        <w:trPr>
          <w:trHeight w:val="360"/>
          <w:jc w:val="center"/>
        </w:trPr>
        <w:tc>
          <w:tcPr>
            <w:tcW w:w="5675" w:type="dxa"/>
            <w:tcBorders>
              <w:top w:val="nil"/>
              <w:left w:val="single" w:sz="4" w:space="0" w:color="auto"/>
              <w:bottom w:val="single" w:sz="4" w:space="0" w:color="auto"/>
              <w:right w:val="single" w:sz="4" w:space="0" w:color="auto"/>
            </w:tcBorders>
            <w:shd w:val="clear" w:color="auto" w:fill="auto"/>
            <w:vAlign w:val="center"/>
            <w:hideMark/>
          </w:tcPr>
          <w:p w:rsidR="00EB40D0" w:rsidRPr="00B84711" w:rsidRDefault="00EB40D0" w:rsidP="001A102C">
            <w:pPr>
              <w:tabs>
                <w:tab w:val="center" w:pos="4680"/>
              </w:tabs>
              <w:rPr>
                <w:rFonts w:cs="Arial"/>
                <w:spacing w:val="-3"/>
                <w:sz w:val="22"/>
                <w:szCs w:val="22"/>
              </w:rPr>
            </w:pPr>
            <w:r w:rsidRPr="00B84711">
              <w:rPr>
                <w:rFonts w:cs="Arial"/>
                <w:spacing w:val="-3"/>
                <w:sz w:val="22"/>
                <w:szCs w:val="22"/>
              </w:rPr>
              <w:t>Costo Anual Equivalente de Terrenos (</w:t>
            </w:r>
            <w:r w:rsidRPr="0023553C">
              <w:rPr>
                <w:rFonts w:cs="Arial"/>
                <w:i/>
                <w:spacing w:val="-3"/>
                <w:sz w:val="22"/>
                <w:szCs w:val="22"/>
              </w:rPr>
              <w:t>CAET</w:t>
            </w:r>
            <w:r w:rsidRPr="0023553C">
              <w:rPr>
                <w:rFonts w:cs="Arial"/>
                <w:i/>
                <w:spacing w:val="-3"/>
                <w:sz w:val="22"/>
                <w:szCs w:val="22"/>
                <w:vertAlign w:val="subscript"/>
              </w:rPr>
              <w:t>j</w:t>
            </w:r>
            <w:r w:rsidRPr="00B84711">
              <w:rPr>
                <w:rFonts w:cs="Arial"/>
                <w:spacing w:val="-3"/>
                <w:sz w:val="22"/>
                <w:szCs w:val="22"/>
              </w:rPr>
              <w:t>)</w:t>
            </w:r>
          </w:p>
        </w:tc>
        <w:tc>
          <w:tcPr>
            <w:tcW w:w="2552" w:type="dxa"/>
            <w:tcBorders>
              <w:top w:val="nil"/>
              <w:left w:val="nil"/>
              <w:bottom w:val="single" w:sz="4" w:space="0" w:color="auto"/>
              <w:right w:val="single" w:sz="4" w:space="0" w:color="auto"/>
            </w:tcBorders>
            <w:shd w:val="clear" w:color="auto" w:fill="auto"/>
            <w:vAlign w:val="center"/>
          </w:tcPr>
          <w:p w:rsidR="00EB40D0" w:rsidRPr="00B84711" w:rsidRDefault="0023553C" w:rsidP="00BD67E2">
            <w:pPr>
              <w:jc w:val="right"/>
              <w:rPr>
                <w:sz w:val="22"/>
                <w:szCs w:val="22"/>
              </w:rPr>
            </w:pPr>
            <w:r w:rsidRPr="0023553C">
              <w:rPr>
                <w:sz w:val="22"/>
                <w:szCs w:val="22"/>
              </w:rPr>
              <w:t>129.514.079</w:t>
            </w:r>
          </w:p>
        </w:tc>
      </w:tr>
      <w:tr w:rsidR="00EB40D0" w:rsidRPr="00B84711" w:rsidTr="00BE005B">
        <w:trPr>
          <w:trHeight w:val="360"/>
          <w:jc w:val="center"/>
        </w:trPr>
        <w:tc>
          <w:tcPr>
            <w:tcW w:w="5675" w:type="dxa"/>
            <w:tcBorders>
              <w:top w:val="nil"/>
              <w:left w:val="single" w:sz="4" w:space="0" w:color="auto"/>
              <w:bottom w:val="single" w:sz="4" w:space="0" w:color="auto"/>
              <w:right w:val="single" w:sz="4" w:space="0" w:color="auto"/>
            </w:tcBorders>
            <w:shd w:val="clear" w:color="auto" w:fill="auto"/>
            <w:vAlign w:val="center"/>
            <w:hideMark/>
          </w:tcPr>
          <w:p w:rsidR="00EB40D0" w:rsidRPr="00B84711" w:rsidRDefault="00EB40D0" w:rsidP="001A102C">
            <w:pPr>
              <w:tabs>
                <w:tab w:val="center" w:pos="4680"/>
              </w:tabs>
              <w:rPr>
                <w:rFonts w:cs="Arial"/>
                <w:spacing w:val="-3"/>
                <w:sz w:val="22"/>
                <w:szCs w:val="22"/>
              </w:rPr>
            </w:pPr>
            <w:r w:rsidRPr="00B84711">
              <w:rPr>
                <w:rFonts w:cs="Arial"/>
                <w:spacing w:val="-3"/>
                <w:sz w:val="22"/>
                <w:szCs w:val="22"/>
              </w:rPr>
              <w:t>Costo Anual Equivalente de Servidumbres (</w:t>
            </w:r>
            <w:r w:rsidRPr="0023553C">
              <w:rPr>
                <w:rFonts w:cs="Arial"/>
                <w:i/>
                <w:spacing w:val="-3"/>
                <w:sz w:val="22"/>
                <w:szCs w:val="22"/>
              </w:rPr>
              <w:t>CAES</w:t>
            </w:r>
            <w:r w:rsidRPr="0023553C">
              <w:rPr>
                <w:rFonts w:cs="Arial"/>
                <w:i/>
                <w:spacing w:val="-3"/>
                <w:sz w:val="22"/>
                <w:szCs w:val="22"/>
                <w:vertAlign w:val="subscript"/>
              </w:rPr>
              <w:t>j</w:t>
            </w:r>
            <w:r w:rsidRPr="00B84711">
              <w:rPr>
                <w:rFonts w:cs="Arial"/>
                <w:spacing w:val="-3"/>
                <w:sz w:val="22"/>
                <w:szCs w:val="22"/>
              </w:rPr>
              <w:t>)</w:t>
            </w:r>
          </w:p>
        </w:tc>
        <w:tc>
          <w:tcPr>
            <w:tcW w:w="2552" w:type="dxa"/>
            <w:tcBorders>
              <w:top w:val="nil"/>
              <w:left w:val="nil"/>
              <w:bottom w:val="single" w:sz="4" w:space="0" w:color="auto"/>
              <w:right w:val="single" w:sz="4" w:space="0" w:color="auto"/>
            </w:tcBorders>
            <w:shd w:val="clear" w:color="auto" w:fill="auto"/>
            <w:vAlign w:val="center"/>
          </w:tcPr>
          <w:p w:rsidR="00EB40D0" w:rsidRPr="00B84711" w:rsidRDefault="005F5663" w:rsidP="00BD67E2">
            <w:pPr>
              <w:jc w:val="right"/>
              <w:rPr>
                <w:sz w:val="22"/>
                <w:szCs w:val="22"/>
              </w:rPr>
            </w:pPr>
            <w:r w:rsidRPr="005F5663">
              <w:rPr>
                <w:sz w:val="22"/>
                <w:szCs w:val="22"/>
              </w:rPr>
              <w:t>2.736.301.506</w:t>
            </w:r>
          </w:p>
        </w:tc>
      </w:tr>
      <w:tr w:rsidR="00EB40D0" w:rsidRPr="00B84711" w:rsidTr="00BE005B">
        <w:trPr>
          <w:trHeight w:val="360"/>
          <w:jc w:val="center"/>
        </w:trPr>
        <w:tc>
          <w:tcPr>
            <w:tcW w:w="5675" w:type="dxa"/>
            <w:tcBorders>
              <w:top w:val="nil"/>
              <w:left w:val="single" w:sz="4" w:space="0" w:color="auto"/>
              <w:bottom w:val="single" w:sz="4" w:space="0" w:color="auto"/>
              <w:right w:val="single" w:sz="4" w:space="0" w:color="auto"/>
            </w:tcBorders>
            <w:shd w:val="clear" w:color="auto" w:fill="auto"/>
            <w:vAlign w:val="center"/>
            <w:hideMark/>
          </w:tcPr>
          <w:p w:rsidR="00EB40D0" w:rsidRPr="00B84711" w:rsidRDefault="00EB40D0" w:rsidP="001A102C">
            <w:pPr>
              <w:tabs>
                <w:tab w:val="center" w:pos="4680"/>
              </w:tabs>
              <w:rPr>
                <w:rFonts w:cs="Arial"/>
                <w:spacing w:val="-3"/>
                <w:sz w:val="22"/>
                <w:szCs w:val="22"/>
              </w:rPr>
            </w:pPr>
            <w:r w:rsidRPr="00B84711">
              <w:rPr>
                <w:rFonts w:cs="Arial"/>
                <w:spacing w:val="-3"/>
                <w:sz w:val="22"/>
                <w:szCs w:val="22"/>
              </w:rPr>
              <w:t>Otros Ingresos (</w:t>
            </w:r>
            <w:r w:rsidRPr="0023553C">
              <w:rPr>
                <w:rFonts w:cs="Arial"/>
                <w:i/>
                <w:spacing w:val="-3"/>
                <w:sz w:val="22"/>
                <w:szCs w:val="22"/>
              </w:rPr>
              <w:t>OI</w:t>
            </w:r>
            <w:r w:rsidRPr="0023553C">
              <w:rPr>
                <w:rFonts w:cs="Arial"/>
                <w:i/>
                <w:spacing w:val="-3"/>
                <w:sz w:val="22"/>
                <w:szCs w:val="22"/>
                <w:vertAlign w:val="subscript"/>
              </w:rPr>
              <w:t>j</w:t>
            </w:r>
            <w:r w:rsidRPr="00B84711">
              <w:rPr>
                <w:rFonts w:cs="Arial"/>
                <w:spacing w:val="-3"/>
                <w:sz w:val="22"/>
                <w:szCs w:val="22"/>
              </w:rPr>
              <w:t>)</w:t>
            </w:r>
          </w:p>
        </w:tc>
        <w:tc>
          <w:tcPr>
            <w:tcW w:w="2552" w:type="dxa"/>
            <w:tcBorders>
              <w:top w:val="nil"/>
              <w:left w:val="nil"/>
              <w:bottom w:val="single" w:sz="4" w:space="0" w:color="auto"/>
              <w:right w:val="single" w:sz="4" w:space="0" w:color="auto"/>
            </w:tcBorders>
            <w:shd w:val="clear" w:color="auto" w:fill="auto"/>
            <w:vAlign w:val="center"/>
          </w:tcPr>
          <w:p w:rsidR="00EB40D0" w:rsidRPr="00B84711" w:rsidRDefault="0023553C" w:rsidP="00BD67E2">
            <w:pPr>
              <w:jc w:val="right"/>
              <w:rPr>
                <w:sz w:val="22"/>
                <w:szCs w:val="22"/>
              </w:rPr>
            </w:pPr>
            <w:r w:rsidRPr="0023553C">
              <w:rPr>
                <w:sz w:val="22"/>
                <w:szCs w:val="22"/>
              </w:rPr>
              <w:t xml:space="preserve">128.442.678 </w:t>
            </w:r>
          </w:p>
        </w:tc>
      </w:tr>
    </w:tbl>
    <w:p w:rsidR="00EB40D0" w:rsidRPr="00B84711" w:rsidRDefault="00EB40D0" w:rsidP="001A102C">
      <w:pPr>
        <w:tabs>
          <w:tab w:val="center" w:pos="4680"/>
        </w:tabs>
        <w:rPr>
          <w:rFonts w:cs="Arial"/>
          <w:spacing w:val="-3"/>
        </w:rPr>
      </w:pPr>
    </w:p>
    <w:tbl>
      <w:tblPr>
        <w:tblW w:w="6951" w:type="dxa"/>
        <w:jc w:val="center"/>
        <w:tblInd w:w="65" w:type="dxa"/>
        <w:tblCellMar>
          <w:left w:w="70" w:type="dxa"/>
          <w:right w:w="70" w:type="dxa"/>
        </w:tblCellMar>
        <w:tblLook w:val="04A0" w:firstRow="1" w:lastRow="0" w:firstColumn="1" w:lastColumn="0" w:noHBand="0" w:noVBand="1"/>
      </w:tblPr>
      <w:tblGrid>
        <w:gridCol w:w="2982"/>
        <w:gridCol w:w="2410"/>
        <w:gridCol w:w="1559"/>
      </w:tblGrid>
      <w:tr w:rsidR="00EB40D0" w:rsidRPr="00B84711" w:rsidTr="00722FE5">
        <w:trPr>
          <w:trHeight w:val="360"/>
          <w:jc w:val="center"/>
        </w:trPr>
        <w:tc>
          <w:tcPr>
            <w:tcW w:w="2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B40D0" w:rsidRPr="00B84711" w:rsidRDefault="00EB40D0" w:rsidP="00BD67E2">
            <w:pPr>
              <w:jc w:val="center"/>
              <w:rPr>
                <w:rFonts w:cs="Calibri"/>
                <w:b/>
                <w:bCs/>
                <w:color w:val="000000"/>
                <w:sz w:val="22"/>
                <w:szCs w:val="22"/>
                <w:lang w:val="es-CO" w:eastAsia="es-CO"/>
              </w:rPr>
            </w:pPr>
            <w:r w:rsidRPr="00B84711">
              <w:rPr>
                <w:rFonts w:cs="Calibri"/>
                <w:b/>
                <w:bCs/>
                <w:color w:val="000000"/>
                <w:sz w:val="22"/>
                <w:szCs w:val="22"/>
                <w:lang w:val="es-CO" w:eastAsia="es-CO"/>
              </w:rPr>
              <w:t>Valor anual de AOM</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EB40D0" w:rsidRPr="00B84711" w:rsidRDefault="00EB40D0" w:rsidP="003503FF">
            <w:pPr>
              <w:jc w:val="center"/>
              <w:rPr>
                <w:rFonts w:cs="Calibri"/>
                <w:b/>
                <w:bCs/>
                <w:color w:val="000000"/>
                <w:sz w:val="22"/>
                <w:szCs w:val="22"/>
                <w:lang w:val="es-CO" w:eastAsia="es-CO"/>
              </w:rPr>
            </w:pPr>
            <w:r w:rsidRPr="00B84711">
              <w:rPr>
                <w:rFonts w:cs="Calibri"/>
                <w:b/>
                <w:bCs/>
                <w:color w:val="000000"/>
                <w:sz w:val="22"/>
                <w:szCs w:val="22"/>
                <w:lang w:val="es-CO" w:eastAsia="es-CO"/>
              </w:rPr>
              <w:t>Pesos de diciembre de 2008</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B40D0" w:rsidRPr="00B84711" w:rsidRDefault="00EB40D0" w:rsidP="00170917">
            <w:pPr>
              <w:jc w:val="center"/>
              <w:rPr>
                <w:rFonts w:cs="Calibri"/>
                <w:b/>
                <w:bCs/>
                <w:color w:val="000000"/>
                <w:sz w:val="22"/>
                <w:szCs w:val="22"/>
                <w:lang w:val="es-CO" w:eastAsia="es-CO"/>
              </w:rPr>
            </w:pPr>
            <w:r w:rsidRPr="00B84711">
              <w:rPr>
                <w:rFonts w:cs="Calibri"/>
                <w:b/>
                <w:bCs/>
                <w:color w:val="000000"/>
                <w:sz w:val="22"/>
                <w:szCs w:val="22"/>
                <w:lang w:val="es-CO" w:eastAsia="es-CO"/>
              </w:rPr>
              <w:t>Porcentaje</w:t>
            </w:r>
          </w:p>
        </w:tc>
      </w:tr>
      <w:tr w:rsidR="00EB40D0" w:rsidRPr="00B84711" w:rsidTr="00722FE5">
        <w:trPr>
          <w:trHeight w:val="360"/>
          <w:jc w:val="center"/>
        </w:trPr>
        <w:tc>
          <w:tcPr>
            <w:tcW w:w="2982" w:type="dxa"/>
            <w:tcBorders>
              <w:top w:val="nil"/>
              <w:left w:val="single" w:sz="4" w:space="0" w:color="auto"/>
              <w:bottom w:val="single" w:sz="4" w:space="0" w:color="auto"/>
              <w:right w:val="single" w:sz="4" w:space="0" w:color="auto"/>
            </w:tcBorders>
            <w:shd w:val="clear" w:color="auto" w:fill="auto"/>
            <w:vAlign w:val="center"/>
            <w:hideMark/>
          </w:tcPr>
          <w:p w:rsidR="00EB40D0" w:rsidRPr="00B84711" w:rsidRDefault="00EB40D0" w:rsidP="001A102C">
            <w:pPr>
              <w:rPr>
                <w:rFonts w:cs="Calibri"/>
                <w:color w:val="000000"/>
                <w:sz w:val="22"/>
                <w:szCs w:val="22"/>
                <w:lang w:val="es-CO" w:eastAsia="es-CO"/>
              </w:rPr>
            </w:pPr>
            <w:r w:rsidRPr="00B84711">
              <w:rPr>
                <w:rFonts w:cs="Calibri"/>
                <w:color w:val="000000"/>
                <w:sz w:val="22"/>
                <w:szCs w:val="22"/>
                <w:lang w:val="es-CO" w:eastAsia="es-CO"/>
              </w:rPr>
              <w:t>Gastado (</w:t>
            </w:r>
            <w:r w:rsidRPr="00B84711">
              <w:rPr>
                <w:rFonts w:cs="Calibri"/>
                <w:i/>
                <w:iCs/>
                <w:color w:val="000000"/>
                <w:sz w:val="22"/>
                <w:szCs w:val="22"/>
                <w:lang w:val="es-CO" w:eastAsia="es-CO"/>
              </w:rPr>
              <w:t>AOMG</w:t>
            </w:r>
            <w:r w:rsidRPr="00B84711">
              <w:rPr>
                <w:rFonts w:cs="Calibri"/>
                <w:i/>
                <w:iCs/>
                <w:color w:val="000000"/>
                <w:sz w:val="22"/>
                <w:szCs w:val="22"/>
                <w:vertAlign w:val="subscript"/>
                <w:lang w:val="es-CO" w:eastAsia="es-CO"/>
              </w:rPr>
              <w:t>j,01-07</w:t>
            </w:r>
            <w:r w:rsidRPr="00B84711">
              <w:rPr>
                <w:rFonts w:cs="Calibri"/>
                <w:color w:val="000000"/>
                <w:sz w:val="22"/>
                <w:szCs w:val="22"/>
                <w:lang w:val="es-CO" w:eastAsia="es-CO"/>
              </w:rPr>
              <w:t>)</w:t>
            </w:r>
          </w:p>
        </w:tc>
        <w:tc>
          <w:tcPr>
            <w:tcW w:w="2410" w:type="dxa"/>
            <w:tcBorders>
              <w:top w:val="nil"/>
              <w:left w:val="nil"/>
              <w:bottom w:val="single" w:sz="4" w:space="0" w:color="auto"/>
              <w:right w:val="single" w:sz="4" w:space="0" w:color="auto"/>
            </w:tcBorders>
            <w:shd w:val="clear" w:color="auto" w:fill="auto"/>
            <w:vAlign w:val="center"/>
            <w:hideMark/>
          </w:tcPr>
          <w:p w:rsidR="00EB40D0" w:rsidRPr="0023553C" w:rsidRDefault="0023553C" w:rsidP="00BD67E2">
            <w:pPr>
              <w:jc w:val="center"/>
              <w:rPr>
                <w:rFonts w:cs="Calibri"/>
                <w:color w:val="000000"/>
                <w:sz w:val="20"/>
                <w:szCs w:val="20"/>
              </w:rPr>
            </w:pPr>
            <w:r w:rsidRPr="0023553C">
              <w:rPr>
                <w:rFonts w:cs="Calibri"/>
                <w:color w:val="000000"/>
                <w:sz w:val="22"/>
                <w:szCs w:val="22"/>
                <w:lang w:val="es-CO" w:eastAsia="es-CO"/>
              </w:rPr>
              <w:t>23.996.939.732</w:t>
            </w:r>
            <w:r>
              <w:rPr>
                <w:rFonts w:cs="Calibri"/>
                <w:color w:val="000000"/>
                <w:sz w:val="20"/>
                <w:szCs w:val="20"/>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EB40D0" w:rsidRPr="00B84711" w:rsidRDefault="00EB40D0" w:rsidP="003503FF">
            <w:pPr>
              <w:jc w:val="center"/>
              <w:rPr>
                <w:rFonts w:cs="Calibri"/>
                <w:color w:val="000000"/>
                <w:sz w:val="22"/>
                <w:szCs w:val="22"/>
                <w:lang w:val="es-CO" w:eastAsia="es-CO"/>
              </w:rPr>
            </w:pPr>
            <w:r w:rsidRPr="00B84711">
              <w:rPr>
                <w:rFonts w:cs="Calibri"/>
                <w:color w:val="000000"/>
                <w:sz w:val="22"/>
                <w:szCs w:val="22"/>
                <w:lang w:val="es-CO" w:eastAsia="es-CO"/>
              </w:rPr>
              <w:t>3,</w:t>
            </w:r>
            <w:r w:rsidR="0023553C">
              <w:rPr>
                <w:rFonts w:cs="Calibri"/>
                <w:color w:val="000000"/>
                <w:sz w:val="22"/>
                <w:szCs w:val="22"/>
                <w:lang w:val="es-CO" w:eastAsia="es-CO"/>
              </w:rPr>
              <w:t>73</w:t>
            </w:r>
            <w:r w:rsidRPr="00B84711">
              <w:rPr>
                <w:rFonts w:cs="Calibri"/>
                <w:color w:val="000000"/>
                <w:sz w:val="22"/>
                <w:szCs w:val="22"/>
                <w:lang w:val="es-CO" w:eastAsia="es-CO"/>
              </w:rPr>
              <w:t>%</w:t>
            </w:r>
          </w:p>
        </w:tc>
      </w:tr>
      <w:tr w:rsidR="00EB40D0" w:rsidRPr="00B84711" w:rsidTr="00722FE5">
        <w:trPr>
          <w:trHeight w:val="360"/>
          <w:jc w:val="center"/>
        </w:trPr>
        <w:tc>
          <w:tcPr>
            <w:tcW w:w="2982" w:type="dxa"/>
            <w:tcBorders>
              <w:top w:val="nil"/>
              <w:left w:val="single" w:sz="4" w:space="0" w:color="auto"/>
              <w:bottom w:val="single" w:sz="4" w:space="0" w:color="auto"/>
              <w:right w:val="single" w:sz="4" w:space="0" w:color="auto"/>
            </w:tcBorders>
            <w:shd w:val="clear" w:color="auto" w:fill="auto"/>
            <w:vAlign w:val="center"/>
            <w:hideMark/>
          </w:tcPr>
          <w:p w:rsidR="00EB40D0" w:rsidRPr="00B84711" w:rsidRDefault="00EB40D0" w:rsidP="001A102C">
            <w:pPr>
              <w:rPr>
                <w:rFonts w:cs="Calibri"/>
                <w:color w:val="000000"/>
                <w:sz w:val="22"/>
                <w:szCs w:val="22"/>
                <w:lang w:val="es-CO" w:eastAsia="es-CO"/>
              </w:rPr>
            </w:pPr>
            <w:r w:rsidRPr="00B84711">
              <w:rPr>
                <w:rFonts w:cs="Calibri"/>
                <w:color w:val="000000"/>
                <w:sz w:val="22"/>
                <w:szCs w:val="22"/>
                <w:lang w:val="es-CO" w:eastAsia="es-CO"/>
              </w:rPr>
              <w:t>Remunerado (</w:t>
            </w:r>
            <w:r w:rsidRPr="00B84711">
              <w:rPr>
                <w:rFonts w:cs="Calibri"/>
                <w:i/>
                <w:iCs/>
                <w:color w:val="000000"/>
                <w:sz w:val="22"/>
                <w:szCs w:val="22"/>
                <w:lang w:val="es-CO" w:eastAsia="es-CO"/>
              </w:rPr>
              <w:t>AOMR</w:t>
            </w:r>
            <w:r w:rsidRPr="00B84711">
              <w:rPr>
                <w:rFonts w:cs="Calibri"/>
                <w:i/>
                <w:iCs/>
                <w:color w:val="000000"/>
                <w:sz w:val="22"/>
                <w:szCs w:val="22"/>
                <w:vertAlign w:val="subscript"/>
                <w:lang w:val="es-CO" w:eastAsia="es-CO"/>
              </w:rPr>
              <w:t>j,08</w:t>
            </w:r>
            <w:r w:rsidRPr="00B84711">
              <w:rPr>
                <w:rFonts w:cs="Calibri"/>
                <w:color w:val="000000"/>
                <w:sz w:val="22"/>
                <w:szCs w:val="22"/>
                <w:lang w:val="es-CO" w:eastAsia="es-CO"/>
              </w:rPr>
              <w:t>)</w:t>
            </w:r>
          </w:p>
        </w:tc>
        <w:tc>
          <w:tcPr>
            <w:tcW w:w="2410" w:type="dxa"/>
            <w:tcBorders>
              <w:top w:val="nil"/>
              <w:left w:val="nil"/>
              <w:bottom w:val="single" w:sz="4" w:space="0" w:color="auto"/>
              <w:right w:val="single" w:sz="4" w:space="0" w:color="auto"/>
            </w:tcBorders>
            <w:shd w:val="clear" w:color="auto" w:fill="auto"/>
            <w:vAlign w:val="center"/>
            <w:hideMark/>
          </w:tcPr>
          <w:p w:rsidR="00EB40D0" w:rsidRPr="00B84711" w:rsidRDefault="0023553C" w:rsidP="00BD67E2">
            <w:pPr>
              <w:jc w:val="center"/>
              <w:rPr>
                <w:rFonts w:cs="Calibri"/>
                <w:color w:val="000000"/>
                <w:sz w:val="22"/>
                <w:szCs w:val="22"/>
                <w:lang w:val="es-CO" w:eastAsia="es-CO"/>
              </w:rPr>
            </w:pPr>
            <w:r w:rsidRPr="0023553C">
              <w:rPr>
                <w:rFonts w:cs="Calibri"/>
                <w:color w:val="000000"/>
                <w:sz w:val="22"/>
                <w:szCs w:val="22"/>
                <w:lang w:val="es-CO" w:eastAsia="es-CO"/>
              </w:rPr>
              <w:t xml:space="preserve">19.895.591.397 </w:t>
            </w:r>
          </w:p>
        </w:tc>
        <w:tc>
          <w:tcPr>
            <w:tcW w:w="1559" w:type="dxa"/>
            <w:tcBorders>
              <w:top w:val="nil"/>
              <w:left w:val="nil"/>
              <w:bottom w:val="single" w:sz="4" w:space="0" w:color="auto"/>
              <w:right w:val="single" w:sz="4" w:space="0" w:color="auto"/>
            </w:tcBorders>
            <w:shd w:val="clear" w:color="auto" w:fill="auto"/>
            <w:vAlign w:val="center"/>
            <w:hideMark/>
          </w:tcPr>
          <w:p w:rsidR="00EB40D0" w:rsidRPr="00B84711" w:rsidRDefault="00EB40D0" w:rsidP="003503FF">
            <w:pPr>
              <w:jc w:val="center"/>
              <w:rPr>
                <w:rFonts w:cs="Calibri"/>
                <w:color w:val="000000"/>
                <w:sz w:val="22"/>
                <w:szCs w:val="22"/>
                <w:lang w:val="es-CO" w:eastAsia="es-CO"/>
              </w:rPr>
            </w:pPr>
            <w:r w:rsidRPr="00B84711">
              <w:rPr>
                <w:rFonts w:cs="Calibri"/>
                <w:color w:val="000000"/>
                <w:sz w:val="22"/>
                <w:szCs w:val="22"/>
                <w:lang w:val="es-CO" w:eastAsia="es-CO"/>
              </w:rPr>
              <w:t>3,0</w:t>
            </w:r>
            <w:r w:rsidR="0023553C">
              <w:rPr>
                <w:rFonts w:cs="Calibri"/>
                <w:color w:val="000000"/>
                <w:sz w:val="22"/>
                <w:szCs w:val="22"/>
                <w:lang w:val="es-CO" w:eastAsia="es-CO"/>
              </w:rPr>
              <w:t>9</w:t>
            </w:r>
            <w:r w:rsidRPr="00B84711">
              <w:rPr>
                <w:rFonts w:cs="Calibri"/>
                <w:color w:val="000000"/>
                <w:sz w:val="22"/>
                <w:szCs w:val="22"/>
                <w:lang w:val="es-CO" w:eastAsia="es-CO"/>
              </w:rPr>
              <w:t>%</w:t>
            </w:r>
          </w:p>
        </w:tc>
      </w:tr>
    </w:tbl>
    <w:p w:rsidR="00EB40D0" w:rsidRPr="00B84711" w:rsidRDefault="00EB40D0" w:rsidP="001A102C">
      <w:pPr>
        <w:tabs>
          <w:tab w:val="center" w:pos="4680"/>
        </w:tabs>
        <w:rPr>
          <w:rFonts w:cs="Arial"/>
          <w:spacing w:val="-3"/>
        </w:rPr>
      </w:pPr>
    </w:p>
    <w:p w:rsidR="00EB40D0" w:rsidRPr="00B84711" w:rsidRDefault="00EB40D0" w:rsidP="003503FF">
      <w:pPr>
        <w:tabs>
          <w:tab w:val="center" w:pos="4680"/>
        </w:tabs>
        <w:rPr>
          <w:rFonts w:cs="Arial"/>
          <w:spacing w:val="-3"/>
        </w:rPr>
      </w:pPr>
    </w:p>
    <w:p w:rsidR="00EB40D0" w:rsidRPr="00B84711" w:rsidRDefault="00EB40D0" w:rsidP="003503FF">
      <w:pPr>
        <w:tabs>
          <w:tab w:val="center" w:pos="4680"/>
        </w:tabs>
        <w:rPr>
          <w:rFonts w:cs="Arial"/>
          <w:spacing w:val="-3"/>
        </w:rPr>
      </w:pPr>
      <w:r w:rsidRPr="00B84711">
        <w:rPr>
          <w:rFonts w:cs="Arial"/>
          <w:spacing w:val="-3"/>
        </w:rPr>
        <w:t xml:space="preserve">La Comisión de Regulación de Energía y Gas, en su sesión </w:t>
      </w:r>
      <w:r w:rsidR="005F1034">
        <w:rPr>
          <w:rFonts w:cs="Arial"/>
          <w:spacing w:val="-3"/>
        </w:rPr>
        <w:t xml:space="preserve">486 </w:t>
      </w:r>
      <w:r w:rsidRPr="00B84711">
        <w:rPr>
          <w:rFonts w:cs="Arial"/>
          <w:spacing w:val="-3"/>
        </w:rPr>
        <w:t xml:space="preserve">del </w:t>
      </w:r>
      <w:r w:rsidR="005F1034">
        <w:rPr>
          <w:rFonts w:cs="Arial"/>
          <w:spacing w:val="-3"/>
        </w:rPr>
        <w:t>2</w:t>
      </w:r>
      <w:r w:rsidRPr="00B84711">
        <w:rPr>
          <w:rFonts w:cs="Arial"/>
          <w:spacing w:val="-3"/>
        </w:rPr>
        <w:t xml:space="preserve"> de </w:t>
      </w:r>
      <w:r w:rsidR="003503FF">
        <w:rPr>
          <w:rFonts w:cs="Arial"/>
          <w:spacing w:val="-3"/>
        </w:rPr>
        <w:t>junio</w:t>
      </w:r>
      <w:r w:rsidR="003503FF" w:rsidRPr="00B84711">
        <w:rPr>
          <w:rFonts w:cs="Arial"/>
          <w:spacing w:val="-3"/>
        </w:rPr>
        <w:t xml:space="preserve"> </w:t>
      </w:r>
      <w:r w:rsidRPr="00B84711">
        <w:rPr>
          <w:rFonts w:cs="Arial"/>
          <w:spacing w:val="-3"/>
        </w:rPr>
        <w:t xml:space="preserve">de 2011, aprobó modificar la remuneración de </w:t>
      </w:r>
      <w:r w:rsidR="0023553C">
        <w:rPr>
          <w:rFonts w:cs="Arial"/>
          <w:spacing w:val="-3"/>
        </w:rPr>
        <w:t>Transelca</w:t>
      </w:r>
      <w:r w:rsidRPr="00B84711">
        <w:rPr>
          <w:rFonts w:cs="Arial"/>
          <w:spacing w:val="-3"/>
        </w:rPr>
        <w:t xml:space="preserve"> S.A. E.S.P. en el Sistema de Transmisión Nacional, aprobada en la Resolución CREG 10</w:t>
      </w:r>
      <w:r w:rsidR="0023553C">
        <w:rPr>
          <w:rFonts w:cs="Arial"/>
          <w:spacing w:val="-3"/>
        </w:rPr>
        <w:t>7</w:t>
      </w:r>
      <w:r w:rsidRPr="00B84711">
        <w:rPr>
          <w:rFonts w:cs="Arial"/>
          <w:spacing w:val="-3"/>
        </w:rPr>
        <w:t xml:space="preserve"> de 2010.</w:t>
      </w:r>
    </w:p>
    <w:p w:rsidR="00EB40D0" w:rsidRPr="00B84711" w:rsidRDefault="00EB40D0" w:rsidP="00170917">
      <w:pPr>
        <w:tabs>
          <w:tab w:val="left" w:pos="993"/>
        </w:tabs>
        <w:spacing w:after="120"/>
      </w:pPr>
    </w:p>
    <w:p w:rsidR="0080129A" w:rsidRPr="004F7234" w:rsidRDefault="0080129A">
      <w:pPr>
        <w:suppressAutoHyphens/>
        <w:jc w:val="center"/>
        <w:rPr>
          <w:rFonts w:cs="Arial"/>
          <w:b/>
          <w:spacing w:val="-3"/>
        </w:rPr>
      </w:pPr>
    </w:p>
    <w:p w:rsidR="0080129A" w:rsidRPr="004F7234" w:rsidRDefault="0080129A">
      <w:pPr>
        <w:keepNext/>
        <w:suppressAutoHyphens/>
        <w:jc w:val="center"/>
        <w:rPr>
          <w:rFonts w:cs="Arial"/>
          <w:b/>
          <w:spacing w:val="-3"/>
        </w:rPr>
      </w:pPr>
      <w:r w:rsidRPr="004F7234">
        <w:rPr>
          <w:rFonts w:cs="Arial"/>
          <w:b/>
          <w:spacing w:val="-3"/>
        </w:rPr>
        <w:t>R E S U E L V E:</w:t>
      </w:r>
    </w:p>
    <w:p w:rsidR="0080129A" w:rsidRDefault="0080129A">
      <w:pPr>
        <w:keepNext/>
        <w:tabs>
          <w:tab w:val="left" w:pos="-720"/>
        </w:tabs>
        <w:suppressAutoHyphens/>
        <w:rPr>
          <w:rFonts w:cs="Arial"/>
          <w:spacing w:val="-3"/>
        </w:rPr>
      </w:pPr>
    </w:p>
    <w:p w:rsidR="005F1034" w:rsidRPr="004F7234" w:rsidRDefault="005F1034">
      <w:pPr>
        <w:keepNext/>
        <w:tabs>
          <w:tab w:val="left" w:pos="-720"/>
        </w:tabs>
        <w:suppressAutoHyphens/>
        <w:rPr>
          <w:rFonts w:cs="Arial"/>
          <w:spacing w:val="-3"/>
        </w:rPr>
      </w:pPr>
    </w:p>
    <w:p w:rsidR="0080129A" w:rsidRPr="0014458A" w:rsidRDefault="0080129A">
      <w:pPr>
        <w:pStyle w:val="Artculo"/>
        <w:rPr>
          <w:b/>
        </w:rPr>
      </w:pPr>
      <w:r w:rsidRPr="0014458A">
        <w:rPr>
          <w:b/>
        </w:rPr>
        <w:t xml:space="preserve">Modificación del Artículo 1 de la Resolución CREG </w:t>
      </w:r>
      <w:r w:rsidR="001B320C" w:rsidRPr="0014458A">
        <w:rPr>
          <w:b/>
        </w:rPr>
        <w:t>107 de 2010</w:t>
      </w:r>
      <w:r w:rsidRPr="0014458A">
        <w:rPr>
          <w:b/>
        </w:rPr>
        <w:t>.</w:t>
      </w:r>
      <w:r w:rsidRPr="0014458A">
        <w:t xml:space="preserve"> El Artículo 1 de la Resolución CREG </w:t>
      </w:r>
      <w:r w:rsidR="001B320C" w:rsidRPr="0014458A">
        <w:t>107 de 2010</w:t>
      </w:r>
      <w:r w:rsidRPr="0014458A">
        <w:t xml:space="preserve"> queda</w:t>
      </w:r>
      <w:r w:rsidR="00817FFE" w:rsidRPr="0014458A">
        <w:t>rá</w:t>
      </w:r>
      <w:r w:rsidRPr="0014458A">
        <w:t xml:space="preserve"> así:</w:t>
      </w:r>
    </w:p>
    <w:p w:rsidR="0080129A" w:rsidRPr="0014458A" w:rsidRDefault="0080129A">
      <w:pPr>
        <w:pStyle w:val="Prrafodelista"/>
        <w:rPr>
          <w:rFonts w:cs="Arial"/>
          <w:b/>
          <w:bCs/>
          <w:sz w:val="24"/>
          <w:szCs w:val="24"/>
          <w:lang w:val="es-ES"/>
        </w:rPr>
      </w:pPr>
    </w:p>
    <w:p w:rsidR="0080129A" w:rsidRPr="0014458A" w:rsidRDefault="0080129A">
      <w:pPr>
        <w:ind w:left="426" w:right="335"/>
        <w:rPr>
          <w:i/>
        </w:rPr>
      </w:pPr>
      <w:r w:rsidRPr="0014458A">
        <w:rPr>
          <w:b/>
          <w:i/>
          <w:spacing w:val="-3"/>
        </w:rPr>
        <w:t>“Artículo 1.</w:t>
      </w:r>
      <w:r w:rsidRPr="0014458A">
        <w:rPr>
          <w:b/>
          <w:i/>
          <w:spacing w:val="-3"/>
        </w:rPr>
        <w:tab/>
      </w:r>
      <w:r w:rsidR="00480E8C" w:rsidRPr="0014458A">
        <w:rPr>
          <w:b/>
          <w:i/>
        </w:rPr>
        <w:t xml:space="preserve">Ingreso Anual. </w:t>
      </w:r>
      <w:r w:rsidR="00480E8C" w:rsidRPr="0014458A">
        <w:rPr>
          <w:i/>
        </w:rPr>
        <w:t>El Ingreso Anual (IAT</w:t>
      </w:r>
      <w:r w:rsidR="00480E8C" w:rsidRPr="0014458A">
        <w:rPr>
          <w:i/>
          <w:vertAlign w:val="subscript"/>
        </w:rPr>
        <w:t>j</w:t>
      </w:r>
      <w:r w:rsidR="00480E8C" w:rsidRPr="0014458A">
        <w:rPr>
          <w:i/>
        </w:rPr>
        <w:t>) por los activos representados por TRANSELCA S.A. E.S.P. en el Sistema de Transmisión Nacional, calculado en la forma establecida en la Resolución CREG 011 de 2009, es el siguiente</w:t>
      </w:r>
      <w:r w:rsidRPr="0014458A">
        <w:rPr>
          <w:i/>
        </w:rPr>
        <w:t>:</w:t>
      </w:r>
    </w:p>
    <w:p w:rsidR="0080129A" w:rsidRPr="0014458A" w:rsidRDefault="0080129A">
      <w:pPr>
        <w:rPr>
          <w:i/>
        </w:rPr>
      </w:pPr>
    </w:p>
    <w:tbl>
      <w:tblPr>
        <w:tblW w:w="6910" w:type="dxa"/>
        <w:jc w:val="center"/>
        <w:tblInd w:w="-177" w:type="dxa"/>
        <w:tblCellMar>
          <w:left w:w="70" w:type="dxa"/>
          <w:right w:w="70" w:type="dxa"/>
        </w:tblCellMar>
        <w:tblLook w:val="04A0" w:firstRow="1" w:lastRow="0" w:firstColumn="1" w:lastColumn="0" w:noHBand="0" w:noVBand="1"/>
      </w:tblPr>
      <w:tblGrid>
        <w:gridCol w:w="4161"/>
        <w:gridCol w:w="2446"/>
        <w:gridCol w:w="303"/>
      </w:tblGrid>
      <w:tr w:rsidR="00480E8C" w:rsidRPr="00355E65" w:rsidTr="00480E8C">
        <w:trPr>
          <w:trHeight w:val="360"/>
          <w:jc w:val="center"/>
        </w:trPr>
        <w:tc>
          <w:tcPr>
            <w:tcW w:w="41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0E8C" w:rsidRPr="00480E8C" w:rsidRDefault="00480E8C">
            <w:pPr>
              <w:jc w:val="center"/>
              <w:rPr>
                <w:rFonts w:cs="Calibri"/>
                <w:b/>
                <w:bCs/>
                <w:i/>
                <w:color w:val="000000"/>
                <w:sz w:val="22"/>
                <w:szCs w:val="20"/>
                <w:lang w:val="es-CO" w:eastAsia="es-CO"/>
              </w:rPr>
            </w:pPr>
            <w:r w:rsidRPr="00480E8C">
              <w:rPr>
                <w:rFonts w:cs="Calibri"/>
                <w:b/>
                <w:bCs/>
                <w:i/>
                <w:color w:val="000000"/>
                <w:sz w:val="22"/>
                <w:szCs w:val="20"/>
                <w:lang w:val="es-CO" w:eastAsia="es-CO"/>
              </w:rPr>
              <w:t>Ingreso Anual</w:t>
            </w:r>
          </w:p>
        </w:tc>
        <w:tc>
          <w:tcPr>
            <w:tcW w:w="2447" w:type="dxa"/>
            <w:tcBorders>
              <w:top w:val="single" w:sz="4" w:space="0" w:color="auto"/>
              <w:left w:val="nil"/>
              <w:bottom w:val="single" w:sz="4" w:space="0" w:color="auto"/>
              <w:right w:val="single" w:sz="4" w:space="0" w:color="auto"/>
            </w:tcBorders>
            <w:shd w:val="clear" w:color="auto" w:fill="auto"/>
            <w:vAlign w:val="center"/>
            <w:hideMark/>
          </w:tcPr>
          <w:p w:rsidR="00480E8C" w:rsidRPr="00480E8C" w:rsidRDefault="00480E8C">
            <w:pPr>
              <w:jc w:val="center"/>
              <w:rPr>
                <w:rFonts w:cs="Calibri"/>
                <w:b/>
                <w:bCs/>
                <w:i/>
                <w:color w:val="000000"/>
                <w:sz w:val="22"/>
                <w:szCs w:val="20"/>
                <w:lang w:val="es-CO" w:eastAsia="es-CO"/>
              </w:rPr>
            </w:pPr>
            <w:r w:rsidRPr="00480E8C">
              <w:rPr>
                <w:rFonts w:cs="Calibri"/>
                <w:b/>
                <w:bCs/>
                <w:i/>
                <w:color w:val="000000"/>
                <w:sz w:val="22"/>
                <w:szCs w:val="20"/>
                <w:lang w:val="es-CO" w:eastAsia="es-CO"/>
              </w:rPr>
              <w:t>Pesos de diciembre de 2008</w:t>
            </w:r>
          </w:p>
        </w:tc>
        <w:tc>
          <w:tcPr>
            <w:tcW w:w="299" w:type="dxa"/>
            <w:tcBorders>
              <w:left w:val="single" w:sz="4" w:space="0" w:color="auto"/>
            </w:tcBorders>
          </w:tcPr>
          <w:p w:rsidR="00480E8C" w:rsidRPr="00355E65" w:rsidRDefault="00480E8C">
            <w:pPr>
              <w:jc w:val="center"/>
              <w:rPr>
                <w:rFonts w:cs="Calibri"/>
                <w:b/>
                <w:bCs/>
                <w:i/>
                <w:color w:val="000000"/>
                <w:sz w:val="22"/>
                <w:szCs w:val="20"/>
                <w:lang w:val="es-CO" w:eastAsia="es-CO"/>
              </w:rPr>
            </w:pPr>
          </w:p>
        </w:tc>
      </w:tr>
      <w:tr w:rsidR="00480E8C" w:rsidRPr="00355E65" w:rsidTr="00480E8C">
        <w:trPr>
          <w:trHeight w:val="360"/>
          <w:jc w:val="center"/>
        </w:trPr>
        <w:tc>
          <w:tcPr>
            <w:tcW w:w="4164" w:type="dxa"/>
            <w:tcBorders>
              <w:top w:val="nil"/>
              <w:left w:val="single" w:sz="4" w:space="0" w:color="auto"/>
              <w:bottom w:val="single" w:sz="4" w:space="0" w:color="auto"/>
              <w:right w:val="single" w:sz="4" w:space="0" w:color="auto"/>
            </w:tcBorders>
            <w:shd w:val="clear" w:color="auto" w:fill="auto"/>
            <w:vAlign w:val="center"/>
            <w:hideMark/>
          </w:tcPr>
          <w:p w:rsidR="00480E8C" w:rsidRPr="00480E8C" w:rsidRDefault="00480E8C" w:rsidP="001A102C">
            <w:pPr>
              <w:jc w:val="center"/>
              <w:rPr>
                <w:rFonts w:cs="Calibri"/>
                <w:i/>
                <w:color w:val="000000"/>
                <w:sz w:val="22"/>
                <w:szCs w:val="20"/>
                <w:lang w:val="es-CO" w:eastAsia="es-CO"/>
              </w:rPr>
            </w:pPr>
            <w:r w:rsidRPr="00480E8C">
              <w:rPr>
                <w:rFonts w:cs="Calibri"/>
                <w:i/>
                <w:color w:val="000000"/>
                <w:sz w:val="22"/>
                <w:szCs w:val="20"/>
                <w:lang w:val="es-CO" w:eastAsia="es-CO"/>
              </w:rPr>
              <w:t>Ingreso Anual del Transmisor  (</w:t>
            </w:r>
            <w:r w:rsidRPr="00480E8C">
              <w:rPr>
                <w:rFonts w:cs="Calibri"/>
                <w:i/>
                <w:iCs/>
                <w:color w:val="000000"/>
                <w:sz w:val="22"/>
                <w:szCs w:val="20"/>
                <w:lang w:val="es-CO" w:eastAsia="es-CO"/>
              </w:rPr>
              <w:t>IAT</w:t>
            </w:r>
            <w:r w:rsidRPr="00480E8C">
              <w:rPr>
                <w:rFonts w:cs="Calibri"/>
                <w:i/>
                <w:iCs/>
                <w:color w:val="000000"/>
                <w:sz w:val="22"/>
                <w:szCs w:val="20"/>
                <w:vertAlign w:val="subscript"/>
                <w:lang w:val="es-CO" w:eastAsia="es-CO"/>
              </w:rPr>
              <w:t>j</w:t>
            </w:r>
            <w:r w:rsidRPr="00480E8C">
              <w:rPr>
                <w:rFonts w:cs="Calibri"/>
                <w:i/>
                <w:color w:val="000000"/>
                <w:sz w:val="22"/>
                <w:szCs w:val="20"/>
                <w:lang w:val="es-CO" w:eastAsia="es-CO"/>
              </w:rPr>
              <w:t>)</w:t>
            </w:r>
          </w:p>
        </w:tc>
        <w:tc>
          <w:tcPr>
            <w:tcW w:w="2447" w:type="dxa"/>
            <w:tcBorders>
              <w:top w:val="single" w:sz="4" w:space="0" w:color="auto"/>
              <w:left w:val="nil"/>
              <w:bottom w:val="single" w:sz="4" w:space="0" w:color="auto"/>
              <w:right w:val="single" w:sz="4" w:space="0" w:color="auto"/>
            </w:tcBorders>
            <w:shd w:val="clear" w:color="auto" w:fill="auto"/>
            <w:vAlign w:val="center"/>
            <w:hideMark/>
          </w:tcPr>
          <w:p w:rsidR="00480E8C" w:rsidRPr="00480E8C" w:rsidRDefault="005F5663" w:rsidP="00BD67E2">
            <w:pPr>
              <w:jc w:val="center"/>
              <w:rPr>
                <w:rFonts w:cs="Calibri"/>
                <w:i/>
                <w:color w:val="000000"/>
                <w:sz w:val="22"/>
                <w:szCs w:val="20"/>
                <w:lang w:val="es-CO" w:eastAsia="es-CO"/>
              </w:rPr>
            </w:pPr>
            <w:r w:rsidRPr="005F5663">
              <w:rPr>
                <w:rFonts w:cs="Calibri"/>
                <w:i/>
                <w:color w:val="000000"/>
                <w:sz w:val="22"/>
                <w:szCs w:val="20"/>
                <w:lang w:val="es-CO" w:eastAsia="es-CO"/>
              </w:rPr>
              <w:t>104.856.460.658</w:t>
            </w:r>
          </w:p>
        </w:tc>
        <w:tc>
          <w:tcPr>
            <w:tcW w:w="299" w:type="dxa"/>
            <w:tcBorders>
              <w:top w:val="nil"/>
              <w:left w:val="single" w:sz="4" w:space="0" w:color="auto"/>
            </w:tcBorders>
          </w:tcPr>
          <w:p w:rsidR="00480E8C" w:rsidRPr="00355E65" w:rsidRDefault="00480E8C" w:rsidP="003503FF">
            <w:pPr>
              <w:jc w:val="center"/>
              <w:rPr>
                <w:rFonts w:cs="Calibri"/>
                <w:i/>
                <w:color w:val="000000"/>
                <w:sz w:val="22"/>
                <w:szCs w:val="20"/>
                <w:lang w:val="es-CO" w:eastAsia="es-CO"/>
              </w:rPr>
            </w:pPr>
            <w:r w:rsidRPr="00355E65">
              <w:rPr>
                <w:rFonts w:cs="Calibri"/>
                <w:i/>
                <w:color w:val="FFFFFF" w:themeColor="background1"/>
                <w:sz w:val="22"/>
                <w:szCs w:val="20"/>
                <w:lang w:val="es-CO" w:eastAsia="es-CO"/>
              </w:rPr>
              <w:t>.</w:t>
            </w:r>
            <w:r w:rsidRPr="00355E65">
              <w:rPr>
                <w:rFonts w:cs="Calibri"/>
                <w:i/>
                <w:color w:val="000000"/>
                <w:sz w:val="22"/>
                <w:szCs w:val="20"/>
                <w:lang w:val="es-CO" w:eastAsia="es-CO"/>
              </w:rPr>
              <w:t>”</w:t>
            </w:r>
          </w:p>
        </w:tc>
      </w:tr>
    </w:tbl>
    <w:p w:rsidR="005F1034" w:rsidRDefault="005F1034" w:rsidP="005F1034">
      <w:pPr>
        <w:pStyle w:val="Artculo"/>
        <w:numPr>
          <w:ilvl w:val="0"/>
          <w:numId w:val="0"/>
        </w:numPr>
        <w:rPr>
          <w:b/>
        </w:rPr>
      </w:pPr>
    </w:p>
    <w:p w:rsidR="00480E8C" w:rsidRPr="0014458A" w:rsidRDefault="00480E8C" w:rsidP="003503FF">
      <w:pPr>
        <w:pStyle w:val="Artculo"/>
        <w:rPr>
          <w:b/>
        </w:rPr>
      </w:pPr>
      <w:r w:rsidRPr="0014458A">
        <w:rPr>
          <w:b/>
        </w:rPr>
        <w:t>Modificación del Artículo 2 de la Resolución CREG 107 de 2010.</w:t>
      </w:r>
      <w:r w:rsidRPr="0014458A">
        <w:t xml:space="preserve"> El Artículo </w:t>
      </w:r>
      <w:r w:rsidR="00355E65" w:rsidRPr="0014458A">
        <w:t>2</w:t>
      </w:r>
      <w:r w:rsidRPr="0014458A">
        <w:t xml:space="preserve"> de la Resolución CREG 107 de 2010 queda</w:t>
      </w:r>
      <w:r w:rsidR="00817FFE" w:rsidRPr="0014458A">
        <w:t>rá</w:t>
      </w:r>
      <w:r w:rsidRPr="0014458A">
        <w:t xml:space="preserve"> así:</w:t>
      </w:r>
    </w:p>
    <w:p w:rsidR="00480E8C" w:rsidRPr="0014458A" w:rsidRDefault="00480E8C" w:rsidP="00170917">
      <w:pPr>
        <w:pStyle w:val="Prrafodelista"/>
        <w:rPr>
          <w:rFonts w:cs="Arial"/>
          <w:b/>
          <w:bCs/>
          <w:sz w:val="24"/>
          <w:szCs w:val="24"/>
          <w:lang w:val="es-ES"/>
        </w:rPr>
      </w:pPr>
    </w:p>
    <w:p w:rsidR="00480E8C" w:rsidRPr="0014458A" w:rsidRDefault="00480E8C">
      <w:pPr>
        <w:ind w:left="426" w:right="335"/>
        <w:rPr>
          <w:i/>
        </w:rPr>
      </w:pPr>
      <w:r w:rsidRPr="0014458A">
        <w:rPr>
          <w:b/>
          <w:i/>
          <w:spacing w:val="-3"/>
        </w:rPr>
        <w:t xml:space="preserve">“Artículo </w:t>
      </w:r>
      <w:r w:rsidR="008376F4">
        <w:rPr>
          <w:b/>
          <w:i/>
          <w:spacing w:val="-3"/>
        </w:rPr>
        <w:t>2</w:t>
      </w:r>
      <w:r w:rsidRPr="0014458A">
        <w:rPr>
          <w:b/>
          <w:i/>
          <w:spacing w:val="-3"/>
        </w:rPr>
        <w:t>.</w:t>
      </w:r>
      <w:r w:rsidRPr="0014458A">
        <w:rPr>
          <w:b/>
          <w:i/>
          <w:spacing w:val="-3"/>
        </w:rPr>
        <w:tab/>
      </w:r>
      <w:r w:rsidR="00355E65" w:rsidRPr="0014458A">
        <w:rPr>
          <w:b/>
          <w:i/>
        </w:rPr>
        <w:t>Porcentaje de AOM de referencia.</w:t>
      </w:r>
      <w:r w:rsidR="00355E65" w:rsidRPr="0014458A">
        <w:rPr>
          <w:i/>
        </w:rPr>
        <w:t xml:space="preserve"> El Porcentaje de AOM de referencia (PAOM</w:t>
      </w:r>
      <w:r w:rsidR="00355E65" w:rsidRPr="0014458A">
        <w:rPr>
          <w:i/>
          <w:vertAlign w:val="subscript"/>
        </w:rPr>
        <w:t>j,ref</w:t>
      </w:r>
      <w:r w:rsidR="00355E65" w:rsidRPr="0014458A">
        <w:rPr>
          <w:i/>
        </w:rPr>
        <w:t>) para TRANSELCA S.A. E.S.P., calculado en la forma establecida en la Resolución CREG 011 de 2009, es igual a</w:t>
      </w:r>
      <w:r w:rsidRPr="0014458A">
        <w:rPr>
          <w:i/>
        </w:rPr>
        <w:t>:</w:t>
      </w:r>
    </w:p>
    <w:p w:rsidR="00355E65" w:rsidRDefault="00355E65"/>
    <w:p w:rsidR="005F1034" w:rsidRPr="0014458A" w:rsidRDefault="005F1034"/>
    <w:tbl>
      <w:tblPr>
        <w:tblW w:w="0" w:type="auto"/>
        <w:jc w:val="center"/>
        <w:tblInd w:w="5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12"/>
        <w:gridCol w:w="1508"/>
      </w:tblGrid>
      <w:tr w:rsidR="00355E65" w:rsidRPr="0014458A" w:rsidTr="008376F4">
        <w:trPr>
          <w:trHeight w:val="426"/>
          <w:tblHeader/>
          <w:jc w:val="center"/>
        </w:trPr>
        <w:tc>
          <w:tcPr>
            <w:tcW w:w="2912" w:type="dxa"/>
            <w:vAlign w:val="center"/>
          </w:tcPr>
          <w:p w:rsidR="00355E65" w:rsidRPr="0014458A" w:rsidRDefault="00355E65" w:rsidP="008376F4">
            <w:pPr>
              <w:keepNext/>
              <w:rPr>
                <w:rFonts w:cs="Arial"/>
                <w:b/>
                <w:i/>
                <w:spacing w:val="-3"/>
                <w:sz w:val="22"/>
              </w:rPr>
            </w:pPr>
            <w:r w:rsidRPr="0014458A">
              <w:rPr>
                <w:rFonts w:cs="Arial"/>
                <w:b/>
                <w:i/>
                <w:spacing w:val="-3"/>
                <w:sz w:val="22"/>
              </w:rPr>
              <w:t>Porcentaje de AOM</w:t>
            </w:r>
          </w:p>
        </w:tc>
        <w:tc>
          <w:tcPr>
            <w:tcW w:w="1508" w:type="dxa"/>
            <w:vAlign w:val="center"/>
          </w:tcPr>
          <w:p w:rsidR="00355E65" w:rsidRPr="0014458A" w:rsidRDefault="00355E65" w:rsidP="008376F4">
            <w:pPr>
              <w:keepNext/>
              <w:tabs>
                <w:tab w:val="center" w:pos="4680"/>
              </w:tabs>
              <w:jc w:val="center"/>
              <w:rPr>
                <w:rFonts w:cs="Arial"/>
                <w:b/>
                <w:i/>
                <w:spacing w:val="-3"/>
                <w:sz w:val="22"/>
              </w:rPr>
            </w:pPr>
            <w:r w:rsidRPr="0014458A">
              <w:rPr>
                <w:rFonts w:cs="Arial"/>
                <w:b/>
                <w:i/>
                <w:spacing w:val="-3"/>
                <w:sz w:val="22"/>
              </w:rPr>
              <w:t>(%)</w:t>
            </w:r>
          </w:p>
        </w:tc>
      </w:tr>
      <w:tr w:rsidR="00355E65" w:rsidRPr="0014458A" w:rsidTr="0014458A">
        <w:trPr>
          <w:trHeight w:val="426"/>
          <w:jc w:val="center"/>
        </w:trPr>
        <w:tc>
          <w:tcPr>
            <w:tcW w:w="2912" w:type="dxa"/>
            <w:vAlign w:val="center"/>
          </w:tcPr>
          <w:p w:rsidR="00355E65" w:rsidRPr="0014458A" w:rsidRDefault="00355E65" w:rsidP="001A102C">
            <w:pPr>
              <w:rPr>
                <w:rFonts w:cs="Arial"/>
                <w:i/>
                <w:spacing w:val="-3"/>
                <w:sz w:val="22"/>
              </w:rPr>
            </w:pPr>
            <w:r w:rsidRPr="0014458A">
              <w:rPr>
                <w:rFonts w:cs="Arial"/>
                <w:i/>
                <w:spacing w:val="-3"/>
                <w:sz w:val="22"/>
              </w:rPr>
              <w:t>De referencia</w:t>
            </w:r>
            <w:r w:rsidRPr="0014458A">
              <w:rPr>
                <w:rFonts w:cs="Arial"/>
                <w:i/>
                <w:sz w:val="22"/>
              </w:rPr>
              <w:t xml:space="preserve"> (PAOM</w:t>
            </w:r>
            <w:r w:rsidRPr="0014458A">
              <w:rPr>
                <w:rFonts w:cs="Arial"/>
                <w:i/>
                <w:sz w:val="22"/>
                <w:vertAlign w:val="subscript"/>
              </w:rPr>
              <w:t>j,ref</w:t>
            </w:r>
            <w:r w:rsidRPr="0014458A">
              <w:rPr>
                <w:rFonts w:cs="Arial"/>
                <w:i/>
                <w:sz w:val="22"/>
              </w:rPr>
              <w:t>)</w:t>
            </w:r>
          </w:p>
        </w:tc>
        <w:tc>
          <w:tcPr>
            <w:tcW w:w="1508" w:type="dxa"/>
            <w:vAlign w:val="center"/>
          </w:tcPr>
          <w:p w:rsidR="00355E65" w:rsidRPr="0014458A" w:rsidRDefault="005F5663" w:rsidP="00BD67E2">
            <w:pPr>
              <w:tabs>
                <w:tab w:val="center" w:pos="4680"/>
              </w:tabs>
              <w:jc w:val="center"/>
              <w:rPr>
                <w:rFonts w:cs="Arial"/>
                <w:i/>
                <w:spacing w:val="-3"/>
                <w:sz w:val="22"/>
              </w:rPr>
            </w:pPr>
            <w:r>
              <w:rPr>
                <w:rFonts w:cs="Arial"/>
                <w:i/>
                <w:spacing w:val="-3"/>
                <w:sz w:val="22"/>
              </w:rPr>
              <w:t>3,41</w:t>
            </w:r>
            <w:r w:rsidR="00355E65" w:rsidRPr="0014458A">
              <w:rPr>
                <w:rFonts w:cs="Arial"/>
                <w:i/>
                <w:spacing w:val="-3"/>
                <w:sz w:val="22"/>
              </w:rPr>
              <w:t>%</w:t>
            </w:r>
          </w:p>
        </w:tc>
      </w:tr>
    </w:tbl>
    <w:p w:rsidR="00355E65" w:rsidRDefault="00355E65" w:rsidP="001A102C">
      <w:pPr>
        <w:ind w:left="426"/>
        <w:rPr>
          <w:rFonts w:cs="Arial"/>
          <w:i/>
        </w:rPr>
      </w:pPr>
    </w:p>
    <w:p w:rsidR="005F1034" w:rsidRPr="00355E65" w:rsidRDefault="005F1034" w:rsidP="001A102C">
      <w:pPr>
        <w:ind w:left="426"/>
        <w:rPr>
          <w:rFonts w:cs="Arial"/>
          <w:i/>
        </w:rPr>
      </w:pPr>
    </w:p>
    <w:p w:rsidR="00355E65" w:rsidRPr="00355E65" w:rsidRDefault="00355E65" w:rsidP="003503FF">
      <w:pPr>
        <w:ind w:left="426"/>
        <w:rPr>
          <w:rFonts w:cs="Arial"/>
          <w:i/>
        </w:rPr>
      </w:pPr>
      <w:r w:rsidRPr="00355E65">
        <w:rPr>
          <w:rFonts w:cs="Arial"/>
          <w:b/>
          <w:i/>
        </w:rPr>
        <w:t xml:space="preserve">Parágrafo. </w:t>
      </w:r>
      <w:r w:rsidRPr="00355E65">
        <w:rPr>
          <w:rFonts w:cs="Arial"/>
          <w:i/>
        </w:rPr>
        <w:t>Antes de iniciar la aplicación de esta resolución, TRANSELCA S.A. E.S.P. deberá actualizar el porcentaje de AOM de acuerdo con lo previsto en la Resolución CREG 050 de 2010, teniendo en cuenta la información de AOM correspondiente al año 2009</w:t>
      </w:r>
      <w:r>
        <w:rPr>
          <w:rFonts w:cs="Arial"/>
          <w:i/>
        </w:rPr>
        <w:t xml:space="preserve"> y al año 2010</w:t>
      </w:r>
      <w:r w:rsidRPr="00355E65">
        <w:rPr>
          <w:rFonts w:cs="Arial"/>
          <w:i/>
        </w:rPr>
        <w:t>.</w:t>
      </w:r>
      <w:r w:rsidR="009A4E14">
        <w:rPr>
          <w:rFonts w:cs="Arial"/>
          <w:i/>
        </w:rPr>
        <w:t>”</w:t>
      </w:r>
    </w:p>
    <w:p w:rsidR="00817FFE" w:rsidRDefault="00817FFE" w:rsidP="00170917">
      <w:pPr>
        <w:jc w:val="center"/>
      </w:pPr>
    </w:p>
    <w:p w:rsidR="00817FFE" w:rsidRPr="0014458A" w:rsidRDefault="00817FFE">
      <w:pPr>
        <w:jc w:val="center"/>
        <w:rPr>
          <w:b/>
        </w:rPr>
      </w:pPr>
    </w:p>
    <w:p w:rsidR="00817FFE" w:rsidRPr="004F7234" w:rsidRDefault="00817FFE">
      <w:pPr>
        <w:pStyle w:val="Artculo"/>
        <w:rPr>
          <w:b/>
        </w:rPr>
      </w:pPr>
      <w:r w:rsidRPr="0014458A">
        <w:rPr>
          <w:b/>
        </w:rPr>
        <w:t>Modifica</w:t>
      </w:r>
      <w:r w:rsidR="0014458A">
        <w:rPr>
          <w:b/>
        </w:rPr>
        <w:t>ción de</w:t>
      </w:r>
      <w:r w:rsidRPr="0014458A">
        <w:rPr>
          <w:b/>
        </w:rPr>
        <w:t xml:space="preserve"> la base de activos</w:t>
      </w:r>
      <w:r w:rsidR="0014458A">
        <w:rPr>
          <w:b/>
        </w:rPr>
        <w:t>.</w:t>
      </w:r>
      <w:r w:rsidRPr="00817FFE">
        <w:t xml:space="preserve"> </w:t>
      </w:r>
      <w:r w:rsidR="0014458A">
        <w:t xml:space="preserve">El registro 38 de la base de activos </w:t>
      </w:r>
      <w:r w:rsidRPr="00817FFE">
        <w:t xml:space="preserve">de </w:t>
      </w:r>
      <w:r w:rsidR="0014458A">
        <w:t>TRANSELCA</w:t>
      </w:r>
      <w:r w:rsidR="0014458A" w:rsidRPr="00817FFE">
        <w:t xml:space="preserve"> </w:t>
      </w:r>
      <w:r w:rsidRPr="00817FFE">
        <w:t>S.A. E.S.P., aprobada en el artículo 3 de la Resolución CREG 10</w:t>
      </w:r>
      <w:r w:rsidR="0014458A">
        <w:t>7</w:t>
      </w:r>
      <w:r w:rsidRPr="00817FFE">
        <w:t xml:space="preserve"> de 2010, </w:t>
      </w:r>
      <w:r w:rsidR="0014458A">
        <w:t xml:space="preserve">relacionado con la </w:t>
      </w:r>
      <w:r w:rsidRPr="00817FFE">
        <w:t xml:space="preserve">unidad constructiva </w:t>
      </w:r>
      <w:r w:rsidR="0014458A">
        <w:t>SE219</w:t>
      </w:r>
      <w:r w:rsidRPr="00817FFE">
        <w:t xml:space="preserve"> ubicada en la subestación </w:t>
      </w:r>
      <w:r w:rsidR="0014458A">
        <w:t>Nueva Barranquilla</w:t>
      </w:r>
      <w:r w:rsidR="009A4E14">
        <w:t>,</w:t>
      </w:r>
      <w:r w:rsidR="0014458A">
        <w:t xml:space="preserve"> quedará así:</w:t>
      </w:r>
    </w:p>
    <w:p w:rsidR="0014458A" w:rsidRDefault="0014458A">
      <w:pPr>
        <w:pStyle w:val="Prrafodelista"/>
        <w:ind w:left="0"/>
        <w:rPr>
          <w:sz w:val="24"/>
        </w:rPr>
      </w:pPr>
    </w:p>
    <w:p w:rsidR="005F1034" w:rsidRPr="00B84711" w:rsidRDefault="005F1034">
      <w:pPr>
        <w:pStyle w:val="Prrafodelista"/>
        <w:ind w:left="0"/>
        <w:rPr>
          <w:sz w:val="24"/>
        </w:rPr>
      </w:pPr>
    </w:p>
    <w:tbl>
      <w:tblPr>
        <w:tblW w:w="4990" w:type="dxa"/>
        <w:jc w:val="center"/>
        <w:tblInd w:w="-396" w:type="dxa"/>
        <w:tblCellMar>
          <w:left w:w="68" w:type="dxa"/>
          <w:right w:w="70" w:type="dxa"/>
        </w:tblCellMar>
        <w:tblLook w:val="04A0" w:firstRow="1" w:lastRow="0" w:firstColumn="1" w:lastColumn="0" w:noHBand="0" w:noVBand="1"/>
      </w:tblPr>
      <w:tblGrid>
        <w:gridCol w:w="652"/>
        <w:gridCol w:w="2347"/>
        <w:gridCol w:w="908"/>
        <w:gridCol w:w="1083"/>
      </w:tblGrid>
      <w:tr w:rsidR="0014458A" w:rsidRPr="00B84711" w:rsidTr="0014458A">
        <w:trPr>
          <w:trHeight w:val="227"/>
          <w:tblHeader/>
          <w:jc w:val="center"/>
        </w:trPr>
        <w:tc>
          <w:tcPr>
            <w:tcW w:w="652" w:type="dxa"/>
            <w:tcBorders>
              <w:top w:val="single" w:sz="4" w:space="0" w:color="auto"/>
              <w:left w:val="single" w:sz="4" w:space="0" w:color="auto"/>
              <w:bottom w:val="single" w:sz="4" w:space="0" w:color="auto"/>
              <w:right w:val="single" w:sz="4" w:space="0" w:color="auto"/>
            </w:tcBorders>
            <w:vAlign w:val="center"/>
          </w:tcPr>
          <w:p w:rsidR="0014458A" w:rsidRPr="00B84711" w:rsidRDefault="0014458A">
            <w:pPr>
              <w:keepNext/>
              <w:jc w:val="center"/>
              <w:rPr>
                <w:rFonts w:cs="Arial"/>
                <w:b/>
                <w:bCs/>
                <w:i/>
                <w:color w:val="000000"/>
                <w:sz w:val="22"/>
                <w:szCs w:val="18"/>
              </w:rPr>
            </w:pPr>
            <w:r w:rsidRPr="00B84711">
              <w:rPr>
                <w:rFonts w:cs="Arial"/>
                <w:b/>
                <w:bCs/>
                <w:i/>
                <w:color w:val="000000"/>
                <w:sz w:val="22"/>
                <w:szCs w:val="18"/>
              </w:rPr>
              <w:t>No.</w:t>
            </w:r>
          </w:p>
        </w:tc>
        <w:tc>
          <w:tcPr>
            <w:tcW w:w="23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4458A" w:rsidRPr="00B84711" w:rsidRDefault="0014458A">
            <w:pPr>
              <w:keepNext/>
              <w:jc w:val="center"/>
              <w:rPr>
                <w:rFonts w:cs="Arial"/>
                <w:b/>
                <w:bCs/>
                <w:i/>
                <w:color w:val="000000"/>
                <w:sz w:val="22"/>
                <w:szCs w:val="18"/>
              </w:rPr>
            </w:pPr>
            <w:r w:rsidRPr="00B84711">
              <w:rPr>
                <w:rFonts w:cs="Arial"/>
                <w:b/>
                <w:bCs/>
                <w:i/>
                <w:color w:val="000000"/>
                <w:sz w:val="22"/>
                <w:szCs w:val="18"/>
              </w:rPr>
              <w:t>Subestación</w:t>
            </w:r>
          </w:p>
        </w:tc>
        <w:tc>
          <w:tcPr>
            <w:tcW w:w="908" w:type="dxa"/>
            <w:tcBorders>
              <w:top w:val="single" w:sz="4" w:space="0" w:color="auto"/>
              <w:left w:val="nil"/>
              <w:bottom w:val="single" w:sz="4" w:space="0" w:color="auto"/>
              <w:right w:val="single" w:sz="4" w:space="0" w:color="auto"/>
            </w:tcBorders>
            <w:shd w:val="clear" w:color="auto" w:fill="auto"/>
            <w:noWrap/>
            <w:vAlign w:val="center"/>
            <w:hideMark/>
          </w:tcPr>
          <w:p w:rsidR="0014458A" w:rsidRPr="00B84711" w:rsidRDefault="0014458A">
            <w:pPr>
              <w:keepNext/>
              <w:jc w:val="center"/>
              <w:rPr>
                <w:rFonts w:cs="Arial"/>
                <w:b/>
                <w:bCs/>
                <w:i/>
                <w:color w:val="000000"/>
                <w:sz w:val="22"/>
                <w:szCs w:val="18"/>
              </w:rPr>
            </w:pPr>
            <w:r w:rsidRPr="00B84711">
              <w:rPr>
                <w:rFonts w:cs="Arial"/>
                <w:b/>
                <w:bCs/>
                <w:i/>
                <w:color w:val="000000"/>
                <w:sz w:val="22"/>
                <w:szCs w:val="18"/>
              </w:rPr>
              <w:t>UC</w:t>
            </w:r>
          </w:p>
        </w:tc>
        <w:tc>
          <w:tcPr>
            <w:tcW w:w="1083" w:type="dxa"/>
            <w:tcBorders>
              <w:top w:val="single" w:sz="4" w:space="0" w:color="auto"/>
              <w:left w:val="nil"/>
              <w:bottom w:val="single" w:sz="4" w:space="0" w:color="auto"/>
              <w:right w:val="single" w:sz="4" w:space="0" w:color="auto"/>
            </w:tcBorders>
            <w:shd w:val="clear" w:color="auto" w:fill="auto"/>
            <w:noWrap/>
            <w:vAlign w:val="center"/>
            <w:hideMark/>
          </w:tcPr>
          <w:p w:rsidR="0014458A" w:rsidRPr="00B84711" w:rsidRDefault="0014458A">
            <w:pPr>
              <w:keepNext/>
              <w:jc w:val="center"/>
              <w:rPr>
                <w:rFonts w:cs="Arial"/>
                <w:b/>
                <w:bCs/>
                <w:i/>
                <w:color w:val="000000"/>
                <w:sz w:val="22"/>
                <w:szCs w:val="18"/>
              </w:rPr>
            </w:pPr>
            <w:r w:rsidRPr="00B84711">
              <w:rPr>
                <w:rFonts w:cs="Arial"/>
                <w:b/>
                <w:bCs/>
                <w:i/>
                <w:color w:val="000000"/>
                <w:sz w:val="22"/>
                <w:szCs w:val="18"/>
              </w:rPr>
              <w:t>PU</w:t>
            </w:r>
          </w:p>
        </w:tc>
      </w:tr>
      <w:tr w:rsidR="0014458A" w:rsidRPr="00B84711" w:rsidTr="0014458A">
        <w:trPr>
          <w:trHeight w:val="227"/>
          <w:jc w:val="center"/>
        </w:trPr>
        <w:tc>
          <w:tcPr>
            <w:tcW w:w="652" w:type="dxa"/>
            <w:tcBorders>
              <w:top w:val="nil"/>
              <w:left w:val="single" w:sz="4" w:space="0" w:color="auto"/>
              <w:bottom w:val="single" w:sz="4" w:space="0" w:color="auto"/>
              <w:right w:val="single" w:sz="4" w:space="0" w:color="auto"/>
            </w:tcBorders>
            <w:vAlign w:val="center"/>
          </w:tcPr>
          <w:p w:rsidR="0014458A" w:rsidRPr="00B84711" w:rsidRDefault="0014458A" w:rsidP="001A102C">
            <w:pPr>
              <w:ind w:right="-144"/>
              <w:jc w:val="center"/>
              <w:rPr>
                <w:rFonts w:cs="Arial"/>
                <w:i/>
                <w:color w:val="000000"/>
                <w:sz w:val="22"/>
                <w:szCs w:val="18"/>
              </w:rPr>
            </w:pPr>
            <w:r>
              <w:rPr>
                <w:rFonts w:cs="Arial"/>
                <w:i/>
                <w:color w:val="000000"/>
                <w:sz w:val="22"/>
                <w:szCs w:val="18"/>
              </w:rPr>
              <w:t>38</w:t>
            </w:r>
          </w:p>
        </w:tc>
        <w:tc>
          <w:tcPr>
            <w:tcW w:w="2347" w:type="dxa"/>
            <w:tcBorders>
              <w:top w:val="nil"/>
              <w:left w:val="single" w:sz="4" w:space="0" w:color="auto"/>
              <w:bottom w:val="single" w:sz="4" w:space="0" w:color="auto"/>
              <w:right w:val="single" w:sz="4" w:space="0" w:color="auto"/>
            </w:tcBorders>
            <w:shd w:val="clear" w:color="auto" w:fill="auto"/>
            <w:noWrap/>
            <w:vAlign w:val="center"/>
            <w:hideMark/>
          </w:tcPr>
          <w:p w:rsidR="0014458A" w:rsidRPr="00B84711" w:rsidRDefault="0014458A" w:rsidP="00BD67E2">
            <w:pPr>
              <w:ind w:left="21"/>
              <w:jc w:val="center"/>
              <w:rPr>
                <w:rFonts w:cs="Arial"/>
                <w:i/>
                <w:color w:val="000000"/>
                <w:sz w:val="22"/>
                <w:szCs w:val="18"/>
              </w:rPr>
            </w:pPr>
            <w:r>
              <w:rPr>
                <w:rFonts w:cs="Arial"/>
                <w:i/>
                <w:color w:val="000000"/>
                <w:sz w:val="22"/>
                <w:szCs w:val="18"/>
              </w:rPr>
              <w:t>Nueva Barranquilla</w:t>
            </w:r>
          </w:p>
        </w:tc>
        <w:tc>
          <w:tcPr>
            <w:tcW w:w="908" w:type="dxa"/>
            <w:tcBorders>
              <w:top w:val="nil"/>
              <w:left w:val="nil"/>
              <w:bottom w:val="single" w:sz="4" w:space="0" w:color="auto"/>
              <w:right w:val="single" w:sz="4" w:space="0" w:color="auto"/>
            </w:tcBorders>
            <w:shd w:val="clear" w:color="auto" w:fill="auto"/>
            <w:noWrap/>
            <w:vAlign w:val="center"/>
            <w:hideMark/>
          </w:tcPr>
          <w:p w:rsidR="0014458A" w:rsidRPr="00B84711" w:rsidRDefault="0014458A" w:rsidP="003503FF">
            <w:pPr>
              <w:ind w:left="52"/>
              <w:jc w:val="center"/>
              <w:rPr>
                <w:rFonts w:cs="Arial"/>
                <w:i/>
                <w:color w:val="000000"/>
                <w:sz w:val="22"/>
                <w:szCs w:val="18"/>
              </w:rPr>
            </w:pPr>
            <w:r>
              <w:rPr>
                <w:rFonts w:cs="Arial"/>
                <w:i/>
                <w:color w:val="000000"/>
                <w:sz w:val="22"/>
                <w:szCs w:val="18"/>
              </w:rPr>
              <w:t>SE219</w:t>
            </w:r>
          </w:p>
        </w:tc>
        <w:tc>
          <w:tcPr>
            <w:tcW w:w="1083" w:type="dxa"/>
            <w:tcBorders>
              <w:top w:val="nil"/>
              <w:left w:val="nil"/>
              <w:bottom w:val="single" w:sz="4" w:space="0" w:color="auto"/>
              <w:right w:val="single" w:sz="4" w:space="0" w:color="auto"/>
            </w:tcBorders>
            <w:shd w:val="clear" w:color="auto" w:fill="auto"/>
            <w:noWrap/>
            <w:vAlign w:val="center"/>
            <w:hideMark/>
          </w:tcPr>
          <w:p w:rsidR="0014458A" w:rsidRPr="00B84711" w:rsidRDefault="0014458A" w:rsidP="00170917">
            <w:pPr>
              <w:jc w:val="center"/>
              <w:rPr>
                <w:rFonts w:cs="Arial"/>
                <w:i/>
                <w:color w:val="000000"/>
                <w:sz w:val="22"/>
                <w:szCs w:val="18"/>
              </w:rPr>
            </w:pPr>
            <w:r w:rsidRPr="00B84711">
              <w:rPr>
                <w:rFonts w:cs="Arial"/>
                <w:i/>
                <w:color w:val="000000"/>
                <w:sz w:val="22"/>
                <w:szCs w:val="18"/>
              </w:rPr>
              <w:t>1,00000</w:t>
            </w:r>
          </w:p>
        </w:tc>
      </w:tr>
    </w:tbl>
    <w:p w:rsidR="0014458A" w:rsidRPr="00B84711" w:rsidRDefault="0014458A" w:rsidP="001A102C">
      <w:pPr>
        <w:pStyle w:val="Prrafodelista"/>
        <w:ind w:left="0"/>
        <w:rPr>
          <w:sz w:val="24"/>
        </w:rPr>
      </w:pPr>
    </w:p>
    <w:p w:rsidR="00BE1240" w:rsidRPr="004F7234" w:rsidRDefault="00BE1240" w:rsidP="003503FF">
      <w:pPr>
        <w:jc w:val="center"/>
      </w:pPr>
    </w:p>
    <w:p w:rsidR="00BE1240" w:rsidRPr="004F7234" w:rsidRDefault="00BE1240" w:rsidP="003503FF">
      <w:pPr>
        <w:pStyle w:val="Artculo"/>
        <w:rPr>
          <w:b/>
        </w:rPr>
      </w:pPr>
      <w:r w:rsidRPr="004F7234">
        <w:rPr>
          <w:b/>
        </w:rPr>
        <w:t xml:space="preserve">Modificación del Artículo </w:t>
      </w:r>
      <w:r>
        <w:rPr>
          <w:b/>
        </w:rPr>
        <w:t>4</w:t>
      </w:r>
      <w:r w:rsidRPr="004F7234">
        <w:rPr>
          <w:b/>
        </w:rPr>
        <w:t xml:space="preserve"> de la Resolución CREG 107 de 2010.</w:t>
      </w:r>
      <w:r w:rsidRPr="004F7234">
        <w:t xml:space="preserve"> El Artículo </w:t>
      </w:r>
      <w:r>
        <w:t>4</w:t>
      </w:r>
      <w:r w:rsidRPr="004F7234">
        <w:t xml:space="preserve"> de la Resolución CREG 107 de 2010 queda</w:t>
      </w:r>
      <w:r w:rsidR="00817FFE">
        <w:t>rá</w:t>
      </w:r>
      <w:r w:rsidRPr="004F7234">
        <w:t xml:space="preserve"> así:</w:t>
      </w:r>
    </w:p>
    <w:p w:rsidR="00817FFE" w:rsidRPr="00B84711" w:rsidRDefault="00817FFE" w:rsidP="00512893"/>
    <w:p w:rsidR="00817FFE" w:rsidRPr="00817FFE" w:rsidRDefault="00817FFE" w:rsidP="00170917">
      <w:pPr>
        <w:ind w:left="426" w:right="425"/>
        <w:rPr>
          <w:rFonts w:cs="Arial"/>
          <w:i/>
        </w:rPr>
      </w:pPr>
      <w:r w:rsidRPr="00817FFE">
        <w:rPr>
          <w:rFonts w:cs="Arial"/>
          <w:i/>
        </w:rPr>
        <w:t>“</w:t>
      </w:r>
      <w:r w:rsidRPr="00817FFE">
        <w:rPr>
          <w:rFonts w:cs="Arial"/>
          <w:b/>
          <w:i/>
        </w:rPr>
        <w:t>Artículo 4. Costo de Reposición de los Activos Eléctricos.</w:t>
      </w:r>
      <w:r w:rsidRPr="00817FFE">
        <w:rPr>
          <w:rFonts w:cs="Arial"/>
          <w:i/>
        </w:rPr>
        <w:t xml:space="preserve"> El costo </w:t>
      </w:r>
      <w:r w:rsidR="004F7800">
        <w:rPr>
          <w:rFonts w:cs="Arial"/>
          <w:i/>
        </w:rPr>
        <w:t xml:space="preserve">de </w:t>
      </w:r>
      <w:r w:rsidRPr="00817FFE">
        <w:rPr>
          <w:rFonts w:cs="Arial"/>
          <w:i/>
        </w:rPr>
        <w:t>reposición de los activos eléctricos (CRE</w:t>
      </w:r>
      <w:r w:rsidRPr="0014458A">
        <w:rPr>
          <w:rFonts w:cs="Arial"/>
          <w:i/>
          <w:vertAlign w:val="subscript"/>
        </w:rPr>
        <w:t>j</w:t>
      </w:r>
      <w:r w:rsidRPr="00817FFE">
        <w:rPr>
          <w:rFonts w:cs="Arial"/>
          <w:i/>
        </w:rPr>
        <w:t>) remunerados mediante cargos por uso a TRANSELCA S.A. E.S.P., calculado con la base de activos al que hace referencia el artículo 3 de la presente Resolución y de acuerdo con lo señalado en la Resolución CREG 011 de 2009 es:</w:t>
      </w:r>
    </w:p>
    <w:p w:rsidR="00817FFE" w:rsidRPr="00B84711" w:rsidRDefault="00817FFE"/>
    <w:tbl>
      <w:tblPr>
        <w:tblW w:w="0" w:type="auto"/>
        <w:jc w:val="center"/>
        <w:tblInd w:w="-10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64"/>
        <w:gridCol w:w="2534"/>
      </w:tblGrid>
      <w:tr w:rsidR="00817FFE" w:rsidRPr="00B84711" w:rsidTr="0014458A">
        <w:trPr>
          <w:trHeight w:val="346"/>
          <w:jc w:val="center"/>
        </w:trPr>
        <w:tc>
          <w:tcPr>
            <w:tcW w:w="5164" w:type="dxa"/>
            <w:vAlign w:val="center"/>
          </w:tcPr>
          <w:p w:rsidR="00817FFE" w:rsidRPr="00B84711" w:rsidRDefault="00817FFE">
            <w:pPr>
              <w:tabs>
                <w:tab w:val="center" w:pos="4680"/>
              </w:tabs>
              <w:jc w:val="center"/>
              <w:rPr>
                <w:rFonts w:cs="Arial"/>
                <w:b/>
                <w:i/>
                <w:spacing w:val="-3"/>
                <w:sz w:val="22"/>
                <w:szCs w:val="22"/>
              </w:rPr>
            </w:pPr>
            <w:r w:rsidRPr="00B84711">
              <w:rPr>
                <w:rFonts w:cs="Arial"/>
                <w:b/>
                <w:i/>
                <w:spacing w:val="-3"/>
                <w:sz w:val="22"/>
                <w:szCs w:val="22"/>
              </w:rPr>
              <w:t>Costo de Reposición</w:t>
            </w:r>
          </w:p>
        </w:tc>
        <w:tc>
          <w:tcPr>
            <w:tcW w:w="2534" w:type="dxa"/>
            <w:vAlign w:val="center"/>
          </w:tcPr>
          <w:p w:rsidR="00817FFE" w:rsidRPr="00B84711" w:rsidRDefault="00817FFE">
            <w:pPr>
              <w:tabs>
                <w:tab w:val="center" w:pos="4680"/>
              </w:tabs>
              <w:ind w:left="42"/>
              <w:jc w:val="center"/>
              <w:rPr>
                <w:rFonts w:cs="Arial"/>
                <w:b/>
                <w:i/>
                <w:spacing w:val="-3"/>
                <w:sz w:val="22"/>
                <w:szCs w:val="22"/>
              </w:rPr>
            </w:pPr>
            <w:r w:rsidRPr="00B84711">
              <w:rPr>
                <w:rFonts w:cs="Arial"/>
                <w:b/>
                <w:i/>
                <w:spacing w:val="-3"/>
                <w:sz w:val="22"/>
                <w:szCs w:val="22"/>
              </w:rPr>
              <w:t>Pesos de</w:t>
            </w:r>
            <w:r w:rsidR="0014458A">
              <w:rPr>
                <w:rFonts w:cs="Arial"/>
                <w:b/>
                <w:i/>
                <w:spacing w:val="-3"/>
                <w:sz w:val="22"/>
                <w:szCs w:val="22"/>
              </w:rPr>
              <w:t xml:space="preserve"> </w:t>
            </w:r>
            <w:r w:rsidRPr="00B84711">
              <w:rPr>
                <w:rFonts w:cs="Arial"/>
                <w:b/>
                <w:i/>
                <w:spacing w:val="-3"/>
                <w:sz w:val="22"/>
                <w:szCs w:val="22"/>
              </w:rPr>
              <w:t>diciembre de 2008</w:t>
            </w:r>
          </w:p>
        </w:tc>
      </w:tr>
      <w:tr w:rsidR="00817FFE" w:rsidRPr="00B84711" w:rsidTr="0014458A">
        <w:trPr>
          <w:trHeight w:val="346"/>
          <w:jc w:val="center"/>
        </w:trPr>
        <w:tc>
          <w:tcPr>
            <w:tcW w:w="5164" w:type="dxa"/>
            <w:vAlign w:val="center"/>
          </w:tcPr>
          <w:p w:rsidR="00817FFE" w:rsidRPr="00B84711" w:rsidRDefault="00817FFE" w:rsidP="001A102C">
            <w:pPr>
              <w:tabs>
                <w:tab w:val="center" w:pos="4680"/>
              </w:tabs>
              <w:rPr>
                <w:rFonts w:cs="Arial"/>
                <w:i/>
                <w:spacing w:val="-3"/>
                <w:sz w:val="22"/>
                <w:szCs w:val="22"/>
              </w:rPr>
            </w:pPr>
            <w:r w:rsidRPr="00B84711">
              <w:rPr>
                <w:rFonts w:cs="Arial"/>
                <w:i/>
                <w:spacing w:val="-3"/>
                <w:sz w:val="22"/>
                <w:szCs w:val="22"/>
              </w:rPr>
              <w:t>Costo de reposición de activos eléctricos</w:t>
            </w:r>
            <w:r w:rsidRPr="00B84711">
              <w:rPr>
                <w:rFonts w:cs="Arial"/>
                <w:i/>
                <w:sz w:val="22"/>
                <w:szCs w:val="22"/>
              </w:rPr>
              <w:t xml:space="preserve"> (CRE</w:t>
            </w:r>
            <w:r w:rsidRPr="00B84711">
              <w:rPr>
                <w:rFonts w:cs="Arial"/>
                <w:i/>
                <w:sz w:val="22"/>
                <w:szCs w:val="22"/>
                <w:vertAlign w:val="subscript"/>
              </w:rPr>
              <w:t>j</w:t>
            </w:r>
            <w:r w:rsidRPr="00B84711">
              <w:rPr>
                <w:rFonts w:cs="Arial"/>
                <w:i/>
                <w:sz w:val="22"/>
                <w:szCs w:val="22"/>
              </w:rPr>
              <w:t>)</w:t>
            </w:r>
          </w:p>
        </w:tc>
        <w:tc>
          <w:tcPr>
            <w:tcW w:w="2534" w:type="dxa"/>
            <w:vAlign w:val="center"/>
          </w:tcPr>
          <w:p w:rsidR="00817FFE" w:rsidRPr="00B84711" w:rsidRDefault="005F5663" w:rsidP="00BD67E2">
            <w:pPr>
              <w:tabs>
                <w:tab w:val="center" w:pos="4680"/>
              </w:tabs>
              <w:jc w:val="center"/>
              <w:rPr>
                <w:rFonts w:cs="Arial"/>
                <w:i/>
                <w:spacing w:val="-3"/>
                <w:sz w:val="22"/>
                <w:szCs w:val="22"/>
              </w:rPr>
            </w:pPr>
            <w:r w:rsidRPr="005F5663">
              <w:rPr>
                <w:rFonts w:cs="Arial"/>
                <w:i/>
                <w:spacing w:val="-3"/>
                <w:sz w:val="22"/>
                <w:szCs w:val="22"/>
              </w:rPr>
              <w:t>643.342.911.018</w:t>
            </w:r>
          </w:p>
        </w:tc>
      </w:tr>
    </w:tbl>
    <w:p w:rsidR="00817FFE" w:rsidRPr="00B84711" w:rsidRDefault="00817FFE" w:rsidP="001A102C">
      <w:pPr>
        <w:ind w:left="426" w:right="425"/>
        <w:rPr>
          <w:rFonts w:cs="Arial"/>
          <w:i/>
          <w:sz w:val="22"/>
          <w:szCs w:val="22"/>
        </w:rPr>
      </w:pPr>
    </w:p>
    <w:p w:rsidR="00817FFE" w:rsidRPr="00B84711" w:rsidRDefault="00817FFE" w:rsidP="00E12258">
      <w:pPr>
        <w:ind w:left="426" w:right="425"/>
        <w:rPr>
          <w:rFonts w:cs="Arial"/>
          <w:i/>
        </w:rPr>
      </w:pPr>
      <w:bookmarkStart w:id="6" w:name="_Ref188082874"/>
      <w:r w:rsidRPr="00B84711">
        <w:rPr>
          <w:rFonts w:cs="Arial"/>
          <w:i/>
        </w:rPr>
        <w:t>La base de activos y los valores aquí aprobados resultan de las variables y de la información que se identifican en la parte motiva de este acto y de las contenidas en el documento soporte.</w:t>
      </w:r>
      <w:bookmarkEnd w:id="6"/>
      <w:r w:rsidRPr="00B84711">
        <w:rPr>
          <w:rFonts w:cs="Arial"/>
          <w:i/>
        </w:rPr>
        <w:t>”</w:t>
      </w:r>
    </w:p>
    <w:p w:rsidR="00817FFE" w:rsidRPr="005F1034" w:rsidRDefault="00817FFE" w:rsidP="003503FF">
      <w:pPr>
        <w:rPr>
          <w:rFonts w:cs="Arial"/>
          <w:sz w:val="36"/>
        </w:rPr>
      </w:pPr>
    </w:p>
    <w:p w:rsidR="00E07B45" w:rsidRPr="004F7234" w:rsidRDefault="00E07B45">
      <w:pPr>
        <w:pStyle w:val="Artculo"/>
      </w:pPr>
      <w:r w:rsidRPr="004F7234">
        <w:t>No acceder a las demás solicitudes del recurso.</w:t>
      </w:r>
    </w:p>
    <w:p w:rsidR="00E07B45" w:rsidRDefault="00E07B45">
      <w:pPr>
        <w:tabs>
          <w:tab w:val="left" w:pos="1560"/>
        </w:tabs>
        <w:rPr>
          <w:rFonts w:cs="Arial"/>
          <w:bCs/>
        </w:rPr>
      </w:pPr>
    </w:p>
    <w:p w:rsidR="005F1034" w:rsidRDefault="005F1034">
      <w:pPr>
        <w:tabs>
          <w:tab w:val="left" w:pos="1560"/>
        </w:tabs>
        <w:rPr>
          <w:rFonts w:cs="Arial"/>
          <w:bCs/>
        </w:rPr>
      </w:pPr>
    </w:p>
    <w:p w:rsidR="005F1034" w:rsidRDefault="005F1034">
      <w:pPr>
        <w:tabs>
          <w:tab w:val="left" w:pos="1560"/>
        </w:tabs>
        <w:rPr>
          <w:rFonts w:cs="Arial"/>
          <w:bCs/>
        </w:rPr>
      </w:pPr>
    </w:p>
    <w:p w:rsidR="00E07B45" w:rsidRPr="004F7234" w:rsidRDefault="00E07B45">
      <w:pPr>
        <w:pStyle w:val="Artculo"/>
      </w:pPr>
      <w:r w:rsidRPr="004F7234">
        <w:t xml:space="preserve">La presente Resolución deberá notificarse a </w:t>
      </w:r>
      <w:r>
        <w:t>Transelca S.A.</w:t>
      </w:r>
      <w:r w:rsidRPr="004F7234">
        <w:t xml:space="preserve"> E.S.P. </w:t>
      </w:r>
      <w:r w:rsidRPr="00147383">
        <w:t>y publicarse en el Diario Oficial</w:t>
      </w:r>
      <w:r>
        <w:t>.</w:t>
      </w:r>
      <w:r w:rsidRPr="00147383">
        <w:t xml:space="preserve"> </w:t>
      </w:r>
      <w:r w:rsidRPr="004F7234">
        <w:t xml:space="preserve">Contra </w:t>
      </w:r>
      <w:r>
        <w:t xml:space="preserve">lo dispuesto en </w:t>
      </w:r>
      <w:r w:rsidRPr="004F7234">
        <w:t>la presente resolución no procede recurso alguno</w:t>
      </w:r>
      <w:r>
        <w:t xml:space="preserve"> </w:t>
      </w:r>
      <w:r w:rsidRPr="00147383">
        <w:t>en la vía gubernativa</w:t>
      </w:r>
      <w:r w:rsidRPr="004F7234">
        <w:t>.</w:t>
      </w:r>
    </w:p>
    <w:p w:rsidR="00E07B45" w:rsidRPr="0014458A" w:rsidRDefault="00E07B45">
      <w:pPr>
        <w:rPr>
          <w:rFonts w:cs="Arial"/>
        </w:rPr>
      </w:pPr>
    </w:p>
    <w:p w:rsidR="00E07B45" w:rsidRPr="0014458A" w:rsidRDefault="00E07B45">
      <w:pPr>
        <w:rPr>
          <w:rFonts w:cs="Arial"/>
        </w:rPr>
      </w:pPr>
    </w:p>
    <w:p w:rsidR="00E07B45" w:rsidRPr="004F7234" w:rsidRDefault="00E07B45">
      <w:pPr>
        <w:tabs>
          <w:tab w:val="left" w:pos="-720"/>
        </w:tabs>
        <w:suppressAutoHyphens/>
        <w:jc w:val="center"/>
        <w:rPr>
          <w:rFonts w:cs="Arial"/>
          <w:spacing w:val="-3"/>
        </w:rPr>
      </w:pPr>
      <w:r w:rsidRPr="004F7234">
        <w:rPr>
          <w:rFonts w:cs="Arial"/>
          <w:b/>
          <w:spacing w:val="-3"/>
        </w:rPr>
        <w:t>NOTIFÍQUESE, PUBLÍQUESE Y CÚMPLASE</w:t>
      </w:r>
    </w:p>
    <w:p w:rsidR="00E07B45" w:rsidRDefault="00E07B45">
      <w:pPr>
        <w:rPr>
          <w:rFonts w:cs="Arial"/>
        </w:rPr>
      </w:pPr>
    </w:p>
    <w:p w:rsidR="00E07B45" w:rsidRPr="004F7234" w:rsidRDefault="00E07B45">
      <w:pPr>
        <w:rPr>
          <w:rFonts w:cs="Arial"/>
        </w:rPr>
      </w:pPr>
    </w:p>
    <w:p w:rsidR="00E07B45" w:rsidRPr="004F7234" w:rsidRDefault="00E07B45">
      <w:pPr>
        <w:rPr>
          <w:rFonts w:cs="Arial"/>
          <w:spacing w:val="-3"/>
        </w:rPr>
      </w:pPr>
      <w:r w:rsidRPr="004F7234">
        <w:rPr>
          <w:rFonts w:cs="Arial"/>
        </w:rPr>
        <w:t xml:space="preserve">Dada en Bogotá, D.C., </w:t>
      </w:r>
    </w:p>
    <w:p w:rsidR="00E07B45" w:rsidRPr="004F7234" w:rsidRDefault="00E07B45">
      <w:pPr>
        <w:rPr>
          <w:rFonts w:cs="Arial"/>
          <w:spacing w:val="-3"/>
        </w:rPr>
      </w:pPr>
    </w:p>
    <w:p w:rsidR="00E07B45" w:rsidRPr="004F7234" w:rsidRDefault="00E07B45">
      <w:pPr>
        <w:rPr>
          <w:rFonts w:cs="Arial"/>
          <w:spacing w:val="-3"/>
        </w:rPr>
      </w:pPr>
    </w:p>
    <w:p w:rsidR="00E07B45" w:rsidRPr="004F7234" w:rsidRDefault="00E07B45">
      <w:pPr>
        <w:rPr>
          <w:rFonts w:cs="Arial"/>
          <w:spacing w:val="-3"/>
        </w:rPr>
      </w:pPr>
    </w:p>
    <w:p w:rsidR="00E07B45" w:rsidRPr="004F7234" w:rsidRDefault="00E07B45">
      <w:pPr>
        <w:rPr>
          <w:rFonts w:cs="Arial"/>
          <w:spacing w:val="-3"/>
        </w:rPr>
      </w:pPr>
    </w:p>
    <w:p w:rsidR="00E07B45" w:rsidRPr="004F7234" w:rsidRDefault="00E07B45">
      <w:pPr>
        <w:rPr>
          <w:rFonts w:cs="Arial"/>
          <w:spacing w:val="-3"/>
        </w:rPr>
      </w:pPr>
    </w:p>
    <w:tbl>
      <w:tblPr>
        <w:tblW w:w="0" w:type="auto"/>
        <w:jc w:val="center"/>
        <w:tblInd w:w="-293" w:type="dxa"/>
        <w:tblLayout w:type="fixed"/>
        <w:tblCellMar>
          <w:left w:w="70" w:type="dxa"/>
          <w:right w:w="70" w:type="dxa"/>
        </w:tblCellMar>
        <w:tblLook w:val="0000" w:firstRow="0" w:lastRow="0" w:firstColumn="0" w:lastColumn="0" w:noHBand="0" w:noVBand="0"/>
      </w:tblPr>
      <w:tblGrid>
        <w:gridCol w:w="4820"/>
        <w:gridCol w:w="4374"/>
      </w:tblGrid>
      <w:tr w:rsidR="00E07B45" w:rsidRPr="004F7234" w:rsidTr="0043283B">
        <w:trPr>
          <w:trHeight w:val="329"/>
          <w:jc w:val="center"/>
        </w:trPr>
        <w:tc>
          <w:tcPr>
            <w:tcW w:w="4820" w:type="dxa"/>
            <w:vAlign w:val="center"/>
          </w:tcPr>
          <w:p w:rsidR="00E07B45" w:rsidRPr="004F7234" w:rsidRDefault="00E07B45">
            <w:pPr>
              <w:tabs>
                <w:tab w:val="left" w:pos="-720"/>
              </w:tabs>
              <w:suppressAutoHyphens/>
              <w:jc w:val="center"/>
              <w:rPr>
                <w:rFonts w:cs="Arial"/>
                <w:b/>
                <w:spacing w:val="-3"/>
              </w:rPr>
            </w:pPr>
            <w:r w:rsidRPr="00DE53B8">
              <w:rPr>
                <w:rFonts w:cs="Arial"/>
                <w:b/>
                <w:bCs/>
                <w:szCs w:val="22"/>
              </w:rPr>
              <w:t>TOMÁS GONZÁLEZ ESTRADA</w:t>
            </w:r>
          </w:p>
        </w:tc>
        <w:tc>
          <w:tcPr>
            <w:tcW w:w="4374" w:type="dxa"/>
            <w:vAlign w:val="center"/>
          </w:tcPr>
          <w:p w:rsidR="00E07B45" w:rsidRPr="004F7234" w:rsidRDefault="00E07B45">
            <w:pPr>
              <w:tabs>
                <w:tab w:val="left" w:pos="-720"/>
              </w:tabs>
              <w:suppressAutoHyphens/>
              <w:jc w:val="center"/>
              <w:rPr>
                <w:rFonts w:cs="Arial"/>
                <w:b/>
                <w:spacing w:val="-3"/>
              </w:rPr>
            </w:pPr>
            <w:r w:rsidRPr="004F7234">
              <w:rPr>
                <w:rFonts w:cs="Arial"/>
                <w:b/>
                <w:spacing w:val="-3"/>
              </w:rPr>
              <w:t>JAVIER AUGUSTO DÍAZ V</w:t>
            </w:r>
            <w:r>
              <w:rPr>
                <w:rFonts w:cs="Arial"/>
                <w:b/>
                <w:spacing w:val="-3"/>
              </w:rPr>
              <w:t>ELASCO</w:t>
            </w:r>
          </w:p>
        </w:tc>
      </w:tr>
      <w:tr w:rsidR="00E07B45" w:rsidRPr="004F7234" w:rsidTr="0043283B">
        <w:trPr>
          <w:trHeight w:val="329"/>
          <w:jc w:val="center"/>
        </w:trPr>
        <w:tc>
          <w:tcPr>
            <w:tcW w:w="4820" w:type="dxa"/>
            <w:vAlign w:val="center"/>
          </w:tcPr>
          <w:p w:rsidR="00E07B45" w:rsidRPr="004F7234" w:rsidRDefault="00E07B45" w:rsidP="001A102C">
            <w:pPr>
              <w:tabs>
                <w:tab w:val="left" w:pos="-720"/>
              </w:tabs>
              <w:suppressAutoHyphens/>
              <w:jc w:val="center"/>
              <w:rPr>
                <w:rFonts w:cs="Arial"/>
                <w:spacing w:val="-3"/>
              </w:rPr>
            </w:pPr>
            <w:r w:rsidRPr="004F7234">
              <w:rPr>
                <w:rFonts w:cs="Arial"/>
                <w:spacing w:val="-3"/>
              </w:rPr>
              <w:t>Viceministr</w:t>
            </w:r>
            <w:r>
              <w:rPr>
                <w:rFonts w:cs="Arial"/>
                <w:spacing w:val="-3"/>
              </w:rPr>
              <w:t>o</w:t>
            </w:r>
            <w:r w:rsidRPr="004F7234">
              <w:rPr>
                <w:rFonts w:cs="Arial"/>
                <w:spacing w:val="-3"/>
              </w:rPr>
              <w:t xml:space="preserve"> de Minas y Energía</w:t>
            </w:r>
          </w:p>
        </w:tc>
        <w:tc>
          <w:tcPr>
            <w:tcW w:w="4374" w:type="dxa"/>
            <w:vAlign w:val="center"/>
          </w:tcPr>
          <w:p w:rsidR="00E07B45" w:rsidRPr="004F7234" w:rsidRDefault="00E07B45" w:rsidP="00BD67E2">
            <w:pPr>
              <w:tabs>
                <w:tab w:val="left" w:pos="-720"/>
              </w:tabs>
              <w:suppressAutoHyphens/>
              <w:jc w:val="center"/>
              <w:rPr>
                <w:rFonts w:cs="Arial"/>
                <w:spacing w:val="-3"/>
              </w:rPr>
            </w:pPr>
            <w:r w:rsidRPr="004F7234">
              <w:rPr>
                <w:rFonts w:cs="Arial"/>
                <w:spacing w:val="-3"/>
              </w:rPr>
              <w:t>Director Ejecutivo</w:t>
            </w:r>
          </w:p>
        </w:tc>
      </w:tr>
      <w:tr w:rsidR="00E07B45" w:rsidRPr="004F7234" w:rsidTr="0043283B">
        <w:trPr>
          <w:trHeight w:val="329"/>
          <w:jc w:val="center"/>
        </w:trPr>
        <w:tc>
          <w:tcPr>
            <w:tcW w:w="4820" w:type="dxa"/>
            <w:vAlign w:val="center"/>
          </w:tcPr>
          <w:p w:rsidR="00E07B45" w:rsidRPr="004F7234" w:rsidRDefault="00E07B45" w:rsidP="001A102C">
            <w:pPr>
              <w:tabs>
                <w:tab w:val="left" w:pos="-720"/>
              </w:tabs>
              <w:suppressAutoHyphens/>
              <w:jc w:val="center"/>
              <w:rPr>
                <w:rFonts w:cs="Arial"/>
                <w:spacing w:val="-3"/>
                <w:sz w:val="22"/>
              </w:rPr>
            </w:pPr>
            <w:r w:rsidRPr="004F7234">
              <w:rPr>
                <w:rFonts w:cs="Arial"/>
                <w:spacing w:val="-3"/>
                <w:sz w:val="22"/>
              </w:rPr>
              <w:t>Delegad</w:t>
            </w:r>
            <w:r>
              <w:rPr>
                <w:rFonts w:cs="Arial"/>
                <w:spacing w:val="-3"/>
                <w:sz w:val="22"/>
              </w:rPr>
              <w:t>o</w:t>
            </w:r>
            <w:r w:rsidRPr="004F7234">
              <w:rPr>
                <w:rFonts w:cs="Arial"/>
                <w:spacing w:val="-3"/>
                <w:sz w:val="22"/>
              </w:rPr>
              <w:t xml:space="preserve"> del Ministro de Minas y Energía</w:t>
            </w:r>
          </w:p>
          <w:p w:rsidR="00E07B45" w:rsidRPr="004F7234" w:rsidRDefault="00E07B45" w:rsidP="00BD67E2">
            <w:pPr>
              <w:tabs>
                <w:tab w:val="left" w:pos="-720"/>
              </w:tabs>
              <w:suppressAutoHyphens/>
              <w:jc w:val="center"/>
              <w:rPr>
                <w:rFonts w:cs="Arial"/>
                <w:spacing w:val="-3"/>
              </w:rPr>
            </w:pPr>
            <w:r w:rsidRPr="004F7234">
              <w:rPr>
                <w:rFonts w:cs="Arial"/>
                <w:spacing w:val="-3"/>
              </w:rPr>
              <w:t>Presidente</w:t>
            </w:r>
          </w:p>
        </w:tc>
        <w:tc>
          <w:tcPr>
            <w:tcW w:w="4374" w:type="dxa"/>
            <w:vAlign w:val="center"/>
          </w:tcPr>
          <w:p w:rsidR="00E07B45" w:rsidRPr="004F7234" w:rsidRDefault="00E07B45" w:rsidP="003503FF">
            <w:pPr>
              <w:tabs>
                <w:tab w:val="left" w:pos="-720"/>
              </w:tabs>
              <w:suppressAutoHyphens/>
              <w:jc w:val="center"/>
              <w:rPr>
                <w:rFonts w:cs="Arial"/>
                <w:b/>
                <w:spacing w:val="-3"/>
              </w:rPr>
            </w:pPr>
          </w:p>
        </w:tc>
      </w:tr>
    </w:tbl>
    <w:p w:rsidR="00E07B45" w:rsidRDefault="00E07B45" w:rsidP="001A102C">
      <w:pPr>
        <w:jc w:val="left"/>
      </w:pPr>
    </w:p>
    <w:p w:rsidR="0080129A" w:rsidRPr="004F7234" w:rsidRDefault="0080129A" w:rsidP="003503FF">
      <w:pPr>
        <w:tabs>
          <w:tab w:val="left" w:pos="1560"/>
        </w:tabs>
      </w:pPr>
    </w:p>
    <w:sectPr w:rsidR="0080129A" w:rsidRPr="004F7234"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76F4" w:rsidRDefault="008376F4">
      <w:r>
        <w:separator/>
      </w:r>
    </w:p>
  </w:endnote>
  <w:endnote w:type="continuationSeparator" w:id="0">
    <w:p w:rsidR="008376F4" w:rsidRDefault="008376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DejaVu Sans">
    <w:altName w:val="Times New Roman"/>
    <w:charset w:val="00"/>
    <w:family w:val="auto"/>
    <w:pitch w:val="variable"/>
  </w:font>
  <w:font w:name="Arial Black">
    <w:panose1 w:val="020B0A04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76F4" w:rsidRDefault="008376F4">
      <w:r>
        <w:separator/>
      </w:r>
    </w:p>
  </w:footnote>
  <w:footnote w:type="continuationSeparator" w:id="0">
    <w:p w:rsidR="008376F4" w:rsidRDefault="008376F4">
      <w:r>
        <w:continuationSeparator/>
      </w:r>
    </w:p>
  </w:footnote>
  <w:footnote w:id="1">
    <w:p w:rsidR="008376F4" w:rsidRPr="003503FF" w:rsidRDefault="008376F4">
      <w:pPr>
        <w:pStyle w:val="Textonotapie"/>
        <w:rPr>
          <w:rFonts w:ascii="Bookman Old Style" w:hAnsi="Bookman Old Style"/>
        </w:rPr>
      </w:pPr>
      <w:r w:rsidRPr="003503FF">
        <w:rPr>
          <w:rStyle w:val="Refdenotaalpie"/>
          <w:rFonts w:ascii="Bookman Old Style" w:hAnsi="Bookman Old Style"/>
        </w:rPr>
        <w:footnoteRef/>
      </w:r>
      <w:r w:rsidRPr="003503FF">
        <w:rPr>
          <w:rFonts w:ascii="Bookman Old Style" w:hAnsi="Bookman Old Style"/>
        </w:rPr>
        <w:t xml:space="preserve"> </w:t>
      </w:r>
      <w:r w:rsidRPr="003503FF">
        <w:rPr>
          <w:rFonts w:ascii="Bookman Old Style" w:hAnsi="Bookman Old Style"/>
          <w:sz w:val="18"/>
          <w:szCs w:val="18"/>
        </w:rPr>
        <w:t xml:space="preserve">Consejo de Estado, Sección primera, Sentencia del 17 de febrero de 2000. Exp. 5501. M.P. Dr. Manuel S. Urueta Uyola. Ver también Consejo de Estado, Sección Tercera, Sentencia del 9 de octubre de 2003. Exp. 16718. M.P. Dr. Germán Rodríguez Villamizar </w:t>
      </w:r>
      <w:r w:rsidRPr="003503FF">
        <w:rPr>
          <w:rFonts w:ascii="Bookman Old Style" w:hAnsi="Bookman Old Style"/>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6F4" w:rsidRDefault="008376F4" w:rsidP="0020511E"/>
  <w:p w:rsidR="008376F4" w:rsidRPr="00951F79" w:rsidRDefault="008376F4" w:rsidP="0020511E">
    <w:r w:rsidRPr="00654384">
      <w:t>RESOLUCIÓN No.</w:t>
    </w:r>
    <w:r>
      <w:t xml:space="preserve">  ________________</w:t>
    </w:r>
    <w:r w:rsidRPr="00654384">
      <w:tab/>
    </w:r>
    <w:r>
      <w:t>DE ________________</w:t>
    </w:r>
    <w:r>
      <w:tab/>
    </w:r>
    <w:r w:rsidRPr="00654384">
      <w:t xml:space="preserve">HOJA No. </w:t>
    </w:r>
    <w:r>
      <w:fldChar w:fldCharType="begin"/>
    </w:r>
    <w:r>
      <w:instrText xml:space="preserve"> PAGE   \* MERGEFORMAT </w:instrText>
    </w:r>
    <w:r>
      <w:fldChar w:fldCharType="separate"/>
    </w:r>
    <w:r w:rsidR="000905EA">
      <w:rPr>
        <w:noProof/>
      </w:rPr>
      <w:t>27</w:t>
    </w:r>
    <w:r>
      <w:rPr>
        <w:noProof/>
      </w:rPr>
      <w:fldChar w:fldCharType="end"/>
    </w:r>
    <w:r w:rsidRPr="00654384">
      <w:t>/</w:t>
    </w:r>
    <w:fldSimple w:instr=" NUMPAGES  \* MERGEFORMAT ">
      <w:r w:rsidR="000905EA">
        <w:rPr>
          <w:noProof/>
        </w:rPr>
        <w:t>27</w:t>
      </w:r>
    </w:fldSimple>
  </w:p>
  <w:p w:rsidR="008376F4" w:rsidRDefault="000905EA" w:rsidP="00AD01E4">
    <w:pPr>
      <w:ind w:left="142" w:right="148"/>
      <w:rPr>
        <w:rFonts w:cs="Arial"/>
      </w:rPr>
    </w:pPr>
    <w:r>
      <w:rPr>
        <w:noProof/>
        <w:lang w:val="es-CO" w:eastAsia="es-CO"/>
      </w:rPr>
      <mc:AlternateContent>
        <mc:Choice Requires="wps">
          <w:drawing>
            <wp:anchor distT="0" distB="0" distL="114300" distR="114300" simplePos="0" relativeHeight="251657216" behindDoc="0" locked="0" layoutInCell="1" allowOverlap="1">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8376F4" w:rsidRPr="001A605E" w:rsidRDefault="008376F4" w:rsidP="00934E08">
    <w:pPr>
      <w:tabs>
        <w:tab w:val="left" w:pos="-851"/>
        <w:tab w:val="left" w:pos="-720"/>
        <w:tab w:val="left" w:pos="-567"/>
      </w:tabs>
      <w:rPr>
        <w:rFonts w:cs="Arial"/>
        <w:spacing w:val="-3"/>
        <w:sz w:val="22"/>
        <w:szCs w:val="22"/>
      </w:rPr>
    </w:pPr>
    <w:r w:rsidRPr="000E1E62">
      <w:rPr>
        <w:rFonts w:cs="Arial"/>
        <w:spacing w:val="-3"/>
        <w:sz w:val="22"/>
        <w:szCs w:val="22"/>
      </w:rPr>
      <w:t>Por la cual se resuelve el recurso de reposición interpuesto por Transelca S.A. E.S.P. contra la Resolución CREG 107 de 2010</w:t>
    </w:r>
  </w:p>
  <w:p w:rsidR="008376F4" w:rsidRPr="00DF40E1" w:rsidRDefault="008376F4" w:rsidP="00341540">
    <w:pPr>
      <w:pBdr>
        <w:bottom w:val="single" w:sz="4" w:space="1" w:color="auto"/>
      </w:pBdr>
      <w:tabs>
        <w:tab w:val="left" w:pos="-851"/>
        <w:tab w:val="left" w:pos="-720"/>
        <w:tab w:val="left" w:pos="-567"/>
      </w:tabs>
      <w:rPr>
        <w:rFonts w:cs="Arial"/>
        <w:spacing w:val="-3"/>
        <w:sz w:val="16"/>
        <w:szCs w:val="22"/>
      </w:rPr>
    </w:pPr>
  </w:p>
  <w:p w:rsidR="008376F4" w:rsidRPr="00DF40E1" w:rsidRDefault="008376F4" w:rsidP="00934E08">
    <w:pPr>
      <w:tabs>
        <w:tab w:val="left" w:pos="-851"/>
        <w:tab w:val="left" w:pos="-720"/>
        <w:tab w:val="left" w:pos="-567"/>
      </w:tabs>
      <w:rPr>
        <w:rFonts w:cs="Arial"/>
        <w:spacing w:val="-3"/>
        <w:sz w:val="16"/>
        <w:szCs w:val="2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6F4" w:rsidRDefault="008376F4" w:rsidP="00413A60">
    <w:pPr>
      <w:pStyle w:val="Encabezado"/>
      <w:tabs>
        <w:tab w:val="clear" w:pos="4252"/>
        <w:tab w:val="center" w:pos="4395"/>
      </w:tabs>
      <w:rPr>
        <w:rFonts w:ascii="Arial" w:hAnsi="Arial" w:cs="Arial"/>
        <w:spacing w:val="20"/>
        <w:sz w:val="20"/>
      </w:rPr>
    </w:pPr>
    <w:r>
      <w:rPr>
        <w:rFonts w:ascii="Arial" w:hAnsi="Arial" w:cs="Arial"/>
        <w:spacing w:val="20"/>
        <w:sz w:val="20"/>
      </w:rPr>
      <w:tab/>
      <w:t>República de Colombia</w:t>
    </w:r>
  </w:p>
  <w:p w:rsidR="008376F4" w:rsidRDefault="008376F4">
    <w:pPr>
      <w:pStyle w:val="Encabezado"/>
      <w:jc w:val="center"/>
      <w:rPr>
        <w:rFonts w:ascii="Arial" w:hAnsi="Arial" w:cs="Arial"/>
        <w:spacing w:val="20"/>
        <w:sz w:val="20"/>
      </w:rPr>
    </w:pPr>
  </w:p>
  <w:p w:rsidR="008376F4" w:rsidRDefault="000905EA"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D3B6B"/>
    <w:multiLevelType w:val="hybridMultilevel"/>
    <w:tmpl w:val="5A0E21B4"/>
    <w:lvl w:ilvl="0" w:tplc="E8E2C20E">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12F44159"/>
    <w:multiLevelType w:val="multilevel"/>
    <w:tmpl w:val="530A3BC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nsid w:val="16033740"/>
    <w:multiLevelType w:val="hybridMultilevel"/>
    <w:tmpl w:val="87B47EC4"/>
    <w:lvl w:ilvl="0" w:tplc="4CE0ABD6">
      <w:start w:val="1"/>
      <w:numFmt w:val="bullet"/>
      <w:lvlText w:val=""/>
      <w:lvlJc w:val="left"/>
      <w:pPr>
        <w:ind w:left="720" w:hanging="360"/>
      </w:pPr>
      <w:rPr>
        <w:rFonts w:ascii="Symbol" w:hAnsi="Symbol" w:hint="default"/>
      </w:rPr>
    </w:lvl>
    <w:lvl w:ilvl="1" w:tplc="C38A36AA">
      <w:start w:val="1"/>
      <w:numFmt w:val="bullet"/>
      <w:lvlText w:val="o"/>
      <w:lvlJc w:val="left"/>
      <w:pPr>
        <w:ind w:left="1440" w:hanging="360"/>
      </w:pPr>
      <w:rPr>
        <w:rFonts w:ascii="Courier New" w:hAnsi="Courier New" w:cs="Courier New" w:hint="default"/>
      </w:rPr>
    </w:lvl>
    <w:lvl w:ilvl="2" w:tplc="89727220" w:tentative="1">
      <w:start w:val="1"/>
      <w:numFmt w:val="bullet"/>
      <w:lvlText w:val=""/>
      <w:lvlJc w:val="left"/>
      <w:pPr>
        <w:ind w:left="2160" w:hanging="360"/>
      </w:pPr>
      <w:rPr>
        <w:rFonts w:ascii="Wingdings" w:hAnsi="Wingdings" w:hint="default"/>
      </w:rPr>
    </w:lvl>
    <w:lvl w:ilvl="3" w:tplc="AEE89182" w:tentative="1">
      <w:start w:val="1"/>
      <w:numFmt w:val="bullet"/>
      <w:lvlText w:val=""/>
      <w:lvlJc w:val="left"/>
      <w:pPr>
        <w:ind w:left="2880" w:hanging="360"/>
      </w:pPr>
      <w:rPr>
        <w:rFonts w:ascii="Symbol" w:hAnsi="Symbol" w:hint="default"/>
      </w:rPr>
    </w:lvl>
    <w:lvl w:ilvl="4" w:tplc="A8AE93C8" w:tentative="1">
      <w:start w:val="1"/>
      <w:numFmt w:val="bullet"/>
      <w:lvlText w:val="o"/>
      <w:lvlJc w:val="left"/>
      <w:pPr>
        <w:ind w:left="3600" w:hanging="360"/>
      </w:pPr>
      <w:rPr>
        <w:rFonts w:ascii="Courier New" w:hAnsi="Courier New" w:cs="Courier New" w:hint="default"/>
      </w:rPr>
    </w:lvl>
    <w:lvl w:ilvl="5" w:tplc="DE42305E" w:tentative="1">
      <w:start w:val="1"/>
      <w:numFmt w:val="bullet"/>
      <w:lvlText w:val=""/>
      <w:lvlJc w:val="left"/>
      <w:pPr>
        <w:ind w:left="4320" w:hanging="360"/>
      </w:pPr>
      <w:rPr>
        <w:rFonts w:ascii="Wingdings" w:hAnsi="Wingdings" w:hint="default"/>
      </w:rPr>
    </w:lvl>
    <w:lvl w:ilvl="6" w:tplc="F3E2D850" w:tentative="1">
      <w:start w:val="1"/>
      <w:numFmt w:val="bullet"/>
      <w:lvlText w:val=""/>
      <w:lvlJc w:val="left"/>
      <w:pPr>
        <w:ind w:left="5040" w:hanging="360"/>
      </w:pPr>
      <w:rPr>
        <w:rFonts w:ascii="Symbol" w:hAnsi="Symbol" w:hint="default"/>
      </w:rPr>
    </w:lvl>
    <w:lvl w:ilvl="7" w:tplc="1D247772" w:tentative="1">
      <w:start w:val="1"/>
      <w:numFmt w:val="bullet"/>
      <w:lvlText w:val="o"/>
      <w:lvlJc w:val="left"/>
      <w:pPr>
        <w:ind w:left="5760" w:hanging="360"/>
      </w:pPr>
      <w:rPr>
        <w:rFonts w:ascii="Courier New" w:hAnsi="Courier New" w:cs="Courier New" w:hint="default"/>
      </w:rPr>
    </w:lvl>
    <w:lvl w:ilvl="8" w:tplc="E222D35E" w:tentative="1">
      <w:start w:val="1"/>
      <w:numFmt w:val="bullet"/>
      <w:lvlText w:val=""/>
      <w:lvlJc w:val="left"/>
      <w:pPr>
        <w:ind w:left="6480" w:hanging="360"/>
      </w:pPr>
      <w:rPr>
        <w:rFonts w:ascii="Wingdings" w:hAnsi="Wingdings" w:hint="default"/>
      </w:rPr>
    </w:lvl>
  </w:abstractNum>
  <w:abstractNum w:abstractNumId="3">
    <w:nsid w:val="164B0055"/>
    <w:multiLevelType w:val="hybridMultilevel"/>
    <w:tmpl w:val="CECE3634"/>
    <w:lvl w:ilvl="0" w:tplc="8452D80E">
      <w:start w:val="1"/>
      <w:numFmt w:val="decimal"/>
      <w:lvlText w:val="%1."/>
      <w:lvlJc w:val="left"/>
      <w:pPr>
        <w:ind w:left="644"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nsid w:val="21783BCD"/>
    <w:multiLevelType w:val="hybridMultilevel"/>
    <w:tmpl w:val="EEC835DA"/>
    <w:lvl w:ilvl="0" w:tplc="E8E2C20E">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5">
    <w:nsid w:val="297B14F4"/>
    <w:multiLevelType w:val="multilevel"/>
    <w:tmpl w:val="2E804190"/>
    <w:name w:val="Lista4"/>
    <w:lvl w:ilvl="0">
      <w:start w:val="1"/>
      <w:numFmt w:val="decimal"/>
      <w:pStyle w:val="Ttulo1"/>
      <w:lvlText w:val="%1."/>
      <w:lvlJc w:val="left"/>
      <w:pPr>
        <w:ind w:left="432" w:hanging="432"/>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6">
    <w:nsid w:val="29931A57"/>
    <w:multiLevelType w:val="hybridMultilevel"/>
    <w:tmpl w:val="6F3A946C"/>
    <w:lvl w:ilvl="0" w:tplc="8D06AF38">
      <w:start w:val="1"/>
      <w:numFmt w:val="lowerLetter"/>
      <w:lvlText w:val="%1)"/>
      <w:lvlJc w:val="left"/>
      <w:pPr>
        <w:ind w:left="1004" w:hanging="360"/>
      </w:pPr>
      <w:rPr>
        <w:rFonts w:hint="default"/>
        <w:lang w:val="es-ES"/>
      </w:rPr>
    </w:lvl>
    <w:lvl w:ilvl="1" w:tplc="240A0019" w:tentative="1">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7">
    <w:nsid w:val="2C3C3AAC"/>
    <w:multiLevelType w:val="hybridMultilevel"/>
    <w:tmpl w:val="EEC835DA"/>
    <w:lvl w:ilvl="0" w:tplc="E8E2C20E">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8">
    <w:nsid w:val="2CAE4BBE"/>
    <w:multiLevelType w:val="hybridMultilevel"/>
    <w:tmpl w:val="0BD44296"/>
    <w:lvl w:ilvl="0" w:tplc="AC048E4A">
      <w:start w:val="504"/>
      <w:numFmt w:val="decimal"/>
      <w:suff w:val="nothing"/>
      <w:lvlText w:val="%1"/>
      <w:lvlJc w:val="center"/>
      <w:pPr>
        <w:ind w:left="0" w:firstLine="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3D3604C0"/>
    <w:multiLevelType w:val="multilevel"/>
    <w:tmpl w:val="2B802212"/>
    <w:name w:val="Lista43222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44F239B9"/>
    <w:multiLevelType w:val="hybridMultilevel"/>
    <w:tmpl w:val="831C325A"/>
    <w:lvl w:ilvl="0" w:tplc="8DE63D2E">
      <w:start w:val="5"/>
      <w:numFmt w:val="bullet"/>
      <w:lvlText w:val="-"/>
      <w:lvlJc w:val="left"/>
      <w:pPr>
        <w:ind w:left="1776" w:hanging="360"/>
      </w:pPr>
      <w:rPr>
        <w:rFonts w:ascii="Georgia" w:eastAsia="Times New Roman" w:hAnsi="Georgia" w:cs="Times New Roman" w:hint="default"/>
      </w:rPr>
    </w:lvl>
    <w:lvl w:ilvl="1" w:tplc="240A0003">
      <w:start w:val="1"/>
      <w:numFmt w:val="bullet"/>
      <w:lvlText w:val="o"/>
      <w:lvlJc w:val="left"/>
      <w:pPr>
        <w:ind w:left="2496" w:hanging="360"/>
      </w:pPr>
      <w:rPr>
        <w:rFonts w:ascii="Courier New" w:hAnsi="Courier New" w:cs="Courier New" w:hint="default"/>
      </w:rPr>
    </w:lvl>
    <w:lvl w:ilvl="2" w:tplc="240A0005" w:tentative="1">
      <w:start w:val="1"/>
      <w:numFmt w:val="bullet"/>
      <w:lvlText w:val=""/>
      <w:lvlJc w:val="left"/>
      <w:pPr>
        <w:ind w:left="3216" w:hanging="360"/>
      </w:pPr>
      <w:rPr>
        <w:rFonts w:ascii="Wingdings" w:hAnsi="Wingdings" w:hint="default"/>
      </w:rPr>
    </w:lvl>
    <w:lvl w:ilvl="3" w:tplc="240A0001" w:tentative="1">
      <w:start w:val="1"/>
      <w:numFmt w:val="bullet"/>
      <w:lvlText w:val=""/>
      <w:lvlJc w:val="left"/>
      <w:pPr>
        <w:ind w:left="3936" w:hanging="360"/>
      </w:pPr>
      <w:rPr>
        <w:rFonts w:ascii="Symbol" w:hAnsi="Symbol" w:hint="default"/>
      </w:rPr>
    </w:lvl>
    <w:lvl w:ilvl="4" w:tplc="240A0003" w:tentative="1">
      <w:start w:val="1"/>
      <w:numFmt w:val="bullet"/>
      <w:lvlText w:val="o"/>
      <w:lvlJc w:val="left"/>
      <w:pPr>
        <w:ind w:left="4656" w:hanging="360"/>
      </w:pPr>
      <w:rPr>
        <w:rFonts w:ascii="Courier New" w:hAnsi="Courier New" w:cs="Courier New" w:hint="default"/>
      </w:rPr>
    </w:lvl>
    <w:lvl w:ilvl="5" w:tplc="240A0005" w:tentative="1">
      <w:start w:val="1"/>
      <w:numFmt w:val="bullet"/>
      <w:lvlText w:val=""/>
      <w:lvlJc w:val="left"/>
      <w:pPr>
        <w:ind w:left="5376" w:hanging="360"/>
      </w:pPr>
      <w:rPr>
        <w:rFonts w:ascii="Wingdings" w:hAnsi="Wingdings" w:hint="default"/>
      </w:rPr>
    </w:lvl>
    <w:lvl w:ilvl="6" w:tplc="240A0001" w:tentative="1">
      <w:start w:val="1"/>
      <w:numFmt w:val="bullet"/>
      <w:lvlText w:val=""/>
      <w:lvlJc w:val="left"/>
      <w:pPr>
        <w:ind w:left="6096" w:hanging="360"/>
      </w:pPr>
      <w:rPr>
        <w:rFonts w:ascii="Symbol" w:hAnsi="Symbol" w:hint="default"/>
      </w:rPr>
    </w:lvl>
    <w:lvl w:ilvl="7" w:tplc="240A0003" w:tentative="1">
      <w:start w:val="1"/>
      <w:numFmt w:val="bullet"/>
      <w:lvlText w:val="o"/>
      <w:lvlJc w:val="left"/>
      <w:pPr>
        <w:ind w:left="6816" w:hanging="360"/>
      </w:pPr>
      <w:rPr>
        <w:rFonts w:ascii="Courier New" w:hAnsi="Courier New" w:cs="Courier New" w:hint="default"/>
      </w:rPr>
    </w:lvl>
    <w:lvl w:ilvl="8" w:tplc="240A0005" w:tentative="1">
      <w:start w:val="1"/>
      <w:numFmt w:val="bullet"/>
      <w:lvlText w:val=""/>
      <w:lvlJc w:val="left"/>
      <w:pPr>
        <w:ind w:left="7536" w:hanging="360"/>
      </w:pPr>
      <w:rPr>
        <w:rFonts w:ascii="Wingdings" w:hAnsi="Wingdings" w:hint="default"/>
      </w:rPr>
    </w:lvl>
  </w:abstractNum>
  <w:abstractNum w:abstractNumId="11">
    <w:nsid w:val="478445C4"/>
    <w:multiLevelType w:val="hybridMultilevel"/>
    <w:tmpl w:val="6108DC3A"/>
    <w:lvl w:ilvl="0" w:tplc="0C0A0017">
      <w:start w:val="1"/>
      <w:numFmt w:val="lowerLetter"/>
      <w:lvlText w:val="%1)"/>
      <w:lvlJc w:val="left"/>
      <w:pPr>
        <w:ind w:left="1004" w:hanging="360"/>
      </w:pPr>
    </w:lvl>
    <w:lvl w:ilvl="1" w:tplc="0C0A0019">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12">
    <w:nsid w:val="48454F71"/>
    <w:multiLevelType w:val="hybridMultilevel"/>
    <w:tmpl w:val="B5B21B02"/>
    <w:lvl w:ilvl="0" w:tplc="0C0A0017">
      <w:start w:val="1"/>
      <w:numFmt w:val="lowerLetter"/>
      <w:lvlText w:val="%1)"/>
      <w:lvlJc w:val="left"/>
      <w:pPr>
        <w:ind w:left="442" w:hanging="360"/>
      </w:pPr>
      <w:rPr>
        <w:rFonts w:hint="default"/>
      </w:rPr>
    </w:lvl>
    <w:lvl w:ilvl="1" w:tplc="0C0A0019" w:tentative="1">
      <w:start w:val="1"/>
      <w:numFmt w:val="lowerLetter"/>
      <w:lvlText w:val="%2."/>
      <w:lvlJc w:val="left"/>
      <w:pPr>
        <w:ind w:left="1162" w:hanging="360"/>
      </w:pPr>
    </w:lvl>
    <w:lvl w:ilvl="2" w:tplc="0C0A001B" w:tentative="1">
      <w:start w:val="1"/>
      <w:numFmt w:val="lowerRoman"/>
      <w:lvlText w:val="%3."/>
      <w:lvlJc w:val="right"/>
      <w:pPr>
        <w:ind w:left="1882" w:hanging="180"/>
      </w:pPr>
    </w:lvl>
    <w:lvl w:ilvl="3" w:tplc="0C0A000F" w:tentative="1">
      <w:start w:val="1"/>
      <w:numFmt w:val="decimal"/>
      <w:lvlText w:val="%4."/>
      <w:lvlJc w:val="left"/>
      <w:pPr>
        <w:ind w:left="2602" w:hanging="360"/>
      </w:pPr>
    </w:lvl>
    <w:lvl w:ilvl="4" w:tplc="0C0A0019" w:tentative="1">
      <w:start w:val="1"/>
      <w:numFmt w:val="lowerLetter"/>
      <w:lvlText w:val="%5."/>
      <w:lvlJc w:val="left"/>
      <w:pPr>
        <w:ind w:left="3322" w:hanging="360"/>
      </w:pPr>
    </w:lvl>
    <w:lvl w:ilvl="5" w:tplc="0C0A001B" w:tentative="1">
      <w:start w:val="1"/>
      <w:numFmt w:val="lowerRoman"/>
      <w:lvlText w:val="%6."/>
      <w:lvlJc w:val="right"/>
      <w:pPr>
        <w:ind w:left="4042" w:hanging="180"/>
      </w:pPr>
    </w:lvl>
    <w:lvl w:ilvl="6" w:tplc="0C0A000F" w:tentative="1">
      <w:start w:val="1"/>
      <w:numFmt w:val="decimal"/>
      <w:lvlText w:val="%7."/>
      <w:lvlJc w:val="left"/>
      <w:pPr>
        <w:ind w:left="4762" w:hanging="360"/>
      </w:pPr>
    </w:lvl>
    <w:lvl w:ilvl="7" w:tplc="0C0A0019" w:tentative="1">
      <w:start w:val="1"/>
      <w:numFmt w:val="lowerLetter"/>
      <w:lvlText w:val="%8."/>
      <w:lvlJc w:val="left"/>
      <w:pPr>
        <w:ind w:left="5482" w:hanging="360"/>
      </w:pPr>
    </w:lvl>
    <w:lvl w:ilvl="8" w:tplc="0C0A001B" w:tentative="1">
      <w:start w:val="1"/>
      <w:numFmt w:val="lowerRoman"/>
      <w:lvlText w:val="%9."/>
      <w:lvlJc w:val="right"/>
      <w:pPr>
        <w:ind w:left="6202" w:hanging="180"/>
      </w:pPr>
    </w:lvl>
  </w:abstractNum>
  <w:abstractNum w:abstractNumId="13">
    <w:nsid w:val="49B02B60"/>
    <w:multiLevelType w:val="hybridMultilevel"/>
    <w:tmpl w:val="24321EAA"/>
    <w:lvl w:ilvl="0" w:tplc="62FA7EF0">
      <w:start w:val="1"/>
      <w:numFmt w:val="decimal"/>
      <w:lvlText w:val="%1."/>
      <w:lvlJc w:val="left"/>
      <w:pPr>
        <w:ind w:left="786" w:hanging="360"/>
      </w:pPr>
      <w:rPr>
        <w:rFonts w:hint="default"/>
      </w:r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abstractNum w:abstractNumId="14">
    <w:nsid w:val="4AE73EFD"/>
    <w:multiLevelType w:val="hybridMultilevel"/>
    <w:tmpl w:val="7FF690F2"/>
    <w:lvl w:ilvl="0" w:tplc="2940F312">
      <w:start w:val="1"/>
      <w:numFmt w:val="decimal"/>
      <w:lvlText w:val="Artículo %1."/>
      <w:lvlJc w:val="left"/>
      <w:pPr>
        <w:ind w:left="720" w:hanging="360"/>
      </w:pPr>
      <w:rPr>
        <w:rFonts w:hint="default"/>
        <w:b/>
        <w:i w:val="0"/>
      </w:rPr>
    </w:lvl>
    <w:lvl w:ilvl="1" w:tplc="E7D46DFC" w:tentative="1">
      <w:start w:val="1"/>
      <w:numFmt w:val="lowerLetter"/>
      <w:lvlText w:val="%2."/>
      <w:lvlJc w:val="left"/>
      <w:pPr>
        <w:ind w:left="1440" w:hanging="360"/>
      </w:pPr>
    </w:lvl>
    <w:lvl w:ilvl="2" w:tplc="FE466F1E" w:tentative="1">
      <w:start w:val="1"/>
      <w:numFmt w:val="lowerRoman"/>
      <w:lvlText w:val="%3."/>
      <w:lvlJc w:val="right"/>
      <w:pPr>
        <w:ind w:left="2160" w:hanging="180"/>
      </w:pPr>
    </w:lvl>
    <w:lvl w:ilvl="3" w:tplc="3A56839C" w:tentative="1">
      <w:start w:val="1"/>
      <w:numFmt w:val="decimal"/>
      <w:lvlText w:val="%4."/>
      <w:lvlJc w:val="left"/>
      <w:pPr>
        <w:ind w:left="2880" w:hanging="360"/>
      </w:pPr>
    </w:lvl>
    <w:lvl w:ilvl="4" w:tplc="5728F6E4" w:tentative="1">
      <w:start w:val="1"/>
      <w:numFmt w:val="lowerLetter"/>
      <w:lvlText w:val="%5."/>
      <w:lvlJc w:val="left"/>
      <w:pPr>
        <w:ind w:left="3600" w:hanging="360"/>
      </w:pPr>
    </w:lvl>
    <w:lvl w:ilvl="5" w:tplc="28FCCC7C" w:tentative="1">
      <w:start w:val="1"/>
      <w:numFmt w:val="lowerRoman"/>
      <w:lvlText w:val="%6."/>
      <w:lvlJc w:val="right"/>
      <w:pPr>
        <w:ind w:left="4320" w:hanging="180"/>
      </w:pPr>
    </w:lvl>
    <w:lvl w:ilvl="6" w:tplc="5D88B802" w:tentative="1">
      <w:start w:val="1"/>
      <w:numFmt w:val="decimal"/>
      <w:lvlText w:val="%7."/>
      <w:lvlJc w:val="left"/>
      <w:pPr>
        <w:ind w:left="5040" w:hanging="360"/>
      </w:pPr>
    </w:lvl>
    <w:lvl w:ilvl="7" w:tplc="9550BF88" w:tentative="1">
      <w:start w:val="1"/>
      <w:numFmt w:val="lowerLetter"/>
      <w:lvlText w:val="%8."/>
      <w:lvlJc w:val="left"/>
      <w:pPr>
        <w:ind w:left="5760" w:hanging="360"/>
      </w:pPr>
    </w:lvl>
    <w:lvl w:ilvl="8" w:tplc="5C0E0CE0" w:tentative="1">
      <w:start w:val="1"/>
      <w:numFmt w:val="lowerRoman"/>
      <w:lvlText w:val="%9."/>
      <w:lvlJc w:val="right"/>
      <w:pPr>
        <w:ind w:left="6480" w:hanging="180"/>
      </w:pPr>
    </w:lvl>
  </w:abstractNum>
  <w:abstractNum w:abstractNumId="15">
    <w:nsid w:val="52EF74C9"/>
    <w:multiLevelType w:val="hybridMultilevel"/>
    <w:tmpl w:val="B6149148"/>
    <w:name w:val="Lista4322"/>
    <w:lvl w:ilvl="0" w:tplc="01D45DAE">
      <w:start w:val="1"/>
      <w:numFmt w:val="decimal"/>
      <w:pStyle w:val="Artculo"/>
      <w:lvlText w:val="Artículo %1."/>
      <w:lvlJc w:val="left"/>
      <w:pPr>
        <w:ind w:left="360" w:hanging="360"/>
      </w:pPr>
      <w:rPr>
        <w:rFonts w:ascii="Bookman Old Style" w:hAnsi="Bookman Old Style" w:cs="Times New Roman"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tplc="BC7212C6">
      <w:start w:val="1"/>
      <w:numFmt w:val="lowerLetter"/>
      <w:lvlText w:val="%2."/>
      <w:lvlJc w:val="left"/>
      <w:pPr>
        <w:ind w:left="1080" w:hanging="360"/>
      </w:pPr>
    </w:lvl>
    <w:lvl w:ilvl="2" w:tplc="A446BFEE" w:tentative="1">
      <w:start w:val="1"/>
      <w:numFmt w:val="lowerRoman"/>
      <w:lvlText w:val="%3."/>
      <w:lvlJc w:val="right"/>
      <w:pPr>
        <w:ind w:left="1800" w:hanging="180"/>
      </w:pPr>
    </w:lvl>
    <w:lvl w:ilvl="3" w:tplc="AA4A5ACA" w:tentative="1">
      <w:start w:val="1"/>
      <w:numFmt w:val="decimal"/>
      <w:lvlText w:val="%4."/>
      <w:lvlJc w:val="left"/>
      <w:pPr>
        <w:ind w:left="2520" w:hanging="360"/>
      </w:pPr>
    </w:lvl>
    <w:lvl w:ilvl="4" w:tplc="4DB8D95A" w:tentative="1">
      <w:start w:val="1"/>
      <w:numFmt w:val="lowerLetter"/>
      <w:lvlText w:val="%5."/>
      <w:lvlJc w:val="left"/>
      <w:pPr>
        <w:ind w:left="3240" w:hanging="360"/>
      </w:pPr>
    </w:lvl>
    <w:lvl w:ilvl="5" w:tplc="D4DC958A" w:tentative="1">
      <w:start w:val="1"/>
      <w:numFmt w:val="lowerRoman"/>
      <w:lvlText w:val="%6."/>
      <w:lvlJc w:val="right"/>
      <w:pPr>
        <w:ind w:left="3960" w:hanging="180"/>
      </w:pPr>
    </w:lvl>
    <w:lvl w:ilvl="6" w:tplc="67940270" w:tentative="1">
      <w:start w:val="1"/>
      <w:numFmt w:val="decimal"/>
      <w:lvlText w:val="%7."/>
      <w:lvlJc w:val="left"/>
      <w:pPr>
        <w:ind w:left="4680" w:hanging="360"/>
      </w:pPr>
    </w:lvl>
    <w:lvl w:ilvl="7" w:tplc="CBDC6ABC" w:tentative="1">
      <w:start w:val="1"/>
      <w:numFmt w:val="lowerLetter"/>
      <w:lvlText w:val="%8."/>
      <w:lvlJc w:val="left"/>
      <w:pPr>
        <w:ind w:left="5400" w:hanging="360"/>
      </w:pPr>
    </w:lvl>
    <w:lvl w:ilvl="8" w:tplc="318638EC" w:tentative="1">
      <w:start w:val="1"/>
      <w:numFmt w:val="lowerRoman"/>
      <w:lvlText w:val="%9."/>
      <w:lvlJc w:val="right"/>
      <w:pPr>
        <w:ind w:left="6120" w:hanging="180"/>
      </w:pPr>
    </w:lvl>
  </w:abstractNum>
  <w:abstractNum w:abstractNumId="16">
    <w:nsid w:val="626D3B3B"/>
    <w:multiLevelType w:val="hybridMultilevel"/>
    <w:tmpl w:val="7492754A"/>
    <w:lvl w:ilvl="0" w:tplc="C4CA137A">
      <w:start w:val="1"/>
      <w:numFmt w:val="bullet"/>
      <w:lvlText w:val="-"/>
      <w:lvlJc w:val="left"/>
      <w:pPr>
        <w:ind w:left="720" w:hanging="360"/>
      </w:pPr>
      <w:rPr>
        <w:rFonts w:ascii="Bookman Old Style" w:eastAsia="Calibri" w:hAnsi="Bookman Old Style" w:cs="Bookman Old Style"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6E6A2EBE"/>
    <w:multiLevelType w:val="hybridMultilevel"/>
    <w:tmpl w:val="59546988"/>
    <w:lvl w:ilvl="0" w:tplc="0C0A0001">
      <w:start w:val="1"/>
      <w:numFmt w:val="upperRoman"/>
      <w:lvlText w:val="%1."/>
      <w:lvlJc w:val="left"/>
      <w:pPr>
        <w:tabs>
          <w:tab w:val="num" w:pos="720"/>
        </w:tabs>
        <w:ind w:left="720" w:hanging="720"/>
      </w:pPr>
      <w:rPr>
        <w:rFonts w:hint="default"/>
      </w:rPr>
    </w:lvl>
    <w:lvl w:ilvl="1" w:tplc="E8E2C20E">
      <w:start w:val="1"/>
      <w:numFmt w:val="decimal"/>
      <w:lvlText w:val="%2."/>
      <w:lvlJc w:val="left"/>
      <w:pPr>
        <w:ind w:left="1080" w:hanging="360"/>
      </w:pPr>
      <w:rPr>
        <w:rFonts w:hint="default"/>
      </w:rPr>
    </w:lvl>
    <w:lvl w:ilvl="2" w:tplc="0C0A0005" w:tentative="1">
      <w:start w:val="1"/>
      <w:numFmt w:val="lowerRoman"/>
      <w:lvlText w:val="%3."/>
      <w:lvlJc w:val="right"/>
      <w:pPr>
        <w:tabs>
          <w:tab w:val="num" w:pos="1800"/>
        </w:tabs>
        <w:ind w:left="1800" w:hanging="180"/>
      </w:pPr>
    </w:lvl>
    <w:lvl w:ilvl="3" w:tplc="0C0A0001" w:tentative="1">
      <w:start w:val="1"/>
      <w:numFmt w:val="decimal"/>
      <w:lvlText w:val="%4."/>
      <w:lvlJc w:val="left"/>
      <w:pPr>
        <w:tabs>
          <w:tab w:val="num" w:pos="2520"/>
        </w:tabs>
        <w:ind w:left="2520" w:hanging="360"/>
      </w:pPr>
    </w:lvl>
    <w:lvl w:ilvl="4" w:tplc="0C0A0003" w:tentative="1">
      <w:start w:val="1"/>
      <w:numFmt w:val="lowerLetter"/>
      <w:lvlText w:val="%5."/>
      <w:lvlJc w:val="left"/>
      <w:pPr>
        <w:tabs>
          <w:tab w:val="num" w:pos="3240"/>
        </w:tabs>
        <w:ind w:left="3240" w:hanging="360"/>
      </w:pPr>
    </w:lvl>
    <w:lvl w:ilvl="5" w:tplc="0C0A0005" w:tentative="1">
      <w:start w:val="1"/>
      <w:numFmt w:val="lowerRoman"/>
      <w:lvlText w:val="%6."/>
      <w:lvlJc w:val="right"/>
      <w:pPr>
        <w:tabs>
          <w:tab w:val="num" w:pos="3960"/>
        </w:tabs>
        <w:ind w:left="3960" w:hanging="180"/>
      </w:pPr>
    </w:lvl>
    <w:lvl w:ilvl="6" w:tplc="0C0A0001" w:tentative="1">
      <w:start w:val="1"/>
      <w:numFmt w:val="decimal"/>
      <w:lvlText w:val="%7."/>
      <w:lvlJc w:val="left"/>
      <w:pPr>
        <w:tabs>
          <w:tab w:val="num" w:pos="4680"/>
        </w:tabs>
        <w:ind w:left="4680" w:hanging="360"/>
      </w:pPr>
    </w:lvl>
    <w:lvl w:ilvl="7" w:tplc="0C0A0003" w:tentative="1">
      <w:start w:val="1"/>
      <w:numFmt w:val="lowerLetter"/>
      <w:lvlText w:val="%8."/>
      <w:lvlJc w:val="left"/>
      <w:pPr>
        <w:tabs>
          <w:tab w:val="num" w:pos="5400"/>
        </w:tabs>
        <w:ind w:left="5400" w:hanging="360"/>
      </w:pPr>
    </w:lvl>
    <w:lvl w:ilvl="8" w:tplc="0C0A0005" w:tentative="1">
      <w:start w:val="1"/>
      <w:numFmt w:val="lowerRoman"/>
      <w:lvlText w:val="%9."/>
      <w:lvlJc w:val="right"/>
      <w:pPr>
        <w:tabs>
          <w:tab w:val="num" w:pos="6120"/>
        </w:tabs>
        <w:ind w:left="6120" w:hanging="180"/>
      </w:pPr>
    </w:lvl>
  </w:abstractNum>
  <w:abstractNum w:abstractNumId="18">
    <w:nsid w:val="731714CE"/>
    <w:multiLevelType w:val="hybridMultilevel"/>
    <w:tmpl w:val="B5C25082"/>
    <w:lvl w:ilvl="0" w:tplc="240A0015">
      <w:start w:val="1"/>
      <w:numFmt w:val="upperLetter"/>
      <w:lvlText w:val="%1."/>
      <w:lvlJc w:val="left"/>
      <w:pPr>
        <w:tabs>
          <w:tab w:val="num" w:pos="720"/>
        </w:tabs>
        <w:ind w:left="720" w:hanging="720"/>
      </w:pPr>
      <w:rPr>
        <w:rFonts w:hint="default"/>
      </w:rPr>
    </w:lvl>
    <w:lvl w:ilvl="1" w:tplc="E8E2C20E">
      <w:start w:val="1"/>
      <w:numFmt w:val="decimal"/>
      <w:lvlText w:val="%2."/>
      <w:lvlJc w:val="left"/>
      <w:pPr>
        <w:ind w:left="1080" w:hanging="360"/>
      </w:pPr>
      <w:rPr>
        <w:rFonts w:hint="default"/>
      </w:rPr>
    </w:lvl>
    <w:lvl w:ilvl="2" w:tplc="0C0A0005" w:tentative="1">
      <w:start w:val="1"/>
      <w:numFmt w:val="lowerRoman"/>
      <w:lvlText w:val="%3."/>
      <w:lvlJc w:val="right"/>
      <w:pPr>
        <w:tabs>
          <w:tab w:val="num" w:pos="1800"/>
        </w:tabs>
        <w:ind w:left="1800" w:hanging="180"/>
      </w:pPr>
    </w:lvl>
    <w:lvl w:ilvl="3" w:tplc="0C0A0001" w:tentative="1">
      <w:start w:val="1"/>
      <w:numFmt w:val="decimal"/>
      <w:lvlText w:val="%4."/>
      <w:lvlJc w:val="left"/>
      <w:pPr>
        <w:tabs>
          <w:tab w:val="num" w:pos="2520"/>
        </w:tabs>
        <w:ind w:left="2520" w:hanging="360"/>
      </w:pPr>
    </w:lvl>
    <w:lvl w:ilvl="4" w:tplc="0C0A0003" w:tentative="1">
      <w:start w:val="1"/>
      <w:numFmt w:val="lowerLetter"/>
      <w:lvlText w:val="%5."/>
      <w:lvlJc w:val="left"/>
      <w:pPr>
        <w:tabs>
          <w:tab w:val="num" w:pos="3240"/>
        </w:tabs>
        <w:ind w:left="3240" w:hanging="360"/>
      </w:pPr>
    </w:lvl>
    <w:lvl w:ilvl="5" w:tplc="0C0A0005" w:tentative="1">
      <w:start w:val="1"/>
      <w:numFmt w:val="lowerRoman"/>
      <w:lvlText w:val="%6."/>
      <w:lvlJc w:val="right"/>
      <w:pPr>
        <w:tabs>
          <w:tab w:val="num" w:pos="3960"/>
        </w:tabs>
        <w:ind w:left="3960" w:hanging="180"/>
      </w:pPr>
    </w:lvl>
    <w:lvl w:ilvl="6" w:tplc="0C0A0001" w:tentative="1">
      <w:start w:val="1"/>
      <w:numFmt w:val="decimal"/>
      <w:lvlText w:val="%7."/>
      <w:lvlJc w:val="left"/>
      <w:pPr>
        <w:tabs>
          <w:tab w:val="num" w:pos="4680"/>
        </w:tabs>
        <w:ind w:left="4680" w:hanging="360"/>
      </w:pPr>
    </w:lvl>
    <w:lvl w:ilvl="7" w:tplc="0C0A0003" w:tentative="1">
      <w:start w:val="1"/>
      <w:numFmt w:val="lowerLetter"/>
      <w:lvlText w:val="%8."/>
      <w:lvlJc w:val="left"/>
      <w:pPr>
        <w:tabs>
          <w:tab w:val="num" w:pos="5400"/>
        </w:tabs>
        <w:ind w:left="5400" w:hanging="360"/>
      </w:pPr>
    </w:lvl>
    <w:lvl w:ilvl="8" w:tplc="0C0A0005" w:tentative="1">
      <w:start w:val="1"/>
      <w:numFmt w:val="lowerRoman"/>
      <w:lvlText w:val="%9."/>
      <w:lvlJc w:val="right"/>
      <w:pPr>
        <w:tabs>
          <w:tab w:val="num" w:pos="6120"/>
        </w:tabs>
        <w:ind w:left="6120" w:hanging="180"/>
      </w:pPr>
    </w:lvl>
  </w:abstractNum>
  <w:abstractNum w:abstractNumId="19">
    <w:nsid w:val="7C713DAA"/>
    <w:multiLevelType w:val="hybridMultilevel"/>
    <w:tmpl w:val="89F6170C"/>
    <w:lvl w:ilvl="0" w:tplc="80C0E324">
      <w:start w:val="1"/>
      <w:numFmt w:val="lowerLetter"/>
      <w:lvlText w:val="%1)"/>
      <w:lvlJc w:val="left"/>
      <w:pPr>
        <w:ind w:left="720" w:hanging="720"/>
      </w:pPr>
      <w:rPr>
        <w:rFonts w:ascii="Bookman Old Style" w:eastAsia="Times New Roman" w:hAnsi="Bookman Old Style" w:cs="Times New Roman"/>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0">
    <w:nsid w:val="7E94396A"/>
    <w:multiLevelType w:val="hybridMultilevel"/>
    <w:tmpl w:val="1C72ADB2"/>
    <w:lvl w:ilvl="0" w:tplc="11F4421A">
      <w:start w:val="1"/>
      <w:numFmt w:val="decimal"/>
      <w:lvlText w:val="Artículo %1."/>
      <w:lvlJc w:val="left"/>
      <w:pPr>
        <w:ind w:left="779"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
  </w:num>
  <w:num w:numId="2">
    <w:abstractNumId w:val="15"/>
  </w:num>
  <w:num w:numId="3">
    <w:abstractNumId w:val="5"/>
  </w:num>
  <w:num w:numId="4">
    <w:abstractNumId w:val="17"/>
  </w:num>
  <w:num w:numId="5">
    <w:abstractNumId w:val="0"/>
  </w:num>
  <w:num w:numId="6">
    <w:abstractNumId w:val="13"/>
  </w:num>
  <w:num w:numId="7">
    <w:abstractNumId w:val="16"/>
  </w:num>
  <w:num w:numId="8">
    <w:abstractNumId w:val="12"/>
  </w:num>
  <w:num w:numId="9">
    <w:abstractNumId w:val="11"/>
  </w:num>
  <w:num w:numId="10">
    <w:abstractNumId w:val="7"/>
  </w:num>
  <w:num w:numId="11">
    <w:abstractNumId w:val="18"/>
  </w:num>
  <w:num w:numId="12">
    <w:abstractNumId w:val="4"/>
  </w:num>
  <w:num w:numId="13">
    <w:abstractNumId w:val="6"/>
  </w:num>
  <w:num w:numId="14">
    <w:abstractNumId w:val="1"/>
  </w:num>
  <w:num w:numId="15">
    <w:abstractNumId w:val="19"/>
  </w:num>
  <w:num w:numId="16">
    <w:abstractNumId w:val="14"/>
  </w:num>
  <w:num w:numId="17">
    <w:abstractNumId w:val="3"/>
  </w:num>
  <w:num w:numId="18">
    <w:abstractNumId w:val="10"/>
  </w:num>
  <w:num w:numId="19">
    <w:abstractNumId w:val="20"/>
  </w:num>
  <w:num w:numId="20">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hyphenationZone w:val="425"/>
  <w:drawingGridHorizontalSpacing w:val="120"/>
  <w:displayHorizontalDrawingGridEvery w:val="2"/>
  <w:noPunctuationKerning/>
  <w:characterSpacingControl w:val="doNotCompress"/>
  <w:hdrShapeDefaults>
    <o:shapedefaults v:ext="edit" spidmax="409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4A40"/>
    <w:rsid w:val="00005529"/>
    <w:rsid w:val="00006AE2"/>
    <w:rsid w:val="0000704A"/>
    <w:rsid w:val="000070F5"/>
    <w:rsid w:val="000076A1"/>
    <w:rsid w:val="00011C4F"/>
    <w:rsid w:val="00012259"/>
    <w:rsid w:val="00013D35"/>
    <w:rsid w:val="00015866"/>
    <w:rsid w:val="00025383"/>
    <w:rsid w:val="00034654"/>
    <w:rsid w:val="00034BC6"/>
    <w:rsid w:val="00035C6D"/>
    <w:rsid w:val="00036588"/>
    <w:rsid w:val="00037C66"/>
    <w:rsid w:val="00043C5E"/>
    <w:rsid w:val="00052ED2"/>
    <w:rsid w:val="000530CB"/>
    <w:rsid w:val="0005390B"/>
    <w:rsid w:val="000541E4"/>
    <w:rsid w:val="00057118"/>
    <w:rsid w:val="00063657"/>
    <w:rsid w:val="0006438C"/>
    <w:rsid w:val="00070CA9"/>
    <w:rsid w:val="000727BE"/>
    <w:rsid w:val="00076680"/>
    <w:rsid w:val="00077C46"/>
    <w:rsid w:val="0008073E"/>
    <w:rsid w:val="000813E1"/>
    <w:rsid w:val="000905EA"/>
    <w:rsid w:val="00091CDB"/>
    <w:rsid w:val="00094A9B"/>
    <w:rsid w:val="0009527B"/>
    <w:rsid w:val="00096A9C"/>
    <w:rsid w:val="000A19AC"/>
    <w:rsid w:val="000A3D48"/>
    <w:rsid w:val="000A532F"/>
    <w:rsid w:val="000A75B4"/>
    <w:rsid w:val="000B74D6"/>
    <w:rsid w:val="000B762B"/>
    <w:rsid w:val="000C0CB5"/>
    <w:rsid w:val="000C3952"/>
    <w:rsid w:val="000C42BA"/>
    <w:rsid w:val="000C4938"/>
    <w:rsid w:val="000C5469"/>
    <w:rsid w:val="000C74AB"/>
    <w:rsid w:val="000C7FA4"/>
    <w:rsid w:val="000D1301"/>
    <w:rsid w:val="000D26F8"/>
    <w:rsid w:val="000D3420"/>
    <w:rsid w:val="000D5E0D"/>
    <w:rsid w:val="000E0B2A"/>
    <w:rsid w:val="000E1218"/>
    <w:rsid w:val="000E1E62"/>
    <w:rsid w:val="000E5356"/>
    <w:rsid w:val="000E651D"/>
    <w:rsid w:val="000F0D98"/>
    <w:rsid w:val="000F2100"/>
    <w:rsid w:val="000F2B5F"/>
    <w:rsid w:val="000F491A"/>
    <w:rsid w:val="00102AA5"/>
    <w:rsid w:val="00103B01"/>
    <w:rsid w:val="001041F0"/>
    <w:rsid w:val="00105843"/>
    <w:rsid w:val="00105950"/>
    <w:rsid w:val="00106BAB"/>
    <w:rsid w:val="001124B2"/>
    <w:rsid w:val="00113281"/>
    <w:rsid w:val="0012332D"/>
    <w:rsid w:val="00123C20"/>
    <w:rsid w:val="001264D6"/>
    <w:rsid w:val="00126C44"/>
    <w:rsid w:val="001405C6"/>
    <w:rsid w:val="00140B61"/>
    <w:rsid w:val="00141013"/>
    <w:rsid w:val="001429FF"/>
    <w:rsid w:val="0014458A"/>
    <w:rsid w:val="00147986"/>
    <w:rsid w:val="0015572C"/>
    <w:rsid w:val="001677CC"/>
    <w:rsid w:val="00170917"/>
    <w:rsid w:val="0017331F"/>
    <w:rsid w:val="00181647"/>
    <w:rsid w:val="00182AEE"/>
    <w:rsid w:val="001842A1"/>
    <w:rsid w:val="00185C03"/>
    <w:rsid w:val="00187D6B"/>
    <w:rsid w:val="00192CBF"/>
    <w:rsid w:val="00192FF1"/>
    <w:rsid w:val="00194315"/>
    <w:rsid w:val="00196C3B"/>
    <w:rsid w:val="001A0B9C"/>
    <w:rsid w:val="001A102C"/>
    <w:rsid w:val="001A3F8D"/>
    <w:rsid w:val="001A43EE"/>
    <w:rsid w:val="001A5A61"/>
    <w:rsid w:val="001A5F1B"/>
    <w:rsid w:val="001A605E"/>
    <w:rsid w:val="001B1C22"/>
    <w:rsid w:val="001B320C"/>
    <w:rsid w:val="001B34C6"/>
    <w:rsid w:val="001B57F3"/>
    <w:rsid w:val="001C3D38"/>
    <w:rsid w:val="001C74B8"/>
    <w:rsid w:val="001D30B4"/>
    <w:rsid w:val="001D3C42"/>
    <w:rsid w:val="001D4581"/>
    <w:rsid w:val="001D498E"/>
    <w:rsid w:val="001D7832"/>
    <w:rsid w:val="001D7BB5"/>
    <w:rsid w:val="001E0CC3"/>
    <w:rsid w:val="001E30A0"/>
    <w:rsid w:val="001E45E6"/>
    <w:rsid w:val="001F2AE0"/>
    <w:rsid w:val="001F57D8"/>
    <w:rsid w:val="00201132"/>
    <w:rsid w:val="0020511E"/>
    <w:rsid w:val="00211D34"/>
    <w:rsid w:val="00214F04"/>
    <w:rsid w:val="0021539F"/>
    <w:rsid w:val="00217B0D"/>
    <w:rsid w:val="00220F8C"/>
    <w:rsid w:val="00222E5B"/>
    <w:rsid w:val="00224F0F"/>
    <w:rsid w:val="0023176A"/>
    <w:rsid w:val="00233B70"/>
    <w:rsid w:val="0023553C"/>
    <w:rsid w:val="002439AE"/>
    <w:rsid w:val="002500B3"/>
    <w:rsid w:val="00250596"/>
    <w:rsid w:val="00266CD6"/>
    <w:rsid w:val="00274C96"/>
    <w:rsid w:val="00282A18"/>
    <w:rsid w:val="00291B2A"/>
    <w:rsid w:val="00294292"/>
    <w:rsid w:val="00294352"/>
    <w:rsid w:val="00294B39"/>
    <w:rsid w:val="002973E4"/>
    <w:rsid w:val="002A0346"/>
    <w:rsid w:val="002A3282"/>
    <w:rsid w:val="002A650B"/>
    <w:rsid w:val="002A77CA"/>
    <w:rsid w:val="002B11E2"/>
    <w:rsid w:val="002B24B8"/>
    <w:rsid w:val="002B54AB"/>
    <w:rsid w:val="002C2EF2"/>
    <w:rsid w:val="002C2FC7"/>
    <w:rsid w:val="002C6D5B"/>
    <w:rsid w:val="002D26E5"/>
    <w:rsid w:val="002D3AE9"/>
    <w:rsid w:val="002D732C"/>
    <w:rsid w:val="002E0486"/>
    <w:rsid w:val="002E2E97"/>
    <w:rsid w:val="002E4D03"/>
    <w:rsid w:val="002E60C9"/>
    <w:rsid w:val="002E7002"/>
    <w:rsid w:val="002E7458"/>
    <w:rsid w:val="002F0734"/>
    <w:rsid w:val="002F0B40"/>
    <w:rsid w:val="002F46E7"/>
    <w:rsid w:val="002F5392"/>
    <w:rsid w:val="002F5FEA"/>
    <w:rsid w:val="002F60B5"/>
    <w:rsid w:val="002F6AD5"/>
    <w:rsid w:val="00301ECA"/>
    <w:rsid w:val="00304120"/>
    <w:rsid w:val="00304B26"/>
    <w:rsid w:val="003101DA"/>
    <w:rsid w:val="00314757"/>
    <w:rsid w:val="003211CE"/>
    <w:rsid w:val="00321AD1"/>
    <w:rsid w:val="00322E0B"/>
    <w:rsid w:val="003309AB"/>
    <w:rsid w:val="0033513D"/>
    <w:rsid w:val="00336526"/>
    <w:rsid w:val="00336A64"/>
    <w:rsid w:val="00341540"/>
    <w:rsid w:val="00343647"/>
    <w:rsid w:val="00343A7B"/>
    <w:rsid w:val="003503FF"/>
    <w:rsid w:val="0035403A"/>
    <w:rsid w:val="003542CD"/>
    <w:rsid w:val="00355E65"/>
    <w:rsid w:val="003565E6"/>
    <w:rsid w:val="0036394B"/>
    <w:rsid w:val="003709B5"/>
    <w:rsid w:val="00374808"/>
    <w:rsid w:val="003759C2"/>
    <w:rsid w:val="003826FA"/>
    <w:rsid w:val="00382B4B"/>
    <w:rsid w:val="00382D23"/>
    <w:rsid w:val="003912BA"/>
    <w:rsid w:val="00397365"/>
    <w:rsid w:val="003A31F6"/>
    <w:rsid w:val="003A5954"/>
    <w:rsid w:val="003B526C"/>
    <w:rsid w:val="003B6F96"/>
    <w:rsid w:val="003B7BC4"/>
    <w:rsid w:val="003C0E64"/>
    <w:rsid w:val="003C3447"/>
    <w:rsid w:val="003D076C"/>
    <w:rsid w:val="003E315C"/>
    <w:rsid w:val="003E32D4"/>
    <w:rsid w:val="003E4001"/>
    <w:rsid w:val="003E4499"/>
    <w:rsid w:val="003E6108"/>
    <w:rsid w:val="003E78D5"/>
    <w:rsid w:val="003F09B1"/>
    <w:rsid w:val="003F6E9A"/>
    <w:rsid w:val="004009E2"/>
    <w:rsid w:val="00401B17"/>
    <w:rsid w:val="004026AA"/>
    <w:rsid w:val="00402B5C"/>
    <w:rsid w:val="004030EE"/>
    <w:rsid w:val="00403F0E"/>
    <w:rsid w:val="004103C7"/>
    <w:rsid w:val="00413A60"/>
    <w:rsid w:val="00414D91"/>
    <w:rsid w:val="0041566A"/>
    <w:rsid w:val="00415BAB"/>
    <w:rsid w:val="00415ED2"/>
    <w:rsid w:val="00416F4F"/>
    <w:rsid w:val="0042068C"/>
    <w:rsid w:val="00421665"/>
    <w:rsid w:val="00424BD7"/>
    <w:rsid w:val="00431503"/>
    <w:rsid w:val="0043283B"/>
    <w:rsid w:val="00435E51"/>
    <w:rsid w:val="004379D1"/>
    <w:rsid w:val="00446E84"/>
    <w:rsid w:val="004511D3"/>
    <w:rsid w:val="00454193"/>
    <w:rsid w:val="00454AC2"/>
    <w:rsid w:val="00455C01"/>
    <w:rsid w:val="00457622"/>
    <w:rsid w:val="004639BD"/>
    <w:rsid w:val="0046528E"/>
    <w:rsid w:val="0047122B"/>
    <w:rsid w:val="00473B7A"/>
    <w:rsid w:val="00476515"/>
    <w:rsid w:val="004801C2"/>
    <w:rsid w:val="00480E8C"/>
    <w:rsid w:val="00481379"/>
    <w:rsid w:val="00483B33"/>
    <w:rsid w:val="0049097B"/>
    <w:rsid w:val="00492F71"/>
    <w:rsid w:val="004960E9"/>
    <w:rsid w:val="0049775B"/>
    <w:rsid w:val="004A2E88"/>
    <w:rsid w:val="004A5305"/>
    <w:rsid w:val="004B230D"/>
    <w:rsid w:val="004B4186"/>
    <w:rsid w:val="004C4AA9"/>
    <w:rsid w:val="004C68AC"/>
    <w:rsid w:val="004D7634"/>
    <w:rsid w:val="004E1FCC"/>
    <w:rsid w:val="004E7FF7"/>
    <w:rsid w:val="004F39C1"/>
    <w:rsid w:val="004F6D80"/>
    <w:rsid w:val="004F70D2"/>
    <w:rsid w:val="004F7234"/>
    <w:rsid w:val="004F7800"/>
    <w:rsid w:val="004F7AFB"/>
    <w:rsid w:val="00501938"/>
    <w:rsid w:val="005043DC"/>
    <w:rsid w:val="00512893"/>
    <w:rsid w:val="0051329E"/>
    <w:rsid w:val="00515AAC"/>
    <w:rsid w:val="0052131A"/>
    <w:rsid w:val="00521350"/>
    <w:rsid w:val="00525C22"/>
    <w:rsid w:val="005300D3"/>
    <w:rsid w:val="005360B9"/>
    <w:rsid w:val="00544F82"/>
    <w:rsid w:val="0054530F"/>
    <w:rsid w:val="00550373"/>
    <w:rsid w:val="00551CE8"/>
    <w:rsid w:val="00553553"/>
    <w:rsid w:val="00553D33"/>
    <w:rsid w:val="00555064"/>
    <w:rsid w:val="005563B9"/>
    <w:rsid w:val="00567238"/>
    <w:rsid w:val="00571925"/>
    <w:rsid w:val="005773BB"/>
    <w:rsid w:val="00580984"/>
    <w:rsid w:val="00581644"/>
    <w:rsid w:val="00586B4D"/>
    <w:rsid w:val="0059127F"/>
    <w:rsid w:val="00593C4F"/>
    <w:rsid w:val="005946A8"/>
    <w:rsid w:val="005952FB"/>
    <w:rsid w:val="005A0C10"/>
    <w:rsid w:val="005A4407"/>
    <w:rsid w:val="005A59EF"/>
    <w:rsid w:val="005A6A35"/>
    <w:rsid w:val="005A7083"/>
    <w:rsid w:val="005B4AB1"/>
    <w:rsid w:val="005C0F38"/>
    <w:rsid w:val="005C5DFC"/>
    <w:rsid w:val="005D271F"/>
    <w:rsid w:val="005D4D1F"/>
    <w:rsid w:val="005D6DAB"/>
    <w:rsid w:val="005D791F"/>
    <w:rsid w:val="005E390E"/>
    <w:rsid w:val="005E775B"/>
    <w:rsid w:val="005F1034"/>
    <w:rsid w:val="005F5663"/>
    <w:rsid w:val="00603768"/>
    <w:rsid w:val="00610F09"/>
    <w:rsid w:val="00625DC6"/>
    <w:rsid w:val="00635C23"/>
    <w:rsid w:val="00637189"/>
    <w:rsid w:val="00645492"/>
    <w:rsid w:val="00651821"/>
    <w:rsid w:val="00654384"/>
    <w:rsid w:val="00660F3C"/>
    <w:rsid w:val="006623A3"/>
    <w:rsid w:val="00664BAB"/>
    <w:rsid w:val="00664E94"/>
    <w:rsid w:val="006675CD"/>
    <w:rsid w:val="00674CDC"/>
    <w:rsid w:val="00684D9B"/>
    <w:rsid w:val="00685339"/>
    <w:rsid w:val="0068591A"/>
    <w:rsid w:val="006873BD"/>
    <w:rsid w:val="0069304E"/>
    <w:rsid w:val="00694EBF"/>
    <w:rsid w:val="006962EC"/>
    <w:rsid w:val="00697556"/>
    <w:rsid w:val="00697BA7"/>
    <w:rsid w:val="006A1A01"/>
    <w:rsid w:val="006A217C"/>
    <w:rsid w:val="006A4FA6"/>
    <w:rsid w:val="006A645B"/>
    <w:rsid w:val="006A6D70"/>
    <w:rsid w:val="006B0FB1"/>
    <w:rsid w:val="006B1919"/>
    <w:rsid w:val="006B34BE"/>
    <w:rsid w:val="006B4527"/>
    <w:rsid w:val="006B4C2B"/>
    <w:rsid w:val="006B6D47"/>
    <w:rsid w:val="006C46F3"/>
    <w:rsid w:val="006D524F"/>
    <w:rsid w:val="006D79F0"/>
    <w:rsid w:val="006E137E"/>
    <w:rsid w:val="006E56AD"/>
    <w:rsid w:val="006F1BBE"/>
    <w:rsid w:val="006F6BFA"/>
    <w:rsid w:val="006F6D95"/>
    <w:rsid w:val="00701ACB"/>
    <w:rsid w:val="00705B48"/>
    <w:rsid w:val="00706F13"/>
    <w:rsid w:val="007072E8"/>
    <w:rsid w:val="00713159"/>
    <w:rsid w:val="0071618D"/>
    <w:rsid w:val="00716318"/>
    <w:rsid w:val="00717DD5"/>
    <w:rsid w:val="00722FE5"/>
    <w:rsid w:val="00725FA4"/>
    <w:rsid w:val="00730815"/>
    <w:rsid w:val="0073443E"/>
    <w:rsid w:val="007354A4"/>
    <w:rsid w:val="00737B45"/>
    <w:rsid w:val="00737B50"/>
    <w:rsid w:val="00740446"/>
    <w:rsid w:val="00742502"/>
    <w:rsid w:val="007438A9"/>
    <w:rsid w:val="007439E0"/>
    <w:rsid w:val="0074491E"/>
    <w:rsid w:val="00750AEC"/>
    <w:rsid w:val="00754052"/>
    <w:rsid w:val="007541D8"/>
    <w:rsid w:val="00756AAD"/>
    <w:rsid w:val="007571D6"/>
    <w:rsid w:val="007616CB"/>
    <w:rsid w:val="00766F89"/>
    <w:rsid w:val="0076761A"/>
    <w:rsid w:val="00767652"/>
    <w:rsid w:val="0077482C"/>
    <w:rsid w:val="00775964"/>
    <w:rsid w:val="00776376"/>
    <w:rsid w:val="007769DE"/>
    <w:rsid w:val="00780870"/>
    <w:rsid w:val="00780FA6"/>
    <w:rsid w:val="0078136C"/>
    <w:rsid w:val="00782364"/>
    <w:rsid w:val="00790FA2"/>
    <w:rsid w:val="007918F6"/>
    <w:rsid w:val="00795BFB"/>
    <w:rsid w:val="007A62EA"/>
    <w:rsid w:val="007A6868"/>
    <w:rsid w:val="007A6B79"/>
    <w:rsid w:val="007A78F5"/>
    <w:rsid w:val="007B2760"/>
    <w:rsid w:val="007B4F8C"/>
    <w:rsid w:val="007B7B7A"/>
    <w:rsid w:val="007C0224"/>
    <w:rsid w:val="007C38DD"/>
    <w:rsid w:val="007E0CAD"/>
    <w:rsid w:val="007E6E52"/>
    <w:rsid w:val="007F05BB"/>
    <w:rsid w:val="007F2485"/>
    <w:rsid w:val="007F3525"/>
    <w:rsid w:val="007F4278"/>
    <w:rsid w:val="007F4339"/>
    <w:rsid w:val="007F5241"/>
    <w:rsid w:val="008002A1"/>
    <w:rsid w:val="0080129A"/>
    <w:rsid w:val="00806C01"/>
    <w:rsid w:val="00810E7B"/>
    <w:rsid w:val="00811667"/>
    <w:rsid w:val="0081199F"/>
    <w:rsid w:val="008148CC"/>
    <w:rsid w:val="008153F2"/>
    <w:rsid w:val="008156A0"/>
    <w:rsid w:val="00816A9A"/>
    <w:rsid w:val="00817FFE"/>
    <w:rsid w:val="008207F3"/>
    <w:rsid w:val="008211A4"/>
    <w:rsid w:val="008213C6"/>
    <w:rsid w:val="00821C68"/>
    <w:rsid w:val="00827991"/>
    <w:rsid w:val="00832864"/>
    <w:rsid w:val="008331B3"/>
    <w:rsid w:val="008337DA"/>
    <w:rsid w:val="008349EB"/>
    <w:rsid w:val="00836369"/>
    <w:rsid w:val="008376F4"/>
    <w:rsid w:val="00841BF0"/>
    <w:rsid w:val="00842CE9"/>
    <w:rsid w:val="0085270D"/>
    <w:rsid w:val="00856CFB"/>
    <w:rsid w:val="00860776"/>
    <w:rsid w:val="00863487"/>
    <w:rsid w:val="00867957"/>
    <w:rsid w:val="00873150"/>
    <w:rsid w:val="008736B8"/>
    <w:rsid w:val="00875E17"/>
    <w:rsid w:val="0087657D"/>
    <w:rsid w:val="0087786D"/>
    <w:rsid w:val="008803A1"/>
    <w:rsid w:val="008807D5"/>
    <w:rsid w:val="00880832"/>
    <w:rsid w:val="00882575"/>
    <w:rsid w:val="00883632"/>
    <w:rsid w:val="00886EE1"/>
    <w:rsid w:val="0088727D"/>
    <w:rsid w:val="00891130"/>
    <w:rsid w:val="008923B7"/>
    <w:rsid w:val="00892684"/>
    <w:rsid w:val="00894ED1"/>
    <w:rsid w:val="00897C75"/>
    <w:rsid w:val="008A5CED"/>
    <w:rsid w:val="008A7457"/>
    <w:rsid w:val="008B1883"/>
    <w:rsid w:val="008B622D"/>
    <w:rsid w:val="008C1130"/>
    <w:rsid w:val="008C1CFA"/>
    <w:rsid w:val="008D0A20"/>
    <w:rsid w:val="008D18E6"/>
    <w:rsid w:val="008D52A9"/>
    <w:rsid w:val="008D71C8"/>
    <w:rsid w:val="008D7A9B"/>
    <w:rsid w:val="008E76AC"/>
    <w:rsid w:val="008F21F6"/>
    <w:rsid w:val="008F6530"/>
    <w:rsid w:val="00900465"/>
    <w:rsid w:val="009058AC"/>
    <w:rsid w:val="009061DF"/>
    <w:rsid w:val="009065D7"/>
    <w:rsid w:val="0090780F"/>
    <w:rsid w:val="009115EA"/>
    <w:rsid w:val="00911BEF"/>
    <w:rsid w:val="00911FBC"/>
    <w:rsid w:val="009137C4"/>
    <w:rsid w:val="0091457C"/>
    <w:rsid w:val="00915A96"/>
    <w:rsid w:val="009209CD"/>
    <w:rsid w:val="00922C35"/>
    <w:rsid w:val="00930376"/>
    <w:rsid w:val="00933462"/>
    <w:rsid w:val="00934E08"/>
    <w:rsid w:val="009354EF"/>
    <w:rsid w:val="0094185F"/>
    <w:rsid w:val="00941AC6"/>
    <w:rsid w:val="00941E6B"/>
    <w:rsid w:val="00951890"/>
    <w:rsid w:val="00951F79"/>
    <w:rsid w:val="00953097"/>
    <w:rsid w:val="0095358A"/>
    <w:rsid w:val="00953B91"/>
    <w:rsid w:val="00953F1F"/>
    <w:rsid w:val="00954E03"/>
    <w:rsid w:val="009611BB"/>
    <w:rsid w:val="00962EE6"/>
    <w:rsid w:val="00964DF0"/>
    <w:rsid w:val="00967E17"/>
    <w:rsid w:val="00967F2C"/>
    <w:rsid w:val="00974AB5"/>
    <w:rsid w:val="00976F2C"/>
    <w:rsid w:val="0098150B"/>
    <w:rsid w:val="0098565E"/>
    <w:rsid w:val="00986D2F"/>
    <w:rsid w:val="0098706D"/>
    <w:rsid w:val="00990CDA"/>
    <w:rsid w:val="009914BC"/>
    <w:rsid w:val="00991C16"/>
    <w:rsid w:val="009935FB"/>
    <w:rsid w:val="009A0C26"/>
    <w:rsid w:val="009A1782"/>
    <w:rsid w:val="009A22C0"/>
    <w:rsid w:val="009A4E14"/>
    <w:rsid w:val="009C0C33"/>
    <w:rsid w:val="009D507F"/>
    <w:rsid w:val="009D7152"/>
    <w:rsid w:val="009E3EB5"/>
    <w:rsid w:val="009E480B"/>
    <w:rsid w:val="009E4D64"/>
    <w:rsid w:val="009E6CF7"/>
    <w:rsid w:val="009F4A54"/>
    <w:rsid w:val="009F4BEC"/>
    <w:rsid w:val="009F5BFE"/>
    <w:rsid w:val="009F5D1F"/>
    <w:rsid w:val="00A02A71"/>
    <w:rsid w:val="00A04597"/>
    <w:rsid w:val="00A077F3"/>
    <w:rsid w:val="00A11661"/>
    <w:rsid w:val="00A12BAF"/>
    <w:rsid w:val="00A25B4A"/>
    <w:rsid w:val="00A25FD7"/>
    <w:rsid w:val="00A26EBD"/>
    <w:rsid w:val="00A3333F"/>
    <w:rsid w:val="00A36E12"/>
    <w:rsid w:val="00A40A79"/>
    <w:rsid w:val="00A424C6"/>
    <w:rsid w:val="00A43AFF"/>
    <w:rsid w:val="00A441E9"/>
    <w:rsid w:val="00A466BC"/>
    <w:rsid w:val="00A55A9E"/>
    <w:rsid w:val="00A606AA"/>
    <w:rsid w:val="00A61846"/>
    <w:rsid w:val="00A70F06"/>
    <w:rsid w:val="00A7793A"/>
    <w:rsid w:val="00A80287"/>
    <w:rsid w:val="00A818AC"/>
    <w:rsid w:val="00A8650D"/>
    <w:rsid w:val="00A908AC"/>
    <w:rsid w:val="00A9400E"/>
    <w:rsid w:val="00A94C83"/>
    <w:rsid w:val="00A978E9"/>
    <w:rsid w:val="00AA489B"/>
    <w:rsid w:val="00AB0B80"/>
    <w:rsid w:val="00AB1BDB"/>
    <w:rsid w:val="00AB29FD"/>
    <w:rsid w:val="00AB3AC6"/>
    <w:rsid w:val="00AB5A27"/>
    <w:rsid w:val="00AB6AC0"/>
    <w:rsid w:val="00AB6CA7"/>
    <w:rsid w:val="00AC074B"/>
    <w:rsid w:val="00AC1273"/>
    <w:rsid w:val="00AC23C2"/>
    <w:rsid w:val="00AC2B59"/>
    <w:rsid w:val="00AC51C0"/>
    <w:rsid w:val="00AC6CAF"/>
    <w:rsid w:val="00AC75FD"/>
    <w:rsid w:val="00AD01E4"/>
    <w:rsid w:val="00AD0858"/>
    <w:rsid w:val="00AD701B"/>
    <w:rsid w:val="00AE17B4"/>
    <w:rsid w:val="00AE3404"/>
    <w:rsid w:val="00AE7340"/>
    <w:rsid w:val="00AE7B19"/>
    <w:rsid w:val="00AF1367"/>
    <w:rsid w:val="00AF1BBD"/>
    <w:rsid w:val="00AF35CA"/>
    <w:rsid w:val="00AF4EE1"/>
    <w:rsid w:val="00B01CF9"/>
    <w:rsid w:val="00B10207"/>
    <w:rsid w:val="00B128A2"/>
    <w:rsid w:val="00B12C03"/>
    <w:rsid w:val="00B141E7"/>
    <w:rsid w:val="00B21018"/>
    <w:rsid w:val="00B22BC1"/>
    <w:rsid w:val="00B25FC8"/>
    <w:rsid w:val="00B268AD"/>
    <w:rsid w:val="00B33FD6"/>
    <w:rsid w:val="00B34417"/>
    <w:rsid w:val="00B351B4"/>
    <w:rsid w:val="00B40432"/>
    <w:rsid w:val="00B40538"/>
    <w:rsid w:val="00B40A9C"/>
    <w:rsid w:val="00B40AAB"/>
    <w:rsid w:val="00B42966"/>
    <w:rsid w:val="00B43FB5"/>
    <w:rsid w:val="00B451B4"/>
    <w:rsid w:val="00B4672B"/>
    <w:rsid w:val="00B46BCA"/>
    <w:rsid w:val="00B51749"/>
    <w:rsid w:val="00B53571"/>
    <w:rsid w:val="00B56945"/>
    <w:rsid w:val="00B6051B"/>
    <w:rsid w:val="00B63E58"/>
    <w:rsid w:val="00B65232"/>
    <w:rsid w:val="00B65E10"/>
    <w:rsid w:val="00B66917"/>
    <w:rsid w:val="00B82C21"/>
    <w:rsid w:val="00B8422F"/>
    <w:rsid w:val="00B84D24"/>
    <w:rsid w:val="00B84E38"/>
    <w:rsid w:val="00B85E34"/>
    <w:rsid w:val="00B87806"/>
    <w:rsid w:val="00B87DD6"/>
    <w:rsid w:val="00B87EC9"/>
    <w:rsid w:val="00B90127"/>
    <w:rsid w:val="00B91A16"/>
    <w:rsid w:val="00B92D3F"/>
    <w:rsid w:val="00BA1013"/>
    <w:rsid w:val="00BA1670"/>
    <w:rsid w:val="00BA24C2"/>
    <w:rsid w:val="00BA3698"/>
    <w:rsid w:val="00BA5DCE"/>
    <w:rsid w:val="00BB0D44"/>
    <w:rsid w:val="00BB53DC"/>
    <w:rsid w:val="00BC38FD"/>
    <w:rsid w:val="00BC4FA6"/>
    <w:rsid w:val="00BC709E"/>
    <w:rsid w:val="00BD1A8E"/>
    <w:rsid w:val="00BD5C69"/>
    <w:rsid w:val="00BD67E2"/>
    <w:rsid w:val="00BD6BDE"/>
    <w:rsid w:val="00BE005B"/>
    <w:rsid w:val="00BE00F7"/>
    <w:rsid w:val="00BE0364"/>
    <w:rsid w:val="00BE1240"/>
    <w:rsid w:val="00BE64A7"/>
    <w:rsid w:val="00BF09C9"/>
    <w:rsid w:val="00BF2AEA"/>
    <w:rsid w:val="00C0253A"/>
    <w:rsid w:val="00C034CB"/>
    <w:rsid w:val="00C051A8"/>
    <w:rsid w:val="00C054BC"/>
    <w:rsid w:val="00C055B9"/>
    <w:rsid w:val="00C11A3E"/>
    <w:rsid w:val="00C12B34"/>
    <w:rsid w:val="00C1381C"/>
    <w:rsid w:val="00C14B3B"/>
    <w:rsid w:val="00C17897"/>
    <w:rsid w:val="00C362FB"/>
    <w:rsid w:val="00C40072"/>
    <w:rsid w:val="00C40279"/>
    <w:rsid w:val="00C409D5"/>
    <w:rsid w:val="00C4558E"/>
    <w:rsid w:val="00C45948"/>
    <w:rsid w:val="00C516F4"/>
    <w:rsid w:val="00C5380E"/>
    <w:rsid w:val="00C54013"/>
    <w:rsid w:val="00C548C5"/>
    <w:rsid w:val="00C55D13"/>
    <w:rsid w:val="00C57726"/>
    <w:rsid w:val="00C6234B"/>
    <w:rsid w:val="00C626F8"/>
    <w:rsid w:val="00C63EA6"/>
    <w:rsid w:val="00C63EAE"/>
    <w:rsid w:val="00C65EA1"/>
    <w:rsid w:val="00C7096A"/>
    <w:rsid w:val="00C717F6"/>
    <w:rsid w:val="00C7629F"/>
    <w:rsid w:val="00C770F7"/>
    <w:rsid w:val="00C830DC"/>
    <w:rsid w:val="00C8661B"/>
    <w:rsid w:val="00C95D6F"/>
    <w:rsid w:val="00CA139A"/>
    <w:rsid w:val="00CA2899"/>
    <w:rsid w:val="00CA77FB"/>
    <w:rsid w:val="00CB149F"/>
    <w:rsid w:val="00CB379B"/>
    <w:rsid w:val="00CB4B5E"/>
    <w:rsid w:val="00CB5271"/>
    <w:rsid w:val="00CB5DD0"/>
    <w:rsid w:val="00CC031B"/>
    <w:rsid w:val="00CC3687"/>
    <w:rsid w:val="00CC3924"/>
    <w:rsid w:val="00CC51D4"/>
    <w:rsid w:val="00CC5AFD"/>
    <w:rsid w:val="00CC65DA"/>
    <w:rsid w:val="00CC7741"/>
    <w:rsid w:val="00CD0A34"/>
    <w:rsid w:val="00CE4C66"/>
    <w:rsid w:val="00CE515B"/>
    <w:rsid w:val="00CE742A"/>
    <w:rsid w:val="00CF21B9"/>
    <w:rsid w:val="00CF3491"/>
    <w:rsid w:val="00CF4B84"/>
    <w:rsid w:val="00CF6BF9"/>
    <w:rsid w:val="00D01388"/>
    <w:rsid w:val="00D02CA4"/>
    <w:rsid w:val="00D03800"/>
    <w:rsid w:val="00D065D3"/>
    <w:rsid w:val="00D147ED"/>
    <w:rsid w:val="00D14C94"/>
    <w:rsid w:val="00D177DE"/>
    <w:rsid w:val="00D21071"/>
    <w:rsid w:val="00D2342A"/>
    <w:rsid w:val="00D24797"/>
    <w:rsid w:val="00D3149F"/>
    <w:rsid w:val="00D342A6"/>
    <w:rsid w:val="00D34E4D"/>
    <w:rsid w:val="00D45184"/>
    <w:rsid w:val="00D464BF"/>
    <w:rsid w:val="00D53E26"/>
    <w:rsid w:val="00D56930"/>
    <w:rsid w:val="00D6242F"/>
    <w:rsid w:val="00D72F79"/>
    <w:rsid w:val="00D749EF"/>
    <w:rsid w:val="00D77F9F"/>
    <w:rsid w:val="00D86432"/>
    <w:rsid w:val="00D91C06"/>
    <w:rsid w:val="00DA294E"/>
    <w:rsid w:val="00DA3D8D"/>
    <w:rsid w:val="00DB4FE2"/>
    <w:rsid w:val="00DB64F1"/>
    <w:rsid w:val="00DC4EBC"/>
    <w:rsid w:val="00DC7BD4"/>
    <w:rsid w:val="00DD0FB0"/>
    <w:rsid w:val="00DD4F0E"/>
    <w:rsid w:val="00DD6645"/>
    <w:rsid w:val="00DE14C7"/>
    <w:rsid w:val="00DE3846"/>
    <w:rsid w:val="00DE3F7C"/>
    <w:rsid w:val="00DE4813"/>
    <w:rsid w:val="00DE53B8"/>
    <w:rsid w:val="00DE62E3"/>
    <w:rsid w:val="00DF11ED"/>
    <w:rsid w:val="00DF24F7"/>
    <w:rsid w:val="00DF40E1"/>
    <w:rsid w:val="00DF40E2"/>
    <w:rsid w:val="00E02D66"/>
    <w:rsid w:val="00E030E5"/>
    <w:rsid w:val="00E03EC6"/>
    <w:rsid w:val="00E05E0A"/>
    <w:rsid w:val="00E07B45"/>
    <w:rsid w:val="00E12258"/>
    <w:rsid w:val="00E13B65"/>
    <w:rsid w:val="00E16FA0"/>
    <w:rsid w:val="00E2019E"/>
    <w:rsid w:val="00E213CE"/>
    <w:rsid w:val="00E238A1"/>
    <w:rsid w:val="00E26585"/>
    <w:rsid w:val="00E32726"/>
    <w:rsid w:val="00E417B9"/>
    <w:rsid w:val="00E41E7D"/>
    <w:rsid w:val="00E42045"/>
    <w:rsid w:val="00E5184F"/>
    <w:rsid w:val="00E51EB5"/>
    <w:rsid w:val="00E534CF"/>
    <w:rsid w:val="00E5689C"/>
    <w:rsid w:val="00E638DD"/>
    <w:rsid w:val="00E6564C"/>
    <w:rsid w:val="00E65B06"/>
    <w:rsid w:val="00E67F39"/>
    <w:rsid w:val="00E7418C"/>
    <w:rsid w:val="00E81CB4"/>
    <w:rsid w:val="00E83C39"/>
    <w:rsid w:val="00E8585B"/>
    <w:rsid w:val="00E8758F"/>
    <w:rsid w:val="00EA3F15"/>
    <w:rsid w:val="00EA460D"/>
    <w:rsid w:val="00EA5B85"/>
    <w:rsid w:val="00EA7847"/>
    <w:rsid w:val="00EB40D0"/>
    <w:rsid w:val="00EB4882"/>
    <w:rsid w:val="00EC1C6F"/>
    <w:rsid w:val="00EC2904"/>
    <w:rsid w:val="00EC75CB"/>
    <w:rsid w:val="00ED3149"/>
    <w:rsid w:val="00ED3EB9"/>
    <w:rsid w:val="00ED4FF5"/>
    <w:rsid w:val="00ED7FDF"/>
    <w:rsid w:val="00EE20C0"/>
    <w:rsid w:val="00EE28D3"/>
    <w:rsid w:val="00EE2E6E"/>
    <w:rsid w:val="00EE4140"/>
    <w:rsid w:val="00F03968"/>
    <w:rsid w:val="00F04104"/>
    <w:rsid w:val="00F06FB5"/>
    <w:rsid w:val="00F0759E"/>
    <w:rsid w:val="00F113E1"/>
    <w:rsid w:val="00F11C4C"/>
    <w:rsid w:val="00F2089D"/>
    <w:rsid w:val="00F20B49"/>
    <w:rsid w:val="00F27942"/>
    <w:rsid w:val="00F31978"/>
    <w:rsid w:val="00F379EF"/>
    <w:rsid w:val="00F37C63"/>
    <w:rsid w:val="00F41920"/>
    <w:rsid w:val="00F43A0D"/>
    <w:rsid w:val="00F475D8"/>
    <w:rsid w:val="00F50B3D"/>
    <w:rsid w:val="00F64922"/>
    <w:rsid w:val="00F665DA"/>
    <w:rsid w:val="00F722B5"/>
    <w:rsid w:val="00F77405"/>
    <w:rsid w:val="00F805F9"/>
    <w:rsid w:val="00F81D5F"/>
    <w:rsid w:val="00F821A3"/>
    <w:rsid w:val="00F831E7"/>
    <w:rsid w:val="00F926AB"/>
    <w:rsid w:val="00F9314A"/>
    <w:rsid w:val="00FA4F1A"/>
    <w:rsid w:val="00FA61CC"/>
    <w:rsid w:val="00FB56BD"/>
    <w:rsid w:val="00FC0C9A"/>
    <w:rsid w:val="00FC493C"/>
    <w:rsid w:val="00FC58EF"/>
    <w:rsid w:val="00FD33DF"/>
    <w:rsid w:val="00FD711F"/>
    <w:rsid w:val="00FD75C9"/>
    <w:rsid w:val="00FE231B"/>
    <w:rsid w:val="00FE39D7"/>
    <w:rsid w:val="00FF7483"/>
    <w:rsid w:val="00FF7FA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uiPriority="9"/>
    <w:lsdException w:name="heading 7" w:uiPriority="9" w:qFormat="1"/>
    <w:lsdException w:name="heading 8" w:uiPriority="9" w:qFormat="1"/>
    <w:lsdException w:name="heading 9" w:uiPriority="0" w:qFormat="1"/>
    <w:lsdException w:name="index 1" w:uiPriority="0"/>
    <w:lsdException w:name="index 2" w:uiPriority="0"/>
    <w:lsdException w:name="index 3"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table of figures" w:uiPriority="0"/>
    <w:lsdException w:name="footnote reference" w:uiPriority="0"/>
    <w:lsdException w:name="annotation reference" w:uiPriority="0"/>
    <w:lsdException w:name="page number" w:uiPriority="0"/>
    <w:lsdException w:name="List" w:uiPriority="0"/>
    <w:lsdException w:name="List Bullet" w:uiPriority="0"/>
    <w:lsdException w:name="List Bullet 2"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First Indent" w:uiPriority="0"/>
    <w:lsdException w:name="Body Text 2"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HTML Bottom of Form"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07F3"/>
    <w:pPr>
      <w:jc w:val="both"/>
    </w:pPr>
    <w:rPr>
      <w:rFonts w:ascii="Bookman Old Style" w:hAnsi="Bookman Old Style"/>
      <w:sz w:val="24"/>
      <w:szCs w:val="24"/>
    </w:rPr>
  </w:style>
  <w:style w:type="paragraph" w:styleId="Ttulo1">
    <w:name w:val="heading 1"/>
    <w:basedOn w:val="Prrafodelista"/>
    <w:next w:val="Normal"/>
    <w:link w:val="Ttulo1Car"/>
    <w:qFormat/>
    <w:rsid w:val="00BB53DC"/>
    <w:pPr>
      <w:keepNext/>
      <w:numPr>
        <w:numId w:val="3"/>
      </w:numPr>
      <w:spacing w:before="120" w:after="240"/>
      <w:outlineLvl w:val="0"/>
    </w:pPr>
    <w:rPr>
      <w:b/>
      <w:spacing w:val="4"/>
      <w:sz w:val="24"/>
      <w:szCs w:val="24"/>
      <w:lang w:val="es-ES"/>
    </w:rPr>
  </w:style>
  <w:style w:type="paragraph" w:styleId="Ttulo2">
    <w:name w:val="heading 2"/>
    <w:basedOn w:val="Ttulo1"/>
    <w:next w:val="Normal"/>
    <w:link w:val="Ttulo2Car"/>
    <w:autoRedefine/>
    <w:qFormat/>
    <w:rsid w:val="00B43FB5"/>
    <w:pPr>
      <w:numPr>
        <w:ilvl w:val="1"/>
      </w:numPr>
      <w:outlineLvl w:val="1"/>
    </w:pPr>
  </w:style>
  <w:style w:type="paragraph" w:styleId="Ttulo3">
    <w:name w:val="heading 3"/>
    <w:basedOn w:val="Ttulo2"/>
    <w:next w:val="Normal"/>
    <w:link w:val="Ttulo3Car"/>
    <w:uiPriority w:val="9"/>
    <w:qFormat/>
    <w:rsid w:val="00E213CE"/>
    <w:pPr>
      <w:numPr>
        <w:ilvl w:val="2"/>
      </w:numPr>
      <w:ind w:left="993" w:hanging="993"/>
      <w:outlineLvl w:val="2"/>
    </w:pPr>
  </w:style>
  <w:style w:type="paragraph" w:styleId="Ttulo4">
    <w:name w:val="heading 4"/>
    <w:basedOn w:val="Normal"/>
    <w:next w:val="Normal"/>
    <w:link w:val="Ttulo4Car"/>
    <w:qFormat/>
    <w:rsid w:val="003101DA"/>
    <w:pPr>
      <w:keepNext/>
      <w:numPr>
        <w:ilvl w:val="3"/>
        <w:numId w:val="3"/>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numPr>
        <w:ilvl w:val="4"/>
        <w:numId w:val="3"/>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iPriority w:val="9"/>
    <w:unhideWhenUsed/>
    <w:rsid w:val="00795BFB"/>
    <w:pPr>
      <w:numPr>
        <w:ilvl w:val="5"/>
        <w:numId w:val="3"/>
      </w:numPr>
      <w:spacing w:before="240" w:after="60"/>
      <w:outlineLvl w:val="5"/>
    </w:pPr>
    <w:rPr>
      <w:rFonts w:ascii="Calibri" w:hAnsi="Calibri"/>
      <w:b/>
      <w:bCs/>
      <w:sz w:val="22"/>
      <w:szCs w:val="22"/>
    </w:rPr>
  </w:style>
  <w:style w:type="paragraph" w:styleId="Ttulo7">
    <w:name w:val="heading 7"/>
    <w:basedOn w:val="Normal"/>
    <w:next w:val="Normal"/>
    <w:link w:val="Ttulo7Car"/>
    <w:uiPriority w:val="9"/>
    <w:qFormat/>
    <w:rsid w:val="006E56AD"/>
    <w:pPr>
      <w:keepNext/>
      <w:numPr>
        <w:ilvl w:val="6"/>
        <w:numId w:val="3"/>
      </w:numPr>
      <w:spacing w:before="160" w:after="160"/>
      <w:jc w:val="center"/>
      <w:outlineLvl w:val="6"/>
    </w:pPr>
    <w:rPr>
      <w:rFonts w:ascii="Arial" w:hAnsi="Arial"/>
      <w:b/>
      <w:sz w:val="22"/>
      <w:szCs w:val="20"/>
      <w:lang w:val="es-CO"/>
    </w:rPr>
  </w:style>
  <w:style w:type="paragraph" w:styleId="Ttulo8">
    <w:name w:val="heading 8"/>
    <w:basedOn w:val="Normal"/>
    <w:next w:val="Normal"/>
    <w:link w:val="Ttulo8Car"/>
    <w:uiPriority w:val="9"/>
    <w:qFormat/>
    <w:rsid w:val="006E56AD"/>
    <w:pPr>
      <w:keepNext/>
      <w:numPr>
        <w:ilvl w:val="7"/>
        <w:numId w:val="3"/>
      </w:numPr>
      <w:spacing w:before="160" w:after="160"/>
      <w:jc w:val="center"/>
      <w:outlineLvl w:val="7"/>
    </w:pPr>
    <w:rPr>
      <w:rFonts w:ascii="Arial" w:hAnsi="Arial" w:cs="Arial"/>
      <w:b/>
      <w:sz w:val="22"/>
      <w:szCs w:val="20"/>
      <w:lang w:val="es-CO"/>
    </w:rPr>
  </w:style>
  <w:style w:type="paragraph" w:styleId="Ttulo9">
    <w:name w:val="heading 9"/>
    <w:basedOn w:val="Normal"/>
    <w:next w:val="Normal"/>
    <w:link w:val="Ttulo9Car"/>
    <w:qFormat/>
    <w:rsid w:val="006E56AD"/>
    <w:pPr>
      <w:keepNext/>
      <w:numPr>
        <w:ilvl w:val="8"/>
        <w:numId w:val="3"/>
      </w:numPr>
      <w:spacing w:before="160" w:after="160"/>
      <w:outlineLvl w:val="8"/>
    </w:pPr>
    <w:rPr>
      <w:rFonts w:ascii="Arial" w:hAnsi="Arial"/>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1405C6"/>
    <w:pPr>
      <w:ind w:left="720" w:hanging="360"/>
    </w:pPr>
    <w:rPr>
      <w:sz w:val="20"/>
      <w:szCs w:val="20"/>
      <w:lang w:val="es-CO"/>
    </w:rPr>
  </w:style>
  <w:style w:type="character" w:customStyle="1" w:styleId="PrrafodelistaCar">
    <w:name w:val="Párrafo de lista Car"/>
    <w:basedOn w:val="Fuentedeprrafopredeter"/>
    <w:link w:val="Prrafodelista"/>
    <w:uiPriority w:val="34"/>
    <w:rsid w:val="001405C6"/>
    <w:rPr>
      <w:rFonts w:ascii="Bookman Old Style" w:hAnsi="Bookman Old Style"/>
      <w:lang w:val="es-CO"/>
    </w:rPr>
  </w:style>
  <w:style w:type="character" w:customStyle="1" w:styleId="Ttulo1Car">
    <w:name w:val="Título 1 Car"/>
    <w:basedOn w:val="Fuentedeprrafopredeter"/>
    <w:link w:val="Ttulo1"/>
    <w:rsid w:val="00BB53DC"/>
    <w:rPr>
      <w:rFonts w:ascii="Bookman Old Style" w:hAnsi="Bookman Old Style"/>
      <w:b/>
      <w:spacing w:val="4"/>
      <w:sz w:val="24"/>
      <w:szCs w:val="24"/>
    </w:rPr>
  </w:style>
  <w:style w:type="character" w:customStyle="1" w:styleId="Ttulo2Car">
    <w:name w:val="Título 2 Car"/>
    <w:basedOn w:val="Fuentedeprrafopredeter"/>
    <w:link w:val="Ttulo2"/>
    <w:rsid w:val="00B43FB5"/>
    <w:rPr>
      <w:rFonts w:ascii="Bookman Old Style" w:hAnsi="Bookman Old Style"/>
      <w:b/>
      <w:spacing w:val="4"/>
      <w:sz w:val="24"/>
      <w:szCs w:val="24"/>
    </w:rPr>
  </w:style>
  <w:style w:type="character" w:customStyle="1" w:styleId="Ttulo3Car">
    <w:name w:val="Título 3 Car"/>
    <w:basedOn w:val="Fuentedeprrafopredeter"/>
    <w:link w:val="Ttulo3"/>
    <w:uiPriority w:val="9"/>
    <w:rsid w:val="00E213CE"/>
    <w:rPr>
      <w:rFonts w:ascii="Bookman Old Style" w:hAnsi="Bookman Old Style"/>
      <w:b/>
      <w:spacing w:val="4"/>
      <w:sz w:val="24"/>
      <w:szCs w:val="24"/>
    </w:rPr>
  </w:style>
  <w:style w:type="character" w:customStyle="1" w:styleId="Ttulo4Car">
    <w:name w:val="Título 4 Car"/>
    <w:basedOn w:val="Fuentedeprrafopredeter"/>
    <w:link w:val="Ttulo4"/>
    <w:rsid w:val="00141013"/>
    <w:rPr>
      <w:rFonts w:ascii="Arial" w:hAnsi="Arial" w:cs="Arial"/>
      <w:b/>
      <w:snapToGrid w:val="0"/>
      <w:color w:val="000000"/>
      <w:spacing w:val="20"/>
      <w:lang w:val="es-ES_tradnl"/>
    </w:rPr>
  </w:style>
  <w:style w:type="character" w:customStyle="1" w:styleId="Ttulo5Car">
    <w:name w:val="Título 5 Car"/>
    <w:basedOn w:val="Fuentedeprrafopredeter"/>
    <w:link w:val="Ttulo5"/>
    <w:rsid w:val="00141013"/>
    <w:rPr>
      <w:rFonts w:ascii="Arial" w:hAnsi="Arial" w:cs="Arial"/>
      <w:b/>
      <w:snapToGrid w:val="0"/>
      <w:color w:val="000000"/>
      <w:spacing w:val="20"/>
      <w:sz w:val="28"/>
      <w:lang w:val="es-ES_tradnl"/>
    </w:rPr>
  </w:style>
  <w:style w:type="character" w:customStyle="1" w:styleId="Ttulo6Car">
    <w:name w:val="Título 6 Car"/>
    <w:basedOn w:val="Fuentedeprrafopredeter"/>
    <w:link w:val="Ttulo6"/>
    <w:uiPriority w:val="9"/>
    <w:rsid w:val="00795BFB"/>
    <w:rPr>
      <w:rFonts w:ascii="Calibri" w:hAnsi="Calibri"/>
      <w:b/>
      <w:bCs/>
      <w:sz w:val="22"/>
      <w:szCs w:val="22"/>
    </w:rPr>
  </w:style>
  <w:style w:type="character" w:customStyle="1" w:styleId="Ttulo7Car">
    <w:name w:val="Título 7 Car"/>
    <w:basedOn w:val="Fuentedeprrafopredeter"/>
    <w:link w:val="Ttulo7"/>
    <w:uiPriority w:val="9"/>
    <w:rsid w:val="006E56AD"/>
    <w:rPr>
      <w:rFonts w:ascii="Arial" w:hAnsi="Arial"/>
      <w:b/>
      <w:sz w:val="22"/>
      <w:lang w:val="es-CO"/>
    </w:rPr>
  </w:style>
  <w:style w:type="character" w:customStyle="1" w:styleId="Ttulo8Car">
    <w:name w:val="Título 8 Car"/>
    <w:basedOn w:val="Fuentedeprrafopredeter"/>
    <w:link w:val="Ttulo8"/>
    <w:uiPriority w:val="9"/>
    <w:rsid w:val="006E56AD"/>
    <w:rPr>
      <w:rFonts w:ascii="Arial" w:hAnsi="Arial" w:cs="Arial"/>
      <w:b/>
      <w:sz w:val="22"/>
      <w:lang w:val="es-CO"/>
    </w:rPr>
  </w:style>
  <w:style w:type="character" w:customStyle="1" w:styleId="Ttulo9Car">
    <w:name w:val="Título 9 Car"/>
    <w:basedOn w:val="Fuentedeprrafopredeter"/>
    <w:link w:val="Ttulo9"/>
    <w:rsid w:val="006E56AD"/>
    <w:rPr>
      <w:rFonts w:ascii="Arial" w:hAnsi="Arial"/>
      <w:sz w:val="22"/>
      <w:lang w:val="es-CO"/>
    </w:rPr>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character" w:customStyle="1" w:styleId="EncabezadoCar">
    <w:name w:val="Encabezado Car"/>
    <w:basedOn w:val="Fuentedeprrafopredeter"/>
    <w:link w:val="Encabezado"/>
    <w:rsid w:val="00593C4F"/>
    <w:rPr>
      <w:rFonts w:ascii="CG Times" w:hAnsi="CG Times"/>
      <w:sz w:val="24"/>
      <w:lang w:val="es-CO"/>
    </w:rPr>
  </w:style>
  <w:style w:type="paragraph" w:styleId="Piedepgina">
    <w:name w:val="footer"/>
    <w:basedOn w:val="Normal"/>
    <w:link w:val="PiedepginaCar"/>
    <w:rsid w:val="003101DA"/>
    <w:pPr>
      <w:tabs>
        <w:tab w:val="center" w:pos="4252"/>
        <w:tab w:val="right" w:pos="8504"/>
      </w:tabs>
    </w:pPr>
  </w:style>
  <w:style w:type="character" w:customStyle="1" w:styleId="PiedepginaCar">
    <w:name w:val="Pie de página Car"/>
    <w:basedOn w:val="Fuentedeprrafopredeter"/>
    <w:link w:val="Piedepgina"/>
    <w:rsid w:val="006E56AD"/>
    <w:rPr>
      <w:sz w:val="24"/>
      <w:szCs w:val="24"/>
    </w:r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character" w:customStyle="1" w:styleId="TextoindependienteCar">
    <w:name w:val="Texto independiente Car"/>
    <w:basedOn w:val="Fuentedeprrafopredeter"/>
    <w:link w:val="Textoindependiente"/>
    <w:rsid w:val="00141013"/>
    <w:rPr>
      <w:rFonts w:ascii="Arial" w:hAnsi="Arial" w:cs="Arial"/>
      <w:b/>
      <w:bCs/>
      <w:sz w:val="24"/>
      <w:szCs w:val="24"/>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character" w:customStyle="1" w:styleId="Textoindependiente3Car">
    <w:name w:val="Texto independiente 3 Car"/>
    <w:basedOn w:val="Fuentedeprrafopredeter"/>
    <w:link w:val="Textoindependiente3"/>
    <w:uiPriority w:val="99"/>
    <w:rsid w:val="00141013"/>
    <w:rPr>
      <w:rFonts w:ascii="Arial" w:hAnsi="Arial" w:cs="Arial"/>
      <w:b/>
      <w:bCs/>
      <w:spacing w:val="-3"/>
      <w:sz w:val="24"/>
      <w:szCs w:val="24"/>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basedOn w:val="Fuentedeprrafopredeter"/>
    <w:link w:val="Textodeglobo"/>
    <w:uiPriority w:val="99"/>
    <w:rsid w:val="00725FA4"/>
    <w:rPr>
      <w:rFonts w:ascii="Tahoma" w:hAnsi="Tahoma" w:cs="Tahoma"/>
      <w:sz w:val="16"/>
      <w:szCs w:val="16"/>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basedOn w:val="Fuentedeprrafopredeter"/>
    <w:link w:val="Ttulo"/>
    <w:rsid w:val="00795BFB"/>
    <w:rPr>
      <w:rFonts w:ascii="Arial" w:hAnsi="Arial" w:cs="Arial"/>
      <w:b/>
      <w:bCs/>
      <w:sz w:val="24"/>
      <w:szCs w:val="24"/>
    </w:rPr>
  </w:style>
  <w:style w:type="paragraph" w:styleId="TDC1">
    <w:name w:val="toc 1"/>
    <w:basedOn w:val="Normal"/>
    <w:next w:val="Normal"/>
    <w:autoRedefine/>
    <w:uiPriority w:val="39"/>
    <w:qFormat/>
    <w:rsid w:val="003E78D5"/>
    <w:pPr>
      <w:tabs>
        <w:tab w:val="left" w:pos="709"/>
        <w:tab w:val="left" w:pos="1701"/>
        <w:tab w:val="right" w:leader="dot" w:pos="9356"/>
      </w:tabs>
      <w:spacing w:before="240"/>
    </w:pPr>
    <w:rPr>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basedOn w:val="Fuentedeprrafopredeter"/>
    <w:link w:val="Textoindependiente2"/>
    <w:semiHidden/>
    <w:rsid w:val="00006AE2"/>
    <w:rPr>
      <w:sz w:val="24"/>
      <w:szCs w:val="24"/>
    </w:rPr>
  </w:style>
  <w:style w:type="paragraph" w:styleId="Epgrafe">
    <w:name w:val="caption"/>
    <w:basedOn w:val="Normal"/>
    <w:next w:val="Normal"/>
    <w:link w:val="EpgrafeCar"/>
    <w:qFormat/>
    <w:rsid w:val="003A31F6"/>
    <w:pPr>
      <w:widowControl w:val="0"/>
      <w:adjustRightInd w:val="0"/>
      <w:spacing w:before="120" w:after="120" w:line="360" w:lineRule="atLeast"/>
      <w:jc w:val="center"/>
      <w:textAlignment w:val="baseline"/>
    </w:pPr>
    <w:rPr>
      <w:rFonts w:ascii="Arial" w:hAnsi="Arial"/>
      <w:sz w:val="20"/>
      <w:szCs w:val="20"/>
    </w:rPr>
  </w:style>
  <w:style w:type="character" w:customStyle="1" w:styleId="EpgrafeCar">
    <w:name w:val="Epígrafe Car"/>
    <w:basedOn w:val="Fuentedeprrafopredeter"/>
    <w:link w:val="Epgrafe"/>
    <w:rsid w:val="008207F3"/>
    <w:rPr>
      <w:rFonts w:ascii="Arial" w:hAnsi="Arial"/>
    </w:rPr>
  </w:style>
  <w:style w:type="paragraph" w:styleId="Sinespaciado">
    <w:name w:val="No Spacing"/>
    <w:uiPriority w:val="1"/>
    <w:qFormat/>
    <w:rsid w:val="003A31F6"/>
    <w:rPr>
      <w:rFonts w:ascii="Calibri" w:hAnsi="Calibri" w:cs="Calibri"/>
      <w:sz w:val="22"/>
      <w:szCs w:val="22"/>
      <w:lang w:eastAsia="en-US"/>
    </w:rPr>
  </w:style>
  <w:style w:type="character" w:customStyle="1" w:styleId="apple-style-span">
    <w:name w:val="apple-style-span"/>
    <w:basedOn w:val="Fuentedeprrafopredeter"/>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basedOn w:val="Fuentedeprrafopredete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customStyle="1" w:styleId="Artculo">
    <w:name w:val="Artículo"/>
    <w:basedOn w:val="Normal"/>
    <w:link w:val="ArtculoCar"/>
    <w:autoRedefine/>
    <w:qFormat/>
    <w:rsid w:val="003F09B1"/>
    <w:pPr>
      <w:numPr>
        <w:numId w:val="2"/>
      </w:numPr>
      <w:ind w:left="0" w:firstLine="0"/>
    </w:pPr>
    <w:rPr>
      <w:rFonts w:cs="Arial"/>
    </w:rPr>
  </w:style>
  <w:style w:type="character" w:customStyle="1" w:styleId="ArtculoCar">
    <w:name w:val="Artículo Car"/>
    <w:basedOn w:val="Fuentedeprrafopredeter"/>
    <w:link w:val="Artculo"/>
    <w:rsid w:val="003F09B1"/>
    <w:rPr>
      <w:rFonts w:ascii="Bookman Old Style" w:hAnsi="Bookman Old Style" w:cs="Arial"/>
      <w:sz w:val="24"/>
      <w:szCs w:val="24"/>
    </w:rPr>
  </w:style>
  <w:style w:type="character" w:styleId="Hipervnculo">
    <w:name w:val="Hyperlink"/>
    <w:basedOn w:val="Fuentedeprrafopredeter"/>
    <w:uiPriority w:val="99"/>
    <w:rsid w:val="006E56AD"/>
    <w:rPr>
      <w:color w:val="0000FF"/>
      <w:u w:val="single"/>
    </w:rPr>
  </w:style>
  <w:style w:type="character" w:styleId="Hipervnculovisitado">
    <w:name w:val="FollowedHyperlink"/>
    <w:basedOn w:val="Fuentedeprrafopredeter"/>
    <w:uiPriority w:val="99"/>
    <w:rsid w:val="006E56AD"/>
    <w:rPr>
      <w:color w:val="800080"/>
      <w:u w:val="single"/>
    </w:rPr>
  </w:style>
  <w:style w:type="paragraph" w:styleId="Textonotapie">
    <w:name w:val="footnote text"/>
    <w:basedOn w:val="Normal"/>
    <w:link w:val="TextonotapieCar"/>
    <w:semiHidden/>
    <w:rsid w:val="006E56AD"/>
    <w:pPr>
      <w:spacing w:before="160" w:after="160"/>
    </w:pPr>
    <w:rPr>
      <w:rFonts w:ascii="Arial" w:hAnsi="Arial"/>
      <w:sz w:val="22"/>
      <w:szCs w:val="20"/>
      <w:lang w:val="es-CO"/>
    </w:rPr>
  </w:style>
  <w:style w:type="character" w:customStyle="1" w:styleId="TextonotapieCar">
    <w:name w:val="Texto nota pie Car"/>
    <w:basedOn w:val="Fuentedeprrafopredeter"/>
    <w:link w:val="Textonotapie"/>
    <w:semiHidden/>
    <w:rsid w:val="006E56AD"/>
    <w:rPr>
      <w:rFonts w:ascii="Arial" w:hAnsi="Arial"/>
      <w:sz w:val="22"/>
      <w:lang w:val="es-CO"/>
    </w:rPr>
  </w:style>
  <w:style w:type="character" w:styleId="Refdenotaalpie">
    <w:name w:val="footnote reference"/>
    <w:basedOn w:val="Fuentedeprrafopredeter"/>
    <w:semiHidden/>
    <w:rsid w:val="006E56AD"/>
    <w:rPr>
      <w:vertAlign w:val="superscript"/>
    </w:rPr>
  </w:style>
  <w:style w:type="paragraph" w:styleId="Listaconvietas">
    <w:name w:val="List Bullet"/>
    <w:basedOn w:val="Normal"/>
    <w:autoRedefine/>
    <w:semiHidden/>
    <w:rsid w:val="006E56AD"/>
    <w:pPr>
      <w:tabs>
        <w:tab w:val="num" w:pos="360"/>
      </w:tabs>
      <w:spacing w:before="160" w:after="160"/>
      <w:ind w:left="360" w:hanging="360"/>
    </w:pPr>
    <w:rPr>
      <w:rFonts w:ascii="CG Times" w:hAnsi="CG Times"/>
      <w:sz w:val="22"/>
      <w:szCs w:val="20"/>
      <w:lang w:val="es-CO"/>
    </w:rPr>
  </w:style>
  <w:style w:type="paragraph" w:styleId="Listaconvietas2">
    <w:name w:val="List Bullet 2"/>
    <w:basedOn w:val="Normal"/>
    <w:autoRedefine/>
    <w:semiHidden/>
    <w:rsid w:val="006E56AD"/>
    <w:pPr>
      <w:tabs>
        <w:tab w:val="num" w:pos="643"/>
      </w:tabs>
      <w:spacing w:before="160" w:after="160"/>
      <w:ind w:left="643" w:hanging="360"/>
    </w:pPr>
    <w:rPr>
      <w:rFonts w:ascii="CG Times" w:hAnsi="CG Times"/>
      <w:sz w:val="22"/>
      <w:szCs w:val="20"/>
      <w:lang w:val="es-CO"/>
    </w:rPr>
  </w:style>
  <w:style w:type="paragraph" w:styleId="Listaconvietas4">
    <w:name w:val="List Bullet 4"/>
    <w:basedOn w:val="Normal"/>
    <w:autoRedefine/>
    <w:semiHidden/>
    <w:rsid w:val="006E56AD"/>
    <w:pPr>
      <w:tabs>
        <w:tab w:val="num" w:pos="1209"/>
      </w:tabs>
      <w:spacing w:before="160" w:after="160"/>
      <w:ind w:left="1209" w:hanging="360"/>
    </w:pPr>
    <w:rPr>
      <w:rFonts w:ascii="CG Times" w:hAnsi="CG Times"/>
      <w:sz w:val="22"/>
      <w:szCs w:val="20"/>
      <w:lang w:val="es-CO"/>
    </w:rPr>
  </w:style>
  <w:style w:type="paragraph" w:styleId="Sangra2detindependiente">
    <w:name w:val="Body Text Indent 2"/>
    <w:basedOn w:val="Normal"/>
    <w:link w:val="Sangra2detindependienteCar"/>
    <w:rsid w:val="006E56AD"/>
    <w:pPr>
      <w:spacing w:before="160" w:after="160"/>
      <w:ind w:hanging="567"/>
      <w:outlineLvl w:val="0"/>
    </w:pPr>
    <w:rPr>
      <w:b/>
      <w:sz w:val="22"/>
      <w:szCs w:val="20"/>
      <w:lang w:val="es-CO"/>
    </w:rPr>
  </w:style>
  <w:style w:type="character" w:customStyle="1" w:styleId="Sangra2detindependienteCar">
    <w:name w:val="Sangría 2 de t. independiente Car"/>
    <w:basedOn w:val="Fuentedeprrafopredeter"/>
    <w:link w:val="Sangra2detindependiente"/>
    <w:rsid w:val="006E56AD"/>
    <w:rPr>
      <w:rFonts w:ascii="Bookman Old Style" w:hAnsi="Bookman Old Style"/>
      <w:b/>
      <w:sz w:val="22"/>
      <w:lang w:val="es-CO"/>
    </w:rPr>
  </w:style>
  <w:style w:type="paragraph" w:styleId="Sangradetextonormal">
    <w:name w:val="Body Text Indent"/>
    <w:basedOn w:val="Normal"/>
    <w:link w:val="SangradetextonormalCar"/>
    <w:rsid w:val="006E56AD"/>
    <w:pPr>
      <w:numPr>
        <w:ilvl w:val="12"/>
      </w:numPr>
      <w:tabs>
        <w:tab w:val="left" w:pos="0"/>
      </w:tabs>
      <w:spacing w:before="160" w:after="160"/>
    </w:pPr>
    <w:rPr>
      <w:rFonts w:ascii="Arial" w:hAnsi="Arial"/>
      <w:b/>
      <w:sz w:val="22"/>
      <w:szCs w:val="20"/>
      <w:lang w:val="es-CO"/>
    </w:rPr>
  </w:style>
  <w:style w:type="character" w:customStyle="1" w:styleId="SangradetextonormalCar">
    <w:name w:val="Sangría de texto normal Car"/>
    <w:basedOn w:val="Fuentedeprrafopredeter"/>
    <w:link w:val="Sangradetextonormal"/>
    <w:rsid w:val="006E56AD"/>
    <w:rPr>
      <w:rFonts w:ascii="Arial" w:hAnsi="Arial"/>
      <w:b/>
      <w:sz w:val="22"/>
      <w:lang w:val="es-CO"/>
    </w:rPr>
  </w:style>
  <w:style w:type="paragraph" w:styleId="TDC2">
    <w:name w:val="toc 2"/>
    <w:basedOn w:val="Normal"/>
    <w:next w:val="Normal"/>
    <w:autoRedefine/>
    <w:uiPriority w:val="39"/>
    <w:qFormat/>
    <w:rsid w:val="003826FA"/>
    <w:pPr>
      <w:tabs>
        <w:tab w:val="left" w:pos="1418"/>
        <w:tab w:val="right" w:leader="dot" w:pos="9346"/>
      </w:tabs>
      <w:spacing w:before="160"/>
      <w:ind w:left="1418" w:hanging="709"/>
    </w:pPr>
    <w:rPr>
      <w:bCs/>
      <w:noProof/>
      <w:sz w:val="22"/>
      <w:szCs w:val="20"/>
      <w:lang w:val="es-CO"/>
    </w:rPr>
  </w:style>
  <w:style w:type="paragraph" w:styleId="TDC3">
    <w:name w:val="toc 3"/>
    <w:basedOn w:val="Normal"/>
    <w:next w:val="Normal"/>
    <w:autoRedefine/>
    <w:uiPriority w:val="39"/>
    <w:qFormat/>
    <w:rsid w:val="00F805F9"/>
    <w:pPr>
      <w:tabs>
        <w:tab w:val="left" w:pos="2127"/>
        <w:tab w:val="right" w:leader="dot" w:pos="9346"/>
      </w:tabs>
      <w:spacing w:before="100"/>
      <w:ind w:left="1418"/>
    </w:pPr>
    <w:rPr>
      <w:noProof/>
      <w:sz w:val="22"/>
      <w:szCs w:val="20"/>
      <w:lang w:val="es-CO"/>
    </w:rPr>
  </w:style>
  <w:style w:type="paragraph" w:styleId="TDC4">
    <w:name w:val="toc 4"/>
    <w:basedOn w:val="Normal"/>
    <w:next w:val="Normal"/>
    <w:autoRedefine/>
    <w:uiPriority w:val="39"/>
    <w:rsid w:val="006E56AD"/>
    <w:pPr>
      <w:ind w:left="480"/>
    </w:pPr>
    <w:rPr>
      <w:rFonts w:ascii="Calibri" w:hAnsi="Calibri"/>
      <w:sz w:val="20"/>
      <w:szCs w:val="20"/>
      <w:lang w:val="es-CO"/>
    </w:rPr>
  </w:style>
  <w:style w:type="paragraph" w:styleId="TDC5">
    <w:name w:val="toc 5"/>
    <w:basedOn w:val="Normal"/>
    <w:next w:val="Normal"/>
    <w:autoRedefine/>
    <w:uiPriority w:val="39"/>
    <w:rsid w:val="006E56AD"/>
    <w:pPr>
      <w:ind w:left="720"/>
    </w:pPr>
    <w:rPr>
      <w:rFonts w:ascii="Calibri" w:hAnsi="Calibri"/>
      <w:sz w:val="20"/>
      <w:szCs w:val="20"/>
      <w:lang w:val="es-CO"/>
    </w:rPr>
  </w:style>
  <w:style w:type="paragraph" w:styleId="TDC6">
    <w:name w:val="toc 6"/>
    <w:basedOn w:val="Normal"/>
    <w:next w:val="Normal"/>
    <w:autoRedefine/>
    <w:uiPriority w:val="39"/>
    <w:rsid w:val="006E56AD"/>
    <w:pPr>
      <w:ind w:left="960"/>
    </w:pPr>
    <w:rPr>
      <w:rFonts w:ascii="Calibri" w:hAnsi="Calibri"/>
      <w:sz w:val="20"/>
      <w:szCs w:val="20"/>
      <w:lang w:val="es-CO"/>
    </w:rPr>
  </w:style>
  <w:style w:type="paragraph" w:styleId="TDC7">
    <w:name w:val="toc 7"/>
    <w:basedOn w:val="Normal"/>
    <w:next w:val="Normal"/>
    <w:autoRedefine/>
    <w:uiPriority w:val="39"/>
    <w:rsid w:val="006E56AD"/>
    <w:pPr>
      <w:tabs>
        <w:tab w:val="right" w:pos="9111"/>
      </w:tabs>
      <w:spacing w:before="240"/>
    </w:pPr>
    <w:rPr>
      <w:rFonts w:ascii="Arial" w:hAnsi="Arial"/>
      <w:b/>
      <w:sz w:val="22"/>
      <w:szCs w:val="20"/>
      <w:lang w:val="es-CO"/>
    </w:rPr>
  </w:style>
  <w:style w:type="paragraph" w:styleId="TDC8">
    <w:name w:val="toc 8"/>
    <w:basedOn w:val="Normal"/>
    <w:next w:val="Normal"/>
    <w:autoRedefine/>
    <w:uiPriority w:val="39"/>
    <w:rsid w:val="006E56AD"/>
    <w:pPr>
      <w:tabs>
        <w:tab w:val="right" w:leader="dot" w:pos="9111"/>
      </w:tabs>
    </w:pPr>
    <w:rPr>
      <w:rFonts w:ascii="Arial" w:hAnsi="Arial"/>
      <w:b/>
      <w:sz w:val="22"/>
      <w:szCs w:val="20"/>
      <w:lang w:val="es-CO"/>
    </w:rPr>
  </w:style>
  <w:style w:type="paragraph" w:styleId="TDC9">
    <w:name w:val="toc 9"/>
    <w:basedOn w:val="Normal"/>
    <w:next w:val="Normal"/>
    <w:autoRedefine/>
    <w:uiPriority w:val="39"/>
    <w:rsid w:val="006E56AD"/>
    <w:pPr>
      <w:ind w:left="1680"/>
    </w:pPr>
    <w:rPr>
      <w:rFonts w:ascii="Calibri" w:hAnsi="Calibri"/>
      <w:sz w:val="20"/>
      <w:szCs w:val="20"/>
      <w:lang w:val="es-CO"/>
    </w:rPr>
  </w:style>
  <w:style w:type="paragraph" w:customStyle="1" w:styleId="Textodenotaalfinal">
    <w:name w:val="Texto de nota al final"/>
    <w:basedOn w:val="Normal"/>
    <w:rsid w:val="006E56AD"/>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6E56AD"/>
    <w:pPr>
      <w:spacing w:before="160" w:after="160"/>
      <w:ind w:left="2880" w:hanging="2880"/>
    </w:pPr>
    <w:rPr>
      <w:spacing w:val="-4"/>
      <w:sz w:val="22"/>
      <w:szCs w:val="20"/>
      <w:lang w:val="es-CO"/>
    </w:rPr>
  </w:style>
  <w:style w:type="character" w:customStyle="1" w:styleId="Sangra3detindependienteCar">
    <w:name w:val="Sangría 3 de t. independiente Car"/>
    <w:basedOn w:val="Fuentedeprrafopredeter"/>
    <w:link w:val="Sangra3detindependiente"/>
    <w:rsid w:val="006E56AD"/>
    <w:rPr>
      <w:rFonts w:ascii="Bookman Old Style" w:hAnsi="Bookman Old Style"/>
      <w:spacing w:val="-4"/>
      <w:sz w:val="22"/>
      <w:lang w:val="es-CO"/>
    </w:rPr>
  </w:style>
  <w:style w:type="paragraph" w:styleId="Cita">
    <w:name w:val="Quote"/>
    <w:basedOn w:val="Normal"/>
    <w:next w:val="Normal"/>
    <w:link w:val="CitaCar"/>
    <w:uiPriority w:val="29"/>
    <w:qFormat/>
    <w:rsid w:val="006E56AD"/>
    <w:pPr>
      <w:spacing w:after="120"/>
      <w:ind w:right="616"/>
    </w:pPr>
    <w:rPr>
      <w:rFonts w:ascii="Arial" w:eastAsia="Calibri" w:hAnsi="Arial" w:cs="Arial"/>
      <w:i/>
      <w:iCs/>
      <w:color w:val="000000"/>
      <w:sz w:val="20"/>
      <w:szCs w:val="22"/>
      <w:lang w:val="es-CO" w:eastAsia="en-US"/>
    </w:rPr>
  </w:style>
  <w:style w:type="character" w:customStyle="1" w:styleId="CitaCar">
    <w:name w:val="Cita Car"/>
    <w:basedOn w:val="Fuentedeprrafopredeter"/>
    <w:link w:val="Cita"/>
    <w:uiPriority w:val="29"/>
    <w:rsid w:val="006E56AD"/>
    <w:rPr>
      <w:rFonts w:ascii="Arial" w:eastAsia="Calibri" w:hAnsi="Arial" w:cs="Arial"/>
      <w:i/>
      <w:iCs/>
      <w:color w:val="000000"/>
      <w:szCs w:val="22"/>
      <w:lang w:val="es-CO" w:eastAsia="en-US"/>
    </w:rPr>
  </w:style>
  <w:style w:type="character" w:styleId="Refdecomentario">
    <w:name w:val="annotation reference"/>
    <w:basedOn w:val="Fuentedeprrafopredeter"/>
    <w:semiHidden/>
    <w:unhideWhenUsed/>
    <w:rsid w:val="006E56AD"/>
    <w:rPr>
      <w:sz w:val="16"/>
      <w:szCs w:val="16"/>
    </w:rPr>
  </w:style>
  <w:style w:type="paragraph" w:styleId="Textocomentario">
    <w:name w:val="annotation text"/>
    <w:basedOn w:val="Normal"/>
    <w:link w:val="TextocomentarioCar"/>
    <w:semiHidden/>
    <w:unhideWhenUsed/>
    <w:rsid w:val="006E56AD"/>
    <w:pPr>
      <w:spacing w:before="160" w:after="160"/>
    </w:pPr>
    <w:rPr>
      <w:rFonts w:ascii="Arial" w:hAnsi="Arial"/>
      <w:sz w:val="20"/>
      <w:szCs w:val="20"/>
      <w:lang w:val="es-CO"/>
    </w:rPr>
  </w:style>
  <w:style w:type="character" w:customStyle="1" w:styleId="TextocomentarioCar">
    <w:name w:val="Texto comentario Car"/>
    <w:basedOn w:val="Fuentedeprrafopredeter"/>
    <w:link w:val="Textocomentario"/>
    <w:semiHidden/>
    <w:rsid w:val="006E56AD"/>
    <w:rPr>
      <w:rFonts w:ascii="Arial" w:hAnsi="Arial"/>
      <w:lang w:val="es-CO"/>
    </w:rPr>
  </w:style>
  <w:style w:type="paragraph" w:styleId="Asuntodelcomentario">
    <w:name w:val="annotation subject"/>
    <w:basedOn w:val="Textocomentario"/>
    <w:next w:val="Textocomentario"/>
    <w:link w:val="AsuntodelcomentarioCar"/>
    <w:semiHidden/>
    <w:unhideWhenUsed/>
    <w:rsid w:val="006E56AD"/>
    <w:rPr>
      <w:b/>
      <w:bCs/>
    </w:rPr>
  </w:style>
  <w:style w:type="character" w:customStyle="1" w:styleId="AsuntodelcomentarioCar">
    <w:name w:val="Asunto del comentario Car"/>
    <w:basedOn w:val="TextocomentarioCar"/>
    <w:link w:val="Asuntodelcomentario"/>
    <w:semiHidden/>
    <w:rsid w:val="006E56AD"/>
    <w:rPr>
      <w:rFonts w:ascii="Arial" w:hAnsi="Arial"/>
      <w:b/>
      <w:bCs/>
      <w:lang w:val="es-CO"/>
    </w:rPr>
  </w:style>
  <w:style w:type="character" w:styleId="Textoennegrita">
    <w:name w:val="Strong"/>
    <w:basedOn w:val="Fuentedeprrafopredeter"/>
    <w:uiPriority w:val="22"/>
    <w:qFormat/>
    <w:rsid w:val="006E56AD"/>
    <w:rPr>
      <w:b/>
      <w:bCs/>
    </w:rPr>
  </w:style>
  <w:style w:type="paragraph" w:styleId="TtulodeTDC">
    <w:name w:val="TOC Heading"/>
    <w:basedOn w:val="Ttulo1"/>
    <w:next w:val="Normal"/>
    <w:uiPriority w:val="39"/>
    <w:unhideWhenUsed/>
    <w:qFormat/>
    <w:rsid w:val="006E56AD"/>
    <w:pPr>
      <w:keepLines/>
      <w:spacing w:before="480" w:line="276" w:lineRule="auto"/>
      <w:ind w:left="0"/>
      <w:jc w:val="left"/>
      <w:outlineLvl w:val="9"/>
    </w:pPr>
    <w:rPr>
      <w:rFonts w:ascii="Cambria" w:hAnsi="Cambria"/>
      <w:bCs/>
      <w:color w:val="365F91"/>
      <w:sz w:val="28"/>
      <w:szCs w:val="28"/>
      <w:lang w:eastAsia="en-US"/>
    </w:rPr>
  </w:style>
  <w:style w:type="paragraph" w:styleId="Mapadeldocumento">
    <w:name w:val="Document Map"/>
    <w:basedOn w:val="Normal"/>
    <w:link w:val="MapadeldocumentoCar"/>
    <w:uiPriority w:val="99"/>
    <w:unhideWhenUsed/>
    <w:rsid w:val="006E56AD"/>
    <w:pPr>
      <w:spacing w:before="160" w:after="160"/>
    </w:pPr>
    <w:rPr>
      <w:rFonts w:ascii="Tahoma" w:hAnsi="Tahoma" w:cs="Tahoma"/>
      <w:sz w:val="16"/>
      <w:szCs w:val="16"/>
      <w:lang w:val="es-CO"/>
    </w:rPr>
  </w:style>
  <w:style w:type="character" w:customStyle="1" w:styleId="MapadeldocumentoCar">
    <w:name w:val="Mapa del documento Car"/>
    <w:basedOn w:val="Fuentedeprrafopredeter"/>
    <w:link w:val="Mapadeldocumento"/>
    <w:uiPriority w:val="99"/>
    <w:rsid w:val="006E56AD"/>
    <w:rPr>
      <w:rFonts w:ascii="Tahoma" w:hAnsi="Tahoma" w:cs="Tahoma"/>
      <w:sz w:val="16"/>
      <w:szCs w:val="16"/>
      <w:lang w:val="es-CO"/>
    </w:rPr>
  </w:style>
  <w:style w:type="paragraph" w:customStyle="1" w:styleId="Anexo">
    <w:name w:val="Anexo"/>
    <w:basedOn w:val="Normal"/>
    <w:link w:val="AnexoCar"/>
    <w:qFormat/>
    <w:rsid w:val="008207F3"/>
    <w:pPr>
      <w:suppressAutoHyphens/>
      <w:ind w:left="1429" w:hanging="360"/>
    </w:pPr>
    <w:rPr>
      <w:rFonts w:cs="Arial"/>
      <w:b/>
      <w:bCs/>
      <w:spacing w:val="-4"/>
    </w:rPr>
  </w:style>
  <w:style w:type="character" w:customStyle="1" w:styleId="AnexoCar">
    <w:name w:val="Anexo Car"/>
    <w:basedOn w:val="Fuentedeprrafopredeter"/>
    <w:link w:val="Anexo"/>
    <w:rsid w:val="008207F3"/>
    <w:rPr>
      <w:rFonts w:ascii="Bookman Old Style" w:hAnsi="Bookman Old Style" w:cs="Arial"/>
      <w:b/>
      <w:bCs/>
      <w:spacing w:val="-4"/>
      <w:sz w:val="24"/>
      <w:szCs w:val="24"/>
    </w:rPr>
  </w:style>
  <w:style w:type="paragraph" w:customStyle="1" w:styleId="PliegoTitulo1">
    <w:name w:val="Pliego_Titulo1"/>
    <w:basedOn w:val="Pliego-Normal"/>
    <w:next w:val="Pliego-Normal"/>
    <w:rsid w:val="008207F3"/>
    <w:pPr>
      <w:tabs>
        <w:tab w:val="num" w:pos="432"/>
      </w:tabs>
      <w:ind w:left="432" w:hanging="432"/>
      <w:jc w:val="center"/>
    </w:pPr>
    <w:rPr>
      <w:b/>
    </w:rPr>
  </w:style>
  <w:style w:type="paragraph" w:customStyle="1" w:styleId="Pliego-Normal">
    <w:name w:val="Pliego-Normal"/>
    <w:basedOn w:val="Normal"/>
    <w:rsid w:val="008207F3"/>
    <w:pPr>
      <w:widowControl w:val="0"/>
      <w:adjustRightInd w:val="0"/>
      <w:textAlignment w:val="baseline"/>
    </w:pPr>
    <w:rPr>
      <w:rFonts w:ascii="Garamond" w:hAnsi="Garamond"/>
      <w:bCs/>
      <w:sz w:val="22"/>
      <w:szCs w:val="20"/>
      <w:lang w:val="es-ES_tradnl"/>
    </w:rPr>
  </w:style>
  <w:style w:type="paragraph" w:styleId="NormalWeb">
    <w:name w:val="Normal (Web)"/>
    <w:basedOn w:val="Normal"/>
    <w:uiPriority w:val="99"/>
    <w:rsid w:val="008207F3"/>
    <w:pPr>
      <w:widowControl w:val="0"/>
      <w:adjustRightInd w:val="0"/>
      <w:spacing w:before="100" w:beforeAutospacing="1" w:after="100" w:afterAutospacing="1"/>
      <w:textAlignment w:val="baseline"/>
    </w:pPr>
  </w:style>
  <w:style w:type="paragraph" w:styleId="ndice1">
    <w:name w:val="index 1"/>
    <w:basedOn w:val="Normal"/>
    <w:next w:val="Normal"/>
    <w:autoRedefine/>
    <w:semiHidden/>
    <w:rsid w:val="008207F3"/>
    <w:pPr>
      <w:widowControl w:val="0"/>
      <w:adjustRightInd w:val="0"/>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8207F3"/>
    <w:pPr>
      <w:widowControl w:val="0"/>
      <w:pBdr>
        <w:top w:val="single" w:sz="6" w:space="1" w:color="auto"/>
      </w:pBdr>
      <w:adjustRightInd w:val="0"/>
      <w:jc w:val="center"/>
      <w:textAlignment w:val="baseline"/>
    </w:pPr>
    <w:rPr>
      <w:rFonts w:ascii="Arial" w:hAnsi="Arial" w:cs="Arial"/>
      <w:vanish/>
      <w:color w:val="000000"/>
      <w:sz w:val="16"/>
      <w:szCs w:val="16"/>
    </w:rPr>
  </w:style>
  <w:style w:type="character" w:customStyle="1" w:styleId="z-FinaldelformularioCar">
    <w:name w:val="z-Final del formulario Car"/>
    <w:basedOn w:val="Fuentedeprrafopredeter"/>
    <w:link w:val="z-Finaldelformulario"/>
    <w:rsid w:val="008207F3"/>
    <w:rPr>
      <w:rFonts w:ascii="Arial" w:hAnsi="Arial" w:cs="Arial"/>
      <w:vanish/>
      <w:color w:val="000000"/>
      <w:sz w:val="16"/>
      <w:szCs w:val="16"/>
    </w:rPr>
  </w:style>
  <w:style w:type="paragraph" w:customStyle="1" w:styleId="NormalTesis">
    <w:name w:val="Normal Tesis"/>
    <w:basedOn w:val="Textoindependiente"/>
    <w:rsid w:val="008207F3"/>
    <w:pPr>
      <w:widowControl w:val="0"/>
      <w:adjustRightInd w:val="0"/>
      <w:spacing w:line="360" w:lineRule="auto"/>
      <w:jc w:val="both"/>
      <w:textAlignment w:val="baseline"/>
    </w:pPr>
    <w:rPr>
      <w:b w:val="0"/>
      <w:bCs w:val="0"/>
      <w:sz w:val="22"/>
    </w:rPr>
  </w:style>
  <w:style w:type="paragraph" w:customStyle="1" w:styleId="Citas">
    <w:name w:val="Citas"/>
    <w:basedOn w:val="Normal"/>
    <w:rsid w:val="008207F3"/>
    <w:pPr>
      <w:ind w:left="708" w:right="618"/>
    </w:pPr>
    <w:rPr>
      <w:rFonts w:cs="Arial"/>
      <w:i/>
      <w:iCs/>
      <w:szCs w:val="20"/>
    </w:rPr>
  </w:style>
  <w:style w:type="paragraph" w:customStyle="1" w:styleId="articulo">
    <w:name w:val="articulo"/>
    <w:basedOn w:val="Normal"/>
    <w:next w:val="Normal"/>
    <w:autoRedefine/>
    <w:rsid w:val="008207F3"/>
    <w:pPr>
      <w:tabs>
        <w:tab w:val="left" w:pos="-720"/>
        <w:tab w:val="num" w:pos="1440"/>
        <w:tab w:val="left" w:pos="1620"/>
      </w:tabs>
      <w:suppressAutoHyphens/>
      <w:spacing w:before="240"/>
    </w:pPr>
    <w:rPr>
      <w:rFonts w:cs="Arial"/>
      <w:bCs/>
      <w:spacing w:val="-4"/>
    </w:rPr>
  </w:style>
  <w:style w:type="character" w:styleId="Textodelmarcadordeposicin">
    <w:name w:val="Placeholder Text"/>
    <w:basedOn w:val="Fuentedeprrafopredeter"/>
    <w:uiPriority w:val="99"/>
    <w:semiHidden/>
    <w:rsid w:val="008207F3"/>
    <w:rPr>
      <w:color w:val="808080"/>
    </w:rPr>
  </w:style>
  <w:style w:type="paragraph" w:customStyle="1" w:styleId="EstiloPrrafodelistaJustificado">
    <w:name w:val="Estilo Párrafo de lista + Justificado"/>
    <w:basedOn w:val="Prrafodelista"/>
    <w:rsid w:val="008207F3"/>
    <w:pPr>
      <w:spacing w:before="120"/>
    </w:pPr>
    <w:rPr>
      <w:spacing w:val="4"/>
      <w:sz w:val="24"/>
      <w:lang w:val="es-ES"/>
    </w:rPr>
  </w:style>
  <w:style w:type="paragraph" w:customStyle="1" w:styleId="Vietas">
    <w:name w:val="Viñetas"/>
    <w:basedOn w:val="Prrafodelista"/>
    <w:rsid w:val="008207F3"/>
    <w:pPr>
      <w:spacing w:before="120"/>
    </w:pPr>
    <w:rPr>
      <w:spacing w:val="4"/>
      <w:sz w:val="24"/>
      <w:lang w:val="es-ES"/>
    </w:rPr>
  </w:style>
  <w:style w:type="paragraph" w:customStyle="1" w:styleId="Listaletras">
    <w:name w:val="Lista letras"/>
    <w:basedOn w:val="Sangra2detindependiente"/>
    <w:link w:val="ListaletrasCar"/>
    <w:qFormat/>
    <w:rsid w:val="008207F3"/>
  </w:style>
  <w:style w:type="character" w:customStyle="1" w:styleId="ListaletrasCar">
    <w:name w:val="Lista letras Car"/>
    <w:basedOn w:val="Sangra2detindependienteCar"/>
    <w:link w:val="Listaletras"/>
    <w:rsid w:val="008207F3"/>
    <w:rPr>
      <w:rFonts w:ascii="Bookman Old Style" w:hAnsi="Bookman Old Style"/>
      <w:b/>
      <w:sz w:val="22"/>
      <w:lang w:val="es-CO"/>
    </w:rPr>
  </w:style>
  <w:style w:type="paragraph" w:customStyle="1" w:styleId="Textoindependiente31">
    <w:name w:val="Texto independiente 31"/>
    <w:basedOn w:val="Normal"/>
    <w:rsid w:val="008207F3"/>
    <w:pPr>
      <w:tabs>
        <w:tab w:val="left" w:pos="-720"/>
      </w:tabs>
      <w:suppressAutoHyphens/>
      <w:overflowPunct w:val="0"/>
      <w:autoSpaceDE w:val="0"/>
      <w:autoSpaceDN w:val="0"/>
      <w:adjustRightInd w:val="0"/>
      <w:spacing w:after="240"/>
      <w:ind w:right="45"/>
      <w:textAlignment w:val="baseline"/>
    </w:pPr>
    <w:rPr>
      <w:sz w:val="22"/>
      <w:szCs w:val="20"/>
    </w:rPr>
  </w:style>
  <w:style w:type="paragraph" w:customStyle="1" w:styleId="Estilo2">
    <w:name w:val="Estilo2"/>
    <w:basedOn w:val="Ttulo1"/>
    <w:rsid w:val="008207F3"/>
    <w:pPr>
      <w:numPr>
        <w:numId w:val="0"/>
      </w:numPr>
      <w:adjustRightInd w:val="0"/>
      <w:spacing w:before="240"/>
      <w:textAlignment w:val="baseline"/>
    </w:pPr>
    <w:rPr>
      <w:bCs/>
      <w:caps/>
    </w:rPr>
  </w:style>
  <w:style w:type="paragraph" w:styleId="Continuarlista">
    <w:name w:val="List Continue"/>
    <w:basedOn w:val="Normal"/>
    <w:rsid w:val="008207F3"/>
    <w:pPr>
      <w:widowControl w:val="0"/>
      <w:adjustRightInd w:val="0"/>
      <w:spacing w:after="120"/>
      <w:ind w:left="283"/>
      <w:contextualSpacing/>
      <w:textAlignment w:val="baseline"/>
    </w:pPr>
  </w:style>
  <w:style w:type="character" w:customStyle="1" w:styleId="Fuentedeprrafopredeter1">
    <w:name w:val="Fuente de párrafo predeter.1"/>
    <w:rsid w:val="008207F3"/>
  </w:style>
  <w:style w:type="character" w:customStyle="1" w:styleId="FootnoteCharacters">
    <w:name w:val="Footnote Characters"/>
    <w:basedOn w:val="Fuentedeprrafopredeter"/>
    <w:rsid w:val="008207F3"/>
    <w:rPr>
      <w:vertAlign w:val="superscript"/>
    </w:rPr>
  </w:style>
  <w:style w:type="character" w:customStyle="1" w:styleId="Refdenotaalpie1">
    <w:name w:val="Ref. de nota al pie1"/>
    <w:rsid w:val="008207F3"/>
    <w:rPr>
      <w:vertAlign w:val="superscript"/>
    </w:rPr>
  </w:style>
  <w:style w:type="character" w:customStyle="1" w:styleId="Refdecomentario1">
    <w:name w:val="Ref. de comentario1"/>
    <w:basedOn w:val="Fuentedeprrafopredeter"/>
    <w:rsid w:val="008207F3"/>
    <w:rPr>
      <w:sz w:val="16"/>
    </w:rPr>
  </w:style>
  <w:style w:type="paragraph" w:customStyle="1" w:styleId="Heading">
    <w:name w:val="Heading"/>
    <w:basedOn w:val="Normal"/>
    <w:next w:val="Textoindependiente"/>
    <w:rsid w:val="008207F3"/>
    <w:pPr>
      <w:keepNext/>
      <w:suppressAutoHyphens/>
      <w:spacing w:before="240" w:after="120"/>
    </w:pPr>
    <w:rPr>
      <w:rFonts w:ascii="Arial" w:eastAsia="DejaVu Sans" w:hAnsi="Arial" w:cs="DejaVu Sans"/>
      <w:sz w:val="28"/>
      <w:szCs w:val="28"/>
      <w:lang w:val="es-CO" w:eastAsia="ar-SA"/>
    </w:rPr>
  </w:style>
  <w:style w:type="paragraph" w:styleId="Lista">
    <w:name w:val="List"/>
    <w:basedOn w:val="Normal"/>
    <w:rsid w:val="008207F3"/>
    <w:pPr>
      <w:suppressAutoHyphens/>
      <w:ind w:left="283" w:hanging="283"/>
    </w:pPr>
    <w:rPr>
      <w:sz w:val="22"/>
      <w:szCs w:val="20"/>
      <w:lang w:val="es-CO" w:eastAsia="ar-SA"/>
    </w:rPr>
  </w:style>
  <w:style w:type="paragraph" w:customStyle="1" w:styleId="Index">
    <w:name w:val="Index"/>
    <w:basedOn w:val="Normal"/>
    <w:rsid w:val="008207F3"/>
    <w:pPr>
      <w:suppressLineNumbers/>
      <w:suppressAutoHyphens/>
    </w:pPr>
    <w:rPr>
      <w:sz w:val="22"/>
      <w:szCs w:val="20"/>
      <w:lang w:val="es-CO" w:eastAsia="ar-SA"/>
    </w:rPr>
  </w:style>
  <w:style w:type="paragraph" w:styleId="Ttulodendice">
    <w:name w:val="index heading"/>
    <w:basedOn w:val="Normal"/>
    <w:next w:val="ndice1"/>
    <w:rsid w:val="008207F3"/>
    <w:pPr>
      <w:suppressAutoHyphens/>
      <w:spacing w:before="120" w:after="120"/>
    </w:pPr>
    <w:rPr>
      <w:rFonts w:ascii="Times New Roman" w:hAnsi="Times New Roman"/>
      <w:b/>
      <w:i/>
      <w:sz w:val="20"/>
      <w:szCs w:val="20"/>
      <w:lang w:val="es-CO" w:eastAsia="ar-SA"/>
    </w:rPr>
  </w:style>
  <w:style w:type="paragraph" w:styleId="ndice2">
    <w:name w:val="index 2"/>
    <w:basedOn w:val="Normal"/>
    <w:next w:val="Normal"/>
    <w:rsid w:val="008207F3"/>
    <w:pPr>
      <w:suppressAutoHyphens/>
      <w:ind w:left="480" w:hanging="240"/>
    </w:pPr>
    <w:rPr>
      <w:rFonts w:ascii="Times New Roman" w:hAnsi="Times New Roman"/>
      <w:sz w:val="20"/>
      <w:szCs w:val="20"/>
      <w:lang w:val="es-CO" w:eastAsia="ar-SA"/>
    </w:rPr>
  </w:style>
  <w:style w:type="paragraph" w:styleId="ndice3">
    <w:name w:val="index 3"/>
    <w:basedOn w:val="Normal"/>
    <w:next w:val="Normal"/>
    <w:rsid w:val="008207F3"/>
    <w:pPr>
      <w:suppressAutoHyphens/>
      <w:ind w:left="720" w:hanging="240"/>
    </w:pPr>
    <w:rPr>
      <w:rFonts w:ascii="Times New Roman" w:hAnsi="Times New Roman"/>
      <w:sz w:val="20"/>
      <w:szCs w:val="20"/>
      <w:lang w:val="es-CO" w:eastAsia="ar-SA"/>
    </w:rPr>
  </w:style>
  <w:style w:type="paragraph" w:customStyle="1" w:styleId="Figuras">
    <w:name w:val="Figuras"/>
    <w:basedOn w:val="Textoindependiente"/>
    <w:rsid w:val="008207F3"/>
    <w:pPr>
      <w:suppressAutoHyphens/>
    </w:pPr>
    <w:rPr>
      <w:rFonts w:cs="Times New Roman"/>
      <w:b w:val="0"/>
      <w:bCs w:val="0"/>
      <w:i/>
      <w:iCs/>
      <w:sz w:val="22"/>
      <w:szCs w:val="20"/>
      <w:lang w:val="es-CO" w:eastAsia="ar-SA"/>
    </w:rPr>
  </w:style>
  <w:style w:type="paragraph" w:customStyle="1" w:styleId="Text">
    <w:name w:val="Text"/>
    <w:basedOn w:val="Normal"/>
    <w:rsid w:val="008207F3"/>
    <w:pPr>
      <w:suppressLineNumbers/>
      <w:suppressAutoHyphens/>
      <w:spacing w:before="120" w:after="120"/>
    </w:pPr>
    <w:rPr>
      <w:i/>
      <w:iCs/>
      <w:lang w:val="es-CO" w:eastAsia="ar-SA"/>
    </w:rPr>
  </w:style>
  <w:style w:type="paragraph" w:styleId="Textoindependienteprimerasangra">
    <w:name w:val="Body Text First Indent"/>
    <w:basedOn w:val="Textoindependiente"/>
    <w:link w:val="TextoindependienteprimerasangraCar"/>
    <w:rsid w:val="008207F3"/>
    <w:pPr>
      <w:suppressAutoHyphens/>
      <w:ind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basedOn w:val="TextoindependienteCar"/>
    <w:link w:val="Textoindependienteprimerasangra"/>
    <w:rsid w:val="008207F3"/>
    <w:rPr>
      <w:rFonts w:ascii="Arial" w:hAnsi="Arial" w:cs="Arial"/>
      <w:b/>
      <w:bCs/>
      <w:i/>
      <w:sz w:val="28"/>
      <w:szCs w:val="24"/>
      <w:lang w:val="es-CO" w:eastAsia="ar-SA"/>
    </w:rPr>
  </w:style>
  <w:style w:type="paragraph" w:customStyle="1" w:styleId="Notes">
    <w:name w:val="Notes"/>
    <w:rsid w:val="008207F3"/>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val="es-CO"/>
    </w:rPr>
  </w:style>
  <w:style w:type="paragraph" w:customStyle="1" w:styleId="Tabla">
    <w:name w:val="Tabla"/>
    <w:basedOn w:val="Epgrafe"/>
    <w:link w:val="TablaCar"/>
    <w:qFormat/>
    <w:rsid w:val="008207F3"/>
    <w:pPr>
      <w:keepNext/>
      <w:widowControl/>
      <w:suppressAutoHyphens/>
      <w:adjustRightInd/>
      <w:spacing w:after="200" w:line="240" w:lineRule="auto"/>
      <w:textAlignment w:val="auto"/>
    </w:pPr>
    <w:rPr>
      <w:b/>
      <w:bCs/>
      <w:iCs/>
    </w:rPr>
  </w:style>
  <w:style w:type="character" w:customStyle="1" w:styleId="TablaCar">
    <w:name w:val="Tabla Car"/>
    <w:basedOn w:val="EpgrafeCar"/>
    <w:link w:val="Tabla"/>
    <w:rsid w:val="008207F3"/>
    <w:rPr>
      <w:rFonts w:ascii="Arial" w:hAnsi="Arial"/>
      <w:b/>
      <w:bCs/>
      <w:iCs/>
    </w:rPr>
  </w:style>
  <w:style w:type="paragraph" w:customStyle="1" w:styleId="DatosDocumento">
    <w:name w:val="Datos Documento"/>
    <w:basedOn w:val="Normal"/>
    <w:rsid w:val="008207F3"/>
    <w:pPr>
      <w:jc w:val="right"/>
    </w:pPr>
    <w:rPr>
      <w:rFonts w:ascii="Arial" w:hAnsi="Arial" w:cs="Arial"/>
      <w:szCs w:val="20"/>
    </w:rPr>
  </w:style>
  <w:style w:type="paragraph" w:customStyle="1" w:styleId="TituloDocumento">
    <w:name w:val="Titulo Documento"/>
    <w:basedOn w:val="Normal"/>
    <w:rsid w:val="008207F3"/>
    <w:pPr>
      <w:jc w:val="right"/>
    </w:pPr>
    <w:rPr>
      <w:rFonts w:ascii="Arial Black" w:hAnsi="Arial Black" w:cs="Arial"/>
      <w:sz w:val="48"/>
      <w:szCs w:val="20"/>
    </w:rPr>
  </w:style>
  <w:style w:type="paragraph" w:customStyle="1" w:styleId="SubtituloDocumento">
    <w:name w:val="Subtitulo Documento"/>
    <w:basedOn w:val="Normal"/>
    <w:rsid w:val="008207F3"/>
    <w:pPr>
      <w:jc w:val="right"/>
    </w:pPr>
    <w:rPr>
      <w:rFonts w:ascii="Arial Black" w:hAnsi="Arial Black" w:cs="Arial"/>
      <w:sz w:val="32"/>
      <w:szCs w:val="20"/>
    </w:rPr>
  </w:style>
  <w:style w:type="paragraph" w:customStyle="1" w:styleId="TtuloInforme">
    <w:name w:val="Título Informe"/>
    <w:basedOn w:val="Normal"/>
    <w:next w:val="Normal"/>
    <w:rsid w:val="008207F3"/>
    <w:pPr>
      <w:spacing w:before="120" w:after="120"/>
      <w:jc w:val="center"/>
    </w:pPr>
    <w:rPr>
      <w:rFonts w:ascii="Arial" w:hAnsi="Arial" w:cs="Arial"/>
      <w:color w:val="FF6309"/>
      <w:sz w:val="28"/>
      <w:szCs w:val="28"/>
    </w:rPr>
  </w:style>
  <w:style w:type="character" w:customStyle="1" w:styleId="TtuloInformeChar">
    <w:name w:val="Título Informe Char"/>
    <w:basedOn w:val="Fuentedeprrafopredeter"/>
    <w:rsid w:val="008207F3"/>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8207F3"/>
    <w:pPr>
      <w:spacing w:before="120" w:after="120"/>
    </w:pPr>
    <w:rPr>
      <w:rFonts w:ascii="Arial" w:hAnsi="Arial" w:cs="Arial"/>
      <w:color w:val="808080"/>
    </w:rPr>
  </w:style>
  <w:style w:type="character" w:customStyle="1" w:styleId="SubtuloInformeChar">
    <w:name w:val="Subítulo Informe Char"/>
    <w:basedOn w:val="Fuentedeprrafopredeter"/>
    <w:rsid w:val="008207F3"/>
    <w:rPr>
      <w:rFonts w:ascii="Arial" w:hAnsi="Arial" w:cs="Arial"/>
      <w:noProof w:val="0"/>
      <w:color w:val="808080"/>
      <w:sz w:val="24"/>
      <w:szCs w:val="24"/>
      <w:lang w:val="es-ES" w:eastAsia="es-ES" w:bidi="ar-SA"/>
    </w:rPr>
  </w:style>
  <w:style w:type="paragraph" w:customStyle="1" w:styleId="EstiloEpgrafeCentrado">
    <w:name w:val="Estilo Epígrafe + Centrado"/>
    <w:basedOn w:val="Epgrafe"/>
    <w:autoRedefine/>
    <w:rsid w:val="008207F3"/>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8207F3"/>
    <w:pPr>
      <w:spacing w:before="120" w:after="120"/>
    </w:pPr>
    <w:rPr>
      <w:rFonts w:ascii="Arial" w:hAnsi="Arial" w:cs="Arial"/>
      <w:sz w:val="20"/>
      <w:szCs w:val="20"/>
    </w:rPr>
  </w:style>
  <w:style w:type="paragraph" w:customStyle="1" w:styleId="CUERPOTEXTO">
    <w:name w:val="CUERPO TEXTO"/>
    <w:rsid w:val="008207F3"/>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rPr>
  </w:style>
  <w:style w:type="paragraph" w:styleId="Revisin">
    <w:name w:val="Revision"/>
    <w:hidden/>
    <w:uiPriority w:val="99"/>
    <w:semiHidden/>
    <w:rsid w:val="009F5D1F"/>
    <w:rPr>
      <w:rFonts w:ascii="Bookman Old Style" w:hAnsi="Bookman Old Style"/>
      <w:sz w:val="24"/>
      <w:szCs w:val="24"/>
    </w:rPr>
  </w:style>
  <w:style w:type="paragraph" w:customStyle="1" w:styleId="c92">
    <w:name w:val="c92"/>
    <w:basedOn w:val="Normal"/>
    <w:uiPriority w:val="99"/>
    <w:rsid w:val="0080129A"/>
    <w:pPr>
      <w:widowControl w:val="0"/>
      <w:autoSpaceDE w:val="0"/>
      <w:autoSpaceDN w:val="0"/>
      <w:adjustRightInd w:val="0"/>
      <w:spacing w:line="240" w:lineRule="atLeast"/>
      <w:jc w:val="center"/>
    </w:pPr>
    <w:rPr>
      <w:rFonts w:ascii="Times New Roman" w:hAnsi="Times New Roman"/>
      <w:lang w:val="en-US" w:eastAsia="es-CO"/>
    </w:rPr>
  </w:style>
  <w:style w:type="paragraph" w:customStyle="1" w:styleId="p93">
    <w:name w:val="p93"/>
    <w:basedOn w:val="Normal"/>
    <w:uiPriority w:val="99"/>
    <w:rsid w:val="0080129A"/>
    <w:pPr>
      <w:widowControl w:val="0"/>
      <w:tabs>
        <w:tab w:val="left" w:pos="3526"/>
      </w:tabs>
      <w:autoSpaceDE w:val="0"/>
      <w:autoSpaceDN w:val="0"/>
      <w:adjustRightInd w:val="0"/>
      <w:spacing w:line="240" w:lineRule="atLeast"/>
      <w:ind w:left="726"/>
      <w:jc w:val="left"/>
    </w:pPr>
    <w:rPr>
      <w:rFonts w:ascii="Times New Roman" w:hAnsi="Times New Roman"/>
      <w:lang w:val="en-US" w:eastAsia="es-CO"/>
    </w:rPr>
  </w:style>
  <w:style w:type="paragraph" w:customStyle="1" w:styleId="xl71">
    <w:name w:val="xl71"/>
    <w:basedOn w:val="Normal"/>
    <w:rsid w:val="00D147ED"/>
    <w:pPr>
      <w:spacing w:before="100" w:beforeAutospacing="1" w:after="100" w:afterAutospacing="1"/>
      <w:jc w:val="left"/>
    </w:pPr>
    <w:rPr>
      <w:rFonts w:ascii="Arial" w:hAnsi="Arial" w:cs="Arial"/>
      <w:lang w:val="es-CO" w:eastAsia="es-CO"/>
    </w:rPr>
  </w:style>
  <w:style w:type="paragraph" w:customStyle="1" w:styleId="xl72">
    <w:name w:val="xl72"/>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es-CO" w:eastAsia="es-CO"/>
    </w:rPr>
  </w:style>
  <w:style w:type="paragraph" w:customStyle="1" w:styleId="xl73">
    <w:name w:val="xl73"/>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es-CO" w:eastAsia="es-CO"/>
    </w:rPr>
  </w:style>
  <w:style w:type="paragraph" w:customStyle="1" w:styleId="xl74">
    <w:name w:val="xl74"/>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lang w:val="es-CO" w:eastAsia="es-CO"/>
    </w:rPr>
  </w:style>
  <w:style w:type="paragraph" w:customStyle="1" w:styleId="xl75">
    <w:name w:val="xl75"/>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lang w:val="es-CO" w:eastAsia="es-CO"/>
    </w:rPr>
  </w:style>
  <w:style w:type="paragraph" w:customStyle="1" w:styleId="xl76">
    <w:name w:val="xl76"/>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lang w:val="es-CO" w:eastAsia="es-CO"/>
    </w:rPr>
  </w:style>
  <w:style w:type="paragraph" w:customStyle="1" w:styleId="xl77">
    <w:name w:val="xl77"/>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FF0000"/>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uiPriority="9"/>
    <w:lsdException w:name="heading 7" w:uiPriority="9" w:qFormat="1"/>
    <w:lsdException w:name="heading 8" w:uiPriority="9" w:qFormat="1"/>
    <w:lsdException w:name="heading 9" w:uiPriority="0" w:qFormat="1"/>
    <w:lsdException w:name="index 1" w:uiPriority="0"/>
    <w:lsdException w:name="index 2" w:uiPriority="0"/>
    <w:lsdException w:name="index 3"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table of figures" w:uiPriority="0"/>
    <w:lsdException w:name="footnote reference" w:uiPriority="0"/>
    <w:lsdException w:name="annotation reference" w:uiPriority="0"/>
    <w:lsdException w:name="page number" w:uiPriority="0"/>
    <w:lsdException w:name="List" w:uiPriority="0"/>
    <w:lsdException w:name="List Bullet" w:uiPriority="0"/>
    <w:lsdException w:name="List Bullet 2" w:uiPriority="0"/>
    <w:lsdException w:name="List Bullet 4"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First Indent" w:uiPriority="0"/>
    <w:lsdException w:name="Body Text 2"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HTML Bottom of Form"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07F3"/>
    <w:pPr>
      <w:jc w:val="both"/>
    </w:pPr>
    <w:rPr>
      <w:rFonts w:ascii="Bookman Old Style" w:hAnsi="Bookman Old Style"/>
      <w:sz w:val="24"/>
      <w:szCs w:val="24"/>
    </w:rPr>
  </w:style>
  <w:style w:type="paragraph" w:styleId="Ttulo1">
    <w:name w:val="heading 1"/>
    <w:basedOn w:val="Prrafodelista"/>
    <w:next w:val="Normal"/>
    <w:link w:val="Ttulo1Car"/>
    <w:qFormat/>
    <w:rsid w:val="00BB53DC"/>
    <w:pPr>
      <w:keepNext/>
      <w:numPr>
        <w:numId w:val="3"/>
      </w:numPr>
      <w:spacing w:before="120" w:after="240"/>
      <w:outlineLvl w:val="0"/>
    </w:pPr>
    <w:rPr>
      <w:b/>
      <w:spacing w:val="4"/>
      <w:sz w:val="24"/>
      <w:szCs w:val="24"/>
      <w:lang w:val="es-ES"/>
    </w:rPr>
  </w:style>
  <w:style w:type="paragraph" w:styleId="Ttulo2">
    <w:name w:val="heading 2"/>
    <w:basedOn w:val="Ttulo1"/>
    <w:next w:val="Normal"/>
    <w:link w:val="Ttulo2Car"/>
    <w:autoRedefine/>
    <w:qFormat/>
    <w:rsid w:val="00B43FB5"/>
    <w:pPr>
      <w:numPr>
        <w:ilvl w:val="1"/>
      </w:numPr>
      <w:outlineLvl w:val="1"/>
    </w:pPr>
  </w:style>
  <w:style w:type="paragraph" w:styleId="Ttulo3">
    <w:name w:val="heading 3"/>
    <w:basedOn w:val="Ttulo2"/>
    <w:next w:val="Normal"/>
    <w:link w:val="Ttulo3Car"/>
    <w:uiPriority w:val="9"/>
    <w:qFormat/>
    <w:rsid w:val="00E213CE"/>
    <w:pPr>
      <w:numPr>
        <w:ilvl w:val="2"/>
      </w:numPr>
      <w:ind w:left="993" w:hanging="993"/>
      <w:outlineLvl w:val="2"/>
    </w:pPr>
  </w:style>
  <w:style w:type="paragraph" w:styleId="Ttulo4">
    <w:name w:val="heading 4"/>
    <w:basedOn w:val="Normal"/>
    <w:next w:val="Normal"/>
    <w:link w:val="Ttulo4Car"/>
    <w:qFormat/>
    <w:rsid w:val="003101DA"/>
    <w:pPr>
      <w:keepNext/>
      <w:numPr>
        <w:ilvl w:val="3"/>
        <w:numId w:val="3"/>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numPr>
        <w:ilvl w:val="4"/>
        <w:numId w:val="3"/>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iPriority w:val="9"/>
    <w:unhideWhenUsed/>
    <w:rsid w:val="00795BFB"/>
    <w:pPr>
      <w:numPr>
        <w:ilvl w:val="5"/>
        <w:numId w:val="3"/>
      </w:numPr>
      <w:spacing w:before="240" w:after="60"/>
      <w:outlineLvl w:val="5"/>
    </w:pPr>
    <w:rPr>
      <w:rFonts w:ascii="Calibri" w:hAnsi="Calibri"/>
      <w:b/>
      <w:bCs/>
      <w:sz w:val="22"/>
      <w:szCs w:val="22"/>
    </w:rPr>
  </w:style>
  <w:style w:type="paragraph" w:styleId="Ttulo7">
    <w:name w:val="heading 7"/>
    <w:basedOn w:val="Normal"/>
    <w:next w:val="Normal"/>
    <w:link w:val="Ttulo7Car"/>
    <w:uiPriority w:val="9"/>
    <w:qFormat/>
    <w:rsid w:val="006E56AD"/>
    <w:pPr>
      <w:keepNext/>
      <w:numPr>
        <w:ilvl w:val="6"/>
        <w:numId w:val="3"/>
      </w:numPr>
      <w:spacing w:before="160" w:after="160"/>
      <w:jc w:val="center"/>
      <w:outlineLvl w:val="6"/>
    </w:pPr>
    <w:rPr>
      <w:rFonts w:ascii="Arial" w:hAnsi="Arial"/>
      <w:b/>
      <w:sz w:val="22"/>
      <w:szCs w:val="20"/>
      <w:lang w:val="es-CO"/>
    </w:rPr>
  </w:style>
  <w:style w:type="paragraph" w:styleId="Ttulo8">
    <w:name w:val="heading 8"/>
    <w:basedOn w:val="Normal"/>
    <w:next w:val="Normal"/>
    <w:link w:val="Ttulo8Car"/>
    <w:uiPriority w:val="9"/>
    <w:qFormat/>
    <w:rsid w:val="006E56AD"/>
    <w:pPr>
      <w:keepNext/>
      <w:numPr>
        <w:ilvl w:val="7"/>
        <w:numId w:val="3"/>
      </w:numPr>
      <w:spacing w:before="160" w:after="160"/>
      <w:jc w:val="center"/>
      <w:outlineLvl w:val="7"/>
    </w:pPr>
    <w:rPr>
      <w:rFonts w:ascii="Arial" w:hAnsi="Arial" w:cs="Arial"/>
      <w:b/>
      <w:sz w:val="22"/>
      <w:szCs w:val="20"/>
      <w:lang w:val="es-CO"/>
    </w:rPr>
  </w:style>
  <w:style w:type="paragraph" w:styleId="Ttulo9">
    <w:name w:val="heading 9"/>
    <w:basedOn w:val="Normal"/>
    <w:next w:val="Normal"/>
    <w:link w:val="Ttulo9Car"/>
    <w:qFormat/>
    <w:rsid w:val="006E56AD"/>
    <w:pPr>
      <w:keepNext/>
      <w:numPr>
        <w:ilvl w:val="8"/>
        <w:numId w:val="3"/>
      </w:numPr>
      <w:spacing w:before="160" w:after="160"/>
      <w:outlineLvl w:val="8"/>
    </w:pPr>
    <w:rPr>
      <w:rFonts w:ascii="Arial" w:hAnsi="Arial"/>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1405C6"/>
    <w:pPr>
      <w:ind w:left="720" w:hanging="360"/>
    </w:pPr>
    <w:rPr>
      <w:sz w:val="20"/>
      <w:szCs w:val="20"/>
      <w:lang w:val="es-CO"/>
    </w:rPr>
  </w:style>
  <w:style w:type="character" w:customStyle="1" w:styleId="PrrafodelistaCar">
    <w:name w:val="Párrafo de lista Car"/>
    <w:basedOn w:val="Fuentedeprrafopredeter"/>
    <w:link w:val="Prrafodelista"/>
    <w:uiPriority w:val="34"/>
    <w:rsid w:val="001405C6"/>
    <w:rPr>
      <w:rFonts w:ascii="Bookman Old Style" w:hAnsi="Bookman Old Style"/>
      <w:lang w:val="es-CO"/>
    </w:rPr>
  </w:style>
  <w:style w:type="character" w:customStyle="1" w:styleId="Ttulo1Car">
    <w:name w:val="Título 1 Car"/>
    <w:basedOn w:val="Fuentedeprrafopredeter"/>
    <w:link w:val="Ttulo1"/>
    <w:rsid w:val="00BB53DC"/>
    <w:rPr>
      <w:rFonts w:ascii="Bookman Old Style" w:hAnsi="Bookman Old Style"/>
      <w:b/>
      <w:spacing w:val="4"/>
      <w:sz w:val="24"/>
      <w:szCs w:val="24"/>
    </w:rPr>
  </w:style>
  <w:style w:type="character" w:customStyle="1" w:styleId="Ttulo2Car">
    <w:name w:val="Título 2 Car"/>
    <w:basedOn w:val="Fuentedeprrafopredeter"/>
    <w:link w:val="Ttulo2"/>
    <w:rsid w:val="00B43FB5"/>
    <w:rPr>
      <w:rFonts w:ascii="Bookman Old Style" w:hAnsi="Bookman Old Style"/>
      <w:b/>
      <w:spacing w:val="4"/>
      <w:sz w:val="24"/>
      <w:szCs w:val="24"/>
    </w:rPr>
  </w:style>
  <w:style w:type="character" w:customStyle="1" w:styleId="Ttulo3Car">
    <w:name w:val="Título 3 Car"/>
    <w:basedOn w:val="Fuentedeprrafopredeter"/>
    <w:link w:val="Ttulo3"/>
    <w:uiPriority w:val="9"/>
    <w:rsid w:val="00E213CE"/>
    <w:rPr>
      <w:rFonts w:ascii="Bookman Old Style" w:hAnsi="Bookman Old Style"/>
      <w:b/>
      <w:spacing w:val="4"/>
      <w:sz w:val="24"/>
      <w:szCs w:val="24"/>
    </w:rPr>
  </w:style>
  <w:style w:type="character" w:customStyle="1" w:styleId="Ttulo4Car">
    <w:name w:val="Título 4 Car"/>
    <w:basedOn w:val="Fuentedeprrafopredeter"/>
    <w:link w:val="Ttulo4"/>
    <w:rsid w:val="00141013"/>
    <w:rPr>
      <w:rFonts w:ascii="Arial" w:hAnsi="Arial" w:cs="Arial"/>
      <w:b/>
      <w:snapToGrid w:val="0"/>
      <w:color w:val="000000"/>
      <w:spacing w:val="20"/>
      <w:lang w:val="es-ES_tradnl"/>
    </w:rPr>
  </w:style>
  <w:style w:type="character" w:customStyle="1" w:styleId="Ttulo5Car">
    <w:name w:val="Título 5 Car"/>
    <w:basedOn w:val="Fuentedeprrafopredeter"/>
    <w:link w:val="Ttulo5"/>
    <w:rsid w:val="00141013"/>
    <w:rPr>
      <w:rFonts w:ascii="Arial" w:hAnsi="Arial" w:cs="Arial"/>
      <w:b/>
      <w:snapToGrid w:val="0"/>
      <w:color w:val="000000"/>
      <w:spacing w:val="20"/>
      <w:sz w:val="28"/>
      <w:lang w:val="es-ES_tradnl"/>
    </w:rPr>
  </w:style>
  <w:style w:type="character" w:customStyle="1" w:styleId="Ttulo6Car">
    <w:name w:val="Título 6 Car"/>
    <w:basedOn w:val="Fuentedeprrafopredeter"/>
    <w:link w:val="Ttulo6"/>
    <w:uiPriority w:val="9"/>
    <w:rsid w:val="00795BFB"/>
    <w:rPr>
      <w:rFonts w:ascii="Calibri" w:hAnsi="Calibri"/>
      <w:b/>
      <w:bCs/>
      <w:sz w:val="22"/>
      <w:szCs w:val="22"/>
    </w:rPr>
  </w:style>
  <w:style w:type="character" w:customStyle="1" w:styleId="Ttulo7Car">
    <w:name w:val="Título 7 Car"/>
    <w:basedOn w:val="Fuentedeprrafopredeter"/>
    <w:link w:val="Ttulo7"/>
    <w:uiPriority w:val="9"/>
    <w:rsid w:val="006E56AD"/>
    <w:rPr>
      <w:rFonts w:ascii="Arial" w:hAnsi="Arial"/>
      <w:b/>
      <w:sz w:val="22"/>
      <w:lang w:val="es-CO"/>
    </w:rPr>
  </w:style>
  <w:style w:type="character" w:customStyle="1" w:styleId="Ttulo8Car">
    <w:name w:val="Título 8 Car"/>
    <w:basedOn w:val="Fuentedeprrafopredeter"/>
    <w:link w:val="Ttulo8"/>
    <w:uiPriority w:val="9"/>
    <w:rsid w:val="006E56AD"/>
    <w:rPr>
      <w:rFonts w:ascii="Arial" w:hAnsi="Arial" w:cs="Arial"/>
      <w:b/>
      <w:sz w:val="22"/>
      <w:lang w:val="es-CO"/>
    </w:rPr>
  </w:style>
  <w:style w:type="character" w:customStyle="1" w:styleId="Ttulo9Car">
    <w:name w:val="Título 9 Car"/>
    <w:basedOn w:val="Fuentedeprrafopredeter"/>
    <w:link w:val="Ttulo9"/>
    <w:rsid w:val="006E56AD"/>
    <w:rPr>
      <w:rFonts w:ascii="Arial" w:hAnsi="Arial"/>
      <w:sz w:val="22"/>
      <w:lang w:val="es-CO"/>
    </w:rPr>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character" w:customStyle="1" w:styleId="EncabezadoCar">
    <w:name w:val="Encabezado Car"/>
    <w:basedOn w:val="Fuentedeprrafopredeter"/>
    <w:link w:val="Encabezado"/>
    <w:rsid w:val="00593C4F"/>
    <w:rPr>
      <w:rFonts w:ascii="CG Times" w:hAnsi="CG Times"/>
      <w:sz w:val="24"/>
      <w:lang w:val="es-CO"/>
    </w:rPr>
  </w:style>
  <w:style w:type="paragraph" w:styleId="Piedepgina">
    <w:name w:val="footer"/>
    <w:basedOn w:val="Normal"/>
    <w:link w:val="PiedepginaCar"/>
    <w:rsid w:val="003101DA"/>
    <w:pPr>
      <w:tabs>
        <w:tab w:val="center" w:pos="4252"/>
        <w:tab w:val="right" w:pos="8504"/>
      </w:tabs>
    </w:pPr>
  </w:style>
  <w:style w:type="character" w:customStyle="1" w:styleId="PiedepginaCar">
    <w:name w:val="Pie de página Car"/>
    <w:basedOn w:val="Fuentedeprrafopredeter"/>
    <w:link w:val="Piedepgina"/>
    <w:rsid w:val="006E56AD"/>
    <w:rPr>
      <w:sz w:val="24"/>
      <w:szCs w:val="24"/>
    </w:r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character" w:customStyle="1" w:styleId="TextoindependienteCar">
    <w:name w:val="Texto independiente Car"/>
    <w:basedOn w:val="Fuentedeprrafopredeter"/>
    <w:link w:val="Textoindependiente"/>
    <w:rsid w:val="00141013"/>
    <w:rPr>
      <w:rFonts w:ascii="Arial" w:hAnsi="Arial" w:cs="Arial"/>
      <w:b/>
      <w:bCs/>
      <w:sz w:val="24"/>
      <w:szCs w:val="24"/>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character" w:customStyle="1" w:styleId="Textoindependiente3Car">
    <w:name w:val="Texto independiente 3 Car"/>
    <w:basedOn w:val="Fuentedeprrafopredeter"/>
    <w:link w:val="Textoindependiente3"/>
    <w:uiPriority w:val="99"/>
    <w:rsid w:val="00141013"/>
    <w:rPr>
      <w:rFonts w:ascii="Arial" w:hAnsi="Arial" w:cs="Arial"/>
      <w:b/>
      <w:bCs/>
      <w:spacing w:val="-3"/>
      <w:sz w:val="24"/>
      <w:szCs w:val="24"/>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basedOn w:val="Fuentedeprrafopredeter"/>
    <w:link w:val="Textodeglobo"/>
    <w:uiPriority w:val="99"/>
    <w:rsid w:val="00725FA4"/>
    <w:rPr>
      <w:rFonts w:ascii="Tahoma" w:hAnsi="Tahoma" w:cs="Tahoma"/>
      <w:sz w:val="16"/>
      <w:szCs w:val="16"/>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basedOn w:val="Fuentedeprrafopredeter"/>
    <w:link w:val="Ttulo"/>
    <w:rsid w:val="00795BFB"/>
    <w:rPr>
      <w:rFonts w:ascii="Arial" w:hAnsi="Arial" w:cs="Arial"/>
      <w:b/>
      <w:bCs/>
      <w:sz w:val="24"/>
      <w:szCs w:val="24"/>
    </w:rPr>
  </w:style>
  <w:style w:type="paragraph" w:styleId="TDC1">
    <w:name w:val="toc 1"/>
    <w:basedOn w:val="Normal"/>
    <w:next w:val="Normal"/>
    <w:autoRedefine/>
    <w:uiPriority w:val="39"/>
    <w:qFormat/>
    <w:rsid w:val="003E78D5"/>
    <w:pPr>
      <w:tabs>
        <w:tab w:val="left" w:pos="709"/>
        <w:tab w:val="left" w:pos="1701"/>
        <w:tab w:val="right" w:leader="dot" w:pos="9356"/>
      </w:tabs>
      <w:spacing w:before="240"/>
    </w:pPr>
    <w:rPr>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basedOn w:val="Fuentedeprrafopredeter"/>
    <w:link w:val="Textoindependiente2"/>
    <w:semiHidden/>
    <w:rsid w:val="00006AE2"/>
    <w:rPr>
      <w:sz w:val="24"/>
      <w:szCs w:val="24"/>
    </w:rPr>
  </w:style>
  <w:style w:type="paragraph" w:styleId="Epgrafe">
    <w:name w:val="caption"/>
    <w:basedOn w:val="Normal"/>
    <w:next w:val="Normal"/>
    <w:link w:val="EpgrafeCar"/>
    <w:qFormat/>
    <w:rsid w:val="003A31F6"/>
    <w:pPr>
      <w:widowControl w:val="0"/>
      <w:adjustRightInd w:val="0"/>
      <w:spacing w:before="120" w:after="120" w:line="360" w:lineRule="atLeast"/>
      <w:jc w:val="center"/>
      <w:textAlignment w:val="baseline"/>
    </w:pPr>
    <w:rPr>
      <w:rFonts w:ascii="Arial" w:hAnsi="Arial"/>
      <w:sz w:val="20"/>
      <w:szCs w:val="20"/>
    </w:rPr>
  </w:style>
  <w:style w:type="character" w:customStyle="1" w:styleId="EpgrafeCar">
    <w:name w:val="Epígrafe Car"/>
    <w:basedOn w:val="Fuentedeprrafopredeter"/>
    <w:link w:val="Epgrafe"/>
    <w:rsid w:val="008207F3"/>
    <w:rPr>
      <w:rFonts w:ascii="Arial" w:hAnsi="Arial"/>
    </w:rPr>
  </w:style>
  <w:style w:type="paragraph" w:styleId="Sinespaciado">
    <w:name w:val="No Spacing"/>
    <w:uiPriority w:val="1"/>
    <w:qFormat/>
    <w:rsid w:val="003A31F6"/>
    <w:rPr>
      <w:rFonts w:ascii="Calibri" w:hAnsi="Calibri" w:cs="Calibri"/>
      <w:sz w:val="22"/>
      <w:szCs w:val="22"/>
      <w:lang w:eastAsia="en-US"/>
    </w:rPr>
  </w:style>
  <w:style w:type="character" w:customStyle="1" w:styleId="apple-style-span">
    <w:name w:val="apple-style-span"/>
    <w:basedOn w:val="Fuentedeprrafopredeter"/>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basedOn w:val="Fuentedeprrafopredete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customStyle="1" w:styleId="Artculo">
    <w:name w:val="Artículo"/>
    <w:basedOn w:val="Normal"/>
    <w:link w:val="ArtculoCar"/>
    <w:autoRedefine/>
    <w:qFormat/>
    <w:rsid w:val="003F09B1"/>
    <w:pPr>
      <w:numPr>
        <w:numId w:val="2"/>
      </w:numPr>
      <w:ind w:left="0" w:firstLine="0"/>
    </w:pPr>
    <w:rPr>
      <w:rFonts w:cs="Arial"/>
    </w:rPr>
  </w:style>
  <w:style w:type="character" w:customStyle="1" w:styleId="ArtculoCar">
    <w:name w:val="Artículo Car"/>
    <w:basedOn w:val="Fuentedeprrafopredeter"/>
    <w:link w:val="Artculo"/>
    <w:rsid w:val="003F09B1"/>
    <w:rPr>
      <w:rFonts w:ascii="Bookman Old Style" w:hAnsi="Bookman Old Style" w:cs="Arial"/>
      <w:sz w:val="24"/>
      <w:szCs w:val="24"/>
    </w:rPr>
  </w:style>
  <w:style w:type="character" w:styleId="Hipervnculo">
    <w:name w:val="Hyperlink"/>
    <w:basedOn w:val="Fuentedeprrafopredeter"/>
    <w:uiPriority w:val="99"/>
    <w:rsid w:val="006E56AD"/>
    <w:rPr>
      <w:color w:val="0000FF"/>
      <w:u w:val="single"/>
    </w:rPr>
  </w:style>
  <w:style w:type="character" w:styleId="Hipervnculovisitado">
    <w:name w:val="FollowedHyperlink"/>
    <w:basedOn w:val="Fuentedeprrafopredeter"/>
    <w:uiPriority w:val="99"/>
    <w:rsid w:val="006E56AD"/>
    <w:rPr>
      <w:color w:val="800080"/>
      <w:u w:val="single"/>
    </w:rPr>
  </w:style>
  <w:style w:type="paragraph" w:styleId="Textonotapie">
    <w:name w:val="footnote text"/>
    <w:basedOn w:val="Normal"/>
    <w:link w:val="TextonotapieCar"/>
    <w:semiHidden/>
    <w:rsid w:val="006E56AD"/>
    <w:pPr>
      <w:spacing w:before="160" w:after="160"/>
    </w:pPr>
    <w:rPr>
      <w:rFonts w:ascii="Arial" w:hAnsi="Arial"/>
      <w:sz w:val="22"/>
      <w:szCs w:val="20"/>
      <w:lang w:val="es-CO"/>
    </w:rPr>
  </w:style>
  <w:style w:type="character" w:customStyle="1" w:styleId="TextonotapieCar">
    <w:name w:val="Texto nota pie Car"/>
    <w:basedOn w:val="Fuentedeprrafopredeter"/>
    <w:link w:val="Textonotapie"/>
    <w:semiHidden/>
    <w:rsid w:val="006E56AD"/>
    <w:rPr>
      <w:rFonts w:ascii="Arial" w:hAnsi="Arial"/>
      <w:sz w:val="22"/>
      <w:lang w:val="es-CO"/>
    </w:rPr>
  </w:style>
  <w:style w:type="character" w:styleId="Refdenotaalpie">
    <w:name w:val="footnote reference"/>
    <w:basedOn w:val="Fuentedeprrafopredeter"/>
    <w:semiHidden/>
    <w:rsid w:val="006E56AD"/>
    <w:rPr>
      <w:vertAlign w:val="superscript"/>
    </w:rPr>
  </w:style>
  <w:style w:type="paragraph" w:styleId="Listaconvietas">
    <w:name w:val="List Bullet"/>
    <w:basedOn w:val="Normal"/>
    <w:autoRedefine/>
    <w:semiHidden/>
    <w:rsid w:val="006E56AD"/>
    <w:pPr>
      <w:tabs>
        <w:tab w:val="num" w:pos="360"/>
      </w:tabs>
      <w:spacing w:before="160" w:after="160"/>
      <w:ind w:left="360" w:hanging="360"/>
    </w:pPr>
    <w:rPr>
      <w:rFonts w:ascii="CG Times" w:hAnsi="CG Times"/>
      <w:sz w:val="22"/>
      <w:szCs w:val="20"/>
      <w:lang w:val="es-CO"/>
    </w:rPr>
  </w:style>
  <w:style w:type="paragraph" w:styleId="Listaconvietas2">
    <w:name w:val="List Bullet 2"/>
    <w:basedOn w:val="Normal"/>
    <w:autoRedefine/>
    <w:semiHidden/>
    <w:rsid w:val="006E56AD"/>
    <w:pPr>
      <w:tabs>
        <w:tab w:val="num" w:pos="643"/>
      </w:tabs>
      <w:spacing w:before="160" w:after="160"/>
      <w:ind w:left="643" w:hanging="360"/>
    </w:pPr>
    <w:rPr>
      <w:rFonts w:ascii="CG Times" w:hAnsi="CG Times"/>
      <w:sz w:val="22"/>
      <w:szCs w:val="20"/>
      <w:lang w:val="es-CO"/>
    </w:rPr>
  </w:style>
  <w:style w:type="paragraph" w:styleId="Listaconvietas4">
    <w:name w:val="List Bullet 4"/>
    <w:basedOn w:val="Normal"/>
    <w:autoRedefine/>
    <w:semiHidden/>
    <w:rsid w:val="006E56AD"/>
    <w:pPr>
      <w:tabs>
        <w:tab w:val="num" w:pos="1209"/>
      </w:tabs>
      <w:spacing w:before="160" w:after="160"/>
      <w:ind w:left="1209" w:hanging="360"/>
    </w:pPr>
    <w:rPr>
      <w:rFonts w:ascii="CG Times" w:hAnsi="CG Times"/>
      <w:sz w:val="22"/>
      <w:szCs w:val="20"/>
      <w:lang w:val="es-CO"/>
    </w:rPr>
  </w:style>
  <w:style w:type="paragraph" w:styleId="Sangra2detindependiente">
    <w:name w:val="Body Text Indent 2"/>
    <w:basedOn w:val="Normal"/>
    <w:link w:val="Sangra2detindependienteCar"/>
    <w:rsid w:val="006E56AD"/>
    <w:pPr>
      <w:spacing w:before="160" w:after="160"/>
      <w:ind w:hanging="567"/>
      <w:outlineLvl w:val="0"/>
    </w:pPr>
    <w:rPr>
      <w:b/>
      <w:sz w:val="22"/>
      <w:szCs w:val="20"/>
      <w:lang w:val="es-CO"/>
    </w:rPr>
  </w:style>
  <w:style w:type="character" w:customStyle="1" w:styleId="Sangra2detindependienteCar">
    <w:name w:val="Sangría 2 de t. independiente Car"/>
    <w:basedOn w:val="Fuentedeprrafopredeter"/>
    <w:link w:val="Sangra2detindependiente"/>
    <w:rsid w:val="006E56AD"/>
    <w:rPr>
      <w:rFonts w:ascii="Bookman Old Style" w:hAnsi="Bookman Old Style"/>
      <w:b/>
      <w:sz w:val="22"/>
      <w:lang w:val="es-CO"/>
    </w:rPr>
  </w:style>
  <w:style w:type="paragraph" w:styleId="Sangradetextonormal">
    <w:name w:val="Body Text Indent"/>
    <w:basedOn w:val="Normal"/>
    <w:link w:val="SangradetextonormalCar"/>
    <w:rsid w:val="006E56AD"/>
    <w:pPr>
      <w:numPr>
        <w:ilvl w:val="12"/>
      </w:numPr>
      <w:tabs>
        <w:tab w:val="left" w:pos="0"/>
      </w:tabs>
      <w:spacing w:before="160" w:after="160"/>
    </w:pPr>
    <w:rPr>
      <w:rFonts w:ascii="Arial" w:hAnsi="Arial"/>
      <w:b/>
      <w:sz w:val="22"/>
      <w:szCs w:val="20"/>
      <w:lang w:val="es-CO"/>
    </w:rPr>
  </w:style>
  <w:style w:type="character" w:customStyle="1" w:styleId="SangradetextonormalCar">
    <w:name w:val="Sangría de texto normal Car"/>
    <w:basedOn w:val="Fuentedeprrafopredeter"/>
    <w:link w:val="Sangradetextonormal"/>
    <w:rsid w:val="006E56AD"/>
    <w:rPr>
      <w:rFonts w:ascii="Arial" w:hAnsi="Arial"/>
      <w:b/>
      <w:sz w:val="22"/>
      <w:lang w:val="es-CO"/>
    </w:rPr>
  </w:style>
  <w:style w:type="paragraph" w:styleId="TDC2">
    <w:name w:val="toc 2"/>
    <w:basedOn w:val="Normal"/>
    <w:next w:val="Normal"/>
    <w:autoRedefine/>
    <w:uiPriority w:val="39"/>
    <w:qFormat/>
    <w:rsid w:val="003826FA"/>
    <w:pPr>
      <w:tabs>
        <w:tab w:val="left" w:pos="1418"/>
        <w:tab w:val="right" w:leader="dot" w:pos="9346"/>
      </w:tabs>
      <w:spacing w:before="160"/>
      <w:ind w:left="1418" w:hanging="709"/>
    </w:pPr>
    <w:rPr>
      <w:bCs/>
      <w:noProof/>
      <w:sz w:val="22"/>
      <w:szCs w:val="20"/>
      <w:lang w:val="es-CO"/>
    </w:rPr>
  </w:style>
  <w:style w:type="paragraph" w:styleId="TDC3">
    <w:name w:val="toc 3"/>
    <w:basedOn w:val="Normal"/>
    <w:next w:val="Normal"/>
    <w:autoRedefine/>
    <w:uiPriority w:val="39"/>
    <w:qFormat/>
    <w:rsid w:val="00F805F9"/>
    <w:pPr>
      <w:tabs>
        <w:tab w:val="left" w:pos="2127"/>
        <w:tab w:val="right" w:leader="dot" w:pos="9346"/>
      </w:tabs>
      <w:spacing w:before="100"/>
      <w:ind w:left="1418"/>
    </w:pPr>
    <w:rPr>
      <w:noProof/>
      <w:sz w:val="22"/>
      <w:szCs w:val="20"/>
      <w:lang w:val="es-CO"/>
    </w:rPr>
  </w:style>
  <w:style w:type="paragraph" w:styleId="TDC4">
    <w:name w:val="toc 4"/>
    <w:basedOn w:val="Normal"/>
    <w:next w:val="Normal"/>
    <w:autoRedefine/>
    <w:uiPriority w:val="39"/>
    <w:rsid w:val="006E56AD"/>
    <w:pPr>
      <w:ind w:left="480"/>
    </w:pPr>
    <w:rPr>
      <w:rFonts w:ascii="Calibri" w:hAnsi="Calibri"/>
      <w:sz w:val="20"/>
      <w:szCs w:val="20"/>
      <w:lang w:val="es-CO"/>
    </w:rPr>
  </w:style>
  <w:style w:type="paragraph" w:styleId="TDC5">
    <w:name w:val="toc 5"/>
    <w:basedOn w:val="Normal"/>
    <w:next w:val="Normal"/>
    <w:autoRedefine/>
    <w:uiPriority w:val="39"/>
    <w:rsid w:val="006E56AD"/>
    <w:pPr>
      <w:ind w:left="720"/>
    </w:pPr>
    <w:rPr>
      <w:rFonts w:ascii="Calibri" w:hAnsi="Calibri"/>
      <w:sz w:val="20"/>
      <w:szCs w:val="20"/>
      <w:lang w:val="es-CO"/>
    </w:rPr>
  </w:style>
  <w:style w:type="paragraph" w:styleId="TDC6">
    <w:name w:val="toc 6"/>
    <w:basedOn w:val="Normal"/>
    <w:next w:val="Normal"/>
    <w:autoRedefine/>
    <w:uiPriority w:val="39"/>
    <w:rsid w:val="006E56AD"/>
    <w:pPr>
      <w:ind w:left="960"/>
    </w:pPr>
    <w:rPr>
      <w:rFonts w:ascii="Calibri" w:hAnsi="Calibri"/>
      <w:sz w:val="20"/>
      <w:szCs w:val="20"/>
      <w:lang w:val="es-CO"/>
    </w:rPr>
  </w:style>
  <w:style w:type="paragraph" w:styleId="TDC7">
    <w:name w:val="toc 7"/>
    <w:basedOn w:val="Normal"/>
    <w:next w:val="Normal"/>
    <w:autoRedefine/>
    <w:uiPriority w:val="39"/>
    <w:rsid w:val="006E56AD"/>
    <w:pPr>
      <w:tabs>
        <w:tab w:val="right" w:pos="9111"/>
      </w:tabs>
      <w:spacing w:before="240"/>
    </w:pPr>
    <w:rPr>
      <w:rFonts w:ascii="Arial" w:hAnsi="Arial"/>
      <w:b/>
      <w:sz w:val="22"/>
      <w:szCs w:val="20"/>
      <w:lang w:val="es-CO"/>
    </w:rPr>
  </w:style>
  <w:style w:type="paragraph" w:styleId="TDC8">
    <w:name w:val="toc 8"/>
    <w:basedOn w:val="Normal"/>
    <w:next w:val="Normal"/>
    <w:autoRedefine/>
    <w:uiPriority w:val="39"/>
    <w:rsid w:val="006E56AD"/>
    <w:pPr>
      <w:tabs>
        <w:tab w:val="right" w:leader="dot" w:pos="9111"/>
      </w:tabs>
    </w:pPr>
    <w:rPr>
      <w:rFonts w:ascii="Arial" w:hAnsi="Arial"/>
      <w:b/>
      <w:sz w:val="22"/>
      <w:szCs w:val="20"/>
      <w:lang w:val="es-CO"/>
    </w:rPr>
  </w:style>
  <w:style w:type="paragraph" w:styleId="TDC9">
    <w:name w:val="toc 9"/>
    <w:basedOn w:val="Normal"/>
    <w:next w:val="Normal"/>
    <w:autoRedefine/>
    <w:uiPriority w:val="39"/>
    <w:rsid w:val="006E56AD"/>
    <w:pPr>
      <w:ind w:left="1680"/>
    </w:pPr>
    <w:rPr>
      <w:rFonts w:ascii="Calibri" w:hAnsi="Calibri"/>
      <w:sz w:val="20"/>
      <w:szCs w:val="20"/>
      <w:lang w:val="es-CO"/>
    </w:rPr>
  </w:style>
  <w:style w:type="paragraph" w:customStyle="1" w:styleId="Textodenotaalfinal">
    <w:name w:val="Texto de nota al final"/>
    <w:basedOn w:val="Normal"/>
    <w:rsid w:val="006E56AD"/>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6E56AD"/>
    <w:pPr>
      <w:spacing w:before="160" w:after="160"/>
      <w:ind w:left="2880" w:hanging="2880"/>
    </w:pPr>
    <w:rPr>
      <w:spacing w:val="-4"/>
      <w:sz w:val="22"/>
      <w:szCs w:val="20"/>
      <w:lang w:val="es-CO"/>
    </w:rPr>
  </w:style>
  <w:style w:type="character" w:customStyle="1" w:styleId="Sangra3detindependienteCar">
    <w:name w:val="Sangría 3 de t. independiente Car"/>
    <w:basedOn w:val="Fuentedeprrafopredeter"/>
    <w:link w:val="Sangra3detindependiente"/>
    <w:rsid w:val="006E56AD"/>
    <w:rPr>
      <w:rFonts w:ascii="Bookman Old Style" w:hAnsi="Bookman Old Style"/>
      <w:spacing w:val="-4"/>
      <w:sz w:val="22"/>
      <w:lang w:val="es-CO"/>
    </w:rPr>
  </w:style>
  <w:style w:type="paragraph" w:styleId="Cita">
    <w:name w:val="Quote"/>
    <w:basedOn w:val="Normal"/>
    <w:next w:val="Normal"/>
    <w:link w:val="CitaCar"/>
    <w:uiPriority w:val="29"/>
    <w:qFormat/>
    <w:rsid w:val="006E56AD"/>
    <w:pPr>
      <w:spacing w:after="120"/>
      <w:ind w:right="616"/>
    </w:pPr>
    <w:rPr>
      <w:rFonts w:ascii="Arial" w:eastAsia="Calibri" w:hAnsi="Arial" w:cs="Arial"/>
      <w:i/>
      <w:iCs/>
      <w:color w:val="000000"/>
      <w:sz w:val="20"/>
      <w:szCs w:val="22"/>
      <w:lang w:val="es-CO" w:eastAsia="en-US"/>
    </w:rPr>
  </w:style>
  <w:style w:type="character" w:customStyle="1" w:styleId="CitaCar">
    <w:name w:val="Cita Car"/>
    <w:basedOn w:val="Fuentedeprrafopredeter"/>
    <w:link w:val="Cita"/>
    <w:uiPriority w:val="29"/>
    <w:rsid w:val="006E56AD"/>
    <w:rPr>
      <w:rFonts w:ascii="Arial" w:eastAsia="Calibri" w:hAnsi="Arial" w:cs="Arial"/>
      <w:i/>
      <w:iCs/>
      <w:color w:val="000000"/>
      <w:szCs w:val="22"/>
      <w:lang w:val="es-CO" w:eastAsia="en-US"/>
    </w:rPr>
  </w:style>
  <w:style w:type="character" w:styleId="Refdecomentario">
    <w:name w:val="annotation reference"/>
    <w:basedOn w:val="Fuentedeprrafopredeter"/>
    <w:semiHidden/>
    <w:unhideWhenUsed/>
    <w:rsid w:val="006E56AD"/>
    <w:rPr>
      <w:sz w:val="16"/>
      <w:szCs w:val="16"/>
    </w:rPr>
  </w:style>
  <w:style w:type="paragraph" w:styleId="Textocomentario">
    <w:name w:val="annotation text"/>
    <w:basedOn w:val="Normal"/>
    <w:link w:val="TextocomentarioCar"/>
    <w:semiHidden/>
    <w:unhideWhenUsed/>
    <w:rsid w:val="006E56AD"/>
    <w:pPr>
      <w:spacing w:before="160" w:after="160"/>
    </w:pPr>
    <w:rPr>
      <w:rFonts w:ascii="Arial" w:hAnsi="Arial"/>
      <w:sz w:val="20"/>
      <w:szCs w:val="20"/>
      <w:lang w:val="es-CO"/>
    </w:rPr>
  </w:style>
  <w:style w:type="character" w:customStyle="1" w:styleId="TextocomentarioCar">
    <w:name w:val="Texto comentario Car"/>
    <w:basedOn w:val="Fuentedeprrafopredeter"/>
    <w:link w:val="Textocomentario"/>
    <w:semiHidden/>
    <w:rsid w:val="006E56AD"/>
    <w:rPr>
      <w:rFonts w:ascii="Arial" w:hAnsi="Arial"/>
      <w:lang w:val="es-CO"/>
    </w:rPr>
  </w:style>
  <w:style w:type="paragraph" w:styleId="Asuntodelcomentario">
    <w:name w:val="annotation subject"/>
    <w:basedOn w:val="Textocomentario"/>
    <w:next w:val="Textocomentario"/>
    <w:link w:val="AsuntodelcomentarioCar"/>
    <w:semiHidden/>
    <w:unhideWhenUsed/>
    <w:rsid w:val="006E56AD"/>
    <w:rPr>
      <w:b/>
      <w:bCs/>
    </w:rPr>
  </w:style>
  <w:style w:type="character" w:customStyle="1" w:styleId="AsuntodelcomentarioCar">
    <w:name w:val="Asunto del comentario Car"/>
    <w:basedOn w:val="TextocomentarioCar"/>
    <w:link w:val="Asuntodelcomentario"/>
    <w:semiHidden/>
    <w:rsid w:val="006E56AD"/>
    <w:rPr>
      <w:rFonts w:ascii="Arial" w:hAnsi="Arial"/>
      <w:b/>
      <w:bCs/>
      <w:lang w:val="es-CO"/>
    </w:rPr>
  </w:style>
  <w:style w:type="character" w:styleId="Textoennegrita">
    <w:name w:val="Strong"/>
    <w:basedOn w:val="Fuentedeprrafopredeter"/>
    <w:uiPriority w:val="22"/>
    <w:qFormat/>
    <w:rsid w:val="006E56AD"/>
    <w:rPr>
      <w:b/>
      <w:bCs/>
    </w:rPr>
  </w:style>
  <w:style w:type="paragraph" w:styleId="TtulodeTDC">
    <w:name w:val="TOC Heading"/>
    <w:basedOn w:val="Ttulo1"/>
    <w:next w:val="Normal"/>
    <w:uiPriority w:val="39"/>
    <w:unhideWhenUsed/>
    <w:qFormat/>
    <w:rsid w:val="006E56AD"/>
    <w:pPr>
      <w:keepLines/>
      <w:spacing w:before="480" w:line="276" w:lineRule="auto"/>
      <w:ind w:left="0"/>
      <w:jc w:val="left"/>
      <w:outlineLvl w:val="9"/>
    </w:pPr>
    <w:rPr>
      <w:rFonts w:ascii="Cambria" w:hAnsi="Cambria"/>
      <w:bCs/>
      <w:color w:val="365F91"/>
      <w:sz w:val="28"/>
      <w:szCs w:val="28"/>
      <w:lang w:eastAsia="en-US"/>
    </w:rPr>
  </w:style>
  <w:style w:type="paragraph" w:styleId="Mapadeldocumento">
    <w:name w:val="Document Map"/>
    <w:basedOn w:val="Normal"/>
    <w:link w:val="MapadeldocumentoCar"/>
    <w:uiPriority w:val="99"/>
    <w:unhideWhenUsed/>
    <w:rsid w:val="006E56AD"/>
    <w:pPr>
      <w:spacing w:before="160" w:after="160"/>
    </w:pPr>
    <w:rPr>
      <w:rFonts w:ascii="Tahoma" w:hAnsi="Tahoma" w:cs="Tahoma"/>
      <w:sz w:val="16"/>
      <w:szCs w:val="16"/>
      <w:lang w:val="es-CO"/>
    </w:rPr>
  </w:style>
  <w:style w:type="character" w:customStyle="1" w:styleId="MapadeldocumentoCar">
    <w:name w:val="Mapa del documento Car"/>
    <w:basedOn w:val="Fuentedeprrafopredeter"/>
    <w:link w:val="Mapadeldocumento"/>
    <w:uiPriority w:val="99"/>
    <w:rsid w:val="006E56AD"/>
    <w:rPr>
      <w:rFonts w:ascii="Tahoma" w:hAnsi="Tahoma" w:cs="Tahoma"/>
      <w:sz w:val="16"/>
      <w:szCs w:val="16"/>
      <w:lang w:val="es-CO"/>
    </w:rPr>
  </w:style>
  <w:style w:type="paragraph" w:customStyle="1" w:styleId="Anexo">
    <w:name w:val="Anexo"/>
    <w:basedOn w:val="Normal"/>
    <w:link w:val="AnexoCar"/>
    <w:qFormat/>
    <w:rsid w:val="008207F3"/>
    <w:pPr>
      <w:suppressAutoHyphens/>
      <w:ind w:left="1429" w:hanging="360"/>
    </w:pPr>
    <w:rPr>
      <w:rFonts w:cs="Arial"/>
      <w:b/>
      <w:bCs/>
      <w:spacing w:val="-4"/>
    </w:rPr>
  </w:style>
  <w:style w:type="character" w:customStyle="1" w:styleId="AnexoCar">
    <w:name w:val="Anexo Car"/>
    <w:basedOn w:val="Fuentedeprrafopredeter"/>
    <w:link w:val="Anexo"/>
    <w:rsid w:val="008207F3"/>
    <w:rPr>
      <w:rFonts w:ascii="Bookman Old Style" w:hAnsi="Bookman Old Style" w:cs="Arial"/>
      <w:b/>
      <w:bCs/>
      <w:spacing w:val="-4"/>
      <w:sz w:val="24"/>
      <w:szCs w:val="24"/>
    </w:rPr>
  </w:style>
  <w:style w:type="paragraph" w:customStyle="1" w:styleId="PliegoTitulo1">
    <w:name w:val="Pliego_Titulo1"/>
    <w:basedOn w:val="Pliego-Normal"/>
    <w:next w:val="Pliego-Normal"/>
    <w:rsid w:val="008207F3"/>
    <w:pPr>
      <w:tabs>
        <w:tab w:val="num" w:pos="432"/>
      </w:tabs>
      <w:ind w:left="432" w:hanging="432"/>
      <w:jc w:val="center"/>
    </w:pPr>
    <w:rPr>
      <w:b/>
    </w:rPr>
  </w:style>
  <w:style w:type="paragraph" w:customStyle="1" w:styleId="Pliego-Normal">
    <w:name w:val="Pliego-Normal"/>
    <w:basedOn w:val="Normal"/>
    <w:rsid w:val="008207F3"/>
    <w:pPr>
      <w:widowControl w:val="0"/>
      <w:adjustRightInd w:val="0"/>
      <w:textAlignment w:val="baseline"/>
    </w:pPr>
    <w:rPr>
      <w:rFonts w:ascii="Garamond" w:hAnsi="Garamond"/>
      <w:bCs/>
      <w:sz w:val="22"/>
      <w:szCs w:val="20"/>
      <w:lang w:val="es-ES_tradnl"/>
    </w:rPr>
  </w:style>
  <w:style w:type="paragraph" w:styleId="NormalWeb">
    <w:name w:val="Normal (Web)"/>
    <w:basedOn w:val="Normal"/>
    <w:uiPriority w:val="99"/>
    <w:rsid w:val="008207F3"/>
    <w:pPr>
      <w:widowControl w:val="0"/>
      <w:adjustRightInd w:val="0"/>
      <w:spacing w:before="100" w:beforeAutospacing="1" w:after="100" w:afterAutospacing="1"/>
      <w:textAlignment w:val="baseline"/>
    </w:pPr>
  </w:style>
  <w:style w:type="paragraph" w:styleId="ndice1">
    <w:name w:val="index 1"/>
    <w:basedOn w:val="Normal"/>
    <w:next w:val="Normal"/>
    <w:autoRedefine/>
    <w:semiHidden/>
    <w:rsid w:val="008207F3"/>
    <w:pPr>
      <w:widowControl w:val="0"/>
      <w:adjustRightInd w:val="0"/>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8207F3"/>
    <w:pPr>
      <w:widowControl w:val="0"/>
      <w:pBdr>
        <w:top w:val="single" w:sz="6" w:space="1" w:color="auto"/>
      </w:pBdr>
      <w:adjustRightInd w:val="0"/>
      <w:jc w:val="center"/>
      <w:textAlignment w:val="baseline"/>
    </w:pPr>
    <w:rPr>
      <w:rFonts w:ascii="Arial" w:hAnsi="Arial" w:cs="Arial"/>
      <w:vanish/>
      <w:color w:val="000000"/>
      <w:sz w:val="16"/>
      <w:szCs w:val="16"/>
    </w:rPr>
  </w:style>
  <w:style w:type="character" w:customStyle="1" w:styleId="z-FinaldelformularioCar">
    <w:name w:val="z-Final del formulario Car"/>
    <w:basedOn w:val="Fuentedeprrafopredeter"/>
    <w:link w:val="z-Finaldelformulario"/>
    <w:rsid w:val="008207F3"/>
    <w:rPr>
      <w:rFonts w:ascii="Arial" w:hAnsi="Arial" w:cs="Arial"/>
      <w:vanish/>
      <w:color w:val="000000"/>
      <w:sz w:val="16"/>
      <w:szCs w:val="16"/>
    </w:rPr>
  </w:style>
  <w:style w:type="paragraph" w:customStyle="1" w:styleId="NormalTesis">
    <w:name w:val="Normal Tesis"/>
    <w:basedOn w:val="Textoindependiente"/>
    <w:rsid w:val="008207F3"/>
    <w:pPr>
      <w:widowControl w:val="0"/>
      <w:adjustRightInd w:val="0"/>
      <w:spacing w:line="360" w:lineRule="auto"/>
      <w:jc w:val="both"/>
      <w:textAlignment w:val="baseline"/>
    </w:pPr>
    <w:rPr>
      <w:b w:val="0"/>
      <w:bCs w:val="0"/>
      <w:sz w:val="22"/>
    </w:rPr>
  </w:style>
  <w:style w:type="paragraph" w:customStyle="1" w:styleId="Citas">
    <w:name w:val="Citas"/>
    <w:basedOn w:val="Normal"/>
    <w:rsid w:val="008207F3"/>
    <w:pPr>
      <w:ind w:left="708" w:right="618"/>
    </w:pPr>
    <w:rPr>
      <w:rFonts w:cs="Arial"/>
      <w:i/>
      <w:iCs/>
      <w:szCs w:val="20"/>
    </w:rPr>
  </w:style>
  <w:style w:type="paragraph" w:customStyle="1" w:styleId="articulo">
    <w:name w:val="articulo"/>
    <w:basedOn w:val="Normal"/>
    <w:next w:val="Normal"/>
    <w:autoRedefine/>
    <w:rsid w:val="008207F3"/>
    <w:pPr>
      <w:tabs>
        <w:tab w:val="left" w:pos="-720"/>
        <w:tab w:val="num" w:pos="1440"/>
        <w:tab w:val="left" w:pos="1620"/>
      </w:tabs>
      <w:suppressAutoHyphens/>
      <w:spacing w:before="240"/>
    </w:pPr>
    <w:rPr>
      <w:rFonts w:cs="Arial"/>
      <w:bCs/>
      <w:spacing w:val="-4"/>
    </w:rPr>
  </w:style>
  <w:style w:type="character" w:styleId="Textodelmarcadordeposicin">
    <w:name w:val="Placeholder Text"/>
    <w:basedOn w:val="Fuentedeprrafopredeter"/>
    <w:uiPriority w:val="99"/>
    <w:semiHidden/>
    <w:rsid w:val="008207F3"/>
    <w:rPr>
      <w:color w:val="808080"/>
    </w:rPr>
  </w:style>
  <w:style w:type="paragraph" w:customStyle="1" w:styleId="EstiloPrrafodelistaJustificado">
    <w:name w:val="Estilo Párrafo de lista + Justificado"/>
    <w:basedOn w:val="Prrafodelista"/>
    <w:rsid w:val="008207F3"/>
    <w:pPr>
      <w:spacing w:before="120"/>
    </w:pPr>
    <w:rPr>
      <w:spacing w:val="4"/>
      <w:sz w:val="24"/>
      <w:lang w:val="es-ES"/>
    </w:rPr>
  </w:style>
  <w:style w:type="paragraph" w:customStyle="1" w:styleId="Vietas">
    <w:name w:val="Viñetas"/>
    <w:basedOn w:val="Prrafodelista"/>
    <w:rsid w:val="008207F3"/>
    <w:pPr>
      <w:spacing w:before="120"/>
    </w:pPr>
    <w:rPr>
      <w:spacing w:val="4"/>
      <w:sz w:val="24"/>
      <w:lang w:val="es-ES"/>
    </w:rPr>
  </w:style>
  <w:style w:type="paragraph" w:customStyle="1" w:styleId="Listaletras">
    <w:name w:val="Lista letras"/>
    <w:basedOn w:val="Sangra2detindependiente"/>
    <w:link w:val="ListaletrasCar"/>
    <w:qFormat/>
    <w:rsid w:val="008207F3"/>
  </w:style>
  <w:style w:type="character" w:customStyle="1" w:styleId="ListaletrasCar">
    <w:name w:val="Lista letras Car"/>
    <w:basedOn w:val="Sangra2detindependienteCar"/>
    <w:link w:val="Listaletras"/>
    <w:rsid w:val="008207F3"/>
    <w:rPr>
      <w:rFonts w:ascii="Bookman Old Style" w:hAnsi="Bookman Old Style"/>
      <w:b/>
      <w:sz w:val="22"/>
      <w:lang w:val="es-CO"/>
    </w:rPr>
  </w:style>
  <w:style w:type="paragraph" w:customStyle="1" w:styleId="Textoindependiente31">
    <w:name w:val="Texto independiente 31"/>
    <w:basedOn w:val="Normal"/>
    <w:rsid w:val="008207F3"/>
    <w:pPr>
      <w:tabs>
        <w:tab w:val="left" w:pos="-720"/>
      </w:tabs>
      <w:suppressAutoHyphens/>
      <w:overflowPunct w:val="0"/>
      <w:autoSpaceDE w:val="0"/>
      <w:autoSpaceDN w:val="0"/>
      <w:adjustRightInd w:val="0"/>
      <w:spacing w:after="240"/>
      <w:ind w:right="45"/>
      <w:textAlignment w:val="baseline"/>
    </w:pPr>
    <w:rPr>
      <w:sz w:val="22"/>
      <w:szCs w:val="20"/>
    </w:rPr>
  </w:style>
  <w:style w:type="paragraph" w:customStyle="1" w:styleId="Estilo2">
    <w:name w:val="Estilo2"/>
    <w:basedOn w:val="Ttulo1"/>
    <w:rsid w:val="008207F3"/>
    <w:pPr>
      <w:numPr>
        <w:numId w:val="0"/>
      </w:numPr>
      <w:adjustRightInd w:val="0"/>
      <w:spacing w:before="240"/>
      <w:textAlignment w:val="baseline"/>
    </w:pPr>
    <w:rPr>
      <w:bCs/>
      <w:caps/>
    </w:rPr>
  </w:style>
  <w:style w:type="paragraph" w:styleId="Continuarlista">
    <w:name w:val="List Continue"/>
    <w:basedOn w:val="Normal"/>
    <w:rsid w:val="008207F3"/>
    <w:pPr>
      <w:widowControl w:val="0"/>
      <w:adjustRightInd w:val="0"/>
      <w:spacing w:after="120"/>
      <w:ind w:left="283"/>
      <w:contextualSpacing/>
      <w:textAlignment w:val="baseline"/>
    </w:pPr>
  </w:style>
  <w:style w:type="character" w:customStyle="1" w:styleId="Fuentedeprrafopredeter1">
    <w:name w:val="Fuente de párrafo predeter.1"/>
    <w:rsid w:val="008207F3"/>
  </w:style>
  <w:style w:type="character" w:customStyle="1" w:styleId="FootnoteCharacters">
    <w:name w:val="Footnote Characters"/>
    <w:basedOn w:val="Fuentedeprrafopredeter"/>
    <w:rsid w:val="008207F3"/>
    <w:rPr>
      <w:vertAlign w:val="superscript"/>
    </w:rPr>
  </w:style>
  <w:style w:type="character" w:customStyle="1" w:styleId="Refdenotaalpie1">
    <w:name w:val="Ref. de nota al pie1"/>
    <w:rsid w:val="008207F3"/>
    <w:rPr>
      <w:vertAlign w:val="superscript"/>
    </w:rPr>
  </w:style>
  <w:style w:type="character" w:customStyle="1" w:styleId="Refdecomentario1">
    <w:name w:val="Ref. de comentario1"/>
    <w:basedOn w:val="Fuentedeprrafopredeter"/>
    <w:rsid w:val="008207F3"/>
    <w:rPr>
      <w:sz w:val="16"/>
    </w:rPr>
  </w:style>
  <w:style w:type="paragraph" w:customStyle="1" w:styleId="Heading">
    <w:name w:val="Heading"/>
    <w:basedOn w:val="Normal"/>
    <w:next w:val="Textoindependiente"/>
    <w:rsid w:val="008207F3"/>
    <w:pPr>
      <w:keepNext/>
      <w:suppressAutoHyphens/>
      <w:spacing w:before="240" w:after="120"/>
    </w:pPr>
    <w:rPr>
      <w:rFonts w:ascii="Arial" w:eastAsia="DejaVu Sans" w:hAnsi="Arial" w:cs="DejaVu Sans"/>
      <w:sz w:val="28"/>
      <w:szCs w:val="28"/>
      <w:lang w:val="es-CO" w:eastAsia="ar-SA"/>
    </w:rPr>
  </w:style>
  <w:style w:type="paragraph" w:styleId="Lista">
    <w:name w:val="List"/>
    <w:basedOn w:val="Normal"/>
    <w:rsid w:val="008207F3"/>
    <w:pPr>
      <w:suppressAutoHyphens/>
      <w:ind w:left="283" w:hanging="283"/>
    </w:pPr>
    <w:rPr>
      <w:sz w:val="22"/>
      <w:szCs w:val="20"/>
      <w:lang w:val="es-CO" w:eastAsia="ar-SA"/>
    </w:rPr>
  </w:style>
  <w:style w:type="paragraph" w:customStyle="1" w:styleId="Index">
    <w:name w:val="Index"/>
    <w:basedOn w:val="Normal"/>
    <w:rsid w:val="008207F3"/>
    <w:pPr>
      <w:suppressLineNumbers/>
      <w:suppressAutoHyphens/>
    </w:pPr>
    <w:rPr>
      <w:sz w:val="22"/>
      <w:szCs w:val="20"/>
      <w:lang w:val="es-CO" w:eastAsia="ar-SA"/>
    </w:rPr>
  </w:style>
  <w:style w:type="paragraph" w:styleId="Ttulodendice">
    <w:name w:val="index heading"/>
    <w:basedOn w:val="Normal"/>
    <w:next w:val="ndice1"/>
    <w:rsid w:val="008207F3"/>
    <w:pPr>
      <w:suppressAutoHyphens/>
      <w:spacing w:before="120" w:after="120"/>
    </w:pPr>
    <w:rPr>
      <w:rFonts w:ascii="Times New Roman" w:hAnsi="Times New Roman"/>
      <w:b/>
      <w:i/>
      <w:sz w:val="20"/>
      <w:szCs w:val="20"/>
      <w:lang w:val="es-CO" w:eastAsia="ar-SA"/>
    </w:rPr>
  </w:style>
  <w:style w:type="paragraph" w:styleId="ndice2">
    <w:name w:val="index 2"/>
    <w:basedOn w:val="Normal"/>
    <w:next w:val="Normal"/>
    <w:rsid w:val="008207F3"/>
    <w:pPr>
      <w:suppressAutoHyphens/>
      <w:ind w:left="480" w:hanging="240"/>
    </w:pPr>
    <w:rPr>
      <w:rFonts w:ascii="Times New Roman" w:hAnsi="Times New Roman"/>
      <w:sz w:val="20"/>
      <w:szCs w:val="20"/>
      <w:lang w:val="es-CO" w:eastAsia="ar-SA"/>
    </w:rPr>
  </w:style>
  <w:style w:type="paragraph" w:styleId="ndice3">
    <w:name w:val="index 3"/>
    <w:basedOn w:val="Normal"/>
    <w:next w:val="Normal"/>
    <w:rsid w:val="008207F3"/>
    <w:pPr>
      <w:suppressAutoHyphens/>
      <w:ind w:left="720" w:hanging="240"/>
    </w:pPr>
    <w:rPr>
      <w:rFonts w:ascii="Times New Roman" w:hAnsi="Times New Roman"/>
      <w:sz w:val="20"/>
      <w:szCs w:val="20"/>
      <w:lang w:val="es-CO" w:eastAsia="ar-SA"/>
    </w:rPr>
  </w:style>
  <w:style w:type="paragraph" w:customStyle="1" w:styleId="Figuras">
    <w:name w:val="Figuras"/>
    <w:basedOn w:val="Textoindependiente"/>
    <w:rsid w:val="008207F3"/>
    <w:pPr>
      <w:suppressAutoHyphens/>
    </w:pPr>
    <w:rPr>
      <w:rFonts w:cs="Times New Roman"/>
      <w:b w:val="0"/>
      <w:bCs w:val="0"/>
      <w:i/>
      <w:iCs/>
      <w:sz w:val="22"/>
      <w:szCs w:val="20"/>
      <w:lang w:val="es-CO" w:eastAsia="ar-SA"/>
    </w:rPr>
  </w:style>
  <w:style w:type="paragraph" w:customStyle="1" w:styleId="Text">
    <w:name w:val="Text"/>
    <w:basedOn w:val="Normal"/>
    <w:rsid w:val="008207F3"/>
    <w:pPr>
      <w:suppressLineNumbers/>
      <w:suppressAutoHyphens/>
      <w:spacing w:before="120" w:after="120"/>
    </w:pPr>
    <w:rPr>
      <w:i/>
      <w:iCs/>
      <w:lang w:val="es-CO" w:eastAsia="ar-SA"/>
    </w:rPr>
  </w:style>
  <w:style w:type="paragraph" w:styleId="Textoindependienteprimerasangra">
    <w:name w:val="Body Text First Indent"/>
    <w:basedOn w:val="Textoindependiente"/>
    <w:link w:val="TextoindependienteprimerasangraCar"/>
    <w:rsid w:val="008207F3"/>
    <w:pPr>
      <w:suppressAutoHyphens/>
      <w:ind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basedOn w:val="TextoindependienteCar"/>
    <w:link w:val="Textoindependienteprimerasangra"/>
    <w:rsid w:val="008207F3"/>
    <w:rPr>
      <w:rFonts w:ascii="Arial" w:hAnsi="Arial" w:cs="Arial"/>
      <w:b/>
      <w:bCs/>
      <w:i/>
      <w:sz w:val="28"/>
      <w:szCs w:val="24"/>
      <w:lang w:val="es-CO" w:eastAsia="ar-SA"/>
    </w:rPr>
  </w:style>
  <w:style w:type="paragraph" w:customStyle="1" w:styleId="Notes">
    <w:name w:val="Notes"/>
    <w:rsid w:val="008207F3"/>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val="es-CO"/>
    </w:rPr>
  </w:style>
  <w:style w:type="paragraph" w:customStyle="1" w:styleId="Tabla">
    <w:name w:val="Tabla"/>
    <w:basedOn w:val="Epgrafe"/>
    <w:link w:val="TablaCar"/>
    <w:qFormat/>
    <w:rsid w:val="008207F3"/>
    <w:pPr>
      <w:keepNext/>
      <w:widowControl/>
      <w:suppressAutoHyphens/>
      <w:adjustRightInd/>
      <w:spacing w:after="200" w:line="240" w:lineRule="auto"/>
      <w:textAlignment w:val="auto"/>
    </w:pPr>
    <w:rPr>
      <w:b/>
      <w:bCs/>
      <w:iCs/>
    </w:rPr>
  </w:style>
  <w:style w:type="character" w:customStyle="1" w:styleId="TablaCar">
    <w:name w:val="Tabla Car"/>
    <w:basedOn w:val="EpgrafeCar"/>
    <w:link w:val="Tabla"/>
    <w:rsid w:val="008207F3"/>
    <w:rPr>
      <w:rFonts w:ascii="Arial" w:hAnsi="Arial"/>
      <w:b/>
      <w:bCs/>
      <w:iCs/>
    </w:rPr>
  </w:style>
  <w:style w:type="paragraph" w:customStyle="1" w:styleId="DatosDocumento">
    <w:name w:val="Datos Documento"/>
    <w:basedOn w:val="Normal"/>
    <w:rsid w:val="008207F3"/>
    <w:pPr>
      <w:jc w:val="right"/>
    </w:pPr>
    <w:rPr>
      <w:rFonts w:ascii="Arial" w:hAnsi="Arial" w:cs="Arial"/>
      <w:szCs w:val="20"/>
    </w:rPr>
  </w:style>
  <w:style w:type="paragraph" w:customStyle="1" w:styleId="TituloDocumento">
    <w:name w:val="Titulo Documento"/>
    <w:basedOn w:val="Normal"/>
    <w:rsid w:val="008207F3"/>
    <w:pPr>
      <w:jc w:val="right"/>
    </w:pPr>
    <w:rPr>
      <w:rFonts w:ascii="Arial Black" w:hAnsi="Arial Black" w:cs="Arial"/>
      <w:sz w:val="48"/>
      <w:szCs w:val="20"/>
    </w:rPr>
  </w:style>
  <w:style w:type="paragraph" w:customStyle="1" w:styleId="SubtituloDocumento">
    <w:name w:val="Subtitulo Documento"/>
    <w:basedOn w:val="Normal"/>
    <w:rsid w:val="008207F3"/>
    <w:pPr>
      <w:jc w:val="right"/>
    </w:pPr>
    <w:rPr>
      <w:rFonts w:ascii="Arial Black" w:hAnsi="Arial Black" w:cs="Arial"/>
      <w:sz w:val="32"/>
      <w:szCs w:val="20"/>
    </w:rPr>
  </w:style>
  <w:style w:type="paragraph" w:customStyle="1" w:styleId="TtuloInforme">
    <w:name w:val="Título Informe"/>
    <w:basedOn w:val="Normal"/>
    <w:next w:val="Normal"/>
    <w:rsid w:val="008207F3"/>
    <w:pPr>
      <w:spacing w:before="120" w:after="120"/>
      <w:jc w:val="center"/>
    </w:pPr>
    <w:rPr>
      <w:rFonts w:ascii="Arial" w:hAnsi="Arial" w:cs="Arial"/>
      <w:color w:val="FF6309"/>
      <w:sz w:val="28"/>
      <w:szCs w:val="28"/>
    </w:rPr>
  </w:style>
  <w:style w:type="character" w:customStyle="1" w:styleId="TtuloInformeChar">
    <w:name w:val="Título Informe Char"/>
    <w:basedOn w:val="Fuentedeprrafopredeter"/>
    <w:rsid w:val="008207F3"/>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8207F3"/>
    <w:pPr>
      <w:spacing w:before="120" w:after="120"/>
    </w:pPr>
    <w:rPr>
      <w:rFonts w:ascii="Arial" w:hAnsi="Arial" w:cs="Arial"/>
      <w:color w:val="808080"/>
    </w:rPr>
  </w:style>
  <w:style w:type="character" w:customStyle="1" w:styleId="SubtuloInformeChar">
    <w:name w:val="Subítulo Informe Char"/>
    <w:basedOn w:val="Fuentedeprrafopredeter"/>
    <w:rsid w:val="008207F3"/>
    <w:rPr>
      <w:rFonts w:ascii="Arial" w:hAnsi="Arial" w:cs="Arial"/>
      <w:noProof w:val="0"/>
      <w:color w:val="808080"/>
      <w:sz w:val="24"/>
      <w:szCs w:val="24"/>
      <w:lang w:val="es-ES" w:eastAsia="es-ES" w:bidi="ar-SA"/>
    </w:rPr>
  </w:style>
  <w:style w:type="paragraph" w:customStyle="1" w:styleId="EstiloEpgrafeCentrado">
    <w:name w:val="Estilo Epígrafe + Centrado"/>
    <w:basedOn w:val="Epgrafe"/>
    <w:autoRedefine/>
    <w:rsid w:val="008207F3"/>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8207F3"/>
    <w:pPr>
      <w:spacing w:before="120" w:after="120"/>
    </w:pPr>
    <w:rPr>
      <w:rFonts w:ascii="Arial" w:hAnsi="Arial" w:cs="Arial"/>
      <w:sz w:val="20"/>
      <w:szCs w:val="20"/>
    </w:rPr>
  </w:style>
  <w:style w:type="paragraph" w:customStyle="1" w:styleId="CUERPOTEXTO">
    <w:name w:val="CUERPO TEXTO"/>
    <w:rsid w:val="008207F3"/>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rPr>
  </w:style>
  <w:style w:type="paragraph" w:styleId="Revisin">
    <w:name w:val="Revision"/>
    <w:hidden/>
    <w:uiPriority w:val="99"/>
    <w:semiHidden/>
    <w:rsid w:val="009F5D1F"/>
    <w:rPr>
      <w:rFonts w:ascii="Bookman Old Style" w:hAnsi="Bookman Old Style"/>
      <w:sz w:val="24"/>
      <w:szCs w:val="24"/>
    </w:rPr>
  </w:style>
  <w:style w:type="paragraph" w:customStyle="1" w:styleId="c92">
    <w:name w:val="c92"/>
    <w:basedOn w:val="Normal"/>
    <w:uiPriority w:val="99"/>
    <w:rsid w:val="0080129A"/>
    <w:pPr>
      <w:widowControl w:val="0"/>
      <w:autoSpaceDE w:val="0"/>
      <w:autoSpaceDN w:val="0"/>
      <w:adjustRightInd w:val="0"/>
      <w:spacing w:line="240" w:lineRule="atLeast"/>
      <w:jc w:val="center"/>
    </w:pPr>
    <w:rPr>
      <w:rFonts w:ascii="Times New Roman" w:hAnsi="Times New Roman"/>
      <w:lang w:val="en-US" w:eastAsia="es-CO"/>
    </w:rPr>
  </w:style>
  <w:style w:type="paragraph" w:customStyle="1" w:styleId="p93">
    <w:name w:val="p93"/>
    <w:basedOn w:val="Normal"/>
    <w:uiPriority w:val="99"/>
    <w:rsid w:val="0080129A"/>
    <w:pPr>
      <w:widowControl w:val="0"/>
      <w:tabs>
        <w:tab w:val="left" w:pos="3526"/>
      </w:tabs>
      <w:autoSpaceDE w:val="0"/>
      <w:autoSpaceDN w:val="0"/>
      <w:adjustRightInd w:val="0"/>
      <w:spacing w:line="240" w:lineRule="atLeast"/>
      <w:ind w:left="726"/>
      <w:jc w:val="left"/>
    </w:pPr>
    <w:rPr>
      <w:rFonts w:ascii="Times New Roman" w:hAnsi="Times New Roman"/>
      <w:lang w:val="en-US" w:eastAsia="es-CO"/>
    </w:rPr>
  </w:style>
  <w:style w:type="paragraph" w:customStyle="1" w:styleId="xl71">
    <w:name w:val="xl71"/>
    <w:basedOn w:val="Normal"/>
    <w:rsid w:val="00D147ED"/>
    <w:pPr>
      <w:spacing w:before="100" w:beforeAutospacing="1" w:after="100" w:afterAutospacing="1"/>
      <w:jc w:val="left"/>
    </w:pPr>
    <w:rPr>
      <w:rFonts w:ascii="Arial" w:hAnsi="Arial" w:cs="Arial"/>
      <w:lang w:val="es-CO" w:eastAsia="es-CO"/>
    </w:rPr>
  </w:style>
  <w:style w:type="paragraph" w:customStyle="1" w:styleId="xl72">
    <w:name w:val="xl72"/>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es-CO" w:eastAsia="es-CO"/>
    </w:rPr>
  </w:style>
  <w:style w:type="paragraph" w:customStyle="1" w:styleId="xl73">
    <w:name w:val="xl73"/>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es-CO" w:eastAsia="es-CO"/>
    </w:rPr>
  </w:style>
  <w:style w:type="paragraph" w:customStyle="1" w:styleId="xl74">
    <w:name w:val="xl74"/>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lang w:val="es-CO" w:eastAsia="es-CO"/>
    </w:rPr>
  </w:style>
  <w:style w:type="paragraph" w:customStyle="1" w:styleId="xl75">
    <w:name w:val="xl75"/>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lang w:val="es-CO" w:eastAsia="es-CO"/>
    </w:rPr>
  </w:style>
  <w:style w:type="paragraph" w:customStyle="1" w:styleId="xl76">
    <w:name w:val="xl76"/>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lang w:val="es-CO" w:eastAsia="es-CO"/>
    </w:rPr>
  </w:style>
  <w:style w:type="paragraph" w:customStyle="1" w:styleId="xl77">
    <w:name w:val="xl77"/>
    <w:basedOn w:val="Normal"/>
    <w:rsid w:val="00D147ED"/>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FF0000"/>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797615">
      <w:bodyDiv w:val="1"/>
      <w:marLeft w:val="0"/>
      <w:marRight w:val="0"/>
      <w:marTop w:val="0"/>
      <w:marBottom w:val="0"/>
      <w:divBdr>
        <w:top w:val="none" w:sz="0" w:space="0" w:color="auto"/>
        <w:left w:val="none" w:sz="0" w:space="0" w:color="auto"/>
        <w:bottom w:val="none" w:sz="0" w:space="0" w:color="auto"/>
        <w:right w:val="none" w:sz="0" w:space="0" w:color="auto"/>
      </w:divBdr>
    </w:div>
    <w:div w:id="267663686">
      <w:bodyDiv w:val="1"/>
      <w:marLeft w:val="0"/>
      <w:marRight w:val="0"/>
      <w:marTop w:val="0"/>
      <w:marBottom w:val="0"/>
      <w:divBdr>
        <w:top w:val="none" w:sz="0" w:space="0" w:color="auto"/>
        <w:left w:val="none" w:sz="0" w:space="0" w:color="auto"/>
        <w:bottom w:val="none" w:sz="0" w:space="0" w:color="auto"/>
        <w:right w:val="none" w:sz="0" w:space="0" w:color="auto"/>
      </w:divBdr>
    </w:div>
    <w:div w:id="565343432">
      <w:bodyDiv w:val="1"/>
      <w:marLeft w:val="0"/>
      <w:marRight w:val="0"/>
      <w:marTop w:val="0"/>
      <w:marBottom w:val="0"/>
      <w:divBdr>
        <w:top w:val="none" w:sz="0" w:space="0" w:color="auto"/>
        <w:left w:val="none" w:sz="0" w:space="0" w:color="auto"/>
        <w:bottom w:val="none" w:sz="0" w:space="0" w:color="auto"/>
        <w:right w:val="none" w:sz="0" w:space="0" w:color="auto"/>
      </w:divBdr>
    </w:div>
    <w:div w:id="657806109">
      <w:bodyDiv w:val="1"/>
      <w:marLeft w:val="0"/>
      <w:marRight w:val="0"/>
      <w:marTop w:val="0"/>
      <w:marBottom w:val="0"/>
      <w:divBdr>
        <w:top w:val="none" w:sz="0" w:space="0" w:color="auto"/>
        <w:left w:val="none" w:sz="0" w:space="0" w:color="auto"/>
        <w:bottom w:val="none" w:sz="0" w:space="0" w:color="auto"/>
        <w:right w:val="none" w:sz="0" w:space="0" w:color="auto"/>
      </w:divBdr>
    </w:div>
    <w:div w:id="664819641">
      <w:bodyDiv w:val="1"/>
      <w:marLeft w:val="0"/>
      <w:marRight w:val="0"/>
      <w:marTop w:val="0"/>
      <w:marBottom w:val="0"/>
      <w:divBdr>
        <w:top w:val="none" w:sz="0" w:space="0" w:color="auto"/>
        <w:left w:val="none" w:sz="0" w:space="0" w:color="auto"/>
        <w:bottom w:val="none" w:sz="0" w:space="0" w:color="auto"/>
        <w:right w:val="none" w:sz="0" w:space="0" w:color="auto"/>
      </w:divBdr>
    </w:div>
    <w:div w:id="780758222">
      <w:bodyDiv w:val="1"/>
      <w:marLeft w:val="0"/>
      <w:marRight w:val="0"/>
      <w:marTop w:val="0"/>
      <w:marBottom w:val="0"/>
      <w:divBdr>
        <w:top w:val="none" w:sz="0" w:space="0" w:color="auto"/>
        <w:left w:val="none" w:sz="0" w:space="0" w:color="auto"/>
        <w:bottom w:val="none" w:sz="0" w:space="0" w:color="auto"/>
        <w:right w:val="none" w:sz="0" w:space="0" w:color="auto"/>
      </w:divBdr>
    </w:div>
    <w:div w:id="938877350">
      <w:bodyDiv w:val="1"/>
      <w:marLeft w:val="0"/>
      <w:marRight w:val="0"/>
      <w:marTop w:val="0"/>
      <w:marBottom w:val="0"/>
      <w:divBdr>
        <w:top w:val="none" w:sz="0" w:space="0" w:color="auto"/>
        <w:left w:val="none" w:sz="0" w:space="0" w:color="auto"/>
        <w:bottom w:val="none" w:sz="0" w:space="0" w:color="auto"/>
        <w:right w:val="none" w:sz="0" w:space="0" w:color="auto"/>
      </w:divBdr>
    </w:div>
    <w:div w:id="1179932976">
      <w:bodyDiv w:val="1"/>
      <w:marLeft w:val="0"/>
      <w:marRight w:val="0"/>
      <w:marTop w:val="0"/>
      <w:marBottom w:val="0"/>
      <w:divBdr>
        <w:top w:val="none" w:sz="0" w:space="0" w:color="auto"/>
        <w:left w:val="none" w:sz="0" w:space="0" w:color="auto"/>
        <w:bottom w:val="none" w:sz="0" w:space="0" w:color="auto"/>
        <w:right w:val="none" w:sz="0" w:space="0" w:color="auto"/>
      </w:divBdr>
    </w:div>
    <w:div w:id="1472207999">
      <w:bodyDiv w:val="1"/>
      <w:marLeft w:val="0"/>
      <w:marRight w:val="0"/>
      <w:marTop w:val="0"/>
      <w:marBottom w:val="0"/>
      <w:divBdr>
        <w:top w:val="none" w:sz="0" w:space="0" w:color="auto"/>
        <w:left w:val="none" w:sz="0" w:space="0" w:color="auto"/>
        <w:bottom w:val="none" w:sz="0" w:space="0" w:color="auto"/>
        <w:right w:val="none" w:sz="0" w:space="0" w:color="auto"/>
      </w:divBdr>
    </w:div>
    <w:div w:id="1552158562">
      <w:bodyDiv w:val="1"/>
      <w:marLeft w:val="0"/>
      <w:marRight w:val="0"/>
      <w:marTop w:val="0"/>
      <w:marBottom w:val="0"/>
      <w:divBdr>
        <w:top w:val="none" w:sz="0" w:space="0" w:color="auto"/>
        <w:left w:val="none" w:sz="0" w:space="0" w:color="auto"/>
        <w:bottom w:val="none" w:sz="0" w:space="0" w:color="auto"/>
        <w:right w:val="none" w:sz="0" w:space="0" w:color="auto"/>
      </w:divBdr>
    </w:div>
    <w:div w:id="1552232964">
      <w:bodyDiv w:val="1"/>
      <w:marLeft w:val="0"/>
      <w:marRight w:val="0"/>
      <w:marTop w:val="0"/>
      <w:marBottom w:val="0"/>
      <w:divBdr>
        <w:top w:val="none" w:sz="0" w:space="0" w:color="auto"/>
        <w:left w:val="none" w:sz="0" w:space="0" w:color="auto"/>
        <w:bottom w:val="none" w:sz="0" w:space="0" w:color="auto"/>
        <w:right w:val="none" w:sz="0" w:space="0" w:color="auto"/>
      </w:divBdr>
      <w:divsChild>
        <w:div w:id="750079938">
          <w:marLeft w:val="0"/>
          <w:marRight w:val="0"/>
          <w:marTop w:val="0"/>
          <w:marBottom w:val="0"/>
          <w:divBdr>
            <w:top w:val="none" w:sz="0" w:space="0" w:color="auto"/>
            <w:left w:val="none" w:sz="0" w:space="0" w:color="auto"/>
            <w:bottom w:val="none" w:sz="0" w:space="0" w:color="auto"/>
            <w:right w:val="none" w:sz="0" w:space="0" w:color="auto"/>
          </w:divBdr>
        </w:div>
        <w:div w:id="1711420033">
          <w:marLeft w:val="0"/>
          <w:marRight w:val="0"/>
          <w:marTop w:val="0"/>
          <w:marBottom w:val="0"/>
          <w:divBdr>
            <w:top w:val="none" w:sz="0" w:space="0" w:color="auto"/>
            <w:left w:val="none" w:sz="0" w:space="0" w:color="auto"/>
            <w:bottom w:val="none" w:sz="0" w:space="0" w:color="auto"/>
            <w:right w:val="none" w:sz="0" w:space="0" w:color="auto"/>
          </w:divBdr>
        </w:div>
        <w:div w:id="633826549">
          <w:marLeft w:val="0"/>
          <w:marRight w:val="0"/>
          <w:marTop w:val="0"/>
          <w:marBottom w:val="0"/>
          <w:divBdr>
            <w:top w:val="none" w:sz="0" w:space="0" w:color="auto"/>
            <w:left w:val="none" w:sz="0" w:space="0" w:color="auto"/>
            <w:bottom w:val="none" w:sz="0" w:space="0" w:color="auto"/>
            <w:right w:val="none" w:sz="0" w:space="0" w:color="auto"/>
          </w:divBdr>
        </w:div>
        <w:div w:id="144201012">
          <w:marLeft w:val="0"/>
          <w:marRight w:val="0"/>
          <w:marTop w:val="0"/>
          <w:marBottom w:val="0"/>
          <w:divBdr>
            <w:top w:val="none" w:sz="0" w:space="0" w:color="auto"/>
            <w:left w:val="none" w:sz="0" w:space="0" w:color="auto"/>
            <w:bottom w:val="none" w:sz="0" w:space="0" w:color="auto"/>
            <w:right w:val="none" w:sz="0" w:space="0" w:color="auto"/>
          </w:divBdr>
        </w:div>
      </w:divsChild>
    </w:div>
    <w:div w:id="1624268521">
      <w:bodyDiv w:val="1"/>
      <w:marLeft w:val="0"/>
      <w:marRight w:val="0"/>
      <w:marTop w:val="0"/>
      <w:marBottom w:val="0"/>
      <w:divBdr>
        <w:top w:val="none" w:sz="0" w:space="0" w:color="auto"/>
        <w:left w:val="none" w:sz="0" w:space="0" w:color="auto"/>
        <w:bottom w:val="none" w:sz="0" w:space="0" w:color="auto"/>
        <w:right w:val="none" w:sz="0" w:space="0" w:color="auto"/>
      </w:divBdr>
    </w:div>
    <w:div w:id="1743411968">
      <w:bodyDiv w:val="1"/>
      <w:marLeft w:val="0"/>
      <w:marRight w:val="0"/>
      <w:marTop w:val="0"/>
      <w:marBottom w:val="0"/>
      <w:divBdr>
        <w:top w:val="none" w:sz="0" w:space="0" w:color="auto"/>
        <w:left w:val="none" w:sz="0" w:space="0" w:color="auto"/>
        <w:bottom w:val="none" w:sz="0" w:space="0" w:color="auto"/>
        <w:right w:val="none" w:sz="0" w:space="0" w:color="auto"/>
      </w:divBdr>
    </w:div>
    <w:div w:id="1814366247">
      <w:bodyDiv w:val="1"/>
      <w:marLeft w:val="0"/>
      <w:marRight w:val="0"/>
      <w:marTop w:val="0"/>
      <w:marBottom w:val="0"/>
      <w:divBdr>
        <w:top w:val="none" w:sz="0" w:space="0" w:color="auto"/>
        <w:left w:val="none" w:sz="0" w:space="0" w:color="auto"/>
        <w:bottom w:val="none" w:sz="0" w:space="0" w:color="auto"/>
        <w:right w:val="none" w:sz="0" w:space="0" w:color="auto"/>
      </w:divBdr>
    </w:div>
    <w:div w:id="1855336825">
      <w:bodyDiv w:val="1"/>
      <w:marLeft w:val="0"/>
      <w:marRight w:val="0"/>
      <w:marTop w:val="0"/>
      <w:marBottom w:val="0"/>
      <w:divBdr>
        <w:top w:val="none" w:sz="0" w:space="0" w:color="auto"/>
        <w:left w:val="none" w:sz="0" w:space="0" w:color="auto"/>
        <w:bottom w:val="none" w:sz="0" w:space="0" w:color="auto"/>
        <w:right w:val="none" w:sz="0" w:space="0" w:color="auto"/>
      </w:divBdr>
    </w:div>
    <w:div w:id="1989242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23538D-E19F-40ED-9A90-74EC16CA61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27</Pages>
  <Words>11228</Words>
  <Characters>61757</Characters>
  <Application>Microsoft Office Word</Application>
  <DocSecurity>0</DocSecurity>
  <Lines>514</Lines>
  <Paragraphs>145</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72840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2011-06-03T21:13:00Z</cp:lastPrinted>
  <dcterms:created xsi:type="dcterms:W3CDTF">2011-06-14T19:38:00Z</dcterms:created>
  <dcterms:modified xsi:type="dcterms:W3CDTF">2011-06-14T19:38:00Z</dcterms:modified>
</cp:coreProperties>
</file>