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02775" w14:textId="31D22C19" w:rsidR="00625DC6" w:rsidRPr="003F7981" w:rsidRDefault="00110614" w:rsidP="2A0EE497">
      <w:pPr>
        <w:pStyle w:val="Encabezado"/>
        <w:ind w:left="284" w:right="6"/>
        <w:contextualSpacing/>
        <w:jc w:val="center"/>
        <w:rPr>
          <w:rFonts w:ascii="Bookman Old Style" w:hAnsi="Bookman Old Style"/>
        </w:rPr>
      </w:pPr>
      <w:r>
        <w:rPr>
          <w:rFonts w:ascii="Bookman Old Style" w:hAnsi="Bookman Old Style"/>
          <w:noProof/>
          <w:szCs w:val="24"/>
          <w:lang w:eastAsia="es-CO"/>
        </w:rPr>
        <w:drawing>
          <wp:anchor distT="0" distB="0" distL="114300" distR="114300" simplePos="0" relativeHeight="251658240" behindDoc="0" locked="0" layoutInCell="1" allowOverlap="1" wp14:anchorId="6CA64C0A" wp14:editId="5A58F0E2">
            <wp:simplePos x="0" y="0"/>
            <wp:positionH relativeFrom="column">
              <wp:posOffset>2818130</wp:posOffset>
            </wp:positionH>
            <wp:positionV relativeFrom="paragraph">
              <wp:posOffset>-315595</wp:posOffset>
            </wp:positionV>
            <wp:extent cx="666750" cy="619125"/>
            <wp:effectExtent l="0" t="0" r="6350" b="3175"/>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EditPoints="1" noChangeArrowheads="1" noChangeShapeType="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pic:spPr>
                </pic:pic>
              </a:graphicData>
            </a:graphic>
            <wp14:sizeRelH relativeFrom="page">
              <wp14:pctWidth>0</wp14:pctWidth>
            </wp14:sizeRelH>
            <wp14:sizeRelV relativeFrom="page">
              <wp14:pctHeight>0</wp14:pctHeight>
            </wp14:sizeRelV>
          </wp:anchor>
        </w:drawing>
      </w:r>
    </w:p>
    <w:p w14:paraId="43C69AFB" w14:textId="77777777" w:rsidR="00625DC6" w:rsidRPr="003F7981" w:rsidRDefault="00625DC6" w:rsidP="00CF067A">
      <w:pPr>
        <w:pStyle w:val="Encabezado"/>
        <w:ind w:left="284" w:right="6"/>
        <w:contextualSpacing/>
        <w:jc w:val="both"/>
        <w:rPr>
          <w:rFonts w:ascii="Bookman Old Style" w:hAnsi="Bookman Old Style"/>
          <w:szCs w:val="24"/>
        </w:rPr>
      </w:pPr>
    </w:p>
    <w:p w14:paraId="3534631B" w14:textId="5069AFB9" w:rsidR="00625DC6" w:rsidRPr="003F7981" w:rsidRDefault="2A0EE497" w:rsidP="2A0EE497">
      <w:pPr>
        <w:pStyle w:val="Encabezado"/>
        <w:ind w:left="284" w:right="6"/>
        <w:contextualSpacing/>
        <w:jc w:val="both"/>
        <w:rPr>
          <w:rFonts w:ascii="Bookman Old Style" w:hAnsi="Bookman Old Style"/>
        </w:rPr>
      </w:pPr>
      <w:r w:rsidRPr="2A0EE497">
        <w:rPr>
          <w:rFonts w:ascii="Bookman Old Style" w:hAnsi="Bookman Old Style"/>
        </w:rPr>
        <w:t xml:space="preserve"> </w:t>
      </w:r>
    </w:p>
    <w:p w14:paraId="35CAC712" w14:textId="77777777" w:rsidR="00CA77FB" w:rsidRPr="003F7981" w:rsidRDefault="00CA77FB" w:rsidP="00CF067A">
      <w:pPr>
        <w:pStyle w:val="Ttulo4"/>
        <w:ind w:left="284" w:right="6"/>
        <w:contextualSpacing/>
        <w:rPr>
          <w:rFonts w:ascii="Bookman Old Style" w:hAnsi="Bookman Old Style"/>
          <w:b w:val="0"/>
          <w:bCs/>
          <w:noProof/>
          <w:sz w:val="24"/>
          <w:szCs w:val="24"/>
          <w:lang w:val="es-ES"/>
        </w:rPr>
      </w:pPr>
      <w:r w:rsidRPr="003F7981">
        <w:rPr>
          <w:rFonts w:ascii="Bookman Old Style" w:hAnsi="Bookman Old Style"/>
          <w:b w:val="0"/>
          <w:bCs/>
          <w:sz w:val="24"/>
          <w:szCs w:val="24"/>
        </w:rPr>
        <w:t>Ministerio de Minas y Energía</w:t>
      </w:r>
    </w:p>
    <w:p w14:paraId="3F43C339" w14:textId="77777777" w:rsidR="00CA77FB" w:rsidRPr="003F7981" w:rsidRDefault="00CA77FB" w:rsidP="00CF067A">
      <w:pPr>
        <w:pStyle w:val="Ttulo4"/>
        <w:ind w:left="284" w:right="6"/>
        <w:contextualSpacing/>
        <w:rPr>
          <w:rFonts w:ascii="Bookman Old Style" w:hAnsi="Bookman Old Style"/>
          <w:b w:val="0"/>
          <w:bCs/>
          <w:sz w:val="24"/>
          <w:szCs w:val="24"/>
        </w:rPr>
      </w:pPr>
    </w:p>
    <w:p w14:paraId="25A538B3" w14:textId="77777777" w:rsidR="00CA77FB" w:rsidRPr="003F7981" w:rsidRDefault="00CA77FB" w:rsidP="00CF067A">
      <w:pPr>
        <w:pStyle w:val="Ttulo4"/>
        <w:ind w:right="6"/>
        <w:contextualSpacing/>
        <w:rPr>
          <w:rFonts w:ascii="Bookman Old Style" w:hAnsi="Bookman Old Style"/>
          <w:sz w:val="24"/>
          <w:szCs w:val="24"/>
        </w:rPr>
      </w:pPr>
      <w:r w:rsidRPr="003F7981">
        <w:rPr>
          <w:rFonts w:ascii="Bookman Old Style" w:hAnsi="Bookman Old Style"/>
          <w:sz w:val="24"/>
          <w:szCs w:val="24"/>
        </w:rPr>
        <w:t>COMISIÓN DE REGULACIÓN DE ENERGÍA Y GAS</w:t>
      </w:r>
    </w:p>
    <w:p w14:paraId="4E7D0072" w14:textId="77777777" w:rsidR="00CA77FB" w:rsidRPr="003F7981" w:rsidRDefault="00CA77FB" w:rsidP="00CF067A">
      <w:pPr>
        <w:pStyle w:val="Ttulo4"/>
        <w:ind w:right="6"/>
        <w:contextualSpacing/>
        <w:rPr>
          <w:rFonts w:ascii="Bookman Old Style" w:hAnsi="Bookman Old Style"/>
          <w:sz w:val="24"/>
          <w:szCs w:val="24"/>
        </w:rPr>
      </w:pPr>
    </w:p>
    <w:p w14:paraId="4FFCDDA1" w14:textId="7743CFCA" w:rsidR="00CA77FB" w:rsidRPr="003F7981" w:rsidRDefault="00CA77FB" w:rsidP="00CF067A">
      <w:pPr>
        <w:pStyle w:val="Ttulo4"/>
        <w:ind w:right="6"/>
        <w:contextualSpacing/>
        <w:rPr>
          <w:rFonts w:ascii="Bookman Old Style" w:hAnsi="Bookman Old Style"/>
          <w:sz w:val="24"/>
          <w:szCs w:val="24"/>
        </w:rPr>
      </w:pPr>
      <w:r w:rsidRPr="003F7981">
        <w:rPr>
          <w:rFonts w:ascii="Bookman Old Style" w:hAnsi="Bookman Old Style"/>
          <w:sz w:val="24"/>
          <w:szCs w:val="24"/>
        </w:rPr>
        <w:t>RESOLUCIÓN No.</w:t>
      </w:r>
      <w:r w:rsidRPr="003F7981">
        <w:rPr>
          <w:rFonts w:ascii="Bookman Old Style" w:hAnsi="Bookman Old Style"/>
          <w:sz w:val="32"/>
          <w:szCs w:val="32"/>
        </w:rPr>
        <w:t xml:space="preserve"> </w:t>
      </w:r>
      <w:r w:rsidR="00795BFB" w:rsidRPr="003F7981">
        <w:rPr>
          <w:rFonts w:ascii="Bookman Old Style" w:hAnsi="Bookman Old Style"/>
          <w:sz w:val="32"/>
          <w:szCs w:val="32"/>
        </w:rPr>
        <w:t xml:space="preserve"> </w:t>
      </w:r>
      <w:r w:rsidR="00E03E72" w:rsidRPr="003F7981">
        <w:rPr>
          <w:rFonts w:ascii="Bookman Old Style" w:hAnsi="Bookman Old Style"/>
          <w:color w:val="000000" w:themeColor="text1"/>
          <w:sz w:val="32"/>
          <w:szCs w:val="32"/>
        </w:rPr>
        <w:t>501</w:t>
      </w:r>
      <w:r w:rsidR="00795BFB" w:rsidRPr="003F7981">
        <w:rPr>
          <w:rFonts w:ascii="Bookman Old Style" w:hAnsi="Bookman Old Style"/>
          <w:sz w:val="24"/>
          <w:szCs w:val="24"/>
        </w:rPr>
        <w:t xml:space="preserve"> </w:t>
      </w:r>
      <w:r w:rsidR="00023385">
        <w:rPr>
          <w:rFonts w:ascii="Bookman Old Style" w:hAnsi="Bookman Old Style"/>
          <w:sz w:val="32"/>
          <w:szCs w:val="32"/>
        </w:rPr>
        <w:t>061</w:t>
      </w:r>
      <w:r w:rsidR="00795BFB" w:rsidRPr="003F7981">
        <w:rPr>
          <w:rFonts w:ascii="Bookman Old Style" w:hAnsi="Bookman Old Style"/>
          <w:sz w:val="24"/>
          <w:szCs w:val="24"/>
        </w:rPr>
        <w:t xml:space="preserve">   </w:t>
      </w:r>
      <w:r w:rsidRPr="003F7981">
        <w:rPr>
          <w:rFonts w:ascii="Bookman Old Style" w:hAnsi="Bookman Old Style"/>
          <w:sz w:val="24"/>
          <w:szCs w:val="24"/>
        </w:rPr>
        <w:t xml:space="preserve">DE </w:t>
      </w:r>
      <w:r w:rsidR="00D451C0" w:rsidRPr="003F7981">
        <w:rPr>
          <w:rFonts w:ascii="Bookman Old Style" w:hAnsi="Bookman Old Style"/>
          <w:sz w:val="24"/>
          <w:szCs w:val="24"/>
        </w:rPr>
        <w:t>20</w:t>
      </w:r>
      <w:r w:rsidR="00FD1664" w:rsidRPr="003F7981">
        <w:rPr>
          <w:rFonts w:ascii="Bookman Old Style" w:hAnsi="Bookman Old Style"/>
          <w:sz w:val="24"/>
          <w:szCs w:val="24"/>
        </w:rPr>
        <w:t>2</w:t>
      </w:r>
      <w:r w:rsidR="00F314C2" w:rsidRPr="003F7981">
        <w:rPr>
          <w:rFonts w:ascii="Bookman Old Style" w:hAnsi="Bookman Old Style"/>
          <w:sz w:val="24"/>
          <w:szCs w:val="24"/>
        </w:rPr>
        <w:t>2</w:t>
      </w:r>
    </w:p>
    <w:p w14:paraId="32CF47F9" w14:textId="77777777" w:rsidR="00CA77FB" w:rsidRPr="003F7981" w:rsidRDefault="00CA77FB" w:rsidP="00CF067A">
      <w:pPr>
        <w:pStyle w:val="Ttulo4"/>
        <w:ind w:right="6"/>
        <w:contextualSpacing/>
        <w:rPr>
          <w:rFonts w:ascii="Bookman Old Style" w:hAnsi="Bookman Old Style"/>
          <w:sz w:val="24"/>
          <w:szCs w:val="24"/>
        </w:rPr>
      </w:pPr>
    </w:p>
    <w:p w14:paraId="5508F72B" w14:textId="2B8535EE" w:rsidR="00CA77FB" w:rsidRPr="003F7981" w:rsidRDefault="00AE2A73" w:rsidP="00CF067A">
      <w:pPr>
        <w:pStyle w:val="Ttulo4"/>
        <w:ind w:right="6"/>
        <w:contextualSpacing/>
        <w:rPr>
          <w:rFonts w:ascii="Bookman Old Style" w:hAnsi="Bookman Old Style"/>
          <w:sz w:val="24"/>
          <w:szCs w:val="24"/>
        </w:rPr>
      </w:pPr>
      <w:proofErr w:type="gramStart"/>
      <w:r>
        <w:rPr>
          <w:rFonts w:ascii="Bookman Old Style" w:hAnsi="Bookman Old Style"/>
          <w:sz w:val="24"/>
          <w:szCs w:val="24"/>
        </w:rPr>
        <w:t>(</w:t>
      </w:r>
      <w:r w:rsidR="00023385">
        <w:rPr>
          <w:rFonts w:ascii="Bookman Old Style" w:hAnsi="Bookman Old Style"/>
          <w:sz w:val="36"/>
          <w:szCs w:val="36"/>
        </w:rPr>
        <w:t xml:space="preserve"> </w:t>
      </w:r>
      <w:r w:rsidR="00023385" w:rsidRPr="00023385">
        <w:rPr>
          <w:rFonts w:ascii="Bookman Old Style" w:hAnsi="Bookman Old Style"/>
          <w:sz w:val="32"/>
          <w:szCs w:val="32"/>
        </w:rPr>
        <w:t>05</w:t>
      </w:r>
      <w:proofErr w:type="gramEnd"/>
      <w:r w:rsidR="00023385" w:rsidRPr="00023385">
        <w:rPr>
          <w:rFonts w:ascii="Bookman Old Style" w:hAnsi="Bookman Old Style"/>
          <w:sz w:val="32"/>
          <w:szCs w:val="32"/>
        </w:rPr>
        <w:t xml:space="preserve"> SEP.</w:t>
      </w:r>
      <w:r w:rsidR="00AD369B" w:rsidRPr="00023385">
        <w:rPr>
          <w:rFonts w:ascii="Bookman Old Style" w:hAnsi="Bookman Old Style"/>
          <w:sz w:val="32"/>
          <w:szCs w:val="32"/>
        </w:rPr>
        <w:t xml:space="preserve"> 202</w:t>
      </w:r>
      <w:r w:rsidR="00F314C2" w:rsidRPr="00023385">
        <w:rPr>
          <w:rFonts w:ascii="Bookman Old Style" w:hAnsi="Bookman Old Style"/>
          <w:sz w:val="32"/>
          <w:szCs w:val="32"/>
        </w:rPr>
        <w:t>2</w:t>
      </w:r>
      <w:r w:rsidR="00023385">
        <w:rPr>
          <w:rFonts w:ascii="Bookman Old Style" w:hAnsi="Bookman Old Style"/>
          <w:sz w:val="36"/>
          <w:szCs w:val="36"/>
        </w:rPr>
        <w:t xml:space="preserve"> </w:t>
      </w:r>
      <w:r w:rsidR="00CA77FB" w:rsidRPr="003F7981">
        <w:rPr>
          <w:rFonts w:ascii="Bookman Old Style" w:hAnsi="Bookman Old Style"/>
          <w:sz w:val="24"/>
          <w:szCs w:val="24"/>
        </w:rPr>
        <w:t>)</w:t>
      </w:r>
    </w:p>
    <w:p w14:paraId="1FEF4395" w14:textId="4241517E" w:rsidR="00AD369B" w:rsidRDefault="00AD369B" w:rsidP="00CF067A">
      <w:pPr>
        <w:pStyle w:val="Textodebloque"/>
        <w:spacing w:after="0"/>
        <w:ind w:left="284" w:right="6"/>
        <w:contextualSpacing/>
        <w:rPr>
          <w:rFonts w:ascii="Bookman Old Style" w:hAnsi="Bookman Old Style"/>
          <w:szCs w:val="24"/>
        </w:rPr>
      </w:pPr>
      <w:bookmarkStart w:id="0" w:name="_Hlk40445094"/>
    </w:p>
    <w:p w14:paraId="5EE022B1" w14:textId="579FCAEC" w:rsidR="00BC52A7" w:rsidRDefault="00BC52A7" w:rsidP="00CF067A">
      <w:pPr>
        <w:pStyle w:val="Textodebloque"/>
        <w:spacing w:after="0"/>
        <w:ind w:left="284" w:right="6"/>
        <w:contextualSpacing/>
        <w:rPr>
          <w:rFonts w:ascii="Bookman Old Style" w:hAnsi="Bookman Old Style"/>
          <w:szCs w:val="24"/>
        </w:rPr>
      </w:pPr>
    </w:p>
    <w:p w14:paraId="712FFB7E" w14:textId="380696FF" w:rsidR="00BC52A7" w:rsidRPr="00BC52A7" w:rsidRDefault="00BC52A7" w:rsidP="2A0EE497">
      <w:pPr>
        <w:pStyle w:val="Textodebloque"/>
        <w:ind w:left="284" w:right="6"/>
        <w:contextualSpacing/>
        <w:jc w:val="center"/>
        <w:rPr>
          <w:rFonts w:ascii="Bookman Old Style" w:hAnsi="Bookman Old Style"/>
        </w:rPr>
      </w:pPr>
      <w:r w:rsidRPr="2A0EE497">
        <w:rPr>
          <w:rFonts w:ascii="Bookman Old Style" w:hAnsi="Bookman Old Style"/>
        </w:rPr>
        <w:t>Por la cual se resuelve el recurso de reposición interpuesto por GENSA S.A.</w:t>
      </w:r>
      <w:r w:rsidR="00A83753">
        <w:rPr>
          <w:rFonts w:ascii="Bookman Old Style" w:hAnsi="Bookman Old Style"/>
        </w:rPr>
        <w:t xml:space="preserve"> </w:t>
      </w:r>
      <w:r w:rsidRPr="2A0EE497">
        <w:rPr>
          <w:rFonts w:ascii="Bookman Old Style" w:hAnsi="Bookman Old Style"/>
        </w:rPr>
        <w:t xml:space="preserve">E.S.P. contra la Resolución </w:t>
      </w:r>
      <w:bookmarkStart w:id="1" w:name="_Int_sz6iUwbW"/>
      <w:r w:rsidRPr="2A0EE497">
        <w:rPr>
          <w:rFonts w:ascii="Bookman Old Style" w:hAnsi="Bookman Old Style"/>
        </w:rPr>
        <w:t>CREG</w:t>
      </w:r>
      <w:bookmarkEnd w:id="1"/>
      <w:r w:rsidRPr="2A0EE497">
        <w:rPr>
          <w:rFonts w:ascii="Bookman Old Style" w:hAnsi="Bookman Old Style"/>
        </w:rPr>
        <w:t xml:space="preserve"> 501 041 de 2022</w:t>
      </w:r>
    </w:p>
    <w:p w14:paraId="58CFFCBE" w14:textId="77777777" w:rsidR="00BC52A7" w:rsidRDefault="00BC52A7" w:rsidP="00BC52A7">
      <w:pPr>
        <w:pStyle w:val="Textodebloque"/>
        <w:ind w:left="284" w:right="6"/>
        <w:contextualSpacing/>
        <w:rPr>
          <w:rFonts w:ascii="Bookman Old Style" w:hAnsi="Bookman Old Style"/>
          <w:szCs w:val="24"/>
        </w:rPr>
      </w:pPr>
    </w:p>
    <w:p w14:paraId="3DD17CC5" w14:textId="77777777" w:rsidR="004120A1" w:rsidRPr="00BC52A7" w:rsidRDefault="004120A1" w:rsidP="00BC52A7">
      <w:pPr>
        <w:pStyle w:val="Textodebloque"/>
        <w:ind w:left="284" w:right="6"/>
        <w:contextualSpacing/>
        <w:rPr>
          <w:rFonts w:ascii="Bookman Old Style" w:hAnsi="Bookman Old Style"/>
          <w:szCs w:val="24"/>
        </w:rPr>
      </w:pPr>
    </w:p>
    <w:p w14:paraId="3E1FFB7C" w14:textId="77777777" w:rsidR="00BC52A7" w:rsidRPr="00BC52A7" w:rsidRDefault="00BC52A7" w:rsidP="00BC52A7">
      <w:pPr>
        <w:pStyle w:val="Textodebloque"/>
        <w:ind w:left="284" w:right="6"/>
        <w:contextualSpacing/>
        <w:jc w:val="center"/>
        <w:rPr>
          <w:rFonts w:ascii="Bookman Old Style" w:hAnsi="Bookman Old Style"/>
          <w:b/>
          <w:szCs w:val="24"/>
        </w:rPr>
      </w:pPr>
      <w:r w:rsidRPr="00BC52A7">
        <w:rPr>
          <w:rFonts w:ascii="Bookman Old Style" w:hAnsi="Bookman Old Style"/>
          <w:b/>
          <w:szCs w:val="24"/>
        </w:rPr>
        <w:t>LA COMISIÓN DE REGULACIÓN DE ENERGÍA Y GAS</w:t>
      </w:r>
    </w:p>
    <w:p w14:paraId="6BFFA48D" w14:textId="77777777" w:rsidR="00BC52A7" w:rsidRPr="00BC52A7" w:rsidRDefault="00BC52A7" w:rsidP="00BC52A7">
      <w:pPr>
        <w:pStyle w:val="Textodebloque"/>
        <w:ind w:left="284" w:right="6"/>
        <w:contextualSpacing/>
        <w:rPr>
          <w:rFonts w:ascii="Bookman Old Style" w:hAnsi="Bookman Old Style"/>
          <w:szCs w:val="24"/>
        </w:rPr>
      </w:pPr>
    </w:p>
    <w:p w14:paraId="4958B3A0" w14:textId="77777777" w:rsidR="00BC52A7" w:rsidRPr="00BC52A7" w:rsidRDefault="00BC52A7" w:rsidP="00BC52A7">
      <w:pPr>
        <w:pStyle w:val="Textodebloque"/>
        <w:ind w:left="284" w:right="6"/>
        <w:contextualSpacing/>
        <w:rPr>
          <w:rFonts w:ascii="Bookman Old Style" w:hAnsi="Bookman Old Style"/>
          <w:szCs w:val="24"/>
        </w:rPr>
      </w:pPr>
    </w:p>
    <w:p w14:paraId="6AEFEB72" w14:textId="61168DF3" w:rsidR="00BC52A7" w:rsidRP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En ejercicio de las atribuciones constitucionales y legales, en especial las conferidas por las Ley 142 de 1994, y en desarrollo de los Decretos 1524 y 2253 de 1994 y 1260 de 2013 y,</w:t>
      </w:r>
    </w:p>
    <w:p w14:paraId="11286AF4" w14:textId="77777777" w:rsidR="00BC52A7" w:rsidRPr="00BC52A7" w:rsidRDefault="00BC52A7" w:rsidP="00BC52A7">
      <w:pPr>
        <w:pStyle w:val="Textodebloque"/>
        <w:ind w:left="284" w:right="6"/>
        <w:contextualSpacing/>
        <w:rPr>
          <w:rFonts w:ascii="Bookman Old Style" w:hAnsi="Bookman Old Style"/>
          <w:szCs w:val="24"/>
        </w:rPr>
      </w:pPr>
    </w:p>
    <w:p w14:paraId="569BD3E7" w14:textId="77777777" w:rsidR="00BC52A7" w:rsidRPr="00BC52A7" w:rsidRDefault="00BC52A7" w:rsidP="00BC52A7">
      <w:pPr>
        <w:pStyle w:val="Textodebloque"/>
        <w:ind w:left="284" w:right="6"/>
        <w:contextualSpacing/>
        <w:rPr>
          <w:rFonts w:ascii="Bookman Old Style" w:hAnsi="Bookman Old Style"/>
          <w:szCs w:val="24"/>
        </w:rPr>
      </w:pPr>
    </w:p>
    <w:p w14:paraId="331D26C7" w14:textId="77777777" w:rsidR="00BC52A7" w:rsidRPr="00BC52A7" w:rsidRDefault="00BC52A7" w:rsidP="00BC52A7">
      <w:pPr>
        <w:pStyle w:val="Textodebloque"/>
        <w:ind w:left="284" w:right="6"/>
        <w:contextualSpacing/>
        <w:jc w:val="center"/>
        <w:rPr>
          <w:rFonts w:ascii="Bookman Old Style" w:hAnsi="Bookman Old Style"/>
          <w:b/>
          <w:szCs w:val="24"/>
        </w:rPr>
      </w:pPr>
      <w:r w:rsidRPr="00BC52A7">
        <w:rPr>
          <w:rFonts w:ascii="Bookman Old Style" w:hAnsi="Bookman Old Style"/>
          <w:b/>
          <w:szCs w:val="24"/>
        </w:rPr>
        <w:t>C O N S I D E R A N D O   Q U E:</w:t>
      </w:r>
    </w:p>
    <w:p w14:paraId="00655C51" w14:textId="77777777" w:rsidR="00BC52A7" w:rsidRPr="00BC52A7" w:rsidRDefault="00BC52A7" w:rsidP="00BC52A7">
      <w:pPr>
        <w:pStyle w:val="Textodebloque"/>
        <w:ind w:left="284" w:right="6"/>
        <w:contextualSpacing/>
        <w:rPr>
          <w:rFonts w:ascii="Bookman Old Style" w:hAnsi="Bookman Old Style"/>
          <w:szCs w:val="24"/>
        </w:rPr>
      </w:pPr>
    </w:p>
    <w:p w14:paraId="4B932F7F" w14:textId="77777777" w:rsidR="00BC52A7" w:rsidRPr="00BC52A7" w:rsidRDefault="00BC52A7" w:rsidP="00BC52A7">
      <w:pPr>
        <w:pStyle w:val="Textodebloque"/>
        <w:ind w:left="284" w:right="6"/>
        <w:contextualSpacing/>
        <w:rPr>
          <w:rFonts w:ascii="Bookman Old Style" w:hAnsi="Bookman Old Style"/>
          <w:szCs w:val="24"/>
        </w:rPr>
      </w:pPr>
    </w:p>
    <w:p w14:paraId="6891EB16" w14:textId="77777777" w:rsidR="00BC52A7" w:rsidRPr="00BC52A7" w:rsidRDefault="00BC52A7" w:rsidP="00BC52A7">
      <w:pPr>
        <w:pStyle w:val="Textodebloque"/>
        <w:ind w:left="284" w:right="6"/>
        <w:contextualSpacing/>
        <w:rPr>
          <w:rFonts w:ascii="Bookman Old Style" w:hAnsi="Bookman Old Style"/>
          <w:b/>
          <w:szCs w:val="24"/>
        </w:rPr>
      </w:pPr>
      <w:r w:rsidRPr="00BC52A7">
        <w:rPr>
          <w:rFonts w:ascii="Bookman Old Style" w:hAnsi="Bookman Old Style"/>
          <w:b/>
          <w:szCs w:val="24"/>
        </w:rPr>
        <w:t>I. ANTECEDENTES</w:t>
      </w:r>
    </w:p>
    <w:p w14:paraId="40F48BF3" w14:textId="77777777" w:rsidR="00BC52A7" w:rsidRPr="00BC52A7" w:rsidRDefault="00BC52A7" w:rsidP="00BC52A7">
      <w:pPr>
        <w:pStyle w:val="Textodebloque"/>
        <w:ind w:left="284" w:right="6"/>
        <w:contextualSpacing/>
        <w:rPr>
          <w:rFonts w:ascii="Bookman Old Style" w:hAnsi="Bookman Old Style"/>
          <w:b/>
          <w:szCs w:val="24"/>
        </w:rPr>
      </w:pPr>
    </w:p>
    <w:p w14:paraId="00A9C4C5" w14:textId="5BBE6CAF" w:rsidR="00BC52A7" w:rsidRPr="00BC52A7" w:rsidRDefault="008D7775" w:rsidP="00BC52A7">
      <w:pPr>
        <w:pStyle w:val="Textodebloque"/>
        <w:ind w:left="284" w:right="6"/>
        <w:contextualSpacing/>
        <w:rPr>
          <w:rFonts w:ascii="Bookman Old Style" w:hAnsi="Bookman Old Style"/>
          <w:szCs w:val="24"/>
        </w:rPr>
      </w:pPr>
      <w:r>
        <w:rPr>
          <w:rFonts w:ascii="Bookman Old Style" w:hAnsi="Bookman Old Style"/>
          <w:szCs w:val="24"/>
        </w:rPr>
        <w:t xml:space="preserve">La CREG expide el 17 de mayo la </w:t>
      </w:r>
      <w:r w:rsidR="009B1E49">
        <w:rPr>
          <w:rFonts w:ascii="Bookman Old Style" w:hAnsi="Bookman Old Style"/>
          <w:szCs w:val="24"/>
        </w:rPr>
        <w:t>Resolución</w:t>
      </w:r>
      <w:r>
        <w:rPr>
          <w:rFonts w:ascii="Bookman Old Style" w:hAnsi="Bookman Old Style"/>
          <w:szCs w:val="24"/>
        </w:rPr>
        <w:t xml:space="preserve"> </w:t>
      </w:r>
      <w:r w:rsidR="00BC52A7" w:rsidRPr="00BC52A7">
        <w:rPr>
          <w:rFonts w:ascii="Bookman Old Style" w:hAnsi="Bookman Old Style"/>
          <w:szCs w:val="24"/>
        </w:rPr>
        <w:t>CREG 501 041 de 2022,</w:t>
      </w:r>
      <w:r>
        <w:rPr>
          <w:rFonts w:ascii="Bookman Old Style" w:hAnsi="Bookman Old Style"/>
          <w:szCs w:val="24"/>
        </w:rPr>
        <w:t xml:space="preserve"> </w:t>
      </w:r>
      <w:r w:rsidR="00BC52A7" w:rsidRPr="00BC52A7">
        <w:rPr>
          <w:rFonts w:ascii="Bookman Old Style" w:hAnsi="Bookman Old Style"/>
          <w:szCs w:val="24"/>
        </w:rPr>
        <w:t>“Por la cual se determina el cargo máximo de generación para sistemas de acumulación para el mercado relevante de comercialización de la cabecera municipal de Inírida en el Departamento del Guainía”</w:t>
      </w:r>
      <w:r w:rsidR="000A42D2">
        <w:rPr>
          <w:rFonts w:ascii="Bookman Old Style" w:hAnsi="Bookman Old Style"/>
          <w:szCs w:val="24"/>
        </w:rPr>
        <w:t>,</w:t>
      </w:r>
      <w:r w:rsidR="00BC52A7" w:rsidRPr="00BC52A7">
        <w:rPr>
          <w:rFonts w:ascii="Bookman Old Style" w:hAnsi="Bookman Old Style"/>
          <w:szCs w:val="24"/>
        </w:rPr>
        <w:t xml:space="preserve"> y que resuelve en el artículo 1 de la misma lo siguiente:</w:t>
      </w:r>
    </w:p>
    <w:p w14:paraId="0BEE64BB" w14:textId="77777777" w:rsidR="00BC52A7" w:rsidRPr="00BC52A7" w:rsidRDefault="00BC52A7" w:rsidP="00BC52A7">
      <w:pPr>
        <w:pStyle w:val="Textodebloque"/>
        <w:ind w:left="284" w:right="6"/>
        <w:contextualSpacing/>
        <w:rPr>
          <w:rFonts w:ascii="Bookman Old Style" w:hAnsi="Bookman Old Style"/>
          <w:szCs w:val="24"/>
        </w:rPr>
      </w:pPr>
    </w:p>
    <w:p w14:paraId="539AFF06" w14:textId="23707134" w:rsidR="00BC52A7" w:rsidRPr="00504DB1" w:rsidRDefault="00BC52A7" w:rsidP="008D7775">
      <w:pPr>
        <w:pStyle w:val="Textodebloque"/>
        <w:ind w:right="6"/>
        <w:contextualSpacing/>
        <w:rPr>
          <w:rFonts w:ascii="Bookman Old Style" w:hAnsi="Bookman Old Style"/>
          <w:i/>
          <w:sz w:val="22"/>
          <w:szCs w:val="22"/>
        </w:rPr>
      </w:pPr>
      <w:r w:rsidRPr="00504DB1">
        <w:rPr>
          <w:rFonts w:ascii="Bookman Old Style" w:hAnsi="Bookman Old Style"/>
          <w:i/>
          <w:sz w:val="22"/>
          <w:szCs w:val="22"/>
        </w:rPr>
        <w:t>“</w:t>
      </w:r>
      <w:r w:rsidR="008D7775" w:rsidRPr="00504DB1">
        <w:rPr>
          <w:rFonts w:ascii="Bookman Old Style" w:hAnsi="Bookman Old Style"/>
          <w:i/>
          <w:sz w:val="22"/>
          <w:szCs w:val="22"/>
        </w:rPr>
        <w:t>(</w:t>
      </w:r>
      <w:r w:rsidR="00733E3B" w:rsidRPr="00504DB1">
        <w:rPr>
          <w:rFonts w:ascii="Bookman Old Style" w:hAnsi="Bookman Old Style"/>
          <w:i/>
          <w:sz w:val="22"/>
          <w:szCs w:val="22"/>
        </w:rPr>
        <w:t>..)</w:t>
      </w:r>
      <w:r w:rsidR="008D7775" w:rsidRPr="00504DB1">
        <w:rPr>
          <w:rFonts w:ascii="Bookman Old Style" w:hAnsi="Bookman Old Style"/>
          <w:i/>
          <w:sz w:val="22"/>
          <w:szCs w:val="22"/>
        </w:rPr>
        <w:t xml:space="preserve"> </w:t>
      </w:r>
      <w:r w:rsidRPr="00504DB1">
        <w:rPr>
          <w:rFonts w:ascii="Bookman Old Style" w:hAnsi="Bookman Old Style"/>
          <w:i/>
          <w:sz w:val="22"/>
          <w:szCs w:val="22"/>
        </w:rPr>
        <w:t>Remuneración de las componentes de inversión y de administración, operación y mantenimiento. Para sistemas híbridos diésel, solar fotovoltaico y acumulación conectados al mercado relevante de la cabecera municipal del municipio de Inírida, en el Departamento del Guainía, las componentes que remuneran los costos de inversión y de administración, operación y mantenimiento son las siguientes:</w:t>
      </w:r>
    </w:p>
    <w:p w14:paraId="7C366B25" w14:textId="77777777" w:rsidR="00BC52A7" w:rsidRPr="00504DB1" w:rsidRDefault="00BC52A7" w:rsidP="008D7775">
      <w:pPr>
        <w:pStyle w:val="Textodebloque"/>
        <w:ind w:right="6"/>
        <w:contextualSpacing/>
        <w:rPr>
          <w:rFonts w:ascii="Bookman Old Style" w:hAnsi="Bookman Old Style"/>
          <w:i/>
          <w:sz w:val="22"/>
          <w:szCs w:val="22"/>
        </w:rPr>
      </w:pPr>
    </w:p>
    <w:p w14:paraId="4EB96A6B" w14:textId="77777777" w:rsidR="00BC52A7" w:rsidRPr="00504DB1" w:rsidRDefault="00BC52A7" w:rsidP="008D7775">
      <w:pPr>
        <w:pStyle w:val="Textodebloque"/>
        <w:ind w:right="6"/>
        <w:contextualSpacing/>
        <w:jc w:val="center"/>
        <w:rPr>
          <w:rFonts w:ascii="Bookman Old Style" w:hAnsi="Bookman Old Style"/>
          <w:i/>
          <w:sz w:val="22"/>
          <w:szCs w:val="22"/>
        </w:rPr>
      </w:pPr>
      <w:r w:rsidRPr="00504DB1">
        <w:rPr>
          <w:rFonts w:ascii="Bookman Old Style" w:hAnsi="Bookman Old Style"/>
          <w:i/>
          <w:sz w:val="22"/>
          <w:szCs w:val="22"/>
        </w:rPr>
        <w:t>Tabla 1. Componentes de remuneración de costos de inversión y de administración, operación y mantenimiento para sistemas híbridos diésel, solar fotovoltaicos y acumulación</w:t>
      </w:r>
    </w:p>
    <w:p w14:paraId="3A346E00" w14:textId="4E43BD78" w:rsidR="00BC52A7" w:rsidRPr="00504DB1" w:rsidRDefault="00BC52A7" w:rsidP="008D7775">
      <w:pPr>
        <w:pStyle w:val="Textodebloque"/>
        <w:ind w:right="6"/>
        <w:contextualSpacing/>
        <w:jc w:val="center"/>
        <w:rPr>
          <w:rFonts w:ascii="Bookman Old Style" w:hAnsi="Bookman Old Style"/>
          <w:i/>
          <w:sz w:val="22"/>
          <w:szCs w:val="22"/>
        </w:rPr>
      </w:pPr>
      <w:r w:rsidRPr="00504DB1">
        <w:rPr>
          <w:rFonts w:ascii="Bookman Old Style" w:hAnsi="Bookman Old Style"/>
          <w:i/>
          <w:sz w:val="22"/>
          <w:szCs w:val="22"/>
        </w:rPr>
        <w:t>(pesos de diciembre de 2006)</w:t>
      </w:r>
    </w:p>
    <w:tbl>
      <w:tblPr>
        <w:tblStyle w:val="Tablaconcuadrcula9"/>
        <w:tblW w:w="0" w:type="auto"/>
        <w:jc w:val="center"/>
        <w:tblLayout w:type="fixed"/>
        <w:tblLook w:val="04A0" w:firstRow="1" w:lastRow="0" w:firstColumn="1" w:lastColumn="0" w:noHBand="0" w:noVBand="1"/>
      </w:tblPr>
      <w:tblGrid>
        <w:gridCol w:w="2273"/>
        <w:gridCol w:w="3114"/>
        <w:gridCol w:w="2688"/>
      </w:tblGrid>
      <w:tr w:rsidR="00E65BDC" w:rsidRPr="008D7775" w14:paraId="22996164" w14:textId="77777777" w:rsidTr="00E65BDC">
        <w:trPr>
          <w:trHeight w:val="1191"/>
          <w:jc w:val="center"/>
        </w:trPr>
        <w:tc>
          <w:tcPr>
            <w:tcW w:w="2273" w:type="dxa"/>
            <w:vAlign w:val="center"/>
          </w:tcPr>
          <w:p w14:paraId="65DA0054" w14:textId="77777777" w:rsidR="00E65BDC" w:rsidRPr="008D7775" w:rsidRDefault="00E65BDC" w:rsidP="00E65BDC">
            <w:pPr>
              <w:tabs>
                <w:tab w:val="center" w:pos="4845"/>
              </w:tabs>
              <w:ind w:right="142"/>
              <w:contextualSpacing/>
              <w:jc w:val="center"/>
              <w:rPr>
                <w:rFonts w:ascii="Bookman Old Style" w:hAnsi="Bookman Old Style" w:cs="Arial"/>
                <w:b/>
                <w:bCs/>
                <w:i/>
                <w:sz w:val="20"/>
                <w:szCs w:val="20"/>
              </w:rPr>
            </w:pPr>
            <w:r w:rsidRPr="008D7775">
              <w:rPr>
                <w:rFonts w:ascii="Bookman Old Style" w:hAnsi="Bookman Old Style" w:cs="Arial"/>
                <w:b/>
                <w:bCs/>
                <w:i/>
                <w:sz w:val="20"/>
                <w:szCs w:val="20"/>
              </w:rPr>
              <w:t>Tipo de recurso energético</w:t>
            </w:r>
          </w:p>
        </w:tc>
        <w:tc>
          <w:tcPr>
            <w:tcW w:w="3114" w:type="dxa"/>
            <w:vAlign w:val="center"/>
          </w:tcPr>
          <w:p w14:paraId="774B74EC" w14:textId="77777777" w:rsidR="00E65BDC" w:rsidRPr="008D7775" w:rsidRDefault="00E65BDC" w:rsidP="00E65BDC">
            <w:pPr>
              <w:tabs>
                <w:tab w:val="center" w:pos="4252"/>
                <w:tab w:val="center" w:pos="4845"/>
                <w:tab w:val="right" w:pos="8504"/>
              </w:tabs>
              <w:ind w:right="142"/>
              <w:contextualSpacing/>
              <w:jc w:val="center"/>
              <w:rPr>
                <w:rFonts w:ascii="Bookman Old Style" w:hAnsi="Bookman Old Style" w:cs="Arial"/>
                <w:b/>
                <w:bCs/>
                <w:i/>
                <w:sz w:val="20"/>
                <w:szCs w:val="20"/>
              </w:rPr>
            </w:pPr>
            <w:r w:rsidRPr="008D7775">
              <w:rPr>
                <w:rFonts w:ascii="Bookman Old Style" w:hAnsi="Bookman Old Style" w:cs="Arial"/>
                <w:b/>
                <w:bCs/>
                <w:i/>
                <w:sz w:val="20"/>
                <w:szCs w:val="20"/>
              </w:rPr>
              <w:t>Costo de inversión, CI</w:t>
            </w:r>
            <w:r w:rsidRPr="008D7775">
              <w:rPr>
                <w:rFonts w:ascii="Bookman Old Style" w:hAnsi="Bookman Old Style" w:cs="Arial"/>
                <w:b/>
                <w:bCs/>
                <w:i/>
                <w:sz w:val="20"/>
                <w:szCs w:val="20"/>
                <w:vertAlign w:val="subscript"/>
              </w:rPr>
              <w:t>j,0</w:t>
            </w:r>
          </w:p>
          <w:p w14:paraId="24D17CD8" w14:textId="77777777" w:rsidR="00E65BDC" w:rsidRPr="008D7775" w:rsidRDefault="00E65BDC" w:rsidP="00E65BDC">
            <w:pPr>
              <w:tabs>
                <w:tab w:val="center" w:pos="4845"/>
              </w:tabs>
              <w:ind w:right="142"/>
              <w:contextualSpacing/>
              <w:jc w:val="center"/>
              <w:rPr>
                <w:rFonts w:ascii="Bookman Old Style" w:hAnsi="Bookman Old Style" w:cs="Arial"/>
                <w:b/>
                <w:bCs/>
                <w:i/>
                <w:sz w:val="20"/>
                <w:szCs w:val="20"/>
              </w:rPr>
            </w:pPr>
            <w:r w:rsidRPr="008D7775">
              <w:rPr>
                <w:rFonts w:ascii="Bookman Old Style" w:hAnsi="Bookman Old Style" w:cs="Arial"/>
                <w:b/>
                <w:bCs/>
                <w:i/>
                <w:sz w:val="20"/>
                <w:szCs w:val="20"/>
              </w:rPr>
              <w:t>($/kWh)</w:t>
            </w:r>
          </w:p>
        </w:tc>
        <w:tc>
          <w:tcPr>
            <w:tcW w:w="2688" w:type="dxa"/>
            <w:vAlign w:val="center"/>
          </w:tcPr>
          <w:p w14:paraId="13AF2EBB" w14:textId="77777777" w:rsidR="00E65BDC" w:rsidRPr="008D7775" w:rsidRDefault="00E65BDC" w:rsidP="00E65BDC">
            <w:pPr>
              <w:tabs>
                <w:tab w:val="center" w:pos="4252"/>
                <w:tab w:val="center" w:pos="4845"/>
                <w:tab w:val="right" w:pos="8504"/>
              </w:tabs>
              <w:ind w:right="142"/>
              <w:contextualSpacing/>
              <w:jc w:val="center"/>
              <w:rPr>
                <w:rFonts w:ascii="Bookman Old Style" w:hAnsi="Bookman Old Style" w:cs="Arial"/>
                <w:b/>
                <w:bCs/>
                <w:i/>
                <w:sz w:val="20"/>
                <w:szCs w:val="20"/>
              </w:rPr>
            </w:pPr>
            <w:r w:rsidRPr="008D7775">
              <w:rPr>
                <w:rFonts w:ascii="Bookman Old Style" w:hAnsi="Bookman Old Style" w:cs="Arial"/>
                <w:b/>
                <w:bCs/>
                <w:i/>
                <w:sz w:val="20"/>
                <w:szCs w:val="20"/>
              </w:rPr>
              <w:t>Costos de administración, operación y mantenimiento, CM</w:t>
            </w:r>
            <w:r w:rsidRPr="008D7775">
              <w:rPr>
                <w:rFonts w:ascii="Bookman Old Style" w:hAnsi="Bookman Old Style" w:cs="Arial"/>
                <w:b/>
                <w:bCs/>
                <w:i/>
                <w:sz w:val="20"/>
                <w:szCs w:val="20"/>
                <w:vertAlign w:val="subscript"/>
              </w:rPr>
              <w:t>j,0</w:t>
            </w:r>
            <w:r w:rsidRPr="008D7775">
              <w:rPr>
                <w:rFonts w:ascii="Bookman Old Style" w:hAnsi="Bookman Old Style" w:cs="Arial"/>
                <w:b/>
                <w:bCs/>
                <w:i/>
                <w:sz w:val="20"/>
                <w:szCs w:val="20"/>
              </w:rPr>
              <w:t xml:space="preserve"> </w:t>
            </w:r>
          </w:p>
          <w:p w14:paraId="42A0819E" w14:textId="77777777" w:rsidR="00E65BDC" w:rsidRPr="008D7775" w:rsidRDefault="00E65BDC" w:rsidP="00E65BDC">
            <w:pPr>
              <w:tabs>
                <w:tab w:val="center" w:pos="4252"/>
                <w:tab w:val="center" w:pos="4845"/>
                <w:tab w:val="right" w:pos="8504"/>
              </w:tabs>
              <w:ind w:right="142"/>
              <w:contextualSpacing/>
              <w:jc w:val="center"/>
              <w:rPr>
                <w:rFonts w:ascii="Bookman Old Style" w:hAnsi="Bookman Old Style" w:cs="Arial"/>
                <w:b/>
                <w:bCs/>
                <w:i/>
                <w:sz w:val="20"/>
                <w:szCs w:val="20"/>
              </w:rPr>
            </w:pPr>
            <w:r w:rsidRPr="008D7775">
              <w:rPr>
                <w:rFonts w:ascii="Bookman Old Style" w:hAnsi="Bookman Old Style" w:cs="Arial"/>
                <w:b/>
                <w:bCs/>
                <w:i/>
                <w:sz w:val="20"/>
                <w:szCs w:val="20"/>
              </w:rPr>
              <w:t>($/kWh)</w:t>
            </w:r>
          </w:p>
        </w:tc>
      </w:tr>
      <w:tr w:rsidR="00E65BDC" w:rsidRPr="008D7775" w14:paraId="566EF129" w14:textId="77777777" w:rsidTr="00E65BDC">
        <w:trPr>
          <w:trHeight w:val="964"/>
          <w:jc w:val="center"/>
        </w:trPr>
        <w:tc>
          <w:tcPr>
            <w:tcW w:w="2273" w:type="dxa"/>
            <w:vAlign w:val="center"/>
          </w:tcPr>
          <w:p w14:paraId="713A0EBE" w14:textId="77777777" w:rsidR="00E65BDC" w:rsidRPr="008D7775" w:rsidRDefault="00E65BDC" w:rsidP="00E65BDC">
            <w:pPr>
              <w:tabs>
                <w:tab w:val="center" w:pos="4845"/>
              </w:tabs>
              <w:ind w:right="142"/>
              <w:contextualSpacing/>
              <w:jc w:val="center"/>
              <w:rPr>
                <w:rFonts w:ascii="Bookman Old Style" w:hAnsi="Bookman Old Style" w:cs="Arial"/>
                <w:i/>
                <w:sz w:val="20"/>
                <w:szCs w:val="20"/>
              </w:rPr>
            </w:pPr>
            <w:r w:rsidRPr="008D7775">
              <w:rPr>
                <w:rFonts w:ascii="Bookman Old Style" w:hAnsi="Bookman Old Style" w:cs="Arial"/>
                <w:i/>
                <w:sz w:val="20"/>
                <w:szCs w:val="20"/>
              </w:rPr>
              <w:t>Diésel</w:t>
            </w:r>
          </w:p>
        </w:tc>
        <w:tc>
          <w:tcPr>
            <w:tcW w:w="5802" w:type="dxa"/>
            <w:gridSpan w:val="2"/>
            <w:vAlign w:val="center"/>
          </w:tcPr>
          <w:p w14:paraId="5B5491EC" w14:textId="77777777" w:rsidR="00E65BDC" w:rsidRPr="008D7775" w:rsidRDefault="00E65BDC" w:rsidP="00E65BDC">
            <w:pPr>
              <w:tabs>
                <w:tab w:val="center" w:pos="4845"/>
              </w:tabs>
              <w:spacing w:line="259" w:lineRule="auto"/>
              <w:ind w:right="142"/>
              <w:contextualSpacing/>
              <w:jc w:val="center"/>
              <w:rPr>
                <w:rFonts w:ascii="Bookman Old Style" w:hAnsi="Bookman Old Style" w:cs="Arial"/>
                <w:i/>
                <w:sz w:val="20"/>
                <w:szCs w:val="20"/>
              </w:rPr>
            </w:pPr>
            <w:r w:rsidRPr="008D7775">
              <w:rPr>
                <w:rFonts w:ascii="Bookman Old Style" w:hAnsi="Bookman Old Style" w:cs="Arial"/>
                <w:i/>
                <w:sz w:val="20"/>
                <w:szCs w:val="20"/>
              </w:rPr>
              <w:t>Según lo previsto en el literal a), del artículo 22, de la Resolución CREG 091 de 2007, modificada mediante Resolución CREG 057 de 2009.</w:t>
            </w:r>
          </w:p>
        </w:tc>
      </w:tr>
      <w:tr w:rsidR="00E65BDC" w:rsidRPr="008D7775" w14:paraId="1C282C9D" w14:textId="77777777" w:rsidTr="00E65BDC">
        <w:trPr>
          <w:trHeight w:val="846"/>
          <w:jc w:val="center"/>
        </w:trPr>
        <w:tc>
          <w:tcPr>
            <w:tcW w:w="2273" w:type="dxa"/>
            <w:vAlign w:val="center"/>
          </w:tcPr>
          <w:p w14:paraId="79269758" w14:textId="77777777" w:rsidR="00E65BDC" w:rsidRPr="008D7775" w:rsidRDefault="00E65BDC" w:rsidP="00E65BDC">
            <w:pPr>
              <w:tabs>
                <w:tab w:val="center" w:pos="4845"/>
              </w:tabs>
              <w:ind w:right="142"/>
              <w:contextualSpacing/>
              <w:jc w:val="center"/>
              <w:rPr>
                <w:rFonts w:ascii="Bookman Old Style" w:hAnsi="Bookman Old Style" w:cs="Arial"/>
                <w:i/>
                <w:sz w:val="20"/>
                <w:szCs w:val="20"/>
              </w:rPr>
            </w:pPr>
            <w:r w:rsidRPr="008D7775">
              <w:rPr>
                <w:rFonts w:ascii="Bookman Old Style" w:hAnsi="Bookman Old Style" w:cs="Arial"/>
                <w:i/>
                <w:sz w:val="20"/>
                <w:szCs w:val="20"/>
              </w:rPr>
              <w:lastRenderedPageBreak/>
              <w:t>Solar fotovoltaico con alimentación directa a red</w:t>
            </w:r>
          </w:p>
        </w:tc>
        <w:tc>
          <w:tcPr>
            <w:tcW w:w="5802" w:type="dxa"/>
            <w:gridSpan w:val="2"/>
            <w:vAlign w:val="center"/>
          </w:tcPr>
          <w:p w14:paraId="588908EC" w14:textId="77777777" w:rsidR="00E65BDC" w:rsidRPr="008D7775" w:rsidRDefault="00E65BDC" w:rsidP="00E65BDC">
            <w:pPr>
              <w:tabs>
                <w:tab w:val="center" w:pos="4845"/>
              </w:tabs>
              <w:spacing w:line="259" w:lineRule="auto"/>
              <w:ind w:right="142"/>
              <w:contextualSpacing/>
              <w:jc w:val="center"/>
              <w:rPr>
                <w:rFonts w:ascii="Bookman Old Style" w:hAnsi="Bookman Old Style" w:cs="Arial"/>
                <w:i/>
                <w:sz w:val="20"/>
                <w:szCs w:val="20"/>
              </w:rPr>
            </w:pPr>
            <w:r w:rsidRPr="008D7775">
              <w:rPr>
                <w:rFonts w:ascii="Bookman Old Style" w:hAnsi="Bookman Old Style" w:cs="Arial"/>
                <w:i/>
                <w:sz w:val="20"/>
                <w:szCs w:val="20"/>
              </w:rPr>
              <w:t xml:space="preserve">Según lo previsto en Resolución CREG 012 de 2018, modificada por Resolución CREG 135 de 2019 </w:t>
            </w:r>
          </w:p>
        </w:tc>
      </w:tr>
      <w:tr w:rsidR="00E65BDC" w:rsidRPr="008D7775" w14:paraId="46FC9D11" w14:textId="77777777" w:rsidTr="00E65BDC">
        <w:trPr>
          <w:jc w:val="center"/>
        </w:trPr>
        <w:tc>
          <w:tcPr>
            <w:tcW w:w="2273" w:type="dxa"/>
            <w:vAlign w:val="center"/>
          </w:tcPr>
          <w:p w14:paraId="4C444592" w14:textId="77777777" w:rsidR="00E65BDC" w:rsidRPr="008D7775" w:rsidRDefault="00E65BDC" w:rsidP="00E65BDC">
            <w:pPr>
              <w:tabs>
                <w:tab w:val="center" w:pos="4845"/>
              </w:tabs>
              <w:ind w:right="142"/>
              <w:contextualSpacing/>
              <w:jc w:val="center"/>
              <w:rPr>
                <w:rFonts w:ascii="Bookman Old Style" w:hAnsi="Bookman Old Style" w:cs="Arial"/>
                <w:i/>
                <w:sz w:val="20"/>
                <w:szCs w:val="20"/>
              </w:rPr>
            </w:pPr>
            <w:r w:rsidRPr="008D7775">
              <w:rPr>
                <w:rFonts w:ascii="Bookman Old Style" w:hAnsi="Bookman Old Style" w:cs="Arial"/>
                <w:i/>
                <w:sz w:val="20"/>
                <w:szCs w:val="20"/>
              </w:rPr>
              <w:t>Acumulación de recurso solar fotovoltaico.</w:t>
            </w:r>
          </w:p>
        </w:tc>
        <w:tc>
          <w:tcPr>
            <w:tcW w:w="3114" w:type="dxa"/>
            <w:vAlign w:val="center"/>
          </w:tcPr>
          <w:p w14:paraId="722DD744" w14:textId="77777777" w:rsidR="00E65BDC" w:rsidRPr="008D7775" w:rsidRDefault="00E65BDC" w:rsidP="00E65BDC">
            <w:pPr>
              <w:tabs>
                <w:tab w:val="center" w:pos="4845"/>
              </w:tabs>
              <w:ind w:right="142"/>
              <w:contextualSpacing/>
              <w:jc w:val="center"/>
              <w:rPr>
                <w:rFonts w:ascii="Bookman Old Style" w:hAnsi="Bookman Old Style" w:cs="Arial"/>
                <w:i/>
                <w:sz w:val="20"/>
                <w:szCs w:val="20"/>
              </w:rPr>
            </w:pPr>
            <w:r w:rsidRPr="008D7775">
              <w:rPr>
                <w:rFonts w:ascii="Bookman Old Style" w:hAnsi="Bookman Old Style" w:cs="Arial"/>
                <w:i/>
                <w:sz w:val="20"/>
                <w:szCs w:val="20"/>
              </w:rPr>
              <w:t>739,92</w:t>
            </w:r>
          </w:p>
        </w:tc>
        <w:tc>
          <w:tcPr>
            <w:tcW w:w="2688" w:type="dxa"/>
            <w:vAlign w:val="center"/>
          </w:tcPr>
          <w:p w14:paraId="63A834C0" w14:textId="77777777" w:rsidR="00E65BDC" w:rsidRPr="008D7775" w:rsidRDefault="00E65BDC" w:rsidP="00E65BDC">
            <w:pPr>
              <w:tabs>
                <w:tab w:val="center" w:pos="4845"/>
              </w:tabs>
              <w:spacing w:line="259" w:lineRule="auto"/>
              <w:ind w:right="142"/>
              <w:contextualSpacing/>
              <w:jc w:val="center"/>
              <w:rPr>
                <w:rFonts w:ascii="Bookman Old Style" w:hAnsi="Bookman Old Style" w:cs="Arial"/>
                <w:i/>
                <w:sz w:val="20"/>
                <w:szCs w:val="20"/>
              </w:rPr>
            </w:pPr>
            <w:r w:rsidRPr="008D7775">
              <w:rPr>
                <w:rFonts w:ascii="Bookman Old Style" w:hAnsi="Bookman Old Style" w:cs="Arial"/>
                <w:i/>
                <w:sz w:val="20"/>
                <w:szCs w:val="20"/>
              </w:rPr>
              <w:t>58,71</w:t>
            </w:r>
          </w:p>
        </w:tc>
      </w:tr>
    </w:tbl>
    <w:p w14:paraId="0E2D3501" w14:textId="77777777" w:rsidR="00E65BDC" w:rsidRDefault="00E65BDC" w:rsidP="008D7775">
      <w:pPr>
        <w:pStyle w:val="Textodebloque"/>
        <w:ind w:right="6"/>
        <w:contextualSpacing/>
        <w:rPr>
          <w:rFonts w:ascii="Bookman Old Style" w:hAnsi="Bookman Old Style"/>
          <w:sz w:val="22"/>
          <w:szCs w:val="22"/>
        </w:rPr>
      </w:pPr>
    </w:p>
    <w:p w14:paraId="62462BF1" w14:textId="17C87CF0" w:rsidR="00E65BDC" w:rsidRDefault="00034B16" w:rsidP="008D7775">
      <w:pPr>
        <w:pStyle w:val="Textodebloque"/>
        <w:ind w:right="6"/>
        <w:contextualSpacing/>
        <w:rPr>
          <w:rFonts w:ascii="Bookman Old Style" w:hAnsi="Bookman Old Style"/>
          <w:sz w:val="22"/>
          <w:szCs w:val="22"/>
        </w:rPr>
      </w:pPr>
      <w:r w:rsidRPr="00504DB1">
        <w:rPr>
          <w:rFonts w:ascii="Bookman Old Style" w:hAnsi="Bookman Old Style"/>
          <w:i/>
          <w:sz w:val="22"/>
          <w:szCs w:val="22"/>
        </w:rPr>
        <w:t>(</w:t>
      </w:r>
      <w:r>
        <w:rPr>
          <w:rFonts w:ascii="Bookman Old Style" w:hAnsi="Bookman Old Style"/>
          <w:i/>
          <w:sz w:val="22"/>
          <w:szCs w:val="22"/>
        </w:rPr>
        <w:t>.</w:t>
      </w:r>
      <w:r w:rsidRPr="00504DB1">
        <w:rPr>
          <w:rFonts w:ascii="Bookman Old Style" w:hAnsi="Bookman Old Style"/>
          <w:i/>
          <w:sz w:val="22"/>
          <w:szCs w:val="22"/>
        </w:rPr>
        <w:t>..)”</w:t>
      </w:r>
    </w:p>
    <w:p w14:paraId="4ECD7053" w14:textId="77777777" w:rsidR="00E65BDC" w:rsidRDefault="00E65BDC" w:rsidP="008D7775">
      <w:pPr>
        <w:pStyle w:val="Textodebloque"/>
        <w:ind w:right="6"/>
        <w:contextualSpacing/>
        <w:rPr>
          <w:rFonts w:ascii="Bookman Old Style" w:hAnsi="Bookman Old Style"/>
          <w:sz w:val="22"/>
          <w:szCs w:val="22"/>
        </w:rPr>
      </w:pPr>
    </w:p>
    <w:p w14:paraId="6B367743" w14:textId="430E8AAC" w:rsid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Por lo anterior</w:t>
      </w:r>
      <w:r w:rsidR="000A42D2">
        <w:rPr>
          <w:rFonts w:ascii="Bookman Old Style" w:hAnsi="Bookman Old Style"/>
          <w:szCs w:val="24"/>
        </w:rPr>
        <w:t>,</w:t>
      </w:r>
      <w:r w:rsidRPr="00BC52A7">
        <w:rPr>
          <w:rFonts w:ascii="Bookman Old Style" w:hAnsi="Bookman Old Style"/>
          <w:szCs w:val="24"/>
        </w:rPr>
        <w:t xml:space="preserve"> y teniendo en cuenta el debido proceso de la actuación administrativa</w:t>
      </w:r>
      <w:r w:rsidR="000A42D2">
        <w:rPr>
          <w:rFonts w:ascii="Bookman Old Style" w:hAnsi="Bookman Old Style"/>
          <w:szCs w:val="24"/>
        </w:rPr>
        <w:t>,</w:t>
      </w:r>
      <w:r w:rsidRPr="00BC52A7">
        <w:rPr>
          <w:rFonts w:ascii="Bookman Old Style" w:hAnsi="Bookman Old Style"/>
          <w:szCs w:val="24"/>
        </w:rPr>
        <w:t xml:space="preserve"> tal y como se puede evidenciar en el expediente No. 2021-0070, </w:t>
      </w:r>
      <w:r w:rsidR="009606F2">
        <w:rPr>
          <w:rFonts w:ascii="Bookman Old Style" w:hAnsi="Bookman Old Style"/>
          <w:szCs w:val="24"/>
          <w:lang w:val="es-CO"/>
        </w:rPr>
        <w:t>g</w:t>
      </w:r>
      <w:r w:rsidR="009606F2" w:rsidRPr="009606F2">
        <w:rPr>
          <w:rFonts w:ascii="Bookman Old Style" w:hAnsi="Bookman Old Style"/>
          <w:szCs w:val="24"/>
          <w:lang w:val="es-CO"/>
        </w:rPr>
        <w:t>arantizando el debido proceso y el derecho de defensa,</w:t>
      </w:r>
      <w:r w:rsidRPr="009606F2">
        <w:rPr>
          <w:rFonts w:ascii="Bookman Old Style" w:hAnsi="Bookman Old Style"/>
          <w:szCs w:val="24"/>
          <w:lang w:val="es-CO"/>
        </w:rPr>
        <w:t xml:space="preserve"> el acto administrativo </w:t>
      </w:r>
      <w:r w:rsidR="009606F2" w:rsidRPr="009606F2">
        <w:rPr>
          <w:rFonts w:ascii="Bookman Old Style" w:hAnsi="Bookman Old Style"/>
          <w:szCs w:val="24"/>
          <w:lang w:val="es-CO"/>
        </w:rPr>
        <w:t xml:space="preserve">fue remitido para notificación electrónica </w:t>
      </w:r>
      <w:r w:rsidRPr="00BC52A7">
        <w:rPr>
          <w:rFonts w:ascii="Bookman Old Style" w:hAnsi="Bookman Old Style"/>
          <w:szCs w:val="24"/>
        </w:rPr>
        <w:t>a la empresa Gestión Energética S.A. E.S.P.</w:t>
      </w:r>
      <w:r w:rsidR="000A42D2">
        <w:rPr>
          <w:rFonts w:ascii="Bookman Old Style" w:hAnsi="Bookman Old Style"/>
          <w:szCs w:val="24"/>
        </w:rPr>
        <w:t>,</w:t>
      </w:r>
      <w:r w:rsidRPr="00BC52A7">
        <w:rPr>
          <w:rFonts w:ascii="Bookman Old Style" w:hAnsi="Bookman Old Style"/>
          <w:szCs w:val="24"/>
        </w:rPr>
        <w:t xml:space="preserve"> GENSA S.A</w:t>
      </w:r>
      <w:r w:rsidR="003947E6">
        <w:rPr>
          <w:rFonts w:ascii="Bookman Old Style" w:hAnsi="Bookman Old Style"/>
          <w:szCs w:val="24"/>
        </w:rPr>
        <w:t>.</w:t>
      </w:r>
      <w:r w:rsidRPr="00BC52A7">
        <w:rPr>
          <w:rFonts w:ascii="Bookman Old Style" w:hAnsi="Bookman Old Style"/>
          <w:szCs w:val="24"/>
        </w:rPr>
        <w:t xml:space="preserve"> E.S.P., en adelante GENSA, el 9 de junio de 2022</w:t>
      </w:r>
      <w:r w:rsidR="00733E3B">
        <w:rPr>
          <w:rFonts w:ascii="Bookman Old Style" w:hAnsi="Bookman Old Style"/>
          <w:szCs w:val="24"/>
        </w:rPr>
        <w:t>.</w:t>
      </w:r>
      <w:r w:rsidRPr="00BC52A7">
        <w:rPr>
          <w:rFonts w:ascii="Bookman Old Style" w:hAnsi="Bookman Old Style"/>
          <w:szCs w:val="24"/>
        </w:rPr>
        <w:t xml:space="preserve"> </w:t>
      </w:r>
      <w:r w:rsidR="00733E3B">
        <w:rPr>
          <w:rFonts w:ascii="Bookman Old Style" w:hAnsi="Bookman Old Style"/>
          <w:szCs w:val="24"/>
        </w:rPr>
        <w:t>L</w:t>
      </w:r>
      <w:r w:rsidRPr="00BC52A7">
        <w:rPr>
          <w:rFonts w:ascii="Bookman Old Style" w:hAnsi="Bookman Old Style"/>
          <w:szCs w:val="24"/>
        </w:rPr>
        <w:t>a notificación se surtió a partir de la fecha y hora en que los administrados accedieron al contenido del acto administrativo</w:t>
      </w:r>
      <w:r w:rsidR="00733E3B">
        <w:rPr>
          <w:rFonts w:ascii="Bookman Old Style" w:hAnsi="Bookman Old Style"/>
          <w:szCs w:val="24"/>
        </w:rPr>
        <w:t>,</w:t>
      </w:r>
      <w:r w:rsidRPr="00BC52A7">
        <w:rPr>
          <w:rFonts w:ascii="Bookman Old Style" w:hAnsi="Bookman Old Style"/>
          <w:szCs w:val="24"/>
        </w:rPr>
        <w:t xml:space="preserve"> registrándose el acceso el 10 de junio, según el certificado de comunicación electrónica del servicio de envíos de Colombia 472. </w:t>
      </w:r>
    </w:p>
    <w:p w14:paraId="1FEACF23" w14:textId="0E1945B6" w:rsidR="00135577" w:rsidRDefault="00135577" w:rsidP="00BC52A7">
      <w:pPr>
        <w:pStyle w:val="Textodebloque"/>
        <w:ind w:left="284" w:right="6"/>
        <w:contextualSpacing/>
        <w:rPr>
          <w:rFonts w:ascii="Bookman Old Style" w:hAnsi="Bookman Old Style"/>
          <w:szCs w:val="24"/>
        </w:rPr>
      </w:pPr>
    </w:p>
    <w:p w14:paraId="7A942258" w14:textId="34AF2937" w:rsidR="00135577" w:rsidRPr="00BC52A7" w:rsidRDefault="00135577" w:rsidP="00BC52A7">
      <w:pPr>
        <w:pStyle w:val="Textodebloque"/>
        <w:ind w:left="284" w:right="6"/>
        <w:contextualSpacing/>
        <w:rPr>
          <w:rFonts w:ascii="Bookman Old Style" w:hAnsi="Bookman Old Style"/>
          <w:szCs w:val="24"/>
        </w:rPr>
      </w:pPr>
      <w:r w:rsidRPr="00135577">
        <w:rPr>
          <w:rFonts w:ascii="Bookman Old Style" w:hAnsi="Bookman Old Style"/>
          <w:szCs w:val="24"/>
        </w:rPr>
        <w:t xml:space="preserve">Así mismo se notificó mediante correo electrónico el acto administrativo a EMELCE S.A. E.S.P, el 8 y 13 de junio de los presentes, </w:t>
      </w:r>
      <w:r>
        <w:rPr>
          <w:rFonts w:ascii="Bookman Old Style" w:hAnsi="Bookman Old Style"/>
          <w:szCs w:val="24"/>
        </w:rPr>
        <w:t>l</w:t>
      </w:r>
      <w:r w:rsidRPr="00135577">
        <w:rPr>
          <w:rFonts w:ascii="Bookman Old Style" w:hAnsi="Bookman Old Style"/>
          <w:szCs w:val="24"/>
        </w:rPr>
        <w:t xml:space="preserve">a notificación se surtió a partir de la fecha y hora en que los administrados accedieron al contenido del acto administrativo, registrándose el acceso el 13 de junio, tal y como consta en el expediente administrativo.  </w:t>
      </w:r>
    </w:p>
    <w:p w14:paraId="238A2420" w14:textId="77777777" w:rsidR="00BC52A7" w:rsidRPr="00BC52A7" w:rsidRDefault="00BC52A7" w:rsidP="00BC52A7">
      <w:pPr>
        <w:pStyle w:val="Textodebloque"/>
        <w:ind w:left="284" w:right="6"/>
        <w:contextualSpacing/>
        <w:rPr>
          <w:rFonts w:ascii="Bookman Old Style" w:hAnsi="Bookman Old Style"/>
          <w:szCs w:val="24"/>
        </w:rPr>
      </w:pPr>
    </w:p>
    <w:p w14:paraId="0598B0ED" w14:textId="77777777" w:rsidR="00BC52A7" w:rsidRPr="00733E3B" w:rsidRDefault="00BC52A7" w:rsidP="00BC52A7">
      <w:pPr>
        <w:pStyle w:val="Textodebloque"/>
        <w:ind w:left="284" w:right="6"/>
        <w:contextualSpacing/>
        <w:rPr>
          <w:rFonts w:ascii="Bookman Old Style" w:hAnsi="Bookman Old Style"/>
          <w:b/>
          <w:szCs w:val="24"/>
        </w:rPr>
      </w:pPr>
      <w:r w:rsidRPr="00733E3B">
        <w:rPr>
          <w:rFonts w:ascii="Bookman Old Style" w:hAnsi="Bookman Old Style"/>
          <w:b/>
          <w:szCs w:val="24"/>
        </w:rPr>
        <w:t>II. RECURSO DE REPOSICIÓN</w:t>
      </w:r>
    </w:p>
    <w:p w14:paraId="4DC82AA5" w14:textId="77777777" w:rsidR="00BC52A7" w:rsidRPr="00BC52A7" w:rsidRDefault="00BC52A7" w:rsidP="00BC52A7">
      <w:pPr>
        <w:pStyle w:val="Textodebloque"/>
        <w:ind w:left="284" w:right="6"/>
        <w:contextualSpacing/>
        <w:rPr>
          <w:rFonts w:ascii="Bookman Old Style" w:hAnsi="Bookman Old Style"/>
          <w:szCs w:val="24"/>
        </w:rPr>
      </w:pPr>
    </w:p>
    <w:p w14:paraId="1318DEC6" w14:textId="6587E2A1" w:rsidR="00BC52A7" w:rsidRPr="00733E3B" w:rsidRDefault="00BC52A7" w:rsidP="00BC52A7">
      <w:pPr>
        <w:pStyle w:val="Textodebloque"/>
        <w:ind w:left="284" w:right="6"/>
        <w:contextualSpacing/>
        <w:rPr>
          <w:rFonts w:ascii="Bookman Old Style" w:hAnsi="Bookman Old Style"/>
          <w:b/>
          <w:szCs w:val="24"/>
        </w:rPr>
      </w:pPr>
      <w:r w:rsidRPr="00733E3B">
        <w:rPr>
          <w:rFonts w:ascii="Bookman Old Style" w:hAnsi="Bookman Old Style"/>
          <w:b/>
          <w:szCs w:val="24"/>
        </w:rPr>
        <w:t xml:space="preserve">1. </w:t>
      </w:r>
      <w:r w:rsidR="00034D3E">
        <w:rPr>
          <w:rFonts w:ascii="Bookman Old Style" w:hAnsi="Bookman Old Style"/>
          <w:b/>
          <w:szCs w:val="24"/>
        </w:rPr>
        <w:t>Procedenc</w:t>
      </w:r>
      <w:r w:rsidR="002841E4">
        <w:rPr>
          <w:rFonts w:ascii="Bookman Old Style" w:hAnsi="Bookman Old Style"/>
          <w:b/>
          <w:szCs w:val="24"/>
        </w:rPr>
        <w:t>i</w:t>
      </w:r>
      <w:r w:rsidR="00034D3E">
        <w:rPr>
          <w:rFonts w:ascii="Bookman Old Style" w:hAnsi="Bookman Old Style"/>
          <w:b/>
          <w:szCs w:val="24"/>
        </w:rPr>
        <w:t>a y</w:t>
      </w:r>
      <w:r w:rsidRPr="00733E3B">
        <w:rPr>
          <w:rFonts w:ascii="Bookman Old Style" w:hAnsi="Bookman Old Style"/>
          <w:b/>
          <w:szCs w:val="24"/>
        </w:rPr>
        <w:t xml:space="preserve"> admisibilidad del recurso </w:t>
      </w:r>
    </w:p>
    <w:p w14:paraId="117811ED" w14:textId="77777777" w:rsidR="0054541F" w:rsidRPr="00BC52A7" w:rsidRDefault="0054541F" w:rsidP="00C14E95">
      <w:pPr>
        <w:pStyle w:val="Textodebloque"/>
        <w:spacing w:after="0"/>
        <w:ind w:left="284" w:right="6"/>
        <w:contextualSpacing/>
        <w:rPr>
          <w:rFonts w:ascii="Bookman Old Style" w:hAnsi="Bookman Old Style"/>
          <w:szCs w:val="24"/>
        </w:rPr>
      </w:pPr>
    </w:p>
    <w:p w14:paraId="3A4EDD66" w14:textId="77777777" w:rsidR="00034D3E" w:rsidRDefault="00034D3E" w:rsidP="00C14E95">
      <w:pPr>
        <w:ind w:left="284" w:right="-142"/>
        <w:contextualSpacing/>
        <w:jc w:val="both"/>
        <w:rPr>
          <w:rFonts w:ascii="Bookman Old Style" w:hAnsi="Bookman Old Style" w:cs="Arial"/>
          <w:spacing w:val="-5"/>
        </w:rPr>
      </w:pPr>
      <w:r>
        <w:rPr>
          <w:rFonts w:ascii="Bookman Old Style" w:hAnsi="Bookman Old Style" w:cs="Arial"/>
          <w:spacing w:val="-5"/>
        </w:rPr>
        <w:t xml:space="preserve">De acuerdo con el artículo 113 de la Ley 142 de 1994, contra los actos de las comisiones de regulación que pongan fin a las actuaciones administrativas sólo cabe recurso de reposición, el cual podrá interponerse dentro de los cinco días siguientes a la notificación del acto administrativo. </w:t>
      </w:r>
    </w:p>
    <w:p w14:paraId="24D4F1D1" w14:textId="77777777" w:rsidR="00034D3E" w:rsidRPr="00BC52A7" w:rsidRDefault="00034D3E" w:rsidP="00C14E95">
      <w:pPr>
        <w:pStyle w:val="Textodebloque"/>
        <w:spacing w:after="0"/>
        <w:ind w:left="284" w:right="6"/>
        <w:contextualSpacing/>
        <w:rPr>
          <w:rFonts w:ascii="Bookman Old Style" w:hAnsi="Bookman Old Style"/>
          <w:szCs w:val="24"/>
        </w:rPr>
      </w:pPr>
    </w:p>
    <w:p w14:paraId="3C4B40D7" w14:textId="79810114" w:rsidR="00BC52A7" w:rsidRPr="00BC52A7" w:rsidRDefault="00BC52A7" w:rsidP="00C14E95">
      <w:pPr>
        <w:pStyle w:val="Textodebloque"/>
        <w:spacing w:after="0"/>
        <w:ind w:left="284" w:right="6"/>
        <w:contextualSpacing/>
        <w:rPr>
          <w:rFonts w:ascii="Bookman Old Style" w:hAnsi="Bookman Old Style"/>
          <w:szCs w:val="24"/>
        </w:rPr>
      </w:pPr>
      <w:r w:rsidRPr="00BC52A7">
        <w:rPr>
          <w:rFonts w:ascii="Bookman Old Style" w:hAnsi="Bookman Old Style"/>
          <w:szCs w:val="24"/>
        </w:rPr>
        <w:t>La Resolución CREG 501 041 de 2022 se notificó a la empresa GENSA el 10 de junio</w:t>
      </w:r>
      <w:r w:rsidR="009B1BD1">
        <w:rPr>
          <w:rFonts w:ascii="Bookman Old Style" w:hAnsi="Bookman Old Style"/>
          <w:szCs w:val="24"/>
        </w:rPr>
        <w:t xml:space="preserve"> del año en curso</w:t>
      </w:r>
      <w:r w:rsidR="0054541F">
        <w:rPr>
          <w:rFonts w:ascii="Bookman Old Style" w:hAnsi="Bookman Old Style"/>
          <w:szCs w:val="24"/>
        </w:rPr>
        <w:t>.</w:t>
      </w:r>
    </w:p>
    <w:p w14:paraId="4E381BEF" w14:textId="77777777" w:rsidR="00BC52A7" w:rsidRPr="00BC52A7" w:rsidRDefault="00BC52A7" w:rsidP="00BC52A7">
      <w:pPr>
        <w:pStyle w:val="Textodebloque"/>
        <w:ind w:left="284" w:right="6"/>
        <w:contextualSpacing/>
        <w:rPr>
          <w:rFonts w:ascii="Bookman Old Style" w:hAnsi="Bookman Old Style"/>
          <w:szCs w:val="24"/>
        </w:rPr>
      </w:pPr>
    </w:p>
    <w:p w14:paraId="330903E2" w14:textId="6FDB76A5" w:rsidR="00C11528" w:rsidRPr="00BC52A7" w:rsidRDefault="00BC52A7" w:rsidP="00C11528">
      <w:pPr>
        <w:pStyle w:val="Textodebloque"/>
        <w:ind w:left="284" w:right="6"/>
        <w:contextualSpacing/>
        <w:rPr>
          <w:rFonts w:ascii="Bookman Old Style" w:hAnsi="Bookman Old Style"/>
          <w:szCs w:val="24"/>
        </w:rPr>
      </w:pPr>
      <w:r w:rsidRPr="00BC52A7">
        <w:rPr>
          <w:rFonts w:ascii="Bookman Old Style" w:hAnsi="Bookman Old Style"/>
          <w:szCs w:val="24"/>
        </w:rPr>
        <w:t xml:space="preserve">Mediante escrito </w:t>
      </w:r>
      <w:r w:rsidR="0067077F">
        <w:rPr>
          <w:rFonts w:ascii="Bookman Old Style" w:hAnsi="Bookman Old Style"/>
          <w:szCs w:val="24"/>
        </w:rPr>
        <w:t xml:space="preserve">con </w:t>
      </w:r>
      <w:r w:rsidRPr="00BC52A7">
        <w:rPr>
          <w:rFonts w:ascii="Bookman Old Style" w:hAnsi="Bookman Old Style"/>
          <w:szCs w:val="24"/>
        </w:rPr>
        <w:t xml:space="preserve">radicado CREG E-2022-005956 del 16 de junio de 2022, el representante legal de la empresa GENSA, interpuso recurso de reposición contra la </w:t>
      </w:r>
      <w:r w:rsidR="00C129F4">
        <w:rPr>
          <w:rFonts w:ascii="Bookman Old Style" w:hAnsi="Bookman Old Style"/>
          <w:szCs w:val="24"/>
        </w:rPr>
        <w:t>r</w:t>
      </w:r>
      <w:r w:rsidRPr="00BC52A7">
        <w:rPr>
          <w:rFonts w:ascii="Bookman Old Style" w:hAnsi="Bookman Old Style"/>
          <w:szCs w:val="24"/>
        </w:rPr>
        <w:t>esolución precitada</w:t>
      </w:r>
      <w:r w:rsidR="00C11528">
        <w:rPr>
          <w:rFonts w:ascii="Bookman Old Style" w:hAnsi="Bookman Old Style"/>
          <w:szCs w:val="24"/>
        </w:rPr>
        <w:t>, encontrándose dentro del término para su presentación</w:t>
      </w:r>
      <w:r w:rsidR="00A83753">
        <w:rPr>
          <w:rFonts w:ascii="Bookman Old Style" w:hAnsi="Bookman Old Style"/>
          <w:szCs w:val="24"/>
        </w:rPr>
        <w:t>,</w:t>
      </w:r>
      <w:r w:rsidR="00C11528">
        <w:rPr>
          <w:rFonts w:ascii="Bookman Old Style" w:hAnsi="Bookman Old Style"/>
          <w:szCs w:val="24"/>
        </w:rPr>
        <w:t xml:space="preserve"> el cual </w:t>
      </w:r>
      <w:r w:rsidR="00C11528">
        <w:rPr>
          <w:rFonts w:ascii="Bookman Old Style" w:hAnsi="Bookman Old Style" w:cs="Arial"/>
          <w:spacing w:val="-5"/>
          <w:szCs w:val="24"/>
        </w:rPr>
        <w:t>vencía el 17 de junio</w:t>
      </w:r>
      <w:r w:rsidR="006D0AA8">
        <w:rPr>
          <w:rFonts w:ascii="Bookman Old Style" w:hAnsi="Bookman Old Style" w:cs="Arial"/>
          <w:spacing w:val="-5"/>
          <w:szCs w:val="24"/>
        </w:rPr>
        <w:t xml:space="preserve"> de 2022</w:t>
      </w:r>
      <w:r w:rsidR="00C11528" w:rsidRPr="00BC52A7">
        <w:rPr>
          <w:rFonts w:ascii="Bookman Old Style" w:hAnsi="Bookman Old Style"/>
          <w:szCs w:val="24"/>
        </w:rPr>
        <w:t>.</w:t>
      </w:r>
    </w:p>
    <w:p w14:paraId="59947B4F" w14:textId="7BE6B503" w:rsidR="00BC52A7" w:rsidRPr="00BC52A7" w:rsidRDefault="00BC52A7" w:rsidP="00BC52A7">
      <w:pPr>
        <w:pStyle w:val="Textodebloque"/>
        <w:ind w:left="284" w:right="6"/>
        <w:contextualSpacing/>
        <w:rPr>
          <w:rFonts w:ascii="Bookman Old Style" w:hAnsi="Bookman Old Style"/>
          <w:szCs w:val="24"/>
        </w:rPr>
      </w:pPr>
    </w:p>
    <w:p w14:paraId="5B1DAEF2" w14:textId="74F5F36E" w:rsidR="00BC52A7" w:rsidRP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En virtud de lo anterior</w:t>
      </w:r>
      <w:r w:rsidR="00A83753">
        <w:rPr>
          <w:rFonts w:ascii="Bookman Old Style" w:hAnsi="Bookman Old Style"/>
          <w:szCs w:val="24"/>
        </w:rPr>
        <w:t>,</w:t>
      </w:r>
      <w:r w:rsidRPr="00BC52A7">
        <w:rPr>
          <w:rFonts w:ascii="Bookman Old Style" w:hAnsi="Bookman Old Style"/>
          <w:szCs w:val="24"/>
        </w:rPr>
        <w:t xml:space="preserve"> y una vez verificado el cumplimiento de los requisitos a los que hace referencia el artículo 77 del Código de Procedimiento Administrativo y de lo Contencioso Administrativo</w:t>
      </w:r>
      <w:r w:rsidR="00A83753">
        <w:rPr>
          <w:rFonts w:ascii="Bookman Old Style" w:hAnsi="Bookman Old Style"/>
          <w:szCs w:val="24"/>
        </w:rPr>
        <w:t>,</w:t>
      </w:r>
      <w:r w:rsidRPr="00BC52A7">
        <w:rPr>
          <w:rFonts w:ascii="Bookman Old Style" w:hAnsi="Bookman Old Style"/>
          <w:szCs w:val="24"/>
        </w:rPr>
        <w:t xml:space="preserve"> en concordancia con el artículo 113 de la Ley 142 de 1994, procede la CREG a realizar un análisis y pronunciarse en relación con los argumentos en que se sustenta la impugnación.</w:t>
      </w:r>
    </w:p>
    <w:p w14:paraId="1CCD5062" w14:textId="77777777" w:rsidR="00BC52A7" w:rsidRPr="00BC52A7" w:rsidRDefault="00BC52A7" w:rsidP="00BC52A7">
      <w:pPr>
        <w:pStyle w:val="Textodebloque"/>
        <w:ind w:left="284" w:right="6"/>
        <w:contextualSpacing/>
        <w:rPr>
          <w:rFonts w:ascii="Bookman Old Style" w:hAnsi="Bookman Old Style"/>
          <w:szCs w:val="24"/>
        </w:rPr>
      </w:pPr>
    </w:p>
    <w:p w14:paraId="0B918A9C" w14:textId="77777777" w:rsidR="00BC52A7" w:rsidRPr="00733E3B" w:rsidRDefault="00BC52A7" w:rsidP="00BC52A7">
      <w:pPr>
        <w:pStyle w:val="Textodebloque"/>
        <w:ind w:left="284" w:right="6"/>
        <w:contextualSpacing/>
        <w:rPr>
          <w:rFonts w:ascii="Bookman Old Style" w:hAnsi="Bookman Old Style"/>
          <w:b/>
          <w:szCs w:val="24"/>
        </w:rPr>
      </w:pPr>
      <w:r w:rsidRPr="00733E3B">
        <w:rPr>
          <w:rFonts w:ascii="Bookman Old Style" w:hAnsi="Bookman Old Style"/>
          <w:b/>
          <w:szCs w:val="24"/>
        </w:rPr>
        <w:t>2. Fundamentos del recurso</w:t>
      </w:r>
    </w:p>
    <w:p w14:paraId="25E9724E" w14:textId="77777777" w:rsidR="00DC049C" w:rsidRDefault="00DC049C" w:rsidP="00BC52A7">
      <w:pPr>
        <w:pStyle w:val="Textodebloque"/>
        <w:ind w:left="284" w:right="6"/>
        <w:contextualSpacing/>
        <w:rPr>
          <w:rFonts w:ascii="Bookman Old Style" w:hAnsi="Bookman Old Style"/>
          <w:szCs w:val="24"/>
        </w:rPr>
      </w:pPr>
    </w:p>
    <w:p w14:paraId="07027AAA" w14:textId="7712C3AB" w:rsidR="00BC52A7" w:rsidRPr="00F7418C" w:rsidRDefault="00BC52A7" w:rsidP="00BC52A7">
      <w:pPr>
        <w:pStyle w:val="Textodebloque"/>
        <w:ind w:left="284" w:right="6"/>
        <w:contextualSpacing/>
        <w:rPr>
          <w:rFonts w:ascii="Bookman Old Style" w:hAnsi="Bookman Old Style"/>
          <w:sz w:val="22"/>
          <w:szCs w:val="22"/>
        </w:rPr>
      </w:pPr>
      <w:r w:rsidRPr="00BC52A7">
        <w:rPr>
          <w:rFonts w:ascii="Bookman Old Style" w:hAnsi="Bookman Old Style"/>
          <w:szCs w:val="24"/>
        </w:rPr>
        <w:t>Los argumentos del recurso de reposición interpuesto por la empresa GENSA, hacen referencia a lo siguiente:</w:t>
      </w:r>
    </w:p>
    <w:p w14:paraId="052877E5" w14:textId="77777777" w:rsidR="00BC52A7" w:rsidRPr="00F7418C" w:rsidRDefault="00BC52A7" w:rsidP="00BC52A7">
      <w:pPr>
        <w:pStyle w:val="Textodebloque"/>
        <w:ind w:left="284" w:right="6"/>
        <w:contextualSpacing/>
        <w:rPr>
          <w:rFonts w:ascii="Bookman Old Style" w:hAnsi="Bookman Old Style"/>
          <w:sz w:val="22"/>
          <w:szCs w:val="22"/>
        </w:rPr>
      </w:pPr>
    </w:p>
    <w:p w14:paraId="7C8C3F24" w14:textId="0C16DD07" w:rsidR="00BC52A7" w:rsidRPr="00F7418C" w:rsidRDefault="00BC52A7" w:rsidP="00733E3B">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 1. CONSIDERACIONES TÉCNICAS QUE NO FUERON TENIDAS EN CUENTA EN LA DETERMINACIÓN DE LOS COMPONENTES DE INVERSIÓN Y A</w:t>
      </w:r>
      <w:r w:rsidR="009910CA" w:rsidRPr="00F7418C">
        <w:rPr>
          <w:rFonts w:ascii="Bookman Old Style" w:hAnsi="Bookman Old Style"/>
          <w:b/>
          <w:i/>
          <w:sz w:val="22"/>
          <w:szCs w:val="22"/>
        </w:rPr>
        <w:t>O</w:t>
      </w:r>
      <w:r w:rsidRPr="00F7418C">
        <w:rPr>
          <w:rFonts w:ascii="Bookman Old Style" w:hAnsi="Bookman Old Style"/>
          <w:b/>
          <w:i/>
          <w:sz w:val="22"/>
          <w:szCs w:val="22"/>
        </w:rPr>
        <w:t>M DEFINIDOS EN EL ARTÍCULO 1: REMUNERACIÓN DE LAS COMPONENTES DE INVERSIÓN Y DE ADMINISTRACIÓN, OPERACIÓN Y MANTENIMIENTO.</w:t>
      </w:r>
    </w:p>
    <w:p w14:paraId="2B5F35B3" w14:textId="77777777" w:rsidR="00BC52A7" w:rsidRPr="00F7418C" w:rsidRDefault="00BC52A7" w:rsidP="00733E3B">
      <w:pPr>
        <w:pStyle w:val="Textodebloque"/>
        <w:ind w:right="6"/>
        <w:contextualSpacing/>
        <w:rPr>
          <w:rFonts w:ascii="Bookman Old Style" w:hAnsi="Bookman Old Style"/>
          <w:i/>
          <w:sz w:val="22"/>
          <w:szCs w:val="22"/>
        </w:rPr>
      </w:pPr>
    </w:p>
    <w:p w14:paraId="7E9BE3F9" w14:textId="4C9CD5C1"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Una vez analizados cada uno de los puntos tenidos en cuenta para el cálculo de las componentes de inversión y AOM, solicitamos el ajuste de los siguientes puntos, toda vez que fueron tenidos en cuenta de forma imprecisa en el cálculo y no fueron tenidas en cuenta, de forma integral, las consideraciones técnicas de la comunicación CREG E-2021- 003557 del 24 de marzo de 2021 (Solicitud inicial de cargos), complementada con la comunicación con número de radicado CREG E-2021-006479 del 02 de junio de 2021. A continuación, exponemos entonces los aspectos que sustentan la omisión del regulador al determinar la tarifa:</w:t>
      </w:r>
    </w:p>
    <w:p w14:paraId="37C13138" w14:textId="77777777" w:rsidR="002825B6" w:rsidRPr="00F7418C" w:rsidRDefault="002825B6" w:rsidP="00733E3B">
      <w:pPr>
        <w:pStyle w:val="Textodebloque"/>
        <w:ind w:right="6"/>
        <w:contextualSpacing/>
        <w:rPr>
          <w:rFonts w:ascii="Bookman Old Style" w:hAnsi="Bookman Old Style"/>
          <w:i/>
          <w:sz w:val="22"/>
          <w:szCs w:val="22"/>
        </w:rPr>
      </w:pPr>
    </w:p>
    <w:p w14:paraId="3D85C064" w14:textId="1DDC67CD" w:rsidR="00BC52A7" w:rsidRPr="00F7418C" w:rsidRDefault="00BC52A7" w:rsidP="00417896">
      <w:pPr>
        <w:pStyle w:val="Textodebloque"/>
        <w:numPr>
          <w:ilvl w:val="1"/>
          <w:numId w:val="49"/>
        </w:numPr>
        <w:ind w:right="6"/>
        <w:contextualSpacing/>
        <w:rPr>
          <w:rFonts w:ascii="Bookman Old Style" w:hAnsi="Bookman Old Style"/>
          <w:b/>
          <w:i/>
          <w:sz w:val="22"/>
          <w:szCs w:val="22"/>
        </w:rPr>
      </w:pPr>
      <w:r w:rsidRPr="00F7418C">
        <w:rPr>
          <w:rFonts w:ascii="Bookman Old Style" w:hAnsi="Bookman Old Style"/>
          <w:b/>
          <w:i/>
          <w:sz w:val="22"/>
          <w:szCs w:val="22"/>
        </w:rPr>
        <w:t>GENERACIÓN DEL SISTEMA SOLAR SDl2 ASUMIDO POR CREG.</w:t>
      </w:r>
    </w:p>
    <w:p w14:paraId="7D837D79" w14:textId="77777777" w:rsidR="00DE1A06" w:rsidRPr="00F7418C" w:rsidRDefault="00DE1A06" w:rsidP="00733E3B">
      <w:pPr>
        <w:pStyle w:val="Textodebloque"/>
        <w:ind w:right="6"/>
        <w:contextualSpacing/>
        <w:rPr>
          <w:rFonts w:ascii="Bookman Old Style" w:hAnsi="Bookman Old Style"/>
          <w:i/>
          <w:sz w:val="22"/>
          <w:szCs w:val="22"/>
        </w:rPr>
      </w:pPr>
    </w:p>
    <w:p w14:paraId="4F329CC3" w14:textId="046A4FC9"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Las restricciones técnicas no permiten generar los 18.341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 xml:space="preserve">/año que se utilizaron en el documento de análisis de la resolución. El mismo de la oferta (recurso solar) la demanda, y la capacidad finita de las baterías hace que sea necesario limitar la generación de la planta solar SDl2 por un monto cercano a los 6.000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/año, la única forma de que se pueda entregar toda la energía que podría generar la planta solar seria en las siguientes situaciones:</w:t>
      </w:r>
    </w:p>
    <w:p w14:paraId="73C6D4F9" w14:textId="77777777" w:rsidR="001D6E7D" w:rsidRPr="00F7418C" w:rsidRDefault="001D6E7D" w:rsidP="00733E3B">
      <w:pPr>
        <w:pStyle w:val="Textodebloque"/>
        <w:ind w:right="6"/>
        <w:contextualSpacing/>
        <w:rPr>
          <w:rFonts w:ascii="Bookman Old Style" w:hAnsi="Bookman Old Style"/>
          <w:i/>
          <w:sz w:val="22"/>
          <w:szCs w:val="22"/>
        </w:rPr>
      </w:pPr>
    </w:p>
    <w:p w14:paraId="26B39A04" w14:textId="77DA48EC" w:rsidR="00BC52A7" w:rsidRPr="00F7418C" w:rsidRDefault="00BC52A7" w:rsidP="00DE1A06">
      <w:pPr>
        <w:pStyle w:val="Textodebloque"/>
        <w:numPr>
          <w:ilvl w:val="0"/>
          <w:numId w:val="48"/>
        </w:numPr>
        <w:ind w:right="6"/>
        <w:contextualSpacing/>
        <w:rPr>
          <w:rFonts w:ascii="Bookman Old Style" w:hAnsi="Bookman Old Style"/>
          <w:i/>
          <w:sz w:val="22"/>
          <w:szCs w:val="22"/>
        </w:rPr>
      </w:pPr>
      <w:r w:rsidRPr="00F7418C">
        <w:rPr>
          <w:rFonts w:ascii="Bookman Old Style" w:hAnsi="Bookman Old Style"/>
          <w:i/>
          <w:sz w:val="22"/>
          <w:szCs w:val="22"/>
        </w:rPr>
        <w:t>Que la demanda sea mucho mayor (aspecto que esta fuera del control del proyecto).</w:t>
      </w:r>
    </w:p>
    <w:p w14:paraId="53285448" w14:textId="6798F7A7" w:rsidR="00BC52A7" w:rsidRPr="00F7418C" w:rsidRDefault="00BC52A7" w:rsidP="00733E3B">
      <w:pPr>
        <w:pStyle w:val="Textodebloque"/>
        <w:numPr>
          <w:ilvl w:val="0"/>
          <w:numId w:val="48"/>
        </w:numPr>
        <w:ind w:right="6"/>
        <w:contextualSpacing/>
        <w:rPr>
          <w:rFonts w:ascii="Bookman Old Style" w:hAnsi="Bookman Old Style"/>
          <w:i/>
          <w:sz w:val="22"/>
          <w:szCs w:val="22"/>
        </w:rPr>
      </w:pPr>
      <w:r w:rsidRPr="00F7418C">
        <w:rPr>
          <w:rFonts w:ascii="Bookman Old Style" w:hAnsi="Bookman Old Style"/>
          <w:i/>
          <w:sz w:val="22"/>
          <w:szCs w:val="22"/>
        </w:rPr>
        <w:t>Que el sistema de baterías sea más grande (lo que implica un mayor costo y lo hace inviable económicamente).</w:t>
      </w:r>
    </w:p>
    <w:p w14:paraId="6D953565" w14:textId="77777777" w:rsidR="001D6E7D" w:rsidRPr="00F7418C" w:rsidRDefault="001D6E7D" w:rsidP="00733E3B">
      <w:pPr>
        <w:pStyle w:val="Textodebloque"/>
        <w:ind w:right="6"/>
        <w:contextualSpacing/>
        <w:rPr>
          <w:rFonts w:ascii="Bookman Old Style" w:hAnsi="Bookman Old Style"/>
          <w:i/>
          <w:sz w:val="22"/>
          <w:szCs w:val="22"/>
        </w:rPr>
      </w:pPr>
    </w:p>
    <w:p w14:paraId="34D98E95" w14:textId="24A22A5C"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Según los estudios preliminares realizados con los especialistas, analizando los panoramas de generación se puede ver que, en la medida que se aumenta el tamaño del sistema de baterías, disminuye la cantidad de energía perdida ("</w:t>
      </w:r>
      <w:proofErr w:type="spellStart"/>
      <w:r w:rsidRPr="00F7418C">
        <w:rPr>
          <w:rFonts w:ascii="Bookman Old Style" w:hAnsi="Bookman Old Style"/>
          <w:i/>
          <w:sz w:val="22"/>
          <w:szCs w:val="22"/>
        </w:rPr>
        <w:t>curtailed</w:t>
      </w:r>
      <w:proofErr w:type="spellEnd"/>
      <w:r w:rsidRPr="00F7418C">
        <w:rPr>
          <w:rFonts w:ascii="Bookman Old Style" w:hAnsi="Bookman Old Style"/>
          <w:i/>
          <w:sz w:val="22"/>
          <w:szCs w:val="22"/>
        </w:rPr>
        <w:t xml:space="preserve">") y aumentaría la cantidad de energía que se puede vender a la red, pero el aumento del costo del sistema (por el aumento de cantidad de baterías) no se vería compensado por la mayor cantidad de energía vendible. Lo anterior se presenta porque esos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 xml:space="preserve"> extras de baterías que se instalarían, solo serían utilizables. en algunos pocos casos del año, donde hay mucha radiación solar disponible, por lo tanto, no es viable técnicamente.</w:t>
      </w:r>
    </w:p>
    <w:p w14:paraId="307E7D8D" w14:textId="77777777" w:rsidR="003268B5" w:rsidRPr="00F7418C" w:rsidRDefault="003268B5" w:rsidP="00733E3B">
      <w:pPr>
        <w:pStyle w:val="Textodebloque"/>
        <w:ind w:right="6"/>
        <w:contextualSpacing/>
        <w:rPr>
          <w:rFonts w:ascii="Bookman Old Style" w:hAnsi="Bookman Old Style"/>
          <w:i/>
          <w:sz w:val="22"/>
          <w:szCs w:val="22"/>
        </w:rPr>
      </w:pPr>
    </w:p>
    <w:p w14:paraId="3B51352B" w14:textId="77777777"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Debido a lo anterior, amablemente se solicita revisar este concepto, y considerar los 12.549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 xml:space="preserve"> de energía efectivamente vendible del sistema de almacenamiento, en lugar de los 18.341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 xml:space="preserve"> de energía considerados en el cálculo realizado por CREG. Lo anterior, teniendo en cuenta que no se podría estimar que, con las condiciones operativas actuales (demanda actual) y con un sistema de baterías de solo 37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 xml:space="preserve"> (33.6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 xml:space="preserve"> útiles), se pueda valorizar esa energía. Dado el caso, se tendría que suponer entonces un CAPEX mayor para un sistema de baterías mucho más grande, lo anterior para aclarar que no se trata de una ineficiencia, sino de una restricción del sistema eléctrico en el contexto del municipio a atender.</w:t>
      </w:r>
    </w:p>
    <w:p w14:paraId="188A7BF3" w14:textId="77777777" w:rsidR="001E4510" w:rsidRPr="00F7418C" w:rsidRDefault="001E4510" w:rsidP="00733E3B">
      <w:pPr>
        <w:pStyle w:val="Textodebloque"/>
        <w:ind w:right="6"/>
        <w:contextualSpacing/>
        <w:rPr>
          <w:rFonts w:ascii="Bookman Old Style" w:hAnsi="Bookman Old Style"/>
          <w:i/>
          <w:sz w:val="22"/>
          <w:szCs w:val="22"/>
        </w:rPr>
      </w:pPr>
    </w:p>
    <w:p w14:paraId="5DA27982" w14:textId="0C868242" w:rsidR="00BC52A7" w:rsidRPr="00F7418C" w:rsidRDefault="00BC52A7" w:rsidP="00733E3B">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1.2 TAMAÑO Y PRECIO DEL SISTEMA DE BATERÍAS:</w:t>
      </w:r>
    </w:p>
    <w:p w14:paraId="1F3FD666" w14:textId="77777777" w:rsidR="001C0CA7" w:rsidRPr="00F7418C" w:rsidRDefault="001C0CA7" w:rsidP="00733E3B">
      <w:pPr>
        <w:pStyle w:val="Textodebloque"/>
        <w:ind w:right="6"/>
        <w:contextualSpacing/>
        <w:rPr>
          <w:rFonts w:ascii="Bookman Old Style" w:hAnsi="Bookman Old Style"/>
          <w:i/>
          <w:sz w:val="22"/>
          <w:szCs w:val="22"/>
        </w:rPr>
      </w:pPr>
    </w:p>
    <w:p w14:paraId="47EAC67C" w14:textId="77777777" w:rsidR="00733E3B" w:rsidRPr="00F71C1E" w:rsidRDefault="00BC52A7" w:rsidP="00733E3B">
      <w:pPr>
        <w:pStyle w:val="Textodebloque"/>
        <w:ind w:right="6"/>
        <w:contextualSpacing/>
        <w:rPr>
          <w:rFonts w:ascii="Bookman Old Style" w:hAnsi="Bookman Old Style"/>
          <w:i/>
          <w:sz w:val="22"/>
          <w:szCs w:val="22"/>
        </w:rPr>
      </w:pPr>
      <w:r w:rsidRPr="00F71C1E">
        <w:rPr>
          <w:rFonts w:ascii="Bookman Old Style" w:hAnsi="Bookman Old Style"/>
          <w:i/>
          <w:sz w:val="22"/>
          <w:szCs w:val="22"/>
        </w:rPr>
        <w:t>Según la revisión realizada a la resolución, se interpreta que no se consideró la restricción referente a que las baterías no pueden ser descargadas al 100%, lo cual implicaría un desgaste mayor y más rápido en su vida útil. Como soporte a este punto, quisiéramos aclarar que, las baterías se utilizan solo al 90% de profundidad de descarga (</w:t>
      </w:r>
      <w:proofErr w:type="spellStart"/>
      <w:r w:rsidRPr="00F71C1E">
        <w:rPr>
          <w:rFonts w:ascii="Bookman Old Style" w:hAnsi="Bookman Old Style"/>
          <w:i/>
          <w:sz w:val="22"/>
          <w:szCs w:val="22"/>
        </w:rPr>
        <w:t>DoD</w:t>
      </w:r>
      <w:proofErr w:type="spellEnd"/>
      <w:r w:rsidRPr="00F71C1E">
        <w:rPr>
          <w:rFonts w:ascii="Bookman Old Style" w:hAnsi="Bookman Old Style"/>
          <w:i/>
          <w:sz w:val="22"/>
          <w:szCs w:val="22"/>
        </w:rPr>
        <w:t xml:space="preserve">), dado esto, para tener un sistema de baterías de 33,38 </w:t>
      </w:r>
      <w:proofErr w:type="spellStart"/>
      <w:r w:rsidRPr="00F71C1E">
        <w:rPr>
          <w:rFonts w:ascii="Bookman Old Style" w:hAnsi="Bookman Old Style"/>
          <w:i/>
          <w:sz w:val="22"/>
          <w:szCs w:val="22"/>
        </w:rPr>
        <w:t>MWh</w:t>
      </w:r>
      <w:proofErr w:type="spellEnd"/>
      <w:r w:rsidRPr="00F71C1E">
        <w:rPr>
          <w:rFonts w:ascii="Bookman Old Style" w:hAnsi="Bookman Old Style"/>
          <w:i/>
          <w:sz w:val="22"/>
          <w:szCs w:val="22"/>
        </w:rPr>
        <w:t xml:space="preserve"> neto, hay que instalar 37 </w:t>
      </w:r>
      <w:proofErr w:type="spellStart"/>
      <w:r w:rsidRPr="00F71C1E">
        <w:rPr>
          <w:rFonts w:ascii="Bookman Old Style" w:hAnsi="Bookman Old Style"/>
          <w:i/>
          <w:sz w:val="22"/>
          <w:szCs w:val="22"/>
        </w:rPr>
        <w:t>MWh</w:t>
      </w:r>
      <w:proofErr w:type="spellEnd"/>
      <w:r w:rsidRPr="00F71C1E">
        <w:rPr>
          <w:rFonts w:ascii="Bookman Old Style" w:hAnsi="Bookman Old Style"/>
          <w:i/>
          <w:sz w:val="22"/>
          <w:szCs w:val="22"/>
        </w:rPr>
        <w:t xml:space="preserve"> bruto:</w:t>
      </w:r>
    </w:p>
    <w:p w14:paraId="142C0BA6" w14:textId="77777777" w:rsidR="00B74F72" w:rsidRPr="00F7418C" w:rsidRDefault="00B74F72" w:rsidP="00733E3B">
      <w:pPr>
        <w:pStyle w:val="Textodebloque"/>
        <w:ind w:right="6"/>
        <w:contextualSpacing/>
        <w:rPr>
          <w:rFonts w:ascii="Bookman Old Style" w:hAnsi="Bookman Old Style"/>
          <w:sz w:val="22"/>
          <w:szCs w:val="22"/>
        </w:rPr>
      </w:pPr>
    </w:p>
    <w:p w14:paraId="019CFC7D" w14:textId="14CD6235" w:rsidR="00BC52A7" w:rsidRPr="00F7418C" w:rsidRDefault="00BC52A7" w:rsidP="00733E3B">
      <w:pPr>
        <w:pStyle w:val="Textodebloque"/>
        <w:ind w:right="6"/>
        <w:contextualSpacing/>
        <w:jc w:val="center"/>
        <w:rPr>
          <w:rFonts w:ascii="Bookman Old Style" w:hAnsi="Bookman Old Style"/>
          <w:b/>
          <w:i/>
          <w:sz w:val="22"/>
          <w:szCs w:val="22"/>
        </w:rPr>
      </w:pPr>
      <w:r w:rsidRPr="00F7418C">
        <w:rPr>
          <w:rFonts w:ascii="Bookman Old Style" w:hAnsi="Bookman Old Style"/>
          <w:b/>
          <w:i/>
          <w:sz w:val="22"/>
          <w:szCs w:val="22"/>
        </w:rPr>
        <w:t xml:space="preserve">37MWh x 90% </w:t>
      </w:r>
      <w:proofErr w:type="spellStart"/>
      <w:r w:rsidRPr="00F7418C">
        <w:rPr>
          <w:rFonts w:ascii="Bookman Old Style" w:hAnsi="Bookman Old Style"/>
          <w:b/>
          <w:i/>
          <w:sz w:val="22"/>
          <w:szCs w:val="22"/>
        </w:rPr>
        <w:t>DoD</w:t>
      </w:r>
      <w:proofErr w:type="spellEnd"/>
      <w:r w:rsidRPr="00F7418C">
        <w:rPr>
          <w:rFonts w:ascii="Bookman Old Style" w:hAnsi="Bookman Old Style"/>
          <w:b/>
          <w:i/>
          <w:sz w:val="22"/>
          <w:szCs w:val="22"/>
        </w:rPr>
        <w:t xml:space="preserve"> = 33.3 </w:t>
      </w:r>
      <w:proofErr w:type="spellStart"/>
      <w:r w:rsidRPr="00F7418C">
        <w:rPr>
          <w:rFonts w:ascii="Bookman Old Style" w:hAnsi="Bookman Old Style"/>
          <w:b/>
          <w:i/>
          <w:sz w:val="22"/>
          <w:szCs w:val="22"/>
        </w:rPr>
        <w:t>MWh</w:t>
      </w:r>
      <w:proofErr w:type="spellEnd"/>
    </w:p>
    <w:p w14:paraId="2EA51F43" w14:textId="77777777" w:rsidR="003268B5" w:rsidRPr="00F7418C" w:rsidRDefault="003268B5" w:rsidP="00733E3B">
      <w:pPr>
        <w:pStyle w:val="Textodebloque"/>
        <w:ind w:right="6"/>
        <w:contextualSpacing/>
        <w:rPr>
          <w:rFonts w:ascii="Bookman Old Style" w:hAnsi="Bookman Old Style"/>
          <w:i/>
          <w:sz w:val="22"/>
          <w:szCs w:val="22"/>
        </w:rPr>
      </w:pPr>
    </w:p>
    <w:p w14:paraId="752F88B5" w14:textId="152B0680"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Es de vital importancia poder tener una revisión a este criterio, ya que según la interpretación que le damos a la resolución, se entendería que solo se va a reconocer el precio de baterías para 33,3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 xml:space="preserve">, cuando para tener esa funcionalidad es necesario instalar (y realizar inversiones) de un sistema de 37 </w:t>
      </w:r>
      <w:proofErr w:type="spellStart"/>
      <w:r w:rsidRPr="00F7418C">
        <w:rPr>
          <w:rFonts w:ascii="Bookman Old Style" w:hAnsi="Bookman Old Style"/>
          <w:i/>
          <w:sz w:val="22"/>
          <w:szCs w:val="22"/>
        </w:rPr>
        <w:t>MWh</w:t>
      </w:r>
      <w:proofErr w:type="spellEnd"/>
      <w:r w:rsidRPr="00F7418C">
        <w:rPr>
          <w:rFonts w:ascii="Bookman Old Style" w:hAnsi="Bookman Old Style"/>
          <w:i/>
          <w:sz w:val="22"/>
          <w:szCs w:val="22"/>
        </w:rPr>
        <w:t>.</w:t>
      </w:r>
    </w:p>
    <w:p w14:paraId="4FA361DB" w14:textId="77777777" w:rsidR="00A24A6B" w:rsidRPr="00F7418C" w:rsidRDefault="00A24A6B" w:rsidP="00733E3B">
      <w:pPr>
        <w:pStyle w:val="Textodebloque"/>
        <w:ind w:right="6"/>
        <w:contextualSpacing/>
        <w:rPr>
          <w:rFonts w:ascii="Bookman Old Style" w:hAnsi="Bookman Old Style"/>
          <w:i/>
          <w:sz w:val="22"/>
          <w:szCs w:val="22"/>
        </w:rPr>
      </w:pPr>
    </w:p>
    <w:p w14:paraId="3B9C7A65" w14:textId="77777777"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Adicionalmente, también recomendamos que puedan considerar que el precio de las baterías ha aumentado significativamente en el último año, como se puede ver en la curva adjunta y en el siguiente enlace:</w:t>
      </w:r>
    </w:p>
    <w:p w14:paraId="0A331936" w14:textId="77777777" w:rsidR="00DA00CD" w:rsidRPr="00F7418C" w:rsidRDefault="00DA00CD" w:rsidP="00733E3B">
      <w:pPr>
        <w:pStyle w:val="Textodebloque"/>
        <w:ind w:right="6"/>
        <w:contextualSpacing/>
        <w:rPr>
          <w:rFonts w:ascii="Bookman Old Style" w:hAnsi="Bookman Old Style"/>
          <w:i/>
          <w:sz w:val="22"/>
          <w:szCs w:val="22"/>
        </w:rPr>
      </w:pPr>
    </w:p>
    <w:p w14:paraId="6A65099D" w14:textId="01813912" w:rsidR="00DA00CD" w:rsidRPr="00F7418C" w:rsidRDefault="00E046CE" w:rsidP="00E046CE">
      <w:pPr>
        <w:pStyle w:val="Textodebloque"/>
        <w:ind w:right="6"/>
        <w:contextualSpacing/>
        <w:jc w:val="center"/>
        <w:rPr>
          <w:rFonts w:ascii="Bookman Old Style" w:hAnsi="Bookman Old Style"/>
          <w:i/>
          <w:sz w:val="22"/>
          <w:szCs w:val="22"/>
        </w:rPr>
      </w:pPr>
      <w:r w:rsidRPr="00F7418C">
        <w:rPr>
          <w:rFonts w:ascii="Bookman Old Style" w:hAnsi="Bookman Old Style"/>
          <w:i/>
          <w:sz w:val="22"/>
          <w:szCs w:val="22"/>
        </w:rPr>
        <w:t>https://tradingeconomics.com/commodity/lith</w:t>
      </w:r>
    </w:p>
    <w:p w14:paraId="37983D49" w14:textId="77777777" w:rsidR="00DA00CD" w:rsidRPr="00F7418C" w:rsidRDefault="00DA00CD" w:rsidP="00733E3B">
      <w:pPr>
        <w:pStyle w:val="Textodebloque"/>
        <w:ind w:right="6"/>
        <w:contextualSpacing/>
        <w:rPr>
          <w:rFonts w:ascii="Bookman Old Style" w:hAnsi="Bookman Old Style"/>
          <w:i/>
          <w:sz w:val="22"/>
          <w:szCs w:val="22"/>
        </w:rPr>
      </w:pPr>
    </w:p>
    <w:p w14:paraId="5CFA6A9D" w14:textId="00D80C8B" w:rsidR="00BC52A7" w:rsidRPr="00F7418C" w:rsidRDefault="00BC52A7" w:rsidP="00733E3B">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 xml:space="preserve">1.3 TASA </w:t>
      </w:r>
      <w:r w:rsidR="00A24A6B" w:rsidRPr="00F7418C">
        <w:rPr>
          <w:rFonts w:ascii="Bookman Old Style" w:hAnsi="Bookman Old Style"/>
          <w:b/>
          <w:i/>
          <w:sz w:val="22"/>
          <w:szCs w:val="22"/>
        </w:rPr>
        <w:t xml:space="preserve">REPRESENTATIVA </w:t>
      </w:r>
      <w:r w:rsidRPr="00F7418C">
        <w:rPr>
          <w:rFonts w:ascii="Bookman Old Style" w:hAnsi="Bookman Old Style"/>
          <w:b/>
          <w:i/>
          <w:sz w:val="22"/>
          <w:szCs w:val="22"/>
        </w:rPr>
        <w:t>DEL MERCADO (TRM)</w:t>
      </w:r>
      <w:r w:rsidR="0014441A" w:rsidRPr="00F7418C">
        <w:rPr>
          <w:rFonts w:ascii="Bookman Old Style" w:hAnsi="Bookman Old Style"/>
          <w:i/>
          <w:sz w:val="22"/>
          <w:szCs w:val="22"/>
        </w:rPr>
        <w:t xml:space="preserve"> (</w:t>
      </w:r>
      <w:r w:rsidR="0014441A" w:rsidRPr="00F7418C">
        <w:rPr>
          <w:rFonts w:ascii="Bookman Old Style" w:hAnsi="Bookman Old Style"/>
          <w:sz w:val="22"/>
          <w:szCs w:val="22"/>
        </w:rPr>
        <w:t>sic)</w:t>
      </w:r>
      <w:r w:rsidRPr="00F7418C">
        <w:rPr>
          <w:rFonts w:ascii="Bookman Old Style" w:hAnsi="Bookman Old Style"/>
          <w:b/>
          <w:i/>
          <w:sz w:val="22"/>
          <w:szCs w:val="22"/>
        </w:rPr>
        <w:t>:</w:t>
      </w:r>
    </w:p>
    <w:p w14:paraId="0DD8FB28" w14:textId="77777777" w:rsidR="00BC52A7" w:rsidRPr="00F7418C" w:rsidRDefault="00BC52A7" w:rsidP="00733E3B">
      <w:pPr>
        <w:pStyle w:val="Textodebloque"/>
        <w:ind w:right="6"/>
        <w:contextualSpacing/>
        <w:rPr>
          <w:rFonts w:ascii="Bookman Old Style" w:hAnsi="Bookman Old Style"/>
          <w:i/>
          <w:sz w:val="22"/>
          <w:szCs w:val="22"/>
        </w:rPr>
      </w:pPr>
    </w:p>
    <w:p w14:paraId="5827D325" w14:textId="069360AB" w:rsidR="00BC52A7" w:rsidRPr="00F7418C" w:rsidRDefault="00BC52A7" w:rsidP="2A0EE497">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Es de vital importancia, realizar una revisión a la </w:t>
      </w:r>
      <w:bookmarkStart w:id="2" w:name="_Int_4boCidrs"/>
      <w:r w:rsidRPr="00F7418C">
        <w:rPr>
          <w:rFonts w:ascii="Bookman Old Style" w:hAnsi="Bookman Old Style"/>
          <w:i/>
          <w:sz w:val="22"/>
          <w:szCs w:val="22"/>
        </w:rPr>
        <w:t>TRM</w:t>
      </w:r>
      <w:bookmarkEnd w:id="2"/>
      <w:r w:rsidRPr="00F7418C">
        <w:rPr>
          <w:rFonts w:ascii="Bookman Old Style" w:hAnsi="Bookman Old Style"/>
          <w:i/>
          <w:sz w:val="22"/>
          <w:szCs w:val="22"/>
        </w:rPr>
        <w:t>, pese a que la CREG realizó un ajuste a la TRM utilizada en la solicitud de cargos (marzo 2021), esta sigue siendo inferior de la TRM actual, dado que han transcurrido 15 meses desde el momento en que se radicó la solicitud y se definen los cargos, tiempo en el que la TRM está expuesta a una cantidad de externalidades macroeconómicas sobre las cuales, nadie tiene control.</w:t>
      </w:r>
    </w:p>
    <w:p w14:paraId="0ADC1354" w14:textId="77777777" w:rsidR="00BC52A7" w:rsidRPr="00F7418C" w:rsidRDefault="00BC52A7" w:rsidP="00733E3B">
      <w:pPr>
        <w:pStyle w:val="Textodebloque"/>
        <w:ind w:right="6"/>
        <w:contextualSpacing/>
        <w:rPr>
          <w:rFonts w:ascii="Bookman Old Style" w:hAnsi="Bookman Old Style"/>
          <w:i/>
          <w:sz w:val="22"/>
          <w:szCs w:val="22"/>
        </w:rPr>
      </w:pPr>
    </w:p>
    <w:p w14:paraId="37DE2BAC" w14:textId="77777777"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Así las cosas, proponemos a la CREG, que en el cálculo se utilice la TRM promedio de los últimos 6 meses y no la considerada en sus estimaciones, pues corresponde a datos del año 2021, lejanos de la nueva realidad.</w:t>
      </w:r>
    </w:p>
    <w:p w14:paraId="3A26BBE8" w14:textId="77777777" w:rsidR="00C101D1" w:rsidRPr="00F7418C" w:rsidRDefault="00C101D1" w:rsidP="00733E3B">
      <w:pPr>
        <w:pStyle w:val="Textodebloque"/>
        <w:ind w:right="6"/>
        <w:contextualSpacing/>
        <w:rPr>
          <w:rFonts w:ascii="Bookman Old Style" w:hAnsi="Bookman Old Style"/>
          <w:i/>
          <w:sz w:val="22"/>
          <w:szCs w:val="22"/>
        </w:rPr>
      </w:pPr>
    </w:p>
    <w:p w14:paraId="613E3B20" w14:textId="2579510A"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Diciembre/2021 - Mayo/2022.</w:t>
      </w:r>
    </w:p>
    <w:p w14:paraId="2B6F2C11" w14:textId="77777777" w:rsidR="00BC52A7" w:rsidRPr="00F7418C" w:rsidRDefault="00BC52A7" w:rsidP="00733E3B">
      <w:pPr>
        <w:pStyle w:val="Textodebloque"/>
        <w:ind w:right="6"/>
        <w:contextualSpacing/>
        <w:rPr>
          <w:rFonts w:ascii="Bookman Old Style" w:hAnsi="Bookman Old Style"/>
          <w:i/>
          <w:sz w:val="22"/>
          <w:szCs w:val="22"/>
        </w:rPr>
      </w:pPr>
    </w:p>
    <w:p w14:paraId="62FA622A" w14:textId="77777777"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Este caso es el más cercano a la tendencia actual del mercado de divisas, y es un poco más alto que el considerado por en la resolución. Por lo que recomendamos que se utilice 'indicativo 3.920 COP/USD.</w:t>
      </w:r>
    </w:p>
    <w:p w14:paraId="41DFF879" w14:textId="77777777" w:rsidR="00733E3B" w:rsidRPr="00F7418C" w:rsidRDefault="00733E3B" w:rsidP="00733E3B">
      <w:pPr>
        <w:pStyle w:val="Textodebloque"/>
        <w:ind w:right="6"/>
        <w:contextualSpacing/>
        <w:rPr>
          <w:rFonts w:ascii="Bookman Old Style" w:hAnsi="Bookman Old Style"/>
          <w:sz w:val="22"/>
          <w:szCs w:val="22"/>
        </w:rPr>
      </w:pPr>
    </w:p>
    <w:p w14:paraId="3A94C4DE" w14:textId="05D11A05" w:rsidR="00BC52A7" w:rsidRPr="00F7418C" w:rsidRDefault="00BC52A7" w:rsidP="00733E3B">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1.4 DEGRADACIÓN DE LAS BATERÍAS:</w:t>
      </w:r>
    </w:p>
    <w:p w14:paraId="785149CB" w14:textId="77777777" w:rsidR="00BC52A7" w:rsidRPr="00F7418C" w:rsidRDefault="00BC52A7" w:rsidP="00733E3B">
      <w:pPr>
        <w:pStyle w:val="Textodebloque"/>
        <w:ind w:right="6"/>
        <w:contextualSpacing/>
        <w:rPr>
          <w:rFonts w:ascii="Bookman Old Style" w:hAnsi="Bookman Old Style"/>
          <w:sz w:val="22"/>
          <w:szCs w:val="22"/>
        </w:rPr>
      </w:pPr>
    </w:p>
    <w:p w14:paraId="12ADE844" w14:textId="77777777" w:rsidR="00BC52A7" w:rsidRPr="00F7418C" w:rsidRDefault="00BC52A7" w:rsidP="00733E3B">
      <w:pPr>
        <w:pStyle w:val="Textodebloque"/>
        <w:ind w:right="6"/>
        <w:contextualSpacing/>
        <w:rPr>
          <w:rFonts w:ascii="Bookman Old Style" w:hAnsi="Bookman Old Style"/>
          <w:i/>
          <w:sz w:val="22"/>
          <w:szCs w:val="22"/>
        </w:rPr>
      </w:pPr>
      <w:r w:rsidRPr="00F7418C">
        <w:rPr>
          <w:rFonts w:ascii="Bookman Old Style" w:hAnsi="Bookman Old Style"/>
          <w:i/>
          <w:sz w:val="22"/>
          <w:szCs w:val="22"/>
        </w:rPr>
        <w:t>En la resolución nos encontramos un panorama que tiende a ser más optimista si lo comparamos con la degradación que van a presentar las baterías. La eficiencia de las baterías decae rápidamente, llegando al 67,9% en el año 15</w:t>
      </w:r>
    </w:p>
    <w:p w14:paraId="51AE2E57" w14:textId="77777777" w:rsidR="00163721" w:rsidRPr="00F7418C" w:rsidRDefault="00163721" w:rsidP="00733E3B">
      <w:pPr>
        <w:pStyle w:val="Textodebloque"/>
        <w:ind w:right="6"/>
        <w:contextualSpacing/>
        <w:rPr>
          <w:rFonts w:ascii="Bookman Old Style" w:hAnsi="Bookman Old Style"/>
          <w:i/>
          <w:sz w:val="22"/>
          <w:szCs w:val="22"/>
        </w:rPr>
      </w:pPr>
    </w:p>
    <w:p w14:paraId="36439CC1" w14:textId="7636B97B" w:rsidR="005E30D0" w:rsidRPr="00F7418C" w:rsidRDefault="005E30D0" w:rsidP="005E30D0">
      <w:pPr>
        <w:pStyle w:val="Textodebloque"/>
        <w:ind w:left="284" w:right="6"/>
        <w:contextualSpacing/>
        <w:jc w:val="center"/>
        <w:rPr>
          <w:rFonts w:ascii="Bookman Old Style" w:hAnsi="Bookman Old Style"/>
          <w:sz w:val="22"/>
          <w:szCs w:val="22"/>
        </w:rPr>
      </w:pPr>
      <w:r w:rsidRPr="00F7418C">
        <w:rPr>
          <w:rFonts w:ascii="Bookman Old Style" w:eastAsia="Tahoma" w:hAnsi="Bookman Old Style" w:cs="Tahoma"/>
          <w:i/>
          <w:noProof/>
          <w:sz w:val="22"/>
          <w:szCs w:val="22"/>
          <w:lang w:val="es-CO" w:eastAsia="es-CO"/>
        </w:rPr>
        <w:drawing>
          <wp:inline distT="0" distB="0" distL="0" distR="0" wp14:anchorId="2C7687DD" wp14:editId="09ECD345">
            <wp:extent cx="2133600" cy="294449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944495"/>
                    </a:xfrm>
                    <a:prstGeom prst="rect">
                      <a:avLst/>
                    </a:prstGeom>
                    <a:noFill/>
                  </pic:spPr>
                </pic:pic>
              </a:graphicData>
            </a:graphic>
          </wp:inline>
        </w:drawing>
      </w:r>
    </w:p>
    <w:p w14:paraId="16175EC1" w14:textId="77777777" w:rsidR="00753A32"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Esto significa que la cantidad de energía que se puede vender proveniente del sistema de almacenamiento durante su vida útil es menor que la considerada por la CREG en el documento técnico que soporta la resolución, por lo tanto, vemos necesario también solicitar la verificación a este punto en particular.</w:t>
      </w:r>
    </w:p>
    <w:p w14:paraId="617E44D2" w14:textId="77777777" w:rsidR="00753A32" w:rsidRPr="00F7418C" w:rsidRDefault="00753A32" w:rsidP="00753A32">
      <w:pPr>
        <w:pStyle w:val="Textodebloque"/>
        <w:ind w:right="6"/>
        <w:contextualSpacing/>
        <w:rPr>
          <w:rFonts w:ascii="Bookman Old Style" w:hAnsi="Bookman Old Style"/>
          <w:i/>
          <w:sz w:val="22"/>
          <w:szCs w:val="22"/>
        </w:rPr>
      </w:pPr>
    </w:p>
    <w:p w14:paraId="7F716DFB" w14:textId="199AC4D8" w:rsidR="00BC52A7" w:rsidRPr="00F7418C" w:rsidRDefault="00BC52A7" w:rsidP="00753A32">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1.5 PRECIO DE LOS INSUMOS:</w:t>
      </w:r>
    </w:p>
    <w:p w14:paraId="0F0AED86" w14:textId="77777777" w:rsidR="00753A32" w:rsidRPr="00F7418C" w:rsidRDefault="00753A32" w:rsidP="00753A32">
      <w:pPr>
        <w:pStyle w:val="Textodebloque"/>
        <w:ind w:right="6"/>
        <w:contextualSpacing/>
        <w:rPr>
          <w:rFonts w:ascii="Bookman Old Style" w:hAnsi="Bookman Old Style"/>
          <w:i/>
          <w:sz w:val="22"/>
          <w:szCs w:val="22"/>
        </w:rPr>
      </w:pPr>
    </w:p>
    <w:p w14:paraId="3D954346" w14:textId="4423088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Es importante que la CREG se permita considerar y tener presente el incremento de los precios de las materias primas, que se ha generado en estos quince (15) meses de trámite de la Resolución, lo cual, ha impactado directamente el costo del proyecto actualmente, por lo que requerimos que sea reajustado en el cálculo del componente de inversión, los nuevos precios de los componentes de mayor peso en el proyecto, esto es: baterías y paneles solares.</w:t>
      </w:r>
    </w:p>
    <w:p w14:paraId="2242AF78" w14:textId="77777777" w:rsidR="00BC52A7" w:rsidRPr="00F7418C" w:rsidRDefault="00BC52A7" w:rsidP="00753A32">
      <w:pPr>
        <w:pStyle w:val="Textodebloque"/>
        <w:ind w:right="6"/>
        <w:contextualSpacing/>
        <w:rPr>
          <w:rFonts w:ascii="Bookman Old Style" w:hAnsi="Bookman Old Style"/>
          <w:i/>
          <w:sz w:val="22"/>
          <w:szCs w:val="22"/>
        </w:rPr>
      </w:pPr>
    </w:p>
    <w:p w14:paraId="73525CAB"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Tenemos cotizaciones actualizada de los proveedores que cotizaron equipos para el proyecto hace más de un año, encontrando que se han presentado incrementos en costos del siguiente orden:</w:t>
      </w:r>
    </w:p>
    <w:p w14:paraId="39B9F04D" w14:textId="77777777" w:rsidR="00BC52A7" w:rsidRPr="00F7418C" w:rsidRDefault="00BC52A7" w:rsidP="00694060">
      <w:pPr>
        <w:pStyle w:val="Textodebloque"/>
        <w:tabs>
          <w:tab w:val="left" w:pos="708"/>
          <w:tab w:val="left" w:pos="1416"/>
          <w:tab w:val="left" w:pos="2124"/>
          <w:tab w:val="center" w:pos="4961"/>
        </w:tabs>
        <w:ind w:right="6"/>
        <w:contextualSpacing/>
        <w:rPr>
          <w:rFonts w:ascii="Bookman Old Style" w:hAnsi="Bookman Old Style"/>
          <w:i/>
          <w:sz w:val="22"/>
          <w:szCs w:val="22"/>
        </w:rPr>
      </w:pPr>
      <w:r w:rsidRPr="00F7418C">
        <w:rPr>
          <w:rFonts w:ascii="Bookman Old Style" w:hAnsi="Bookman Old Style"/>
          <w:i/>
          <w:sz w:val="22"/>
          <w:szCs w:val="22"/>
        </w:rPr>
        <w:t>•</w:t>
      </w:r>
      <w:r w:rsidRPr="00F7418C">
        <w:rPr>
          <w:rFonts w:ascii="Bookman Old Style" w:hAnsi="Bookman Old Style"/>
          <w:i/>
          <w:sz w:val="22"/>
          <w:szCs w:val="22"/>
        </w:rPr>
        <w:tab/>
        <w:t>Baterías: +18.4%</w:t>
      </w:r>
    </w:p>
    <w:p w14:paraId="2D448E45"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w:t>
      </w:r>
      <w:r w:rsidRPr="00F7418C">
        <w:rPr>
          <w:rFonts w:ascii="Bookman Old Style" w:hAnsi="Bookman Old Style"/>
          <w:i/>
          <w:sz w:val="22"/>
          <w:szCs w:val="22"/>
        </w:rPr>
        <w:tab/>
        <w:t>Paneles: +16.6%</w:t>
      </w:r>
    </w:p>
    <w:p w14:paraId="3A12ADCE" w14:textId="77777777" w:rsidR="00BC52A7" w:rsidRPr="00F7418C" w:rsidRDefault="00BC52A7" w:rsidP="00753A32">
      <w:pPr>
        <w:pStyle w:val="Textodebloque"/>
        <w:ind w:right="6"/>
        <w:contextualSpacing/>
        <w:rPr>
          <w:rFonts w:ascii="Bookman Old Style" w:hAnsi="Bookman Old Style"/>
          <w:i/>
          <w:sz w:val="22"/>
          <w:szCs w:val="22"/>
        </w:rPr>
      </w:pPr>
    </w:p>
    <w:p w14:paraId="79A28F46"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Dado lo anterior, amablemente solicitamos puedan analizar los puntos mencionados, con el fin de precisar el cálculo sobre el cual se definieron los cargos de inversión y AOM del sistema de almacenamiento de energía.</w:t>
      </w:r>
    </w:p>
    <w:p w14:paraId="193340AE" w14:textId="77777777" w:rsidR="00CC071C" w:rsidRPr="00F7418C" w:rsidRDefault="00CC071C" w:rsidP="00753A32">
      <w:pPr>
        <w:pStyle w:val="Textodebloque"/>
        <w:ind w:right="6"/>
        <w:contextualSpacing/>
        <w:rPr>
          <w:rFonts w:ascii="Bookman Old Style" w:hAnsi="Bookman Old Style"/>
          <w:i/>
          <w:sz w:val="22"/>
          <w:szCs w:val="22"/>
        </w:rPr>
      </w:pPr>
    </w:p>
    <w:p w14:paraId="244B6A5B" w14:textId="77777777" w:rsidR="00BC52A7" w:rsidRPr="00F7418C" w:rsidRDefault="00BC52A7" w:rsidP="00753A32">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2. LA CREG DEBE MODIFICAR LAS TARIFAS O COMPONENTES CALCULADOS PARA NO PONER EN RIESGO LA ESTABILIDAD FINANCIERA DE LA PRESTACIÓN DEL SERVICIO.</w:t>
      </w:r>
    </w:p>
    <w:p w14:paraId="7C3BF54E" w14:textId="77777777" w:rsidR="00BC52A7" w:rsidRPr="00F7418C" w:rsidRDefault="00BC52A7" w:rsidP="00753A32">
      <w:pPr>
        <w:pStyle w:val="Textodebloque"/>
        <w:ind w:right="6"/>
        <w:contextualSpacing/>
        <w:rPr>
          <w:rFonts w:ascii="Bookman Old Style" w:hAnsi="Bookman Old Style"/>
          <w:b/>
          <w:i/>
          <w:sz w:val="22"/>
          <w:szCs w:val="22"/>
        </w:rPr>
      </w:pPr>
    </w:p>
    <w:p w14:paraId="233E9FC8" w14:textId="450753DE"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Como se vio con anterioridad, diversas externalidades han afectado de manera sustancial el valor de los cargos aprobados. por la </w:t>
      </w:r>
      <w:r w:rsidR="00C93722" w:rsidRPr="00F7418C">
        <w:rPr>
          <w:rFonts w:ascii="Bookman Old Style" w:hAnsi="Bookman Old Style"/>
          <w:i/>
          <w:sz w:val="22"/>
          <w:szCs w:val="22"/>
        </w:rPr>
        <w:t>C</w:t>
      </w:r>
      <w:r w:rsidRPr="00F7418C">
        <w:rPr>
          <w:rFonts w:ascii="Bookman Old Style" w:hAnsi="Bookman Old Style"/>
          <w:i/>
          <w:sz w:val="22"/>
          <w:szCs w:val="22"/>
        </w:rPr>
        <w:t>REG</w:t>
      </w:r>
      <w:r w:rsidR="00800FDA" w:rsidRPr="00F7418C">
        <w:rPr>
          <w:rFonts w:ascii="Bookman Old Style" w:hAnsi="Bookman Old Style"/>
          <w:i/>
          <w:sz w:val="22"/>
          <w:szCs w:val="22"/>
        </w:rPr>
        <w:t xml:space="preserve"> </w:t>
      </w:r>
      <w:r w:rsidR="00800FDA" w:rsidRPr="00F7418C">
        <w:rPr>
          <w:rFonts w:ascii="Bookman Old Style" w:hAnsi="Bookman Old Style"/>
          <w:sz w:val="22"/>
          <w:szCs w:val="22"/>
        </w:rPr>
        <w:t>(sic)</w:t>
      </w:r>
      <w:r w:rsidRPr="00F7418C">
        <w:rPr>
          <w:rFonts w:ascii="Bookman Old Style" w:hAnsi="Bookman Old Style"/>
          <w:sz w:val="22"/>
          <w:szCs w:val="22"/>
        </w:rPr>
        <w:t>,</w:t>
      </w:r>
      <w:r w:rsidRPr="00F7418C">
        <w:rPr>
          <w:rFonts w:ascii="Bookman Old Style" w:hAnsi="Bookman Old Style"/>
          <w:i/>
          <w:sz w:val="22"/>
          <w:szCs w:val="22"/>
        </w:rPr>
        <w:t xml:space="preserve"> haciendo que devengan en insuficientes para garantizar la prestación continua del servicio. Esto, debido a que: i). Hubo mora administrativa de la </w:t>
      </w:r>
      <w:r w:rsidR="00C93722" w:rsidRPr="00F7418C">
        <w:rPr>
          <w:rFonts w:ascii="Bookman Old Style" w:hAnsi="Bookman Old Style"/>
          <w:i/>
          <w:sz w:val="22"/>
          <w:szCs w:val="22"/>
        </w:rPr>
        <w:t>C</w:t>
      </w:r>
      <w:r w:rsidRPr="00F7418C">
        <w:rPr>
          <w:rFonts w:ascii="Bookman Old Style" w:hAnsi="Bookman Old Style"/>
          <w:i/>
          <w:sz w:val="22"/>
          <w:szCs w:val="22"/>
        </w:rPr>
        <w:t>REG</w:t>
      </w:r>
      <w:r w:rsidR="00800FDA" w:rsidRPr="00F7418C">
        <w:rPr>
          <w:rFonts w:ascii="Bookman Old Style" w:hAnsi="Bookman Old Style"/>
          <w:i/>
          <w:sz w:val="22"/>
          <w:szCs w:val="22"/>
        </w:rPr>
        <w:t xml:space="preserve"> </w:t>
      </w:r>
      <w:r w:rsidR="00800FDA" w:rsidRPr="00F7418C">
        <w:rPr>
          <w:rFonts w:ascii="Bookman Old Style" w:hAnsi="Bookman Old Style"/>
          <w:sz w:val="22"/>
          <w:szCs w:val="22"/>
        </w:rPr>
        <w:t>(sic)</w:t>
      </w:r>
      <w:r w:rsidRPr="00F7418C">
        <w:rPr>
          <w:rFonts w:ascii="Bookman Old Style" w:hAnsi="Bookman Old Style"/>
          <w:sz w:val="22"/>
          <w:szCs w:val="22"/>
        </w:rPr>
        <w:t xml:space="preserve"> </w:t>
      </w:r>
      <w:r w:rsidRPr="00F7418C">
        <w:rPr>
          <w:rFonts w:ascii="Bookman Old Style" w:hAnsi="Bookman Old Style"/>
          <w:i/>
          <w:sz w:val="22"/>
          <w:szCs w:val="22"/>
        </w:rPr>
        <w:t>en resolver la determinación de los cargos, debido que el trámite duró aproximadamente un año y medio, haciendo que las inversiones se tuviesen que realizar en un</w:t>
      </w:r>
      <w:r w:rsidRPr="00F7418C">
        <w:rPr>
          <w:rFonts w:ascii="Bookman Old Style" w:hAnsi="Bookman Old Style"/>
          <w:sz w:val="22"/>
          <w:szCs w:val="22"/>
        </w:rPr>
        <w:t xml:space="preserve"> </w:t>
      </w:r>
      <w:r w:rsidRPr="00F7418C">
        <w:rPr>
          <w:rFonts w:ascii="Bookman Old Style" w:hAnsi="Bookman Old Style"/>
          <w:i/>
          <w:sz w:val="22"/>
          <w:szCs w:val="22"/>
        </w:rPr>
        <w:t xml:space="preserve">momento distinto al que inicialmente estaba planteado; y, </w:t>
      </w:r>
      <w:proofErr w:type="spellStart"/>
      <w:r w:rsidRPr="00F7418C">
        <w:rPr>
          <w:rFonts w:ascii="Bookman Old Style" w:hAnsi="Bookman Old Style"/>
          <w:i/>
          <w:sz w:val="22"/>
          <w:szCs w:val="22"/>
        </w:rPr>
        <w:t>ii</w:t>
      </w:r>
      <w:proofErr w:type="spellEnd"/>
      <w:r w:rsidRPr="00F7418C">
        <w:rPr>
          <w:rFonts w:ascii="Bookman Old Style" w:hAnsi="Bookman Old Style"/>
          <w:i/>
          <w:sz w:val="22"/>
          <w:szCs w:val="22"/>
        </w:rPr>
        <w:t>). El incremento en los valores de inversión generado por las externalidades hace que los cargos fijados por la CREG sean insuficientes para remunerar las inversiones. En consecuencia, procedemos a explicar los reparos previamente formulados, así:</w:t>
      </w:r>
    </w:p>
    <w:p w14:paraId="34848B9B" w14:textId="77777777" w:rsidR="00BC52A7" w:rsidRPr="00F7418C" w:rsidRDefault="00BC52A7" w:rsidP="00BC52A7">
      <w:pPr>
        <w:pStyle w:val="Textodebloque"/>
        <w:ind w:left="284" w:right="6"/>
        <w:contextualSpacing/>
        <w:rPr>
          <w:rFonts w:ascii="Bookman Old Style" w:hAnsi="Bookman Old Style"/>
          <w:sz w:val="22"/>
          <w:szCs w:val="22"/>
        </w:rPr>
      </w:pPr>
    </w:p>
    <w:p w14:paraId="5BEC8BE1" w14:textId="263DC061" w:rsidR="00BC52A7" w:rsidRPr="00F7418C" w:rsidRDefault="00BC52A7" w:rsidP="00753A32">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 xml:space="preserve">i De la mora administrativa por parte de la </w:t>
      </w:r>
      <w:r w:rsidR="00C93722" w:rsidRPr="00F7418C">
        <w:rPr>
          <w:rFonts w:ascii="Bookman Old Style" w:hAnsi="Bookman Old Style"/>
          <w:b/>
          <w:i/>
          <w:sz w:val="22"/>
          <w:szCs w:val="22"/>
        </w:rPr>
        <w:t>C</w:t>
      </w:r>
      <w:r w:rsidRPr="00F7418C">
        <w:rPr>
          <w:rFonts w:ascii="Bookman Old Style" w:hAnsi="Bookman Old Style"/>
          <w:b/>
          <w:i/>
          <w:sz w:val="22"/>
          <w:szCs w:val="22"/>
        </w:rPr>
        <w:t>REG</w:t>
      </w:r>
      <w:r w:rsidR="00800FDA" w:rsidRPr="00F7418C">
        <w:rPr>
          <w:rFonts w:ascii="Bookman Old Style" w:hAnsi="Bookman Old Style"/>
          <w:b/>
          <w:i/>
          <w:sz w:val="22"/>
          <w:szCs w:val="22"/>
        </w:rPr>
        <w:t xml:space="preserve"> </w:t>
      </w:r>
      <w:r w:rsidRPr="00F7418C">
        <w:rPr>
          <w:rFonts w:ascii="Bookman Old Style" w:hAnsi="Bookman Old Style"/>
          <w:b/>
          <w:i/>
          <w:sz w:val="22"/>
          <w:szCs w:val="22"/>
        </w:rPr>
        <w:t>en resolver la determinación de los cargos</w:t>
      </w:r>
      <w:r w:rsidR="00C93722" w:rsidRPr="00F7418C">
        <w:rPr>
          <w:rFonts w:ascii="Bookman Old Style" w:hAnsi="Bookman Old Style"/>
          <w:b/>
          <w:i/>
          <w:sz w:val="22"/>
          <w:szCs w:val="22"/>
        </w:rPr>
        <w:t xml:space="preserve"> </w:t>
      </w:r>
      <w:r w:rsidR="00C93722" w:rsidRPr="00F7418C">
        <w:rPr>
          <w:rFonts w:ascii="Bookman Old Style" w:hAnsi="Bookman Old Style"/>
          <w:sz w:val="22"/>
          <w:szCs w:val="22"/>
        </w:rPr>
        <w:t>(sic)</w:t>
      </w:r>
      <w:r w:rsidRPr="00F7418C">
        <w:rPr>
          <w:rFonts w:ascii="Bookman Old Style" w:hAnsi="Bookman Old Style"/>
          <w:b/>
          <w:i/>
          <w:sz w:val="22"/>
          <w:szCs w:val="22"/>
        </w:rPr>
        <w:t>.</w:t>
      </w:r>
    </w:p>
    <w:p w14:paraId="1CBF1706" w14:textId="77777777" w:rsidR="00BC52A7" w:rsidRPr="00F7418C" w:rsidRDefault="00BC52A7" w:rsidP="00753A32">
      <w:pPr>
        <w:pStyle w:val="Textodebloque"/>
        <w:ind w:right="6"/>
        <w:contextualSpacing/>
        <w:rPr>
          <w:rFonts w:ascii="Bookman Old Style" w:hAnsi="Bookman Old Style"/>
          <w:b/>
          <w:i/>
          <w:sz w:val="22"/>
          <w:szCs w:val="22"/>
        </w:rPr>
      </w:pPr>
    </w:p>
    <w:p w14:paraId="69E30450"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A este respecto, lo primero que ponemos de presente, es que la solicitud de aprobación de cargos por parte de GENSA S.A. E.S.P. fue formulada mediante comunicación con número de radicado CREG E-2021-003557 del 24 de marzo de 2021 y fue resuelta mediante documento CREG-501 005 del 17 de mayo de 2022, es decir, 15 meses después de la solicitud.</w:t>
      </w:r>
    </w:p>
    <w:p w14:paraId="452967AD" w14:textId="77777777" w:rsidR="00BC52A7" w:rsidRPr="00F7418C" w:rsidRDefault="00BC52A7" w:rsidP="00753A32">
      <w:pPr>
        <w:pStyle w:val="Textodebloque"/>
        <w:ind w:right="6"/>
        <w:contextualSpacing/>
        <w:rPr>
          <w:rFonts w:ascii="Bookman Old Style" w:hAnsi="Bookman Old Style"/>
          <w:i/>
          <w:sz w:val="22"/>
          <w:szCs w:val="22"/>
        </w:rPr>
      </w:pPr>
    </w:p>
    <w:p w14:paraId="607B1FED"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A este respecto, se resalta que el procedimiento aplicable a esta solicitud es el reglado en Capítulo 2 del Título VII de la Ley 142 de 1994, cuyo trámite está estimado para ser resuelto en aproximadamente seis (6) meses, incluyendo el periodo probatorio, tal y como lo dispone el artículo 111 de la mencionada Ley.</w:t>
      </w:r>
    </w:p>
    <w:p w14:paraId="6E84BD42"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Ahora bien, resulta pertinente aclarar que dicho procedimiento resulta aplicable en virtud de lo estipulado en el artículo 106 de la precitada Ley 142 de 1994, que indica:</w:t>
      </w:r>
    </w:p>
    <w:p w14:paraId="2570EA3F" w14:textId="77777777" w:rsidR="00753A32" w:rsidRPr="00F7418C" w:rsidRDefault="00753A32" w:rsidP="00753A32">
      <w:pPr>
        <w:pStyle w:val="Textodebloque"/>
        <w:ind w:right="6"/>
        <w:contextualSpacing/>
        <w:rPr>
          <w:rFonts w:ascii="Bookman Old Style" w:hAnsi="Bookman Old Style"/>
          <w:i/>
          <w:sz w:val="22"/>
          <w:szCs w:val="22"/>
        </w:rPr>
      </w:pPr>
    </w:p>
    <w:p w14:paraId="755D77F9" w14:textId="4BF231E5"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"Las reglas de este capítulo se aplicarán en todos aquellos procedimientos de las autoridades que tengan el propósito de producir los actos administrativos unilaterales a que dé origen el cumplimiento de la presente Ley, y que no hayan sido objeto de normas especiales. "</w:t>
      </w:r>
    </w:p>
    <w:p w14:paraId="1DD073FC" w14:textId="77777777" w:rsidR="00BC52A7" w:rsidRPr="00F7418C" w:rsidRDefault="00BC52A7" w:rsidP="00753A32">
      <w:pPr>
        <w:pStyle w:val="Textodebloque"/>
        <w:ind w:right="6"/>
        <w:contextualSpacing/>
        <w:rPr>
          <w:rFonts w:ascii="Bookman Old Style" w:hAnsi="Bookman Old Style"/>
          <w:i/>
          <w:sz w:val="22"/>
          <w:szCs w:val="22"/>
        </w:rPr>
      </w:pPr>
    </w:p>
    <w:p w14:paraId="60FE4D02"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Así las cosas, dada la tardanza en que incurrió la CREG para resolver la solicitud de aprobación de cargos formulada por GENSA S.A. E.S.P. la CREG incurrió en una mora administrativa que abrió la puerta para que externalidades como: los sobre costos en el precio de importación de las mercancías, el incremento en la tasa de cambio y las deficiencias en la cadena de producción afectaran dé manera sustancial el valor de las inversiones y, por tanto, de la remuneración establecida por la CREG.</w:t>
      </w:r>
    </w:p>
    <w:p w14:paraId="16011747" w14:textId="77777777" w:rsidR="00753A32" w:rsidRPr="00F7418C" w:rsidRDefault="00753A32" w:rsidP="00753A32">
      <w:pPr>
        <w:pStyle w:val="Textodebloque"/>
        <w:ind w:right="6"/>
        <w:contextualSpacing/>
        <w:rPr>
          <w:rFonts w:ascii="Bookman Old Style" w:hAnsi="Bookman Old Style"/>
          <w:i/>
          <w:sz w:val="22"/>
          <w:szCs w:val="22"/>
        </w:rPr>
      </w:pPr>
    </w:p>
    <w:p w14:paraId="16DD23FD" w14:textId="77D7345F"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Respecto de este fenómeno de la mora administrativa, anotamos que, en este caso, se configuró como incumplimiento del deber de proferir una decisión de carácter administrativo en tiempo, lo cual no puede conllevar a que sus efectos nocivos recaigan sobre el administrado quien es víctima de tal comportamiento. La demora en la emisión de una decisión de carácter administrativo generó graves afectaciones a GENSA S.A. E.S.P., que no le pueden ser trasladadas por parte de la Administración.</w:t>
      </w:r>
    </w:p>
    <w:p w14:paraId="3CBA67B8" w14:textId="77777777" w:rsidR="00BC52A7" w:rsidRPr="00F7418C" w:rsidRDefault="00BC52A7" w:rsidP="00753A32">
      <w:pPr>
        <w:pStyle w:val="Textodebloque"/>
        <w:ind w:right="6"/>
        <w:contextualSpacing/>
        <w:rPr>
          <w:rFonts w:ascii="Bookman Old Style" w:hAnsi="Bookman Old Style"/>
          <w:i/>
          <w:sz w:val="22"/>
          <w:szCs w:val="22"/>
        </w:rPr>
      </w:pPr>
    </w:p>
    <w:p w14:paraId="5629CA45"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En este orden de ideas, resulta necesario indicar que, a consideración de la Honorable Corte Constitucional, las demoras injustificadas de los Despachos judiciales frente a la resolución de los casos que son puestos a su consideración constituyen una verdadera vulneración a los derechos fundamentales al debido proceso y el acceso a la administración de justicia, al configurarse lo que la mencionada Corporación ha denominado como "Mora Judicial'. Si bien, este fenómeno ha sido conceptualizado de manera inicial hacia actuaciones de tipo judicial, no debe olvidarse que, la Jurisprudencia Nacional, proferida por el Honorable Consejo de Estado ha precisado que, los criterios necesarios para verificar la existencia de mora judicial, también son aplicables para que se configure la mora de las autoridades administrativas: "habida cuenta que la administración pública en desarrollo de sus competencias debe igualmente pronunciarse en término respecto de las actuaciones que surte, la tardanza en resolverlas se justifica bajo estos mismos criterios.</w:t>
      </w:r>
    </w:p>
    <w:p w14:paraId="1C419D66" w14:textId="77777777" w:rsidR="00BC52A7" w:rsidRPr="00F7418C" w:rsidRDefault="00BC52A7" w:rsidP="00753A32">
      <w:pPr>
        <w:pStyle w:val="Textodebloque"/>
        <w:ind w:right="6"/>
        <w:contextualSpacing/>
        <w:rPr>
          <w:rFonts w:ascii="Bookman Old Style" w:hAnsi="Bookman Old Style"/>
          <w:i/>
          <w:sz w:val="22"/>
          <w:szCs w:val="22"/>
        </w:rPr>
      </w:pPr>
    </w:p>
    <w:p w14:paraId="1C400DDA"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Sobre esto, en reciente Sentencia de Unificación, se ha dicho que la "Mora Judicial", y, por lo tanto, al tenor de lo dicho, la Mora administrativa se configura al concurrir tres (3) supuestos, a saber:</w:t>
      </w:r>
    </w:p>
    <w:p w14:paraId="606015B9" w14:textId="77777777" w:rsidR="00BC52A7" w:rsidRPr="00F7418C" w:rsidRDefault="00BC52A7" w:rsidP="00753A32">
      <w:pPr>
        <w:pStyle w:val="Textodebloque"/>
        <w:ind w:right="6"/>
        <w:contextualSpacing/>
        <w:rPr>
          <w:rFonts w:ascii="Bookman Old Style" w:hAnsi="Bookman Old Style"/>
          <w:sz w:val="22"/>
          <w:szCs w:val="22"/>
        </w:rPr>
      </w:pPr>
    </w:p>
    <w:p w14:paraId="612E3684"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"(i) se presenta un incumplimiento de los términos señalados en la ley para adelantar alguna actuación judicial; (</w:t>
      </w:r>
      <w:proofErr w:type="spellStart"/>
      <w:r w:rsidRPr="00F7418C">
        <w:rPr>
          <w:rFonts w:ascii="Bookman Old Style" w:hAnsi="Bookman Old Style"/>
          <w:i/>
          <w:sz w:val="22"/>
          <w:szCs w:val="22"/>
        </w:rPr>
        <w:t>ii</w:t>
      </w:r>
      <w:proofErr w:type="spellEnd"/>
      <w:r w:rsidRPr="00F7418C">
        <w:rPr>
          <w:rFonts w:ascii="Bookman Old Style" w:hAnsi="Bookman Old Style"/>
          <w:i/>
          <w:sz w:val="22"/>
          <w:szCs w:val="22"/>
        </w:rPr>
        <w:t>) no existe un motivo razonable que justifique dicha demora, como lo es la congestión judicial o el volumen de trabajo; y (</w:t>
      </w:r>
      <w:proofErr w:type="spellStart"/>
      <w:r w:rsidRPr="00F7418C">
        <w:rPr>
          <w:rFonts w:ascii="Bookman Old Style" w:hAnsi="Bookman Old Style"/>
          <w:i/>
          <w:sz w:val="22"/>
          <w:szCs w:val="22"/>
        </w:rPr>
        <w:t>iii</w:t>
      </w:r>
      <w:proofErr w:type="spellEnd"/>
      <w:r w:rsidRPr="00F7418C">
        <w:rPr>
          <w:rFonts w:ascii="Bookman Old Style" w:hAnsi="Bookman Old Style"/>
          <w:i/>
          <w:sz w:val="22"/>
          <w:szCs w:val="22"/>
        </w:rPr>
        <w:t>) la tardanza es imputable a la omisión en el cumplimiento de las funciones por parte de una autoridad judicial."</w:t>
      </w:r>
    </w:p>
    <w:p w14:paraId="44EE5DC3" w14:textId="1965DA5C" w:rsidR="00BC52A7" w:rsidRPr="00F7418C" w:rsidRDefault="00BC52A7" w:rsidP="00753A32">
      <w:pPr>
        <w:pStyle w:val="Textodebloque"/>
        <w:ind w:right="6"/>
        <w:contextualSpacing/>
        <w:rPr>
          <w:rFonts w:ascii="Bookman Old Style" w:hAnsi="Bookman Old Style"/>
          <w:i/>
          <w:sz w:val="22"/>
          <w:szCs w:val="22"/>
        </w:rPr>
      </w:pPr>
    </w:p>
    <w:p w14:paraId="078FECB1"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Elementos que en el caso del trámite resuelto mediante documento CREG-501 005 del 17 de mayo de 2022 se configuraron, puesto que: (i). se incumplió el término previsto en el artículo 111 de la Ley 142 de 1994, correspondiente a cinco (5) meses; (</w:t>
      </w:r>
      <w:proofErr w:type="spellStart"/>
      <w:r w:rsidRPr="00F7418C">
        <w:rPr>
          <w:rFonts w:ascii="Bookman Old Style" w:hAnsi="Bookman Old Style"/>
          <w:i/>
          <w:sz w:val="22"/>
          <w:szCs w:val="22"/>
        </w:rPr>
        <w:t>ii</w:t>
      </w:r>
      <w:proofErr w:type="spellEnd"/>
      <w:r w:rsidRPr="00F7418C">
        <w:rPr>
          <w:rFonts w:ascii="Bookman Old Style" w:hAnsi="Bookman Old Style"/>
          <w:i/>
          <w:sz w:val="22"/>
          <w:szCs w:val="22"/>
        </w:rPr>
        <w:t>). no hay motivo, ni la CREG expresó motivo que justificara la demora en la resolución de la solicitud de cargos, que fue expedida 15 meses después de la solicitud; y, (</w:t>
      </w:r>
      <w:proofErr w:type="spellStart"/>
      <w:r w:rsidRPr="00F7418C">
        <w:rPr>
          <w:rFonts w:ascii="Bookman Old Style" w:hAnsi="Bookman Old Style"/>
          <w:i/>
          <w:sz w:val="22"/>
          <w:szCs w:val="22"/>
        </w:rPr>
        <w:t>iii</w:t>
      </w:r>
      <w:proofErr w:type="spellEnd"/>
      <w:r w:rsidRPr="00F7418C">
        <w:rPr>
          <w:rFonts w:ascii="Bookman Old Style" w:hAnsi="Bookman Old Style"/>
          <w:i/>
          <w:sz w:val="22"/>
          <w:szCs w:val="22"/>
        </w:rPr>
        <w:t>). La tardanza de debió al incumplimiento del deber de la CREG de proferir el acto unilateral dentro del tiempo establecido en el artículo 111 de la Ley 142 de 1994. Lo anterior, dejo expuesta a GENSA S.A. E.S.P a las variaciones de precios derivadas de externalidades no previstas al momento de la solicitud.</w:t>
      </w:r>
    </w:p>
    <w:p w14:paraId="2C5A7DC6" w14:textId="77777777" w:rsidR="00965E27" w:rsidRPr="00F7418C" w:rsidRDefault="00965E27" w:rsidP="00753A32">
      <w:pPr>
        <w:pStyle w:val="Textodebloque"/>
        <w:ind w:right="6"/>
        <w:contextualSpacing/>
        <w:rPr>
          <w:rFonts w:ascii="Bookman Old Style" w:hAnsi="Bookman Old Style"/>
          <w:i/>
          <w:sz w:val="22"/>
          <w:szCs w:val="22"/>
        </w:rPr>
      </w:pPr>
    </w:p>
    <w:p w14:paraId="103963AD" w14:textId="2A0A1272" w:rsidR="00BC52A7" w:rsidRPr="00F7418C" w:rsidRDefault="00BC52A7" w:rsidP="00753A32">
      <w:pPr>
        <w:pStyle w:val="Textodebloque"/>
        <w:ind w:right="6"/>
        <w:contextualSpacing/>
        <w:rPr>
          <w:rFonts w:ascii="Bookman Old Style" w:hAnsi="Bookman Old Style"/>
          <w:b/>
          <w:i/>
          <w:sz w:val="22"/>
          <w:szCs w:val="22"/>
        </w:rPr>
      </w:pPr>
      <w:proofErr w:type="spellStart"/>
      <w:r w:rsidRPr="00F7418C">
        <w:rPr>
          <w:rFonts w:ascii="Bookman Old Style" w:hAnsi="Bookman Old Style"/>
          <w:b/>
          <w:i/>
          <w:sz w:val="22"/>
          <w:szCs w:val="22"/>
        </w:rPr>
        <w:t>ii</w:t>
      </w:r>
      <w:proofErr w:type="spellEnd"/>
      <w:r w:rsidRPr="00F7418C">
        <w:rPr>
          <w:rFonts w:ascii="Bookman Old Style" w:hAnsi="Bookman Old Style"/>
          <w:b/>
          <w:i/>
          <w:sz w:val="22"/>
          <w:szCs w:val="22"/>
        </w:rPr>
        <w:t>. El incremento en los valores de inversión generado por las externalidades hace que los cargos fijados por la CREG sean insuficientes para remunerar las inversiones.</w:t>
      </w:r>
    </w:p>
    <w:p w14:paraId="5F7264A5" w14:textId="77777777" w:rsidR="00C93722" w:rsidRPr="00F7418C" w:rsidRDefault="00C93722" w:rsidP="00753A32">
      <w:pPr>
        <w:pStyle w:val="Textodebloque"/>
        <w:ind w:right="6"/>
        <w:contextualSpacing/>
        <w:rPr>
          <w:rFonts w:ascii="Bookman Old Style" w:hAnsi="Bookman Old Style"/>
          <w:b/>
          <w:i/>
          <w:sz w:val="22"/>
          <w:szCs w:val="22"/>
        </w:rPr>
      </w:pPr>
    </w:p>
    <w:p w14:paraId="04B19408"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De conformidad con lo estipulado en los artículos 365 y 367 de la Constitución Política de Colombia, el legislador estableció en el artículo 87 de la Ley 142 de 1994 los principios de eficiencia económica y suficiencia financiera para la prestación de los Servicios Públicos, por tal razón en desarrollo de estos principios, se estableció que la remuneración establecida vía tarifa debía ser suficiente para no poner en peligro la sostenibilidad financiera de la prestación de los servicios públicos, tal como estableció la misma Ley 142 de 1994 al definir estos principios de la siguiente manera:</w:t>
      </w:r>
    </w:p>
    <w:p w14:paraId="2B88A284" w14:textId="77777777" w:rsidR="00BC52A7" w:rsidRPr="00F7418C" w:rsidRDefault="00BC52A7" w:rsidP="00753A32">
      <w:pPr>
        <w:pStyle w:val="Textodebloque"/>
        <w:ind w:right="6"/>
        <w:contextualSpacing/>
        <w:rPr>
          <w:rFonts w:ascii="Bookman Old Style" w:hAnsi="Bookman Old Style"/>
          <w:i/>
          <w:sz w:val="22"/>
          <w:szCs w:val="22"/>
        </w:rPr>
      </w:pPr>
    </w:p>
    <w:p w14:paraId="33CF70DB" w14:textId="13C1CEEE"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Por eficiencia económica se entiende que el régimen de tarifas procurará que éstas se aproximen a lo que serían los precios de un mercado competitivo; que las fórmulas tarifarías deben tener en cuenta no solo los  costos sino los aumentos de productividad esperados, y que éstos deben distribuirse entre la empresa y los usuarios, tal como ocurriría en un mercado competitivo: y que las fórmulas tarifarías no pueden trasladar a los usuarios los costos de una gestión ineficiente, ni permitir que las empresas se apropien de las utilidades provenientes de prácticas restrictivas de la competencia. En el caso de servicios públicos sujetos a fórmulas tarifarías, las tarifas deben reflejar siempre tanto el nivel y la estructura de los costos económicos de prestar el servicio, como la demanda por éste.</w:t>
      </w:r>
    </w:p>
    <w:p w14:paraId="0D2C360A" w14:textId="77777777" w:rsidR="001E4510" w:rsidRPr="00F7418C" w:rsidRDefault="001E4510" w:rsidP="00753A32">
      <w:pPr>
        <w:pStyle w:val="Textodebloque"/>
        <w:ind w:right="6"/>
        <w:contextualSpacing/>
        <w:rPr>
          <w:rFonts w:ascii="Bookman Old Style" w:hAnsi="Bookman Old Style"/>
          <w:i/>
          <w:sz w:val="22"/>
          <w:szCs w:val="22"/>
        </w:rPr>
      </w:pPr>
    </w:p>
    <w:p w14:paraId="38293F4D"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87.4. Por suficiencia financiera se entiende que las fórmulas de tarifas garantizarán la recuperación de los costos y gastos propios de operación, incluyendo la expansión, la reposición y el mantenimiento; permitirán remunerar el patrimonio de los accionistas en la misma forma en la que lo habría remunerado una empresa eficiente en un sector de riesgo comparable; y permitirán utilizar las tecnologías y sistemas administrativos que garanticen la mejor calidad, continuidad y seguridad a sus usuarios."</w:t>
      </w:r>
    </w:p>
    <w:p w14:paraId="216E3A3A" w14:textId="77777777" w:rsidR="00BC52A7" w:rsidRPr="00F7418C" w:rsidRDefault="00BC52A7" w:rsidP="00753A32">
      <w:pPr>
        <w:pStyle w:val="Textodebloque"/>
        <w:ind w:right="6"/>
        <w:contextualSpacing/>
        <w:rPr>
          <w:rFonts w:ascii="Bookman Old Style" w:hAnsi="Bookman Old Style"/>
          <w:i/>
          <w:sz w:val="22"/>
          <w:szCs w:val="22"/>
        </w:rPr>
      </w:pPr>
    </w:p>
    <w:p w14:paraId="1CBC80F7" w14:textId="2A2311EE"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En el presente caso, como ha sido advertido los componentes que conforman la tarifa no logran satisfacer con suficiencia los costos eficientes, en que incurre el prestador, motivo por el cual, mantener tales costos implicaría incumplir con el mandato dispuesto en la Ley 142 de 1994, de que las tarifas deben garantizar la recuperación de los costos y gastos propios de la operación.</w:t>
      </w:r>
    </w:p>
    <w:p w14:paraId="06AC388F" w14:textId="77777777" w:rsidR="00BC52A7" w:rsidRPr="00F7418C" w:rsidRDefault="00BC52A7" w:rsidP="00753A32">
      <w:pPr>
        <w:pStyle w:val="Textodebloque"/>
        <w:ind w:right="6"/>
        <w:contextualSpacing/>
        <w:rPr>
          <w:rFonts w:ascii="Bookman Old Style" w:hAnsi="Bookman Old Style"/>
          <w:i/>
          <w:sz w:val="22"/>
          <w:szCs w:val="22"/>
        </w:rPr>
      </w:pPr>
    </w:p>
    <w:p w14:paraId="18027B9A"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Visto lo anterior, es claro que la CREG debe acoger la solicitud de modificación de la tarifa solicitada, de conformidad con los términos expuestos en los acápites precedentes, toda vez que diversas externalidades han afectado el monto de las inversiones que debieron ser realizadas por GENSA S.A. E.S.P.</w:t>
      </w:r>
    </w:p>
    <w:p w14:paraId="526F21CE" w14:textId="77777777" w:rsidR="00FA7786" w:rsidRPr="00F7418C" w:rsidRDefault="00FA7786" w:rsidP="00753A32">
      <w:pPr>
        <w:pStyle w:val="Textodebloque"/>
        <w:ind w:right="6"/>
        <w:contextualSpacing/>
        <w:rPr>
          <w:rFonts w:ascii="Bookman Old Style" w:hAnsi="Bookman Old Style"/>
          <w:i/>
          <w:sz w:val="22"/>
          <w:szCs w:val="22"/>
        </w:rPr>
      </w:pPr>
    </w:p>
    <w:p w14:paraId="3AB85B49" w14:textId="2BDAE8C8" w:rsidR="00BC52A7" w:rsidRPr="00F7418C" w:rsidRDefault="00BC52A7" w:rsidP="00753A32">
      <w:pPr>
        <w:pStyle w:val="Textodebloque"/>
        <w:ind w:right="6"/>
        <w:contextualSpacing/>
        <w:rPr>
          <w:rFonts w:ascii="Bookman Old Style" w:hAnsi="Bookman Old Style"/>
          <w:b/>
          <w:i/>
          <w:sz w:val="22"/>
          <w:szCs w:val="22"/>
        </w:rPr>
      </w:pPr>
      <w:r w:rsidRPr="00F7418C">
        <w:rPr>
          <w:rFonts w:ascii="Bookman Old Style" w:hAnsi="Bookman Old Style"/>
          <w:b/>
          <w:i/>
          <w:sz w:val="22"/>
          <w:szCs w:val="22"/>
        </w:rPr>
        <w:t>3.</w:t>
      </w:r>
      <w:r w:rsidR="00BC4285" w:rsidRPr="00F7418C">
        <w:rPr>
          <w:rFonts w:ascii="Bookman Old Style" w:hAnsi="Bookman Old Style"/>
          <w:b/>
          <w:i/>
          <w:sz w:val="22"/>
          <w:szCs w:val="22"/>
        </w:rPr>
        <w:t xml:space="preserve"> </w:t>
      </w:r>
      <w:r w:rsidRPr="00F7418C">
        <w:rPr>
          <w:rFonts w:ascii="Bookman Old Style" w:hAnsi="Bookman Old Style"/>
          <w:b/>
          <w:i/>
          <w:sz w:val="22"/>
          <w:szCs w:val="22"/>
        </w:rPr>
        <w:t>LA CREG NO PODRÍA MODIFICAR LAS TARIFAS O COMPONENTES CALCULADOS EN DETRIMENTO DE LOS INTERESES DE GENSA, EN RAZÓN A LA APLICACIÓN DE LOS PRINCIPIOS DE LA NO REFORMATIO IN PEJUS Y CONGRUENCIA EN MATERIA ADMINISTRATIVA</w:t>
      </w:r>
    </w:p>
    <w:p w14:paraId="4D92D89C" w14:textId="77777777" w:rsidR="00BC52A7" w:rsidRPr="00F7418C" w:rsidRDefault="00BC52A7" w:rsidP="00753A32">
      <w:pPr>
        <w:pStyle w:val="Textodebloque"/>
        <w:ind w:right="6"/>
        <w:contextualSpacing/>
        <w:rPr>
          <w:rFonts w:ascii="Bookman Old Style" w:hAnsi="Bookman Old Style"/>
          <w:i/>
          <w:sz w:val="22"/>
          <w:szCs w:val="22"/>
        </w:rPr>
      </w:pPr>
    </w:p>
    <w:p w14:paraId="158CB164" w14:textId="12C1CFE9"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El principio de congruencia y la no </w:t>
      </w:r>
      <w:proofErr w:type="spellStart"/>
      <w:r w:rsidRPr="00F7418C">
        <w:rPr>
          <w:rFonts w:ascii="Bookman Old Style" w:hAnsi="Bookman Old Style"/>
          <w:i/>
          <w:sz w:val="22"/>
          <w:szCs w:val="22"/>
        </w:rPr>
        <w:t>reformatio</w:t>
      </w:r>
      <w:proofErr w:type="spellEnd"/>
      <w:r w:rsidRPr="00F7418C">
        <w:rPr>
          <w:rFonts w:ascii="Bookman Old Style" w:hAnsi="Bookman Old Style"/>
          <w:i/>
          <w:sz w:val="22"/>
          <w:szCs w:val="22"/>
        </w:rPr>
        <w:t xml:space="preserve"> in </w:t>
      </w:r>
      <w:proofErr w:type="spellStart"/>
      <w:r w:rsidRPr="00F7418C">
        <w:rPr>
          <w:rFonts w:ascii="Bookman Old Style" w:hAnsi="Bookman Old Style"/>
          <w:i/>
          <w:sz w:val="22"/>
          <w:szCs w:val="22"/>
        </w:rPr>
        <w:t>pejus</w:t>
      </w:r>
      <w:proofErr w:type="spellEnd"/>
      <w:r w:rsidRPr="00F7418C">
        <w:rPr>
          <w:rFonts w:ascii="Bookman Old Style" w:hAnsi="Bookman Old Style"/>
          <w:i/>
          <w:sz w:val="22"/>
          <w:szCs w:val="22"/>
        </w:rPr>
        <w:t xml:space="preserve"> constituyen principios basilares de un procedimiento administrativo garantista y ajustado a la Constitución, por lo tanto, el cumplimiento de tales principios constituye un límite al ejercicio de la actividad de las autoridades, que no pueden ser sobrepasados, so pena, de afectar las garantías constitucionales del interesado en la actuación.</w:t>
      </w:r>
    </w:p>
    <w:p w14:paraId="517DFF33" w14:textId="77777777" w:rsidR="00BC52A7" w:rsidRPr="00F7418C" w:rsidRDefault="00BC52A7" w:rsidP="00753A32">
      <w:pPr>
        <w:pStyle w:val="Textodebloque"/>
        <w:ind w:right="6"/>
        <w:contextualSpacing/>
        <w:rPr>
          <w:rFonts w:ascii="Bookman Old Style" w:hAnsi="Bookman Old Style"/>
          <w:i/>
          <w:sz w:val="22"/>
          <w:szCs w:val="22"/>
        </w:rPr>
      </w:pPr>
    </w:p>
    <w:p w14:paraId="58F2BA02" w14:textId="40E47493" w:rsidR="004C0119"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Con referencia, al principio de congruencia se debe recordar que el mismo es definido corresponde a una cristalización del derecho al debido proceso administrativo, contemplado en el artículo 29 constitucional, y usualmente su aplicación ha sido exigida dentro de los procesos judiciales. El alcance que ha tenido en materia judicial implica que "</w:t>
      </w:r>
      <w:r w:rsidR="007E7DD9" w:rsidRPr="00F7418C">
        <w:rPr>
          <w:rFonts w:ascii="Bookman Old Style" w:hAnsi="Bookman Old Style"/>
          <w:i/>
          <w:sz w:val="22"/>
          <w:szCs w:val="22"/>
        </w:rPr>
        <w:t>al</w:t>
      </w:r>
      <w:r w:rsidRPr="00F7418C">
        <w:rPr>
          <w:rFonts w:ascii="Bookman Old Style" w:hAnsi="Bookman Old Style"/>
          <w:i/>
          <w:sz w:val="22"/>
          <w:szCs w:val="22"/>
        </w:rPr>
        <w:t xml:space="preserve"> juez de la causa solo Je resulta permitido emitir pronunciamiento con base en lo pretendido, lo probado y lo excepcionado dentro del mismo, sin que sea dable dictar sentencias por fuera (extra) o por más (ultra) de </w:t>
      </w:r>
      <w:r w:rsidR="009D79D7" w:rsidRPr="00F7418C">
        <w:rPr>
          <w:rFonts w:ascii="Bookman Old Style" w:hAnsi="Bookman Old Style"/>
          <w:i/>
          <w:sz w:val="22"/>
          <w:szCs w:val="22"/>
        </w:rPr>
        <w:t>l</w:t>
      </w:r>
      <w:r w:rsidRPr="00F7418C">
        <w:rPr>
          <w:rFonts w:ascii="Bookman Old Style" w:hAnsi="Bookman Old Style"/>
          <w:i/>
          <w:sz w:val="22"/>
          <w:szCs w:val="22"/>
        </w:rPr>
        <w:t>o pedido (</w:t>
      </w:r>
      <w:proofErr w:type="spellStart"/>
      <w:r w:rsidRPr="00F7418C">
        <w:rPr>
          <w:rFonts w:ascii="Bookman Old Style" w:hAnsi="Bookman Old Style"/>
          <w:i/>
          <w:sz w:val="22"/>
          <w:szCs w:val="22"/>
        </w:rPr>
        <w:t>petita</w:t>
      </w:r>
      <w:proofErr w:type="spellEnd"/>
      <w:r w:rsidRPr="00F7418C">
        <w:rPr>
          <w:rFonts w:ascii="Bookman Old Style" w:hAnsi="Bookman Old Style"/>
          <w:i/>
          <w:sz w:val="22"/>
          <w:szCs w:val="22"/>
        </w:rPr>
        <w:t>), y en caso de omitir pronunciarse sobre solicitado como pretensión tiene el deber de explicar de forma clara las razones de tal omisión</w:t>
      </w:r>
    </w:p>
    <w:p w14:paraId="3547C3C2" w14:textId="77777777" w:rsidR="004C0119" w:rsidRPr="00F7418C" w:rsidRDefault="004C0119" w:rsidP="00753A32">
      <w:pPr>
        <w:pStyle w:val="Textodebloque"/>
        <w:ind w:right="6"/>
        <w:contextualSpacing/>
        <w:rPr>
          <w:rFonts w:ascii="Bookman Old Style" w:hAnsi="Bookman Old Style"/>
          <w:i/>
          <w:sz w:val="22"/>
          <w:szCs w:val="22"/>
        </w:rPr>
      </w:pPr>
    </w:p>
    <w:p w14:paraId="664C4C7C" w14:textId="77777777" w:rsidR="00C8724B"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De esta manera, resulta claro que, en materia judicial, el Juez encuentra limitado su poder decisorio respecto de la controversia por lo pretendido, probado y excepcionado, de manera tal, que no le es posible decidir por fuera de los márgenes que le han sido impuestos por las partes. </w:t>
      </w:r>
    </w:p>
    <w:p w14:paraId="7F77B881" w14:textId="77777777" w:rsidR="00C8724B" w:rsidRPr="00F7418C" w:rsidRDefault="00C8724B" w:rsidP="00753A32">
      <w:pPr>
        <w:pStyle w:val="Textodebloque"/>
        <w:ind w:right="6"/>
        <w:contextualSpacing/>
        <w:rPr>
          <w:rFonts w:ascii="Bookman Old Style" w:hAnsi="Bookman Old Style"/>
          <w:i/>
          <w:sz w:val="22"/>
          <w:szCs w:val="22"/>
        </w:rPr>
      </w:pPr>
    </w:p>
    <w:p w14:paraId="69B4385E" w14:textId="181F2FC1"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Ahora, la aplicación del principio de congruencia no solamente se encuentra limitado al proceso judicial, sino que la jurisprudencia del Honorable Consejo de Estado ha considerado que el mismo resulta aplicable, igualmente a las actuaciones de la administración pública, como materialización del principio al derecho al debido proceso administrativo.</w:t>
      </w:r>
    </w:p>
    <w:p w14:paraId="41E35D1E" w14:textId="77777777" w:rsidR="00BC52A7" w:rsidRPr="00F7418C" w:rsidRDefault="00BC52A7" w:rsidP="00753A32">
      <w:pPr>
        <w:pStyle w:val="Textodebloque"/>
        <w:ind w:right="6"/>
        <w:contextualSpacing/>
        <w:rPr>
          <w:rFonts w:ascii="Bookman Old Style" w:hAnsi="Bookman Old Style"/>
          <w:i/>
          <w:sz w:val="22"/>
          <w:szCs w:val="22"/>
        </w:rPr>
      </w:pPr>
    </w:p>
    <w:p w14:paraId="4A78221D"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En materia administrativa, este principio constaría de una naturaleza dual. En primer lugar, implicaría que, ante el ejercicio del derecho de petición, se debe dar respuesta efectiva a todas las cuestiones que fueron planteadas a la Administración, dentro de la actuación administrativa. En segundo lugar, con mayor importancia en el caso </w:t>
      </w:r>
      <w:proofErr w:type="spellStart"/>
      <w:r w:rsidRPr="00F7418C">
        <w:rPr>
          <w:rFonts w:ascii="Bookman Old Style" w:hAnsi="Bookman Old Style"/>
          <w:i/>
          <w:sz w:val="22"/>
          <w:szCs w:val="22"/>
        </w:rPr>
        <w:t>sub-exámine</w:t>
      </w:r>
      <w:proofErr w:type="spellEnd"/>
      <w:r w:rsidRPr="00F7418C">
        <w:rPr>
          <w:rFonts w:ascii="Bookman Old Style" w:hAnsi="Bookman Old Style"/>
          <w:i/>
          <w:sz w:val="22"/>
          <w:szCs w:val="22"/>
        </w:rPr>
        <w:t>, el principio de congruencia también limita el poder decisorio de la administración dentro de la segunda instancia de un procedimiento administrativo, originado en la impugnación que de tal acto realizó el interesado. La aplicación de este principio en esta etapa, de conformidad con lo señalado por el Honorable Consejo de Estado, condiciona la competencia para decidir del funcionario, de manera tal que: "el principio de congruencia representa una garantía del debido proceso, en tanto busca enmarcar la competencia de la autoridad administrativa que resuelve el recurso administrativo con el fin de prevenir su arbitrariedad en lo que decide y la vulneración del derecho de defensa de quien incoó la correspondiente reclamación. [. . .] En aras de afianzar esta garantía del debido proceso el artículo 80 del CPACA establece que la decisión que resuelve el recurso interpuesto definirá "todas las peticiones que hayan sido oportunamente planteadas y las que surjan con motivo del recurso". De esta forma, la vinculación de la Administración a lo que plantea el recurso resulta innegable y se erige en límite efectivo al margen de decisión administrativo, que en aras de reforzar la garantía de la contradicción implícita en el artículo 29 Superior, no podrá salirse de la discusión trazada por el recurrente.</w:t>
      </w:r>
    </w:p>
    <w:p w14:paraId="7DC180AF" w14:textId="77777777" w:rsidR="00BC52A7" w:rsidRPr="00F7418C" w:rsidRDefault="00BC52A7" w:rsidP="00753A32">
      <w:pPr>
        <w:pStyle w:val="Textodebloque"/>
        <w:ind w:right="6"/>
        <w:contextualSpacing/>
        <w:rPr>
          <w:rFonts w:ascii="Bookman Old Style" w:hAnsi="Bookman Old Style"/>
          <w:i/>
          <w:sz w:val="22"/>
          <w:szCs w:val="22"/>
        </w:rPr>
      </w:pPr>
    </w:p>
    <w:p w14:paraId="0372A4BA" w14:textId="47BE98F6"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No solo el principio de congruencia se torna en un límite a la actuación de la administración, sino que a la par, lo es la no </w:t>
      </w:r>
      <w:proofErr w:type="spellStart"/>
      <w:r w:rsidRPr="00F7418C">
        <w:rPr>
          <w:rFonts w:ascii="Bookman Old Style" w:hAnsi="Bookman Old Style"/>
          <w:i/>
          <w:sz w:val="22"/>
          <w:szCs w:val="22"/>
        </w:rPr>
        <w:t>reformatio</w:t>
      </w:r>
      <w:proofErr w:type="spellEnd"/>
      <w:r w:rsidRPr="00F7418C">
        <w:rPr>
          <w:rFonts w:ascii="Bookman Old Style" w:hAnsi="Bookman Old Style"/>
          <w:i/>
          <w:sz w:val="22"/>
          <w:szCs w:val="22"/>
        </w:rPr>
        <w:t xml:space="preserve"> in </w:t>
      </w:r>
      <w:proofErr w:type="spellStart"/>
      <w:r w:rsidRPr="00F7418C">
        <w:rPr>
          <w:rFonts w:ascii="Bookman Old Style" w:hAnsi="Bookman Old Style"/>
          <w:i/>
          <w:sz w:val="22"/>
          <w:szCs w:val="22"/>
        </w:rPr>
        <w:t>pejus</w:t>
      </w:r>
      <w:proofErr w:type="spellEnd"/>
      <w:r w:rsidRPr="00F7418C">
        <w:rPr>
          <w:rFonts w:ascii="Bookman Old Style" w:hAnsi="Bookman Old Style"/>
          <w:i/>
          <w:sz w:val="22"/>
          <w:szCs w:val="22"/>
        </w:rPr>
        <w:t>, o lo que es lo mismo la no reforma en perjuicio del único apelante. Este principio de tiempo atrás reconocido como parte integral del derecho al debido proceso, y de aplicación en el proceso judicial, igualmente ha sido considerado como una garantía propia del derecho administrativo, y en particular, de un proceso administrativo conforme con los preceptos constitucionales.</w:t>
      </w:r>
    </w:p>
    <w:p w14:paraId="60261D74" w14:textId="77777777" w:rsidR="00BC52A7" w:rsidRPr="00F7418C" w:rsidRDefault="00BC52A7" w:rsidP="00753A32">
      <w:pPr>
        <w:pStyle w:val="Textodebloque"/>
        <w:ind w:right="6"/>
        <w:contextualSpacing/>
        <w:rPr>
          <w:rFonts w:ascii="Bookman Old Style" w:hAnsi="Bookman Old Style"/>
          <w:i/>
          <w:sz w:val="22"/>
          <w:szCs w:val="22"/>
        </w:rPr>
      </w:pPr>
    </w:p>
    <w:p w14:paraId="2DAE581F" w14:textId="4C1AD2B3" w:rsidR="009C65FA"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En particular, la Corte Constitucional se ha preguntado, si resulta exigible cumplir con el principio de no </w:t>
      </w:r>
      <w:proofErr w:type="spellStart"/>
      <w:r w:rsidRPr="00F7418C">
        <w:rPr>
          <w:rFonts w:ascii="Bookman Old Style" w:hAnsi="Bookman Old Style"/>
          <w:i/>
          <w:sz w:val="22"/>
          <w:szCs w:val="22"/>
        </w:rPr>
        <w:t>reformatio</w:t>
      </w:r>
      <w:proofErr w:type="spellEnd"/>
      <w:r w:rsidRPr="00F7418C">
        <w:rPr>
          <w:rFonts w:ascii="Bookman Old Style" w:hAnsi="Bookman Old Style"/>
          <w:i/>
          <w:sz w:val="22"/>
          <w:szCs w:val="22"/>
        </w:rPr>
        <w:t xml:space="preserve"> in </w:t>
      </w:r>
      <w:proofErr w:type="spellStart"/>
      <w:r w:rsidRPr="00F7418C">
        <w:rPr>
          <w:rFonts w:ascii="Bookman Old Style" w:hAnsi="Bookman Old Style"/>
          <w:i/>
          <w:sz w:val="22"/>
          <w:szCs w:val="22"/>
        </w:rPr>
        <w:t>pejus</w:t>
      </w:r>
      <w:proofErr w:type="spellEnd"/>
      <w:r w:rsidRPr="00F7418C">
        <w:rPr>
          <w:rFonts w:ascii="Bookman Old Style" w:hAnsi="Bookman Old Style"/>
          <w:i/>
          <w:sz w:val="22"/>
          <w:szCs w:val="22"/>
        </w:rPr>
        <w:t xml:space="preserve"> en materia administrativa, lo que ha resuelto de manera afirmativa, considerando que su aplicación es una manifestación del derecho al debido proceso y de las garantías constitucionales, a las que tiene el derecho el administrado. Así, por ejemplo, en sentencia T-419 de 1992, la Corporación indicó que la no </w:t>
      </w:r>
      <w:proofErr w:type="spellStart"/>
      <w:r w:rsidRPr="00F7418C">
        <w:rPr>
          <w:rFonts w:ascii="Bookman Old Style" w:hAnsi="Bookman Old Style"/>
          <w:i/>
          <w:sz w:val="22"/>
          <w:szCs w:val="22"/>
        </w:rPr>
        <w:t>reformatio</w:t>
      </w:r>
      <w:proofErr w:type="spellEnd"/>
      <w:r w:rsidRPr="00F7418C">
        <w:rPr>
          <w:rFonts w:ascii="Bookman Old Style" w:hAnsi="Bookman Old Style"/>
          <w:i/>
          <w:sz w:val="22"/>
          <w:szCs w:val="22"/>
        </w:rPr>
        <w:t xml:space="preserve"> in </w:t>
      </w:r>
      <w:proofErr w:type="spellStart"/>
      <w:r w:rsidRPr="00F7418C">
        <w:rPr>
          <w:rFonts w:ascii="Bookman Old Style" w:hAnsi="Bookman Old Style"/>
          <w:i/>
          <w:sz w:val="22"/>
          <w:szCs w:val="22"/>
        </w:rPr>
        <w:t>pejus</w:t>
      </w:r>
      <w:proofErr w:type="spellEnd"/>
      <w:r w:rsidRPr="00F7418C">
        <w:rPr>
          <w:rFonts w:ascii="Bookman Old Style" w:hAnsi="Bookman Old Style"/>
          <w:i/>
          <w:sz w:val="22"/>
          <w:szCs w:val="22"/>
        </w:rPr>
        <w:t xml:space="preserve">, así como otras garantías del derecho al debido proceso, "tienen plena </w:t>
      </w:r>
      <w:proofErr w:type="spellStart"/>
      <w:r w:rsidRPr="00F7418C">
        <w:rPr>
          <w:rFonts w:ascii="Bookman Old Style" w:hAnsi="Bookman Old Style"/>
          <w:i/>
          <w:sz w:val="22"/>
          <w:szCs w:val="22"/>
        </w:rPr>
        <w:t>operancia</w:t>
      </w:r>
      <w:proofErr w:type="spellEnd"/>
      <w:r w:rsidRPr="00F7418C">
        <w:rPr>
          <w:rFonts w:ascii="Bookman Old Style" w:hAnsi="Bookman Old Style"/>
          <w:i/>
          <w:sz w:val="22"/>
          <w:szCs w:val="22"/>
        </w:rPr>
        <w:t xml:space="preserve"> mutatis </w:t>
      </w:r>
      <w:proofErr w:type="spellStart"/>
      <w:r w:rsidRPr="00F7418C">
        <w:rPr>
          <w:rFonts w:ascii="Bookman Old Style" w:hAnsi="Bookman Old Style"/>
          <w:i/>
          <w:sz w:val="22"/>
          <w:szCs w:val="22"/>
        </w:rPr>
        <w:t>mutandi</w:t>
      </w:r>
      <w:proofErr w:type="spellEnd"/>
      <w:r w:rsidRPr="00F7418C">
        <w:rPr>
          <w:rFonts w:ascii="Bookman Old Style" w:hAnsi="Bookman Old Style"/>
          <w:i/>
          <w:sz w:val="22"/>
          <w:szCs w:val="22"/>
        </w:rPr>
        <w:t>, en las demás ramas del derecho procesal: procesal civil (que se extiende al laboral, etc.) y a la actividad administrativa que comprende tanto la actuación gubernativa como el contencioso administrativo...". Esta doctrina se reiteró en la Sentencia T-233 de 1995, en la que se afirmó que: "...</w:t>
      </w:r>
      <w:r w:rsidR="00B73F31" w:rsidRPr="00F7418C">
        <w:rPr>
          <w:rFonts w:ascii="Bookman Old Style" w:hAnsi="Bookman Old Style"/>
          <w:i/>
          <w:sz w:val="22"/>
          <w:szCs w:val="22"/>
        </w:rPr>
        <w:t>l</w:t>
      </w:r>
      <w:r w:rsidRPr="00F7418C">
        <w:rPr>
          <w:rFonts w:ascii="Bookman Old Style" w:hAnsi="Bookman Old Style"/>
          <w:i/>
          <w:sz w:val="22"/>
          <w:szCs w:val="22"/>
        </w:rPr>
        <w:t>a prohibición de reformar la condena en perjuicio de apelante único no solamente es aplicable en materia penal, ni tampoco está limitada a las sentencias judiciales, sino que, por el contrario, cobija otras ramas del derecho y se hace exigible en las actuaciones administrativas</w:t>
      </w:r>
      <w:r w:rsidR="0041526D" w:rsidRPr="00F7418C">
        <w:rPr>
          <w:rFonts w:ascii="Bookman Old Style" w:hAnsi="Bookman Old Style"/>
          <w:i/>
          <w:sz w:val="22"/>
          <w:szCs w:val="22"/>
        </w:rPr>
        <w:t>…</w:t>
      </w:r>
      <w:r w:rsidRPr="00F7418C">
        <w:rPr>
          <w:rFonts w:ascii="Bookman Old Style" w:hAnsi="Bookman Old Style"/>
          <w:i/>
          <w:sz w:val="22"/>
          <w:szCs w:val="22"/>
        </w:rPr>
        <w:t>".</w:t>
      </w:r>
    </w:p>
    <w:p w14:paraId="4654AFCA" w14:textId="77777777" w:rsidR="009C65FA" w:rsidRPr="00F7418C" w:rsidRDefault="009C65FA" w:rsidP="00753A32">
      <w:pPr>
        <w:pStyle w:val="Textodebloque"/>
        <w:ind w:right="6"/>
        <w:contextualSpacing/>
        <w:rPr>
          <w:rFonts w:ascii="Bookman Old Style" w:hAnsi="Bookman Old Style"/>
          <w:i/>
          <w:sz w:val="22"/>
          <w:szCs w:val="22"/>
        </w:rPr>
      </w:pPr>
    </w:p>
    <w:p w14:paraId="3144D996" w14:textId="14777874"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Finalmente, en la Sentencia T-032 de 2022, en la que se discutía la decisión de la Sala administrativa del Consejo Superior de la Judicatura de modificar y disminuir los puntajes, obtenidos por las participantes en un concurso, al resolver el recurso de reposición que estas interpusieron en contra del acto administrativo, indicó que:</w:t>
      </w:r>
    </w:p>
    <w:p w14:paraId="395C1F4B" w14:textId="77777777" w:rsidR="00BC52A7" w:rsidRPr="00F7418C" w:rsidRDefault="00BC52A7" w:rsidP="00753A32">
      <w:pPr>
        <w:pStyle w:val="Textodebloque"/>
        <w:ind w:right="6"/>
        <w:contextualSpacing/>
        <w:rPr>
          <w:rFonts w:ascii="Bookman Old Style" w:hAnsi="Bookman Old Style"/>
          <w:i/>
          <w:sz w:val="22"/>
          <w:szCs w:val="22"/>
        </w:rPr>
      </w:pPr>
    </w:p>
    <w:p w14:paraId="1E2944E2" w14:textId="6F0823E8" w:rsidR="00BC52A7" w:rsidRPr="00F7418C" w:rsidRDefault="00BC52A7" w:rsidP="00775E77">
      <w:pPr>
        <w:pStyle w:val="Textodebloque"/>
        <w:ind w:left="851" w:right="6"/>
        <w:contextualSpacing/>
        <w:rPr>
          <w:rFonts w:ascii="Bookman Old Style" w:hAnsi="Bookman Old Style"/>
          <w:i/>
          <w:sz w:val="22"/>
          <w:szCs w:val="22"/>
        </w:rPr>
      </w:pPr>
      <w:r w:rsidRPr="00F7418C">
        <w:rPr>
          <w:rFonts w:ascii="Bookman Old Style" w:hAnsi="Bookman Old Style"/>
          <w:i/>
          <w:sz w:val="22"/>
          <w:szCs w:val="22"/>
        </w:rPr>
        <w:t xml:space="preserve">Por </w:t>
      </w:r>
      <w:r w:rsidR="00753A32" w:rsidRPr="00F7418C">
        <w:rPr>
          <w:rFonts w:ascii="Bookman Old Style" w:hAnsi="Bookman Old Style"/>
          <w:i/>
          <w:sz w:val="22"/>
          <w:szCs w:val="22"/>
        </w:rPr>
        <w:t>l</w:t>
      </w:r>
      <w:r w:rsidRPr="00F7418C">
        <w:rPr>
          <w:rFonts w:ascii="Bookman Old Style" w:hAnsi="Bookman Old Style"/>
          <w:i/>
          <w:sz w:val="22"/>
          <w:szCs w:val="22"/>
        </w:rPr>
        <w:t xml:space="preserve">o cual, la prohibición de la </w:t>
      </w:r>
      <w:proofErr w:type="spellStart"/>
      <w:r w:rsidRPr="00F7418C">
        <w:rPr>
          <w:rFonts w:ascii="Bookman Old Style" w:hAnsi="Bookman Old Style"/>
          <w:i/>
          <w:sz w:val="22"/>
          <w:szCs w:val="22"/>
        </w:rPr>
        <w:t>reformatio</w:t>
      </w:r>
      <w:proofErr w:type="spellEnd"/>
      <w:r w:rsidRPr="00F7418C">
        <w:rPr>
          <w:rFonts w:ascii="Bookman Old Style" w:hAnsi="Bookman Old Style"/>
          <w:i/>
          <w:sz w:val="22"/>
          <w:szCs w:val="22"/>
        </w:rPr>
        <w:t xml:space="preserve"> in </w:t>
      </w:r>
      <w:proofErr w:type="spellStart"/>
      <w:r w:rsidRPr="00F7418C">
        <w:rPr>
          <w:rFonts w:ascii="Bookman Old Style" w:hAnsi="Bookman Old Style"/>
          <w:i/>
          <w:sz w:val="22"/>
          <w:szCs w:val="22"/>
        </w:rPr>
        <w:t>pejus</w:t>
      </w:r>
      <w:proofErr w:type="spellEnd"/>
      <w:r w:rsidRPr="00F7418C">
        <w:rPr>
          <w:rFonts w:ascii="Bookman Old Style" w:hAnsi="Bookman Old Style"/>
          <w:i/>
          <w:sz w:val="22"/>
          <w:szCs w:val="22"/>
        </w:rPr>
        <w:t xml:space="preserve"> tiene plena aplicabilidad en materias administrativas, tanto en el agotamiento de la vía gubernativa como en el desarrollo del procedimiento ante la jurisdicción de </w:t>
      </w:r>
      <w:r w:rsidR="00B73F31" w:rsidRPr="00F7418C">
        <w:rPr>
          <w:rFonts w:ascii="Bookman Old Style" w:hAnsi="Bookman Old Style"/>
          <w:i/>
          <w:sz w:val="22"/>
          <w:szCs w:val="22"/>
        </w:rPr>
        <w:t>l</w:t>
      </w:r>
      <w:r w:rsidRPr="00F7418C">
        <w:rPr>
          <w:rFonts w:ascii="Bookman Old Style" w:hAnsi="Bookman Old Style"/>
          <w:i/>
          <w:sz w:val="22"/>
          <w:szCs w:val="22"/>
        </w:rPr>
        <w:t xml:space="preserve">o contencioso administrativo, circunstancia que se origina en la interpretación armónica y sistemática de los artículos 29 y 31 de la Constitución Política, logrando de esta manera hacer efectivo el derecho al debido proceso y por ende de los demás principios y derechos constitucionales que guardan correspondencia con dicha institución jurídica. De suerte que la congruencia y la prohibición de la no </w:t>
      </w:r>
      <w:proofErr w:type="spellStart"/>
      <w:r w:rsidRPr="00F7418C">
        <w:rPr>
          <w:rFonts w:ascii="Bookman Old Style" w:hAnsi="Bookman Old Style"/>
          <w:i/>
          <w:sz w:val="22"/>
          <w:szCs w:val="22"/>
        </w:rPr>
        <w:t>reformatio</w:t>
      </w:r>
      <w:proofErr w:type="spellEnd"/>
      <w:r w:rsidRPr="00F7418C">
        <w:rPr>
          <w:rFonts w:ascii="Bookman Old Style" w:hAnsi="Bookman Old Style"/>
          <w:i/>
          <w:sz w:val="22"/>
          <w:szCs w:val="22"/>
        </w:rPr>
        <w:t xml:space="preserve"> in </w:t>
      </w:r>
      <w:proofErr w:type="spellStart"/>
      <w:r w:rsidRPr="00F7418C">
        <w:rPr>
          <w:rFonts w:ascii="Bookman Old Style" w:hAnsi="Bookman Old Style"/>
          <w:i/>
          <w:sz w:val="22"/>
          <w:szCs w:val="22"/>
        </w:rPr>
        <w:t>pe</w:t>
      </w:r>
      <w:r w:rsidR="008E6FC7" w:rsidRPr="00F7418C">
        <w:rPr>
          <w:rFonts w:ascii="Bookman Old Style" w:hAnsi="Bookman Old Style"/>
          <w:i/>
          <w:sz w:val="22"/>
          <w:szCs w:val="22"/>
        </w:rPr>
        <w:t>j</w:t>
      </w:r>
      <w:r w:rsidRPr="00F7418C">
        <w:rPr>
          <w:rFonts w:ascii="Bookman Old Style" w:hAnsi="Bookman Old Style"/>
          <w:i/>
          <w:sz w:val="22"/>
          <w:szCs w:val="22"/>
        </w:rPr>
        <w:t>us</w:t>
      </w:r>
      <w:proofErr w:type="spellEnd"/>
      <w:r w:rsidR="00D73E4C" w:rsidRPr="00F7418C">
        <w:rPr>
          <w:rFonts w:ascii="Bookman Old Style" w:hAnsi="Bookman Old Style"/>
          <w:i/>
          <w:sz w:val="22"/>
          <w:szCs w:val="22"/>
        </w:rPr>
        <w:t>,</w:t>
      </w:r>
      <w:r w:rsidRPr="00F7418C">
        <w:rPr>
          <w:rFonts w:ascii="Bookman Old Style" w:hAnsi="Bookman Old Style"/>
          <w:i/>
          <w:sz w:val="22"/>
          <w:szCs w:val="22"/>
        </w:rPr>
        <w:t xml:space="preserve"> limitan la actuación de la Administración en aras de la transparencia, legalidad y garantía en la actuación administrativa. </w:t>
      </w:r>
    </w:p>
    <w:p w14:paraId="30445444" w14:textId="77777777" w:rsidR="00BC52A7" w:rsidRPr="00F7418C" w:rsidRDefault="00BC52A7" w:rsidP="00753A32">
      <w:pPr>
        <w:pStyle w:val="Textodebloque"/>
        <w:ind w:right="6"/>
        <w:contextualSpacing/>
        <w:rPr>
          <w:rFonts w:ascii="Bookman Old Style" w:hAnsi="Bookman Old Style"/>
          <w:i/>
          <w:sz w:val="22"/>
          <w:szCs w:val="22"/>
        </w:rPr>
      </w:pPr>
    </w:p>
    <w:p w14:paraId="48617717" w14:textId="77777777" w:rsidR="00BC52A7" w:rsidRPr="00F7418C" w:rsidRDefault="00BC52A7" w:rsidP="00753A32">
      <w:pPr>
        <w:pStyle w:val="Textodebloque"/>
        <w:ind w:right="6"/>
        <w:contextualSpacing/>
        <w:rPr>
          <w:rFonts w:ascii="Bookman Old Style" w:hAnsi="Bookman Old Style"/>
          <w:i/>
          <w:sz w:val="22"/>
          <w:szCs w:val="22"/>
        </w:rPr>
      </w:pPr>
      <w:r w:rsidRPr="00F7418C">
        <w:rPr>
          <w:rFonts w:ascii="Bookman Old Style" w:hAnsi="Bookman Old Style"/>
          <w:i/>
          <w:sz w:val="22"/>
          <w:szCs w:val="22"/>
        </w:rPr>
        <w:t xml:space="preserve">En efecto, indica la Corte Constitucional, que el límite que se materializa con la no </w:t>
      </w:r>
      <w:proofErr w:type="spellStart"/>
      <w:r w:rsidRPr="00F7418C">
        <w:rPr>
          <w:rFonts w:ascii="Bookman Old Style" w:hAnsi="Bookman Old Style"/>
          <w:i/>
          <w:sz w:val="22"/>
          <w:szCs w:val="22"/>
        </w:rPr>
        <w:t>reformatio</w:t>
      </w:r>
      <w:proofErr w:type="spellEnd"/>
      <w:r w:rsidRPr="00F7418C">
        <w:rPr>
          <w:rFonts w:ascii="Bookman Old Style" w:hAnsi="Bookman Old Style"/>
          <w:i/>
          <w:sz w:val="22"/>
          <w:szCs w:val="22"/>
        </w:rPr>
        <w:t xml:space="preserve"> in </w:t>
      </w:r>
      <w:proofErr w:type="spellStart"/>
      <w:r w:rsidRPr="00F7418C">
        <w:rPr>
          <w:rFonts w:ascii="Bookman Old Style" w:hAnsi="Bookman Old Style"/>
          <w:i/>
          <w:sz w:val="22"/>
          <w:szCs w:val="22"/>
        </w:rPr>
        <w:t>pejus</w:t>
      </w:r>
      <w:proofErr w:type="spellEnd"/>
      <w:r w:rsidRPr="00F7418C">
        <w:rPr>
          <w:rFonts w:ascii="Bookman Old Style" w:hAnsi="Bookman Old Style"/>
          <w:i/>
          <w:sz w:val="22"/>
          <w:szCs w:val="22"/>
        </w:rPr>
        <w:t xml:space="preserve"> tiene una plena aplicación en materia administrativa y en los procedimientos que sigue la administración, incluyendo el agotamiento en la vía gubernativa. Adicionalmente, la corporación, considera que este principio junto con el de congruencia, constituyen límites para la administración que se relacionan con el deber de transparencia, legalidad y garantía en la actuación administrativa.</w:t>
      </w:r>
    </w:p>
    <w:p w14:paraId="5E2284A5" w14:textId="77777777" w:rsidR="00BC52A7" w:rsidRPr="00F7418C" w:rsidRDefault="00BC52A7" w:rsidP="00753A32">
      <w:pPr>
        <w:pStyle w:val="Textodebloque"/>
        <w:ind w:right="6"/>
        <w:contextualSpacing/>
        <w:rPr>
          <w:rFonts w:ascii="Bookman Old Style" w:hAnsi="Bookman Old Style"/>
          <w:i/>
          <w:sz w:val="22"/>
          <w:szCs w:val="22"/>
        </w:rPr>
      </w:pPr>
    </w:p>
    <w:p w14:paraId="2838ABC8" w14:textId="6DEBBF9B" w:rsidR="00BC52A7" w:rsidRPr="00F7418C" w:rsidRDefault="00BC52A7" w:rsidP="00753A32">
      <w:pPr>
        <w:pStyle w:val="Textodebloque"/>
        <w:spacing w:after="0"/>
        <w:ind w:right="6"/>
        <w:contextualSpacing/>
        <w:rPr>
          <w:rFonts w:ascii="Bookman Old Style" w:hAnsi="Bookman Old Style"/>
          <w:i/>
          <w:sz w:val="22"/>
          <w:szCs w:val="22"/>
        </w:rPr>
      </w:pPr>
      <w:r w:rsidRPr="00F7418C">
        <w:rPr>
          <w:rFonts w:ascii="Bookman Old Style" w:hAnsi="Bookman Old Style"/>
          <w:i/>
          <w:sz w:val="22"/>
          <w:szCs w:val="22"/>
        </w:rPr>
        <w:t>A partir de lo expuesto, queda claro que el poder decisorio de la CREG se encuentra limitado por el marco interpuesto en el recurso de reposición que se le presenta. De esta manera, no puede el regulador emitir una decisión en la que se reduzcan los cargos, que le han sido aprobados mediante la Resolución CREG 501 041 a GENSA, sino que exclusivamente su decisión se debe limitar a resolver el reparo interpuesto respecto del cálculo de las componentes de inversión y AOM. No obstante, ni respecto de estos, ni de otros cargos resulta posible que la CREG llegare a eventualmente</w:t>
      </w:r>
      <w:r w:rsidR="00EE1EB4" w:rsidRPr="00F7418C">
        <w:rPr>
          <w:rFonts w:ascii="Bookman Old Style" w:hAnsi="Bookman Old Style"/>
          <w:i/>
          <w:sz w:val="22"/>
          <w:szCs w:val="22"/>
        </w:rPr>
        <w:t xml:space="preserve"> a r</w:t>
      </w:r>
      <w:r w:rsidRPr="00F7418C">
        <w:rPr>
          <w:rFonts w:ascii="Bookman Old Style" w:hAnsi="Bookman Old Style"/>
          <w:i/>
          <w:sz w:val="22"/>
          <w:szCs w:val="22"/>
        </w:rPr>
        <w:t>educir o desmejorar la situación del recurrente, quien enrostra a la administración ciertos yerros en la determinación realizada en la resolución.” (…)</w:t>
      </w:r>
    </w:p>
    <w:p w14:paraId="542A2BB9" w14:textId="70DC34BE" w:rsidR="00BC52A7" w:rsidRDefault="00BC52A7" w:rsidP="00CF067A">
      <w:pPr>
        <w:pStyle w:val="Textodebloque"/>
        <w:spacing w:after="0"/>
        <w:ind w:left="284" w:right="6"/>
        <w:contextualSpacing/>
        <w:rPr>
          <w:rFonts w:ascii="Bookman Old Style" w:hAnsi="Bookman Old Style"/>
          <w:szCs w:val="24"/>
        </w:rPr>
      </w:pPr>
    </w:p>
    <w:p w14:paraId="40207596" w14:textId="77777777" w:rsidR="00BC52A7" w:rsidRPr="00753A32" w:rsidRDefault="00BC52A7" w:rsidP="00BC52A7">
      <w:pPr>
        <w:pStyle w:val="Textodebloque"/>
        <w:ind w:left="284" w:right="6"/>
        <w:contextualSpacing/>
        <w:rPr>
          <w:rFonts w:ascii="Bookman Old Style" w:hAnsi="Bookman Old Style"/>
          <w:b/>
          <w:szCs w:val="24"/>
        </w:rPr>
      </w:pPr>
      <w:r w:rsidRPr="00753A32">
        <w:rPr>
          <w:rFonts w:ascii="Bookman Old Style" w:hAnsi="Bookman Old Style"/>
          <w:b/>
          <w:szCs w:val="24"/>
        </w:rPr>
        <w:t>III. CONSIDERACIONES DE LA CREG</w:t>
      </w:r>
    </w:p>
    <w:p w14:paraId="384BD0B0" w14:textId="77777777" w:rsidR="00BC52A7" w:rsidRPr="00BC52A7" w:rsidRDefault="00BC52A7" w:rsidP="00BC52A7">
      <w:pPr>
        <w:pStyle w:val="Textodebloque"/>
        <w:ind w:left="284" w:right="6"/>
        <w:contextualSpacing/>
        <w:rPr>
          <w:rFonts w:ascii="Bookman Old Style" w:hAnsi="Bookman Old Style"/>
          <w:szCs w:val="24"/>
        </w:rPr>
      </w:pPr>
    </w:p>
    <w:p w14:paraId="4F91B791" w14:textId="2FA0532B" w:rsidR="00BC52A7" w:rsidRP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 xml:space="preserve">Frente a los argumentos expuestos por el recurrente en el recurso de reposición, se advierte por parte </w:t>
      </w:r>
      <w:r w:rsidR="005674B2">
        <w:rPr>
          <w:rFonts w:ascii="Bookman Old Style" w:hAnsi="Bookman Old Style"/>
          <w:szCs w:val="24"/>
        </w:rPr>
        <w:t xml:space="preserve">de </w:t>
      </w:r>
      <w:r w:rsidRPr="00BC52A7">
        <w:rPr>
          <w:rFonts w:ascii="Bookman Old Style" w:hAnsi="Bookman Old Style"/>
          <w:szCs w:val="24"/>
        </w:rPr>
        <w:t xml:space="preserve">esta Comisión que los mismos tienen como objeto solicitar se modifique la Resolución CREG 501 041 </w:t>
      </w:r>
      <w:r w:rsidR="008630C1">
        <w:rPr>
          <w:rFonts w:ascii="Bookman Old Style" w:hAnsi="Bookman Old Style"/>
          <w:szCs w:val="24"/>
        </w:rPr>
        <w:t>de 2022</w:t>
      </w:r>
      <w:r w:rsidRPr="00BC52A7">
        <w:rPr>
          <w:rFonts w:ascii="Bookman Old Style" w:hAnsi="Bookman Old Style"/>
          <w:szCs w:val="24"/>
        </w:rPr>
        <w:t xml:space="preserve"> expedida por la CREG</w:t>
      </w:r>
      <w:r w:rsidR="005674B2">
        <w:rPr>
          <w:rFonts w:ascii="Bookman Old Style" w:hAnsi="Bookman Old Style"/>
          <w:szCs w:val="24"/>
        </w:rPr>
        <w:t>. E</w:t>
      </w:r>
      <w:r w:rsidRPr="00BC52A7">
        <w:rPr>
          <w:rFonts w:ascii="Bookman Old Style" w:hAnsi="Bookman Old Style"/>
          <w:szCs w:val="24"/>
        </w:rPr>
        <w:t>n relación con lo anterior, se debe tener en cuenta en cada caso lo siguiente:</w:t>
      </w:r>
    </w:p>
    <w:p w14:paraId="243C2865" w14:textId="77777777" w:rsidR="00BC52A7" w:rsidRPr="00BC52A7" w:rsidRDefault="00BC52A7" w:rsidP="00BC52A7">
      <w:pPr>
        <w:pStyle w:val="Textodebloque"/>
        <w:ind w:left="284" w:right="6"/>
        <w:contextualSpacing/>
        <w:rPr>
          <w:rFonts w:ascii="Bookman Old Style" w:hAnsi="Bookman Old Style"/>
          <w:szCs w:val="24"/>
        </w:rPr>
      </w:pPr>
    </w:p>
    <w:p w14:paraId="32E661B1" w14:textId="77777777" w:rsidR="00BC52A7" w:rsidRPr="00753A32" w:rsidRDefault="00BC52A7" w:rsidP="00BC52A7">
      <w:pPr>
        <w:pStyle w:val="Textodebloque"/>
        <w:ind w:left="284" w:right="6"/>
        <w:contextualSpacing/>
        <w:rPr>
          <w:rFonts w:ascii="Bookman Old Style" w:hAnsi="Bookman Old Style"/>
          <w:b/>
          <w:szCs w:val="24"/>
        </w:rPr>
      </w:pPr>
      <w:r w:rsidRPr="00753A32">
        <w:rPr>
          <w:rFonts w:ascii="Bookman Old Style" w:hAnsi="Bookman Old Style"/>
          <w:b/>
          <w:szCs w:val="24"/>
        </w:rPr>
        <w:t xml:space="preserve">1.1. GENERACIÓN DEL SISTEMA SOLAR SDI2 ASUMIDO POR LA CREG </w:t>
      </w:r>
    </w:p>
    <w:p w14:paraId="4B3E8337" w14:textId="77777777" w:rsidR="00BC52A7" w:rsidRPr="00BC52A7" w:rsidRDefault="00BC52A7" w:rsidP="00BC52A7">
      <w:pPr>
        <w:pStyle w:val="Textodebloque"/>
        <w:ind w:left="284" w:right="6"/>
        <w:contextualSpacing/>
        <w:rPr>
          <w:rFonts w:ascii="Bookman Old Style" w:hAnsi="Bookman Old Style"/>
          <w:szCs w:val="24"/>
        </w:rPr>
      </w:pPr>
    </w:p>
    <w:p w14:paraId="383CAC7F" w14:textId="1F5B04DE" w:rsidR="00BC52A7" w:rsidRPr="00BC52A7" w:rsidRDefault="003B19A3" w:rsidP="00BC52A7">
      <w:pPr>
        <w:pStyle w:val="Textodebloque"/>
        <w:ind w:left="284" w:right="6"/>
        <w:contextualSpacing/>
        <w:rPr>
          <w:rFonts w:ascii="Bookman Old Style" w:hAnsi="Bookman Old Style"/>
        </w:rPr>
      </w:pPr>
      <w:r>
        <w:rPr>
          <w:rFonts w:ascii="Bookman Old Style" w:hAnsi="Bookman Old Style"/>
        </w:rPr>
        <w:t xml:space="preserve">En </w:t>
      </w:r>
      <w:r w:rsidR="00BC52A7" w:rsidRPr="3DC71262">
        <w:rPr>
          <w:rFonts w:ascii="Bookman Old Style" w:hAnsi="Bookman Old Style"/>
        </w:rPr>
        <w:t>el recurso de reposición de la Resolución CREG 501</w:t>
      </w:r>
      <w:r w:rsidR="005674B2">
        <w:rPr>
          <w:rFonts w:ascii="Bookman Old Style" w:hAnsi="Bookman Old Style"/>
        </w:rPr>
        <w:t xml:space="preserve"> </w:t>
      </w:r>
      <w:r w:rsidR="00BC52A7" w:rsidRPr="3DC71262">
        <w:rPr>
          <w:rFonts w:ascii="Bookman Old Style" w:hAnsi="Bookman Old Style"/>
        </w:rPr>
        <w:t>041</w:t>
      </w:r>
      <w:r w:rsidR="005674B2">
        <w:rPr>
          <w:rFonts w:ascii="Bookman Old Style" w:hAnsi="Bookman Old Style"/>
        </w:rPr>
        <w:t xml:space="preserve"> </w:t>
      </w:r>
      <w:r w:rsidR="00BC52A7" w:rsidRPr="3DC71262">
        <w:rPr>
          <w:rFonts w:ascii="Bookman Old Style" w:hAnsi="Bookman Old Style"/>
        </w:rPr>
        <w:t xml:space="preserve">del 17 de mayo de 2022, </w:t>
      </w:r>
      <w:r w:rsidR="00F47BC1">
        <w:rPr>
          <w:rFonts w:ascii="Bookman Old Style" w:hAnsi="Bookman Old Style"/>
        </w:rPr>
        <w:t xml:space="preserve">se </w:t>
      </w:r>
      <w:r w:rsidR="00FF1E47">
        <w:rPr>
          <w:rFonts w:ascii="Bookman Old Style" w:hAnsi="Bookman Old Style"/>
        </w:rPr>
        <w:t xml:space="preserve">indica </w:t>
      </w:r>
      <w:r w:rsidR="48A4B551" w:rsidRPr="3DC71262">
        <w:rPr>
          <w:rFonts w:ascii="Bookman Old Style" w:hAnsi="Bookman Old Style"/>
        </w:rPr>
        <w:t>lo siguiente</w:t>
      </w:r>
      <w:r w:rsidR="00BC52A7" w:rsidRPr="3DC71262">
        <w:rPr>
          <w:rFonts w:ascii="Bookman Old Style" w:hAnsi="Bookman Old Style"/>
        </w:rPr>
        <w:t>:</w:t>
      </w:r>
    </w:p>
    <w:p w14:paraId="0AB263F9" w14:textId="77777777" w:rsidR="00BC52A7" w:rsidRPr="00BC52A7" w:rsidRDefault="00BC52A7" w:rsidP="00BC52A7">
      <w:pPr>
        <w:pStyle w:val="Textodebloque"/>
        <w:ind w:left="284" w:right="6"/>
        <w:contextualSpacing/>
        <w:rPr>
          <w:rFonts w:ascii="Bookman Old Style" w:hAnsi="Bookman Old Style"/>
          <w:szCs w:val="24"/>
        </w:rPr>
      </w:pPr>
    </w:p>
    <w:p w14:paraId="78B20725" w14:textId="77777777" w:rsidR="00BC52A7" w:rsidRPr="00047EF9" w:rsidRDefault="00BC52A7" w:rsidP="00AF7E58">
      <w:pPr>
        <w:pStyle w:val="Textodebloque"/>
        <w:ind w:right="6"/>
        <w:contextualSpacing/>
        <w:rPr>
          <w:rFonts w:ascii="Bookman Old Style" w:hAnsi="Bookman Old Style"/>
          <w:sz w:val="22"/>
          <w:szCs w:val="22"/>
        </w:rPr>
      </w:pPr>
      <w:r w:rsidRPr="00047EF9">
        <w:rPr>
          <w:rFonts w:ascii="Bookman Old Style" w:hAnsi="Bookman Old Style"/>
          <w:sz w:val="22"/>
          <w:szCs w:val="22"/>
        </w:rPr>
        <w:t>“</w:t>
      </w:r>
      <w:r w:rsidRPr="00047EF9">
        <w:rPr>
          <w:rFonts w:ascii="Bookman Old Style" w:hAnsi="Bookman Old Style"/>
          <w:i/>
          <w:iCs/>
          <w:sz w:val="22"/>
          <w:szCs w:val="22"/>
        </w:rPr>
        <w:t xml:space="preserve">Debido a lo anterior, amablemente se solicita revisar el concepto, y considerar los 12.549 </w:t>
      </w:r>
      <w:proofErr w:type="spellStart"/>
      <w:r w:rsidRPr="00047EF9">
        <w:rPr>
          <w:rFonts w:ascii="Bookman Old Style" w:hAnsi="Bookman Old Style"/>
          <w:i/>
          <w:iCs/>
          <w:sz w:val="22"/>
          <w:szCs w:val="22"/>
        </w:rPr>
        <w:t>MWh</w:t>
      </w:r>
      <w:proofErr w:type="spellEnd"/>
      <w:r w:rsidRPr="00047EF9">
        <w:rPr>
          <w:rFonts w:ascii="Bookman Old Style" w:hAnsi="Bookman Old Style"/>
          <w:i/>
          <w:iCs/>
          <w:sz w:val="22"/>
          <w:szCs w:val="22"/>
        </w:rPr>
        <w:t xml:space="preserve"> de energía efectivamente vendible del sistema de </w:t>
      </w:r>
      <w:r w:rsidRPr="00047EF9">
        <w:rPr>
          <w:rFonts w:ascii="Bookman Old Style" w:hAnsi="Bookman Old Style"/>
          <w:b/>
          <w:bCs/>
          <w:i/>
          <w:iCs/>
          <w:sz w:val="22"/>
          <w:szCs w:val="22"/>
          <w:u w:val="single"/>
        </w:rPr>
        <w:t>almacenamiento</w:t>
      </w:r>
      <w:r w:rsidRPr="00047EF9">
        <w:rPr>
          <w:rFonts w:ascii="Bookman Old Style" w:hAnsi="Bookman Old Style"/>
          <w:i/>
          <w:iCs/>
          <w:sz w:val="22"/>
          <w:szCs w:val="22"/>
        </w:rPr>
        <w:t xml:space="preserve"> en lugar de los 18.341 </w:t>
      </w:r>
      <w:proofErr w:type="spellStart"/>
      <w:r w:rsidRPr="00047EF9">
        <w:rPr>
          <w:rFonts w:ascii="Bookman Old Style" w:hAnsi="Bookman Old Style"/>
          <w:i/>
          <w:iCs/>
          <w:sz w:val="22"/>
          <w:szCs w:val="22"/>
        </w:rPr>
        <w:t>MWh</w:t>
      </w:r>
      <w:proofErr w:type="spellEnd"/>
      <w:r w:rsidRPr="00047EF9">
        <w:rPr>
          <w:rFonts w:ascii="Bookman Old Style" w:hAnsi="Bookman Old Style"/>
          <w:i/>
          <w:iCs/>
          <w:sz w:val="22"/>
          <w:szCs w:val="22"/>
        </w:rPr>
        <w:t xml:space="preserve"> de energía considerados en el cálculo realizado por la CREG</w:t>
      </w:r>
      <w:r w:rsidRPr="00047EF9">
        <w:rPr>
          <w:rFonts w:ascii="Bookman Old Style" w:hAnsi="Bookman Old Style"/>
          <w:sz w:val="22"/>
          <w:szCs w:val="22"/>
        </w:rPr>
        <w:t xml:space="preserve">”. (subrayado y resaltado fuera de texto) </w:t>
      </w:r>
    </w:p>
    <w:p w14:paraId="60C8FF6A" w14:textId="77777777" w:rsidR="00BC52A7" w:rsidRPr="00BC52A7" w:rsidRDefault="00BC52A7" w:rsidP="00BC52A7">
      <w:pPr>
        <w:pStyle w:val="Textodebloque"/>
        <w:ind w:left="284" w:right="6"/>
        <w:contextualSpacing/>
        <w:rPr>
          <w:rFonts w:ascii="Bookman Old Style" w:hAnsi="Bookman Old Style"/>
          <w:szCs w:val="24"/>
        </w:rPr>
      </w:pPr>
    </w:p>
    <w:p w14:paraId="19FB71C8" w14:textId="01DFFDE8" w:rsidR="00BC52A7" w:rsidRP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 xml:space="preserve">En el marco de lo precitado, encontramos necesario aclarar que los </w:t>
      </w:r>
      <w:r w:rsidR="00CB03A0">
        <w:rPr>
          <w:rFonts w:ascii="Bookman Old Style" w:hAnsi="Bookman Old Style"/>
          <w:szCs w:val="24"/>
        </w:rPr>
        <w:t>18.341</w:t>
      </w:r>
      <w:r w:rsidRPr="00BC52A7">
        <w:rPr>
          <w:rFonts w:ascii="Bookman Old Style" w:hAnsi="Bookman Old Style"/>
          <w:szCs w:val="24"/>
        </w:rPr>
        <w:t xml:space="preserve"> </w:t>
      </w:r>
      <w:proofErr w:type="spellStart"/>
      <w:r w:rsidRPr="00BC52A7">
        <w:rPr>
          <w:rFonts w:ascii="Bookman Old Style" w:hAnsi="Bookman Old Style"/>
          <w:szCs w:val="24"/>
        </w:rPr>
        <w:t>MW</w:t>
      </w:r>
      <w:r w:rsidR="00C429F8">
        <w:rPr>
          <w:rFonts w:ascii="Bookman Old Style" w:hAnsi="Bookman Old Style"/>
          <w:szCs w:val="24"/>
        </w:rPr>
        <w:t>h</w:t>
      </w:r>
      <w:proofErr w:type="spellEnd"/>
      <w:r w:rsidRPr="00BC52A7">
        <w:rPr>
          <w:rFonts w:ascii="Bookman Old Style" w:hAnsi="Bookman Old Style"/>
          <w:szCs w:val="24"/>
        </w:rPr>
        <w:t xml:space="preserve"> de energía generada corresponden a la componente tecnológica del Sistema Solar Fotovoltaico</w:t>
      </w:r>
      <w:r w:rsidR="005674B2">
        <w:rPr>
          <w:rFonts w:ascii="Bookman Old Style" w:hAnsi="Bookman Old Style"/>
          <w:szCs w:val="24"/>
        </w:rPr>
        <w:t>,</w:t>
      </w:r>
      <w:r w:rsidRPr="00BC52A7">
        <w:rPr>
          <w:rFonts w:ascii="Bookman Old Style" w:hAnsi="Bookman Old Style"/>
          <w:szCs w:val="24"/>
        </w:rPr>
        <w:t xml:space="preserve"> y no a la componente de Almacenamiento con recurso solar fotovoltaico. Así las cosas, es necesario recordar que el cargo máximo de generación que reconoció las componentes de inversión y de administración, operación y mantenimiento para el sistema solar fotovoltaico en el mercado relevante de comercialización de Inírida</w:t>
      </w:r>
      <w:r w:rsidR="005674B2">
        <w:rPr>
          <w:rFonts w:ascii="Bookman Old Style" w:hAnsi="Bookman Old Style"/>
          <w:szCs w:val="24"/>
        </w:rPr>
        <w:t>,</w:t>
      </w:r>
      <w:r w:rsidRPr="00BC52A7">
        <w:rPr>
          <w:rFonts w:ascii="Bookman Old Style" w:hAnsi="Bookman Old Style"/>
          <w:szCs w:val="24"/>
        </w:rPr>
        <w:t xml:space="preserve"> fue aprobado </w:t>
      </w:r>
      <w:r w:rsidR="000C5C12">
        <w:rPr>
          <w:rFonts w:ascii="Bookman Old Style" w:hAnsi="Bookman Old Style"/>
          <w:szCs w:val="24"/>
        </w:rPr>
        <w:t>en</w:t>
      </w:r>
      <w:r w:rsidRPr="00BC52A7">
        <w:rPr>
          <w:rFonts w:ascii="Bookman Old Style" w:hAnsi="Bookman Old Style"/>
          <w:szCs w:val="24"/>
        </w:rPr>
        <w:t xml:space="preserve"> la Resolución CREG 012 de 2018</w:t>
      </w:r>
      <w:r w:rsidR="005674B2">
        <w:rPr>
          <w:rFonts w:ascii="Bookman Old Style" w:hAnsi="Bookman Old Style"/>
          <w:szCs w:val="24"/>
        </w:rPr>
        <w:t>,</w:t>
      </w:r>
      <w:r w:rsidRPr="00BC52A7">
        <w:rPr>
          <w:rFonts w:ascii="Bookman Old Style" w:hAnsi="Bookman Old Style"/>
          <w:szCs w:val="24"/>
        </w:rPr>
        <w:t xml:space="preserve"> y modificado por la Resolución CREG 135 de 2019.</w:t>
      </w:r>
    </w:p>
    <w:p w14:paraId="5E48CB30" w14:textId="77777777" w:rsidR="00BC52A7" w:rsidRPr="00BC52A7" w:rsidRDefault="00BC52A7" w:rsidP="00BC52A7">
      <w:pPr>
        <w:pStyle w:val="Textodebloque"/>
        <w:ind w:left="284" w:right="6"/>
        <w:contextualSpacing/>
        <w:rPr>
          <w:rFonts w:ascii="Bookman Old Style" w:hAnsi="Bookman Old Style"/>
          <w:szCs w:val="24"/>
        </w:rPr>
      </w:pPr>
    </w:p>
    <w:p w14:paraId="72D11F3E" w14:textId="50829C8B" w:rsidR="00262B85" w:rsidRDefault="00BC52A7" w:rsidP="00CD16FF">
      <w:pPr>
        <w:pStyle w:val="Textodebloque"/>
        <w:ind w:left="284" w:right="6"/>
        <w:contextualSpacing/>
        <w:rPr>
          <w:rFonts w:ascii="Bookman Old Style" w:hAnsi="Bookman Old Style"/>
          <w:szCs w:val="24"/>
        </w:rPr>
      </w:pPr>
      <w:r w:rsidRPr="00BC52A7">
        <w:rPr>
          <w:rFonts w:ascii="Bookman Old Style" w:hAnsi="Bookman Old Style"/>
          <w:szCs w:val="24"/>
        </w:rPr>
        <w:t>Para realizar los cálculos del costo máximo de generación en el mercado relevante de comercialización de Inírida</w:t>
      </w:r>
      <w:r w:rsidR="00831D4F">
        <w:rPr>
          <w:rFonts w:ascii="Bookman Old Style" w:hAnsi="Bookman Old Style"/>
          <w:szCs w:val="24"/>
        </w:rPr>
        <w:t>,</w:t>
      </w:r>
      <w:r w:rsidRPr="00BC52A7">
        <w:rPr>
          <w:rFonts w:ascii="Bookman Old Style" w:hAnsi="Bookman Old Style"/>
          <w:szCs w:val="24"/>
        </w:rPr>
        <w:t xml:space="preserve"> mediante la implementación de un sistema de acumulación de energía conformado </w:t>
      </w:r>
      <w:r w:rsidR="00831D4F">
        <w:rPr>
          <w:rFonts w:ascii="Bookman Old Style" w:hAnsi="Bookman Old Style"/>
          <w:szCs w:val="24"/>
        </w:rPr>
        <w:t xml:space="preserve">por </w:t>
      </w:r>
      <w:r w:rsidRPr="00BC52A7">
        <w:rPr>
          <w:rFonts w:ascii="Bookman Old Style" w:hAnsi="Bookman Old Style"/>
          <w:szCs w:val="24"/>
        </w:rPr>
        <w:t xml:space="preserve">baterías, se tomó la energía que el sistema de acumulación inyecta a la red, </w:t>
      </w:r>
      <w:r w:rsidR="00831D4F">
        <w:rPr>
          <w:rFonts w:ascii="Bookman Old Style" w:hAnsi="Bookman Old Style"/>
          <w:szCs w:val="24"/>
        </w:rPr>
        <w:t>es decir</w:t>
      </w:r>
      <w:r w:rsidRPr="00BC52A7">
        <w:rPr>
          <w:rFonts w:ascii="Bookman Old Style" w:hAnsi="Bookman Old Style"/>
          <w:szCs w:val="24"/>
        </w:rPr>
        <w:t xml:space="preserve">, 8.872 </w:t>
      </w:r>
      <w:proofErr w:type="spellStart"/>
      <w:r w:rsidRPr="00BC52A7">
        <w:rPr>
          <w:rFonts w:ascii="Bookman Old Style" w:hAnsi="Bookman Old Style"/>
          <w:szCs w:val="24"/>
        </w:rPr>
        <w:t>MWh</w:t>
      </w:r>
      <w:proofErr w:type="spellEnd"/>
      <w:r w:rsidRPr="00BC52A7">
        <w:rPr>
          <w:rFonts w:ascii="Bookman Old Style" w:hAnsi="Bookman Old Style"/>
          <w:szCs w:val="24"/>
        </w:rPr>
        <w:t xml:space="preserve">/año. </w:t>
      </w:r>
      <w:r w:rsidR="006A6FC5">
        <w:rPr>
          <w:rFonts w:ascii="Bookman Old Style" w:hAnsi="Bookman Old Style"/>
          <w:szCs w:val="24"/>
        </w:rPr>
        <w:t>L</w:t>
      </w:r>
      <w:r w:rsidR="008E09A3">
        <w:rPr>
          <w:rFonts w:ascii="Bookman Old Style" w:hAnsi="Bookman Old Style"/>
          <w:szCs w:val="24"/>
        </w:rPr>
        <w:t xml:space="preserve">a </w:t>
      </w:r>
      <w:r w:rsidRPr="00BC52A7">
        <w:rPr>
          <w:rFonts w:ascii="Bookman Old Style" w:hAnsi="Bookman Old Style"/>
          <w:szCs w:val="24"/>
        </w:rPr>
        <w:t>información</w:t>
      </w:r>
      <w:r w:rsidR="00BE3260">
        <w:rPr>
          <w:rFonts w:ascii="Bookman Old Style" w:hAnsi="Bookman Old Style"/>
          <w:szCs w:val="24"/>
        </w:rPr>
        <w:t xml:space="preserve"> </w:t>
      </w:r>
      <w:r w:rsidR="008E09A3">
        <w:rPr>
          <w:rFonts w:ascii="Bookman Old Style" w:hAnsi="Bookman Old Style"/>
          <w:szCs w:val="24"/>
        </w:rPr>
        <w:t>de carga y descarga de las ba</w:t>
      </w:r>
      <w:r w:rsidR="00461B89">
        <w:rPr>
          <w:rFonts w:ascii="Bookman Old Style" w:hAnsi="Bookman Old Style"/>
          <w:szCs w:val="24"/>
        </w:rPr>
        <w:t>terías</w:t>
      </w:r>
      <w:r w:rsidRPr="00BC52A7">
        <w:rPr>
          <w:rFonts w:ascii="Bookman Old Style" w:hAnsi="Bookman Old Style"/>
          <w:szCs w:val="24"/>
        </w:rPr>
        <w:t xml:space="preserve"> fue suministrada por GENSA mediante radicado CREG E-2021-006479 </w:t>
      </w:r>
      <w:r w:rsidR="00BE3260">
        <w:rPr>
          <w:rFonts w:ascii="Bookman Old Style" w:hAnsi="Bookman Old Style"/>
          <w:szCs w:val="24"/>
        </w:rPr>
        <w:t>en el archivo Excel “</w:t>
      </w:r>
      <w:r w:rsidR="00BE3260" w:rsidRPr="00BE3260">
        <w:rPr>
          <w:rFonts w:ascii="Bookman Old Style" w:hAnsi="Bookman Old Style"/>
          <w:szCs w:val="24"/>
        </w:rPr>
        <w:t>8. SAEB - Perfil Horario de Carga-Descarga</w:t>
      </w:r>
      <w:r w:rsidRPr="00BC52A7">
        <w:rPr>
          <w:rFonts w:ascii="Bookman Old Style" w:hAnsi="Bookman Old Style"/>
          <w:szCs w:val="24"/>
        </w:rPr>
        <w:t>”</w:t>
      </w:r>
      <w:r w:rsidR="00CA3334">
        <w:rPr>
          <w:rFonts w:ascii="Bookman Old Style" w:hAnsi="Bookman Old Style"/>
          <w:szCs w:val="24"/>
        </w:rPr>
        <w:t>.</w:t>
      </w:r>
    </w:p>
    <w:p w14:paraId="4D9E207C" w14:textId="091C584B" w:rsidR="008D05B7" w:rsidRDefault="008D05B7" w:rsidP="008D05B7">
      <w:pPr>
        <w:ind w:left="284"/>
        <w:contextualSpacing/>
        <w:jc w:val="both"/>
        <w:rPr>
          <w:rFonts w:ascii="Bookman Old Style" w:hAnsi="Bookman Old Style" w:cs="Arial"/>
        </w:rPr>
      </w:pPr>
      <w:r>
        <w:rPr>
          <w:rFonts w:ascii="Bookman Old Style" w:hAnsi="Bookman Old Style" w:cs="Arial"/>
        </w:rPr>
        <w:t>De</w:t>
      </w:r>
      <w:r w:rsidR="008D32AF">
        <w:rPr>
          <w:rFonts w:ascii="Bookman Old Style" w:hAnsi="Bookman Old Style" w:cs="Arial"/>
        </w:rPr>
        <w:t xml:space="preserve">be </w:t>
      </w:r>
      <w:r w:rsidRPr="00360CBB">
        <w:rPr>
          <w:rFonts w:ascii="Bookman Old Style" w:hAnsi="Bookman Old Style" w:cs="Arial"/>
        </w:rPr>
        <w:t>señalarse que el objeto de esta Comisión</w:t>
      </w:r>
      <w:r w:rsidR="005674B2">
        <w:rPr>
          <w:rFonts w:ascii="Bookman Old Style" w:hAnsi="Bookman Old Style" w:cs="Arial"/>
        </w:rPr>
        <w:t>,</w:t>
      </w:r>
      <w:r w:rsidRPr="00360CBB">
        <w:rPr>
          <w:rFonts w:ascii="Bookman Old Style" w:hAnsi="Bookman Old Style" w:cs="Arial"/>
        </w:rPr>
        <w:t xml:space="preserve"> al resolver la solicitud presentada por </w:t>
      </w:r>
      <w:r w:rsidR="005F51FD">
        <w:rPr>
          <w:rFonts w:ascii="Bookman Old Style" w:hAnsi="Bookman Old Style" w:cs="Arial"/>
        </w:rPr>
        <w:t>GENSA</w:t>
      </w:r>
      <w:r>
        <w:rPr>
          <w:rFonts w:ascii="Bookman Old Style" w:hAnsi="Bookman Old Style" w:cs="Arial"/>
        </w:rPr>
        <w:t>,</w:t>
      </w:r>
      <w:r w:rsidRPr="00360CBB">
        <w:rPr>
          <w:rFonts w:ascii="Bookman Old Style" w:hAnsi="Bookman Old Style" w:cs="Arial"/>
        </w:rPr>
        <w:t xml:space="preserve"> no es la de establecer o validar que los costos y la estructuración de</w:t>
      </w:r>
      <w:r>
        <w:rPr>
          <w:rFonts w:ascii="Bookman Old Style" w:hAnsi="Bookman Old Style" w:cs="Arial"/>
        </w:rPr>
        <w:t xml:space="preserve"> un</w:t>
      </w:r>
      <w:r w:rsidRPr="00360CBB">
        <w:rPr>
          <w:rFonts w:ascii="Bookman Old Style" w:hAnsi="Bookman Old Style" w:cs="Arial"/>
        </w:rPr>
        <w:t xml:space="preserve"> proyecto, </w:t>
      </w:r>
      <w:r>
        <w:rPr>
          <w:rFonts w:ascii="Bookman Old Style" w:hAnsi="Bookman Old Style" w:cs="Arial"/>
        </w:rPr>
        <w:t>en este caso</w:t>
      </w:r>
      <w:r w:rsidR="002C48A3">
        <w:rPr>
          <w:rFonts w:ascii="Bookman Old Style" w:hAnsi="Bookman Old Style" w:cs="Arial"/>
        </w:rPr>
        <w:t>, “</w:t>
      </w:r>
      <w:r w:rsidR="005F51FD">
        <w:rPr>
          <w:rFonts w:ascii="Bookman Old Style" w:hAnsi="Bookman Old Style" w:cs="Arial"/>
        </w:rPr>
        <w:t>Sol de Inírida 2</w:t>
      </w:r>
      <w:r w:rsidR="002B2880">
        <w:rPr>
          <w:rFonts w:ascii="Bookman Old Style" w:hAnsi="Bookman Old Style" w:cs="Arial"/>
        </w:rPr>
        <w:t>”</w:t>
      </w:r>
      <w:r w:rsidRPr="00360CBB">
        <w:rPr>
          <w:rFonts w:ascii="Bookman Old Style" w:hAnsi="Bookman Old Style" w:cs="Arial"/>
        </w:rPr>
        <w:t>, son los correctos, sino definir los costos eficientes de prestación del servicio que pueden ser trasladados a</w:t>
      </w:r>
      <w:r>
        <w:rPr>
          <w:rFonts w:ascii="Bookman Old Style" w:hAnsi="Bookman Old Style" w:cs="Arial"/>
        </w:rPr>
        <w:t xml:space="preserve"> </w:t>
      </w:r>
      <w:r w:rsidRPr="00360CBB">
        <w:rPr>
          <w:rFonts w:ascii="Bookman Old Style" w:hAnsi="Bookman Old Style" w:cs="Arial"/>
        </w:rPr>
        <w:t>l</w:t>
      </w:r>
      <w:r>
        <w:rPr>
          <w:rFonts w:ascii="Bookman Old Style" w:hAnsi="Bookman Old Style" w:cs="Arial"/>
        </w:rPr>
        <w:t>os</w:t>
      </w:r>
      <w:r w:rsidRPr="00360CBB">
        <w:rPr>
          <w:rFonts w:ascii="Bookman Old Style" w:hAnsi="Bookman Old Style" w:cs="Arial"/>
        </w:rPr>
        <w:t xml:space="preserve"> usuario</w:t>
      </w:r>
      <w:r>
        <w:rPr>
          <w:rFonts w:ascii="Bookman Old Style" w:hAnsi="Bookman Old Style" w:cs="Arial"/>
        </w:rPr>
        <w:t>s</w:t>
      </w:r>
      <w:r w:rsidR="00CB5D3D">
        <w:rPr>
          <w:rFonts w:ascii="Bookman Old Style" w:hAnsi="Bookman Old Style" w:cs="Arial"/>
        </w:rPr>
        <w:t xml:space="preserve"> en el respectivo mercado relevante de comercialización</w:t>
      </w:r>
      <w:r w:rsidRPr="00360CBB">
        <w:rPr>
          <w:rFonts w:ascii="Bookman Old Style" w:hAnsi="Bookman Old Style" w:cs="Arial"/>
        </w:rPr>
        <w:t>.</w:t>
      </w:r>
    </w:p>
    <w:p w14:paraId="3FC8C9DE" w14:textId="14F51208" w:rsidR="00CD16FF" w:rsidRDefault="00CD16FF" w:rsidP="008D05B7">
      <w:pPr>
        <w:ind w:left="284"/>
        <w:contextualSpacing/>
        <w:jc w:val="both"/>
        <w:rPr>
          <w:rFonts w:ascii="Bookman Old Style" w:hAnsi="Bookman Old Style" w:cs="Arial"/>
        </w:rPr>
      </w:pPr>
    </w:p>
    <w:p w14:paraId="52AD527E" w14:textId="10EA8A42" w:rsidR="00CD16FF" w:rsidRPr="00D12518" w:rsidRDefault="00F864B5" w:rsidP="00CD16FF">
      <w:pPr>
        <w:ind w:left="284"/>
        <w:contextualSpacing/>
        <w:jc w:val="both"/>
        <w:rPr>
          <w:rFonts w:ascii="Bookman Old Style" w:hAnsi="Bookman Old Style" w:cs="Arial"/>
        </w:rPr>
      </w:pPr>
      <w:r>
        <w:rPr>
          <w:rFonts w:ascii="Bookman Old Style" w:hAnsi="Bookman Old Style" w:cs="Arial"/>
        </w:rPr>
        <w:t>Con</w:t>
      </w:r>
      <w:r w:rsidR="00CD16FF" w:rsidRPr="00D12518">
        <w:rPr>
          <w:rFonts w:ascii="Bookman Old Style" w:hAnsi="Bookman Old Style" w:cs="Arial"/>
        </w:rPr>
        <w:t xml:space="preserve"> respecto a la metodología tarifaria para </w:t>
      </w:r>
      <w:r w:rsidR="002C3224">
        <w:rPr>
          <w:rFonts w:ascii="Bookman Old Style" w:hAnsi="Bookman Old Style" w:cs="Arial"/>
        </w:rPr>
        <w:t xml:space="preserve">la remuneración </w:t>
      </w:r>
      <w:r w:rsidR="004B0AFE">
        <w:rPr>
          <w:rFonts w:ascii="Bookman Old Style" w:hAnsi="Bookman Old Style" w:cs="Arial"/>
        </w:rPr>
        <w:t>de la prestación del</w:t>
      </w:r>
      <w:r w:rsidR="00CD16FF" w:rsidRPr="00D12518">
        <w:rPr>
          <w:rFonts w:ascii="Bookman Old Style" w:hAnsi="Bookman Old Style" w:cs="Arial"/>
        </w:rPr>
        <w:t xml:space="preserve"> servicio de energía eléctrica en ZNI, adoptada mediante Resolución CREG 091 de 2007, debe mencionarse que</w:t>
      </w:r>
      <w:r w:rsidR="005674B2">
        <w:rPr>
          <w:rFonts w:ascii="Bookman Old Style" w:hAnsi="Bookman Old Style" w:cs="Arial"/>
        </w:rPr>
        <w:t>,</w:t>
      </w:r>
      <w:r w:rsidR="00CD16FF" w:rsidRPr="00D12518">
        <w:rPr>
          <w:rFonts w:ascii="Bookman Old Style" w:hAnsi="Bookman Old Style" w:cs="Arial"/>
        </w:rPr>
        <w:t xml:space="preserve"> para el caso de atención a usuarios mediante red de distribución, se adoptó una metodología de precio máximo</w:t>
      </w:r>
      <w:r w:rsidR="00680980">
        <w:rPr>
          <w:rFonts w:ascii="Bookman Old Style" w:hAnsi="Bookman Old Style" w:cs="Arial"/>
        </w:rPr>
        <w:t>.</w:t>
      </w:r>
      <w:r w:rsidR="00CD16FF" w:rsidRPr="00D12518">
        <w:rPr>
          <w:rFonts w:ascii="Bookman Old Style" w:hAnsi="Bookman Old Style" w:cs="Arial"/>
        </w:rPr>
        <w:t xml:space="preserve"> </w:t>
      </w:r>
      <w:r w:rsidR="00680980">
        <w:rPr>
          <w:rFonts w:ascii="Bookman Old Style" w:hAnsi="Bookman Old Style" w:cs="Arial"/>
        </w:rPr>
        <w:t>E</w:t>
      </w:r>
      <w:r w:rsidR="00CD16FF" w:rsidRPr="00D12518">
        <w:rPr>
          <w:rFonts w:ascii="Bookman Old Style" w:hAnsi="Bookman Old Style" w:cs="Arial"/>
        </w:rPr>
        <w:t>sto significa que el costo de prestación del servicio se expresa por unidad de energía, en este caso pesos por kilovatio hora ($ / kWh)</w:t>
      </w:r>
      <w:r w:rsidR="00537674">
        <w:rPr>
          <w:rFonts w:ascii="Bookman Old Style" w:hAnsi="Bookman Old Style" w:cs="Arial"/>
        </w:rPr>
        <w:t>,</w:t>
      </w:r>
      <w:r w:rsidR="00CD16FF" w:rsidRPr="00D12518">
        <w:rPr>
          <w:rFonts w:ascii="Bookman Old Style" w:hAnsi="Bookman Old Style" w:cs="Arial"/>
        </w:rPr>
        <w:t xml:space="preserve"> y solo será trasladable al usuario lo equivalente al cargo máximo de las unidades de energía que </w:t>
      </w:r>
      <w:r w:rsidR="002373E5">
        <w:rPr>
          <w:rFonts w:ascii="Bookman Old Style" w:hAnsi="Bookman Old Style" w:cs="Arial"/>
        </w:rPr>
        <w:t xml:space="preserve">el usuario </w:t>
      </w:r>
      <w:r w:rsidR="00CD16FF" w:rsidRPr="00D12518">
        <w:rPr>
          <w:rFonts w:ascii="Bookman Old Style" w:hAnsi="Bookman Old Style" w:cs="Arial"/>
        </w:rPr>
        <w:t>consuma, independientemente de la capacidad de generación que haya decidido instalar quien funja como generador.</w:t>
      </w:r>
    </w:p>
    <w:p w14:paraId="5E4295CC" w14:textId="77777777" w:rsidR="00CD16FF" w:rsidRPr="00D12518" w:rsidRDefault="00CD16FF" w:rsidP="00CD16FF">
      <w:pPr>
        <w:ind w:left="284"/>
        <w:contextualSpacing/>
        <w:jc w:val="both"/>
        <w:rPr>
          <w:rFonts w:ascii="Bookman Old Style" w:hAnsi="Bookman Old Style" w:cs="Arial"/>
        </w:rPr>
      </w:pPr>
    </w:p>
    <w:p w14:paraId="42A4F9E8" w14:textId="318EF6C8" w:rsidR="0081237D" w:rsidRDefault="00CD16FF" w:rsidP="00CE2C32">
      <w:pPr>
        <w:ind w:left="284"/>
        <w:contextualSpacing/>
        <w:jc w:val="both"/>
        <w:rPr>
          <w:rFonts w:ascii="Bookman Old Style" w:hAnsi="Bookman Old Style" w:cs="Arial"/>
        </w:rPr>
      </w:pPr>
      <w:r w:rsidRPr="00D12518">
        <w:rPr>
          <w:rFonts w:ascii="Bookman Old Style" w:hAnsi="Bookman Old Style" w:cs="Arial"/>
        </w:rPr>
        <w:t>Lo anterior implica que</w:t>
      </w:r>
      <w:r w:rsidR="00537674">
        <w:rPr>
          <w:rFonts w:ascii="Bookman Old Style" w:hAnsi="Bookman Old Style" w:cs="Arial"/>
        </w:rPr>
        <w:t>,</w:t>
      </w:r>
      <w:r w:rsidR="009E5C09">
        <w:rPr>
          <w:rFonts w:ascii="Bookman Old Style" w:hAnsi="Bookman Old Style" w:cs="Arial"/>
        </w:rPr>
        <w:t xml:space="preserve"> en el marco tarifario vigente</w:t>
      </w:r>
      <w:r w:rsidR="00537674">
        <w:rPr>
          <w:rFonts w:ascii="Bookman Old Style" w:hAnsi="Bookman Old Style" w:cs="Arial"/>
        </w:rPr>
        <w:t>,</w:t>
      </w:r>
      <w:r w:rsidRPr="00D12518">
        <w:rPr>
          <w:rFonts w:ascii="Bookman Old Style" w:hAnsi="Bookman Old Style" w:cs="Arial"/>
        </w:rPr>
        <w:t xml:space="preserve"> el riesgo de demanda fue asignado al prestador del servicio, en este caso en particular al generador de energía eléctrica, y, en ese orden de ideas, las inversiones y capacidad del sistema con el que pretenda prestar el servicio son a cuenta y riesgo de este agente.</w:t>
      </w:r>
    </w:p>
    <w:p w14:paraId="013B2063" w14:textId="77777777" w:rsidR="006E04C7" w:rsidRDefault="006E04C7" w:rsidP="00CE2C32">
      <w:pPr>
        <w:ind w:left="284"/>
        <w:contextualSpacing/>
        <w:jc w:val="both"/>
        <w:rPr>
          <w:rFonts w:ascii="Bookman Old Style" w:hAnsi="Bookman Old Style" w:cs="Arial"/>
        </w:rPr>
      </w:pPr>
    </w:p>
    <w:p w14:paraId="4818EA21" w14:textId="515BA4F7" w:rsid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 xml:space="preserve">Con fundamento en lo anterior, esta Comisión considera que </w:t>
      </w:r>
      <w:r w:rsidR="00E46AE8" w:rsidRPr="00E46AE8">
        <w:rPr>
          <w:rFonts w:ascii="Bookman Old Style" w:hAnsi="Bookman Old Style"/>
          <w:szCs w:val="24"/>
        </w:rPr>
        <w:t>no procede</w:t>
      </w:r>
      <w:r w:rsidR="00E46AE8">
        <w:rPr>
          <w:rFonts w:ascii="Bookman Old Style" w:hAnsi="Bookman Old Style"/>
          <w:szCs w:val="24"/>
        </w:rPr>
        <w:t>n los argumentos expuestos en</w:t>
      </w:r>
      <w:r w:rsidR="0085624A">
        <w:rPr>
          <w:rFonts w:ascii="Bookman Old Style" w:hAnsi="Bookman Old Style"/>
          <w:szCs w:val="24"/>
        </w:rPr>
        <w:t xml:space="preserve"> </w:t>
      </w:r>
      <w:r w:rsidRPr="00BC52A7">
        <w:rPr>
          <w:rFonts w:ascii="Bookman Old Style" w:hAnsi="Bookman Old Style"/>
          <w:szCs w:val="24"/>
        </w:rPr>
        <w:t xml:space="preserve">el recurso de reposición </w:t>
      </w:r>
      <w:r w:rsidR="00D97E7C">
        <w:rPr>
          <w:rFonts w:ascii="Bookman Old Style" w:hAnsi="Bookman Old Style"/>
          <w:szCs w:val="24"/>
        </w:rPr>
        <w:t xml:space="preserve">por la empresa </w:t>
      </w:r>
      <w:r w:rsidRPr="00BC52A7">
        <w:rPr>
          <w:rFonts w:ascii="Bookman Old Style" w:hAnsi="Bookman Old Style"/>
          <w:szCs w:val="24"/>
        </w:rPr>
        <w:t xml:space="preserve">en lo que corresponde a la generación de energía del Sistema Solar Fotovoltaico presentado en el marco de la presente actuación administrativa </w:t>
      </w:r>
      <w:r w:rsidR="00D97E7C">
        <w:rPr>
          <w:rFonts w:ascii="Bookman Old Style" w:hAnsi="Bookman Old Style"/>
          <w:szCs w:val="24"/>
        </w:rPr>
        <w:t>y</w:t>
      </w:r>
      <w:r w:rsidR="00537674">
        <w:rPr>
          <w:rFonts w:ascii="Bookman Old Style" w:hAnsi="Bookman Old Style"/>
          <w:szCs w:val="24"/>
        </w:rPr>
        <w:t>,</w:t>
      </w:r>
      <w:r w:rsidR="00D97E7C">
        <w:rPr>
          <w:rFonts w:ascii="Bookman Old Style" w:hAnsi="Bookman Old Style"/>
          <w:szCs w:val="24"/>
        </w:rPr>
        <w:t xml:space="preserve"> por ende</w:t>
      </w:r>
      <w:r w:rsidR="00537674">
        <w:rPr>
          <w:rFonts w:ascii="Bookman Old Style" w:hAnsi="Bookman Old Style"/>
          <w:szCs w:val="24"/>
        </w:rPr>
        <w:t>,</w:t>
      </w:r>
      <w:r w:rsidR="00D97E7C">
        <w:rPr>
          <w:rFonts w:ascii="Bookman Old Style" w:hAnsi="Bookman Old Style"/>
          <w:szCs w:val="24"/>
        </w:rPr>
        <w:t xml:space="preserve"> no hay lugar a</w:t>
      </w:r>
      <w:r w:rsidR="00BC67E9">
        <w:rPr>
          <w:rFonts w:ascii="Bookman Old Style" w:hAnsi="Bookman Old Style"/>
          <w:szCs w:val="24"/>
        </w:rPr>
        <w:t xml:space="preserve"> realizar </w:t>
      </w:r>
      <w:r w:rsidR="00D97E7C">
        <w:rPr>
          <w:rFonts w:ascii="Bookman Old Style" w:hAnsi="Bookman Old Style"/>
          <w:szCs w:val="24"/>
        </w:rPr>
        <w:t>ajuste</w:t>
      </w:r>
      <w:r w:rsidR="00E46AE8">
        <w:rPr>
          <w:rFonts w:ascii="Bookman Old Style" w:hAnsi="Bookman Old Style"/>
          <w:szCs w:val="24"/>
        </w:rPr>
        <w:t>.</w:t>
      </w:r>
    </w:p>
    <w:p w14:paraId="09DA5792" w14:textId="77777777" w:rsidR="00910077" w:rsidRDefault="00910077" w:rsidP="00BC52A7">
      <w:pPr>
        <w:pStyle w:val="Textodebloque"/>
        <w:ind w:left="284" w:right="6"/>
        <w:contextualSpacing/>
        <w:rPr>
          <w:rFonts w:ascii="Bookman Old Style" w:hAnsi="Bookman Old Style"/>
          <w:szCs w:val="24"/>
        </w:rPr>
      </w:pPr>
    </w:p>
    <w:p w14:paraId="08A0B769" w14:textId="77777777" w:rsidR="0085624A" w:rsidRDefault="0085624A" w:rsidP="00BC52A7">
      <w:pPr>
        <w:pStyle w:val="Textodebloque"/>
        <w:ind w:left="284" w:right="6"/>
        <w:contextualSpacing/>
        <w:rPr>
          <w:rFonts w:ascii="Bookman Old Style" w:hAnsi="Bookman Old Style"/>
          <w:szCs w:val="24"/>
        </w:rPr>
      </w:pPr>
    </w:p>
    <w:p w14:paraId="2E054DEF" w14:textId="13AD33E2" w:rsidR="00BC52A7" w:rsidRPr="00753A32" w:rsidRDefault="00BC52A7" w:rsidP="00BC52A7">
      <w:pPr>
        <w:pStyle w:val="Textodebloque"/>
        <w:ind w:left="284" w:right="6"/>
        <w:contextualSpacing/>
        <w:rPr>
          <w:rFonts w:ascii="Bookman Old Style" w:hAnsi="Bookman Old Style"/>
          <w:b/>
          <w:szCs w:val="24"/>
        </w:rPr>
      </w:pPr>
      <w:r w:rsidRPr="00753A32">
        <w:rPr>
          <w:rFonts w:ascii="Bookman Old Style" w:hAnsi="Bookman Old Style"/>
          <w:b/>
          <w:szCs w:val="24"/>
        </w:rPr>
        <w:t>1.2. TAMAÑO Y PRECIO DEL SISTEMA DE BATERÍAS</w:t>
      </w:r>
    </w:p>
    <w:p w14:paraId="1C8BA1DE" w14:textId="77777777" w:rsidR="00BC52A7" w:rsidRPr="00BC52A7" w:rsidRDefault="00BC52A7" w:rsidP="00BC52A7">
      <w:pPr>
        <w:pStyle w:val="Textodebloque"/>
        <w:ind w:left="284" w:right="6"/>
        <w:contextualSpacing/>
        <w:rPr>
          <w:rFonts w:ascii="Bookman Old Style" w:hAnsi="Bookman Old Style"/>
          <w:szCs w:val="24"/>
        </w:rPr>
      </w:pPr>
    </w:p>
    <w:p w14:paraId="6E88A1F9" w14:textId="25D6B8A3" w:rsidR="00BC52A7" w:rsidRDefault="00537674" w:rsidP="00047EF9">
      <w:pPr>
        <w:pStyle w:val="Textodebloque"/>
        <w:ind w:left="284" w:right="6"/>
        <w:contextualSpacing/>
        <w:rPr>
          <w:rFonts w:ascii="Bookman Old Style" w:hAnsi="Bookman Old Style"/>
          <w:szCs w:val="24"/>
        </w:rPr>
      </w:pPr>
      <w:r>
        <w:rPr>
          <w:rFonts w:ascii="Bookman Old Style" w:hAnsi="Bookman Old Style"/>
          <w:szCs w:val="24"/>
        </w:rPr>
        <w:t>En</w:t>
      </w:r>
      <w:r w:rsidR="00BC52A7" w:rsidRPr="00BC52A7">
        <w:rPr>
          <w:rFonts w:ascii="Bookman Old Style" w:hAnsi="Bookman Old Style"/>
          <w:szCs w:val="24"/>
        </w:rPr>
        <w:t xml:space="preserve"> lo que respecta a la configuración del tamaño del sistema de baterías del proyecto de referencia, GENSA</w:t>
      </w:r>
      <w:r>
        <w:rPr>
          <w:rFonts w:ascii="Bookman Old Style" w:hAnsi="Bookman Old Style"/>
          <w:szCs w:val="24"/>
        </w:rPr>
        <w:t xml:space="preserve">, </w:t>
      </w:r>
      <w:r w:rsidR="00BC52A7" w:rsidRPr="00BC52A7">
        <w:rPr>
          <w:rFonts w:ascii="Bookman Old Style" w:hAnsi="Bookman Old Style"/>
          <w:szCs w:val="24"/>
        </w:rPr>
        <w:t>a través del recurso de reposición interpuesto</w:t>
      </w:r>
      <w:r>
        <w:rPr>
          <w:rFonts w:ascii="Bookman Old Style" w:hAnsi="Bookman Old Style"/>
          <w:szCs w:val="24"/>
        </w:rPr>
        <w:t>,</w:t>
      </w:r>
      <w:r w:rsidR="00BC52A7" w:rsidRPr="00BC52A7">
        <w:rPr>
          <w:rFonts w:ascii="Bookman Old Style" w:hAnsi="Bookman Old Style"/>
          <w:szCs w:val="24"/>
        </w:rPr>
        <w:t xml:space="preserve"> manifiesta:</w:t>
      </w:r>
    </w:p>
    <w:p w14:paraId="30174165" w14:textId="77777777" w:rsidR="00047EF9" w:rsidRPr="00BC52A7" w:rsidRDefault="00047EF9" w:rsidP="00047EF9">
      <w:pPr>
        <w:pStyle w:val="Textodebloque"/>
        <w:ind w:left="284" w:right="6"/>
        <w:contextualSpacing/>
        <w:rPr>
          <w:rFonts w:ascii="Bookman Old Style" w:hAnsi="Bookman Old Style"/>
          <w:szCs w:val="24"/>
        </w:rPr>
      </w:pPr>
    </w:p>
    <w:p w14:paraId="0ABAB90F" w14:textId="7FCCDCE0" w:rsidR="00BC52A7" w:rsidRPr="00047EF9" w:rsidRDefault="00BC52A7" w:rsidP="00794917">
      <w:pPr>
        <w:pStyle w:val="Textodebloque"/>
        <w:ind w:right="6"/>
        <w:contextualSpacing/>
        <w:rPr>
          <w:rFonts w:ascii="Bookman Old Style" w:hAnsi="Bookman Old Style"/>
          <w:i/>
          <w:iCs/>
          <w:sz w:val="22"/>
          <w:szCs w:val="22"/>
        </w:rPr>
      </w:pPr>
      <w:r w:rsidRPr="00047EF9">
        <w:rPr>
          <w:rFonts w:ascii="Bookman Old Style" w:hAnsi="Bookman Old Style"/>
          <w:i/>
          <w:iCs/>
          <w:sz w:val="22"/>
          <w:szCs w:val="22"/>
        </w:rPr>
        <w:t>“</w:t>
      </w:r>
      <w:r w:rsidR="00F71C1E" w:rsidRPr="00F71C1E">
        <w:rPr>
          <w:rFonts w:ascii="Bookman Old Style" w:hAnsi="Bookman Old Style"/>
          <w:i/>
          <w:iCs/>
          <w:sz w:val="22"/>
          <w:szCs w:val="22"/>
        </w:rPr>
        <w:t>Según la revisión realizada a la resolución, se interpreta que no se consideró la restricción referente a que las baterías no pueden ser descargadas al 100%, lo cual implicaría un desgaste mayor y más rápido en su vida útil. Como soporte a este punto, quisiéramos aclarar que, las baterías se utilizan solo al 90% de profundidad de descarga (</w:t>
      </w:r>
      <w:proofErr w:type="spellStart"/>
      <w:r w:rsidR="00F71C1E" w:rsidRPr="00F71C1E">
        <w:rPr>
          <w:rFonts w:ascii="Bookman Old Style" w:hAnsi="Bookman Old Style"/>
          <w:i/>
          <w:iCs/>
          <w:sz w:val="22"/>
          <w:szCs w:val="22"/>
        </w:rPr>
        <w:t>DoD</w:t>
      </w:r>
      <w:proofErr w:type="spellEnd"/>
      <w:r w:rsidR="00F71C1E" w:rsidRPr="00F71C1E">
        <w:rPr>
          <w:rFonts w:ascii="Bookman Old Style" w:hAnsi="Bookman Old Style"/>
          <w:i/>
          <w:iCs/>
          <w:sz w:val="22"/>
          <w:szCs w:val="22"/>
        </w:rPr>
        <w:t xml:space="preserve">), dado esto, para tener un sistema de baterías de 33,38 </w:t>
      </w:r>
      <w:proofErr w:type="spellStart"/>
      <w:r w:rsidR="00F71C1E" w:rsidRPr="00F71C1E">
        <w:rPr>
          <w:rFonts w:ascii="Bookman Old Style" w:hAnsi="Bookman Old Style"/>
          <w:i/>
          <w:iCs/>
          <w:sz w:val="22"/>
          <w:szCs w:val="22"/>
        </w:rPr>
        <w:t>MWh</w:t>
      </w:r>
      <w:proofErr w:type="spellEnd"/>
      <w:r w:rsidR="00F71C1E" w:rsidRPr="00F71C1E">
        <w:rPr>
          <w:rFonts w:ascii="Bookman Old Style" w:hAnsi="Bookman Old Style"/>
          <w:i/>
          <w:iCs/>
          <w:sz w:val="22"/>
          <w:szCs w:val="22"/>
        </w:rPr>
        <w:t xml:space="preserve"> neto, hay que instalar 37 </w:t>
      </w:r>
      <w:proofErr w:type="spellStart"/>
      <w:r w:rsidR="00F71C1E" w:rsidRPr="00F71C1E">
        <w:rPr>
          <w:rFonts w:ascii="Bookman Old Style" w:hAnsi="Bookman Old Style"/>
          <w:i/>
          <w:iCs/>
          <w:sz w:val="22"/>
          <w:szCs w:val="22"/>
        </w:rPr>
        <w:t>MWh</w:t>
      </w:r>
      <w:proofErr w:type="spellEnd"/>
      <w:r w:rsidR="00F71C1E" w:rsidRPr="00F71C1E">
        <w:rPr>
          <w:rFonts w:ascii="Bookman Old Style" w:hAnsi="Bookman Old Style"/>
          <w:i/>
          <w:iCs/>
          <w:sz w:val="22"/>
          <w:szCs w:val="22"/>
        </w:rPr>
        <w:t xml:space="preserve"> bruto</w:t>
      </w:r>
      <w:r w:rsidRPr="00047EF9">
        <w:rPr>
          <w:rFonts w:ascii="Bookman Old Style" w:hAnsi="Bookman Old Style"/>
          <w:i/>
          <w:iCs/>
          <w:sz w:val="22"/>
          <w:szCs w:val="22"/>
        </w:rPr>
        <w:t>”</w:t>
      </w:r>
    </w:p>
    <w:p w14:paraId="385A21A2" w14:textId="77777777" w:rsidR="00BC52A7" w:rsidRPr="00BC52A7" w:rsidRDefault="00BC52A7" w:rsidP="00BC52A7">
      <w:pPr>
        <w:pStyle w:val="Textodebloque"/>
        <w:ind w:left="284" w:right="6"/>
        <w:contextualSpacing/>
        <w:rPr>
          <w:rFonts w:ascii="Bookman Old Style" w:hAnsi="Bookman Old Style"/>
          <w:szCs w:val="24"/>
        </w:rPr>
      </w:pPr>
    </w:p>
    <w:p w14:paraId="47B13C33" w14:textId="252FCC2C" w:rsidR="009962FB" w:rsidRDefault="005A6F4F" w:rsidP="00BC52A7">
      <w:pPr>
        <w:pStyle w:val="Textodebloque"/>
        <w:ind w:left="284" w:right="6"/>
        <w:contextualSpacing/>
        <w:rPr>
          <w:rFonts w:ascii="Bookman Old Style" w:hAnsi="Bookman Old Style"/>
          <w:szCs w:val="24"/>
        </w:rPr>
      </w:pPr>
      <w:r>
        <w:rPr>
          <w:rFonts w:ascii="Bookman Old Style" w:hAnsi="Bookman Old Style"/>
          <w:szCs w:val="24"/>
        </w:rPr>
        <w:t xml:space="preserve">Vale la pena resaltar que para </w:t>
      </w:r>
      <w:r w:rsidR="009E42BD">
        <w:rPr>
          <w:rFonts w:ascii="Bookman Old Style" w:hAnsi="Bookman Old Style"/>
          <w:szCs w:val="24"/>
        </w:rPr>
        <w:t>el reconocimiento del valor de las inversiones</w:t>
      </w:r>
      <w:r w:rsidR="009F2226">
        <w:rPr>
          <w:rFonts w:ascii="Bookman Old Style" w:hAnsi="Bookman Old Style"/>
          <w:szCs w:val="24"/>
        </w:rPr>
        <w:t xml:space="preserve"> y la energía que entrega el </w:t>
      </w:r>
      <w:r w:rsidR="007446ED">
        <w:rPr>
          <w:rFonts w:ascii="Bookman Old Style" w:hAnsi="Bookman Old Style"/>
          <w:szCs w:val="24"/>
        </w:rPr>
        <w:t xml:space="preserve">sistema de almacenamiento presentado por GENSA como soporte de su solicitud, esta Comisión no hace supuestos sobre condiciones de configuración y operación de dicho sistema, en particular lo que se menciona </w:t>
      </w:r>
      <w:r w:rsidR="009962FB">
        <w:rPr>
          <w:rFonts w:ascii="Bookman Old Style" w:hAnsi="Bookman Old Style"/>
          <w:szCs w:val="24"/>
        </w:rPr>
        <w:t>en este punto del recurso sobre la profundidad de descarga.</w:t>
      </w:r>
      <w:r w:rsidR="002530AF">
        <w:rPr>
          <w:rFonts w:ascii="Bookman Old Style" w:hAnsi="Bookman Old Style"/>
          <w:szCs w:val="24"/>
        </w:rPr>
        <w:t xml:space="preserve"> Los valores </w:t>
      </w:r>
      <w:r w:rsidR="00751525">
        <w:rPr>
          <w:rFonts w:ascii="Bookman Old Style" w:hAnsi="Bookman Old Style"/>
          <w:szCs w:val="24"/>
        </w:rPr>
        <w:t xml:space="preserve">de inversión </w:t>
      </w:r>
      <w:r w:rsidR="002530AF">
        <w:rPr>
          <w:rFonts w:ascii="Bookman Old Style" w:hAnsi="Bookman Old Style"/>
          <w:szCs w:val="24"/>
        </w:rPr>
        <w:t xml:space="preserve">se reconocieron a partir de la información aportada por el </w:t>
      </w:r>
      <w:r w:rsidR="006912F0">
        <w:rPr>
          <w:rFonts w:ascii="Bookman Old Style" w:hAnsi="Bookman Old Style"/>
          <w:szCs w:val="24"/>
        </w:rPr>
        <w:t>peticionario</w:t>
      </w:r>
      <w:r w:rsidR="002530AF">
        <w:rPr>
          <w:rFonts w:ascii="Bookman Old Style" w:hAnsi="Bookman Old Style"/>
          <w:szCs w:val="24"/>
        </w:rPr>
        <w:t>.</w:t>
      </w:r>
    </w:p>
    <w:p w14:paraId="66556B8E" w14:textId="77777777" w:rsidR="009962FB" w:rsidRDefault="009962FB" w:rsidP="00BC52A7">
      <w:pPr>
        <w:pStyle w:val="Textodebloque"/>
        <w:ind w:left="284" w:right="6"/>
        <w:contextualSpacing/>
        <w:rPr>
          <w:rFonts w:ascii="Bookman Old Style" w:hAnsi="Bookman Old Style"/>
          <w:szCs w:val="24"/>
        </w:rPr>
      </w:pPr>
    </w:p>
    <w:p w14:paraId="0B1E802E" w14:textId="26C02F5C" w:rsidR="00FE6DC1" w:rsidRDefault="009962FB" w:rsidP="00BC52A7">
      <w:pPr>
        <w:pStyle w:val="Textodebloque"/>
        <w:ind w:left="284" w:right="6"/>
        <w:contextualSpacing/>
        <w:rPr>
          <w:rFonts w:ascii="Bookman Old Style" w:hAnsi="Bookman Old Style"/>
          <w:szCs w:val="24"/>
        </w:rPr>
      </w:pPr>
      <w:r>
        <w:rPr>
          <w:rFonts w:ascii="Bookman Old Style" w:hAnsi="Bookman Old Style"/>
          <w:szCs w:val="24"/>
        </w:rPr>
        <w:t xml:space="preserve">Para efectos de </w:t>
      </w:r>
      <w:r w:rsidR="00E4614C">
        <w:rPr>
          <w:rFonts w:ascii="Bookman Old Style" w:hAnsi="Bookman Old Style"/>
          <w:szCs w:val="24"/>
        </w:rPr>
        <w:t>determinar</w:t>
      </w:r>
      <w:r w:rsidR="00016D92">
        <w:rPr>
          <w:rFonts w:ascii="Bookman Old Style" w:hAnsi="Bookman Old Style"/>
          <w:szCs w:val="24"/>
        </w:rPr>
        <w:t xml:space="preserve"> la capacidad del sistema de almacenamiento</w:t>
      </w:r>
      <w:r w:rsidR="00636534">
        <w:rPr>
          <w:rFonts w:ascii="Bookman Old Style" w:hAnsi="Bookman Old Style"/>
          <w:szCs w:val="24"/>
        </w:rPr>
        <w:t xml:space="preserve"> </w:t>
      </w:r>
      <w:r w:rsidR="005D6AFF">
        <w:rPr>
          <w:rFonts w:ascii="Bookman Old Style" w:hAnsi="Bookman Old Style"/>
          <w:szCs w:val="24"/>
        </w:rPr>
        <w:t xml:space="preserve">de referencia </w:t>
      </w:r>
      <w:r w:rsidR="00F0763B">
        <w:rPr>
          <w:rFonts w:ascii="Bookman Old Style" w:hAnsi="Bookman Old Style"/>
          <w:szCs w:val="24"/>
        </w:rPr>
        <w:t>y, en consecuencia, el valor de inversión a reconocer</w:t>
      </w:r>
      <w:r w:rsidR="00196225">
        <w:rPr>
          <w:rFonts w:ascii="Bookman Old Style" w:hAnsi="Bookman Old Style"/>
          <w:szCs w:val="24"/>
        </w:rPr>
        <w:t>se</w:t>
      </w:r>
      <w:r w:rsidR="00F0763B">
        <w:rPr>
          <w:rFonts w:ascii="Bookman Old Style" w:hAnsi="Bookman Old Style"/>
          <w:szCs w:val="24"/>
        </w:rPr>
        <w:t xml:space="preserve">, </w:t>
      </w:r>
      <w:r w:rsidR="00636534">
        <w:rPr>
          <w:rFonts w:ascii="Bookman Old Style" w:hAnsi="Bookman Old Style"/>
          <w:szCs w:val="24"/>
        </w:rPr>
        <w:t>se llevaron a cabo dos pasos</w:t>
      </w:r>
      <w:r w:rsidR="00D31B41">
        <w:rPr>
          <w:rFonts w:ascii="Bookman Old Style" w:hAnsi="Bookman Old Style"/>
          <w:szCs w:val="24"/>
        </w:rPr>
        <w:t xml:space="preserve">. Primero, a partir de la información </w:t>
      </w:r>
      <w:r w:rsidR="006852F2">
        <w:rPr>
          <w:rFonts w:ascii="Bookman Old Style" w:hAnsi="Bookman Old Style"/>
          <w:szCs w:val="24"/>
        </w:rPr>
        <w:t>allegada por GENSA en desarrollo de la actuación</w:t>
      </w:r>
      <w:r w:rsidR="00B6326F">
        <w:rPr>
          <w:rFonts w:ascii="Bookman Old Style" w:hAnsi="Bookman Old Style"/>
          <w:szCs w:val="24"/>
        </w:rPr>
        <w:t>, mediante</w:t>
      </w:r>
      <w:r w:rsidR="006852F2">
        <w:rPr>
          <w:rFonts w:ascii="Bookman Old Style" w:hAnsi="Bookman Old Style"/>
          <w:szCs w:val="24"/>
        </w:rPr>
        <w:t xml:space="preserve"> </w:t>
      </w:r>
      <w:r w:rsidR="00392688" w:rsidRPr="00BC52A7">
        <w:rPr>
          <w:rFonts w:ascii="Bookman Old Style" w:hAnsi="Bookman Old Style"/>
          <w:szCs w:val="24"/>
        </w:rPr>
        <w:t>documento</w:t>
      </w:r>
      <w:r w:rsidR="00392688">
        <w:rPr>
          <w:rFonts w:ascii="Bookman Old Style" w:hAnsi="Bookman Old Style"/>
          <w:szCs w:val="24"/>
        </w:rPr>
        <w:t xml:space="preserve"> </w:t>
      </w:r>
      <w:r w:rsidR="00991DFF">
        <w:rPr>
          <w:rFonts w:ascii="Bookman Old Style" w:hAnsi="Bookman Old Style"/>
          <w:szCs w:val="24"/>
        </w:rPr>
        <w:t xml:space="preserve">con </w:t>
      </w:r>
      <w:r w:rsidR="00392688">
        <w:rPr>
          <w:rFonts w:ascii="Bookman Old Style" w:hAnsi="Bookman Old Style"/>
          <w:szCs w:val="24"/>
        </w:rPr>
        <w:t xml:space="preserve">radicado CREG </w:t>
      </w:r>
      <w:r w:rsidR="00392688" w:rsidRPr="00BC52A7">
        <w:rPr>
          <w:rFonts w:ascii="Bookman Old Style" w:hAnsi="Bookman Old Style"/>
          <w:szCs w:val="24"/>
        </w:rPr>
        <w:t>E-202</w:t>
      </w:r>
      <w:r w:rsidR="002C66A2">
        <w:rPr>
          <w:rFonts w:ascii="Bookman Old Style" w:hAnsi="Bookman Old Style"/>
          <w:szCs w:val="24"/>
        </w:rPr>
        <w:t>2</w:t>
      </w:r>
      <w:r w:rsidR="00392688" w:rsidRPr="00BC52A7">
        <w:rPr>
          <w:rFonts w:ascii="Bookman Old Style" w:hAnsi="Bookman Old Style"/>
          <w:szCs w:val="24"/>
        </w:rPr>
        <w:t>-00</w:t>
      </w:r>
      <w:r w:rsidR="002C66A2">
        <w:rPr>
          <w:rFonts w:ascii="Bookman Old Style" w:hAnsi="Bookman Old Style"/>
          <w:szCs w:val="24"/>
        </w:rPr>
        <w:t>1287</w:t>
      </w:r>
      <w:r w:rsidR="00687A55">
        <w:rPr>
          <w:rFonts w:ascii="Bookman Old Style" w:hAnsi="Bookman Old Style"/>
          <w:szCs w:val="24"/>
        </w:rPr>
        <w:t>,</w:t>
      </w:r>
      <w:r w:rsidR="00392688" w:rsidRPr="00BC52A7">
        <w:rPr>
          <w:rFonts w:ascii="Bookman Old Style" w:hAnsi="Bookman Old Style"/>
          <w:szCs w:val="24"/>
        </w:rPr>
        <w:t xml:space="preserve"> “SDI - E22 - BESS Non-</w:t>
      </w:r>
      <w:proofErr w:type="spellStart"/>
      <w:r w:rsidR="00392688" w:rsidRPr="00BC52A7">
        <w:rPr>
          <w:rFonts w:ascii="Bookman Old Style" w:hAnsi="Bookman Old Style"/>
          <w:szCs w:val="24"/>
        </w:rPr>
        <w:t>Binding</w:t>
      </w:r>
      <w:proofErr w:type="spellEnd"/>
      <w:r w:rsidR="00392688" w:rsidRPr="00BC52A7">
        <w:rPr>
          <w:rFonts w:ascii="Bookman Old Style" w:hAnsi="Bookman Old Style"/>
          <w:szCs w:val="24"/>
        </w:rPr>
        <w:t xml:space="preserve"> </w:t>
      </w:r>
      <w:proofErr w:type="spellStart"/>
      <w:r w:rsidR="00392688" w:rsidRPr="00BC52A7">
        <w:rPr>
          <w:rFonts w:ascii="Bookman Old Style" w:hAnsi="Bookman Old Style"/>
          <w:szCs w:val="24"/>
        </w:rPr>
        <w:t>Proposal</w:t>
      </w:r>
      <w:proofErr w:type="spellEnd"/>
      <w:r w:rsidR="00392688" w:rsidRPr="00BC52A7">
        <w:rPr>
          <w:rFonts w:ascii="Bookman Old Style" w:hAnsi="Bookman Old Style"/>
          <w:szCs w:val="24"/>
        </w:rPr>
        <w:t xml:space="preserve"> </w:t>
      </w:r>
      <w:proofErr w:type="spellStart"/>
      <w:r w:rsidR="00392688" w:rsidRPr="00BC52A7">
        <w:rPr>
          <w:rFonts w:ascii="Bookman Old Style" w:hAnsi="Bookman Old Style"/>
          <w:szCs w:val="24"/>
        </w:rPr>
        <w:t>Inirida</w:t>
      </w:r>
      <w:proofErr w:type="spellEnd"/>
      <w:r w:rsidR="00392688" w:rsidRPr="00BC52A7">
        <w:rPr>
          <w:rFonts w:ascii="Bookman Old Style" w:hAnsi="Bookman Old Style"/>
          <w:szCs w:val="24"/>
        </w:rPr>
        <w:t xml:space="preserve"> - 20210121 - </w:t>
      </w:r>
      <w:r w:rsidR="00F42F5A" w:rsidRPr="00F42F5A">
        <w:rPr>
          <w:rFonts w:ascii="Bookman Old Style" w:hAnsi="Bookman Old Style"/>
          <w:szCs w:val="24"/>
        </w:rPr>
        <w:t>rev2.pdf</w:t>
      </w:r>
      <w:r w:rsidR="00392688" w:rsidRPr="00BC52A7">
        <w:rPr>
          <w:rFonts w:ascii="Bookman Old Style" w:hAnsi="Bookman Old Style"/>
          <w:szCs w:val="24"/>
        </w:rPr>
        <w:t>”</w:t>
      </w:r>
      <w:r w:rsidR="005A0C3C">
        <w:rPr>
          <w:rFonts w:ascii="Bookman Old Style" w:hAnsi="Bookman Old Style"/>
          <w:szCs w:val="24"/>
        </w:rPr>
        <w:t>, se determinó el valor unitario de una celda</w:t>
      </w:r>
      <w:r w:rsidR="00FE6DC1">
        <w:rPr>
          <w:rFonts w:ascii="Bookman Old Style" w:hAnsi="Bookman Old Style"/>
          <w:szCs w:val="24"/>
        </w:rPr>
        <w:t>.</w:t>
      </w:r>
    </w:p>
    <w:p w14:paraId="1B2EA45A" w14:textId="77777777" w:rsidR="00FE6DC1" w:rsidRDefault="00FE6DC1" w:rsidP="00BC52A7">
      <w:pPr>
        <w:pStyle w:val="Textodebloque"/>
        <w:ind w:left="284" w:right="6"/>
        <w:contextualSpacing/>
        <w:rPr>
          <w:rFonts w:ascii="Bookman Old Style" w:hAnsi="Bookman Old Style"/>
          <w:szCs w:val="24"/>
        </w:rPr>
      </w:pPr>
    </w:p>
    <w:p w14:paraId="63A77C70" w14:textId="5395660F" w:rsidR="00D058C7" w:rsidRDefault="00FE6DC1" w:rsidP="00D058C7">
      <w:pPr>
        <w:pStyle w:val="Textodebloque"/>
        <w:ind w:left="284" w:right="6"/>
        <w:contextualSpacing/>
        <w:rPr>
          <w:rFonts w:ascii="Bookman Old Style" w:hAnsi="Bookman Old Style"/>
          <w:szCs w:val="24"/>
        </w:rPr>
      </w:pPr>
      <w:r>
        <w:rPr>
          <w:rFonts w:ascii="Bookman Old Style" w:hAnsi="Bookman Old Style"/>
          <w:szCs w:val="24"/>
        </w:rPr>
        <w:t xml:space="preserve">Teniendo en cuenta la descripción del sistema de almacenamiento </w:t>
      </w:r>
      <w:r w:rsidR="005C2043">
        <w:rPr>
          <w:rFonts w:ascii="Bookman Old Style" w:hAnsi="Bookman Old Style"/>
          <w:szCs w:val="24"/>
        </w:rPr>
        <w:t>del</w:t>
      </w:r>
      <w:r w:rsidR="00392688" w:rsidRPr="00BC52A7">
        <w:rPr>
          <w:rFonts w:ascii="Bookman Old Style" w:hAnsi="Bookman Old Style"/>
          <w:szCs w:val="24"/>
        </w:rPr>
        <w:t xml:space="preserve"> numeral 1. SYSTEM DESCRIPTION</w:t>
      </w:r>
      <w:r w:rsidR="00D13C1E">
        <w:rPr>
          <w:rFonts w:ascii="Bookman Old Style" w:hAnsi="Bookman Old Style"/>
          <w:szCs w:val="24"/>
        </w:rPr>
        <w:t xml:space="preserve"> y del</w:t>
      </w:r>
      <w:r w:rsidR="00D336B1">
        <w:rPr>
          <w:rFonts w:ascii="Bookman Old Style" w:hAnsi="Bookman Old Style"/>
          <w:szCs w:val="24"/>
        </w:rPr>
        <w:t xml:space="preserve"> </w:t>
      </w:r>
      <w:r w:rsidR="00D336B1" w:rsidRPr="00D336B1">
        <w:rPr>
          <w:rFonts w:ascii="Bookman Old Style" w:hAnsi="Bookman Old Style"/>
          <w:szCs w:val="24"/>
        </w:rPr>
        <w:t>APPENDIX 1: BATTERY SYSTEM DATASHEET</w:t>
      </w:r>
      <w:r w:rsidR="005C2043">
        <w:rPr>
          <w:rFonts w:ascii="Bookman Old Style" w:hAnsi="Bookman Old Style"/>
          <w:szCs w:val="24"/>
        </w:rPr>
        <w:t>, de</w:t>
      </w:r>
      <w:r w:rsidR="00FE1EBB">
        <w:rPr>
          <w:rFonts w:ascii="Bookman Old Style" w:hAnsi="Bookman Old Style"/>
          <w:szCs w:val="24"/>
        </w:rPr>
        <w:t>l</w:t>
      </w:r>
      <w:r w:rsidR="005C2043">
        <w:rPr>
          <w:rFonts w:ascii="Bookman Old Style" w:hAnsi="Bookman Old Style"/>
          <w:szCs w:val="24"/>
        </w:rPr>
        <w:t xml:space="preserve"> documento citado</w:t>
      </w:r>
      <w:r w:rsidR="00F4201E">
        <w:rPr>
          <w:rFonts w:ascii="Bookman Old Style" w:hAnsi="Bookman Old Style"/>
          <w:szCs w:val="24"/>
        </w:rPr>
        <w:t xml:space="preserve"> previamente, </w:t>
      </w:r>
      <w:r w:rsidR="00D058C7">
        <w:rPr>
          <w:rFonts w:ascii="Bookman Old Style" w:hAnsi="Bookman Old Style"/>
          <w:szCs w:val="24"/>
        </w:rPr>
        <w:t>se tienen las siguientes relaciones:</w:t>
      </w:r>
    </w:p>
    <w:p w14:paraId="647F1671" w14:textId="77777777" w:rsidR="00714C53" w:rsidRDefault="00714C53" w:rsidP="00D058C7">
      <w:pPr>
        <w:pStyle w:val="Textodebloque"/>
        <w:ind w:left="284" w:right="6"/>
        <w:contextualSpacing/>
        <w:rPr>
          <w:rFonts w:ascii="Bookman Old Style" w:hAnsi="Bookman Old Style"/>
          <w:szCs w:val="24"/>
        </w:rPr>
      </w:pPr>
    </w:p>
    <w:p w14:paraId="0DD5ADFD" w14:textId="0C26611F" w:rsidR="00827725" w:rsidRDefault="00827725" w:rsidP="00827725">
      <w:pPr>
        <w:pStyle w:val="Textodebloque"/>
        <w:ind w:left="284" w:right="6"/>
        <w:contextualSpacing/>
        <w:rPr>
          <w:rFonts w:ascii="Bookman Old Style" w:hAnsi="Bookman Old Style"/>
          <w:szCs w:val="24"/>
        </w:rPr>
      </w:pPr>
      <w:r w:rsidRPr="00827725">
        <w:rPr>
          <w:rFonts w:ascii="Bookman Old Style" w:hAnsi="Bookman Old Style"/>
          <w:szCs w:val="24"/>
        </w:rPr>
        <w:t>Unidades de almacenamiento</w:t>
      </w:r>
      <w:r>
        <w:rPr>
          <w:rFonts w:ascii="Bookman Old Style" w:hAnsi="Bookman Old Style"/>
          <w:szCs w:val="24"/>
        </w:rPr>
        <w:t xml:space="preserve"> por sistema = </w:t>
      </w:r>
      <w:r w:rsidRPr="00827725">
        <w:rPr>
          <w:rFonts w:ascii="Bookman Old Style" w:hAnsi="Bookman Old Style"/>
          <w:szCs w:val="24"/>
        </w:rPr>
        <w:t>9</w:t>
      </w:r>
      <w:r w:rsidR="00255160">
        <w:rPr>
          <w:rFonts w:ascii="Bookman Old Style" w:hAnsi="Bookman Old Style"/>
          <w:szCs w:val="24"/>
        </w:rPr>
        <w:t>.</w:t>
      </w:r>
    </w:p>
    <w:p w14:paraId="06B5F71C" w14:textId="0B3BE802" w:rsidR="00827725" w:rsidRDefault="00CF48AE" w:rsidP="00D058C7">
      <w:pPr>
        <w:pStyle w:val="Textodebloque"/>
        <w:ind w:left="284" w:right="6"/>
        <w:contextualSpacing/>
        <w:rPr>
          <w:rFonts w:ascii="Bookman Old Style" w:hAnsi="Bookman Old Style"/>
          <w:szCs w:val="24"/>
        </w:rPr>
      </w:pPr>
      <w:r>
        <w:rPr>
          <w:rFonts w:ascii="Bookman Old Style" w:hAnsi="Bookman Old Style"/>
          <w:szCs w:val="24"/>
        </w:rPr>
        <w:t xml:space="preserve">Racks por unidad de almacenamiento = </w:t>
      </w:r>
      <w:r w:rsidR="009202D6">
        <w:rPr>
          <w:rFonts w:ascii="Bookman Old Style" w:hAnsi="Bookman Old Style"/>
          <w:szCs w:val="24"/>
        </w:rPr>
        <w:t>2</w:t>
      </w:r>
      <w:r w:rsidR="001978B2">
        <w:rPr>
          <w:rFonts w:ascii="Bookman Old Style" w:hAnsi="Bookman Old Style"/>
          <w:szCs w:val="24"/>
        </w:rPr>
        <w:t>0</w:t>
      </w:r>
      <w:r w:rsidR="00ED7C90">
        <w:rPr>
          <w:rFonts w:ascii="Bookman Old Style" w:hAnsi="Bookman Old Style"/>
          <w:szCs w:val="24"/>
        </w:rPr>
        <w:t xml:space="preserve">; Total </w:t>
      </w:r>
      <w:r w:rsidR="00255160">
        <w:rPr>
          <w:rFonts w:ascii="Bookman Old Style" w:hAnsi="Bookman Old Style"/>
          <w:szCs w:val="24"/>
        </w:rPr>
        <w:t>racks = 180.</w:t>
      </w:r>
    </w:p>
    <w:p w14:paraId="48F69CAF" w14:textId="58BB97EA" w:rsidR="00827725" w:rsidRDefault="00CF48AE" w:rsidP="00D058C7">
      <w:pPr>
        <w:pStyle w:val="Textodebloque"/>
        <w:ind w:left="284" w:right="6"/>
        <w:contextualSpacing/>
        <w:rPr>
          <w:rFonts w:ascii="Bookman Old Style" w:hAnsi="Bookman Old Style"/>
          <w:szCs w:val="24"/>
        </w:rPr>
      </w:pPr>
      <w:r>
        <w:rPr>
          <w:rFonts w:ascii="Bookman Old Style" w:hAnsi="Bookman Old Style"/>
          <w:szCs w:val="24"/>
        </w:rPr>
        <w:t>Módulos por rack</w:t>
      </w:r>
      <w:r w:rsidR="00255160">
        <w:rPr>
          <w:rFonts w:ascii="Bookman Old Style" w:hAnsi="Bookman Old Style"/>
          <w:szCs w:val="24"/>
        </w:rPr>
        <w:t xml:space="preserve"> = 23; Total</w:t>
      </w:r>
      <w:r w:rsidR="00135697">
        <w:rPr>
          <w:rFonts w:ascii="Bookman Old Style" w:hAnsi="Bookman Old Style"/>
          <w:szCs w:val="24"/>
        </w:rPr>
        <w:t xml:space="preserve"> módulos = 4</w:t>
      </w:r>
      <w:r w:rsidR="00A32E55">
        <w:rPr>
          <w:rFonts w:ascii="Bookman Old Style" w:hAnsi="Bookman Old Style"/>
          <w:szCs w:val="24"/>
        </w:rPr>
        <w:t>.</w:t>
      </w:r>
      <w:r w:rsidR="00135697">
        <w:rPr>
          <w:rFonts w:ascii="Bookman Old Style" w:hAnsi="Bookman Old Style"/>
          <w:szCs w:val="24"/>
        </w:rPr>
        <w:t>140.</w:t>
      </w:r>
    </w:p>
    <w:p w14:paraId="798D53F0" w14:textId="1F9396A4" w:rsidR="00827725" w:rsidRPr="00827725" w:rsidRDefault="00827725" w:rsidP="00827725">
      <w:pPr>
        <w:pStyle w:val="Textodebloque"/>
        <w:ind w:left="284" w:right="6"/>
        <w:contextualSpacing/>
        <w:rPr>
          <w:rFonts w:ascii="Bookman Old Style" w:hAnsi="Bookman Old Style"/>
          <w:szCs w:val="24"/>
        </w:rPr>
      </w:pPr>
      <w:r w:rsidRPr="00827725">
        <w:rPr>
          <w:rFonts w:ascii="Bookman Old Style" w:hAnsi="Bookman Old Style"/>
          <w:szCs w:val="24"/>
        </w:rPr>
        <w:t>Celdas</w:t>
      </w:r>
      <w:r w:rsidR="00135697">
        <w:rPr>
          <w:rFonts w:ascii="Bookman Old Style" w:hAnsi="Bookman Old Style"/>
          <w:szCs w:val="24"/>
        </w:rPr>
        <w:t xml:space="preserve"> por módulo</w:t>
      </w:r>
      <w:r w:rsidR="005D7B40">
        <w:rPr>
          <w:rFonts w:ascii="Bookman Old Style" w:hAnsi="Bookman Old Style"/>
          <w:szCs w:val="24"/>
        </w:rPr>
        <w:t xml:space="preserve"> = 10; Total celdas </w:t>
      </w:r>
      <w:r w:rsidRPr="00827725">
        <w:rPr>
          <w:rFonts w:ascii="Bookman Old Style" w:hAnsi="Bookman Old Style"/>
          <w:szCs w:val="24"/>
        </w:rPr>
        <w:t>4</w:t>
      </w:r>
      <w:r w:rsidR="00A32E55">
        <w:rPr>
          <w:rFonts w:ascii="Bookman Old Style" w:hAnsi="Bookman Old Style"/>
          <w:szCs w:val="24"/>
        </w:rPr>
        <w:t>.</w:t>
      </w:r>
      <w:r w:rsidRPr="00827725">
        <w:rPr>
          <w:rFonts w:ascii="Bookman Old Style" w:hAnsi="Bookman Old Style"/>
          <w:szCs w:val="24"/>
        </w:rPr>
        <w:t>400</w:t>
      </w:r>
      <w:r w:rsidR="005D7B40">
        <w:rPr>
          <w:rFonts w:ascii="Bookman Old Style" w:hAnsi="Bookman Old Style"/>
          <w:szCs w:val="24"/>
        </w:rPr>
        <w:t>.</w:t>
      </w:r>
    </w:p>
    <w:p w14:paraId="086C8729" w14:textId="77777777" w:rsidR="005D7B40" w:rsidRDefault="005D7B40" w:rsidP="00D058C7">
      <w:pPr>
        <w:pStyle w:val="Textodebloque"/>
        <w:ind w:left="284" w:right="6"/>
        <w:contextualSpacing/>
        <w:rPr>
          <w:rFonts w:ascii="Bookman Old Style" w:hAnsi="Bookman Old Style"/>
          <w:szCs w:val="24"/>
        </w:rPr>
      </w:pPr>
    </w:p>
    <w:p w14:paraId="3567E8E2" w14:textId="39761E15" w:rsidR="00CB5EE4" w:rsidRDefault="00CB5EE4" w:rsidP="00D058C7">
      <w:pPr>
        <w:pStyle w:val="Textodebloque"/>
        <w:ind w:left="284" w:right="6"/>
        <w:contextualSpacing/>
        <w:rPr>
          <w:rFonts w:ascii="Bookman Old Style" w:hAnsi="Bookman Old Style"/>
          <w:szCs w:val="24"/>
        </w:rPr>
      </w:pPr>
      <w:r>
        <w:rPr>
          <w:rFonts w:ascii="Bookman Old Style" w:hAnsi="Bookman Old Style"/>
          <w:szCs w:val="24"/>
        </w:rPr>
        <w:t xml:space="preserve">Con un valor total </w:t>
      </w:r>
      <w:r w:rsidR="00D2489F">
        <w:rPr>
          <w:rFonts w:ascii="Bookman Old Style" w:hAnsi="Bookman Old Style"/>
          <w:szCs w:val="24"/>
        </w:rPr>
        <w:t>soportado</w:t>
      </w:r>
      <w:r w:rsidR="00267295">
        <w:rPr>
          <w:rFonts w:ascii="Bookman Old Style" w:hAnsi="Bookman Old Style"/>
          <w:szCs w:val="24"/>
        </w:rPr>
        <w:t xml:space="preserve"> para el sistema de almacenamiento</w:t>
      </w:r>
      <w:r w:rsidR="00D2489F">
        <w:rPr>
          <w:rFonts w:ascii="Bookman Old Style" w:hAnsi="Bookman Old Style"/>
          <w:szCs w:val="24"/>
        </w:rPr>
        <w:t xml:space="preserve"> de USD 7,714,759</w:t>
      </w:r>
      <w:r w:rsidR="00537674">
        <w:rPr>
          <w:rFonts w:ascii="Bookman Old Style" w:hAnsi="Bookman Old Style"/>
          <w:szCs w:val="24"/>
        </w:rPr>
        <w:t>,</w:t>
      </w:r>
      <w:r w:rsidR="008464B5">
        <w:rPr>
          <w:rFonts w:ascii="Bookman Old Style" w:hAnsi="Bookman Old Style"/>
          <w:szCs w:val="24"/>
        </w:rPr>
        <w:t xml:space="preserve"> se tiene un valor por celda de USD 186.35. En la tabla siguiente se presenta el resumen y algunas características técnicas del sistema:</w:t>
      </w:r>
    </w:p>
    <w:p w14:paraId="3A59A4BF" w14:textId="77777777" w:rsidR="00CB5EE4" w:rsidRDefault="00CB5EE4" w:rsidP="00D058C7">
      <w:pPr>
        <w:pStyle w:val="Textodebloque"/>
        <w:ind w:left="284" w:right="6"/>
        <w:contextualSpacing/>
        <w:rPr>
          <w:rFonts w:ascii="Bookman Old Style" w:hAnsi="Bookman Old Style"/>
          <w:szCs w:val="24"/>
        </w:rPr>
      </w:pPr>
    </w:p>
    <w:tbl>
      <w:tblPr>
        <w:tblStyle w:val="Tablaconcuadrcula"/>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98"/>
        <w:gridCol w:w="992"/>
        <w:gridCol w:w="701"/>
        <w:gridCol w:w="1076"/>
        <w:gridCol w:w="977"/>
        <w:gridCol w:w="1273"/>
        <w:gridCol w:w="1219"/>
      </w:tblGrid>
      <w:tr w:rsidR="00792999" w:rsidRPr="00D058C7" w14:paraId="29119F06" w14:textId="77777777" w:rsidTr="00FE1EBB">
        <w:trPr>
          <w:trHeight w:val="720"/>
        </w:trPr>
        <w:tc>
          <w:tcPr>
            <w:tcW w:w="1732" w:type="dxa"/>
            <w:vAlign w:val="center"/>
          </w:tcPr>
          <w:p w14:paraId="392BBC04" w14:textId="77777777" w:rsidR="00D058C7" w:rsidRPr="00D058C7" w:rsidRDefault="00D058C7" w:rsidP="00D058C7">
            <w:pPr>
              <w:pStyle w:val="Textodebloque"/>
              <w:spacing w:after="0"/>
              <w:ind w:left="0" w:right="6"/>
              <w:contextualSpacing/>
              <w:rPr>
                <w:rFonts w:ascii="Bookman Old Style" w:hAnsi="Bookman Old Style"/>
                <w:sz w:val="18"/>
                <w:szCs w:val="18"/>
              </w:rPr>
            </w:pPr>
          </w:p>
        </w:tc>
        <w:tc>
          <w:tcPr>
            <w:tcW w:w="1098" w:type="dxa"/>
            <w:vAlign w:val="center"/>
          </w:tcPr>
          <w:p w14:paraId="5DD8B9F9" w14:textId="77777777" w:rsidR="00D058C7" w:rsidRP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Unidades</w:t>
            </w:r>
          </w:p>
        </w:tc>
        <w:tc>
          <w:tcPr>
            <w:tcW w:w="992" w:type="dxa"/>
            <w:vAlign w:val="center"/>
          </w:tcPr>
          <w:p w14:paraId="5E635B19" w14:textId="09D32FE0" w:rsidR="00D058C7" w:rsidRP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Ah/</w:t>
            </w:r>
            <w:proofErr w:type="spellStart"/>
            <w:r w:rsidRPr="00D058C7">
              <w:rPr>
                <w:rFonts w:ascii="Bookman Old Style" w:hAnsi="Bookman Old Style"/>
                <w:b/>
                <w:bCs/>
                <w:sz w:val="18"/>
                <w:szCs w:val="18"/>
              </w:rPr>
              <w:t>und</w:t>
            </w:r>
            <w:proofErr w:type="spellEnd"/>
          </w:p>
        </w:tc>
        <w:tc>
          <w:tcPr>
            <w:tcW w:w="701" w:type="dxa"/>
            <w:vAlign w:val="center"/>
          </w:tcPr>
          <w:p w14:paraId="24AABF87" w14:textId="77777777" w:rsidR="00D058C7" w:rsidRP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V</w:t>
            </w:r>
          </w:p>
        </w:tc>
        <w:tc>
          <w:tcPr>
            <w:tcW w:w="1076" w:type="dxa"/>
            <w:vAlign w:val="center"/>
          </w:tcPr>
          <w:p w14:paraId="458251AB" w14:textId="6FE16308" w:rsidR="00D058C7" w:rsidRP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kWh/</w:t>
            </w:r>
            <w:proofErr w:type="spellStart"/>
            <w:r w:rsidRPr="00D058C7">
              <w:rPr>
                <w:rFonts w:ascii="Bookman Old Style" w:hAnsi="Bookman Old Style"/>
                <w:b/>
                <w:bCs/>
                <w:sz w:val="18"/>
                <w:szCs w:val="18"/>
              </w:rPr>
              <w:t>und</w:t>
            </w:r>
            <w:proofErr w:type="spellEnd"/>
          </w:p>
        </w:tc>
        <w:tc>
          <w:tcPr>
            <w:tcW w:w="977" w:type="dxa"/>
            <w:vAlign w:val="center"/>
          </w:tcPr>
          <w:p w14:paraId="3383ECBB" w14:textId="21333B76" w:rsidR="00D058C7" w:rsidRP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kWh total</w:t>
            </w:r>
          </w:p>
        </w:tc>
        <w:tc>
          <w:tcPr>
            <w:tcW w:w="1273" w:type="dxa"/>
            <w:vAlign w:val="center"/>
          </w:tcPr>
          <w:p w14:paraId="5EC66B24" w14:textId="77777777" w:rsid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Costo Unitario</w:t>
            </w:r>
          </w:p>
          <w:p w14:paraId="671D9314" w14:textId="4591790D" w:rsidR="00FE1EBB" w:rsidRPr="00D058C7" w:rsidRDefault="00FE1EBB" w:rsidP="00D058C7">
            <w:pPr>
              <w:pStyle w:val="Textodebloque"/>
              <w:spacing w:after="0"/>
              <w:ind w:left="0" w:right="6"/>
              <w:contextualSpacing/>
              <w:jc w:val="center"/>
              <w:rPr>
                <w:rFonts w:ascii="Bookman Old Style" w:hAnsi="Bookman Old Style"/>
                <w:b/>
                <w:bCs/>
                <w:sz w:val="18"/>
                <w:szCs w:val="18"/>
              </w:rPr>
            </w:pPr>
            <w:r>
              <w:rPr>
                <w:rFonts w:ascii="Bookman Old Style" w:hAnsi="Bookman Old Style"/>
                <w:b/>
                <w:bCs/>
                <w:sz w:val="18"/>
                <w:szCs w:val="18"/>
              </w:rPr>
              <w:t>USD</w:t>
            </w:r>
          </w:p>
        </w:tc>
        <w:tc>
          <w:tcPr>
            <w:tcW w:w="1219" w:type="dxa"/>
            <w:vAlign w:val="center"/>
          </w:tcPr>
          <w:p w14:paraId="74A05B9A" w14:textId="77777777" w:rsidR="00D058C7" w:rsidRP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Costo Total</w:t>
            </w:r>
          </w:p>
          <w:p w14:paraId="46E70E05" w14:textId="77777777" w:rsidR="00D058C7" w:rsidRPr="00D058C7" w:rsidRDefault="00D058C7" w:rsidP="00D058C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USD</w:t>
            </w:r>
          </w:p>
        </w:tc>
      </w:tr>
      <w:tr w:rsidR="00792999" w:rsidRPr="00D058C7" w14:paraId="7E08D94D" w14:textId="77777777" w:rsidTr="00FE1EBB">
        <w:tc>
          <w:tcPr>
            <w:tcW w:w="1732" w:type="dxa"/>
            <w:vAlign w:val="center"/>
          </w:tcPr>
          <w:p w14:paraId="5A4CE174" w14:textId="77777777" w:rsidR="005037B8" w:rsidRPr="00D058C7" w:rsidRDefault="005037B8" w:rsidP="00D31EE7">
            <w:pPr>
              <w:pStyle w:val="Textodebloque"/>
              <w:spacing w:after="0"/>
              <w:ind w:left="0" w:right="6"/>
              <w:contextualSpacing/>
              <w:jc w:val="left"/>
              <w:rPr>
                <w:rFonts w:ascii="Bookman Old Style" w:hAnsi="Bookman Old Style"/>
                <w:b/>
                <w:bCs/>
                <w:sz w:val="18"/>
                <w:szCs w:val="18"/>
              </w:rPr>
            </w:pPr>
            <w:r w:rsidRPr="00D058C7">
              <w:rPr>
                <w:rFonts w:ascii="Bookman Old Style" w:hAnsi="Bookman Old Style"/>
                <w:b/>
                <w:bCs/>
                <w:sz w:val="18"/>
                <w:szCs w:val="18"/>
              </w:rPr>
              <w:t>Unidades de almacenamiento</w:t>
            </w:r>
          </w:p>
        </w:tc>
        <w:tc>
          <w:tcPr>
            <w:tcW w:w="1098" w:type="dxa"/>
            <w:vAlign w:val="center"/>
          </w:tcPr>
          <w:p w14:paraId="527211A1"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9</w:t>
            </w:r>
          </w:p>
        </w:tc>
        <w:tc>
          <w:tcPr>
            <w:tcW w:w="992" w:type="dxa"/>
            <w:vAlign w:val="center"/>
          </w:tcPr>
          <w:p w14:paraId="7D1B3C4E"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5,600</w:t>
            </w:r>
          </w:p>
        </w:tc>
        <w:tc>
          <w:tcPr>
            <w:tcW w:w="701" w:type="dxa"/>
            <w:vAlign w:val="center"/>
          </w:tcPr>
          <w:p w14:paraId="18E56EFB"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736</w:t>
            </w:r>
          </w:p>
        </w:tc>
        <w:tc>
          <w:tcPr>
            <w:tcW w:w="1076" w:type="dxa"/>
            <w:vAlign w:val="center"/>
          </w:tcPr>
          <w:p w14:paraId="34DF435D" w14:textId="00BBA69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4</w:t>
            </w:r>
            <w:r w:rsidR="00A32E55">
              <w:rPr>
                <w:rFonts w:ascii="Bookman Old Style" w:hAnsi="Bookman Old Style"/>
                <w:sz w:val="18"/>
                <w:szCs w:val="18"/>
              </w:rPr>
              <w:t>.</w:t>
            </w:r>
            <w:r w:rsidRPr="00D058C7">
              <w:rPr>
                <w:rFonts w:ascii="Bookman Old Style" w:hAnsi="Bookman Old Style"/>
                <w:sz w:val="18"/>
                <w:szCs w:val="18"/>
              </w:rPr>
              <w:t>121.60</w:t>
            </w:r>
          </w:p>
        </w:tc>
        <w:tc>
          <w:tcPr>
            <w:tcW w:w="977" w:type="dxa"/>
            <w:vAlign w:val="center"/>
          </w:tcPr>
          <w:p w14:paraId="742818C1" w14:textId="4293ECBD"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37</w:t>
            </w:r>
            <w:r w:rsidR="00F63D53">
              <w:rPr>
                <w:rFonts w:ascii="Bookman Old Style" w:hAnsi="Bookman Old Style"/>
                <w:sz w:val="18"/>
                <w:szCs w:val="18"/>
              </w:rPr>
              <w:t>.</w:t>
            </w:r>
            <w:r w:rsidRPr="00D058C7">
              <w:rPr>
                <w:rFonts w:ascii="Bookman Old Style" w:hAnsi="Bookman Old Style"/>
                <w:sz w:val="18"/>
                <w:szCs w:val="18"/>
              </w:rPr>
              <w:t>094</w:t>
            </w:r>
          </w:p>
        </w:tc>
        <w:tc>
          <w:tcPr>
            <w:tcW w:w="1273" w:type="dxa"/>
            <w:vAlign w:val="center"/>
          </w:tcPr>
          <w:p w14:paraId="414A9960" w14:textId="25F8676B"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857</w:t>
            </w:r>
            <w:r w:rsidR="00F63D53">
              <w:rPr>
                <w:rFonts w:ascii="Bookman Old Style" w:hAnsi="Bookman Old Style"/>
                <w:sz w:val="18"/>
                <w:szCs w:val="18"/>
              </w:rPr>
              <w:t>.</w:t>
            </w:r>
            <w:r w:rsidRPr="00D058C7">
              <w:rPr>
                <w:rFonts w:ascii="Bookman Old Style" w:hAnsi="Bookman Old Style"/>
                <w:sz w:val="18"/>
                <w:szCs w:val="18"/>
              </w:rPr>
              <w:t>195</w:t>
            </w:r>
          </w:p>
        </w:tc>
        <w:tc>
          <w:tcPr>
            <w:tcW w:w="1219" w:type="dxa"/>
            <w:vAlign w:val="center"/>
          </w:tcPr>
          <w:p w14:paraId="65EADC0D" w14:textId="095CF408"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7</w:t>
            </w:r>
            <w:r w:rsidR="0067115A">
              <w:rPr>
                <w:rFonts w:ascii="Bookman Old Style" w:hAnsi="Bookman Old Style"/>
                <w:sz w:val="18"/>
                <w:szCs w:val="18"/>
              </w:rPr>
              <w:t>.</w:t>
            </w:r>
            <w:r w:rsidRPr="00D058C7">
              <w:rPr>
                <w:rFonts w:ascii="Bookman Old Style" w:hAnsi="Bookman Old Style"/>
                <w:sz w:val="18"/>
                <w:szCs w:val="18"/>
              </w:rPr>
              <w:t>714</w:t>
            </w:r>
            <w:r w:rsidR="0067115A">
              <w:rPr>
                <w:rFonts w:ascii="Bookman Old Style" w:hAnsi="Bookman Old Style"/>
                <w:sz w:val="18"/>
                <w:szCs w:val="18"/>
              </w:rPr>
              <w:t>.</w:t>
            </w:r>
            <w:r w:rsidRPr="00D058C7">
              <w:rPr>
                <w:rFonts w:ascii="Bookman Old Style" w:hAnsi="Bookman Old Style"/>
                <w:sz w:val="18"/>
                <w:szCs w:val="18"/>
              </w:rPr>
              <w:t>759</w:t>
            </w:r>
          </w:p>
        </w:tc>
      </w:tr>
      <w:tr w:rsidR="00792999" w:rsidRPr="00D058C7" w14:paraId="2CA7AB8A" w14:textId="77777777" w:rsidTr="00FE1EBB">
        <w:tc>
          <w:tcPr>
            <w:tcW w:w="1732" w:type="dxa"/>
            <w:vAlign w:val="center"/>
          </w:tcPr>
          <w:p w14:paraId="3E46BABD" w14:textId="77777777" w:rsidR="005037B8" w:rsidRPr="00D058C7" w:rsidRDefault="005037B8" w:rsidP="00D31EE7">
            <w:pPr>
              <w:pStyle w:val="Textodebloque"/>
              <w:spacing w:after="0"/>
              <w:ind w:left="0" w:right="6"/>
              <w:contextualSpacing/>
              <w:rPr>
                <w:rFonts w:ascii="Bookman Old Style" w:hAnsi="Bookman Old Style"/>
                <w:b/>
                <w:bCs/>
                <w:sz w:val="18"/>
                <w:szCs w:val="18"/>
              </w:rPr>
            </w:pPr>
            <w:r w:rsidRPr="00D058C7">
              <w:rPr>
                <w:rFonts w:ascii="Bookman Old Style" w:hAnsi="Bookman Old Style"/>
                <w:b/>
                <w:bCs/>
                <w:sz w:val="18"/>
                <w:szCs w:val="18"/>
              </w:rPr>
              <w:t>Racks</w:t>
            </w:r>
          </w:p>
        </w:tc>
        <w:tc>
          <w:tcPr>
            <w:tcW w:w="1098" w:type="dxa"/>
            <w:vAlign w:val="center"/>
          </w:tcPr>
          <w:p w14:paraId="3A76A879"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180</w:t>
            </w:r>
          </w:p>
        </w:tc>
        <w:tc>
          <w:tcPr>
            <w:tcW w:w="992" w:type="dxa"/>
            <w:vAlign w:val="center"/>
          </w:tcPr>
          <w:p w14:paraId="7529FA94"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280</w:t>
            </w:r>
          </w:p>
        </w:tc>
        <w:tc>
          <w:tcPr>
            <w:tcW w:w="701" w:type="dxa"/>
            <w:vAlign w:val="center"/>
          </w:tcPr>
          <w:p w14:paraId="667EEAB0"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736</w:t>
            </w:r>
          </w:p>
        </w:tc>
        <w:tc>
          <w:tcPr>
            <w:tcW w:w="1076" w:type="dxa"/>
            <w:vAlign w:val="center"/>
          </w:tcPr>
          <w:p w14:paraId="2DFE4392"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206.08</w:t>
            </w:r>
          </w:p>
        </w:tc>
        <w:tc>
          <w:tcPr>
            <w:tcW w:w="977" w:type="dxa"/>
            <w:vAlign w:val="center"/>
          </w:tcPr>
          <w:p w14:paraId="0E730585" w14:textId="256A8342"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37</w:t>
            </w:r>
            <w:r w:rsidR="00F63D53">
              <w:rPr>
                <w:rFonts w:ascii="Bookman Old Style" w:hAnsi="Bookman Old Style"/>
                <w:sz w:val="18"/>
                <w:szCs w:val="18"/>
              </w:rPr>
              <w:t>.</w:t>
            </w:r>
            <w:r w:rsidRPr="00D058C7">
              <w:rPr>
                <w:rFonts w:ascii="Bookman Old Style" w:hAnsi="Bookman Old Style"/>
                <w:sz w:val="18"/>
                <w:szCs w:val="18"/>
              </w:rPr>
              <w:t>094</w:t>
            </w:r>
          </w:p>
        </w:tc>
        <w:tc>
          <w:tcPr>
            <w:tcW w:w="1273" w:type="dxa"/>
            <w:vAlign w:val="center"/>
          </w:tcPr>
          <w:p w14:paraId="6DA76BBF" w14:textId="4A577B86"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42</w:t>
            </w:r>
            <w:r w:rsidR="00F63D53">
              <w:rPr>
                <w:rFonts w:ascii="Bookman Old Style" w:hAnsi="Bookman Old Style"/>
                <w:sz w:val="18"/>
                <w:szCs w:val="18"/>
              </w:rPr>
              <w:t>.</w:t>
            </w:r>
            <w:r w:rsidRPr="00D058C7">
              <w:rPr>
                <w:rFonts w:ascii="Bookman Old Style" w:hAnsi="Bookman Old Style"/>
                <w:sz w:val="18"/>
                <w:szCs w:val="18"/>
              </w:rPr>
              <w:t>8</w:t>
            </w:r>
            <w:r w:rsidR="00C87742">
              <w:rPr>
                <w:rFonts w:ascii="Bookman Old Style" w:hAnsi="Bookman Old Style"/>
                <w:sz w:val="18"/>
                <w:szCs w:val="18"/>
              </w:rPr>
              <w:t>60</w:t>
            </w:r>
          </w:p>
        </w:tc>
        <w:tc>
          <w:tcPr>
            <w:tcW w:w="1219" w:type="dxa"/>
            <w:vAlign w:val="center"/>
          </w:tcPr>
          <w:p w14:paraId="4ADD7393" w14:textId="7DEE735D"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7</w:t>
            </w:r>
            <w:r w:rsidR="0067115A">
              <w:rPr>
                <w:rFonts w:ascii="Bookman Old Style" w:hAnsi="Bookman Old Style"/>
                <w:sz w:val="18"/>
                <w:szCs w:val="18"/>
              </w:rPr>
              <w:t>.</w:t>
            </w:r>
            <w:r w:rsidRPr="00D058C7">
              <w:rPr>
                <w:rFonts w:ascii="Bookman Old Style" w:hAnsi="Bookman Old Style"/>
                <w:sz w:val="18"/>
                <w:szCs w:val="18"/>
              </w:rPr>
              <w:t>714</w:t>
            </w:r>
            <w:r w:rsidR="0067115A">
              <w:rPr>
                <w:rFonts w:ascii="Bookman Old Style" w:hAnsi="Bookman Old Style"/>
                <w:sz w:val="18"/>
                <w:szCs w:val="18"/>
              </w:rPr>
              <w:t>.</w:t>
            </w:r>
            <w:r w:rsidRPr="00D058C7">
              <w:rPr>
                <w:rFonts w:ascii="Bookman Old Style" w:hAnsi="Bookman Old Style"/>
                <w:sz w:val="18"/>
                <w:szCs w:val="18"/>
              </w:rPr>
              <w:t>759</w:t>
            </w:r>
          </w:p>
        </w:tc>
      </w:tr>
      <w:tr w:rsidR="00792999" w:rsidRPr="00D058C7" w14:paraId="6DF5DAFD" w14:textId="77777777" w:rsidTr="00FE1EBB">
        <w:tc>
          <w:tcPr>
            <w:tcW w:w="1732" w:type="dxa"/>
            <w:vAlign w:val="center"/>
          </w:tcPr>
          <w:p w14:paraId="7ABEA682" w14:textId="77777777" w:rsidR="005037B8" w:rsidRPr="00D058C7" w:rsidRDefault="005037B8" w:rsidP="00D31EE7">
            <w:pPr>
              <w:pStyle w:val="Textodebloque"/>
              <w:spacing w:after="0"/>
              <w:ind w:left="0" w:right="6"/>
              <w:contextualSpacing/>
              <w:rPr>
                <w:rFonts w:ascii="Bookman Old Style" w:hAnsi="Bookman Old Style"/>
                <w:b/>
                <w:bCs/>
                <w:sz w:val="18"/>
                <w:szCs w:val="18"/>
              </w:rPr>
            </w:pPr>
            <w:r w:rsidRPr="00D058C7">
              <w:rPr>
                <w:rFonts w:ascii="Bookman Old Style" w:hAnsi="Bookman Old Style"/>
                <w:b/>
                <w:bCs/>
                <w:sz w:val="18"/>
                <w:szCs w:val="18"/>
              </w:rPr>
              <w:t>Módulos</w:t>
            </w:r>
          </w:p>
        </w:tc>
        <w:tc>
          <w:tcPr>
            <w:tcW w:w="1098" w:type="dxa"/>
            <w:vAlign w:val="center"/>
          </w:tcPr>
          <w:p w14:paraId="7F06BF16" w14:textId="5B9ACFFE"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4</w:t>
            </w:r>
            <w:r w:rsidR="00A32E55">
              <w:rPr>
                <w:rFonts w:ascii="Bookman Old Style" w:hAnsi="Bookman Old Style"/>
                <w:sz w:val="18"/>
                <w:szCs w:val="18"/>
              </w:rPr>
              <w:t>.</w:t>
            </w:r>
            <w:r w:rsidRPr="00D058C7">
              <w:rPr>
                <w:rFonts w:ascii="Bookman Old Style" w:hAnsi="Bookman Old Style"/>
                <w:sz w:val="18"/>
                <w:szCs w:val="18"/>
              </w:rPr>
              <w:t>140</w:t>
            </w:r>
          </w:p>
        </w:tc>
        <w:tc>
          <w:tcPr>
            <w:tcW w:w="992" w:type="dxa"/>
            <w:vAlign w:val="center"/>
          </w:tcPr>
          <w:p w14:paraId="40DDA48E"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280</w:t>
            </w:r>
          </w:p>
        </w:tc>
        <w:tc>
          <w:tcPr>
            <w:tcW w:w="701" w:type="dxa"/>
            <w:vAlign w:val="center"/>
          </w:tcPr>
          <w:p w14:paraId="11FEB547"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32</w:t>
            </w:r>
          </w:p>
        </w:tc>
        <w:tc>
          <w:tcPr>
            <w:tcW w:w="1076" w:type="dxa"/>
            <w:vAlign w:val="center"/>
          </w:tcPr>
          <w:p w14:paraId="737D2886" w14:textId="77777777"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8.96</w:t>
            </w:r>
          </w:p>
        </w:tc>
        <w:tc>
          <w:tcPr>
            <w:tcW w:w="977" w:type="dxa"/>
            <w:vAlign w:val="center"/>
          </w:tcPr>
          <w:p w14:paraId="2388A4AD" w14:textId="124AADCF"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37</w:t>
            </w:r>
            <w:r w:rsidR="00F63D53">
              <w:rPr>
                <w:rFonts w:ascii="Bookman Old Style" w:hAnsi="Bookman Old Style"/>
                <w:sz w:val="18"/>
                <w:szCs w:val="18"/>
              </w:rPr>
              <w:t>.</w:t>
            </w:r>
            <w:r w:rsidRPr="00D058C7">
              <w:rPr>
                <w:rFonts w:ascii="Bookman Old Style" w:hAnsi="Bookman Old Style"/>
                <w:sz w:val="18"/>
                <w:szCs w:val="18"/>
              </w:rPr>
              <w:t>094</w:t>
            </w:r>
          </w:p>
        </w:tc>
        <w:tc>
          <w:tcPr>
            <w:tcW w:w="1273" w:type="dxa"/>
            <w:vAlign w:val="center"/>
          </w:tcPr>
          <w:p w14:paraId="4C224E66" w14:textId="125CEF54"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1</w:t>
            </w:r>
            <w:r w:rsidR="00F63D53">
              <w:rPr>
                <w:rFonts w:ascii="Bookman Old Style" w:hAnsi="Bookman Old Style"/>
                <w:sz w:val="18"/>
                <w:szCs w:val="18"/>
              </w:rPr>
              <w:t>.</w:t>
            </w:r>
            <w:r w:rsidRPr="00D058C7">
              <w:rPr>
                <w:rFonts w:ascii="Bookman Old Style" w:hAnsi="Bookman Old Style"/>
                <w:sz w:val="18"/>
                <w:szCs w:val="18"/>
              </w:rPr>
              <w:t>863</w:t>
            </w:r>
          </w:p>
        </w:tc>
        <w:tc>
          <w:tcPr>
            <w:tcW w:w="1219" w:type="dxa"/>
            <w:vAlign w:val="center"/>
          </w:tcPr>
          <w:p w14:paraId="5B2678D1" w14:textId="2AF1011B" w:rsidR="005037B8" w:rsidRPr="00D058C7" w:rsidRDefault="005037B8" w:rsidP="00D31EE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7</w:t>
            </w:r>
            <w:r w:rsidR="0067115A">
              <w:rPr>
                <w:rFonts w:ascii="Bookman Old Style" w:hAnsi="Bookman Old Style"/>
                <w:sz w:val="18"/>
                <w:szCs w:val="18"/>
              </w:rPr>
              <w:t>.</w:t>
            </w:r>
            <w:r w:rsidRPr="00D058C7">
              <w:rPr>
                <w:rFonts w:ascii="Bookman Old Style" w:hAnsi="Bookman Old Style"/>
                <w:sz w:val="18"/>
                <w:szCs w:val="18"/>
              </w:rPr>
              <w:t>714</w:t>
            </w:r>
            <w:r w:rsidR="0067115A">
              <w:rPr>
                <w:rFonts w:ascii="Bookman Old Style" w:hAnsi="Bookman Old Style"/>
                <w:sz w:val="18"/>
                <w:szCs w:val="18"/>
              </w:rPr>
              <w:t>.</w:t>
            </w:r>
            <w:r w:rsidRPr="00D058C7">
              <w:rPr>
                <w:rFonts w:ascii="Bookman Old Style" w:hAnsi="Bookman Old Style"/>
                <w:sz w:val="18"/>
                <w:szCs w:val="18"/>
              </w:rPr>
              <w:t>759</w:t>
            </w:r>
          </w:p>
        </w:tc>
      </w:tr>
      <w:tr w:rsidR="00792999" w:rsidRPr="00D058C7" w14:paraId="55AF47E8" w14:textId="77777777" w:rsidTr="00FE1EBB">
        <w:tc>
          <w:tcPr>
            <w:tcW w:w="1732" w:type="dxa"/>
            <w:vAlign w:val="center"/>
          </w:tcPr>
          <w:p w14:paraId="240E6E6A" w14:textId="77777777" w:rsidR="00D058C7" w:rsidRPr="00D058C7" w:rsidRDefault="00D058C7" w:rsidP="00D058C7">
            <w:pPr>
              <w:pStyle w:val="Textodebloque"/>
              <w:spacing w:after="0"/>
              <w:ind w:left="0" w:right="6"/>
              <w:contextualSpacing/>
              <w:rPr>
                <w:rFonts w:ascii="Bookman Old Style" w:hAnsi="Bookman Old Style"/>
                <w:b/>
                <w:bCs/>
                <w:sz w:val="18"/>
                <w:szCs w:val="18"/>
              </w:rPr>
            </w:pPr>
            <w:r w:rsidRPr="00D058C7">
              <w:rPr>
                <w:rFonts w:ascii="Bookman Old Style" w:hAnsi="Bookman Old Style"/>
                <w:b/>
                <w:bCs/>
                <w:sz w:val="18"/>
                <w:szCs w:val="18"/>
              </w:rPr>
              <w:t>Celdas</w:t>
            </w:r>
          </w:p>
        </w:tc>
        <w:tc>
          <w:tcPr>
            <w:tcW w:w="1098" w:type="dxa"/>
            <w:vAlign w:val="center"/>
          </w:tcPr>
          <w:p w14:paraId="58AEAC0D" w14:textId="33BFD24E" w:rsidR="00D058C7" w:rsidRPr="00D058C7" w:rsidRDefault="00D058C7" w:rsidP="00D058C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41</w:t>
            </w:r>
            <w:r w:rsidR="00A32E55">
              <w:rPr>
                <w:rFonts w:ascii="Bookman Old Style" w:hAnsi="Bookman Old Style"/>
                <w:sz w:val="18"/>
                <w:szCs w:val="18"/>
              </w:rPr>
              <w:t>.</w:t>
            </w:r>
            <w:r w:rsidRPr="00D058C7">
              <w:rPr>
                <w:rFonts w:ascii="Bookman Old Style" w:hAnsi="Bookman Old Style"/>
                <w:sz w:val="18"/>
                <w:szCs w:val="18"/>
              </w:rPr>
              <w:t>400</w:t>
            </w:r>
          </w:p>
        </w:tc>
        <w:tc>
          <w:tcPr>
            <w:tcW w:w="992" w:type="dxa"/>
            <w:vAlign w:val="center"/>
          </w:tcPr>
          <w:p w14:paraId="400B5CDE" w14:textId="77777777" w:rsidR="00D058C7" w:rsidRPr="00D058C7" w:rsidRDefault="00D058C7" w:rsidP="00D058C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280</w:t>
            </w:r>
          </w:p>
        </w:tc>
        <w:tc>
          <w:tcPr>
            <w:tcW w:w="701" w:type="dxa"/>
            <w:vAlign w:val="center"/>
          </w:tcPr>
          <w:p w14:paraId="0EF68AF1" w14:textId="77777777" w:rsidR="00D058C7" w:rsidRPr="00D058C7" w:rsidRDefault="00D058C7" w:rsidP="00D058C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3.2</w:t>
            </w:r>
          </w:p>
        </w:tc>
        <w:tc>
          <w:tcPr>
            <w:tcW w:w="1076" w:type="dxa"/>
            <w:vAlign w:val="center"/>
          </w:tcPr>
          <w:p w14:paraId="233CEE4F" w14:textId="77777777" w:rsidR="00D058C7" w:rsidRPr="00D058C7" w:rsidRDefault="00D058C7" w:rsidP="00D058C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0.896</w:t>
            </w:r>
          </w:p>
        </w:tc>
        <w:tc>
          <w:tcPr>
            <w:tcW w:w="977" w:type="dxa"/>
            <w:vAlign w:val="center"/>
          </w:tcPr>
          <w:p w14:paraId="738F0D5C" w14:textId="098838F5" w:rsidR="00D058C7" w:rsidRPr="00D058C7" w:rsidRDefault="00D058C7" w:rsidP="00D058C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37</w:t>
            </w:r>
            <w:r w:rsidR="00F63D53">
              <w:rPr>
                <w:rFonts w:ascii="Bookman Old Style" w:hAnsi="Bookman Old Style"/>
                <w:sz w:val="18"/>
                <w:szCs w:val="18"/>
              </w:rPr>
              <w:t>.</w:t>
            </w:r>
            <w:r w:rsidRPr="00D058C7">
              <w:rPr>
                <w:rFonts w:ascii="Bookman Old Style" w:hAnsi="Bookman Old Style"/>
                <w:sz w:val="18"/>
                <w:szCs w:val="18"/>
              </w:rPr>
              <w:t>094</w:t>
            </w:r>
          </w:p>
        </w:tc>
        <w:tc>
          <w:tcPr>
            <w:tcW w:w="1273" w:type="dxa"/>
            <w:vAlign w:val="center"/>
          </w:tcPr>
          <w:p w14:paraId="52007942" w14:textId="0E15DD44" w:rsidR="00D058C7" w:rsidRPr="00A44D5B" w:rsidRDefault="00D058C7" w:rsidP="00D058C7">
            <w:pPr>
              <w:pStyle w:val="Textodebloque"/>
              <w:spacing w:after="0"/>
              <w:ind w:left="0" w:right="6"/>
              <w:contextualSpacing/>
              <w:jc w:val="right"/>
              <w:rPr>
                <w:rFonts w:ascii="Bookman Old Style" w:hAnsi="Bookman Old Style"/>
                <w:b/>
                <w:bCs/>
                <w:sz w:val="18"/>
                <w:szCs w:val="18"/>
              </w:rPr>
            </w:pPr>
            <w:r w:rsidRPr="00A44D5B">
              <w:rPr>
                <w:rFonts w:ascii="Bookman Old Style" w:hAnsi="Bookman Old Style"/>
                <w:b/>
                <w:bCs/>
                <w:sz w:val="18"/>
                <w:szCs w:val="18"/>
              </w:rPr>
              <w:t>186</w:t>
            </w:r>
            <w:r w:rsidR="00F63D53">
              <w:rPr>
                <w:rFonts w:ascii="Bookman Old Style" w:hAnsi="Bookman Old Style"/>
                <w:b/>
                <w:sz w:val="18"/>
                <w:szCs w:val="18"/>
              </w:rPr>
              <w:t>,</w:t>
            </w:r>
            <w:r w:rsidRPr="00A44D5B">
              <w:rPr>
                <w:rFonts w:ascii="Bookman Old Style" w:hAnsi="Bookman Old Style"/>
                <w:b/>
                <w:bCs/>
                <w:sz w:val="18"/>
                <w:szCs w:val="18"/>
              </w:rPr>
              <w:t>35</w:t>
            </w:r>
          </w:p>
        </w:tc>
        <w:tc>
          <w:tcPr>
            <w:tcW w:w="1219" w:type="dxa"/>
            <w:vAlign w:val="center"/>
          </w:tcPr>
          <w:p w14:paraId="7738B61C" w14:textId="53386EC4" w:rsidR="00D058C7" w:rsidRPr="00D058C7" w:rsidRDefault="00D058C7" w:rsidP="00D058C7">
            <w:pPr>
              <w:pStyle w:val="Textodebloque"/>
              <w:spacing w:after="0"/>
              <w:ind w:left="0" w:right="6"/>
              <w:contextualSpacing/>
              <w:jc w:val="right"/>
              <w:rPr>
                <w:rFonts w:ascii="Bookman Old Style" w:hAnsi="Bookman Old Style"/>
                <w:sz w:val="18"/>
                <w:szCs w:val="18"/>
              </w:rPr>
            </w:pPr>
            <w:r w:rsidRPr="00D058C7">
              <w:rPr>
                <w:rFonts w:ascii="Bookman Old Style" w:hAnsi="Bookman Old Style"/>
                <w:sz w:val="18"/>
                <w:szCs w:val="18"/>
              </w:rPr>
              <w:t>7</w:t>
            </w:r>
            <w:r w:rsidR="0067115A">
              <w:rPr>
                <w:rFonts w:ascii="Bookman Old Style" w:hAnsi="Bookman Old Style"/>
                <w:sz w:val="18"/>
                <w:szCs w:val="18"/>
              </w:rPr>
              <w:t>.</w:t>
            </w:r>
            <w:r w:rsidRPr="00D058C7">
              <w:rPr>
                <w:rFonts w:ascii="Bookman Old Style" w:hAnsi="Bookman Old Style"/>
                <w:sz w:val="18"/>
                <w:szCs w:val="18"/>
              </w:rPr>
              <w:t>714</w:t>
            </w:r>
            <w:r w:rsidR="0067115A">
              <w:rPr>
                <w:rFonts w:ascii="Bookman Old Style" w:hAnsi="Bookman Old Style"/>
                <w:sz w:val="18"/>
                <w:szCs w:val="18"/>
              </w:rPr>
              <w:t>.</w:t>
            </w:r>
            <w:r w:rsidRPr="00D058C7">
              <w:rPr>
                <w:rFonts w:ascii="Bookman Old Style" w:hAnsi="Bookman Old Style"/>
                <w:sz w:val="18"/>
                <w:szCs w:val="18"/>
              </w:rPr>
              <w:t>759</w:t>
            </w:r>
          </w:p>
        </w:tc>
      </w:tr>
    </w:tbl>
    <w:p w14:paraId="10918A73" w14:textId="42FB34FB" w:rsidR="00AF31AD" w:rsidRDefault="00A010D0" w:rsidP="00A010D0">
      <w:pPr>
        <w:pStyle w:val="Textodebloque"/>
        <w:ind w:left="284" w:right="6"/>
        <w:contextualSpacing/>
        <w:jc w:val="center"/>
        <w:rPr>
          <w:rFonts w:ascii="Bookman Old Style" w:hAnsi="Bookman Old Style"/>
          <w:sz w:val="20"/>
          <w:szCs w:val="24"/>
        </w:rPr>
      </w:pPr>
      <w:r w:rsidRPr="00A010D0">
        <w:rPr>
          <w:rFonts w:ascii="Bookman Old Style" w:hAnsi="Bookman Old Style"/>
          <w:sz w:val="20"/>
          <w:szCs w:val="24"/>
        </w:rPr>
        <w:t>Fuente: Elaboración propia</w:t>
      </w:r>
    </w:p>
    <w:p w14:paraId="3A2C49B7" w14:textId="77777777" w:rsidR="00A010D0" w:rsidRPr="00A010D0" w:rsidRDefault="00A010D0" w:rsidP="00A010D0">
      <w:pPr>
        <w:pStyle w:val="Textodebloque"/>
        <w:ind w:left="284" w:right="6"/>
        <w:contextualSpacing/>
        <w:jc w:val="center"/>
        <w:rPr>
          <w:rFonts w:ascii="Bookman Old Style" w:hAnsi="Bookman Old Style"/>
          <w:sz w:val="20"/>
          <w:szCs w:val="24"/>
        </w:rPr>
      </w:pPr>
    </w:p>
    <w:p w14:paraId="0A18AD31" w14:textId="51ECE457" w:rsidR="00925021" w:rsidRDefault="008464B5" w:rsidP="00A37A2B">
      <w:pPr>
        <w:pStyle w:val="Textodebloque"/>
        <w:ind w:left="284" w:right="6"/>
        <w:contextualSpacing/>
        <w:rPr>
          <w:rFonts w:ascii="Bookman Old Style" w:hAnsi="Bookman Old Style"/>
          <w:szCs w:val="24"/>
        </w:rPr>
      </w:pPr>
      <w:r>
        <w:rPr>
          <w:rFonts w:ascii="Bookman Old Style" w:hAnsi="Bookman Old Style"/>
          <w:szCs w:val="24"/>
        </w:rPr>
        <w:t>Como segundo paso, después de o</w:t>
      </w:r>
      <w:r w:rsidR="006E219C">
        <w:rPr>
          <w:rFonts w:ascii="Bookman Old Style" w:hAnsi="Bookman Old Style"/>
          <w:szCs w:val="24"/>
        </w:rPr>
        <w:t>btenido el valor unitario de la celda</w:t>
      </w:r>
      <w:r w:rsidR="00654131">
        <w:rPr>
          <w:rFonts w:ascii="Bookman Old Style" w:hAnsi="Bookman Old Style"/>
          <w:szCs w:val="24"/>
        </w:rPr>
        <w:t xml:space="preserve">, se pasó a revisar la capacidad del sistema de almacenamiento </w:t>
      </w:r>
      <w:r w:rsidR="001E43BA">
        <w:rPr>
          <w:rFonts w:ascii="Bookman Old Style" w:hAnsi="Bookman Old Style"/>
          <w:szCs w:val="24"/>
        </w:rPr>
        <w:t xml:space="preserve">que se pudo evidenciar a partir del </w:t>
      </w:r>
      <w:r w:rsidR="00E91946">
        <w:rPr>
          <w:rFonts w:ascii="Bookman Old Style" w:hAnsi="Bookman Old Style"/>
          <w:szCs w:val="24"/>
        </w:rPr>
        <w:t>“</w:t>
      </w:r>
      <w:r w:rsidR="00E91946" w:rsidRPr="00E91946">
        <w:rPr>
          <w:rFonts w:ascii="Bookman Old Style" w:hAnsi="Bookman Old Style"/>
          <w:szCs w:val="24"/>
        </w:rPr>
        <w:t xml:space="preserve">Diagrama Unifilar actualizado - </w:t>
      </w:r>
      <w:proofErr w:type="spellStart"/>
      <w:r w:rsidR="00E91946" w:rsidRPr="00E91946">
        <w:rPr>
          <w:rFonts w:ascii="Bookman Old Style" w:hAnsi="Bookman Old Style"/>
          <w:szCs w:val="24"/>
        </w:rPr>
        <w:t>Expansion</w:t>
      </w:r>
      <w:proofErr w:type="spellEnd"/>
      <w:r w:rsidR="00E91946" w:rsidRPr="00E91946">
        <w:rPr>
          <w:rFonts w:ascii="Bookman Old Style" w:hAnsi="Bookman Old Style"/>
          <w:szCs w:val="24"/>
        </w:rPr>
        <w:t xml:space="preserve"> Sol de </w:t>
      </w:r>
      <w:proofErr w:type="spellStart"/>
      <w:r w:rsidR="00E91946" w:rsidRPr="00E91946">
        <w:rPr>
          <w:rFonts w:ascii="Bookman Old Style" w:hAnsi="Bookman Old Style"/>
          <w:szCs w:val="24"/>
        </w:rPr>
        <w:t>Inirida</w:t>
      </w:r>
      <w:proofErr w:type="spellEnd"/>
      <w:r w:rsidR="00E91946" w:rsidRPr="00E91946">
        <w:rPr>
          <w:rFonts w:ascii="Bookman Old Style" w:hAnsi="Bookman Old Style"/>
          <w:szCs w:val="24"/>
        </w:rPr>
        <w:t xml:space="preserve"> 2.pdf</w:t>
      </w:r>
      <w:r w:rsidR="00B9052A">
        <w:rPr>
          <w:rFonts w:ascii="Bookman Old Style" w:hAnsi="Bookman Old Style"/>
          <w:szCs w:val="24"/>
        </w:rPr>
        <w:t>”</w:t>
      </w:r>
      <w:r w:rsidR="00A37A2B">
        <w:rPr>
          <w:rFonts w:ascii="Bookman Old Style" w:hAnsi="Bookman Old Style"/>
          <w:szCs w:val="24"/>
        </w:rPr>
        <w:t xml:space="preserve">, documento </w:t>
      </w:r>
      <w:r w:rsidR="00BC52A7" w:rsidRPr="00BC52A7">
        <w:rPr>
          <w:rFonts w:ascii="Bookman Old Style" w:hAnsi="Bookman Old Style"/>
          <w:szCs w:val="24"/>
        </w:rPr>
        <w:t xml:space="preserve">adjunto </w:t>
      </w:r>
      <w:r w:rsidR="00371E42">
        <w:rPr>
          <w:rFonts w:ascii="Bookman Old Style" w:hAnsi="Bookman Old Style"/>
          <w:szCs w:val="24"/>
        </w:rPr>
        <w:t xml:space="preserve">al </w:t>
      </w:r>
      <w:r w:rsidR="00BC52A7" w:rsidRPr="00BC52A7">
        <w:rPr>
          <w:rFonts w:ascii="Bookman Old Style" w:hAnsi="Bookman Old Style"/>
          <w:szCs w:val="24"/>
        </w:rPr>
        <w:t>radicado CREG E-202</w:t>
      </w:r>
      <w:r w:rsidR="00371E42">
        <w:rPr>
          <w:rFonts w:ascii="Bookman Old Style" w:hAnsi="Bookman Old Style"/>
          <w:szCs w:val="24"/>
        </w:rPr>
        <w:t>2</w:t>
      </w:r>
      <w:r w:rsidR="00BC52A7" w:rsidRPr="00BC52A7">
        <w:rPr>
          <w:rFonts w:ascii="Bookman Old Style" w:hAnsi="Bookman Old Style"/>
          <w:szCs w:val="24"/>
        </w:rPr>
        <w:t>-00</w:t>
      </w:r>
      <w:r w:rsidR="00371E42">
        <w:rPr>
          <w:rFonts w:ascii="Bookman Old Style" w:hAnsi="Bookman Old Style"/>
          <w:szCs w:val="24"/>
        </w:rPr>
        <w:t>1274</w:t>
      </w:r>
      <w:r w:rsidR="00A44D5B">
        <w:rPr>
          <w:rFonts w:ascii="Bookman Old Style" w:hAnsi="Bookman Old Style"/>
          <w:szCs w:val="24"/>
        </w:rPr>
        <w:t>, all</w:t>
      </w:r>
      <w:r w:rsidR="00C66CDB">
        <w:rPr>
          <w:rFonts w:ascii="Bookman Old Style" w:hAnsi="Bookman Old Style"/>
          <w:szCs w:val="24"/>
        </w:rPr>
        <w:t xml:space="preserve">egado por GENSA a esta Comisión, en </w:t>
      </w:r>
      <w:r w:rsidR="00BC52A7">
        <w:rPr>
          <w:rFonts w:ascii="Bookman Old Style" w:hAnsi="Bookman Old Style"/>
          <w:szCs w:val="24"/>
        </w:rPr>
        <w:t xml:space="preserve">respuesta </w:t>
      </w:r>
      <w:r w:rsidR="007573C4">
        <w:rPr>
          <w:rFonts w:ascii="Bookman Old Style" w:hAnsi="Bookman Old Style"/>
          <w:szCs w:val="24"/>
        </w:rPr>
        <w:t xml:space="preserve">al Auto de Pruebas </w:t>
      </w:r>
      <w:r w:rsidR="00CA1F9E">
        <w:rPr>
          <w:rFonts w:ascii="Bookman Old Style" w:hAnsi="Bookman Old Style"/>
          <w:szCs w:val="24"/>
        </w:rPr>
        <w:t>I-2022</w:t>
      </w:r>
      <w:r w:rsidR="00912CF3">
        <w:rPr>
          <w:rFonts w:ascii="Bookman Old Style" w:hAnsi="Bookman Old Style"/>
          <w:szCs w:val="24"/>
        </w:rPr>
        <w:t>-</w:t>
      </w:r>
      <w:r w:rsidR="00CA1F9E">
        <w:rPr>
          <w:rFonts w:ascii="Bookman Old Style" w:hAnsi="Bookman Old Style"/>
          <w:szCs w:val="24"/>
        </w:rPr>
        <w:t>004323</w:t>
      </w:r>
      <w:r w:rsidR="00A37A2B">
        <w:rPr>
          <w:rFonts w:ascii="Bookman Old Style" w:hAnsi="Bookman Old Style"/>
          <w:szCs w:val="24"/>
        </w:rPr>
        <w:t>.</w:t>
      </w:r>
      <w:r w:rsidR="00600691">
        <w:rPr>
          <w:rFonts w:ascii="Bookman Old Style" w:hAnsi="Bookman Old Style"/>
          <w:szCs w:val="24"/>
        </w:rPr>
        <w:t xml:space="preserve"> </w:t>
      </w:r>
      <w:r w:rsidR="00925021">
        <w:rPr>
          <w:rFonts w:ascii="Bookman Old Style" w:hAnsi="Bookman Old Style"/>
          <w:szCs w:val="24"/>
        </w:rPr>
        <w:t>En los siguientes diagramas se presenta un extracto del diagrama unifilar</w:t>
      </w:r>
      <w:r w:rsidR="00600691">
        <w:rPr>
          <w:rFonts w:ascii="Bookman Old Style" w:hAnsi="Bookman Old Style"/>
          <w:szCs w:val="24"/>
        </w:rPr>
        <w:t xml:space="preserve"> mencionado:</w:t>
      </w:r>
    </w:p>
    <w:p w14:paraId="580348C5" w14:textId="5009A98D" w:rsidR="00BC52A7" w:rsidRPr="00BC52A7" w:rsidRDefault="00BC52A7" w:rsidP="00721831">
      <w:pPr>
        <w:pStyle w:val="Textodebloque"/>
        <w:ind w:left="284" w:right="6"/>
        <w:contextualSpacing/>
        <w:rPr>
          <w:rFonts w:ascii="Bookman Old Style" w:hAnsi="Bookman Old Style"/>
          <w:szCs w:val="24"/>
        </w:rPr>
      </w:pPr>
    </w:p>
    <w:p w14:paraId="0740E85E" w14:textId="0FA716D3" w:rsidR="005E30D0" w:rsidRPr="00B01954" w:rsidRDefault="00FC3C5D" w:rsidP="00B01954">
      <w:pPr>
        <w:pStyle w:val="Textodebloque"/>
        <w:ind w:left="284" w:right="6"/>
        <w:contextualSpacing/>
        <w:jc w:val="center"/>
        <w:rPr>
          <w:rFonts w:ascii="Bookman Old Style" w:hAnsi="Bookman Old Style"/>
          <w:b/>
          <w:szCs w:val="24"/>
        </w:rPr>
      </w:pPr>
      <w:r>
        <w:rPr>
          <w:rFonts w:ascii="Bookman Old Style" w:hAnsi="Bookman Old Style"/>
          <w:b/>
          <w:szCs w:val="24"/>
        </w:rPr>
        <w:t xml:space="preserve">Extractos </w:t>
      </w:r>
      <w:r w:rsidR="00BC52A7" w:rsidRPr="00753A32">
        <w:rPr>
          <w:rFonts w:ascii="Bookman Old Style" w:hAnsi="Bookman Old Style"/>
          <w:b/>
          <w:szCs w:val="24"/>
        </w:rPr>
        <w:t xml:space="preserve">Diagrama Unifilar </w:t>
      </w:r>
      <w:r w:rsidR="008B1E07">
        <w:rPr>
          <w:rFonts w:ascii="Bookman Old Style" w:hAnsi="Bookman Old Style"/>
          <w:b/>
          <w:szCs w:val="24"/>
        </w:rPr>
        <w:t>G</w:t>
      </w:r>
      <w:r w:rsidR="00BC52A7" w:rsidRPr="00753A32">
        <w:rPr>
          <w:rFonts w:ascii="Bookman Old Style" w:hAnsi="Bookman Old Style"/>
          <w:b/>
          <w:szCs w:val="24"/>
        </w:rPr>
        <w:t xml:space="preserve">ranja </w:t>
      </w:r>
      <w:r w:rsidR="008B1E07">
        <w:rPr>
          <w:rFonts w:ascii="Bookman Old Style" w:hAnsi="Bookman Old Style"/>
          <w:b/>
          <w:szCs w:val="24"/>
        </w:rPr>
        <w:t>S</w:t>
      </w:r>
      <w:r w:rsidR="00BC52A7" w:rsidRPr="00753A32">
        <w:rPr>
          <w:rFonts w:ascii="Bookman Old Style" w:hAnsi="Bookman Old Style"/>
          <w:b/>
          <w:szCs w:val="24"/>
        </w:rPr>
        <w:t>olar Inírida 2</w:t>
      </w:r>
    </w:p>
    <w:p w14:paraId="23BD2FBF" w14:textId="14CFA2A2" w:rsidR="005E30D0" w:rsidRDefault="005E30D0" w:rsidP="005E30D0">
      <w:pPr>
        <w:pStyle w:val="Textodebloque"/>
        <w:ind w:left="284" w:right="6"/>
        <w:contextualSpacing/>
        <w:jc w:val="center"/>
        <w:rPr>
          <w:rFonts w:ascii="Bookman Old Style" w:hAnsi="Bookman Old Style"/>
          <w:noProof/>
          <w:szCs w:val="24"/>
        </w:rPr>
      </w:pPr>
    </w:p>
    <w:p w14:paraId="30CC55B8" w14:textId="0009EACC" w:rsidR="008C41F2" w:rsidRDefault="00136B3D" w:rsidP="005E30D0">
      <w:pPr>
        <w:pStyle w:val="Textodebloque"/>
        <w:ind w:left="284" w:right="6"/>
        <w:contextualSpacing/>
        <w:jc w:val="center"/>
        <w:rPr>
          <w:rFonts w:ascii="Bookman Old Style" w:hAnsi="Bookman Old Style"/>
          <w:noProof/>
          <w:szCs w:val="24"/>
        </w:rPr>
      </w:pPr>
      <w:r>
        <w:rPr>
          <w:noProof/>
          <w:lang w:val="es-CO" w:eastAsia="es-CO"/>
        </w:rPr>
        <mc:AlternateContent>
          <mc:Choice Requires="wps">
            <w:drawing>
              <wp:anchor distT="0" distB="0" distL="114300" distR="114300" simplePos="0" relativeHeight="251658241" behindDoc="0" locked="0" layoutInCell="1" allowOverlap="1" wp14:anchorId="1A98202A" wp14:editId="08328831">
                <wp:simplePos x="0" y="0"/>
                <wp:positionH relativeFrom="column">
                  <wp:posOffset>4797631</wp:posOffset>
                </wp:positionH>
                <wp:positionV relativeFrom="paragraph">
                  <wp:posOffset>1130481</wp:posOffset>
                </wp:positionV>
                <wp:extent cx="1246126" cy="724370"/>
                <wp:effectExtent l="0" t="0" r="11430" b="19050"/>
                <wp:wrapNone/>
                <wp:docPr id="16" name="Elipse 16"/>
                <wp:cNvGraphicFramePr/>
                <a:graphic xmlns:a="http://schemas.openxmlformats.org/drawingml/2006/main">
                  <a:graphicData uri="http://schemas.microsoft.com/office/word/2010/wordprocessingShape">
                    <wps:wsp>
                      <wps:cNvSpPr/>
                      <wps:spPr>
                        <a:xfrm>
                          <a:off x="0" y="0"/>
                          <a:ext cx="1246126" cy="72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255181B" id="Elipse 16" o:spid="_x0000_s1026" style="position:absolute;margin-left:377.75pt;margin-top:89pt;width:98.1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" filled="f" strokecolor="red" strokeweight="2pt"/>
            </w:pict>
          </mc:Fallback>
        </mc:AlternateContent>
      </w:r>
      <w:r w:rsidR="008C41F2">
        <w:rPr>
          <w:noProof/>
          <w:lang w:val="es-CO" w:eastAsia="es-CO"/>
        </w:rPr>
        <w:drawing>
          <wp:inline distT="0" distB="0" distL="0" distR="0" wp14:anchorId="0CFA0ACE" wp14:editId="3403A3A3">
            <wp:extent cx="5944870" cy="1925955"/>
            <wp:effectExtent l="19050" t="19050" r="1778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870" cy="1925955"/>
                    </a:xfrm>
                    <a:prstGeom prst="rect">
                      <a:avLst/>
                    </a:prstGeom>
                    <a:ln>
                      <a:solidFill>
                        <a:schemeClr val="tx2"/>
                      </a:solidFill>
                    </a:ln>
                  </pic:spPr>
                </pic:pic>
              </a:graphicData>
            </a:graphic>
          </wp:inline>
        </w:drawing>
      </w:r>
    </w:p>
    <w:p w14:paraId="785D9CFB" w14:textId="617017EE" w:rsidR="008C41F2" w:rsidRDefault="008C41F2" w:rsidP="005E30D0">
      <w:pPr>
        <w:pStyle w:val="Textodebloque"/>
        <w:ind w:left="284" w:right="6"/>
        <w:contextualSpacing/>
        <w:jc w:val="center"/>
        <w:rPr>
          <w:rFonts w:ascii="Bookman Old Style" w:hAnsi="Bookman Old Style"/>
          <w:szCs w:val="24"/>
        </w:rPr>
      </w:pPr>
    </w:p>
    <w:p w14:paraId="6F36D4A7" w14:textId="1781372E" w:rsidR="008C41F2" w:rsidRDefault="00136B3D" w:rsidP="005E30D0">
      <w:pPr>
        <w:pStyle w:val="Textodebloque"/>
        <w:ind w:left="284" w:right="6"/>
        <w:contextualSpacing/>
        <w:jc w:val="center"/>
        <w:rPr>
          <w:rFonts w:ascii="Bookman Old Style" w:hAnsi="Bookman Old Style"/>
          <w:szCs w:val="24"/>
        </w:rPr>
      </w:pPr>
      <w:r>
        <w:rPr>
          <w:noProof/>
          <w:lang w:val="es-CO" w:eastAsia="es-CO"/>
        </w:rPr>
        <mc:AlternateContent>
          <mc:Choice Requires="wps">
            <w:drawing>
              <wp:anchor distT="0" distB="0" distL="114300" distR="114300" simplePos="0" relativeHeight="251658242" behindDoc="0" locked="0" layoutInCell="1" allowOverlap="1" wp14:anchorId="5C8D1F75" wp14:editId="1D95BF52">
                <wp:simplePos x="0" y="0"/>
                <wp:positionH relativeFrom="column">
                  <wp:posOffset>4310742</wp:posOffset>
                </wp:positionH>
                <wp:positionV relativeFrom="paragraph">
                  <wp:posOffset>973076</wp:posOffset>
                </wp:positionV>
                <wp:extent cx="1394955" cy="365232"/>
                <wp:effectExtent l="0" t="0" r="15240" b="15875"/>
                <wp:wrapNone/>
                <wp:docPr id="17" name="Elipse 17"/>
                <wp:cNvGraphicFramePr/>
                <a:graphic xmlns:a="http://schemas.openxmlformats.org/drawingml/2006/main">
                  <a:graphicData uri="http://schemas.microsoft.com/office/word/2010/wordprocessingShape">
                    <wps:wsp>
                      <wps:cNvSpPr/>
                      <wps:spPr>
                        <a:xfrm>
                          <a:off x="0" y="0"/>
                          <a:ext cx="1394955" cy="3652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19825B8" id="Elipse 17" o:spid="_x0000_s1026" style="position:absolute;margin-left:339.45pt;margin-top:76.6pt;width:109.85pt;height: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" filled="f" strokecolor="red" strokeweight="2pt"/>
            </w:pict>
          </mc:Fallback>
        </mc:AlternateContent>
      </w:r>
      <w:r w:rsidR="00FC3C5D">
        <w:rPr>
          <w:noProof/>
          <w:lang w:val="es-CO" w:eastAsia="es-CO"/>
        </w:rPr>
        <w:drawing>
          <wp:inline distT="0" distB="0" distL="0" distR="0" wp14:anchorId="33E5BD1A" wp14:editId="20E02D15">
            <wp:extent cx="5944870" cy="1356360"/>
            <wp:effectExtent l="19050" t="19050" r="1778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4870" cy="1356360"/>
                    </a:xfrm>
                    <a:prstGeom prst="rect">
                      <a:avLst/>
                    </a:prstGeom>
                    <a:ln>
                      <a:solidFill>
                        <a:schemeClr val="tx2"/>
                      </a:solidFill>
                    </a:ln>
                  </pic:spPr>
                </pic:pic>
              </a:graphicData>
            </a:graphic>
          </wp:inline>
        </w:drawing>
      </w:r>
    </w:p>
    <w:p w14:paraId="1C3590C6" w14:textId="6BBF8239" w:rsidR="00A010D0" w:rsidRDefault="00A010D0" w:rsidP="00A010D0">
      <w:pPr>
        <w:pStyle w:val="Textodebloque"/>
        <w:ind w:left="284" w:right="6"/>
        <w:contextualSpacing/>
        <w:jc w:val="center"/>
        <w:rPr>
          <w:rFonts w:ascii="Bookman Old Style" w:hAnsi="Bookman Old Style"/>
          <w:sz w:val="20"/>
          <w:szCs w:val="24"/>
        </w:rPr>
      </w:pPr>
      <w:r w:rsidRPr="00A010D0">
        <w:rPr>
          <w:rFonts w:ascii="Bookman Old Style" w:hAnsi="Bookman Old Style"/>
          <w:sz w:val="20"/>
          <w:szCs w:val="24"/>
        </w:rPr>
        <w:t xml:space="preserve">Fuente: </w:t>
      </w:r>
      <w:proofErr w:type="spellStart"/>
      <w:r>
        <w:rPr>
          <w:rFonts w:ascii="Bookman Old Style" w:hAnsi="Bookman Old Style"/>
          <w:sz w:val="20"/>
          <w:szCs w:val="24"/>
        </w:rPr>
        <w:t>Gensa</w:t>
      </w:r>
      <w:proofErr w:type="spellEnd"/>
    </w:p>
    <w:p w14:paraId="2D7AEC76" w14:textId="083654FE" w:rsidR="00BC52A7" w:rsidRDefault="00BC52A7" w:rsidP="00A010D0">
      <w:pPr>
        <w:pStyle w:val="Textodebloque"/>
        <w:ind w:left="284" w:right="6"/>
        <w:contextualSpacing/>
        <w:jc w:val="center"/>
        <w:rPr>
          <w:rFonts w:ascii="Bookman Old Style" w:hAnsi="Bookman Old Style"/>
          <w:szCs w:val="24"/>
        </w:rPr>
      </w:pPr>
    </w:p>
    <w:p w14:paraId="47BDF1B7" w14:textId="0B5BB726" w:rsidR="0001461E" w:rsidRDefault="0001461E" w:rsidP="00910077">
      <w:pPr>
        <w:pStyle w:val="Textodebloque"/>
        <w:ind w:left="284" w:right="6"/>
        <w:contextualSpacing/>
        <w:rPr>
          <w:rFonts w:ascii="Bookman Old Style" w:hAnsi="Bookman Old Style"/>
          <w:szCs w:val="24"/>
        </w:rPr>
      </w:pPr>
      <w:r>
        <w:rPr>
          <w:rFonts w:ascii="Bookman Old Style" w:hAnsi="Bookman Old Style"/>
          <w:szCs w:val="24"/>
        </w:rPr>
        <w:t>De</w:t>
      </w:r>
      <w:r w:rsidR="00E90559">
        <w:rPr>
          <w:rFonts w:ascii="Bookman Old Style" w:hAnsi="Bookman Old Style"/>
          <w:szCs w:val="24"/>
        </w:rPr>
        <w:t>l diagrama anterior se tienen las siguientes relaciones:</w:t>
      </w:r>
    </w:p>
    <w:p w14:paraId="4A219525" w14:textId="77777777" w:rsidR="0001461E" w:rsidRDefault="0001461E" w:rsidP="00910077">
      <w:pPr>
        <w:pStyle w:val="Textodebloque"/>
        <w:ind w:left="284" w:right="6"/>
        <w:contextualSpacing/>
        <w:rPr>
          <w:rFonts w:ascii="Bookman Old Style" w:hAnsi="Bookman Old Style"/>
          <w:szCs w:val="24"/>
        </w:rPr>
      </w:pPr>
    </w:p>
    <w:p w14:paraId="056381A4" w14:textId="77777777" w:rsidR="0070226D" w:rsidRDefault="0070226D" w:rsidP="0070226D">
      <w:pPr>
        <w:pStyle w:val="Textodebloque"/>
        <w:ind w:left="284" w:right="6"/>
        <w:contextualSpacing/>
        <w:rPr>
          <w:rFonts w:ascii="Bookman Old Style" w:hAnsi="Bookman Old Style"/>
          <w:szCs w:val="24"/>
        </w:rPr>
      </w:pPr>
      <w:r w:rsidRPr="00827725">
        <w:rPr>
          <w:rFonts w:ascii="Bookman Old Style" w:hAnsi="Bookman Old Style"/>
          <w:szCs w:val="24"/>
        </w:rPr>
        <w:t>Unidades de almacenamiento</w:t>
      </w:r>
      <w:r>
        <w:rPr>
          <w:rFonts w:ascii="Bookman Old Style" w:hAnsi="Bookman Old Style"/>
          <w:szCs w:val="24"/>
        </w:rPr>
        <w:t xml:space="preserve"> por sistema = </w:t>
      </w:r>
      <w:r w:rsidRPr="00827725">
        <w:rPr>
          <w:rFonts w:ascii="Bookman Old Style" w:hAnsi="Bookman Old Style"/>
          <w:szCs w:val="24"/>
        </w:rPr>
        <w:t>9</w:t>
      </w:r>
      <w:r>
        <w:rPr>
          <w:rFonts w:ascii="Bookman Old Style" w:hAnsi="Bookman Old Style"/>
          <w:szCs w:val="24"/>
        </w:rPr>
        <w:t>.</w:t>
      </w:r>
    </w:p>
    <w:p w14:paraId="557111D8" w14:textId="77777777" w:rsidR="0070226D" w:rsidRDefault="0070226D" w:rsidP="0070226D">
      <w:pPr>
        <w:pStyle w:val="Textodebloque"/>
        <w:ind w:left="284" w:right="6"/>
        <w:contextualSpacing/>
        <w:rPr>
          <w:rFonts w:ascii="Bookman Old Style" w:hAnsi="Bookman Old Style"/>
          <w:szCs w:val="24"/>
        </w:rPr>
      </w:pPr>
      <w:r>
        <w:rPr>
          <w:rFonts w:ascii="Bookman Old Style" w:hAnsi="Bookman Old Style"/>
          <w:szCs w:val="24"/>
        </w:rPr>
        <w:t>Racks por unidad de almacenamiento = 18; Total racks = 162.</w:t>
      </w:r>
    </w:p>
    <w:p w14:paraId="6DC67E2E" w14:textId="0F01F505" w:rsidR="0070226D" w:rsidRDefault="0070226D" w:rsidP="0070226D">
      <w:pPr>
        <w:pStyle w:val="Textodebloque"/>
        <w:ind w:left="284" w:right="6"/>
        <w:contextualSpacing/>
        <w:rPr>
          <w:rFonts w:ascii="Bookman Old Style" w:hAnsi="Bookman Old Style"/>
          <w:szCs w:val="24"/>
        </w:rPr>
      </w:pPr>
      <w:r>
        <w:rPr>
          <w:rFonts w:ascii="Bookman Old Style" w:hAnsi="Bookman Old Style"/>
          <w:szCs w:val="24"/>
        </w:rPr>
        <w:t>Módulos por rack = 23; Total módulos = 3</w:t>
      </w:r>
      <w:r w:rsidR="00C73F9B">
        <w:rPr>
          <w:rFonts w:ascii="Bookman Old Style" w:hAnsi="Bookman Old Style"/>
          <w:szCs w:val="24"/>
        </w:rPr>
        <w:t>.</w:t>
      </w:r>
      <w:r>
        <w:rPr>
          <w:rFonts w:ascii="Bookman Old Style" w:hAnsi="Bookman Old Style"/>
          <w:szCs w:val="24"/>
        </w:rPr>
        <w:t>726.</w:t>
      </w:r>
    </w:p>
    <w:p w14:paraId="72E3AE6F" w14:textId="71F6043F" w:rsidR="0070226D" w:rsidRPr="00827725" w:rsidRDefault="0070226D" w:rsidP="0070226D">
      <w:pPr>
        <w:pStyle w:val="Textodebloque"/>
        <w:ind w:left="284" w:right="6"/>
        <w:contextualSpacing/>
        <w:rPr>
          <w:rFonts w:ascii="Bookman Old Style" w:hAnsi="Bookman Old Style"/>
          <w:szCs w:val="24"/>
        </w:rPr>
      </w:pPr>
      <w:r w:rsidRPr="00827725">
        <w:rPr>
          <w:rFonts w:ascii="Bookman Old Style" w:hAnsi="Bookman Old Style"/>
          <w:szCs w:val="24"/>
        </w:rPr>
        <w:t>Celdas</w:t>
      </w:r>
      <w:r>
        <w:rPr>
          <w:rFonts w:ascii="Bookman Old Style" w:hAnsi="Bookman Old Style"/>
          <w:szCs w:val="24"/>
        </w:rPr>
        <w:t xml:space="preserve"> por módulo = 10; Total celdas 37</w:t>
      </w:r>
      <w:r w:rsidR="00C73F9B">
        <w:rPr>
          <w:rFonts w:ascii="Bookman Old Style" w:hAnsi="Bookman Old Style"/>
          <w:szCs w:val="24"/>
        </w:rPr>
        <w:t>.</w:t>
      </w:r>
      <w:r>
        <w:rPr>
          <w:rFonts w:ascii="Bookman Old Style" w:hAnsi="Bookman Old Style"/>
          <w:szCs w:val="24"/>
        </w:rPr>
        <w:t>260.</w:t>
      </w:r>
    </w:p>
    <w:p w14:paraId="23A7BEC1" w14:textId="77777777" w:rsidR="0070226D" w:rsidRDefault="0070226D" w:rsidP="0070226D">
      <w:pPr>
        <w:pStyle w:val="Textodebloque"/>
        <w:ind w:left="284" w:right="6"/>
        <w:contextualSpacing/>
        <w:rPr>
          <w:rFonts w:ascii="Bookman Old Style" w:hAnsi="Bookman Old Style"/>
          <w:szCs w:val="24"/>
        </w:rPr>
      </w:pPr>
    </w:p>
    <w:p w14:paraId="749D9286" w14:textId="574B6AC3" w:rsidR="0070226D" w:rsidRDefault="00E90559" w:rsidP="0070226D">
      <w:pPr>
        <w:pStyle w:val="Textodebloque"/>
        <w:ind w:left="284" w:right="6"/>
        <w:contextualSpacing/>
        <w:rPr>
          <w:rFonts w:ascii="Bookman Old Style" w:hAnsi="Bookman Old Style"/>
          <w:szCs w:val="24"/>
        </w:rPr>
      </w:pPr>
      <w:r>
        <w:rPr>
          <w:rFonts w:ascii="Bookman Old Style" w:hAnsi="Bookman Old Style"/>
          <w:szCs w:val="24"/>
        </w:rPr>
        <w:t>Nótese que a diferencia de lo soportado en</w:t>
      </w:r>
      <w:r w:rsidR="00920D90">
        <w:rPr>
          <w:rFonts w:ascii="Bookman Old Style" w:hAnsi="Bookman Old Style"/>
          <w:szCs w:val="24"/>
        </w:rPr>
        <w:t xml:space="preserve"> el numeral</w:t>
      </w:r>
      <w:r>
        <w:rPr>
          <w:rFonts w:ascii="Bookman Old Style" w:hAnsi="Bookman Old Style"/>
          <w:szCs w:val="24"/>
        </w:rPr>
        <w:t xml:space="preserve"> </w:t>
      </w:r>
      <w:r w:rsidR="00920D90" w:rsidRPr="00BC52A7">
        <w:rPr>
          <w:rFonts w:ascii="Bookman Old Style" w:hAnsi="Bookman Old Style"/>
          <w:szCs w:val="24"/>
        </w:rPr>
        <w:t>1. SYSTEM DESCRIPTION</w:t>
      </w:r>
      <w:r w:rsidR="00920D90">
        <w:rPr>
          <w:rFonts w:ascii="Bookman Old Style" w:hAnsi="Bookman Old Style"/>
          <w:szCs w:val="24"/>
        </w:rPr>
        <w:t xml:space="preserve"> y el </w:t>
      </w:r>
      <w:r w:rsidR="00920D90" w:rsidRPr="00D336B1">
        <w:rPr>
          <w:rFonts w:ascii="Bookman Old Style" w:hAnsi="Bookman Old Style"/>
          <w:szCs w:val="24"/>
        </w:rPr>
        <w:t>APPENDIX 1: BATTERY SYSTEM DATASHEET</w:t>
      </w:r>
      <w:r w:rsidR="00920D90" w:rsidRPr="00BC52A7">
        <w:rPr>
          <w:rFonts w:ascii="Bookman Old Style" w:hAnsi="Bookman Old Style"/>
          <w:szCs w:val="24"/>
        </w:rPr>
        <w:t xml:space="preserve"> </w:t>
      </w:r>
      <w:r w:rsidRPr="00BC52A7">
        <w:rPr>
          <w:rFonts w:ascii="Bookman Old Style" w:hAnsi="Bookman Old Style"/>
          <w:szCs w:val="24"/>
        </w:rPr>
        <w:t>del documento “SDI - E22 - BESS Non-</w:t>
      </w:r>
      <w:proofErr w:type="spellStart"/>
      <w:r w:rsidRPr="00BC52A7">
        <w:rPr>
          <w:rFonts w:ascii="Bookman Old Style" w:hAnsi="Bookman Old Style"/>
          <w:szCs w:val="24"/>
        </w:rPr>
        <w:t>Binding</w:t>
      </w:r>
      <w:proofErr w:type="spellEnd"/>
      <w:r w:rsidRPr="00BC52A7">
        <w:rPr>
          <w:rFonts w:ascii="Bookman Old Style" w:hAnsi="Bookman Old Style"/>
          <w:szCs w:val="24"/>
        </w:rPr>
        <w:t xml:space="preserve"> </w:t>
      </w:r>
      <w:proofErr w:type="spellStart"/>
      <w:r w:rsidRPr="00BC52A7">
        <w:rPr>
          <w:rFonts w:ascii="Bookman Old Style" w:hAnsi="Bookman Old Style"/>
          <w:szCs w:val="24"/>
        </w:rPr>
        <w:t>Proposal</w:t>
      </w:r>
      <w:proofErr w:type="spellEnd"/>
      <w:r w:rsidRPr="00BC52A7">
        <w:rPr>
          <w:rFonts w:ascii="Bookman Old Style" w:hAnsi="Bookman Old Style"/>
          <w:szCs w:val="24"/>
        </w:rPr>
        <w:t xml:space="preserve"> </w:t>
      </w:r>
      <w:proofErr w:type="spellStart"/>
      <w:r w:rsidRPr="00BC52A7">
        <w:rPr>
          <w:rFonts w:ascii="Bookman Old Style" w:hAnsi="Bookman Old Style"/>
          <w:szCs w:val="24"/>
        </w:rPr>
        <w:t>Inirida</w:t>
      </w:r>
      <w:proofErr w:type="spellEnd"/>
      <w:r w:rsidRPr="00BC52A7">
        <w:rPr>
          <w:rFonts w:ascii="Bookman Old Style" w:hAnsi="Bookman Old Style"/>
          <w:szCs w:val="24"/>
        </w:rPr>
        <w:t xml:space="preserve"> - 20210121 - </w:t>
      </w:r>
      <w:r w:rsidR="00E87D54" w:rsidRPr="00F42F5A">
        <w:rPr>
          <w:rFonts w:ascii="Bookman Old Style" w:hAnsi="Bookman Old Style"/>
          <w:szCs w:val="24"/>
        </w:rPr>
        <w:t>rev2.pdf</w:t>
      </w:r>
      <w:r w:rsidR="00E87D54" w:rsidRPr="00BC52A7">
        <w:rPr>
          <w:rFonts w:ascii="Bookman Old Style" w:hAnsi="Bookman Old Style"/>
          <w:szCs w:val="24"/>
        </w:rPr>
        <w:t>”</w:t>
      </w:r>
      <w:r>
        <w:rPr>
          <w:rFonts w:ascii="Bookman Old Style" w:hAnsi="Bookman Old Style"/>
          <w:szCs w:val="24"/>
        </w:rPr>
        <w:t>, en donde cada unidad de almacenamiento cuenta con 20 racks, en el caso del diagrama unifilar se indica que</w:t>
      </w:r>
      <w:r w:rsidR="003819B0">
        <w:rPr>
          <w:rFonts w:ascii="Bookman Old Style" w:hAnsi="Bookman Old Style"/>
          <w:szCs w:val="24"/>
        </w:rPr>
        <w:t xml:space="preserve"> cada</w:t>
      </w:r>
      <w:r>
        <w:rPr>
          <w:rFonts w:ascii="Bookman Old Style" w:hAnsi="Bookman Old Style"/>
          <w:szCs w:val="24"/>
        </w:rPr>
        <w:t xml:space="preserve"> </w:t>
      </w:r>
      <w:r w:rsidR="00212455">
        <w:rPr>
          <w:rFonts w:ascii="Bookman Old Style" w:hAnsi="Bookman Old Style"/>
          <w:szCs w:val="24"/>
        </w:rPr>
        <w:t xml:space="preserve">unidad </w:t>
      </w:r>
      <w:r w:rsidR="00996792">
        <w:rPr>
          <w:rFonts w:ascii="Bookman Old Style" w:hAnsi="Bookman Old Style"/>
          <w:szCs w:val="24"/>
        </w:rPr>
        <w:t>o centro de almacenamiento, se c</w:t>
      </w:r>
      <w:r w:rsidR="00212455">
        <w:rPr>
          <w:rFonts w:ascii="Bookman Old Style" w:hAnsi="Bookman Old Style"/>
          <w:szCs w:val="24"/>
        </w:rPr>
        <w:t>ompone de 18 racks.</w:t>
      </w:r>
    </w:p>
    <w:p w14:paraId="5C0B0EEC" w14:textId="77777777" w:rsidR="0070226D" w:rsidRDefault="0070226D" w:rsidP="0070226D">
      <w:pPr>
        <w:pStyle w:val="Textodebloque"/>
        <w:ind w:left="284" w:right="6"/>
        <w:contextualSpacing/>
        <w:rPr>
          <w:rFonts w:ascii="Bookman Old Style" w:hAnsi="Bookman Old Style"/>
          <w:szCs w:val="24"/>
        </w:rPr>
      </w:pPr>
    </w:p>
    <w:p w14:paraId="58A6E6DD" w14:textId="10153D74" w:rsidR="00F47321" w:rsidRDefault="00F47321" w:rsidP="0070226D">
      <w:pPr>
        <w:pStyle w:val="Textodebloque"/>
        <w:ind w:left="284" w:right="6"/>
        <w:contextualSpacing/>
        <w:rPr>
          <w:rFonts w:ascii="Bookman Old Style" w:hAnsi="Bookman Old Style"/>
          <w:szCs w:val="24"/>
        </w:rPr>
      </w:pPr>
      <w:r>
        <w:rPr>
          <w:rFonts w:ascii="Bookman Old Style" w:hAnsi="Bookman Old Style"/>
          <w:szCs w:val="24"/>
        </w:rPr>
        <w:t>Teniendo en cuenta lo anterior, en la siguiente tabla se presenta el resumen de lo observado en el diagrama unifilar:</w:t>
      </w:r>
    </w:p>
    <w:p w14:paraId="2F485179" w14:textId="77777777" w:rsidR="0070226D" w:rsidRDefault="0070226D" w:rsidP="0070226D">
      <w:pPr>
        <w:pStyle w:val="Textodebloque"/>
        <w:ind w:left="284" w:right="6"/>
        <w:contextualSpacing/>
        <w:rPr>
          <w:rFonts w:ascii="Bookman Old Style" w:hAnsi="Bookman Old Style"/>
          <w:szCs w:val="24"/>
        </w:rPr>
      </w:pPr>
    </w:p>
    <w:tbl>
      <w:tblPr>
        <w:tblStyle w:val="Tablaconcuadrcula"/>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98"/>
        <w:gridCol w:w="992"/>
        <w:gridCol w:w="701"/>
        <w:gridCol w:w="1076"/>
        <w:gridCol w:w="977"/>
        <w:gridCol w:w="1273"/>
        <w:gridCol w:w="1219"/>
      </w:tblGrid>
      <w:tr w:rsidR="00F47321" w:rsidRPr="00D058C7" w14:paraId="1210C362" w14:textId="77777777" w:rsidTr="00D31EE7">
        <w:trPr>
          <w:trHeight w:val="720"/>
        </w:trPr>
        <w:tc>
          <w:tcPr>
            <w:tcW w:w="1732" w:type="dxa"/>
            <w:vAlign w:val="center"/>
          </w:tcPr>
          <w:p w14:paraId="51923AFA" w14:textId="77777777" w:rsidR="00F47321" w:rsidRPr="00D058C7" w:rsidRDefault="00F47321" w:rsidP="00D31EE7">
            <w:pPr>
              <w:pStyle w:val="Textodebloque"/>
              <w:spacing w:after="0"/>
              <w:ind w:left="0" w:right="6"/>
              <w:contextualSpacing/>
              <w:rPr>
                <w:rFonts w:ascii="Bookman Old Style" w:hAnsi="Bookman Old Style"/>
                <w:sz w:val="18"/>
                <w:szCs w:val="18"/>
              </w:rPr>
            </w:pPr>
          </w:p>
        </w:tc>
        <w:tc>
          <w:tcPr>
            <w:tcW w:w="1098" w:type="dxa"/>
            <w:vAlign w:val="center"/>
          </w:tcPr>
          <w:p w14:paraId="71ED6055"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Unidades</w:t>
            </w:r>
          </w:p>
        </w:tc>
        <w:tc>
          <w:tcPr>
            <w:tcW w:w="992" w:type="dxa"/>
            <w:vAlign w:val="center"/>
          </w:tcPr>
          <w:p w14:paraId="3A95A313"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Ah/</w:t>
            </w:r>
            <w:proofErr w:type="spellStart"/>
            <w:r w:rsidRPr="00D058C7">
              <w:rPr>
                <w:rFonts w:ascii="Bookman Old Style" w:hAnsi="Bookman Old Style"/>
                <w:b/>
                <w:bCs/>
                <w:sz w:val="18"/>
                <w:szCs w:val="18"/>
              </w:rPr>
              <w:t>und</w:t>
            </w:r>
            <w:proofErr w:type="spellEnd"/>
          </w:p>
        </w:tc>
        <w:tc>
          <w:tcPr>
            <w:tcW w:w="701" w:type="dxa"/>
            <w:vAlign w:val="center"/>
          </w:tcPr>
          <w:p w14:paraId="199DF608"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V</w:t>
            </w:r>
          </w:p>
        </w:tc>
        <w:tc>
          <w:tcPr>
            <w:tcW w:w="1076" w:type="dxa"/>
            <w:vAlign w:val="center"/>
          </w:tcPr>
          <w:p w14:paraId="5BF45A7C"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kWh/</w:t>
            </w:r>
            <w:proofErr w:type="spellStart"/>
            <w:r w:rsidRPr="00D058C7">
              <w:rPr>
                <w:rFonts w:ascii="Bookman Old Style" w:hAnsi="Bookman Old Style"/>
                <w:b/>
                <w:bCs/>
                <w:sz w:val="18"/>
                <w:szCs w:val="18"/>
              </w:rPr>
              <w:t>und</w:t>
            </w:r>
            <w:proofErr w:type="spellEnd"/>
          </w:p>
        </w:tc>
        <w:tc>
          <w:tcPr>
            <w:tcW w:w="977" w:type="dxa"/>
            <w:vAlign w:val="center"/>
          </w:tcPr>
          <w:p w14:paraId="48402F1F"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kWh total</w:t>
            </w:r>
          </w:p>
        </w:tc>
        <w:tc>
          <w:tcPr>
            <w:tcW w:w="1273" w:type="dxa"/>
            <w:vAlign w:val="center"/>
          </w:tcPr>
          <w:p w14:paraId="615C9D90" w14:textId="77777777" w:rsidR="00F47321"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Costo Unitario</w:t>
            </w:r>
          </w:p>
          <w:p w14:paraId="39158D55"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Pr>
                <w:rFonts w:ascii="Bookman Old Style" w:hAnsi="Bookman Old Style"/>
                <w:b/>
                <w:bCs/>
                <w:sz w:val="18"/>
                <w:szCs w:val="18"/>
              </w:rPr>
              <w:t>USD</w:t>
            </w:r>
          </w:p>
        </w:tc>
        <w:tc>
          <w:tcPr>
            <w:tcW w:w="1219" w:type="dxa"/>
            <w:vAlign w:val="center"/>
          </w:tcPr>
          <w:p w14:paraId="0ADBBE90"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Costo Total</w:t>
            </w:r>
          </w:p>
          <w:p w14:paraId="2B2A5522" w14:textId="77777777" w:rsidR="00F47321" w:rsidRPr="00D058C7" w:rsidRDefault="00F47321" w:rsidP="00D31EE7">
            <w:pPr>
              <w:pStyle w:val="Textodebloque"/>
              <w:spacing w:after="0"/>
              <w:ind w:left="0" w:right="6"/>
              <w:contextualSpacing/>
              <w:jc w:val="center"/>
              <w:rPr>
                <w:rFonts w:ascii="Bookman Old Style" w:hAnsi="Bookman Old Style"/>
                <w:b/>
                <w:bCs/>
                <w:sz w:val="18"/>
                <w:szCs w:val="18"/>
              </w:rPr>
            </w:pPr>
            <w:r w:rsidRPr="00D058C7">
              <w:rPr>
                <w:rFonts w:ascii="Bookman Old Style" w:hAnsi="Bookman Old Style"/>
                <w:b/>
                <w:bCs/>
                <w:sz w:val="18"/>
                <w:szCs w:val="18"/>
              </w:rPr>
              <w:t>USD</w:t>
            </w:r>
          </w:p>
        </w:tc>
      </w:tr>
      <w:tr w:rsidR="00F47321" w:rsidRPr="00D058C7" w14:paraId="506EE329" w14:textId="77777777" w:rsidTr="00D31EE7">
        <w:tc>
          <w:tcPr>
            <w:tcW w:w="1732" w:type="dxa"/>
            <w:vAlign w:val="center"/>
          </w:tcPr>
          <w:p w14:paraId="28244BC3" w14:textId="77777777" w:rsidR="00F47321" w:rsidRPr="00D058C7" w:rsidRDefault="00F47321" w:rsidP="00D31EE7">
            <w:pPr>
              <w:pStyle w:val="Textodebloque"/>
              <w:spacing w:after="0"/>
              <w:ind w:left="0" w:right="6"/>
              <w:contextualSpacing/>
              <w:jc w:val="left"/>
              <w:rPr>
                <w:rFonts w:ascii="Bookman Old Style" w:hAnsi="Bookman Old Style"/>
                <w:b/>
                <w:bCs/>
                <w:sz w:val="18"/>
                <w:szCs w:val="18"/>
              </w:rPr>
            </w:pPr>
            <w:r w:rsidRPr="00D058C7">
              <w:rPr>
                <w:rFonts w:ascii="Bookman Old Style" w:hAnsi="Bookman Old Style"/>
                <w:b/>
                <w:bCs/>
                <w:sz w:val="18"/>
                <w:szCs w:val="18"/>
              </w:rPr>
              <w:t>Unidades de almacenamiento</w:t>
            </w:r>
          </w:p>
        </w:tc>
        <w:tc>
          <w:tcPr>
            <w:tcW w:w="1098" w:type="dxa"/>
            <w:vAlign w:val="center"/>
          </w:tcPr>
          <w:p w14:paraId="137B446B" w14:textId="77777777" w:rsidR="00F47321" w:rsidRPr="0056551B" w:rsidRDefault="00F47321" w:rsidP="00D31EE7">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9</w:t>
            </w:r>
          </w:p>
        </w:tc>
        <w:tc>
          <w:tcPr>
            <w:tcW w:w="992" w:type="dxa"/>
            <w:vAlign w:val="center"/>
          </w:tcPr>
          <w:p w14:paraId="7AFC88C5" w14:textId="77777777" w:rsidR="00F47321" w:rsidRPr="0056551B" w:rsidRDefault="00F47321" w:rsidP="00D31EE7">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5,600</w:t>
            </w:r>
          </w:p>
        </w:tc>
        <w:tc>
          <w:tcPr>
            <w:tcW w:w="701" w:type="dxa"/>
            <w:vAlign w:val="center"/>
          </w:tcPr>
          <w:p w14:paraId="4517EDD8" w14:textId="77777777" w:rsidR="00F47321" w:rsidRPr="0056551B" w:rsidRDefault="00F47321" w:rsidP="00D31EE7">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736</w:t>
            </w:r>
          </w:p>
        </w:tc>
        <w:tc>
          <w:tcPr>
            <w:tcW w:w="1076" w:type="dxa"/>
            <w:vAlign w:val="center"/>
          </w:tcPr>
          <w:p w14:paraId="420C501C" w14:textId="53193408" w:rsidR="00F47321" w:rsidRPr="0056551B" w:rsidRDefault="00D30C15" w:rsidP="00D31EE7">
            <w:pPr>
              <w:pStyle w:val="Textodebloque"/>
              <w:spacing w:after="0"/>
              <w:ind w:left="0" w:right="6"/>
              <w:contextualSpacing/>
              <w:jc w:val="right"/>
              <w:rPr>
                <w:rFonts w:ascii="Bookman Old Style" w:hAnsi="Bookman Old Style"/>
                <w:b/>
                <w:bCs/>
                <w:sz w:val="18"/>
                <w:szCs w:val="18"/>
              </w:rPr>
            </w:pPr>
            <w:r w:rsidRPr="0056551B">
              <w:rPr>
                <w:rFonts w:ascii="Bookman Old Style" w:hAnsi="Bookman Old Style"/>
                <w:b/>
                <w:bCs/>
                <w:sz w:val="18"/>
                <w:szCs w:val="18"/>
              </w:rPr>
              <w:t>3</w:t>
            </w:r>
            <w:r w:rsidR="00F47321" w:rsidRPr="0056551B">
              <w:rPr>
                <w:rFonts w:ascii="Bookman Old Style" w:hAnsi="Bookman Old Style"/>
                <w:b/>
                <w:bCs/>
                <w:sz w:val="18"/>
                <w:szCs w:val="18"/>
              </w:rPr>
              <w:t>.</w:t>
            </w:r>
            <w:r w:rsidRPr="0056551B">
              <w:rPr>
                <w:rFonts w:ascii="Bookman Old Style" w:hAnsi="Bookman Old Style"/>
                <w:b/>
                <w:bCs/>
                <w:sz w:val="18"/>
                <w:szCs w:val="18"/>
              </w:rPr>
              <w:t>709</w:t>
            </w:r>
            <w:r w:rsidR="00F47321" w:rsidRPr="0056551B">
              <w:rPr>
                <w:rFonts w:ascii="Bookman Old Style" w:hAnsi="Bookman Old Style"/>
                <w:b/>
                <w:bCs/>
                <w:sz w:val="18"/>
                <w:szCs w:val="18"/>
              </w:rPr>
              <w:t>,</w:t>
            </w:r>
            <w:r w:rsidRPr="0056551B">
              <w:rPr>
                <w:rFonts w:ascii="Bookman Old Style" w:hAnsi="Bookman Old Style"/>
                <w:b/>
                <w:bCs/>
                <w:sz w:val="18"/>
                <w:szCs w:val="18"/>
              </w:rPr>
              <w:t>44</w:t>
            </w:r>
          </w:p>
        </w:tc>
        <w:tc>
          <w:tcPr>
            <w:tcW w:w="977" w:type="dxa"/>
            <w:vAlign w:val="center"/>
          </w:tcPr>
          <w:p w14:paraId="6D6A1770" w14:textId="5A714C99" w:rsidR="00F47321" w:rsidRPr="0056551B" w:rsidRDefault="00F47321" w:rsidP="00D31EE7">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w:t>
            </w:r>
            <w:r w:rsidR="00EF1076" w:rsidRPr="0056551B">
              <w:rPr>
                <w:rFonts w:ascii="Bookman Old Style" w:hAnsi="Bookman Old Style"/>
                <w:sz w:val="18"/>
                <w:szCs w:val="18"/>
              </w:rPr>
              <w:t>3</w:t>
            </w:r>
            <w:r w:rsidRPr="0056551B">
              <w:rPr>
                <w:rFonts w:ascii="Bookman Old Style" w:hAnsi="Bookman Old Style"/>
                <w:sz w:val="18"/>
                <w:szCs w:val="18"/>
              </w:rPr>
              <w:t>.</w:t>
            </w:r>
            <w:r w:rsidR="00EF1076" w:rsidRPr="0056551B">
              <w:rPr>
                <w:rFonts w:ascii="Bookman Old Style" w:hAnsi="Bookman Old Style"/>
                <w:sz w:val="18"/>
                <w:szCs w:val="18"/>
              </w:rPr>
              <w:t>385</w:t>
            </w:r>
          </w:p>
        </w:tc>
        <w:tc>
          <w:tcPr>
            <w:tcW w:w="1273" w:type="dxa"/>
            <w:vAlign w:val="center"/>
          </w:tcPr>
          <w:p w14:paraId="1A1218A7" w14:textId="77777777" w:rsidR="00F47321" w:rsidRPr="0056551B" w:rsidRDefault="00F47321" w:rsidP="00D31EE7">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771.476</w:t>
            </w:r>
          </w:p>
        </w:tc>
        <w:tc>
          <w:tcPr>
            <w:tcW w:w="1219" w:type="dxa"/>
            <w:vAlign w:val="center"/>
          </w:tcPr>
          <w:p w14:paraId="434886F9" w14:textId="77777777" w:rsidR="00F47321" w:rsidRPr="00D058C7" w:rsidRDefault="00F47321" w:rsidP="00D31EE7">
            <w:pPr>
              <w:pStyle w:val="Textodebloque"/>
              <w:spacing w:after="0"/>
              <w:ind w:left="0" w:right="6"/>
              <w:contextualSpacing/>
              <w:jc w:val="right"/>
              <w:rPr>
                <w:rFonts w:ascii="Bookman Old Style" w:hAnsi="Bookman Old Style"/>
                <w:sz w:val="18"/>
                <w:szCs w:val="18"/>
              </w:rPr>
            </w:pPr>
            <w:r w:rsidRPr="00CF03C7">
              <w:rPr>
                <w:rFonts w:ascii="Bookman Old Style" w:hAnsi="Bookman Old Style" w:cs="Calibri"/>
                <w:color w:val="000000"/>
                <w:sz w:val="18"/>
                <w:szCs w:val="18"/>
              </w:rPr>
              <w:t>6</w:t>
            </w:r>
            <w:r>
              <w:rPr>
                <w:rFonts w:ascii="Bookman Old Style" w:hAnsi="Bookman Old Style" w:cs="Calibri"/>
                <w:color w:val="000000"/>
                <w:sz w:val="18"/>
                <w:szCs w:val="18"/>
              </w:rPr>
              <w:t>.</w:t>
            </w:r>
            <w:r w:rsidRPr="00CF03C7">
              <w:rPr>
                <w:rFonts w:ascii="Bookman Old Style" w:hAnsi="Bookman Old Style" w:cs="Calibri"/>
                <w:color w:val="000000"/>
                <w:sz w:val="18"/>
                <w:szCs w:val="18"/>
              </w:rPr>
              <w:t>943</w:t>
            </w:r>
            <w:r>
              <w:rPr>
                <w:rFonts w:ascii="Bookman Old Style" w:hAnsi="Bookman Old Style" w:cs="Calibri"/>
                <w:color w:val="000000"/>
                <w:sz w:val="18"/>
                <w:szCs w:val="18"/>
              </w:rPr>
              <w:t>.</w:t>
            </w:r>
            <w:r w:rsidRPr="00CF03C7">
              <w:rPr>
                <w:rFonts w:ascii="Bookman Old Style" w:hAnsi="Bookman Old Style" w:cs="Calibri"/>
                <w:color w:val="000000"/>
                <w:sz w:val="18"/>
                <w:szCs w:val="18"/>
              </w:rPr>
              <w:t>283</w:t>
            </w:r>
          </w:p>
        </w:tc>
      </w:tr>
      <w:tr w:rsidR="00EF1076" w:rsidRPr="00D058C7" w14:paraId="07BA3300" w14:textId="77777777" w:rsidTr="00D31EE7">
        <w:tc>
          <w:tcPr>
            <w:tcW w:w="1732" w:type="dxa"/>
            <w:vAlign w:val="center"/>
          </w:tcPr>
          <w:p w14:paraId="490D7A87" w14:textId="77777777" w:rsidR="00EF1076" w:rsidRPr="00D058C7" w:rsidRDefault="00EF1076" w:rsidP="00EF1076">
            <w:pPr>
              <w:pStyle w:val="Textodebloque"/>
              <w:spacing w:after="0"/>
              <w:ind w:left="0" w:right="6"/>
              <w:contextualSpacing/>
              <w:rPr>
                <w:rFonts w:ascii="Bookman Old Style" w:hAnsi="Bookman Old Style"/>
                <w:b/>
                <w:bCs/>
                <w:sz w:val="18"/>
                <w:szCs w:val="18"/>
              </w:rPr>
            </w:pPr>
            <w:r w:rsidRPr="00D058C7">
              <w:rPr>
                <w:rFonts w:ascii="Bookman Old Style" w:hAnsi="Bookman Old Style"/>
                <w:b/>
                <w:bCs/>
                <w:sz w:val="18"/>
                <w:szCs w:val="18"/>
              </w:rPr>
              <w:t>Racks</w:t>
            </w:r>
          </w:p>
        </w:tc>
        <w:tc>
          <w:tcPr>
            <w:tcW w:w="1098" w:type="dxa"/>
            <w:vAlign w:val="center"/>
          </w:tcPr>
          <w:p w14:paraId="252276B2"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162</w:t>
            </w:r>
          </w:p>
        </w:tc>
        <w:tc>
          <w:tcPr>
            <w:tcW w:w="992" w:type="dxa"/>
            <w:vAlign w:val="center"/>
          </w:tcPr>
          <w:p w14:paraId="3630427D"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280</w:t>
            </w:r>
          </w:p>
        </w:tc>
        <w:tc>
          <w:tcPr>
            <w:tcW w:w="701" w:type="dxa"/>
            <w:vAlign w:val="center"/>
          </w:tcPr>
          <w:p w14:paraId="7473753F"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736</w:t>
            </w:r>
          </w:p>
        </w:tc>
        <w:tc>
          <w:tcPr>
            <w:tcW w:w="1076" w:type="dxa"/>
            <w:vAlign w:val="center"/>
          </w:tcPr>
          <w:p w14:paraId="0C65E8CD"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206,08</w:t>
            </w:r>
          </w:p>
        </w:tc>
        <w:tc>
          <w:tcPr>
            <w:tcW w:w="977" w:type="dxa"/>
          </w:tcPr>
          <w:p w14:paraId="3CA0BE24" w14:textId="48DFAC8C"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33.385</w:t>
            </w:r>
          </w:p>
        </w:tc>
        <w:tc>
          <w:tcPr>
            <w:tcW w:w="1273" w:type="dxa"/>
            <w:vAlign w:val="center"/>
          </w:tcPr>
          <w:p w14:paraId="7DAB315C"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42.860</w:t>
            </w:r>
          </w:p>
        </w:tc>
        <w:tc>
          <w:tcPr>
            <w:tcW w:w="1219" w:type="dxa"/>
            <w:vAlign w:val="center"/>
          </w:tcPr>
          <w:p w14:paraId="2B917ECC" w14:textId="77777777" w:rsidR="00EF1076" w:rsidRPr="00D058C7" w:rsidRDefault="00EF1076" w:rsidP="00EF1076">
            <w:pPr>
              <w:pStyle w:val="Textodebloque"/>
              <w:spacing w:after="0"/>
              <w:ind w:left="0" w:right="6"/>
              <w:contextualSpacing/>
              <w:jc w:val="right"/>
              <w:rPr>
                <w:rFonts w:ascii="Bookman Old Style" w:hAnsi="Bookman Old Style"/>
                <w:sz w:val="18"/>
                <w:szCs w:val="18"/>
              </w:rPr>
            </w:pPr>
            <w:r w:rsidRPr="00CF03C7">
              <w:rPr>
                <w:rFonts w:ascii="Bookman Old Style" w:hAnsi="Bookman Old Style" w:cs="Calibri"/>
                <w:color w:val="000000"/>
                <w:sz w:val="18"/>
                <w:szCs w:val="18"/>
              </w:rPr>
              <w:t>6</w:t>
            </w:r>
            <w:r>
              <w:rPr>
                <w:rFonts w:ascii="Bookman Old Style" w:hAnsi="Bookman Old Style" w:cs="Calibri"/>
                <w:color w:val="000000"/>
                <w:sz w:val="18"/>
                <w:szCs w:val="18"/>
              </w:rPr>
              <w:t>.</w:t>
            </w:r>
            <w:r w:rsidRPr="00CF03C7">
              <w:rPr>
                <w:rFonts w:ascii="Bookman Old Style" w:hAnsi="Bookman Old Style" w:cs="Calibri"/>
                <w:color w:val="000000"/>
                <w:sz w:val="18"/>
                <w:szCs w:val="18"/>
              </w:rPr>
              <w:t>943</w:t>
            </w:r>
            <w:r>
              <w:rPr>
                <w:rFonts w:ascii="Bookman Old Style" w:hAnsi="Bookman Old Style" w:cs="Calibri"/>
                <w:color w:val="000000"/>
                <w:sz w:val="18"/>
                <w:szCs w:val="18"/>
              </w:rPr>
              <w:t>.</w:t>
            </w:r>
            <w:r w:rsidRPr="00CF03C7">
              <w:rPr>
                <w:rFonts w:ascii="Bookman Old Style" w:hAnsi="Bookman Old Style" w:cs="Calibri"/>
                <w:color w:val="000000"/>
                <w:sz w:val="18"/>
                <w:szCs w:val="18"/>
              </w:rPr>
              <w:t>283</w:t>
            </w:r>
          </w:p>
        </w:tc>
      </w:tr>
      <w:tr w:rsidR="00EF1076" w:rsidRPr="00D058C7" w14:paraId="2E672F0F" w14:textId="77777777" w:rsidTr="00D31EE7">
        <w:tc>
          <w:tcPr>
            <w:tcW w:w="1732" w:type="dxa"/>
            <w:vAlign w:val="center"/>
          </w:tcPr>
          <w:p w14:paraId="0D434724" w14:textId="77777777" w:rsidR="00EF1076" w:rsidRPr="00D058C7" w:rsidRDefault="00EF1076" w:rsidP="00EF1076">
            <w:pPr>
              <w:pStyle w:val="Textodebloque"/>
              <w:spacing w:after="0"/>
              <w:ind w:left="0" w:right="6"/>
              <w:contextualSpacing/>
              <w:rPr>
                <w:rFonts w:ascii="Bookman Old Style" w:hAnsi="Bookman Old Style"/>
                <w:b/>
                <w:bCs/>
                <w:sz w:val="18"/>
                <w:szCs w:val="18"/>
              </w:rPr>
            </w:pPr>
            <w:r w:rsidRPr="00D058C7">
              <w:rPr>
                <w:rFonts w:ascii="Bookman Old Style" w:hAnsi="Bookman Old Style"/>
                <w:b/>
                <w:bCs/>
                <w:sz w:val="18"/>
                <w:szCs w:val="18"/>
              </w:rPr>
              <w:t>Módulos</w:t>
            </w:r>
          </w:p>
        </w:tc>
        <w:tc>
          <w:tcPr>
            <w:tcW w:w="1098" w:type="dxa"/>
            <w:vAlign w:val="center"/>
          </w:tcPr>
          <w:p w14:paraId="690CF622"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3.726</w:t>
            </w:r>
          </w:p>
        </w:tc>
        <w:tc>
          <w:tcPr>
            <w:tcW w:w="992" w:type="dxa"/>
            <w:vAlign w:val="center"/>
          </w:tcPr>
          <w:p w14:paraId="314B7030"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280</w:t>
            </w:r>
          </w:p>
        </w:tc>
        <w:tc>
          <w:tcPr>
            <w:tcW w:w="701" w:type="dxa"/>
            <w:vAlign w:val="center"/>
          </w:tcPr>
          <w:p w14:paraId="361BA240"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32</w:t>
            </w:r>
          </w:p>
        </w:tc>
        <w:tc>
          <w:tcPr>
            <w:tcW w:w="1076" w:type="dxa"/>
            <w:vAlign w:val="center"/>
          </w:tcPr>
          <w:p w14:paraId="5D2C4FA8"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8,96</w:t>
            </w:r>
          </w:p>
        </w:tc>
        <w:tc>
          <w:tcPr>
            <w:tcW w:w="977" w:type="dxa"/>
          </w:tcPr>
          <w:p w14:paraId="07F8DB24" w14:textId="29B7725F"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33.385</w:t>
            </w:r>
          </w:p>
        </w:tc>
        <w:tc>
          <w:tcPr>
            <w:tcW w:w="1273" w:type="dxa"/>
            <w:vAlign w:val="center"/>
          </w:tcPr>
          <w:p w14:paraId="70FBB843"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1.863</w:t>
            </w:r>
          </w:p>
        </w:tc>
        <w:tc>
          <w:tcPr>
            <w:tcW w:w="1219" w:type="dxa"/>
            <w:vAlign w:val="center"/>
          </w:tcPr>
          <w:p w14:paraId="03D8C76C" w14:textId="77777777" w:rsidR="00EF1076" w:rsidRPr="00D058C7" w:rsidRDefault="00EF1076" w:rsidP="00EF1076">
            <w:pPr>
              <w:pStyle w:val="Textodebloque"/>
              <w:spacing w:after="0"/>
              <w:ind w:left="0" w:right="6"/>
              <w:contextualSpacing/>
              <w:jc w:val="right"/>
              <w:rPr>
                <w:rFonts w:ascii="Bookman Old Style" w:hAnsi="Bookman Old Style"/>
                <w:sz w:val="18"/>
                <w:szCs w:val="18"/>
              </w:rPr>
            </w:pPr>
            <w:r w:rsidRPr="00CF03C7">
              <w:rPr>
                <w:rFonts w:ascii="Bookman Old Style" w:hAnsi="Bookman Old Style" w:cs="Calibri"/>
                <w:color w:val="000000"/>
                <w:sz w:val="18"/>
                <w:szCs w:val="18"/>
              </w:rPr>
              <w:t>6</w:t>
            </w:r>
            <w:r>
              <w:rPr>
                <w:rFonts w:ascii="Bookman Old Style" w:hAnsi="Bookman Old Style" w:cs="Calibri"/>
                <w:color w:val="000000"/>
                <w:sz w:val="18"/>
                <w:szCs w:val="18"/>
              </w:rPr>
              <w:t>.</w:t>
            </w:r>
            <w:r w:rsidRPr="00CF03C7">
              <w:rPr>
                <w:rFonts w:ascii="Bookman Old Style" w:hAnsi="Bookman Old Style" w:cs="Calibri"/>
                <w:color w:val="000000"/>
                <w:sz w:val="18"/>
                <w:szCs w:val="18"/>
              </w:rPr>
              <w:t>943</w:t>
            </w:r>
            <w:r>
              <w:rPr>
                <w:rFonts w:ascii="Bookman Old Style" w:hAnsi="Bookman Old Style" w:cs="Calibri"/>
                <w:color w:val="000000"/>
                <w:sz w:val="18"/>
                <w:szCs w:val="18"/>
              </w:rPr>
              <w:t>.</w:t>
            </w:r>
            <w:r w:rsidRPr="00CF03C7">
              <w:rPr>
                <w:rFonts w:ascii="Bookman Old Style" w:hAnsi="Bookman Old Style" w:cs="Calibri"/>
                <w:color w:val="000000"/>
                <w:sz w:val="18"/>
                <w:szCs w:val="18"/>
              </w:rPr>
              <w:t>283</w:t>
            </w:r>
          </w:p>
        </w:tc>
      </w:tr>
      <w:tr w:rsidR="00EF1076" w:rsidRPr="00D058C7" w14:paraId="52B360DC" w14:textId="77777777" w:rsidTr="00D31EE7">
        <w:tc>
          <w:tcPr>
            <w:tcW w:w="1732" w:type="dxa"/>
            <w:vAlign w:val="center"/>
          </w:tcPr>
          <w:p w14:paraId="47852E76" w14:textId="77777777" w:rsidR="00EF1076" w:rsidRPr="00D058C7" w:rsidRDefault="00EF1076" w:rsidP="00EF1076">
            <w:pPr>
              <w:pStyle w:val="Textodebloque"/>
              <w:spacing w:after="0"/>
              <w:ind w:left="0" w:right="6"/>
              <w:contextualSpacing/>
              <w:rPr>
                <w:rFonts w:ascii="Bookman Old Style" w:hAnsi="Bookman Old Style"/>
                <w:b/>
                <w:bCs/>
                <w:sz w:val="18"/>
                <w:szCs w:val="18"/>
              </w:rPr>
            </w:pPr>
            <w:r w:rsidRPr="00D058C7">
              <w:rPr>
                <w:rFonts w:ascii="Bookman Old Style" w:hAnsi="Bookman Old Style"/>
                <w:b/>
                <w:bCs/>
                <w:sz w:val="18"/>
                <w:szCs w:val="18"/>
              </w:rPr>
              <w:t>Celdas</w:t>
            </w:r>
          </w:p>
        </w:tc>
        <w:tc>
          <w:tcPr>
            <w:tcW w:w="1098" w:type="dxa"/>
            <w:vAlign w:val="center"/>
          </w:tcPr>
          <w:p w14:paraId="5B5440CE"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37.260</w:t>
            </w:r>
          </w:p>
        </w:tc>
        <w:tc>
          <w:tcPr>
            <w:tcW w:w="992" w:type="dxa"/>
            <w:vAlign w:val="center"/>
          </w:tcPr>
          <w:p w14:paraId="4A46F3CE"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280</w:t>
            </w:r>
          </w:p>
        </w:tc>
        <w:tc>
          <w:tcPr>
            <w:tcW w:w="701" w:type="dxa"/>
            <w:vAlign w:val="center"/>
          </w:tcPr>
          <w:p w14:paraId="1F03FEEE"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3.2</w:t>
            </w:r>
          </w:p>
        </w:tc>
        <w:tc>
          <w:tcPr>
            <w:tcW w:w="1076" w:type="dxa"/>
            <w:vAlign w:val="center"/>
          </w:tcPr>
          <w:p w14:paraId="7757A2CF"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0,896</w:t>
            </w:r>
          </w:p>
        </w:tc>
        <w:tc>
          <w:tcPr>
            <w:tcW w:w="977" w:type="dxa"/>
          </w:tcPr>
          <w:p w14:paraId="780DE1CC" w14:textId="37B84ABF"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33.385</w:t>
            </w:r>
          </w:p>
        </w:tc>
        <w:tc>
          <w:tcPr>
            <w:tcW w:w="1273" w:type="dxa"/>
            <w:vAlign w:val="center"/>
          </w:tcPr>
          <w:p w14:paraId="479C4007" w14:textId="77777777" w:rsidR="00EF1076" w:rsidRPr="0056551B" w:rsidRDefault="00EF1076" w:rsidP="00EF1076">
            <w:pPr>
              <w:pStyle w:val="Textodebloque"/>
              <w:spacing w:after="0"/>
              <w:ind w:left="0" w:right="6"/>
              <w:contextualSpacing/>
              <w:jc w:val="right"/>
              <w:rPr>
                <w:rFonts w:ascii="Bookman Old Style" w:hAnsi="Bookman Old Style"/>
                <w:sz w:val="18"/>
                <w:szCs w:val="18"/>
              </w:rPr>
            </w:pPr>
            <w:r w:rsidRPr="0056551B">
              <w:rPr>
                <w:rFonts w:ascii="Bookman Old Style" w:hAnsi="Bookman Old Style"/>
                <w:sz w:val="18"/>
                <w:szCs w:val="18"/>
              </w:rPr>
              <w:t>186,35</w:t>
            </w:r>
          </w:p>
        </w:tc>
        <w:tc>
          <w:tcPr>
            <w:tcW w:w="1219" w:type="dxa"/>
            <w:vAlign w:val="center"/>
          </w:tcPr>
          <w:p w14:paraId="50511C31" w14:textId="77777777" w:rsidR="00EF1076" w:rsidRPr="00D058C7" w:rsidRDefault="00EF1076" w:rsidP="00EF1076">
            <w:pPr>
              <w:pStyle w:val="Textodebloque"/>
              <w:spacing w:after="0"/>
              <w:ind w:left="0" w:right="6"/>
              <w:contextualSpacing/>
              <w:jc w:val="right"/>
              <w:rPr>
                <w:rFonts w:ascii="Bookman Old Style" w:hAnsi="Bookman Old Style"/>
                <w:sz w:val="18"/>
                <w:szCs w:val="18"/>
              </w:rPr>
            </w:pPr>
            <w:r w:rsidRPr="00CF03C7">
              <w:rPr>
                <w:rFonts w:ascii="Bookman Old Style" w:hAnsi="Bookman Old Style" w:cs="Calibri"/>
                <w:color w:val="000000"/>
                <w:sz w:val="18"/>
                <w:szCs w:val="18"/>
              </w:rPr>
              <w:t>6</w:t>
            </w:r>
            <w:r>
              <w:rPr>
                <w:rFonts w:ascii="Bookman Old Style" w:hAnsi="Bookman Old Style" w:cs="Calibri"/>
                <w:color w:val="000000"/>
                <w:sz w:val="18"/>
                <w:szCs w:val="18"/>
              </w:rPr>
              <w:t>.</w:t>
            </w:r>
            <w:r w:rsidRPr="00CF03C7">
              <w:rPr>
                <w:rFonts w:ascii="Bookman Old Style" w:hAnsi="Bookman Old Style" w:cs="Calibri"/>
                <w:color w:val="000000"/>
                <w:sz w:val="18"/>
                <w:szCs w:val="18"/>
              </w:rPr>
              <w:t>943</w:t>
            </w:r>
            <w:r>
              <w:rPr>
                <w:rFonts w:ascii="Bookman Old Style" w:hAnsi="Bookman Old Style" w:cs="Calibri"/>
                <w:color w:val="000000"/>
                <w:sz w:val="18"/>
                <w:szCs w:val="18"/>
              </w:rPr>
              <w:t>.</w:t>
            </w:r>
            <w:r w:rsidRPr="00CF03C7">
              <w:rPr>
                <w:rFonts w:ascii="Bookman Old Style" w:hAnsi="Bookman Old Style" w:cs="Calibri"/>
                <w:color w:val="000000"/>
                <w:sz w:val="18"/>
                <w:szCs w:val="18"/>
              </w:rPr>
              <w:t>283</w:t>
            </w:r>
          </w:p>
        </w:tc>
      </w:tr>
    </w:tbl>
    <w:p w14:paraId="4ADDE608" w14:textId="77777777" w:rsidR="00EE28AB" w:rsidRDefault="00EE28AB" w:rsidP="00EE28AB">
      <w:pPr>
        <w:pStyle w:val="Textodebloque"/>
        <w:ind w:left="284" w:right="6"/>
        <w:contextualSpacing/>
        <w:jc w:val="center"/>
        <w:rPr>
          <w:rFonts w:ascii="Bookman Old Style" w:hAnsi="Bookman Old Style"/>
          <w:sz w:val="20"/>
          <w:szCs w:val="24"/>
        </w:rPr>
      </w:pPr>
      <w:r w:rsidRPr="00A010D0">
        <w:rPr>
          <w:rFonts w:ascii="Bookman Old Style" w:hAnsi="Bookman Old Style"/>
          <w:sz w:val="20"/>
          <w:szCs w:val="24"/>
        </w:rPr>
        <w:t>Fuente: Elaboración propia</w:t>
      </w:r>
    </w:p>
    <w:p w14:paraId="54E79D4C" w14:textId="77777777" w:rsidR="0070226D" w:rsidRDefault="0070226D" w:rsidP="00910077">
      <w:pPr>
        <w:pStyle w:val="Textodebloque"/>
        <w:ind w:left="284" w:right="6"/>
        <w:contextualSpacing/>
        <w:rPr>
          <w:rFonts w:ascii="Bookman Old Style" w:hAnsi="Bookman Old Style"/>
          <w:szCs w:val="24"/>
        </w:rPr>
      </w:pPr>
    </w:p>
    <w:p w14:paraId="5FCE3B6A" w14:textId="005EE44B" w:rsidR="00BC52A7" w:rsidRPr="00BC52A7" w:rsidRDefault="00B35372" w:rsidP="00BC52A7">
      <w:pPr>
        <w:pStyle w:val="Textodebloque"/>
        <w:ind w:left="284" w:right="6"/>
        <w:contextualSpacing/>
        <w:rPr>
          <w:rFonts w:ascii="Bookman Old Style" w:hAnsi="Bookman Old Style"/>
          <w:szCs w:val="24"/>
        </w:rPr>
      </w:pPr>
      <w:r>
        <w:rPr>
          <w:rFonts w:ascii="Bookman Old Style" w:hAnsi="Bookman Old Style"/>
          <w:szCs w:val="24"/>
        </w:rPr>
        <w:t xml:space="preserve">De lo anterior, encuentra esta Comisión </w:t>
      </w:r>
      <w:r w:rsidR="00574922">
        <w:rPr>
          <w:rFonts w:ascii="Bookman Old Style" w:hAnsi="Bookman Old Style"/>
          <w:szCs w:val="24"/>
        </w:rPr>
        <w:t>que</w:t>
      </w:r>
      <w:r w:rsidR="00537674">
        <w:rPr>
          <w:rFonts w:ascii="Bookman Old Style" w:hAnsi="Bookman Old Style"/>
          <w:szCs w:val="24"/>
        </w:rPr>
        <w:t>,</w:t>
      </w:r>
      <w:r w:rsidR="00574922">
        <w:rPr>
          <w:rFonts w:ascii="Bookman Old Style" w:hAnsi="Bookman Old Style"/>
          <w:szCs w:val="24"/>
        </w:rPr>
        <w:t xml:space="preserve"> </w:t>
      </w:r>
      <w:r w:rsidR="00BC52A7" w:rsidRPr="00BC52A7">
        <w:rPr>
          <w:rFonts w:ascii="Bookman Old Style" w:hAnsi="Bookman Old Style"/>
          <w:szCs w:val="24"/>
        </w:rPr>
        <w:t xml:space="preserve">al </w:t>
      </w:r>
      <w:r w:rsidR="00574922">
        <w:rPr>
          <w:rFonts w:ascii="Bookman Old Style" w:hAnsi="Bookman Old Style"/>
          <w:szCs w:val="24"/>
        </w:rPr>
        <w:t xml:space="preserve">tenerse una menor cantidad </w:t>
      </w:r>
      <w:r w:rsidR="00BC52A7" w:rsidRPr="00BC52A7">
        <w:rPr>
          <w:rFonts w:ascii="Bookman Old Style" w:hAnsi="Bookman Old Style"/>
          <w:szCs w:val="24"/>
        </w:rPr>
        <w:t xml:space="preserve">de </w:t>
      </w:r>
      <w:r w:rsidR="0023757A">
        <w:rPr>
          <w:rFonts w:ascii="Bookman Old Style" w:hAnsi="Bookman Old Style"/>
          <w:szCs w:val="24"/>
        </w:rPr>
        <w:t xml:space="preserve">racks por módulo de almacenamiento, de </w:t>
      </w:r>
      <w:r w:rsidR="00BC52A7" w:rsidRPr="00BC52A7">
        <w:rPr>
          <w:rFonts w:ascii="Bookman Old Style" w:hAnsi="Bookman Old Style"/>
          <w:szCs w:val="24"/>
        </w:rPr>
        <w:t>20 a 18</w:t>
      </w:r>
      <w:r w:rsidR="00FD1876">
        <w:rPr>
          <w:rFonts w:ascii="Bookman Old Style" w:hAnsi="Bookman Old Style"/>
          <w:szCs w:val="24"/>
        </w:rPr>
        <w:t xml:space="preserve">, </w:t>
      </w:r>
      <w:r w:rsidR="00BC52A7" w:rsidRPr="00BC52A7">
        <w:rPr>
          <w:rFonts w:ascii="Bookman Old Style" w:hAnsi="Bookman Old Style"/>
          <w:szCs w:val="24"/>
        </w:rPr>
        <w:t xml:space="preserve">tal como se aprecia en el diagrama unifilar aportado por GENSA, </w:t>
      </w:r>
      <w:r w:rsidR="004E13A9">
        <w:rPr>
          <w:rFonts w:ascii="Bookman Old Style" w:hAnsi="Bookman Old Style"/>
          <w:szCs w:val="24"/>
        </w:rPr>
        <w:t xml:space="preserve">se </w:t>
      </w:r>
      <w:r w:rsidR="008C6689">
        <w:rPr>
          <w:rFonts w:ascii="Bookman Old Style" w:hAnsi="Bookman Old Style"/>
          <w:szCs w:val="24"/>
        </w:rPr>
        <w:t xml:space="preserve">tiene </w:t>
      </w:r>
      <w:r w:rsidR="00BC52A7" w:rsidRPr="00BC52A7">
        <w:rPr>
          <w:rFonts w:ascii="Bookman Old Style" w:hAnsi="Bookman Old Style"/>
          <w:szCs w:val="24"/>
        </w:rPr>
        <w:t xml:space="preserve">que la capacidad de cada </w:t>
      </w:r>
      <w:r w:rsidR="00DE263D">
        <w:rPr>
          <w:rFonts w:ascii="Bookman Old Style" w:hAnsi="Bookman Old Style"/>
          <w:szCs w:val="24"/>
        </w:rPr>
        <w:t xml:space="preserve">unidad de almacenamiento </w:t>
      </w:r>
      <w:r w:rsidR="00BC52A7" w:rsidRPr="00BC52A7">
        <w:rPr>
          <w:rFonts w:ascii="Bookman Old Style" w:hAnsi="Bookman Old Style"/>
          <w:szCs w:val="24"/>
        </w:rPr>
        <w:t>no será de 4.121 kWh</w:t>
      </w:r>
      <w:r w:rsidR="009F7AA6">
        <w:rPr>
          <w:rFonts w:ascii="Bookman Old Style" w:hAnsi="Bookman Old Style"/>
          <w:szCs w:val="24"/>
        </w:rPr>
        <w:t>,</w:t>
      </w:r>
      <w:r w:rsidR="00BC52A7" w:rsidRPr="00BC52A7">
        <w:rPr>
          <w:rFonts w:ascii="Bookman Old Style" w:hAnsi="Bookman Old Style"/>
          <w:szCs w:val="24"/>
        </w:rPr>
        <w:t xml:space="preserve"> como </w:t>
      </w:r>
      <w:r w:rsidR="00BC52A7" w:rsidRPr="00F85D49">
        <w:rPr>
          <w:rFonts w:ascii="Bookman Old Style" w:hAnsi="Bookman Old Style"/>
          <w:szCs w:val="24"/>
        </w:rPr>
        <w:t xml:space="preserve">se describe en </w:t>
      </w:r>
      <w:r w:rsidR="00F85D49" w:rsidRPr="00F85D49">
        <w:rPr>
          <w:rFonts w:ascii="Bookman Old Style" w:hAnsi="Bookman Old Style"/>
          <w:szCs w:val="24"/>
        </w:rPr>
        <w:t xml:space="preserve">el </w:t>
      </w:r>
      <w:r w:rsidR="00F85D49" w:rsidRPr="00BC52A7">
        <w:rPr>
          <w:rFonts w:ascii="Bookman Old Style" w:hAnsi="Bookman Old Style"/>
          <w:szCs w:val="24"/>
        </w:rPr>
        <w:t>documento</w:t>
      </w:r>
      <w:r w:rsidR="00F85D49">
        <w:rPr>
          <w:rFonts w:ascii="Bookman Old Style" w:hAnsi="Bookman Old Style"/>
          <w:szCs w:val="24"/>
        </w:rPr>
        <w:t xml:space="preserve"> soporte</w:t>
      </w:r>
      <w:r w:rsidR="00F85D49" w:rsidRPr="00BC52A7">
        <w:rPr>
          <w:rFonts w:ascii="Bookman Old Style" w:hAnsi="Bookman Old Style"/>
          <w:szCs w:val="24"/>
        </w:rPr>
        <w:t xml:space="preserve"> “SDI - E22 - BESS Non-</w:t>
      </w:r>
      <w:proofErr w:type="spellStart"/>
      <w:r w:rsidR="00F85D49" w:rsidRPr="00BC52A7">
        <w:rPr>
          <w:rFonts w:ascii="Bookman Old Style" w:hAnsi="Bookman Old Style"/>
          <w:szCs w:val="24"/>
        </w:rPr>
        <w:t>Binding</w:t>
      </w:r>
      <w:proofErr w:type="spellEnd"/>
      <w:r w:rsidR="00F85D49" w:rsidRPr="00BC52A7">
        <w:rPr>
          <w:rFonts w:ascii="Bookman Old Style" w:hAnsi="Bookman Old Style"/>
          <w:szCs w:val="24"/>
        </w:rPr>
        <w:t xml:space="preserve"> </w:t>
      </w:r>
      <w:proofErr w:type="spellStart"/>
      <w:r w:rsidR="00F85D49" w:rsidRPr="00BC52A7">
        <w:rPr>
          <w:rFonts w:ascii="Bookman Old Style" w:hAnsi="Bookman Old Style"/>
          <w:szCs w:val="24"/>
        </w:rPr>
        <w:t>Proposal</w:t>
      </w:r>
      <w:proofErr w:type="spellEnd"/>
      <w:r w:rsidR="00F85D49" w:rsidRPr="00BC52A7">
        <w:rPr>
          <w:rFonts w:ascii="Bookman Old Style" w:hAnsi="Bookman Old Style"/>
          <w:szCs w:val="24"/>
        </w:rPr>
        <w:t xml:space="preserve"> </w:t>
      </w:r>
      <w:proofErr w:type="spellStart"/>
      <w:r w:rsidR="00F85D49" w:rsidRPr="00BC52A7">
        <w:rPr>
          <w:rFonts w:ascii="Bookman Old Style" w:hAnsi="Bookman Old Style"/>
          <w:szCs w:val="24"/>
        </w:rPr>
        <w:t>Inirida</w:t>
      </w:r>
      <w:proofErr w:type="spellEnd"/>
      <w:r w:rsidR="00F85D49" w:rsidRPr="00BC52A7">
        <w:rPr>
          <w:rFonts w:ascii="Bookman Old Style" w:hAnsi="Bookman Old Style"/>
          <w:szCs w:val="24"/>
        </w:rPr>
        <w:t xml:space="preserve"> - 20210121 - </w:t>
      </w:r>
      <w:r w:rsidR="00607360" w:rsidRPr="00F42F5A">
        <w:rPr>
          <w:rFonts w:ascii="Bookman Old Style" w:hAnsi="Bookman Old Style"/>
          <w:szCs w:val="24"/>
        </w:rPr>
        <w:t>rev2.pdf</w:t>
      </w:r>
      <w:r w:rsidR="00F85D49" w:rsidRPr="00F85D49">
        <w:rPr>
          <w:rFonts w:ascii="Bookman Old Style" w:hAnsi="Bookman Old Style"/>
          <w:szCs w:val="24"/>
        </w:rPr>
        <w:t>”</w:t>
      </w:r>
      <w:r w:rsidR="00BC52A7" w:rsidRPr="00F85D49">
        <w:rPr>
          <w:rFonts w:ascii="Bookman Old Style" w:hAnsi="Bookman Old Style"/>
          <w:szCs w:val="24"/>
        </w:rPr>
        <w:t>,</w:t>
      </w:r>
      <w:r w:rsidR="00BC52A7" w:rsidRPr="00BC52A7">
        <w:rPr>
          <w:rFonts w:ascii="Bookman Old Style" w:hAnsi="Bookman Old Style"/>
          <w:szCs w:val="24"/>
        </w:rPr>
        <w:t xml:space="preserve"> sino que será de 3</w:t>
      </w:r>
      <w:r w:rsidR="00C73F9B">
        <w:rPr>
          <w:rFonts w:ascii="Bookman Old Style" w:hAnsi="Bookman Old Style"/>
          <w:szCs w:val="24"/>
        </w:rPr>
        <w:t>.</w:t>
      </w:r>
      <w:r w:rsidR="00BC52A7" w:rsidRPr="00BC52A7">
        <w:rPr>
          <w:rFonts w:ascii="Bookman Old Style" w:hAnsi="Bookman Old Style"/>
          <w:szCs w:val="24"/>
        </w:rPr>
        <w:t xml:space="preserve">709 kWh. Con fundamento en lo anterior, la capacidad total del sistema de acumulación </w:t>
      </w:r>
      <w:r w:rsidR="008523D0">
        <w:rPr>
          <w:rFonts w:ascii="Bookman Old Style" w:hAnsi="Bookman Old Style"/>
          <w:szCs w:val="24"/>
        </w:rPr>
        <w:t xml:space="preserve">de referencia utilizado para establecer el cargo </w:t>
      </w:r>
      <w:r w:rsidR="00BC52A7" w:rsidRPr="00BC52A7">
        <w:rPr>
          <w:rFonts w:ascii="Bookman Old Style" w:hAnsi="Bookman Old Style"/>
          <w:szCs w:val="24"/>
        </w:rPr>
        <w:t xml:space="preserve">no </w:t>
      </w:r>
      <w:r w:rsidR="008523D0">
        <w:rPr>
          <w:rFonts w:ascii="Bookman Old Style" w:hAnsi="Bookman Old Style"/>
          <w:szCs w:val="24"/>
        </w:rPr>
        <w:t xml:space="preserve">es </w:t>
      </w:r>
      <w:r w:rsidR="00BC52A7" w:rsidRPr="00BC52A7">
        <w:rPr>
          <w:rFonts w:ascii="Bookman Old Style" w:hAnsi="Bookman Old Style"/>
          <w:szCs w:val="24"/>
        </w:rPr>
        <w:t>de 37</w:t>
      </w:r>
      <w:r w:rsidR="00C73F9B">
        <w:rPr>
          <w:rFonts w:ascii="Bookman Old Style" w:hAnsi="Bookman Old Style"/>
          <w:szCs w:val="24"/>
        </w:rPr>
        <w:t>.</w:t>
      </w:r>
      <w:r w:rsidR="00BC52A7" w:rsidRPr="00BC52A7">
        <w:rPr>
          <w:rFonts w:ascii="Bookman Old Style" w:hAnsi="Bookman Old Style"/>
          <w:szCs w:val="24"/>
        </w:rPr>
        <w:t>089 kWh</w:t>
      </w:r>
      <w:r w:rsidR="00537674">
        <w:rPr>
          <w:rFonts w:ascii="Bookman Old Style" w:hAnsi="Bookman Old Style"/>
          <w:szCs w:val="24"/>
        </w:rPr>
        <w:t>,</w:t>
      </w:r>
      <w:r w:rsidR="00BC52A7" w:rsidRPr="00BC52A7">
        <w:rPr>
          <w:rFonts w:ascii="Bookman Old Style" w:hAnsi="Bookman Old Style"/>
          <w:szCs w:val="24"/>
        </w:rPr>
        <w:t xml:space="preserve"> sino que es de 33</w:t>
      </w:r>
      <w:r w:rsidR="00C73F9B">
        <w:rPr>
          <w:rFonts w:ascii="Bookman Old Style" w:hAnsi="Bookman Old Style"/>
          <w:szCs w:val="24"/>
        </w:rPr>
        <w:t>.</w:t>
      </w:r>
      <w:r w:rsidR="00BC52A7" w:rsidRPr="00BC52A7">
        <w:rPr>
          <w:rFonts w:ascii="Bookman Old Style" w:hAnsi="Bookman Old Style"/>
          <w:szCs w:val="24"/>
        </w:rPr>
        <w:t>384 kWh</w:t>
      </w:r>
      <w:r w:rsidR="007B5C77">
        <w:rPr>
          <w:rFonts w:ascii="Bookman Old Style" w:hAnsi="Bookman Old Style"/>
          <w:szCs w:val="24"/>
        </w:rPr>
        <w:t xml:space="preserve">, en línea con </w:t>
      </w:r>
      <w:r w:rsidR="00BC52A7" w:rsidRPr="00BC52A7">
        <w:rPr>
          <w:rFonts w:ascii="Bookman Old Style" w:hAnsi="Bookman Old Style"/>
          <w:szCs w:val="24"/>
        </w:rPr>
        <w:t xml:space="preserve">lo </w:t>
      </w:r>
      <w:r w:rsidR="007B5C77">
        <w:rPr>
          <w:rFonts w:ascii="Bookman Old Style" w:hAnsi="Bookman Old Style"/>
          <w:szCs w:val="24"/>
        </w:rPr>
        <w:t xml:space="preserve">presentado </w:t>
      </w:r>
      <w:r w:rsidR="00BC52A7" w:rsidRPr="00BC52A7">
        <w:rPr>
          <w:rFonts w:ascii="Bookman Old Style" w:hAnsi="Bookman Old Style"/>
          <w:szCs w:val="24"/>
        </w:rPr>
        <w:t>en el diagrama unifilar allegado al expediente de la presente actuación.</w:t>
      </w:r>
    </w:p>
    <w:p w14:paraId="72BA7E22" w14:textId="77777777" w:rsidR="00143093" w:rsidRDefault="00143093" w:rsidP="00143093">
      <w:pPr>
        <w:pStyle w:val="Textodebloque"/>
        <w:ind w:left="284" w:right="6"/>
        <w:contextualSpacing/>
        <w:rPr>
          <w:rFonts w:ascii="Bookman Old Style" w:hAnsi="Bookman Old Style"/>
          <w:szCs w:val="24"/>
        </w:rPr>
      </w:pPr>
    </w:p>
    <w:p w14:paraId="3971D58C" w14:textId="72D75B54" w:rsidR="00BC52A7" w:rsidRPr="00BC52A7" w:rsidRDefault="004844DB" w:rsidP="00BC52A7">
      <w:pPr>
        <w:pStyle w:val="Textodebloque"/>
        <w:ind w:left="284" w:right="6"/>
        <w:contextualSpacing/>
        <w:rPr>
          <w:rFonts w:ascii="Bookman Old Style" w:hAnsi="Bookman Old Style"/>
          <w:szCs w:val="24"/>
        </w:rPr>
      </w:pPr>
      <w:r>
        <w:rPr>
          <w:rFonts w:ascii="Bookman Old Style" w:hAnsi="Bookman Old Style"/>
          <w:szCs w:val="24"/>
        </w:rPr>
        <w:t xml:space="preserve">Finalmente, partiendo del número total de celdas consistente con el diagrama unifilar, 37.260, a </w:t>
      </w:r>
      <w:r w:rsidR="009B77C7">
        <w:rPr>
          <w:rFonts w:ascii="Bookman Old Style" w:hAnsi="Bookman Old Style"/>
          <w:szCs w:val="24"/>
        </w:rPr>
        <w:t xml:space="preserve">un costo unitario de </w:t>
      </w:r>
      <w:r w:rsidR="00B14E7E">
        <w:rPr>
          <w:rFonts w:ascii="Bookman Old Style" w:hAnsi="Bookman Old Style"/>
          <w:szCs w:val="24"/>
        </w:rPr>
        <w:t xml:space="preserve">USD </w:t>
      </w:r>
      <w:r w:rsidR="009B77C7">
        <w:rPr>
          <w:rFonts w:ascii="Bookman Old Style" w:hAnsi="Bookman Old Style"/>
          <w:szCs w:val="24"/>
        </w:rPr>
        <w:t>186.35</w:t>
      </w:r>
      <w:r w:rsidR="002F46ED">
        <w:rPr>
          <w:rFonts w:ascii="Bookman Old Style" w:hAnsi="Bookman Old Style"/>
          <w:szCs w:val="24"/>
        </w:rPr>
        <w:t xml:space="preserve">, se tiene un valor de inversión de USD </w:t>
      </w:r>
      <w:r w:rsidR="002F46ED" w:rsidRPr="002F46ED">
        <w:rPr>
          <w:rFonts w:ascii="Bookman Old Style" w:hAnsi="Bookman Old Style"/>
          <w:szCs w:val="24"/>
        </w:rPr>
        <w:t>6.943.283</w:t>
      </w:r>
      <w:r w:rsidR="00D1630A">
        <w:rPr>
          <w:rFonts w:ascii="Bookman Old Style" w:hAnsi="Bookman Old Style"/>
          <w:szCs w:val="24"/>
        </w:rPr>
        <w:t xml:space="preserve">. En consecuencia, </w:t>
      </w:r>
      <w:r w:rsidR="00BC52A7" w:rsidRPr="00BC52A7">
        <w:rPr>
          <w:rFonts w:ascii="Bookman Old Style" w:hAnsi="Bookman Old Style"/>
          <w:szCs w:val="24"/>
        </w:rPr>
        <w:t>esta Comisión considera que el recurso de reposición</w:t>
      </w:r>
      <w:r w:rsidR="00537674">
        <w:rPr>
          <w:rFonts w:ascii="Bookman Old Style" w:hAnsi="Bookman Old Style"/>
          <w:szCs w:val="24"/>
        </w:rPr>
        <w:t>,</w:t>
      </w:r>
      <w:r w:rsidR="00BC52A7" w:rsidRPr="00BC52A7">
        <w:rPr>
          <w:rFonts w:ascii="Bookman Old Style" w:hAnsi="Bookman Old Style"/>
          <w:szCs w:val="24"/>
        </w:rPr>
        <w:t xml:space="preserve"> en lo que corresponde al tamaño del sistema de almacenamiento de energía</w:t>
      </w:r>
      <w:r w:rsidR="00537674">
        <w:rPr>
          <w:rFonts w:ascii="Bookman Old Style" w:hAnsi="Bookman Old Style"/>
          <w:szCs w:val="24"/>
        </w:rPr>
        <w:t>,</w:t>
      </w:r>
      <w:r w:rsidR="00BC52A7" w:rsidRPr="00BC52A7">
        <w:rPr>
          <w:rFonts w:ascii="Bookman Old Style" w:hAnsi="Bookman Old Style"/>
          <w:szCs w:val="24"/>
        </w:rPr>
        <w:t xml:space="preserve"> no procede.</w:t>
      </w:r>
    </w:p>
    <w:p w14:paraId="5F1A21FE" w14:textId="77777777" w:rsidR="00BC52A7" w:rsidRPr="00BC52A7" w:rsidRDefault="00BC52A7" w:rsidP="00BC52A7">
      <w:pPr>
        <w:pStyle w:val="Textodebloque"/>
        <w:ind w:left="284" w:right="6"/>
        <w:contextualSpacing/>
        <w:rPr>
          <w:rFonts w:ascii="Bookman Old Style" w:hAnsi="Bookman Old Style"/>
          <w:szCs w:val="24"/>
        </w:rPr>
      </w:pPr>
    </w:p>
    <w:p w14:paraId="0896E7B7" w14:textId="70E71901" w:rsidR="00BC52A7" w:rsidRPr="00753A32" w:rsidRDefault="00BC52A7" w:rsidP="00BC52A7">
      <w:pPr>
        <w:pStyle w:val="Textodebloque"/>
        <w:ind w:left="284" w:right="6"/>
        <w:contextualSpacing/>
        <w:rPr>
          <w:rFonts w:ascii="Bookman Old Style" w:hAnsi="Bookman Old Style"/>
          <w:b/>
          <w:szCs w:val="24"/>
        </w:rPr>
      </w:pPr>
      <w:r w:rsidRPr="00753A32">
        <w:rPr>
          <w:rFonts w:ascii="Bookman Old Style" w:hAnsi="Bookman Old Style"/>
          <w:b/>
          <w:szCs w:val="24"/>
        </w:rPr>
        <w:t>1.3. TASA REPRESENTA</w:t>
      </w:r>
      <w:r w:rsidR="00851946">
        <w:rPr>
          <w:rFonts w:ascii="Bookman Old Style" w:hAnsi="Bookman Old Style"/>
          <w:b/>
          <w:szCs w:val="24"/>
        </w:rPr>
        <w:t>TIVA</w:t>
      </w:r>
      <w:r w:rsidRPr="00753A32">
        <w:rPr>
          <w:rFonts w:ascii="Bookman Old Style" w:hAnsi="Bookman Old Style"/>
          <w:b/>
          <w:szCs w:val="24"/>
        </w:rPr>
        <w:t xml:space="preserve"> DEL MERCADO </w:t>
      </w:r>
    </w:p>
    <w:p w14:paraId="2044142D" w14:textId="77777777" w:rsidR="00BC52A7" w:rsidRPr="00753A32" w:rsidRDefault="00BC52A7" w:rsidP="00BC52A7">
      <w:pPr>
        <w:pStyle w:val="Textodebloque"/>
        <w:ind w:left="284" w:right="6"/>
        <w:contextualSpacing/>
        <w:rPr>
          <w:rFonts w:ascii="Bookman Old Style" w:hAnsi="Bookman Old Style"/>
          <w:b/>
          <w:szCs w:val="24"/>
        </w:rPr>
      </w:pPr>
    </w:p>
    <w:p w14:paraId="6EC6BAC4" w14:textId="4AD7A591" w:rsidR="00BC52A7" w:rsidRP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Según lo expresado por GENSA en el recurso de reposición</w:t>
      </w:r>
      <w:r w:rsidR="00537674">
        <w:rPr>
          <w:rFonts w:ascii="Bookman Old Style" w:hAnsi="Bookman Old Style"/>
          <w:szCs w:val="24"/>
        </w:rPr>
        <w:t>,</w:t>
      </w:r>
      <w:r w:rsidRPr="00BC52A7">
        <w:rPr>
          <w:rFonts w:ascii="Bookman Old Style" w:hAnsi="Bookman Old Style"/>
          <w:szCs w:val="24"/>
        </w:rPr>
        <w:t xml:space="preserve"> se resalta: </w:t>
      </w:r>
    </w:p>
    <w:p w14:paraId="58F7E8CA" w14:textId="77777777" w:rsidR="00BC52A7" w:rsidRPr="00BC52A7" w:rsidRDefault="00BC52A7" w:rsidP="00BC52A7">
      <w:pPr>
        <w:pStyle w:val="Textodebloque"/>
        <w:ind w:left="284" w:right="6"/>
        <w:contextualSpacing/>
        <w:rPr>
          <w:rFonts w:ascii="Bookman Old Style" w:hAnsi="Bookman Old Style"/>
          <w:szCs w:val="24"/>
        </w:rPr>
      </w:pPr>
    </w:p>
    <w:p w14:paraId="39AA6354" w14:textId="77777777" w:rsidR="00BC52A7" w:rsidRPr="00122504" w:rsidRDefault="00BC52A7" w:rsidP="00851946">
      <w:pPr>
        <w:pStyle w:val="Textodebloque"/>
        <w:ind w:left="709" w:right="6"/>
        <w:contextualSpacing/>
        <w:rPr>
          <w:rFonts w:ascii="Bookman Old Style" w:hAnsi="Bookman Old Style"/>
          <w:i/>
          <w:sz w:val="22"/>
          <w:szCs w:val="22"/>
        </w:rPr>
      </w:pPr>
      <w:r w:rsidRPr="00122504">
        <w:rPr>
          <w:rFonts w:ascii="Bookman Old Style" w:hAnsi="Bookman Old Style"/>
          <w:i/>
          <w:sz w:val="22"/>
          <w:szCs w:val="22"/>
        </w:rPr>
        <w:t xml:space="preserve">“así las cosas, proponemos a la CREG, que en el cálculo se utilice la TRM promedio de los últimos 6 meses y no la considerada en sus estimaciones, pues corresponde a los datos de 2021, lejanos de la nueva realidad. </w:t>
      </w:r>
    </w:p>
    <w:p w14:paraId="58B14E1A" w14:textId="77777777" w:rsidR="00BC52A7" w:rsidRPr="00122504" w:rsidRDefault="00BC52A7" w:rsidP="00851946">
      <w:pPr>
        <w:pStyle w:val="Textodebloque"/>
        <w:ind w:left="709" w:right="6"/>
        <w:contextualSpacing/>
        <w:rPr>
          <w:rFonts w:ascii="Bookman Old Style" w:hAnsi="Bookman Old Style"/>
          <w:i/>
          <w:sz w:val="22"/>
          <w:szCs w:val="22"/>
        </w:rPr>
      </w:pPr>
    </w:p>
    <w:p w14:paraId="250E2B51" w14:textId="77777777" w:rsidR="00BC52A7" w:rsidRPr="00122504" w:rsidRDefault="00BC52A7" w:rsidP="00851946">
      <w:pPr>
        <w:pStyle w:val="Textodebloque"/>
        <w:ind w:left="709" w:right="6"/>
        <w:contextualSpacing/>
        <w:rPr>
          <w:rFonts w:ascii="Bookman Old Style" w:hAnsi="Bookman Old Style"/>
          <w:i/>
          <w:sz w:val="22"/>
          <w:szCs w:val="22"/>
        </w:rPr>
      </w:pPr>
      <w:r w:rsidRPr="00122504">
        <w:rPr>
          <w:rFonts w:ascii="Bookman Old Style" w:hAnsi="Bookman Old Style"/>
          <w:i/>
          <w:sz w:val="22"/>
          <w:szCs w:val="22"/>
        </w:rPr>
        <w:t xml:space="preserve">Diciembre /2021- Mayo/2022. Este es el caso más cercano a la tendencia actual del mercado de divisas y es un poco más alto que el considerado por la Resolución. Por lo que recomendamos se utilice el indicativo de 3.920 COP/USD” </w:t>
      </w:r>
    </w:p>
    <w:p w14:paraId="2BA07D2C" w14:textId="77777777" w:rsidR="00BC52A7" w:rsidRPr="00BC52A7" w:rsidRDefault="00BC52A7" w:rsidP="00BC52A7">
      <w:pPr>
        <w:pStyle w:val="Textodebloque"/>
        <w:ind w:left="284" w:right="6"/>
        <w:contextualSpacing/>
        <w:rPr>
          <w:rFonts w:ascii="Bookman Old Style" w:hAnsi="Bookman Old Style"/>
          <w:szCs w:val="24"/>
        </w:rPr>
      </w:pPr>
    </w:p>
    <w:p w14:paraId="6D63A262" w14:textId="00C216EF" w:rsidR="00B767EE" w:rsidRDefault="00A47CFB" w:rsidP="00BD2D41">
      <w:pPr>
        <w:pStyle w:val="Textodebloque"/>
        <w:ind w:left="284" w:right="6"/>
        <w:contextualSpacing/>
        <w:rPr>
          <w:rFonts w:ascii="Bookman Old Style" w:hAnsi="Bookman Old Style"/>
          <w:szCs w:val="24"/>
        </w:rPr>
      </w:pPr>
      <w:r>
        <w:rPr>
          <w:rFonts w:ascii="Bookman Old Style" w:hAnsi="Bookman Old Style"/>
          <w:szCs w:val="24"/>
        </w:rPr>
        <w:t xml:space="preserve">Debe indicarse que, al reconocerse que la valoración en pesos, de algunos de los equipos considerados en la determinación del componente de inversión, está asociada a las variaciones de la tasa de cambio, no tiene como objeto reconocer posibles impactos de devaluación en el proyecto </w:t>
      </w:r>
      <w:r w:rsidR="004409AE">
        <w:rPr>
          <w:rFonts w:ascii="Bookman Old Style" w:hAnsi="Bookman Old Style"/>
          <w:szCs w:val="24"/>
        </w:rPr>
        <w:t>“Sol de Inírida</w:t>
      </w:r>
      <w:r w:rsidR="00B236CE">
        <w:rPr>
          <w:rFonts w:ascii="Bookman Old Style" w:hAnsi="Bookman Old Style"/>
          <w:szCs w:val="24"/>
        </w:rPr>
        <w:t>2”</w:t>
      </w:r>
      <w:r>
        <w:rPr>
          <w:rFonts w:ascii="Bookman Old Style" w:hAnsi="Bookman Old Style"/>
          <w:szCs w:val="24"/>
        </w:rPr>
        <w:t>, esta Comisión identifica que cierto tipo de componentes para la generación de energía eléctrica con acumulación</w:t>
      </w:r>
      <w:r w:rsidR="00076EFB">
        <w:rPr>
          <w:rFonts w:ascii="Bookman Old Style" w:hAnsi="Bookman Old Style"/>
          <w:szCs w:val="24"/>
        </w:rPr>
        <w:t xml:space="preserve"> de recurso solar</w:t>
      </w:r>
      <w:r>
        <w:rPr>
          <w:rFonts w:ascii="Bookman Old Style" w:hAnsi="Bookman Old Style"/>
          <w:szCs w:val="24"/>
        </w:rPr>
        <w:t xml:space="preserve">, por sus capacidades, dimensiones o tecnología, posiblemente </w:t>
      </w:r>
      <w:r w:rsidR="00A555BD">
        <w:rPr>
          <w:rFonts w:ascii="Bookman Old Style" w:hAnsi="Bookman Old Style"/>
          <w:szCs w:val="24"/>
        </w:rPr>
        <w:t>sea importada</w:t>
      </w:r>
      <w:r>
        <w:rPr>
          <w:rFonts w:ascii="Bookman Old Style" w:hAnsi="Bookman Old Style"/>
          <w:szCs w:val="24"/>
        </w:rPr>
        <w:t xml:space="preserve"> y, en ese orden de ideas, al momento de definirse el cargo máximo de generación para </w:t>
      </w:r>
      <w:r w:rsidR="00A555BD">
        <w:rPr>
          <w:rFonts w:ascii="Bookman Old Style" w:hAnsi="Bookman Old Style"/>
          <w:szCs w:val="24"/>
        </w:rPr>
        <w:t>Inírida</w:t>
      </w:r>
      <w:r>
        <w:rPr>
          <w:rFonts w:ascii="Bookman Old Style" w:hAnsi="Bookman Old Style"/>
          <w:szCs w:val="24"/>
        </w:rPr>
        <w:t>, se reconoce</w:t>
      </w:r>
      <w:r w:rsidR="003C4355">
        <w:rPr>
          <w:rFonts w:ascii="Bookman Old Style" w:hAnsi="Bookman Old Style"/>
          <w:szCs w:val="24"/>
        </w:rPr>
        <w:t xml:space="preserve"> ajustes en</w:t>
      </w:r>
      <w:r>
        <w:rPr>
          <w:rFonts w:ascii="Bookman Old Style" w:hAnsi="Bookman Old Style"/>
          <w:szCs w:val="24"/>
        </w:rPr>
        <w:t xml:space="preserve"> el nivel de tasa de cambio.</w:t>
      </w:r>
    </w:p>
    <w:p w14:paraId="46FF268E" w14:textId="77777777" w:rsidR="00363AD4" w:rsidRDefault="00363AD4" w:rsidP="00BD2D41">
      <w:pPr>
        <w:pStyle w:val="Textodebloque"/>
        <w:ind w:left="284" w:right="6"/>
        <w:contextualSpacing/>
        <w:rPr>
          <w:rFonts w:ascii="Bookman Old Style" w:hAnsi="Bookman Old Style"/>
          <w:szCs w:val="24"/>
        </w:rPr>
      </w:pPr>
    </w:p>
    <w:p w14:paraId="61A7F4E0" w14:textId="7D763B16" w:rsidR="00076EFB" w:rsidRDefault="0031469D" w:rsidP="00BD2D41">
      <w:pPr>
        <w:pStyle w:val="Textodebloque"/>
        <w:ind w:left="284" w:right="6"/>
        <w:contextualSpacing/>
        <w:rPr>
          <w:rFonts w:ascii="Bookman Old Style" w:hAnsi="Bookman Old Style"/>
          <w:szCs w:val="24"/>
        </w:rPr>
      </w:pPr>
      <w:r>
        <w:rPr>
          <w:rFonts w:ascii="Bookman Old Style" w:hAnsi="Bookman Old Style"/>
          <w:szCs w:val="24"/>
        </w:rPr>
        <w:t>Cabe señalar que</w:t>
      </w:r>
      <w:r w:rsidR="00A47CFB">
        <w:rPr>
          <w:rFonts w:ascii="Bookman Old Style" w:hAnsi="Bookman Old Style"/>
          <w:szCs w:val="24"/>
        </w:rPr>
        <w:t xml:space="preserve"> el riesgo de tasa de cambio queda asignado al prestador del servicio y no </w:t>
      </w:r>
      <w:r w:rsidR="00077CB5">
        <w:rPr>
          <w:rFonts w:ascii="Bookman Old Style" w:hAnsi="Bookman Old Style"/>
          <w:szCs w:val="24"/>
        </w:rPr>
        <w:t xml:space="preserve">al </w:t>
      </w:r>
      <w:r w:rsidR="00A47CFB">
        <w:rPr>
          <w:rFonts w:ascii="Bookman Old Style" w:hAnsi="Bookman Old Style"/>
          <w:szCs w:val="24"/>
        </w:rPr>
        <w:t xml:space="preserve">usuario, en la medida en que la fórmula de actualización de cargos no tiene previsto </w:t>
      </w:r>
      <w:r w:rsidR="00720BF4">
        <w:rPr>
          <w:rFonts w:ascii="Bookman Old Style" w:hAnsi="Bookman Old Style"/>
          <w:szCs w:val="24"/>
        </w:rPr>
        <w:t xml:space="preserve">de manera directa, </w:t>
      </w:r>
      <w:r w:rsidR="00A47CFB">
        <w:rPr>
          <w:rFonts w:ascii="Bookman Old Style" w:hAnsi="Bookman Old Style"/>
          <w:szCs w:val="24"/>
        </w:rPr>
        <w:t>que los componentes tarifarios se actualice</w:t>
      </w:r>
      <w:r w:rsidR="00720BF4">
        <w:rPr>
          <w:rFonts w:ascii="Bookman Old Style" w:hAnsi="Bookman Old Style"/>
          <w:szCs w:val="24"/>
        </w:rPr>
        <w:t>n</w:t>
      </w:r>
      <w:r w:rsidR="00A47CFB">
        <w:rPr>
          <w:rFonts w:ascii="Bookman Old Style" w:hAnsi="Bookman Old Style"/>
          <w:szCs w:val="24"/>
        </w:rPr>
        <w:t xml:space="preserve"> con este tipo de indicadores</w:t>
      </w:r>
      <w:r w:rsidR="00076EFB">
        <w:rPr>
          <w:rFonts w:ascii="Bookman Old Style" w:hAnsi="Bookman Old Style"/>
          <w:szCs w:val="24"/>
        </w:rPr>
        <w:t>.</w:t>
      </w:r>
      <w:r w:rsidR="00422C8E">
        <w:rPr>
          <w:rFonts w:ascii="Bookman Old Style" w:hAnsi="Bookman Old Style"/>
          <w:szCs w:val="24"/>
        </w:rPr>
        <w:t xml:space="preserve"> </w:t>
      </w:r>
      <w:r w:rsidR="00445EF7">
        <w:rPr>
          <w:rFonts w:ascii="Bookman Old Style" w:hAnsi="Bookman Old Style"/>
          <w:szCs w:val="24"/>
        </w:rPr>
        <w:t>La variable</w:t>
      </w:r>
      <w:r w:rsidR="008034B2">
        <w:rPr>
          <w:rFonts w:ascii="Bookman Old Style" w:hAnsi="Bookman Old Style"/>
          <w:szCs w:val="24"/>
        </w:rPr>
        <w:t xml:space="preserve"> que contempla la Resolución CREG 091 de 2007</w:t>
      </w:r>
      <w:r w:rsidR="00E652BF">
        <w:rPr>
          <w:rFonts w:ascii="Bookman Old Style" w:hAnsi="Bookman Old Style"/>
          <w:szCs w:val="24"/>
        </w:rPr>
        <w:t xml:space="preserve"> para la actualización de</w:t>
      </w:r>
      <w:r w:rsidR="00B01A96">
        <w:rPr>
          <w:rFonts w:ascii="Bookman Old Style" w:hAnsi="Bookman Old Style"/>
          <w:szCs w:val="24"/>
        </w:rPr>
        <w:t>l</w:t>
      </w:r>
      <w:r w:rsidR="00E652BF">
        <w:rPr>
          <w:rFonts w:ascii="Bookman Old Style" w:hAnsi="Bookman Old Style"/>
          <w:szCs w:val="24"/>
        </w:rPr>
        <w:t xml:space="preserve"> cargo</w:t>
      </w:r>
      <w:r w:rsidR="001C2F41">
        <w:rPr>
          <w:rFonts w:ascii="Bookman Old Style" w:hAnsi="Bookman Old Style"/>
          <w:szCs w:val="24"/>
        </w:rPr>
        <w:t xml:space="preserve"> de generación</w:t>
      </w:r>
      <w:r w:rsidR="00E652BF">
        <w:rPr>
          <w:rFonts w:ascii="Bookman Old Style" w:hAnsi="Bookman Old Style"/>
          <w:szCs w:val="24"/>
        </w:rPr>
        <w:t xml:space="preserve"> es el Índice de Precios al Productor</w:t>
      </w:r>
      <w:r w:rsidR="00ED6319">
        <w:rPr>
          <w:rFonts w:ascii="Bookman Old Style" w:hAnsi="Bookman Old Style"/>
          <w:szCs w:val="24"/>
        </w:rPr>
        <w:t xml:space="preserve">, </w:t>
      </w:r>
      <w:r w:rsidR="001A3A24">
        <w:rPr>
          <w:rFonts w:ascii="Bookman Old Style" w:hAnsi="Bookman Old Style"/>
          <w:szCs w:val="24"/>
        </w:rPr>
        <w:t>IPP</w:t>
      </w:r>
      <w:r w:rsidR="0088567C">
        <w:rPr>
          <w:rFonts w:ascii="Bookman Old Style" w:hAnsi="Bookman Old Style"/>
          <w:szCs w:val="24"/>
        </w:rPr>
        <w:t>,</w:t>
      </w:r>
      <w:r w:rsidR="001A3A24">
        <w:rPr>
          <w:rFonts w:ascii="Bookman Old Style" w:hAnsi="Bookman Old Style"/>
          <w:szCs w:val="24"/>
        </w:rPr>
        <w:t xml:space="preserve"> que de manera </w:t>
      </w:r>
      <w:r w:rsidR="00C46EA7">
        <w:rPr>
          <w:rFonts w:ascii="Bookman Old Style" w:hAnsi="Bookman Old Style"/>
          <w:szCs w:val="24"/>
        </w:rPr>
        <w:t xml:space="preserve">indirecta recoge </w:t>
      </w:r>
      <w:r w:rsidR="001A3A24">
        <w:rPr>
          <w:rFonts w:ascii="Bookman Old Style" w:hAnsi="Bookman Old Style"/>
          <w:szCs w:val="24"/>
        </w:rPr>
        <w:t xml:space="preserve">las variaciones en el costo de </w:t>
      </w:r>
      <w:r w:rsidR="00E44A02">
        <w:rPr>
          <w:rFonts w:ascii="Bookman Old Style" w:hAnsi="Bookman Old Style"/>
          <w:szCs w:val="24"/>
        </w:rPr>
        <w:t xml:space="preserve">aquellos </w:t>
      </w:r>
      <w:r w:rsidR="001A3A24">
        <w:rPr>
          <w:rFonts w:ascii="Bookman Old Style" w:hAnsi="Bookman Old Style"/>
          <w:szCs w:val="24"/>
        </w:rPr>
        <w:t>insumos</w:t>
      </w:r>
      <w:r w:rsidR="00E44A02">
        <w:rPr>
          <w:rFonts w:ascii="Bookman Old Style" w:hAnsi="Bookman Old Style"/>
          <w:szCs w:val="24"/>
        </w:rPr>
        <w:t xml:space="preserve"> </w:t>
      </w:r>
      <w:r w:rsidR="00A26253">
        <w:rPr>
          <w:rFonts w:ascii="Bookman Old Style" w:hAnsi="Bookman Old Style"/>
          <w:szCs w:val="24"/>
        </w:rPr>
        <w:t>que ven afectado su costo</w:t>
      </w:r>
      <w:r w:rsidR="001A3A24">
        <w:rPr>
          <w:rFonts w:ascii="Bookman Old Style" w:hAnsi="Bookman Old Style"/>
          <w:szCs w:val="24"/>
        </w:rPr>
        <w:t xml:space="preserve"> por efecto de las variaciones</w:t>
      </w:r>
      <w:r w:rsidR="00F429F8">
        <w:rPr>
          <w:rFonts w:ascii="Bookman Old Style" w:hAnsi="Bookman Old Style"/>
          <w:szCs w:val="24"/>
        </w:rPr>
        <w:t xml:space="preserve"> en la tasa de cambio</w:t>
      </w:r>
      <w:r w:rsidR="008A6CC4">
        <w:rPr>
          <w:rFonts w:ascii="Bookman Old Style" w:hAnsi="Bookman Old Style"/>
          <w:szCs w:val="24"/>
        </w:rPr>
        <w:t>.</w:t>
      </w:r>
    </w:p>
    <w:p w14:paraId="337A26DD" w14:textId="77777777" w:rsidR="0095301B" w:rsidRDefault="0095301B" w:rsidP="007D2074">
      <w:pPr>
        <w:pStyle w:val="Textodebloque"/>
        <w:ind w:left="284" w:right="6"/>
        <w:contextualSpacing/>
        <w:rPr>
          <w:rFonts w:ascii="Bookman Old Style" w:hAnsi="Bookman Old Style"/>
          <w:szCs w:val="24"/>
        </w:rPr>
      </w:pPr>
    </w:p>
    <w:p w14:paraId="5E256D67" w14:textId="37076E2D" w:rsidR="006D061B" w:rsidRDefault="00902905" w:rsidP="006D061B">
      <w:pPr>
        <w:pStyle w:val="Textodebloque"/>
        <w:ind w:left="284" w:right="6"/>
        <w:contextualSpacing/>
        <w:rPr>
          <w:rFonts w:ascii="Bookman Old Style" w:hAnsi="Bookman Old Style"/>
          <w:szCs w:val="24"/>
        </w:rPr>
      </w:pPr>
      <w:r>
        <w:rPr>
          <w:rFonts w:ascii="Bookman Old Style" w:hAnsi="Bookman Old Style"/>
          <w:szCs w:val="24"/>
        </w:rPr>
        <w:t xml:space="preserve">No obstante, </w:t>
      </w:r>
      <w:r w:rsidR="002B53ED">
        <w:rPr>
          <w:rFonts w:ascii="Bookman Old Style" w:hAnsi="Bookman Old Style"/>
          <w:szCs w:val="24"/>
        </w:rPr>
        <w:t xml:space="preserve">esta </w:t>
      </w:r>
      <w:r w:rsidR="00BC52A7" w:rsidRPr="00BC52A7">
        <w:rPr>
          <w:rFonts w:ascii="Bookman Old Style" w:hAnsi="Bookman Old Style"/>
          <w:szCs w:val="24"/>
        </w:rPr>
        <w:t xml:space="preserve">Comisión </w:t>
      </w:r>
      <w:r w:rsidR="00881EB1">
        <w:rPr>
          <w:rFonts w:ascii="Bookman Old Style" w:hAnsi="Bookman Old Style"/>
          <w:szCs w:val="24"/>
        </w:rPr>
        <w:t>acepta</w:t>
      </w:r>
      <w:r w:rsidR="001D632A">
        <w:rPr>
          <w:rFonts w:ascii="Bookman Old Style" w:hAnsi="Bookman Old Style"/>
          <w:szCs w:val="24"/>
        </w:rPr>
        <w:t xml:space="preserve"> actualizar l</w:t>
      </w:r>
      <w:r w:rsidR="00BC52A7" w:rsidRPr="00BC52A7">
        <w:rPr>
          <w:rFonts w:ascii="Bookman Old Style" w:hAnsi="Bookman Old Style"/>
          <w:szCs w:val="24"/>
        </w:rPr>
        <w:t>a TRM a 3.922,78 COP/USD, resultante del promedio diario</w:t>
      </w:r>
      <w:r w:rsidR="0095301B">
        <w:rPr>
          <w:rFonts w:ascii="Bookman Old Style" w:hAnsi="Bookman Old Style"/>
          <w:szCs w:val="24"/>
        </w:rPr>
        <w:t>,</w:t>
      </w:r>
      <w:r w:rsidR="00BC52A7" w:rsidRPr="00BC52A7">
        <w:rPr>
          <w:rFonts w:ascii="Bookman Old Style" w:hAnsi="Bookman Old Style"/>
          <w:szCs w:val="24"/>
        </w:rPr>
        <w:t xml:space="preserve"> del semestre diciembre de 2021 hasta mayo de 2022, según la serie de tasa representativa de mercado publicada por la Superintendencia Financiera de Colombia, siendo la entidad que calcula y certifica diariamente la TRM con base en las operaciones registradas el día hábil inmediatamente anterior.</w:t>
      </w:r>
    </w:p>
    <w:p w14:paraId="08F779AB" w14:textId="77777777" w:rsidR="006D061B" w:rsidRDefault="006D061B" w:rsidP="006D061B">
      <w:pPr>
        <w:pStyle w:val="Textodebloque"/>
        <w:ind w:left="284" w:right="6"/>
        <w:contextualSpacing/>
        <w:rPr>
          <w:rFonts w:ascii="Bookman Old Style" w:hAnsi="Bookman Old Style"/>
          <w:szCs w:val="24"/>
        </w:rPr>
      </w:pPr>
    </w:p>
    <w:p w14:paraId="4DBB64C8" w14:textId="4748C3DE" w:rsidR="00BC52A7" w:rsidRPr="00BC52A7" w:rsidRDefault="003B617B" w:rsidP="00BC52A7">
      <w:pPr>
        <w:pStyle w:val="Textodebloque"/>
        <w:ind w:left="284" w:right="6"/>
        <w:contextualSpacing/>
        <w:rPr>
          <w:rFonts w:ascii="Bookman Old Style" w:hAnsi="Bookman Old Style"/>
          <w:szCs w:val="24"/>
        </w:rPr>
      </w:pPr>
      <w:r>
        <w:rPr>
          <w:rFonts w:ascii="Bookman Old Style" w:hAnsi="Bookman Old Style"/>
        </w:rPr>
        <w:t>Según lo expuesto</w:t>
      </w:r>
      <w:r w:rsidR="00520B75">
        <w:rPr>
          <w:rFonts w:ascii="Bookman Old Style" w:hAnsi="Bookman Old Style"/>
        </w:rPr>
        <w:t xml:space="preserve">, en desarrollo de la actuación, </w:t>
      </w:r>
      <w:r w:rsidR="009E2D28">
        <w:rPr>
          <w:rFonts w:ascii="Bookman Old Style" w:hAnsi="Bookman Old Style"/>
        </w:rPr>
        <w:t xml:space="preserve">esta Comisión encuentra procedente la solicitud en lo que tiene que </w:t>
      </w:r>
      <w:r w:rsidR="00BA3ECB">
        <w:rPr>
          <w:rFonts w:ascii="Bookman Old Style" w:hAnsi="Bookman Old Style"/>
        </w:rPr>
        <w:t>ver con la actualización de la TRM</w:t>
      </w:r>
      <w:r w:rsidR="00163CFA">
        <w:rPr>
          <w:rFonts w:ascii="Bookman Old Style" w:hAnsi="Bookman Old Style"/>
        </w:rPr>
        <w:t xml:space="preserve"> en donde </w:t>
      </w:r>
      <w:r w:rsidR="00520B75">
        <w:rPr>
          <w:rFonts w:ascii="Bookman Old Style" w:hAnsi="Bookman Old Style"/>
        </w:rPr>
        <w:t xml:space="preserve">se ajustaron los valores en pesos de </w:t>
      </w:r>
      <w:r w:rsidR="00372DB2">
        <w:rPr>
          <w:rFonts w:ascii="Bookman Old Style" w:hAnsi="Bookman Old Style"/>
        </w:rPr>
        <w:t xml:space="preserve">las actividades </w:t>
      </w:r>
      <w:r w:rsidR="000D150E">
        <w:rPr>
          <w:rFonts w:ascii="Bookman Old Style" w:hAnsi="Bookman Old Style"/>
        </w:rPr>
        <w:t xml:space="preserve">o componentes </w:t>
      </w:r>
      <w:r w:rsidR="00372DB2">
        <w:rPr>
          <w:rFonts w:ascii="Bookman Old Style" w:hAnsi="Bookman Old Style"/>
        </w:rPr>
        <w:t>que se habían reconocido inicialmente afectad</w:t>
      </w:r>
      <w:r w:rsidR="000D150E">
        <w:rPr>
          <w:rFonts w:ascii="Bookman Old Style" w:hAnsi="Bookman Old Style"/>
        </w:rPr>
        <w:t>o</w:t>
      </w:r>
      <w:r w:rsidR="00372DB2">
        <w:rPr>
          <w:rFonts w:ascii="Bookman Old Style" w:hAnsi="Bookman Old Style"/>
        </w:rPr>
        <w:t xml:space="preserve">s por </w:t>
      </w:r>
      <w:r w:rsidR="00163CFA">
        <w:rPr>
          <w:rFonts w:ascii="Bookman Old Style" w:hAnsi="Bookman Old Style"/>
        </w:rPr>
        <w:t>tasa de cambio</w:t>
      </w:r>
      <w:r w:rsidR="00520B75">
        <w:rPr>
          <w:rFonts w:ascii="Bookman Old Style" w:hAnsi="Bookman Old Style"/>
        </w:rPr>
        <w:t>.</w:t>
      </w:r>
      <w:r w:rsidR="00864CBE">
        <w:rPr>
          <w:rFonts w:ascii="Bookman Old Style" w:hAnsi="Bookman Old Style"/>
        </w:rPr>
        <w:t xml:space="preserve"> </w:t>
      </w:r>
      <w:r w:rsidR="00BC52A7" w:rsidRPr="00BC52A7">
        <w:rPr>
          <w:rFonts w:ascii="Bookman Old Style" w:hAnsi="Bookman Old Style"/>
          <w:szCs w:val="24"/>
        </w:rPr>
        <w:t xml:space="preserve">Las actividades </w:t>
      </w:r>
      <w:r w:rsidR="000D150E">
        <w:rPr>
          <w:rFonts w:ascii="Bookman Old Style" w:hAnsi="Bookman Old Style"/>
          <w:szCs w:val="24"/>
        </w:rPr>
        <w:t xml:space="preserve">o </w:t>
      </w:r>
      <w:r w:rsidR="003E7605">
        <w:rPr>
          <w:rFonts w:ascii="Bookman Old Style" w:hAnsi="Bookman Old Style"/>
          <w:szCs w:val="24"/>
        </w:rPr>
        <w:t xml:space="preserve">componentes </w:t>
      </w:r>
      <w:r w:rsidR="00262930">
        <w:rPr>
          <w:rFonts w:ascii="Bookman Old Style" w:hAnsi="Bookman Old Style"/>
          <w:szCs w:val="24"/>
        </w:rPr>
        <w:t xml:space="preserve">que </w:t>
      </w:r>
      <w:r w:rsidR="00BC52A7" w:rsidRPr="00BC52A7">
        <w:rPr>
          <w:rFonts w:ascii="Bookman Old Style" w:hAnsi="Bookman Old Style"/>
          <w:szCs w:val="24"/>
        </w:rPr>
        <w:t>fueron actualizad</w:t>
      </w:r>
      <w:r w:rsidR="003C7C59">
        <w:rPr>
          <w:rFonts w:ascii="Bookman Old Style" w:hAnsi="Bookman Old Style"/>
          <w:szCs w:val="24"/>
        </w:rPr>
        <w:t>o</w:t>
      </w:r>
      <w:r w:rsidR="00BC52A7" w:rsidRPr="00BC52A7">
        <w:rPr>
          <w:rFonts w:ascii="Bookman Old Style" w:hAnsi="Bookman Old Style"/>
          <w:szCs w:val="24"/>
        </w:rPr>
        <w:t xml:space="preserve">s por </w:t>
      </w:r>
      <w:r w:rsidR="003C7C59">
        <w:rPr>
          <w:rFonts w:ascii="Bookman Old Style" w:hAnsi="Bookman Old Style"/>
          <w:szCs w:val="24"/>
        </w:rPr>
        <w:t xml:space="preserve">cambio en </w:t>
      </w:r>
      <w:r w:rsidR="00BC52A7" w:rsidRPr="00BC52A7">
        <w:rPr>
          <w:rFonts w:ascii="Bookman Old Style" w:hAnsi="Bookman Old Style"/>
          <w:szCs w:val="24"/>
        </w:rPr>
        <w:t xml:space="preserve">la TRM </w:t>
      </w:r>
      <w:r w:rsidR="003C7C59">
        <w:rPr>
          <w:rFonts w:ascii="Bookman Old Style" w:hAnsi="Bookman Old Style"/>
          <w:szCs w:val="24"/>
        </w:rPr>
        <w:t>utilizada</w:t>
      </w:r>
      <w:r w:rsidR="00BC52A7" w:rsidRPr="00BC52A7">
        <w:rPr>
          <w:rFonts w:ascii="Bookman Old Style" w:hAnsi="Bookman Old Style"/>
          <w:szCs w:val="24"/>
        </w:rPr>
        <w:t>, se presentan en la memoria de cálculo anexa a esta Resolución.</w:t>
      </w:r>
    </w:p>
    <w:p w14:paraId="29161C15" w14:textId="77777777" w:rsidR="00BC52A7" w:rsidRPr="00BC52A7" w:rsidRDefault="00BC52A7" w:rsidP="00BC52A7">
      <w:pPr>
        <w:pStyle w:val="Textodebloque"/>
        <w:ind w:left="284" w:right="6"/>
        <w:contextualSpacing/>
        <w:rPr>
          <w:rFonts w:ascii="Bookman Old Style" w:hAnsi="Bookman Old Style"/>
          <w:szCs w:val="24"/>
        </w:rPr>
      </w:pPr>
    </w:p>
    <w:p w14:paraId="504019C9" w14:textId="77777777" w:rsidR="00BC52A7" w:rsidRPr="00753A32" w:rsidRDefault="00BC52A7" w:rsidP="00BC52A7">
      <w:pPr>
        <w:pStyle w:val="Textodebloque"/>
        <w:ind w:left="284" w:right="6"/>
        <w:contextualSpacing/>
        <w:rPr>
          <w:rFonts w:ascii="Bookman Old Style" w:hAnsi="Bookman Old Style"/>
          <w:b/>
          <w:szCs w:val="24"/>
        </w:rPr>
      </w:pPr>
      <w:r w:rsidRPr="00753A32">
        <w:rPr>
          <w:rFonts w:ascii="Bookman Old Style" w:hAnsi="Bookman Old Style"/>
          <w:b/>
          <w:szCs w:val="24"/>
        </w:rPr>
        <w:t xml:space="preserve">1.4. DEGRADACIÓN DE LAS BATERÍAS </w:t>
      </w:r>
    </w:p>
    <w:p w14:paraId="462A0AC9" w14:textId="77777777" w:rsidR="00BC52A7" w:rsidRPr="00BC52A7" w:rsidRDefault="00BC52A7" w:rsidP="00BC52A7">
      <w:pPr>
        <w:pStyle w:val="Textodebloque"/>
        <w:ind w:left="284" w:right="6"/>
        <w:contextualSpacing/>
        <w:rPr>
          <w:rFonts w:ascii="Bookman Old Style" w:hAnsi="Bookman Old Style"/>
          <w:szCs w:val="24"/>
        </w:rPr>
      </w:pPr>
    </w:p>
    <w:p w14:paraId="071E8682" w14:textId="331A789C" w:rsidR="00FA08DD" w:rsidRPr="00BC52A7" w:rsidRDefault="00BC52A7" w:rsidP="00FA08DD">
      <w:pPr>
        <w:pStyle w:val="Textodebloque"/>
        <w:ind w:left="284" w:right="6"/>
        <w:contextualSpacing/>
        <w:rPr>
          <w:rFonts w:ascii="Bookman Old Style" w:hAnsi="Bookman Old Style"/>
          <w:szCs w:val="24"/>
        </w:rPr>
      </w:pPr>
      <w:r w:rsidRPr="00BC52A7">
        <w:rPr>
          <w:rFonts w:ascii="Bookman Old Style" w:hAnsi="Bookman Old Style"/>
          <w:szCs w:val="24"/>
        </w:rPr>
        <w:t>Según el requerimiento expuesto en el recurso de reposición presentado por GENSA, en lo que tiene que ver con la degradación de baterías</w:t>
      </w:r>
      <w:r w:rsidR="00ED6319">
        <w:rPr>
          <w:rFonts w:ascii="Bookman Old Style" w:hAnsi="Bookman Old Style"/>
          <w:szCs w:val="24"/>
        </w:rPr>
        <w:t>,</w:t>
      </w:r>
      <w:r w:rsidRPr="00BC52A7">
        <w:rPr>
          <w:rFonts w:ascii="Bookman Old Style" w:hAnsi="Bookman Old Style"/>
          <w:szCs w:val="24"/>
        </w:rPr>
        <w:t xml:space="preserve"> se argumenta que:</w:t>
      </w:r>
    </w:p>
    <w:p w14:paraId="1B06CE13" w14:textId="77777777" w:rsidR="00E22ACD" w:rsidRPr="00BC52A7" w:rsidRDefault="00E22ACD" w:rsidP="00E22ACD">
      <w:pPr>
        <w:pStyle w:val="Textodebloque"/>
        <w:ind w:left="284" w:right="6"/>
        <w:contextualSpacing/>
        <w:rPr>
          <w:rFonts w:ascii="Bookman Old Style" w:hAnsi="Bookman Old Style"/>
          <w:szCs w:val="24"/>
        </w:rPr>
      </w:pPr>
    </w:p>
    <w:p w14:paraId="44EE8895" w14:textId="5806CE4E" w:rsidR="00BC52A7" w:rsidRPr="008F2B7E" w:rsidRDefault="00BC52A7" w:rsidP="00836E26">
      <w:pPr>
        <w:pStyle w:val="Textodebloque"/>
        <w:ind w:right="6"/>
        <w:contextualSpacing/>
        <w:rPr>
          <w:rFonts w:ascii="Bookman Old Style" w:hAnsi="Bookman Old Style"/>
          <w:i/>
          <w:sz w:val="22"/>
          <w:szCs w:val="22"/>
        </w:rPr>
      </w:pPr>
      <w:r w:rsidRPr="008F2B7E">
        <w:rPr>
          <w:rFonts w:ascii="Bookman Old Style" w:hAnsi="Bookman Old Style"/>
          <w:i/>
          <w:sz w:val="22"/>
          <w:szCs w:val="22"/>
        </w:rPr>
        <w:t>“</w:t>
      </w:r>
      <w:r w:rsidR="008063E2" w:rsidRPr="008F2B7E">
        <w:rPr>
          <w:rFonts w:ascii="Bookman Old Style" w:hAnsi="Bookman Old Style"/>
          <w:i/>
          <w:sz w:val="22"/>
          <w:szCs w:val="22"/>
        </w:rPr>
        <w:t>En la resolución nos encontramos un panorama que tiende a ser más optimista si lo comparamos con la degradación que van a presentar las baterías. La eficiencia de las baterías decae rápidamente, llegando al 67,9% en el año 15</w:t>
      </w:r>
      <w:r w:rsidR="00857F45" w:rsidRPr="008F2B7E">
        <w:rPr>
          <w:rFonts w:ascii="Bookman Old Style" w:hAnsi="Bookman Old Style"/>
          <w:i/>
          <w:sz w:val="22"/>
          <w:szCs w:val="22"/>
        </w:rPr>
        <w:t xml:space="preserve"> (</w:t>
      </w:r>
      <w:r w:rsidR="008F2B7E" w:rsidRPr="008F2B7E">
        <w:rPr>
          <w:rFonts w:ascii="Bookman Old Style" w:hAnsi="Bookman Old Style"/>
          <w:i/>
          <w:sz w:val="22"/>
          <w:szCs w:val="22"/>
        </w:rPr>
        <w:t>…)</w:t>
      </w:r>
      <w:r w:rsidR="00BE3F26">
        <w:rPr>
          <w:rFonts w:ascii="Bookman Old Style" w:hAnsi="Bookman Old Style"/>
          <w:i/>
          <w:sz w:val="22"/>
          <w:szCs w:val="22"/>
        </w:rPr>
        <w:t xml:space="preserve"> </w:t>
      </w:r>
      <w:r w:rsidRPr="008F2B7E">
        <w:rPr>
          <w:rFonts w:ascii="Bookman Old Style" w:hAnsi="Bookman Old Style"/>
          <w:i/>
          <w:sz w:val="22"/>
          <w:szCs w:val="22"/>
        </w:rPr>
        <w:t>la cantidad de energía que se puede vender proveniente del sistema de almacenamiento durante su vida útil es menor que la considerada por la CREG en el documento técnico que soporta la resolución, por lo tanto, vemos necesario también solicitar la verificación de este punto.”</w:t>
      </w:r>
    </w:p>
    <w:p w14:paraId="0DFAA542" w14:textId="77777777" w:rsidR="00BC52A7" w:rsidRPr="00BC52A7" w:rsidRDefault="00BC52A7" w:rsidP="00BC52A7">
      <w:pPr>
        <w:pStyle w:val="Textodebloque"/>
        <w:ind w:left="284" w:right="6"/>
        <w:contextualSpacing/>
        <w:rPr>
          <w:rFonts w:ascii="Bookman Old Style" w:hAnsi="Bookman Old Style"/>
          <w:szCs w:val="24"/>
        </w:rPr>
      </w:pPr>
    </w:p>
    <w:p w14:paraId="2088913B" w14:textId="504708EB" w:rsidR="009C0D9F" w:rsidRDefault="00D333DE" w:rsidP="00BC52A7">
      <w:pPr>
        <w:pStyle w:val="Textodebloque"/>
        <w:ind w:left="284" w:right="6"/>
        <w:contextualSpacing/>
        <w:rPr>
          <w:rFonts w:ascii="Bookman Old Style" w:hAnsi="Bookman Old Style"/>
          <w:szCs w:val="24"/>
        </w:rPr>
      </w:pPr>
      <w:r>
        <w:rPr>
          <w:rFonts w:ascii="Bookman Old Style" w:hAnsi="Bookman Old Style"/>
          <w:szCs w:val="24"/>
        </w:rPr>
        <w:t xml:space="preserve">GENSA </w:t>
      </w:r>
      <w:r w:rsidR="00F176D8">
        <w:rPr>
          <w:rFonts w:ascii="Bookman Old Style" w:hAnsi="Bookman Old Style"/>
          <w:szCs w:val="24"/>
        </w:rPr>
        <w:t xml:space="preserve">soporta </w:t>
      </w:r>
      <w:r w:rsidR="001851B6">
        <w:rPr>
          <w:rFonts w:ascii="Bookman Old Style" w:hAnsi="Bookman Old Style"/>
          <w:szCs w:val="24"/>
        </w:rPr>
        <w:t xml:space="preserve">la revisión de </w:t>
      </w:r>
      <w:r w:rsidR="00F176D8">
        <w:rPr>
          <w:rFonts w:ascii="Bookman Old Style" w:hAnsi="Bookman Old Style"/>
          <w:szCs w:val="24"/>
        </w:rPr>
        <w:t>este</w:t>
      </w:r>
      <w:r w:rsidR="00567057">
        <w:rPr>
          <w:rFonts w:ascii="Bookman Old Style" w:hAnsi="Bookman Old Style"/>
          <w:szCs w:val="24"/>
        </w:rPr>
        <w:t xml:space="preserve"> punto </w:t>
      </w:r>
      <w:r w:rsidR="00CF7FED">
        <w:rPr>
          <w:rFonts w:ascii="Bookman Old Style" w:hAnsi="Bookman Old Style"/>
          <w:szCs w:val="24"/>
        </w:rPr>
        <w:t xml:space="preserve">en la información de la tabla del numeral 1.4 </w:t>
      </w:r>
      <w:r w:rsidR="00CF7FED" w:rsidRPr="00CF7FED">
        <w:rPr>
          <w:rFonts w:ascii="Bookman Old Style" w:hAnsi="Bookman Old Style"/>
          <w:szCs w:val="24"/>
        </w:rPr>
        <w:t>DEGRADACIÓN DE LAS BATERÍAS</w:t>
      </w:r>
      <w:r w:rsidR="00282B9C">
        <w:rPr>
          <w:rFonts w:ascii="Bookman Old Style" w:hAnsi="Bookman Old Style"/>
          <w:szCs w:val="24"/>
        </w:rPr>
        <w:t xml:space="preserve"> de la comunicación con radicado </w:t>
      </w:r>
      <w:r w:rsidR="00282B9C" w:rsidRPr="00BC52A7">
        <w:rPr>
          <w:rFonts w:ascii="Bookman Old Style" w:hAnsi="Bookman Old Style"/>
          <w:szCs w:val="24"/>
        </w:rPr>
        <w:t>CREG E-2022-005956</w:t>
      </w:r>
      <w:r w:rsidR="00B80B89">
        <w:rPr>
          <w:rFonts w:ascii="Bookman Old Style" w:hAnsi="Bookman Old Style"/>
          <w:szCs w:val="24"/>
        </w:rPr>
        <w:t xml:space="preserve">. </w:t>
      </w:r>
      <w:r w:rsidR="000F5953">
        <w:rPr>
          <w:rFonts w:ascii="Bookman Old Style" w:hAnsi="Bookman Old Style"/>
          <w:szCs w:val="24"/>
        </w:rPr>
        <w:t xml:space="preserve">Una vez revisada esta información, encuentra </w:t>
      </w:r>
      <w:r w:rsidR="000172BA">
        <w:rPr>
          <w:rFonts w:ascii="Bookman Old Style" w:hAnsi="Bookman Old Style"/>
          <w:szCs w:val="24"/>
        </w:rPr>
        <w:t xml:space="preserve">esta Comisión </w:t>
      </w:r>
      <w:r w:rsidR="00911767">
        <w:rPr>
          <w:rFonts w:ascii="Bookman Old Style" w:hAnsi="Bookman Old Style"/>
          <w:szCs w:val="24"/>
        </w:rPr>
        <w:t xml:space="preserve">que </w:t>
      </w:r>
      <w:r w:rsidR="000172BA">
        <w:rPr>
          <w:rFonts w:ascii="Bookman Old Style" w:hAnsi="Bookman Old Style"/>
          <w:szCs w:val="24"/>
        </w:rPr>
        <w:t xml:space="preserve">la </w:t>
      </w:r>
      <w:r w:rsidR="00911767">
        <w:rPr>
          <w:rFonts w:ascii="Bookman Old Style" w:hAnsi="Bookman Old Style"/>
          <w:szCs w:val="24"/>
        </w:rPr>
        <w:t xml:space="preserve">misma no </w:t>
      </w:r>
      <w:r w:rsidR="00E624EA">
        <w:rPr>
          <w:rFonts w:ascii="Bookman Old Style" w:hAnsi="Bookman Old Style"/>
          <w:szCs w:val="24"/>
        </w:rPr>
        <w:t xml:space="preserve">está </w:t>
      </w:r>
      <w:r w:rsidR="00F149D0">
        <w:rPr>
          <w:rFonts w:ascii="Bookman Old Style" w:hAnsi="Bookman Old Style"/>
          <w:szCs w:val="24"/>
        </w:rPr>
        <w:t>soporta</w:t>
      </w:r>
      <w:r w:rsidR="00911767">
        <w:rPr>
          <w:rFonts w:ascii="Bookman Old Style" w:hAnsi="Bookman Old Style"/>
          <w:szCs w:val="24"/>
        </w:rPr>
        <w:t>da</w:t>
      </w:r>
      <w:r w:rsidR="00D23460">
        <w:rPr>
          <w:rFonts w:ascii="Bookman Old Style" w:hAnsi="Bookman Old Style"/>
          <w:szCs w:val="24"/>
        </w:rPr>
        <w:t xml:space="preserve"> técnicamente</w:t>
      </w:r>
      <w:r w:rsidR="006D03D7">
        <w:rPr>
          <w:rFonts w:ascii="Bookman Old Style" w:hAnsi="Bookman Old Style"/>
          <w:szCs w:val="24"/>
        </w:rPr>
        <w:t xml:space="preserve"> o por medio de la cual </w:t>
      </w:r>
      <w:r w:rsidR="009C41C2">
        <w:rPr>
          <w:rFonts w:ascii="Bookman Old Style" w:hAnsi="Bookman Old Style"/>
          <w:szCs w:val="24"/>
        </w:rPr>
        <w:t>se pueda llevar a cabo una comprobación</w:t>
      </w:r>
      <w:r w:rsidR="000E26BD">
        <w:rPr>
          <w:rFonts w:ascii="Bookman Old Style" w:hAnsi="Bookman Old Style"/>
          <w:szCs w:val="24"/>
        </w:rPr>
        <w:t xml:space="preserve"> de lo allí expuesto</w:t>
      </w:r>
      <w:r w:rsidR="000172BA">
        <w:rPr>
          <w:rFonts w:ascii="Bookman Old Style" w:hAnsi="Bookman Old Style"/>
          <w:szCs w:val="24"/>
        </w:rPr>
        <w:t xml:space="preserve">, </w:t>
      </w:r>
      <w:r w:rsidR="00F60B56">
        <w:rPr>
          <w:rFonts w:ascii="Bookman Old Style" w:hAnsi="Bookman Old Style"/>
          <w:szCs w:val="24"/>
        </w:rPr>
        <w:t xml:space="preserve">razón </w:t>
      </w:r>
      <w:r w:rsidR="000172BA">
        <w:rPr>
          <w:rFonts w:ascii="Bookman Old Style" w:hAnsi="Bookman Old Style"/>
          <w:szCs w:val="24"/>
        </w:rPr>
        <w:t>por l</w:t>
      </w:r>
      <w:r w:rsidR="00F60B56">
        <w:rPr>
          <w:rFonts w:ascii="Bookman Old Style" w:hAnsi="Bookman Old Style"/>
          <w:szCs w:val="24"/>
        </w:rPr>
        <w:t>a</w:t>
      </w:r>
      <w:r w:rsidR="000172BA">
        <w:rPr>
          <w:rFonts w:ascii="Bookman Old Style" w:hAnsi="Bookman Old Style"/>
          <w:szCs w:val="24"/>
        </w:rPr>
        <w:t xml:space="preserve"> cual</w:t>
      </w:r>
      <w:r w:rsidR="00635EEB">
        <w:rPr>
          <w:rFonts w:ascii="Bookman Old Style" w:hAnsi="Bookman Old Style"/>
          <w:szCs w:val="24"/>
        </w:rPr>
        <w:t xml:space="preserve"> esta información</w:t>
      </w:r>
      <w:r w:rsidR="000172BA">
        <w:rPr>
          <w:rFonts w:ascii="Bookman Old Style" w:hAnsi="Bookman Old Style"/>
          <w:szCs w:val="24"/>
        </w:rPr>
        <w:t xml:space="preserve"> </w:t>
      </w:r>
      <w:r w:rsidR="001A3EEA">
        <w:rPr>
          <w:rFonts w:ascii="Bookman Old Style" w:hAnsi="Bookman Old Style"/>
          <w:szCs w:val="24"/>
        </w:rPr>
        <w:t xml:space="preserve">no es </w:t>
      </w:r>
      <w:r w:rsidR="00EA60A8">
        <w:rPr>
          <w:rFonts w:ascii="Bookman Old Style" w:hAnsi="Bookman Old Style"/>
          <w:szCs w:val="24"/>
        </w:rPr>
        <w:t>tenid</w:t>
      </w:r>
      <w:r w:rsidR="001A3EEA">
        <w:rPr>
          <w:rFonts w:ascii="Bookman Old Style" w:hAnsi="Bookman Old Style"/>
          <w:szCs w:val="24"/>
        </w:rPr>
        <w:t>a</w:t>
      </w:r>
      <w:r w:rsidR="00EA60A8">
        <w:rPr>
          <w:rFonts w:ascii="Bookman Old Style" w:hAnsi="Bookman Old Style"/>
          <w:szCs w:val="24"/>
        </w:rPr>
        <w:t xml:space="preserve"> en cuenta en la decisión del recurso</w:t>
      </w:r>
      <w:r w:rsidR="000172BA">
        <w:rPr>
          <w:rFonts w:ascii="Bookman Old Style" w:hAnsi="Bookman Old Style"/>
          <w:szCs w:val="24"/>
        </w:rPr>
        <w:t>.</w:t>
      </w:r>
    </w:p>
    <w:p w14:paraId="32ABACF9" w14:textId="77777777" w:rsidR="009C0D9F" w:rsidRDefault="009C0D9F" w:rsidP="00BC52A7">
      <w:pPr>
        <w:pStyle w:val="Textodebloque"/>
        <w:ind w:left="284" w:right="6"/>
        <w:contextualSpacing/>
        <w:rPr>
          <w:rFonts w:ascii="Bookman Old Style" w:hAnsi="Bookman Old Style"/>
          <w:szCs w:val="24"/>
        </w:rPr>
      </w:pPr>
    </w:p>
    <w:p w14:paraId="3BC8482D" w14:textId="39267C5B" w:rsidR="006D5195" w:rsidRPr="00135577" w:rsidRDefault="0039503E" w:rsidP="001F6E53">
      <w:pPr>
        <w:pStyle w:val="Textodebloque"/>
        <w:ind w:left="284" w:right="6"/>
        <w:contextualSpacing/>
        <w:rPr>
          <w:rFonts w:ascii="Bookman Old Style" w:hAnsi="Bookman Old Style"/>
          <w:szCs w:val="24"/>
          <w:lang w:val="en-US"/>
        </w:rPr>
      </w:pPr>
      <w:r>
        <w:rPr>
          <w:rFonts w:ascii="Bookman Old Style" w:hAnsi="Bookman Old Style"/>
          <w:szCs w:val="24"/>
        </w:rPr>
        <w:t>En segunda medida</w:t>
      </w:r>
      <w:r w:rsidR="00CA6FEA">
        <w:rPr>
          <w:rFonts w:ascii="Bookman Old Style" w:hAnsi="Bookman Old Style"/>
          <w:szCs w:val="24"/>
        </w:rPr>
        <w:t>,</w:t>
      </w:r>
      <w:r>
        <w:rPr>
          <w:rFonts w:ascii="Bookman Old Style" w:hAnsi="Bookman Old Style"/>
          <w:szCs w:val="24"/>
        </w:rPr>
        <w:t xml:space="preserve"> debe señalarse que la Comisión utilizó para el cálculo</w:t>
      </w:r>
      <w:r w:rsidR="00866562">
        <w:rPr>
          <w:rFonts w:ascii="Bookman Old Style" w:hAnsi="Bookman Old Style"/>
          <w:szCs w:val="24"/>
        </w:rPr>
        <w:t xml:space="preserve"> de la </w:t>
      </w:r>
      <w:r w:rsidR="001636CB">
        <w:rPr>
          <w:rFonts w:ascii="Bookman Old Style" w:hAnsi="Bookman Old Style"/>
          <w:szCs w:val="24"/>
        </w:rPr>
        <w:t>energía considera</w:t>
      </w:r>
      <w:r w:rsidR="003D5A67">
        <w:rPr>
          <w:rFonts w:ascii="Bookman Old Style" w:hAnsi="Bookman Old Style"/>
          <w:szCs w:val="24"/>
        </w:rPr>
        <w:t>da</w:t>
      </w:r>
      <w:r w:rsidR="001636CB">
        <w:rPr>
          <w:rFonts w:ascii="Bookman Old Style" w:hAnsi="Bookman Old Style"/>
          <w:szCs w:val="24"/>
        </w:rPr>
        <w:t xml:space="preserve"> en la determinación del cargo</w:t>
      </w:r>
      <w:r w:rsidR="00F63C7A">
        <w:rPr>
          <w:rFonts w:ascii="Bookman Old Style" w:hAnsi="Bookman Old Style"/>
          <w:szCs w:val="24"/>
        </w:rPr>
        <w:t>,</w:t>
      </w:r>
      <w:r w:rsidR="003D5A67">
        <w:rPr>
          <w:rFonts w:ascii="Bookman Old Style" w:hAnsi="Bookman Old Style"/>
          <w:szCs w:val="24"/>
        </w:rPr>
        <w:t xml:space="preserve"> la información</w:t>
      </w:r>
      <w:r w:rsidR="00907D4C">
        <w:rPr>
          <w:rFonts w:ascii="Bookman Old Style" w:hAnsi="Bookman Old Style"/>
          <w:szCs w:val="24"/>
        </w:rPr>
        <w:t xml:space="preserve"> d</w:t>
      </w:r>
      <w:r w:rsidR="001F6E53">
        <w:rPr>
          <w:rFonts w:ascii="Bookman Old Style" w:hAnsi="Bookman Old Style"/>
          <w:szCs w:val="24"/>
        </w:rPr>
        <w:t xml:space="preserve">el </w:t>
      </w:r>
      <w:r w:rsidR="006D5195" w:rsidRPr="00BC52A7">
        <w:rPr>
          <w:rFonts w:ascii="Bookman Old Style" w:hAnsi="Bookman Old Style"/>
          <w:szCs w:val="24"/>
        </w:rPr>
        <w:t>documento soporte presentado a través de radicado CREG E-2022-001287, “SDI - E22 - BESS Non-</w:t>
      </w:r>
      <w:proofErr w:type="spellStart"/>
      <w:r w:rsidR="006D5195" w:rsidRPr="00BC52A7">
        <w:rPr>
          <w:rFonts w:ascii="Bookman Old Style" w:hAnsi="Bookman Old Style"/>
          <w:szCs w:val="24"/>
        </w:rPr>
        <w:t>Binding</w:t>
      </w:r>
      <w:proofErr w:type="spellEnd"/>
      <w:r w:rsidR="006D5195" w:rsidRPr="00BC52A7">
        <w:rPr>
          <w:rFonts w:ascii="Bookman Old Style" w:hAnsi="Bookman Old Style"/>
          <w:szCs w:val="24"/>
        </w:rPr>
        <w:t xml:space="preserve"> </w:t>
      </w:r>
      <w:proofErr w:type="spellStart"/>
      <w:r w:rsidR="006D5195" w:rsidRPr="00BC52A7">
        <w:rPr>
          <w:rFonts w:ascii="Bookman Old Style" w:hAnsi="Bookman Old Style"/>
          <w:szCs w:val="24"/>
        </w:rPr>
        <w:t>Proposal</w:t>
      </w:r>
      <w:proofErr w:type="spellEnd"/>
      <w:r w:rsidR="006D5195" w:rsidRPr="00BC52A7">
        <w:rPr>
          <w:rFonts w:ascii="Bookman Old Style" w:hAnsi="Bookman Old Style"/>
          <w:szCs w:val="24"/>
        </w:rPr>
        <w:t xml:space="preserve"> </w:t>
      </w:r>
      <w:proofErr w:type="spellStart"/>
      <w:r w:rsidR="006D5195" w:rsidRPr="00BC52A7">
        <w:rPr>
          <w:rFonts w:ascii="Bookman Old Style" w:hAnsi="Bookman Old Style"/>
          <w:szCs w:val="24"/>
        </w:rPr>
        <w:t>Inirida</w:t>
      </w:r>
      <w:proofErr w:type="spellEnd"/>
      <w:r w:rsidR="006D5195" w:rsidRPr="00BC52A7">
        <w:rPr>
          <w:rFonts w:ascii="Bookman Old Style" w:hAnsi="Bookman Old Style"/>
          <w:szCs w:val="24"/>
        </w:rPr>
        <w:t xml:space="preserve"> - 20210121 - rev2.pdf, </w:t>
      </w:r>
      <w:r w:rsidR="00B74E22">
        <w:rPr>
          <w:rFonts w:ascii="Bookman Old Style" w:hAnsi="Bookman Old Style"/>
          <w:szCs w:val="24"/>
        </w:rPr>
        <w:t>en donde en el nu</w:t>
      </w:r>
      <w:r w:rsidR="00A77185">
        <w:rPr>
          <w:rFonts w:ascii="Bookman Old Style" w:hAnsi="Bookman Old Style"/>
          <w:szCs w:val="24"/>
        </w:rPr>
        <w:t xml:space="preserve">meral </w:t>
      </w:r>
      <w:r w:rsidR="00453107" w:rsidRPr="00453107">
        <w:rPr>
          <w:rFonts w:ascii="Bookman Old Style" w:hAnsi="Bookman Old Style"/>
          <w:szCs w:val="24"/>
        </w:rPr>
        <w:t xml:space="preserve">3.3. </w:t>
      </w:r>
      <w:r w:rsidR="00453107" w:rsidRPr="00135577">
        <w:rPr>
          <w:rFonts w:ascii="Bookman Old Style" w:hAnsi="Bookman Old Style"/>
          <w:szCs w:val="24"/>
          <w:lang w:val="en-US"/>
        </w:rPr>
        <w:t xml:space="preserve">WARRANTY, </w:t>
      </w:r>
      <w:r w:rsidR="006D5195" w:rsidRPr="00135577">
        <w:rPr>
          <w:rFonts w:ascii="Bookman Old Style" w:hAnsi="Bookman Old Style"/>
          <w:szCs w:val="24"/>
          <w:lang w:val="en-US"/>
        </w:rPr>
        <w:t xml:space="preserve">se </w:t>
      </w:r>
      <w:r w:rsidR="00453107" w:rsidRPr="00135577">
        <w:rPr>
          <w:rFonts w:ascii="Bookman Old Style" w:hAnsi="Bookman Old Style"/>
          <w:szCs w:val="24"/>
          <w:lang w:val="en-US"/>
        </w:rPr>
        <w:t xml:space="preserve">indica lo </w:t>
      </w:r>
      <w:proofErr w:type="spellStart"/>
      <w:r w:rsidR="006D5195" w:rsidRPr="00135577">
        <w:rPr>
          <w:rFonts w:ascii="Bookman Old Style" w:hAnsi="Bookman Old Style"/>
          <w:szCs w:val="24"/>
          <w:lang w:val="en-US"/>
        </w:rPr>
        <w:t>siguiente</w:t>
      </w:r>
      <w:proofErr w:type="spellEnd"/>
      <w:r w:rsidR="006D5195" w:rsidRPr="00135577">
        <w:rPr>
          <w:rFonts w:ascii="Bookman Old Style" w:hAnsi="Bookman Old Style"/>
          <w:szCs w:val="24"/>
          <w:lang w:val="en-US"/>
        </w:rPr>
        <w:t>:</w:t>
      </w:r>
    </w:p>
    <w:p w14:paraId="0D85BA7F" w14:textId="77777777" w:rsidR="006D5195" w:rsidRPr="00135577" w:rsidRDefault="006D5195" w:rsidP="006D5195">
      <w:pPr>
        <w:pStyle w:val="Textodebloque"/>
        <w:ind w:left="284" w:right="6"/>
        <w:contextualSpacing/>
        <w:rPr>
          <w:rFonts w:ascii="Bookman Old Style" w:hAnsi="Bookman Old Style"/>
          <w:szCs w:val="24"/>
          <w:lang w:val="en-US"/>
        </w:rPr>
      </w:pPr>
    </w:p>
    <w:p w14:paraId="5E504CF0" w14:textId="77777777" w:rsidR="006D5195" w:rsidRPr="00B0299E" w:rsidRDefault="006D5195" w:rsidP="006D5195">
      <w:pPr>
        <w:pStyle w:val="Textodebloque"/>
        <w:ind w:right="6"/>
        <w:contextualSpacing/>
        <w:rPr>
          <w:rFonts w:ascii="Bookman Old Style" w:hAnsi="Bookman Old Style"/>
          <w:i/>
          <w:sz w:val="22"/>
          <w:szCs w:val="22"/>
          <w:lang w:val="en-US"/>
        </w:rPr>
      </w:pPr>
      <w:r w:rsidRPr="00B0299E">
        <w:rPr>
          <w:rFonts w:ascii="Bookman Old Style" w:hAnsi="Bookman Old Style"/>
          <w:i/>
          <w:sz w:val="22"/>
          <w:szCs w:val="22"/>
          <w:lang w:val="en-US"/>
        </w:rPr>
        <w:t xml:space="preserve">“Degradation warranty: based on a usage of 1.5 full equivalent cycles per day, the guaranteed usable energy of the proposed system is: </w:t>
      </w:r>
    </w:p>
    <w:p w14:paraId="49A472DF" w14:textId="77777777" w:rsidR="006D5195" w:rsidRPr="00B0299E" w:rsidRDefault="006D5195" w:rsidP="006D5195">
      <w:pPr>
        <w:pStyle w:val="Textodebloque"/>
        <w:ind w:right="6"/>
        <w:contextualSpacing/>
        <w:rPr>
          <w:rFonts w:ascii="Bookman Old Style" w:hAnsi="Bookman Old Style"/>
          <w:i/>
          <w:sz w:val="22"/>
          <w:szCs w:val="22"/>
          <w:lang w:val="en-US"/>
        </w:rPr>
      </w:pPr>
    </w:p>
    <w:p w14:paraId="44D7AD21" w14:textId="77777777" w:rsidR="006D5195" w:rsidRPr="00B0299E" w:rsidRDefault="006D5195" w:rsidP="006D5195">
      <w:pPr>
        <w:pStyle w:val="Textodebloque"/>
        <w:ind w:left="284" w:right="6"/>
        <w:contextualSpacing/>
        <w:jc w:val="center"/>
        <w:rPr>
          <w:rFonts w:ascii="Bookman Old Style" w:hAnsi="Bookman Old Style"/>
          <w:i/>
          <w:sz w:val="22"/>
          <w:szCs w:val="22"/>
        </w:rPr>
      </w:pPr>
      <w:r w:rsidRPr="00B0299E">
        <w:rPr>
          <w:rFonts w:ascii="Bookman Old Style" w:hAnsi="Bookman Old Style"/>
          <w:noProof/>
          <w:sz w:val="22"/>
          <w:szCs w:val="22"/>
          <w:lang w:val="es-CO" w:eastAsia="es-CO"/>
        </w:rPr>
        <w:drawing>
          <wp:inline distT="0" distB="0" distL="0" distR="0" wp14:anchorId="6D96448D" wp14:editId="15D96E30">
            <wp:extent cx="1159809" cy="1460500"/>
            <wp:effectExtent l="0" t="0" r="2540" b="6350"/>
            <wp:docPr id="9" name="Imagen 9" descr="C:\Users\Adriana\AppData\Local\Microsoft\Windows\INetCache\Content.MSO\4286B5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a\AppData\Local\Microsoft\Windows\INetCache\Content.MSO\4286B5B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876" cy="1464362"/>
                    </a:xfrm>
                    <a:prstGeom prst="rect">
                      <a:avLst/>
                    </a:prstGeom>
                    <a:noFill/>
                    <a:ln>
                      <a:noFill/>
                    </a:ln>
                  </pic:spPr>
                </pic:pic>
              </a:graphicData>
            </a:graphic>
          </wp:inline>
        </w:drawing>
      </w:r>
      <w:r w:rsidRPr="00B0299E">
        <w:rPr>
          <w:rFonts w:ascii="Bookman Old Style" w:hAnsi="Bookman Old Style"/>
          <w:i/>
          <w:sz w:val="22"/>
          <w:szCs w:val="22"/>
        </w:rPr>
        <w:t>”</w:t>
      </w:r>
    </w:p>
    <w:p w14:paraId="79CD90D6" w14:textId="5A2BC4BB" w:rsidR="008A18DA" w:rsidRPr="00BC52A7" w:rsidRDefault="005A3F2D" w:rsidP="008A18DA">
      <w:pPr>
        <w:pStyle w:val="Textodebloque"/>
        <w:ind w:left="284" w:right="6"/>
        <w:contextualSpacing/>
        <w:rPr>
          <w:rFonts w:ascii="Bookman Old Style" w:hAnsi="Bookman Old Style"/>
          <w:szCs w:val="24"/>
        </w:rPr>
      </w:pPr>
      <w:r>
        <w:rPr>
          <w:rFonts w:ascii="Bookman Old Style" w:hAnsi="Bookman Old Style"/>
          <w:iCs/>
          <w:szCs w:val="24"/>
        </w:rPr>
        <w:t>Debe anotarse que en este apartado se indica que la información está basada en un uso equivalente a 1</w:t>
      </w:r>
      <w:r w:rsidR="00B0299E">
        <w:rPr>
          <w:rFonts w:ascii="Bookman Old Style" w:hAnsi="Bookman Old Style"/>
          <w:iCs/>
          <w:szCs w:val="24"/>
        </w:rPr>
        <w:t>,</w:t>
      </w:r>
      <w:r>
        <w:rPr>
          <w:rFonts w:ascii="Bookman Old Style" w:hAnsi="Bookman Old Style"/>
          <w:iCs/>
          <w:szCs w:val="24"/>
        </w:rPr>
        <w:t xml:space="preserve">5 ciclos por día. </w:t>
      </w:r>
      <w:r w:rsidR="0032784B">
        <w:rPr>
          <w:rFonts w:ascii="Bookman Old Style" w:hAnsi="Bookman Old Style"/>
          <w:iCs/>
          <w:szCs w:val="24"/>
        </w:rPr>
        <w:t>L</w:t>
      </w:r>
      <w:r>
        <w:rPr>
          <w:rFonts w:ascii="Bookman Old Style" w:hAnsi="Bookman Old Style"/>
          <w:iCs/>
          <w:szCs w:val="24"/>
        </w:rPr>
        <w:t>a Comisión</w:t>
      </w:r>
      <w:r w:rsidR="0032784B">
        <w:rPr>
          <w:rFonts w:ascii="Bookman Old Style" w:hAnsi="Bookman Old Style"/>
          <w:iCs/>
          <w:szCs w:val="24"/>
        </w:rPr>
        <w:t xml:space="preserve"> </w:t>
      </w:r>
      <w:r w:rsidR="00847951">
        <w:rPr>
          <w:rFonts w:ascii="Bookman Old Style" w:hAnsi="Bookman Old Style"/>
          <w:iCs/>
          <w:szCs w:val="24"/>
        </w:rPr>
        <w:t xml:space="preserve">valida </w:t>
      </w:r>
      <w:r w:rsidR="00571A8C">
        <w:rPr>
          <w:rFonts w:ascii="Bookman Old Style" w:hAnsi="Bookman Old Style"/>
          <w:iCs/>
          <w:szCs w:val="24"/>
        </w:rPr>
        <w:t xml:space="preserve">los ciclos por día </w:t>
      </w:r>
      <w:r w:rsidR="002F59E4">
        <w:rPr>
          <w:rFonts w:ascii="Bookman Old Style" w:hAnsi="Bookman Old Style"/>
          <w:iCs/>
          <w:szCs w:val="24"/>
        </w:rPr>
        <w:t>d</w:t>
      </w:r>
      <w:r w:rsidR="008E2D1C">
        <w:rPr>
          <w:rFonts w:ascii="Bookman Old Style" w:hAnsi="Bookman Old Style"/>
          <w:iCs/>
          <w:szCs w:val="24"/>
        </w:rPr>
        <w:t xml:space="preserve">el sistema de almacenamiento de </w:t>
      </w:r>
      <w:r w:rsidR="002F59E4">
        <w:rPr>
          <w:rFonts w:ascii="Bookman Old Style" w:hAnsi="Bookman Old Style"/>
          <w:iCs/>
          <w:szCs w:val="24"/>
        </w:rPr>
        <w:t xml:space="preserve">referencia presentado por GENSA </w:t>
      </w:r>
      <w:r w:rsidR="00210E16">
        <w:rPr>
          <w:rFonts w:ascii="Bookman Old Style" w:hAnsi="Bookman Old Style"/>
          <w:iCs/>
          <w:szCs w:val="24"/>
        </w:rPr>
        <w:t xml:space="preserve">a partir de </w:t>
      </w:r>
      <w:r>
        <w:rPr>
          <w:rFonts w:ascii="Bookman Old Style" w:hAnsi="Bookman Old Style"/>
          <w:iCs/>
          <w:szCs w:val="24"/>
        </w:rPr>
        <w:t xml:space="preserve">la información allegada </w:t>
      </w:r>
      <w:r w:rsidR="008A18DA" w:rsidRPr="00BC52A7">
        <w:rPr>
          <w:rFonts w:ascii="Bookman Old Style" w:hAnsi="Bookman Old Style"/>
          <w:szCs w:val="24"/>
        </w:rPr>
        <w:t xml:space="preserve">mediante radicado CREG E-2021-006479 </w:t>
      </w:r>
      <w:r w:rsidR="008A18DA">
        <w:rPr>
          <w:rFonts w:ascii="Bookman Old Style" w:hAnsi="Bookman Old Style"/>
          <w:szCs w:val="24"/>
        </w:rPr>
        <w:t>del</w:t>
      </w:r>
      <w:r w:rsidR="008A18DA" w:rsidRPr="00BC52A7">
        <w:rPr>
          <w:rFonts w:ascii="Bookman Old Style" w:hAnsi="Bookman Old Style"/>
          <w:szCs w:val="24"/>
        </w:rPr>
        <w:t xml:space="preserve"> 2 de junio de 2021</w:t>
      </w:r>
      <w:r w:rsidR="00E42591">
        <w:rPr>
          <w:rFonts w:ascii="Bookman Old Style" w:hAnsi="Bookman Old Style"/>
          <w:szCs w:val="24"/>
        </w:rPr>
        <w:t xml:space="preserve">. En el </w:t>
      </w:r>
      <w:r w:rsidR="008A18DA">
        <w:rPr>
          <w:rFonts w:ascii="Bookman Old Style" w:hAnsi="Bookman Old Style"/>
          <w:szCs w:val="24"/>
        </w:rPr>
        <w:t>archivo “</w:t>
      </w:r>
      <w:r w:rsidR="008A18DA" w:rsidRPr="00BE4D0C">
        <w:rPr>
          <w:rFonts w:ascii="Bookman Old Style" w:hAnsi="Bookman Old Style"/>
          <w:szCs w:val="24"/>
        </w:rPr>
        <w:t xml:space="preserve">Comunicado GENSA 10502021-Respuesta a solicitud cargos </w:t>
      </w:r>
      <w:proofErr w:type="spellStart"/>
      <w:r w:rsidR="008A18DA" w:rsidRPr="00BE4D0C">
        <w:rPr>
          <w:rFonts w:ascii="Bookman Old Style" w:hAnsi="Bookman Old Style"/>
          <w:szCs w:val="24"/>
        </w:rPr>
        <w:t>creg</w:t>
      </w:r>
      <w:proofErr w:type="spellEnd"/>
      <w:r w:rsidR="008A18DA" w:rsidRPr="00BE4D0C">
        <w:rPr>
          <w:rFonts w:ascii="Bookman Old Style" w:hAnsi="Bookman Old Style"/>
          <w:szCs w:val="24"/>
        </w:rPr>
        <w:t xml:space="preserve"> S-2021-001903.pdf</w:t>
      </w:r>
      <w:r w:rsidR="008A18DA">
        <w:rPr>
          <w:rFonts w:ascii="Bookman Old Style" w:hAnsi="Bookman Old Style"/>
          <w:szCs w:val="24"/>
        </w:rPr>
        <w:t>”</w:t>
      </w:r>
      <w:r w:rsidR="008A18DA" w:rsidRPr="00BC52A7">
        <w:rPr>
          <w:rFonts w:ascii="Bookman Old Style" w:hAnsi="Bookman Old Style"/>
          <w:szCs w:val="24"/>
        </w:rPr>
        <w:t xml:space="preserve">, </w:t>
      </w:r>
      <w:r w:rsidR="00E4637C">
        <w:rPr>
          <w:rFonts w:ascii="Bookman Old Style" w:hAnsi="Bookman Old Style"/>
          <w:szCs w:val="24"/>
        </w:rPr>
        <w:t xml:space="preserve">GENSA indica </w:t>
      </w:r>
      <w:r w:rsidR="008A18DA" w:rsidRPr="00BC52A7">
        <w:rPr>
          <w:rFonts w:ascii="Bookman Old Style" w:hAnsi="Bookman Old Style"/>
          <w:szCs w:val="24"/>
        </w:rPr>
        <w:t>lo siguiente:</w:t>
      </w:r>
    </w:p>
    <w:p w14:paraId="5E3A4B04" w14:textId="77777777" w:rsidR="008A18DA" w:rsidRPr="00BC52A7" w:rsidRDefault="008A18DA" w:rsidP="008A18DA">
      <w:pPr>
        <w:pStyle w:val="Textodebloque"/>
        <w:ind w:left="284" w:right="6"/>
        <w:contextualSpacing/>
        <w:rPr>
          <w:rFonts w:ascii="Bookman Old Style" w:hAnsi="Bookman Old Style"/>
          <w:szCs w:val="24"/>
        </w:rPr>
      </w:pPr>
    </w:p>
    <w:p w14:paraId="7D5CBA3B" w14:textId="77777777" w:rsidR="008A18DA" w:rsidRDefault="008A18DA" w:rsidP="008A18DA">
      <w:pPr>
        <w:pStyle w:val="Textodebloque"/>
        <w:ind w:left="709" w:right="6"/>
        <w:contextualSpacing/>
        <w:rPr>
          <w:rFonts w:ascii="Bookman Old Style" w:hAnsi="Bookman Old Style"/>
          <w:i/>
          <w:iCs/>
          <w:sz w:val="22"/>
          <w:szCs w:val="22"/>
        </w:rPr>
      </w:pPr>
      <w:r w:rsidRPr="00047EF9">
        <w:rPr>
          <w:rFonts w:ascii="Bookman Old Style" w:hAnsi="Bookman Old Style"/>
          <w:i/>
          <w:iCs/>
          <w:sz w:val="22"/>
          <w:szCs w:val="22"/>
        </w:rPr>
        <w:t>“8. perfil de carga y descarga horario del sistema de almacenamiento del sistema de referencia presentado en la solicitud.</w:t>
      </w:r>
    </w:p>
    <w:p w14:paraId="69616B35" w14:textId="77777777" w:rsidR="008A18DA" w:rsidRDefault="008A18DA" w:rsidP="008A18DA">
      <w:pPr>
        <w:pStyle w:val="Textodebloque"/>
        <w:ind w:left="709" w:right="6"/>
        <w:contextualSpacing/>
        <w:rPr>
          <w:rFonts w:ascii="Bookman Old Style" w:hAnsi="Bookman Old Style"/>
          <w:i/>
          <w:iCs/>
          <w:sz w:val="22"/>
          <w:szCs w:val="22"/>
        </w:rPr>
      </w:pPr>
    </w:p>
    <w:p w14:paraId="595AC12B" w14:textId="15E46DCA" w:rsidR="008A18DA" w:rsidRPr="00047EF9" w:rsidRDefault="008A18DA" w:rsidP="008A18DA">
      <w:pPr>
        <w:pStyle w:val="Textodebloque"/>
        <w:ind w:left="709" w:right="6"/>
        <w:contextualSpacing/>
        <w:rPr>
          <w:rFonts w:ascii="Bookman Old Style" w:hAnsi="Bookman Old Style"/>
          <w:sz w:val="22"/>
          <w:szCs w:val="22"/>
        </w:rPr>
      </w:pPr>
      <w:r w:rsidRPr="00047EF9">
        <w:rPr>
          <w:rFonts w:ascii="Bookman Old Style" w:hAnsi="Bookman Old Style"/>
          <w:i/>
          <w:iCs/>
          <w:sz w:val="22"/>
          <w:szCs w:val="22"/>
        </w:rPr>
        <w:t xml:space="preserve">En la respuesta de este punto, se envía un consolidado del comportamiento de entrega de potencia con la granja solar y con la carga y descarga de las baterías. Se evidencia que, según las proyecciones, tanto el sistema solar como las baterías podrán asumir la totalidad de la demanda del municipio en un estimado del 90% del tiempo y el 10% restante será respaldado por las unidades </w:t>
      </w:r>
      <w:r w:rsidRPr="00E4637C">
        <w:rPr>
          <w:rFonts w:ascii="Bookman Old Style" w:hAnsi="Bookman Old Style"/>
          <w:i/>
          <w:iCs/>
          <w:sz w:val="22"/>
          <w:szCs w:val="22"/>
        </w:rPr>
        <w:t>diésel. Según este comportamiento y el promedio horario, las baterías entrarán en proceso de carga (valores positivos) entre las 6 am y las 3 pm y su proceso de descarga (valores negativos) será entre las 4 pm y las 5 am según demanda y producción solar</w:t>
      </w:r>
      <w:r w:rsidRPr="00047EF9">
        <w:rPr>
          <w:rFonts w:ascii="Bookman Old Style" w:hAnsi="Bookman Old Style"/>
          <w:i/>
          <w:iCs/>
          <w:sz w:val="22"/>
          <w:szCs w:val="22"/>
        </w:rPr>
        <w:t>”</w:t>
      </w:r>
      <w:r w:rsidRPr="00047EF9">
        <w:rPr>
          <w:rFonts w:ascii="Bookman Old Style" w:hAnsi="Bookman Old Style"/>
          <w:sz w:val="22"/>
          <w:szCs w:val="22"/>
        </w:rPr>
        <w:t xml:space="preserve">. </w:t>
      </w:r>
    </w:p>
    <w:p w14:paraId="09B18490" w14:textId="77777777" w:rsidR="008A18DA" w:rsidRPr="00BC52A7" w:rsidRDefault="008A18DA" w:rsidP="008A18DA">
      <w:pPr>
        <w:pStyle w:val="Textodebloque"/>
        <w:ind w:left="284" w:right="6"/>
        <w:contextualSpacing/>
        <w:rPr>
          <w:rFonts w:ascii="Bookman Old Style" w:hAnsi="Bookman Old Style"/>
          <w:szCs w:val="24"/>
        </w:rPr>
      </w:pPr>
    </w:p>
    <w:p w14:paraId="7A37380A" w14:textId="77777777" w:rsidR="008A18DA" w:rsidRPr="00BC52A7" w:rsidRDefault="008A18DA" w:rsidP="008A18DA">
      <w:pPr>
        <w:pStyle w:val="Textodebloque"/>
        <w:ind w:left="284" w:right="6"/>
        <w:contextualSpacing/>
        <w:rPr>
          <w:rFonts w:ascii="Bookman Old Style" w:hAnsi="Bookman Old Style"/>
          <w:szCs w:val="24"/>
        </w:rPr>
      </w:pPr>
      <w:r>
        <w:rPr>
          <w:rFonts w:ascii="Bookman Old Style" w:hAnsi="Bookman Old Style"/>
          <w:szCs w:val="24"/>
        </w:rPr>
        <w:t xml:space="preserve">Adicionalmente, en el precitado </w:t>
      </w:r>
      <w:r w:rsidRPr="00BC52A7">
        <w:rPr>
          <w:rFonts w:ascii="Bookman Old Style" w:hAnsi="Bookman Old Style"/>
          <w:szCs w:val="24"/>
        </w:rPr>
        <w:t>radicado CREG E-2021-006479</w:t>
      </w:r>
      <w:r>
        <w:rPr>
          <w:rFonts w:ascii="Bookman Old Style" w:hAnsi="Bookman Old Style"/>
          <w:szCs w:val="24"/>
        </w:rPr>
        <w:t xml:space="preserve">, que contiene el </w:t>
      </w:r>
      <w:r w:rsidRPr="00BC52A7">
        <w:rPr>
          <w:rFonts w:ascii="Bookman Old Style" w:hAnsi="Bookman Old Style"/>
          <w:szCs w:val="24"/>
        </w:rPr>
        <w:t>archivo Excel “8. Perfil de carga y descarga”, se observa la siguiente figura:</w:t>
      </w:r>
    </w:p>
    <w:p w14:paraId="336DCC86" w14:textId="77777777" w:rsidR="008A18DA" w:rsidRPr="00BC52A7" w:rsidRDefault="008A18DA" w:rsidP="008A18DA">
      <w:pPr>
        <w:pStyle w:val="Textodebloque"/>
        <w:ind w:left="284" w:right="6"/>
        <w:contextualSpacing/>
        <w:rPr>
          <w:rFonts w:ascii="Bookman Old Style" w:hAnsi="Bookman Old Style"/>
          <w:szCs w:val="24"/>
        </w:rPr>
      </w:pPr>
    </w:p>
    <w:p w14:paraId="164BF1F2" w14:textId="77777777" w:rsidR="008A18DA" w:rsidRDefault="008A18DA" w:rsidP="008A18DA">
      <w:pPr>
        <w:pStyle w:val="Textodebloque"/>
        <w:ind w:left="284" w:right="6"/>
        <w:contextualSpacing/>
        <w:jc w:val="center"/>
        <w:rPr>
          <w:rFonts w:ascii="Bookman Old Style" w:hAnsi="Bookman Old Style"/>
          <w:b/>
          <w:szCs w:val="24"/>
        </w:rPr>
      </w:pPr>
      <w:r w:rsidRPr="00753A32">
        <w:rPr>
          <w:rFonts w:ascii="Bookman Old Style" w:hAnsi="Bookman Old Style"/>
          <w:b/>
          <w:szCs w:val="24"/>
        </w:rPr>
        <w:t>Perfil de Carga y descarga Sistema de Baterías</w:t>
      </w:r>
    </w:p>
    <w:p w14:paraId="7A8D8C67" w14:textId="77777777" w:rsidR="008A18DA" w:rsidRDefault="008A18DA" w:rsidP="008A18DA">
      <w:pPr>
        <w:pStyle w:val="Textodebloque"/>
        <w:ind w:left="284" w:right="6"/>
        <w:contextualSpacing/>
        <w:jc w:val="center"/>
        <w:rPr>
          <w:rFonts w:ascii="Bookman Old Style" w:hAnsi="Bookman Old Style"/>
          <w:b/>
          <w:szCs w:val="24"/>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7363"/>
      </w:tblGrid>
      <w:tr w:rsidR="00276F0B" w14:paraId="79B3571E" w14:textId="77777777" w:rsidTr="00EE28AB">
        <w:tc>
          <w:tcPr>
            <w:tcW w:w="1836" w:type="dxa"/>
            <w:vAlign w:val="center"/>
          </w:tcPr>
          <w:p w14:paraId="2350542A" w14:textId="77777777" w:rsidR="008A18DA" w:rsidRDefault="008A18DA" w:rsidP="00276F0B">
            <w:pPr>
              <w:pStyle w:val="Textodebloque"/>
              <w:spacing w:after="0"/>
              <w:ind w:left="0" w:right="6"/>
              <w:contextualSpacing/>
              <w:jc w:val="center"/>
              <w:rPr>
                <w:rFonts w:ascii="Bookman Old Style" w:hAnsi="Bookman Old Style"/>
                <w:b/>
                <w:szCs w:val="24"/>
              </w:rPr>
            </w:pPr>
            <w:r w:rsidRPr="0038491F">
              <w:rPr>
                <w:rFonts w:ascii="Bookman Old Style" w:hAnsi="Bookman Old Style"/>
                <w:b/>
                <w:noProof/>
                <w:szCs w:val="24"/>
                <w:lang w:val="es-CO" w:eastAsia="es-CO"/>
              </w:rPr>
              <w:drawing>
                <wp:inline distT="0" distB="0" distL="0" distR="0" wp14:anchorId="5693B795" wp14:editId="7BF6AE49">
                  <wp:extent cx="1042680" cy="253054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9476" cy="2547043"/>
                          </a:xfrm>
                          <a:prstGeom prst="rect">
                            <a:avLst/>
                          </a:prstGeom>
                        </pic:spPr>
                      </pic:pic>
                    </a:graphicData>
                  </a:graphic>
                </wp:inline>
              </w:drawing>
            </w:r>
          </w:p>
        </w:tc>
        <w:tc>
          <w:tcPr>
            <w:tcW w:w="7242" w:type="dxa"/>
            <w:vAlign w:val="center"/>
          </w:tcPr>
          <w:p w14:paraId="5BB995C4" w14:textId="77777777" w:rsidR="008A18DA" w:rsidRDefault="008A18DA" w:rsidP="00276F0B">
            <w:pPr>
              <w:pStyle w:val="Textodebloque"/>
              <w:spacing w:after="0"/>
              <w:ind w:left="0" w:right="6"/>
              <w:contextualSpacing/>
              <w:jc w:val="center"/>
              <w:rPr>
                <w:rFonts w:ascii="Bookman Old Style" w:hAnsi="Bookman Old Style"/>
                <w:b/>
                <w:szCs w:val="24"/>
              </w:rPr>
            </w:pPr>
            <w:r>
              <w:rPr>
                <w:noProof/>
                <w:lang w:val="es-CO" w:eastAsia="es-CO"/>
              </w:rPr>
              <w:drawing>
                <wp:inline distT="0" distB="0" distL="0" distR="0" wp14:anchorId="41891A95" wp14:editId="4F31A429">
                  <wp:extent cx="4532908" cy="2451895"/>
                  <wp:effectExtent l="0" t="0" r="127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8156" cy="2525052"/>
                          </a:xfrm>
                          <a:prstGeom prst="rect">
                            <a:avLst/>
                          </a:prstGeom>
                        </pic:spPr>
                      </pic:pic>
                    </a:graphicData>
                  </a:graphic>
                </wp:inline>
              </w:drawing>
            </w:r>
          </w:p>
        </w:tc>
      </w:tr>
    </w:tbl>
    <w:p w14:paraId="2480F516" w14:textId="25137F59" w:rsidR="00EE28AB" w:rsidRDefault="00EE28AB" w:rsidP="00EE28AB">
      <w:pPr>
        <w:pStyle w:val="Textodebloque"/>
        <w:ind w:left="284" w:right="6"/>
        <w:contextualSpacing/>
        <w:jc w:val="center"/>
        <w:rPr>
          <w:rFonts w:ascii="Bookman Old Style" w:hAnsi="Bookman Old Style"/>
          <w:sz w:val="20"/>
          <w:szCs w:val="24"/>
        </w:rPr>
      </w:pPr>
      <w:r w:rsidRPr="00A010D0">
        <w:rPr>
          <w:rFonts w:ascii="Bookman Old Style" w:hAnsi="Bookman Old Style"/>
          <w:sz w:val="20"/>
          <w:szCs w:val="24"/>
        </w:rPr>
        <w:t xml:space="preserve">Fuente: </w:t>
      </w:r>
      <w:proofErr w:type="spellStart"/>
      <w:r>
        <w:rPr>
          <w:rFonts w:ascii="Bookman Old Style" w:hAnsi="Bookman Old Style"/>
          <w:sz w:val="20"/>
          <w:szCs w:val="24"/>
        </w:rPr>
        <w:t>Gensa</w:t>
      </w:r>
      <w:proofErr w:type="spellEnd"/>
    </w:p>
    <w:p w14:paraId="764C1FE0" w14:textId="77777777" w:rsidR="00276F0B" w:rsidRDefault="00276F0B" w:rsidP="008A18DA">
      <w:pPr>
        <w:pStyle w:val="Textodebloque"/>
        <w:ind w:left="284" w:right="6"/>
        <w:contextualSpacing/>
        <w:rPr>
          <w:rFonts w:ascii="Bookman Old Style" w:hAnsi="Bookman Old Style"/>
          <w:bCs/>
          <w:szCs w:val="24"/>
        </w:rPr>
      </w:pPr>
    </w:p>
    <w:p w14:paraId="7AAC4AB9" w14:textId="1991BE5C" w:rsidR="00D320C4" w:rsidRDefault="008A18DA" w:rsidP="008A18DA">
      <w:pPr>
        <w:pStyle w:val="Textodebloque"/>
        <w:ind w:left="284" w:right="6"/>
        <w:contextualSpacing/>
        <w:rPr>
          <w:rFonts w:ascii="Bookman Old Style" w:hAnsi="Bookman Old Style"/>
          <w:szCs w:val="24"/>
        </w:rPr>
      </w:pPr>
      <w:r w:rsidRPr="00117B7B">
        <w:rPr>
          <w:rFonts w:ascii="Bookman Old Style" w:hAnsi="Bookman Old Style"/>
          <w:bCs/>
          <w:szCs w:val="24"/>
        </w:rPr>
        <w:t>De</w:t>
      </w:r>
      <w:r>
        <w:rPr>
          <w:rFonts w:ascii="Bookman Old Style" w:hAnsi="Bookman Old Style"/>
          <w:bCs/>
          <w:szCs w:val="24"/>
        </w:rPr>
        <w:t>l perfil de carga/descar</w:t>
      </w:r>
      <w:r w:rsidR="00F17804">
        <w:rPr>
          <w:rFonts w:ascii="Bookman Old Style" w:hAnsi="Bookman Old Style"/>
          <w:bCs/>
          <w:szCs w:val="24"/>
        </w:rPr>
        <w:t>g</w:t>
      </w:r>
      <w:r>
        <w:rPr>
          <w:rFonts w:ascii="Bookman Old Style" w:hAnsi="Bookman Old Style"/>
          <w:bCs/>
          <w:szCs w:val="24"/>
        </w:rPr>
        <w:t>a de las baterías</w:t>
      </w:r>
      <w:r w:rsidRPr="00117B7B">
        <w:rPr>
          <w:rFonts w:ascii="Bookman Old Style" w:hAnsi="Bookman Old Style"/>
          <w:bCs/>
          <w:szCs w:val="24"/>
        </w:rPr>
        <w:t xml:space="preserve"> </w:t>
      </w:r>
      <w:r>
        <w:rPr>
          <w:rFonts w:ascii="Bookman Old Style" w:hAnsi="Bookman Old Style"/>
          <w:bCs/>
          <w:szCs w:val="24"/>
        </w:rPr>
        <w:t xml:space="preserve">en la </w:t>
      </w:r>
      <w:r w:rsidRPr="00BC52A7">
        <w:rPr>
          <w:rFonts w:ascii="Bookman Old Style" w:hAnsi="Bookman Old Style"/>
          <w:szCs w:val="24"/>
        </w:rPr>
        <w:t xml:space="preserve">tabla denominada “promedio” </w:t>
      </w:r>
      <w:r>
        <w:rPr>
          <w:rFonts w:ascii="Bookman Old Style" w:hAnsi="Bookman Old Style"/>
          <w:szCs w:val="24"/>
        </w:rPr>
        <w:t xml:space="preserve">se </w:t>
      </w:r>
      <w:r w:rsidR="00DF3C4A">
        <w:rPr>
          <w:rFonts w:ascii="Bookman Old Style" w:hAnsi="Bookman Old Style"/>
          <w:szCs w:val="24"/>
        </w:rPr>
        <w:t>ob</w:t>
      </w:r>
      <w:r>
        <w:rPr>
          <w:rFonts w:ascii="Bookman Old Style" w:hAnsi="Bookman Old Style"/>
          <w:szCs w:val="24"/>
        </w:rPr>
        <w:t xml:space="preserve">tiene </w:t>
      </w:r>
      <w:r w:rsidRPr="00BC52A7">
        <w:rPr>
          <w:rFonts w:ascii="Bookman Old Style" w:hAnsi="Bookman Old Style"/>
          <w:szCs w:val="24"/>
        </w:rPr>
        <w:t>la energía promedio anual por hora de</w:t>
      </w:r>
      <w:r w:rsidR="00B0291F">
        <w:rPr>
          <w:rFonts w:ascii="Bookman Old Style" w:hAnsi="Bookman Old Style"/>
          <w:szCs w:val="24"/>
        </w:rPr>
        <w:t>l día</w:t>
      </w:r>
      <w:r w:rsidRPr="00BC52A7">
        <w:rPr>
          <w:rFonts w:ascii="Bookman Old Style" w:hAnsi="Bookman Old Style"/>
          <w:szCs w:val="24"/>
        </w:rPr>
        <w:t xml:space="preserve">. </w:t>
      </w:r>
      <w:r w:rsidR="00B0291F">
        <w:rPr>
          <w:rFonts w:ascii="Bookman Old Style" w:hAnsi="Bookman Old Style"/>
          <w:szCs w:val="24"/>
        </w:rPr>
        <w:t>Al totaliz</w:t>
      </w:r>
      <w:r w:rsidR="00592D3B">
        <w:rPr>
          <w:rFonts w:ascii="Bookman Old Style" w:hAnsi="Bookman Old Style"/>
          <w:szCs w:val="24"/>
        </w:rPr>
        <w:t xml:space="preserve">ar </w:t>
      </w:r>
      <w:r w:rsidR="00C83958">
        <w:rPr>
          <w:rFonts w:ascii="Bookman Old Style" w:hAnsi="Bookman Old Style"/>
          <w:szCs w:val="24"/>
        </w:rPr>
        <w:t>lo correspondiente a descarga</w:t>
      </w:r>
      <w:r w:rsidR="00ED6319">
        <w:rPr>
          <w:rFonts w:ascii="Bookman Old Style" w:hAnsi="Bookman Old Style"/>
          <w:szCs w:val="24"/>
        </w:rPr>
        <w:t>,</w:t>
      </w:r>
      <w:r w:rsidR="00C83958">
        <w:rPr>
          <w:rFonts w:ascii="Bookman Old Style" w:hAnsi="Bookman Old Style"/>
          <w:szCs w:val="24"/>
        </w:rPr>
        <w:t xml:space="preserve"> </w:t>
      </w:r>
      <w:r>
        <w:rPr>
          <w:rFonts w:ascii="Bookman Old Style" w:hAnsi="Bookman Old Style"/>
          <w:szCs w:val="24"/>
        </w:rPr>
        <w:t xml:space="preserve">se </w:t>
      </w:r>
      <w:r w:rsidR="00850BAA">
        <w:rPr>
          <w:rFonts w:ascii="Bookman Old Style" w:hAnsi="Bookman Old Style"/>
          <w:szCs w:val="24"/>
        </w:rPr>
        <w:t>obtiene que la d</w:t>
      </w:r>
      <w:r w:rsidR="00A13A10">
        <w:rPr>
          <w:rFonts w:ascii="Bookman Old Style" w:hAnsi="Bookman Old Style"/>
          <w:szCs w:val="24"/>
        </w:rPr>
        <w:t xml:space="preserve">escarga promedio al día es de </w:t>
      </w:r>
      <w:r w:rsidRPr="00BC52A7">
        <w:rPr>
          <w:rFonts w:ascii="Bookman Old Style" w:hAnsi="Bookman Old Style"/>
          <w:szCs w:val="24"/>
        </w:rPr>
        <w:t>24,</w:t>
      </w:r>
      <w:r w:rsidR="002C04C0">
        <w:rPr>
          <w:rFonts w:ascii="Bookman Old Style" w:hAnsi="Bookman Old Style"/>
          <w:szCs w:val="24"/>
        </w:rPr>
        <w:t>53</w:t>
      </w:r>
      <w:r w:rsidRPr="00BC52A7">
        <w:rPr>
          <w:rFonts w:ascii="Bookman Old Style" w:hAnsi="Bookman Old Style"/>
          <w:szCs w:val="24"/>
        </w:rPr>
        <w:t xml:space="preserve"> </w:t>
      </w:r>
      <w:proofErr w:type="spellStart"/>
      <w:r w:rsidRPr="00BC52A7">
        <w:rPr>
          <w:rFonts w:ascii="Bookman Old Style" w:hAnsi="Bookman Old Style"/>
          <w:szCs w:val="24"/>
        </w:rPr>
        <w:t>MWh</w:t>
      </w:r>
      <w:proofErr w:type="spellEnd"/>
      <w:r w:rsidRPr="00BC52A7">
        <w:rPr>
          <w:rFonts w:ascii="Bookman Old Style" w:hAnsi="Bookman Old Style"/>
          <w:szCs w:val="24"/>
        </w:rPr>
        <w:t>/día</w:t>
      </w:r>
      <w:r w:rsidR="00EB000A">
        <w:rPr>
          <w:rFonts w:ascii="Bookman Old Style" w:hAnsi="Bookman Old Style"/>
          <w:szCs w:val="24"/>
        </w:rPr>
        <w:t xml:space="preserve">, con un máximo de descarga de </w:t>
      </w:r>
      <w:r w:rsidR="00D00166">
        <w:rPr>
          <w:rFonts w:ascii="Bookman Old Style" w:hAnsi="Bookman Old Style"/>
          <w:szCs w:val="24"/>
        </w:rPr>
        <w:t>32</w:t>
      </w:r>
      <w:r w:rsidR="005E532F">
        <w:rPr>
          <w:rFonts w:ascii="Bookman Old Style" w:hAnsi="Bookman Old Style"/>
          <w:szCs w:val="24"/>
        </w:rPr>
        <w:t>,</w:t>
      </w:r>
      <w:r w:rsidR="00D00166">
        <w:rPr>
          <w:rFonts w:ascii="Bookman Old Style" w:hAnsi="Bookman Old Style"/>
          <w:szCs w:val="24"/>
        </w:rPr>
        <w:t>72</w:t>
      </w:r>
      <w:r w:rsidR="005E532F">
        <w:rPr>
          <w:rFonts w:ascii="Bookman Old Style" w:hAnsi="Bookman Old Style"/>
          <w:szCs w:val="24"/>
        </w:rPr>
        <w:t xml:space="preserve"> </w:t>
      </w:r>
      <w:proofErr w:type="spellStart"/>
      <w:r w:rsidR="005E532F">
        <w:rPr>
          <w:rFonts w:ascii="Bookman Old Style" w:hAnsi="Bookman Old Style"/>
          <w:szCs w:val="24"/>
        </w:rPr>
        <w:t>MWh</w:t>
      </w:r>
      <w:proofErr w:type="spellEnd"/>
      <w:r w:rsidR="005E532F">
        <w:rPr>
          <w:rFonts w:ascii="Bookman Old Style" w:hAnsi="Bookman Old Style"/>
          <w:szCs w:val="24"/>
        </w:rPr>
        <w:t>/día</w:t>
      </w:r>
      <w:r w:rsidR="002F0604">
        <w:rPr>
          <w:rFonts w:ascii="Bookman Old Style" w:hAnsi="Bookman Old Style"/>
          <w:szCs w:val="24"/>
        </w:rPr>
        <w:t>,</w:t>
      </w:r>
      <w:r w:rsidR="00A13A10">
        <w:rPr>
          <w:rFonts w:ascii="Bookman Old Style" w:hAnsi="Bookman Old Style"/>
          <w:szCs w:val="24"/>
        </w:rPr>
        <w:t xml:space="preserve"> y </w:t>
      </w:r>
      <w:r w:rsidR="00576535">
        <w:rPr>
          <w:rFonts w:ascii="Bookman Old Style" w:hAnsi="Bookman Old Style"/>
          <w:szCs w:val="24"/>
        </w:rPr>
        <w:t xml:space="preserve">al totalizar lo correspondiente a carga se obtiene </w:t>
      </w:r>
      <w:r w:rsidR="00C563DF">
        <w:rPr>
          <w:rFonts w:ascii="Bookman Old Style" w:hAnsi="Bookman Old Style"/>
          <w:szCs w:val="24"/>
        </w:rPr>
        <w:t xml:space="preserve">una carga promedio al día de </w:t>
      </w:r>
      <w:r w:rsidR="00DE1A62">
        <w:rPr>
          <w:rFonts w:ascii="Bookman Old Style" w:hAnsi="Bookman Old Style"/>
          <w:szCs w:val="24"/>
        </w:rPr>
        <w:t>24</w:t>
      </w:r>
      <w:r w:rsidR="00DA52FD">
        <w:rPr>
          <w:rFonts w:ascii="Bookman Old Style" w:hAnsi="Bookman Old Style"/>
          <w:szCs w:val="24"/>
        </w:rPr>
        <w:t>,</w:t>
      </w:r>
      <w:r w:rsidR="002E0F5C">
        <w:rPr>
          <w:rFonts w:ascii="Bookman Old Style" w:hAnsi="Bookman Old Style"/>
          <w:szCs w:val="24"/>
        </w:rPr>
        <w:t>47</w:t>
      </w:r>
      <w:r w:rsidR="00615F41">
        <w:rPr>
          <w:rFonts w:ascii="Bookman Old Style" w:hAnsi="Bookman Old Style"/>
          <w:szCs w:val="24"/>
        </w:rPr>
        <w:t xml:space="preserve"> </w:t>
      </w:r>
      <w:proofErr w:type="spellStart"/>
      <w:r w:rsidR="00615F41">
        <w:rPr>
          <w:rFonts w:ascii="Bookman Old Style" w:hAnsi="Bookman Old Style"/>
          <w:szCs w:val="24"/>
        </w:rPr>
        <w:t>MWh</w:t>
      </w:r>
      <w:proofErr w:type="spellEnd"/>
      <w:r w:rsidR="00615F41">
        <w:rPr>
          <w:rFonts w:ascii="Bookman Old Style" w:hAnsi="Bookman Old Style"/>
          <w:szCs w:val="24"/>
        </w:rPr>
        <w:t>/día</w:t>
      </w:r>
      <w:r w:rsidR="002E0F5C">
        <w:rPr>
          <w:rFonts w:ascii="Bookman Old Style" w:hAnsi="Bookman Old Style"/>
          <w:szCs w:val="24"/>
        </w:rPr>
        <w:t xml:space="preserve">, con un máximo de carga de 27,84 </w:t>
      </w:r>
      <w:proofErr w:type="spellStart"/>
      <w:r w:rsidR="002E0F5C">
        <w:rPr>
          <w:rFonts w:ascii="Bookman Old Style" w:hAnsi="Bookman Old Style"/>
          <w:szCs w:val="24"/>
        </w:rPr>
        <w:t>MWh</w:t>
      </w:r>
      <w:proofErr w:type="spellEnd"/>
      <w:r w:rsidR="002E0F5C">
        <w:rPr>
          <w:rFonts w:ascii="Bookman Old Style" w:hAnsi="Bookman Old Style"/>
          <w:szCs w:val="24"/>
        </w:rPr>
        <w:t>/día</w:t>
      </w:r>
      <w:r w:rsidR="00BE3A17">
        <w:rPr>
          <w:rFonts w:ascii="Bookman Old Style" w:hAnsi="Bookman Old Style"/>
          <w:szCs w:val="24"/>
        </w:rPr>
        <w:t xml:space="preserve">. </w:t>
      </w:r>
      <w:r w:rsidR="00D320C4">
        <w:rPr>
          <w:rFonts w:ascii="Bookman Old Style" w:hAnsi="Bookman Old Style"/>
          <w:szCs w:val="24"/>
        </w:rPr>
        <w:t xml:space="preserve">Teniendo en cuenta que la capacidad del sistema de almacenamiento, de </w:t>
      </w:r>
      <w:r w:rsidR="00B833F7">
        <w:rPr>
          <w:rFonts w:ascii="Bookman Old Style" w:hAnsi="Bookman Old Style"/>
          <w:szCs w:val="24"/>
        </w:rPr>
        <w:t>a</w:t>
      </w:r>
      <w:r w:rsidR="00D320C4">
        <w:rPr>
          <w:rFonts w:ascii="Bookman Old Style" w:hAnsi="Bookman Old Style"/>
          <w:szCs w:val="24"/>
        </w:rPr>
        <w:t>cuerdo con la información del “</w:t>
      </w:r>
      <w:r w:rsidR="00D320C4" w:rsidRPr="00E91946">
        <w:rPr>
          <w:rFonts w:ascii="Bookman Old Style" w:hAnsi="Bookman Old Style"/>
          <w:szCs w:val="24"/>
        </w:rPr>
        <w:t xml:space="preserve">Diagrama Unifilar actualizado - </w:t>
      </w:r>
      <w:proofErr w:type="spellStart"/>
      <w:r w:rsidR="00D320C4" w:rsidRPr="00E91946">
        <w:rPr>
          <w:rFonts w:ascii="Bookman Old Style" w:hAnsi="Bookman Old Style"/>
          <w:szCs w:val="24"/>
        </w:rPr>
        <w:t>Expansion</w:t>
      </w:r>
      <w:proofErr w:type="spellEnd"/>
      <w:r w:rsidR="00D320C4" w:rsidRPr="00E91946">
        <w:rPr>
          <w:rFonts w:ascii="Bookman Old Style" w:hAnsi="Bookman Old Style"/>
          <w:szCs w:val="24"/>
        </w:rPr>
        <w:t xml:space="preserve"> Sol de </w:t>
      </w:r>
      <w:proofErr w:type="spellStart"/>
      <w:r w:rsidR="00D320C4" w:rsidRPr="00E91946">
        <w:rPr>
          <w:rFonts w:ascii="Bookman Old Style" w:hAnsi="Bookman Old Style"/>
          <w:szCs w:val="24"/>
        </w:rPr>
        <w:t>Inirida</w:t>
      </w:r>
      <w:proofErr w:type="spellEnd"/>
      <w:r w:rsidR="00D320C4" w:rsidRPr="00E91946">
        <w:rPr>
          <w:rFonts w:ascii="Bookman Old Style" w:hAnsi="Bookman Old Style"/>
          <w:szCs w:val="24"/>
        </w:rPr>
        <w:t xml:space="preserve"> 2.pdf</w:t>
      </w:r>
      <w:r w:rsidR="00D320C4">
        <w:rPr>
          <w:rFonts w:ascii="Bookman Old Style" w:hAnsi="Bookman Old Style"/>
          <w:szCs w:val="24"/>
        </w:rPr>
        <w:t xml:space="preserve">”, documento </w:t>
      </w:r>
      <w:r w:rsidR="00D320C4" w:rsidRPr="00BC52A7">
        <w:rPr>
          <w:rFonts w:ascii="Bookman Old Style" w:hAnsi="Bookman Old Style"/>
          <w:szCs w:val="24"/>
        </w:rPr>
        <w:t xml:space="preserve">adjunto </w:t>
      </w:r>
      <w:r w:rsidR="00D320C4">
        <w:rPr>
          <w:rFonts w:ascii="Bookman Old Style" w:hAnsi="Bookman Old Style"/>
          <w:szCs w:val="24"/>
        </w:rPr>
        <w:t xml:space="preserve">al </w:t>
      </w:r>
      <w:r w:rsidR="00D320C4" w:rsidRPr="00BC52A7">
        <w:rPr>
          <w:rFonts w:ascii="Bookman Old Style" w:hAnsi="Bookman Old Style"/>
          <w:szCs w:val="24"/>
        </w:rPr>
        <w:t>radicado CREG E-202</w:t>
      </w:r>
      <w:r w:rsidR="00D320C4">
        <w:rPr>
          <w:rFonts w:ascii="Bookman Old Style" w:hAnsi="Bookman Old Style"/>
          <w:szCs w:val="24"/>
        </w:rPr>
        <w:t>2</w:t>
      </w:r>
      <w:r w:rsidR="00D320C4" w:rsidRPr="00BC52A7">
        <w:rPr>
          <w:rFonts w:ascii="Bookman Old Style" w:hAnsi="Bookman Old Style"/>
          <w:szCs w:val="24"/>
        </w:rPr>
        <w:t>-00</w:t>
      </w:r>
      <w:r w:rsidR="00D320C4">
        <w:rPr>
          <w:rFonts w:ascii="Bookman Old Style" w:hAnsi="Bookman Old Style"/>
          <w:szCs w:val="24"/>
        </w:rPr>
        <w:t>1274, allegado por GENSA a esta Comisión, en respuesta al Auto de Pruebas I-2022-004323</w:t>
      </w:r>
      <w:r w:rsidR="00480389">
        <w:rPr>
          <w:rFonts w:ascii="Bookman Old Style" w:hAnsi="Bookman Old Style"/>
          <w:szCs w:val="24"/>
        </w:rPr>
        <w:t xml:space="preserve"> es de </w:t>
      </w:r>
      <w:r w:rsidR="00D320C4">
        <w:rPr>
          <w:rFonts w:ascii="Bookman Old Style" w:hAnsi="Bookman Old Style"/>
          <w:szCs w:val="24"/>
        </w:rPr>
        <w:t xml:space="preserve">33,38 </w:t>
      </w:r>
      <w:proofErr w:type="spellStart"/>
      <w:r w:rsidR="00D320C4">
        <w:rPr>
          <w:rFonts w:ascii="Bookman Old Style" w:hAnsi="Bookman Old Style"/>
          <w:szCs w:val="24"/>
        </w:rPr>
        <w:t>MWh</w:t>
      </w:r>
      <w:proofErr w:type="spellEnd"/>
      <w:r w:rsidR="00537049">
        <w:rPr>
          <w:rFonts w:ascii="Bookman Old Style" w:hAnsi="Bookman Old Style"/>
          <w:szCs w:val="24"/>
        </w:rPr>
        <w:t>, no se evidencia que el uso del sistema equivalga a más de un ciclo por día.</w:t>
      </w:r>
    </w:p>
    <w:p w14:paraId="0144EB14" w14:textId="77777777" w:rsidR="00D6537B" w:rsidRDefault="00D6537B" w:rsidP="008A18DA">
      <w:pPr>
        <w:pStyle w:val="Textodebloque"/>
        <w:ind w:left="284" w:right="6"/>
        <w:contextualSpacing/>
        <w:rPr>
          <w:rFonts w:ascii="Bookman Old Style" w:hAnsi="Bookman Old Style"/>
          <w:szCs w:val="24"/>
        </w:rPr>
      </w:pPr>
    </w:p>
    <w:p w14:paraId="56300756" w14:textId="424742C0" w:rsidR="00676420" w:rsidRDefault="00D6537B" w:rsidP="008A18DA">
      <w:pPr>
        <w:pStyle w:val="Textodebloque"/>
        <w:ind w:left="284" w:right="6"/>
        <w:contextualSpacing/>
        <w:rPr>
          <w:rFonts w:ascii="Bookman Old Style" w:hAnsi="Bookman Old Style"/>
          <w:szCs w:val="24"/>
        </w:rPr>
      </w:pPr>
      <w:r>
        <w:rPr>
          <w:rFonts w:ascii="Bookman Old Style" w:hAnsi="Bookman Old Style"/>
          <w:szCs w:val="24"/>
        </w:rPr>
        <w:t>Teniendo en cuenta lo anterior, esta Comisión procedió a expresar el equivalente en ciclos de carga</w:t>
      </w:r>
      <w:r w:rsidR="002B714B">
        <w:rPr>
          <w:rFonts w:ascii="Bookman Old Style" w:hAnsi="Bookman Old Style"/>
          <w:szCs w:val="24"/>
        </w:rPr>
        <w:t xml:space="preserve"> de la </w:t>
      </w:r>
      <w:r w:rsidR="00F06B20">
        <w:rPr>
          <w:rFonts w:ascii="Bookman Old Style" w:hAnsi="Bookman Old Style"/>
          <w:szCs w:val="24"/>
        </w:rPr>
        <w:t>energía utilizable presentada en la tabla</w:t>
      </w:r>
      <w:r w:rsidR="00A632C8">
        <w:rPr>
          <w:rFonts w:ascii="Bookman Old Style" w:hAnsi="Bookman Old Style"/>
          <w:szCs w:val="24"/>
        </w:rPr>
        <w:t xml:space="preserve"> del</w:t>
      </w:r>
      <w:r w:rsidR="00B833F7">
        <w:rPr>
          <w:rFonts w:ascii="Bookman Old Style" w:hAnsi="Bookman Old Style"/>
          <w:szCs w:val="24"/>
        </w:rPr>
        <w:t xml:space="preserve"> numeral </w:t>
      </w:r>
      <w:r w:rsidR="00A632C8" w:rsidRPr="00676420">
        <w:rPr>
          <w:rFonts w:ascii="Bookman Old Style" w:hAnsi="Bookman Old Style"/>
          <w:szCs w:val="24"/>
        </w:rPr>
        <w:t>3.3. WARRANTY</w:t>
      </w:r>
      <w:r w:rsidR="00F06B20">
        <w:rPr>
          <w:rFonts w:ascii="Bookman Old Style" w:hAnsi="Bookman Old Style"/>
          <w:szCs w:val="24"/>
        </w:rPr>
        <w:t xml:space="preserve"> </w:t>
      </w:r>
      <w:r w:rsidR="00A632C8">
        <w:rPr>
          <w:rFonts w:ascii="Bookman Old Style" w:hAnsi="Bookman Old Style"/>
          <w:szCs w:val="24"/>
        </w:rPr>
        <w:t xml:space="preserve">del documento </w:t>
      </w:r>
      <w:r w:rsidR="00E27BEE">
        <w:rPr>
          <w:rFonts w:ascii="Bookman Old Style" w:hAnsi="Bookman Old Style"/>
          <w:szCs w:val="24"/>
        </w:rPr>
        <w:t>“</w:t>
      </w:r>
      <w:r w:rsidR="00676420" w:rsidRPr="00676420">
        <w:rPr>
          <w:rFonts w:ascii="Bookman Old Style" w:hAnsi="Bookman Old Style"/>
          <w:szCs w:val="24"/>
        </w:rPr>
        <w:t>SDI - E22 - BESS Non-</w:t>
      </w:r>
      <w:proofErr w:type="spellStart"/>
      <w:r w:rsidR="00676420" w:rsidRPr="00676420">
        <w:rPr>
          <w:rFonts w:ascii="Bookman Old Style" w:hAnsi="Bookman Old Style"/>
          <w:szCs w:val="24"/>
        </w:rPr>
        <w:t>Binding</w:t>
      </w:r>
      <w:proofErr w:type="spellEnd"/>
      <w:r w:rsidR="00676420" w:rsidRPr="00676420">
        <w:rPr>
          <w:rFonts w:ascii="Bookman Old Style" w:hAnsi="Bookman Old Style"/>
          <w:szCs w:val="24"/>
        </w:rPr>
        <w:t xml:space="preserve"> </w:t>
      </w:r>
      <w:proofErr w:type="spellStart"/>
      <w:r w:rsidR="00676420" w:rsidRPr="00676420">
        <w:rPr>
          <w:rFonts w:ascii="Bookman Old Style" w:hAnsi="Bookman Old Style"/>
          <w:szCs w:val="24"/>
        </w:rPr>
        <w:t>Proposal</w:t>
      </w:r>
      <w:proofErr w:type="spellEnd"/>
      <w:r w:rsidR="00676420" w:rsidRPr="00676420">
        <w:rPr>
          <w:rFonts w:ascii="Bookman Old Style" w:hAnsi="Bookman Old Style"/>
          <w:szCs w:val="24"/>
        </w:rPr>
        <w:t xml:space="preserve"> </w:t>
      </w:r>
      <w:proofErr w:type="spellStart"/>
      <w:r w:rsidR="00676420" w:rsidRPr="00676420">
        <w:rPr>
          <w:rFonts w:ascii="Bookman Old Style" w:hAnsi="Bookman Old Style"/>
          <w:szCs w:val="24"/>
        </w:rPr>
        <w:t>Inirida</w:t>
      </w:r>
      <w:proofErr w:type="spellEnd"/>
      <w:r w:rsidR="00676420" w:rsidRPr="00676420">
        <w:rPr>
          <w:rFonts w:ascii="Bookman Old Style" w:hAnsi="Bookman Old Style"/>
          <w:szCs w:val="24"/>
        </w:rPr>
        <w:t xml:space="preserve"> - 20210121 - rev2.pdf</w:t>
      </w:r>
      <w:r w:rsidR="00E27BEE">
        <w:rPr>
          <w:rFonts w:ascii="Bookman Old Style" w:hAnsi="Bookman Old Style"/>
          <w:szCs w:val="24"/>
        </w:rPr>
        <w:t>”</w:t>
      </w:r>
      <w:r w:rsidR="007F71FA">
        <w:rPr>
          <w:rFonts w:ascii="Bookman Old Style" w:hAnsi="Bookman Old Style"/>
          <w:szCs w:val="24"/>
        </w:rPr>
        <w:t xml:space="preserve">, encontrándose que </w:t>
      </w:r>
      <w:r w:rsidR="00F05E15">
        <w:rPr>
          <w:rFonts w:ascii="Bookman Old Style" w:hAnsi="Bookman Old Style"/>
          <w:szCs w:val="24"/>
        </w:rPr>
        <w:t xml:space="preserve">10 años, de 365 días cada año, con un uso equivalente </w:t>
      </w:r>
      <w:r w:rsidR="008D678D">
        <w:rPr>
          <w:rFonts w:ascii="Bookman Old Style" w:hAnsi="Bookman Old Style"/>
          <w:szCs w:val="24"/>
        </w:rPr>
        <w:t>a 1,5 ciclos por día equivale a</w:t>
      </w:r>
      <w:r w:rsidR="00393035">
        <w:rPr>
          <w:rFonts w:ascii="Bookman Old Style" w:hAnsi="Bookman Old Style"/>
          <w:szCs w:val="24"/>
        </w:rPr>
        <w:t xml:space="preserve"> una garantía del 80% de la </w:t>
      </w:r>
      <w:r w:rsidR="005B3E11">
        <w:rPr>
          <w:rFonts w:ascii="Bookman Old Style" w:hAnsi="Bookman Old Style"/>
          <w:szCs w:val="24"/>
        </w:rPr>
        <w:t xml:space="preserve">energía utilizable del sistema de baterías tras </w:t>
      </w:r>
      <w:r w:rsidR="00393035">
        <w:rPr>
          <w:rFonts w:ascii="Bookman Old Style" w:hAnsi="Bookman Old Style"/>
          <w:szCs w:val="24"/>
        </w:rPr>
        <w:t>5.475 ciclos</w:t>
      </w:r>
      <w:r w:rsidR="005B3E11">
        <w:rPr>
          <w:rFonts w:ascii="Bookman Old Style" w:hAnsi="Bookman Old Style"/>
          <w:szCs w:val="24"/>
        </w:rPr>
        <w:t>.</w:t>
      </w:r>
    </w:p>
    <w:p w14:paraId="577CB26D" w14:textId="77777777" w:rsidR="00F06B20" w:rsidRDefault="00F06B20" w:rsidP="008A18DA">
      <w:pPr>
        <w:pStyle w:val="Textodebloque"/>
        <w:ind w:left="284" w:right="6"/>
        <w:contextualSpacing/>
        <w:rPr>
          <w:rFonts w:ascii="Bookman Old Style" w:hAnsi="Bookman Old Style"/>
          <w:szCs w:val="24"/>
        </w:rPr>
      </w:pPr>
    </w:p>
    <w:p w14:paraId="553AE8DA" w14:textId="6BCF6AB3" w:rsidR="00DA1F39" w:rsidRDefault="00DA1F39" w:rsidP="008A18DA">
      <w:pPr>
        <w:pStyle w:val="Textodebloque"/>
        <w:ind w:left="284" w:right="6"/>
        <w:contextualSpacing/>
        <w:rPr>
          <w:rFonts w:ascii="Bookman Old Style" w:hAnsi="Bookman Old Style"/>
          <w:szCs w:val="24"/>
        </w:rPr>
      </w:pPr>
      <w:r>
        <w:rPr>
          <w:rFonts w:ascii="Bookman Old Style" w:hAnsi="Bookman Old Style"/>
          <w:szCs w:val="24"/>
        </w:rPr>
        <w:t xml:space="preserve">Haciendo el cálculo para </w:t>
      </w:r>
      <w:r w:rsidR="00D17F07">
        <w:rPr>
          <w:rFonts w:ascii="Bookman Old Style" w:hAnsi="Bookman Old Style"/>
          <w:szCs w:val="24"/>
        </w:rPr>
        <w:t xml:space="preserve">un uso </w:t>
      </w:r>
      <w:r w:rsidR="00340D60">
        <w:rPr>
          <w:rFonts w:ascii="Bookman Old Style" w:hAnsi="Bookman Old Style"/>
          <w:szCs w:val="24"/>
        </w:rPr>
        <w:t xml:space="preserve">del sistema de almacenamiento </w:t>
      </w:r>
      <w:r w:rsidR="00D17F07">
        <w:rPr>
          <w:rFonts w:ascii="Bookman Old Style" w:hAnsi="Bookman Old Style"/>
          <w:szCs w:val="24"/>
        </w:rPr>
        <w:t xml:space="preserve">de un ciclo </w:t>
      </w:r>
      <w:r w:rsidR="00340D60">
        <w:rPr>
          <w:rFonts w:ascii="Bookman Old Style" w:hAnsi="Bookman Old Style"/>
          <w:szCs w:val="24"/>
        </w:rPr>
        <w:t>al día</w:t>
      </w:r>
      <w:r w:rsidR="00C15EA7">
        <w:rPr>
          <w:rFonts w:ascii="Bookman Old Style" w:hAnsi="Bookman Old Style"/>
          <w:szCs w:val="24"/>
        </w:rPr>
        <w:t>,</w:t>
      </w:r>
      <w:r w:rsidR="00340D60">
        <w:rPr>
          <w:rFonts w:ascii="Bookman Old Style" w:hAnsi="Bookman Old Style"/>
          <w:szCs w:val="24"/>
        </w:rPr>
        <w:t xml:space="preserve"> se tiene que 5.475 ciclos equivalen a </w:t>
      </w:r>
      <w:r w:rsidR="00936F56">
        <w:rPr>
          <w:rFonts w:ascii="Bookman Old Style" w:hAnsi="Bookman Old Style"/>
          <w:szCs w:val="24"/>
        </w:rPr>
        <w:t>15 años.</w:t>
      </w:r>
      <w:r w:rsidR="006C5166">
        <w:rPr>
          <w:rFonts w:ascii="Bookman Old Style" w:hAnsi="Bookman Old Style"/>
          <w:szCs w:val="24"/>
        </w:rPr>
        <w:t xml:space="preserve"> Tomando este valor del 80% de energía utilizable para el año 15 y</w:t>
      </w:r>
      <w:r w:rsidR="00C15EA7">
        <w:rPr>
          <w:rFonts w:ascii="Bookman Old Style" w:hAnsi="Bookman Old Style"/>
          <w:szCs w:val="24"/>
        </w:rPr>
        <w:t>,</w:t>
      </w:r>
      <w:r w:rsidR="006C5166">
        <w:rPr>
          <w:rFonts w:ascii="Bookman Old Style" w:hAnsi="Bookman Old Style"/>
          <w:szCs w:val="24"/>
        </w:rPr>
        <w:t xml:space="preserve"> partiendo de 100% para el año 1, toda vez que la energía que se considera para el año uno es </w:t>
      </w:r>
      <w:r w:rsidR="006F57B4">
        <w:rPr>
          <w:rFonts w:ascii="Bookman Old Style" w:hAnsi="Bookman Old Style"/>
          <w:szCs w:val="24"/>
        </w:rPr>
        <w:t xml:space="preserve">la informada por GENSA, </w:t>
      </w:r>
      <w:r w:rsidR="006C5166">
        <w:rPr>
          <w:rFonts w:ascii="Bookman Old Style" w:hAnsi="Bookman Old Style"/>
          <w:szCs w:val="24"/>
        </w:rPr>
        <w:t xml:space="preserve">equivalente a </w:t>
      </w:r>
      <w:r w:rsidR="001F1A0C" w:rsidRPr="001F1A0C">
        <w:rPr>
          <w:rFonts w:ascii="Bookman Old Style" w:hAnsi="Bookman Old Style"/>
          <w:szCs w:val="24"/>
        </w:rPr>
        <w:t>8</w:t>
      </w:r>
      <w:r w:rsidR="00860701">
        <w:rPr>
          <w:rFonts w:ascii="Bookman Old Style" w:hAnsi="Bookman Old Style"/>
          <w:szCs w:val="24"/>
        </w:rPr>
        <w:t>.</w:t>
      </w:r>
      <w:r w:rsidR="001F1A0C" w:rsidRPr="001F1A0C">
        <w:rPr>
          <w:rFonts w:ascii="Bookman Old Style" w:hAnsi="Bookman Old Style"/>
          <w:szCs w:val="24"/>
        </w:rPr>
        <w:t>872</w:t>
      </w:r>
      <w:r w:rsidR="00860701">
        <w:rPr>
          <w:rFonts w:ascii="Bookman Old Style" w:hAnsi="Bookman Old Style"/>
          <w:szCs w:val="24"/>
        </w:rPr>
        <w:t>.</w:t>
      </w:r>
      <w:r w:rsidR="001F1A0C" w:rsidRPr="001F1A0C">
        <w:rPr>
          <w:rFonts w:ascii="Bookman Old Style" w:hAnsi="Bookman Old Style"/>
          <w:szCs w:val="24"/>
        </w:rPr>
        <w:t>331</w:t>
      </w:r>
      <w:r w:rsidR="00860701">
        <w:rPr>
          <w:rFonts w:ascii="Bookman Old Style" w:hAnsi="Bookman Old Style"/>
          <w:szCs w:val="24"/>
        </w:rPr>
        <w:t xml:space="preserve"> kWh</w:t>
      </w:r>
      <w:r w:rsidR="00464859">
        <w:rPr>
          <w:rFonts w:ascii="Bookman Old Style" w:hAnsi="Bookman Old Style"/>
          <w:szCs w:val="24"/>
        </w:rPr>
        <w:t xml:space="preserve">, </w:t>
      </w:r>
      <w:r w:rsidR="00057BD8">
        <w:rPr>
          <w:rFonts w:ascii="Bookman Old Style" w:hAnsi="Bookman Old Style"/>
          <w:szCs w:val="24"/>
        </w:rPr>
        <w:t xml:space="preserve">que resulta de </w:t>
      </w:r>
      <w:r w:rsidR="001841B7">
        <w:rPr>
          <w:rFonts w:ascii="Bookman Old Style" w:hAnsi="Bookman Old Style"/>
          <w:szCs w:val="24"/>
        </w:rPr>
        <w:t xml:space="preserve">multiplicar </w:t>
      </w:r>
      <w:r w:rsidR="00DA3F77">
        <w:rPr>
          <w:rFonts w:ascii="Bookman Old Style" w:hAnsi="Bookman Old Style"/>
          <w:szCs w:val="24"/>
        </w:rPr>
        <w:t xml:space="preserve">por 365 días </w:t>
      </w:r>
      <w:r w:rsidR="001841B7">
        <w:rPr>
          <w:rFonts w:ascii="Bookman Old Style" w:hAnsi="Bookman Old Style"/>
          <w:szCs w:val="24"/>
        </w:rPr>
        <w:t xml:space="preserve">la descarga </w:t>
      </w:r>
      <w:r w:rsidR="00DA4B78">
        <w:rPr>
          <w:rFonts w:ascii="Bookman Old Style" w:hAnsi="Bookman Old Style"/>
          <w:szCs w:val="24"/>
        </w:rPr>
        <w:t>total de un día de la tabla “</w:t>
      </w:r>
      <w:r w:rsidR="001841B7">
        <w:rPr>
          <w:rFonts w:ascii="Bookman Old Style" w:hAnsi="Bookman Old Style"/>
          <w:szCs w:val="24"/>
        </w:rPr>
        <w:t>promedio</w:t>
      </w:r>
      <w:r w:rsidR="00DA4B78">
        <w:rPr>
          <w:rFonts w:ascii="Bookman Old Style" w:hAnsi="Bookman Old Style"/>
          <w:szCs w:val="24"/>
        </w:rPr>
        <w:t>”</w:t>
      </w:r>
      <w:r w:rsidR="005C2688">
        <w:rPr>
          <w:rFonts w:ascii="Bookman Old Style" w:hAnsi="Bookman Old Style"/>
          <w:szCs w:val="24"/>
        </w:rPr>
        <w:t xml:space="preserve">, según </w:t>
      </w:r>
      <w:r w:rsidR="005C2688" w:rsidRPr="00BC52A7">
        <w:rPr>
          <w:rFonts w:ascii="Bookman Old Style" w:hAnsi="Bookman Old Style"/>
          <w:szCs w:val="24"/>
        </w:rPr>
        <w:t>archivo Excel “8. Perfil de carga y descarga”</w:t>
      </w:r>
      <w:r w:rsidR="005128AE">
        <w:rPr>
          <w:rFonts w:ascii="Bookman Old Style" w:hAnsi="Bookman Old Style"/>
          <w:szCs w:val="24"/>
        </w:rPr>
        <w:t>, se calcula una tasa de decaimie</w:t>
      </w:r>
      <w:r w:rsidR="00F66398">
        <w:rPr>
          <w:rFonts w:ascii="Bookman Old Style" w:hAnsi="Bookman Old Style"/>
          <w:szCs w:val="24"/>
        </w:rPr>
        <w:t>n</w:t>
      </w:r>
      <w:r w:rsidR="005128AE">
        <w:rPr>
          <w:rFonts w:ascii="Bookman Old Style" w:hAnsi="Bookman Old Style"/>
          <w:szCs w:val="24"/>
        </w:rPr>
        <w:t xml:space="preserve">to </w:t>
      </w:r>
      <w:r w:rsidR="00F66398">
        <w:rPr>
          <w:rFonts w:ascii="Bookman Old Style" w:hAnsi="Bookman Old Style"/>
          <w:szCs w:val="24"/>
        </w:rPr>
        <w:t xml:space="preserve">anual </w:t>
      </w:r>
      <w:r w:rsidR="000039B5">
        <w:rPr>
          <w:rFonts w:ascii="Bookman Old Style" w:hAnsi="Bookman Old Style"/>
          <w:szCs w:val="24"/>
        </w:rPr>
        <w:t xml:space="preserve">constante </w:t>
      </w:r>
      <w:r w:rsidR="00137C71">
        <w:rPr>
          <w:rFonts w:ascii="Bookman Old Style" w:hAnsi="Bookman Old Style"/>
          <w:szCs w:val="24"/>
        </w:rPr>
        <w:t xml:space="preserve">para la energía utilizable del </w:t>
      </w:r>
      <w:r w:rsidR="00C60999">
        <w:rPr>
          <w:rFonts w:ascii="Bookman Old Style" w:hAnsi="Bookman Old Style"/>
          <w:szCs w:val="24"/>
        </w:rPr>
        <w:t xml:space="preserve">sistema de almacenamiento </w:t>
      </w:r>
      <w:r w:rsidR="009F27A8">
        <w:rPr>
          <w:rFonts w:ascii="Bookman Old Style" w:hAnsi="Bookman Old Style"/>
          <w:szCs w:val="24"/>
        </w:rPr>
        <w:t xml:space="preserve">que resulta igual al </w:t>
      </w:r>
      <w:r w:rsidR="000E266B">
        <w:rPr>
          <w:rFonts w:ascii="Bookman Old Style" w:hAnsi="Bookman Old Style"/>
          <w:szCs w:val="24"/>
        </w:rPr>
        <w:t>1</w:t>
      </w:r>
      <w:r w:rsidR="004E6C6C">
        <w:rPr>
          <w:rFonts w:ascii="Bookman Old Style" w:hAnsi="Bookman Old Style"/>
          <w:szCs w:val="24"/>
        </w:rPr>
        <w:t>,</w:t>
      </w:r>
      <w:r w:rsidR="000E266B">
        <w:rPr>
          <w:rFonts w:ascii="Bookman Old Style" w:hAnsi="Bookman Old Style"/>
          <w:szCs w:val="24"/>
        </w:rPr>
        <w:t>5%</w:t>
      </w:r>
      <w:r w:rsidR="00C60999">
        <w:rPr>
          <w:rFonts w:ascii="Bookman Old Style" w:hAnsi="Bookman Old Style"/>
          <w:szCs w:val="24"/>
        </w:rPr>
        <w:t xml:space="preserve"> anual</w:t>
      </w:r>
      <w:r w:rsidR="004E6C6C">
        <w:rPr>
          <w:rFonts w:ascii="Bookman Old Style" w:hAnsi="Bookman Old Style"/>
          <w:szCs w:val="24"/>
        </w:rPr>
        <w:t>.</w:t>
      </w:r>
    </w:p>
    <w:p w14:paraId="32BEBE7C" w14:textId="5A9E7123" w:rsidR="00DD5E79" w:rsidRDefault="00DD5E79" w:rsidP="00BC52A7">
      <w:pPr>
        <w:pStyle w:val="Textodebloque"/>
        <w:ind w:left="284" w:right="6"/>
        <w:contextualSpacing/>
        <w:rPr>
          <w:rFonts w:ascii="Bookman Old Style" w:hAnsi="Bookman Old Style"/>
          <w:szCs w:val="24"/>
          <w:lang w:val="es-CO"/>
        </w:rPr>
      </w:pPr>
    </w:p>
    <w:p w14:paraId="7A2F8F06" w14:textId="0F3D583B" w:rsidR="00B64CDD" w:rsidRDefault="00057EF3" w:rsidP="00B64CDD">
      <w:pPr>
        <w:pStyle w:val="Textodebloque"/>
        <w:ind w:left="284" w:right="6"/>
        <w:contextualSpacing/>
        <w:rPr>
          <w:rFonts w:ascii="Bookman Old Style" w:hAnsi="Bookman Old Style"/>
          <w:szCs w:val="24"/>
        </w:rPr>
      </w:pPr>
      <w:r>
        <w:rPr>
          <w:rFonts w:ascii="Bookman Old Style" w:hAnsi="Bookman Old Style"/>
          <w:szCs w:val="24"/>
        </w:rPr>
        <w:t>De lo anterior</w:t>
      </w:r>
      <w:r w:rsidR="00A149D1">
        <w:rPr>
          <w:rFonts w:ascii="Bookman Old Style" w:hAnsi="Bookman Old Style"/>
          <w:szCs w:val="24"/>
        </w:rPr>
        <w:t>, se tiene que</w:t>
      </w:r>
      <w:r w:rsidR="00C15EA7">
        <w:rPr>
          <w:rFonts w:ascii="Bookman Old Style" w:hAnsi="Bookman Old Style"/>
          <w:szCs w:val="24"/>
        </w:rPr>
        <w:t>,</w:t>
      </w:r>
      <w:r w:rsidR="00A149D1">
        <w:rPr>
          <w:rFonts w:ascii="Bookman Old Style" w:hAnsi="Bookman Old Style"/>
          <w:szCs w:val="24"/>
        </w:rPr>
        <w:t xml:space="preserve"> p</w:t>
      </w:r>
      <w:r w:rsidR="00B64CDD">
        <w:rPr>
          <w:rFonts w:ascii="Bookman Old Style" w:hAnsi="Bookman Old Style"/>
          <w:szCs w:val="24"/>
        </w:rPr>
        <w:t xml:space="preserve">ara efectos de determinar el cargo de generación, la energía que entregaría en cada año el sistema de acumulación se estima a partir de la información aportada por GENSA, de un lado del perfil de carga y descarga, </w:t>
      </w:r>
      <w:r w:rsidR="00B64CDD" w:rsidRPr="00BC52A7">
        <w:rPr>
          <w:rFonts w:ascii="Bookman Old Style" w:hAnsi="Bookman Old Style"/>
          <w:szCs w:val="24"/>
        </w:rPr>
        <w:t>archivo Excel “8. Perfil de carga y descarga”</w:t>
      </w:r>
      <w:r w:rsidR="00B64CDD">
        <w:rPr>
          <w:rFonts w:ascii="Bookman Old Style" w:hAnsi="Bookman Old Style"/>
          <w:szCs w:val="24"/>
        </w:rPr>
        <w:t xml:space="preserve">, de donde se tiene que para el año uno el sistema de acumulación entregaría </w:t>
      </w:r>
      <w:r w:rsidR="00B64CDD" w:rsidRPr="001F1A0C">
        <w:rPr>
          <w:rFonts w:ascii="Bookman Old Style" w:hAnsi="Bookman Old Style"/>
          <w:szCs w:val="24"/>
        </w:rPr>
        <w:t>8</w:t>
      </w:r>
      <w:r w:rsidR="00B64CDD">
        <w:rPr>
          <w:rFonts w:ascii="Bookman Old Style" w:hAnsi="Bookman Old Style"/>
          <w:szCs w:val="24"/>
        </w:rPr>
        <w:t>.</w:t>
      </w:r>
      <w:r w:rsidR="00B64CDD" w:rsidRPr="001F1A0C">
        <w:rPr>
          <w:rFonts w:ascii="Bookman Old Style" w:hAnsi="Bookman Old Style"/>
          <w:szCs w:val="24"/>
        </w:rPr>
        <w:t>872</w:t>
      </w:r>
      <w:r w:rsidR="00B64CDD">
        <w:rPr>
          <w:rFonts w:ascii="Bookman Old Style" w:hAnsi="Bookman Old Style"/>
          <w:szCs w:val="24"/>
        </w:rPr>
        <w:t>.</w:t>
      </w:r>
      <w:r w:rsidR="00B64CDD" w:rsidRPr="001F1A0C">
        <w:rPr>
          <w:rFonts w:ascii="Bookman Old Style" w:hAnsi="Bookman Old Style"/>
          <w:szCs w:val="24"/>
        </w:rPr>
        <w:t>331</w:t>
      </w:r>
      <w:r w:rsidR="00B64CDD">
        <w:rPr>
          <w:rFonts w:ascii="Bookman Old Style" w:hAnsi="Bookman Old Style"/>
          <w:szCs w:val="24"/>
        </w:rPr>
        <w:t xml:space="preserve"> kWh y, de otro, de la información que reposa en el documento </w:t>
      </w:r>
      <w:r w:rsidR="00B64CDD" w:rsidRPr="00BC52A7">
        <w:rPr>
          <w:rFonts w:ascii="Bookman Old Style" w:hAnsi="Bookman Old Style"/>
          <w:szCs w:val="24"/>
        </w:rPr>
        <w:t>“SDI - E22 - BESS Non-</w:t>
      </w:r>
      <w:proofErr w:type="spellStart"/>
      <w:r w:rsidR="00B64CDD" w:rsidRPr="00BC52A7">
        <w:rPr>
          <w:rFonts w:ascii="Bookman Old Style" w:hAnsi="Bookman Old Style"/>
          <w:szCs w:val="24"/>
        </w:rPr>
        <w:t>Binding</w:t>
      </w:r>
      <w:proofErr w:type="spellEnd"/>
      <w:r w:rsidR="00B64CDD" w:rsidRPr="00BC52A7">
        <w:rPr>
          <w:rFonts w:ascii="Bookman Old Style" w:hAnsi="Bookman Old Style"/>
          <w:szCs w:val="24"/>
        </w:rPr>
        <w:t xml:space="preserve"> </w:t>
      </w:r>
      <w:proofErr w:type="spellStart"/>
      <w:r w:rsidR="00B64CDD" w:rsidRPr="00BC52A7">
        <w:rPr>
          <w:rFonts w:ascii="Bookman Old Style" w:hAnsi="Bookman Old Style"/>
          <w:szCs w:val="24"/>
        </w:rPr>
        <w:t>Proposal</w:t>
      </w:r>
      <w:proofErr w:type="spellEnd"/>
      <w:r w:rsidR="00B64CDD" w:rsidRPr="00BC52A7">
        <w:rPr>
          <w:rFonts w:ascii="Bookman Old Style" w:hAnsi="Bookman Old Style"/>
          <w:szCs w:val="24"/>
        </w:rPr>
        <w:t xml:space="preserve"> </w:t>
      </w:r>
      <w:proofErr w:type="spellStart"/>
      <w:r w:rsidR="00B64CDD" w:rsidRPr="00BC52A7">
        <w:rPr>
          <w:rFonts w:ascii="Bookman Old Style" w:hAnsi="Bookman Old Style"/>
          <w:szCs w:val="24"/>
        </w:rPr>
        <w:t>Inirida</w:t>
      </w:r>
      <w:proofErr w:type="spellEnd"/>
      <w:r w:rsidR="00B64CDD" w:rsidRPr="00BC52A7">
        <w:rPr>
          <w:rFonts w:ascii="Bookman Old Style" w:hAnsi="Bookman Old Style"/>
          <w:szCs w:val="24"/>
        </w:rPr>
        <w:t xml:space="preserve"> - 20210121 - rev2.pdf, </w:t>
      </w:r>
      <w:r w:rsidR="00B64CDD">
        <w:rPr>
          <w:rFonts w:ascii="Bookman Old Style" w:hAnsi="Bookman Old Style"/>
          <w:szCs w:val="24"/>
        </w:rPr>
        <w:t xml:space="preserve">numeral </w:t>
      </w:r>
      <w:r w:rsidR="00B64CDD" w:rsidRPr="00453107">
        <w:rPr>
          <w:rFonts w:ascii="Bookman Old Style" w:hAnsi="Bookman Old Style"/>
          <w:szCs w:val="24"/>
        </w:rPr>
        <w:t>3.3. WARRANTY</w:t>
      </w:r>
      <w:r w:rsidR="00B64CDD">
        <w:rPr>
          <w:rFonts w:ascii="Bookman Old Style" w:hAnsi="Bookman Old Style"/>
          <w:szCs w:val="24"/>
        </w:rPr>
        <w:t xml:space="preserve">, del que se tiene que la energía utilizable, después de 5.475 ciclos, sería del 80% aproximadamente. Al revisar la energía considerada por la Comisión en el año 15, que en el caso de lo presentado por GENSA equivaldría a los 5.475 ciclos, se tiene una energía de </w:t>
      </w:r>
      <w:r w:rsidR="00B64CDD" w:rsidRPr="00977CE3">
        <w:rPr>
          <w:rFonts w:ascii="Bookman Old Style" w:hAnsi="Bookman Old Style"/>
          <w:szCs w:val="24"/>
        </w:rPr>
        <w:t>7</w:t>
      </w:r>
      <w:r w:rsidR="00B64CDD">
        <w:rPr>
          <w:rFonts w:ascii="Bookman Old Style" w:hAnsi="Bookman Old Style"/>
          <w:szCs w:val="24"/>
        </w:rPr>
        <w:t>.</w:t>
      </w:r>
      <w:r w:rsidR="00B64CDD" w:rsidRPr="00977CE3">
        <w:rPr>
          <w:rFonts w:ascii="Bookman Old Style" w:hAnsi="Bookman Old Style"/>
          <w:szCs w:val="24"/>
        </w:rPr>
        <w:t>180</w:t>
      </w:r>
      <w:r w:rsidR="00B64CDD">
        <w:rPr>
          <w:rFonts w:ascii="Bookman Old Style" w:hAnsi="Bookman Old Style"/>
          <w:szCs w:val="24"/>
        </w:rPr>
        <w:t>.</w:t>
      </w:r>
      <w:r w:rsidR="00B64CDD" w:rsidRPr="00977CE3">
        <w:rPr>
          <w:rFonts w:ascii="Bookman Old Style" w:hAnsi="Bookman Old Style"/>
          <w:szCs w:val="24"/>
        </w:rPr>
        <w:t>339</w:t>
      </w:r>
      <w:r w:rsidR="00B64CDD">
        <w:rPr>
          <w:rFonts w:ascii="Bookman Old Style" w:hAnsi="Bookman Old Style"/>
          <w:szCs w:val="24"/>
        </w:rPr>
        <w:t xml:space="preserve"> kWh correspondiente al 80.9% de la energía entregada el primer año, corroborando la consistencia del cálculo adelantado por esta Comisión con la información aportada por el recurrente.</w:t>
      </w:r>
    </w:p>
    <w:p w14:paraId="00488C00" w14:textId="77777777" w:rsidR="00B64CDD" w:rsidRPr="00DD5E79" w:rsidRDefault="00B64CDD" w:rsidP="00BC52A7">
      <w:pPr>
        <w:pStyle w:val="Textodebloque"/>
        <w:ind w:left="284" w:right="6"/>
        <w:contextualSpacing/>
        <w:rPr>
          <w:rFonts w:ascii="Bookman Old Style" w:hAnsi="Bookman Old Style"/>
          <w:szCs w:val="24"/>
          <w:lang w:val="es-CO"/>
        </w:rPr>
      </w:pPr>
    </w:p>
    <w:p w14:paraId="2854A85E" w14:textId="3F6E8502" w:rsidR="00BC435D" w:rsidRDefault="003656FF" w:rsidP="00BC435D">
      <w:pPr>
        <w:pStyle w:val="Textodebloque"/>
        <w:ind w:left="284" w:right="6"/>
        <w:contextualSpacing/>
        <w:rPr>
          <w:rFonts w:ascii="Bookman Old Style" w:hAnsi="Bookman Old Style"/>
          <w:szCs w:val="24"/>
        </w:rPr>
      </w:pPr>
      <w:r>
        <w:rPr>
          <w:rFonts w:ascii="Bookman Old Style" w:hAnsi="Bookman Old Style"/>
          <w:szCs w:val="24"/>
        </w:rPr>
        <w:t xml:space="preserve">Sin perjuicio de lo anterior, en </w:t>
      </w:r>
      <w:r w:rsidR="00BC435D">
        <w:rPr>
          <w:rFonts w:ascii="Bookman Old Style" w:hAnsi="Bookman Old Style"/>
          <w:szCs w:val="24"/>
        </w:rPr>
        <w:t xml:space="preserve">la Memoria de Cálculo anexa a la Resolución CREG 501 041 de 2022, objeto del presente recurso de reposición, </w:t>
      </w:r>
      <w:r w:rsidR="00442E60">
        <w:rPr>
          <w:rFonts w:ascii="Bookman Old Style" w:hAnsi="Bookman Old Style"/>
          <w:szCs w:val="24"/>
        </w:rPr>
        <w:t xml:space="preserve">la </w:t>
      </w:r>
      <w:r w:rsidR="00BC435D">
        <w:rPr>
          <w:rFonts w:ascii="Bookman Old Style" w:hAnsi="Bookman Old Style"/>
          <w:szCs w:val="24"/>
        </w:rPr>
        <w:t>variable de entrega de energía fue denominada como “Eficiencia batería”</w:t>
      </w:r>
      <w:r w:rsidR="00C15EA7">
        <w:rPr>
          <w:rFonts w:ascii="Bookman Old Style" w:hAnsi="Bookman Old Style"/>
          <w:szCs w:val="24"/>
        </w:rPr>
        <w:t>,</w:t>
      </w:r>
      <w:r w:rsidR="00BC435D">
        <w:rPr>
          <w:rFonts w:ascii="Bookman Old Style" w:hAnsi="Bookman Old Style"/>
          <w:szCs w:val="24"/>
        </w:rPr>
        <w:t xml:space="preserve"> sin que ello </w:t>
      </w:r>
      <w:r w:rsidR="00983F5C">
        <w:rPr>
          <w:rFonts w:ascii="Bookman Old Style" w:hAnsi="Bookman Old Style"/>
          <w:szCs w:val="24"/>
        </w:rPr>
        <w:t xml:space="preserve">signifique que mediante esta variable se estaba considerando propiamente la degradación o </w:t>
      </w:r>
      <w:r w:rsidR="00BC435D">
        <w:rPr>
          <w:rFonts w:ascii="Bookman Old Style" w:hAnsi="Bookman Old Style"/>
          <w:szCs w:val="24"/>
        </w:rPr>
        <w:t xml:space="preserve">la eficiencia </w:t>
      </w:r>
      <w:r w:rsidR="00983F5C">
        <w:rPr>
          <w:rFonts w:ascii="Bookman Old Style" w:hAnsi="Bookman Old Style"/>
          <w:szCs w:val="24"/>
        </w:rPr>
        <w:t>del sistema de acumulación</w:t>
      </w:r>
      <w:r w:rsidR="00DE1880">
        <w:rPr>
          <w:rFonts w:ascii="Bookman Old Style" w:hAnsi="Bookman Old Style"/>
          <w:szCs w:val="24"/>
        </w:rPr>
        <w:t xml:space="preserve"> como</w:t>
      </w:r>
      <w:r w:rsidR="00983F5C">
        <w:rPr>
          <w:rFonts w:ascii="Bookman Old Style" w:hAnsi="Bookman Old Style"/>
          <w:szCs w:val="24"/>
        </w:rPr>
        <w:t xml:space="preserve"> </w:t>
      </w:r>
      <w:r w:rsidR="00BC435D">
        <w:rPr>
          <w:rFonts w:ascii="Bookman Old Style" w:hAnsi="Bookman Old Style"/>
          <w:szCs w:val="24"/>
        </w:rPr>
        <w:t xml:space="preserve">tal. </w:t>
      </w:r>
      <w:r w:rsidR="00514E0C">
        <w:rPr>
          <w:rFonts w:ascii="Bookman Old Style" w:hAnsi="Bookman Old Style"/>
          <w:szCs w:val="24"/>
        </w:rPr>
        <w:t xml:space="preserve">El nombre de este campo se </w:t>
      </w:r>
      <w:r w:rsidR="00BC435D">
        <w:rPr>
          <w:rFonts w:ascii="Bookman Old Style" w:hAnsi="Bookman Old Style"/>
          <w:szCs w:val="24"/>
        </w:rPr>
        <w:t>ajusta en la memoria de cálculo anexa al presente recurso, denominando la variable calculada como “Entrega de Energía”.</w:t>
      </w:r>
    </w:p>
    <w:p w14:paraId="4F0A041E" w14:textId="77777777" w:rsidR="00E86C4E" w:rsidRPr="003D1C23" w:rsidRDefault="00E86C4E" w:rsidP="00BC52A7">
      <w:pPr>
        <w:pStyle w:val="Textodebloque"/>
        <w:ind w:left="284" w:right="6"/>
        <w:contextualSpacing/>
        <w:rPr>
          <w:rFonts w:ascii="Bookman Old Style" w:hAnsi="Bookman Old Style"/>
          <w:szCs w:val="24"/>
        </w:rPr>
      </w:pPr>
    </w:p>
    <w:p w14:paraId="41D4173C" w14:textId="7EA4843E" w:rsid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Según lo anterior, esta Comisión considera que el recurso de reposición no procede en lo que corresponde a la degradación de las baterías.</w:t>
      </w:r>
    </w:p>
    <w:p w14:paraId="1ED51A3D" w14:textId="77777777" w:rsidR="00275208" w:rsidRPr="00BC52A7" w:rsidRDefault="00275208" w:rsidP="00BC52A7">
      <w:pPr>
        <w:pStyle w:val="Textodebloque"/>
        <w:ind w:left="284" w:right="6"/>
        <w:contextualSpacing/>
        <w:rPr>
          <w:rFonts w:ascii="Bookman Old Style" w:hAnsi="Bookman Old Style"/>
          <w:szCs w:val="24"/>
        </w:rPr>
      </w:pPr>
    </w:p>
    <w:p w14:paraId="1B885F85" w14:textId="20614410" w:rsidR="00BC52A7" w:rsidRPr="00753A32" w:rsidRDefault="00BC52A7" w:rsidP="00BC52A7">
      <w:pPr>
        <w:pStyle w:val="Textodebloque"/>
        <w:ind w:left="284" w:right="6"/>
        <w:contextualSpacing/>
        <w:rPr>
          <w:rFonts w:ascii="Bookman Old Style" w:hAnsi="Bookman Old Style"/>
          <w:b/>
          <w:szCs w:val="24"/>
        </w:rPr>
      </w:pPr>
      <w:r w:rsidRPr="00753A32">
        <w:rPr>
          <w:rFonts w:ascii="Bookman Old Style" w:hAnsi="Bookman Old Style"/>
          <w:b/>
          <w:szCs w:val="24"/>
        </w:rPr>
        <w:t>1.5. PRECIO DE LOS INSUMOS</w:t>
      </w:r>
    </w:p>
    <w:p w14:paraId="7659AC27" w14:textId="77777777" w:rsidR="00A52503" w:rsidRDefault="00A52503" w:rsidP="00BC52A7">
      <w:pPr>
        <w:pStyle w:val="Textodebloque"/>
        <w:ind w:left="284" w:right="6"/>
        <w:contextualSpacing/>
        <w:rPr>
          <w:rFonts w:ascii="Bookman Old Style" w:hAnsi="Bookman Old Style"/>
          <w:szCs w:val="24"/>
        </w:rPr>
      </w:pPr>
    </w:p>
    <w:p w14:paraId="7FA7C8CC" w14:textId="1E747FDB" w:rsidR="00BC52A7" w:rsidRP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 xml:space="preserve">En lo que respecta a este punto, el recurso de reposición de GENSA expresa: </w:t>
      </w:r>
    </w:p>
    <w:p w14:paraId="62CF3D62" w14:textId="77777777" w:rsidR="00BC52A7" w:rsidRPr="00BC52A7" w:rsidRDefault="00BC52A7" w:rsidP="00BC52A7">
      <w:pPr>
        <w:pStyle w:val="Textodebloque"/>
        <w:ind w:left="284" w:right="6"/>
        <w:contextualSpacing/>
        <w:rPr>
          <w:rFonts w:ascii="Bookman Old Style" w:hAnsi="Bookman Old Style"/>
          <w:szCs w:val="24"/>
        </w:rPr>
      </w:pPr>
    </w:p>
    <w:p w14:paraId="4372BB6F" w14:textId="77777777" w:rsidR="00BC52A7" w:rsidRPr="00753A32" w:rsidRDefault="00BC52A7" w:rsidP="00CA6EF4">
      <w:pPr>
        <w:pStyle w:val="Textodebloque"/>
        <w:ind w:right="6"/>
        <w:contextualSpacing/>
        <w:rPr>
          <w:rFonts w:ascii="Bookman Old Style" w:hAnsi="Bookman Old Style"/>
          <w:i/>
          <w:szCs w:val="24"/>
        </w:rPr>
      </w:pPr>
      <w:r w:rsidRPr="00753A32">
        <w:rPr>
          <w:rFonts w:ascii="Bookman Old Style" w:hAnsi="Bookman Old Style"/>
          <w:i/>
          <w:szCs w:val="24"/>
        </w:rPr>
        <w:t xml:space="preserve">“requerimos que sea reajustado en el cálculo del componente de inversión, los nuevos precios de los componentes de mayor peso en el proyecto, esto es, baterías y paneles solares. </w:t>
      </w:r>
    </w:p>
    <w:p w14:paraId="238D5B35" w14:textId="77777777" w:rsidR="00BC52A7" w:rsidRPr="00753A32" w:rsidRDefault="00BC52A7" w:rsidP="00CA6EF4">
      <w:pPr>
        <w:pStyle w:val="Textodebloque"/>
        <w:ind w:right="6"/>
        <w:contextualSpacing/>
        <w:rPr>
          <w:rFonts w:ascii="Bookman Old Style" w:hAnsi="Bookman Old Style"/>
          <w:i/>
          <w:szCs w:val="24"/>
        </w:rPr>
      </w:pPr>
    </w:p>
    <w:p w14:paraId="00F0B77B" w14:textId="77777777" w:rsidR="00BC52A7" w:rsidRPr="00753A32" w:rsidRDefault="00BC52A7" w:rsidP="00CA6EF4">
      <w:pPr>
        <w:pStyle w:val="Textodebloque"/>
        <w:ind w:right="6"/>
        <w:contextualSpacing/>
        <w:rPr>
          <w:rFonts w:ascii="Bookman Old Style" w:hAnsi="Bookman Old Style"/>
          <w:i/>
          <w:szCs w:val="24"/>
        </w:rPr>
      </w:pPr>
      <w:r w:rsidRPr="00753A32">
        <w:rPr>
          <w:rFonts w:ascii="Bookman Old Style" w:hAnsi="Bookman Old Style"/>
          <w:i/>
          <w:szCs w:val="24"/>
        </w:rPr>
        <w:t xml:space="preserve">Tenemos cotizaciones actualizadas de los proveedores que cotizaron equipos para el proyecto hace más de un año, encontrando que se han presentado incrementos en costos en el siguiente orden: </w:t>
      </w:r>
    </w:p>
    <w:p w14:paraId="2DBB9824" w14:textId="77777777" w:rsidR="00BC52A7" w:rsidRPr="00753A32" w:rsidRDefault="00BC52A7" w:rsidP="00CA6EF4">
      <w:pPr>
        <w:pStyle w:val="Textodebloque"/>
        <w:ind w:right="6"/>
        <w:contextualSpacing/>
        <w:rPr>
          <w:rFonts w:ascii="Bookman Old Style" w:hAnsi="Bookman Old Style"/>
          <w:i/>
          <w:szCs w:val="24"/>
        </w:rPr>
      </w:pPr>
    </w:p>
    <w:p w14:paraId="10C8683C" w14:textId="77777777" w:rsidR="00BC52A7" w:rsidRPr="00753A32" w:rsidRDefault="00BC52A7" w:rsidP="00CA6EF4">
      <w:pPr>
        <w:pStyle w:val="Textodebloque"/>
        <w:ind w:right="6"/>
        <w:contextualSpacing/>
        <w:rPr>
          <w:rFonts w:ascii="Bookman Old Style" w:hAnsi="Bookman Old Style"/>
          <w:i/>
          <w:szCs w:val="24"/>
        </w:rPr>
      </w:pPr>
      <w:r w:rsidRPr="00753A32">
        <w:rPr>
          <w:rFonts w:ascii="Bookman Old Style" w:hAnsi="Bookman Old Style"/>
          <w:i/>
          <w:szCs w:val="24"/>
        </w:rPr>
        <w:t xml:space="preserve">Baterías +18.4% </w:t>
      </w:r>
    </w:p>
    <w:p w14:paraId="73538BE4" w14:textId="77777777" w:rsidR="00BC52A7" w:rsidRPr="00753A32" w:rsidRDefault="00BC52A7" w:rsidP="00CA6EF4">
      <w:pPr>
        <w:pStyle w:val="Textodebloque"/>
        <w:ind w:right="6"/>
        <w:contextualSpacing/>
        <w:rPr>
          <w:rFonts w:ascii="Bookman Old Style" w:hAnsi="Bookman Old Style"/>
          <w:i/>
          <w:szCs w:val="24"/>
        </w:rPr>
      </w:pPr>
      <w:r w:rsidRPr="00753A32">
        <w:rPr>
          <w:rFonts w:ascii="Bookman Old Style" w:hAnsi="Bookman Old Style"/>
          <w:i/>
          <w:szCs w:val="24"/>
        </w:rPr>
        <w:t xml:space="preserve">Paneles + 16.6%” </w:t>
      </w:r>
    </w:p>
    <w:p w14:paraId="672A93F6" w14:textId="77777777" w:rsidR="00BC52A7" w:rsidRPr="00BC52A7" w:rsidRDefault="00BC52A7" w:rsidP="00CA6EF4">
      <w:pPr>
        <w:pStyle w:val="Textodebloque"/>
        <w:ind w:right="6"/>
        <w:contextualSpacing/>
        <w:rPr>
          <w:rFonts w:ascii="Bookman Old Style" w:hAnsi="Bookman Old Style"/>
          <w:szCs w:val="24"/>
        </w:rPr>
      </w:pPr>
    </w:p>
    <w:p w14:paraId="2D67D1B7" w14:textId="17FF97D5" w:rsidR="007812A7" w:rsidRPr="007812A7" w:rsidRDefault="001044A2" w:rsidP="006706F8">
      <w:pPr>
        <w:pStyle w:val="Textodebloque"/>
        <w:ind w:left="284" w:right="6"/>
        <w:contextualSpacing/>
        <w:rPr>
          <w:rFonts w:ascii="Bookman Old Style" w:hAnsi="Bookman Old Style"/>
          <w:szCs w:val="24"/>
        </w:rPr>
      </w:pPr>
      <w:r>
        <w:rPr>
          <w:rFonts w:ascii="Bookman Old Style" w:hAnsi="Bookman Old Style"/>
          <w:szCs w:val="24"/>
        </w:rPr>
        <w:t>Analizados</w:t>
      </w:r>
      <w:r w:rsidR="00BC52A7" w:rsidRPr="00BC52A7">
        <w:rPr>
          <w:rFonts w:ascii="Bookman Old Style" w:hAnsi="Bookman Old Style"/>
          <w:szCs w:val="24"/>
        </w:rPr>
        <w:t xml:space="preserve"> los </w:t>
      </w:r>
      <w:r>
        <w:rPr>
          <w:rFonts w:ascii="Bookman Old Style" w:hAnsi="Bookman Old Style"/>
          <w:szCs w:val="24"/>
        </w:rPr>
        <w:t xml:space="preserve">cálculos </w:t>
      </w:r>
      <w:r w:rsidR="00E73529">
        <w:rPr>
          <w:rFonts w:ascii="Bookman Old Style" w:hAnsi="Bookman Old Style"/>
          <w:szCs w:val="24"/>
        </w:rPr>
        <w:t>que soportaron</w:t>
      </w:r>
      <w:r w:rsidR="00BC52A7" w:rsidRPr="00BC52A7">
        <w:rPr>
          <w:rFonts w:ascii="Bookman Old Style" w:hAnsi="Bookman Old Style"/>
          <w:szCs w:val="24"/>
        </w:rPr>
        <w:t xml:space="preserve"> los </w:t>
      </w:r>
      <w:r>
        <w:rPr>
          <w:rFonts w:ascii="Bookman Old Style" w:hAnsi="Bookman Old Style"/>
          <w:szCs w:val="24"/>
        </w:rPr>
        <w:t>cargo</w:t>
      </w:r>
      <w:r w:rsidR="00E73529">
        <w:rPr>
          <w:rFonts w:ascii="Bookman Old Style" w:hAnsi="Bookman Old Style"/>
          <w:szCs w:val="24"/>
        </w:rPr>
        <w:t>s</w:t>
      </w:r>
      <w:r>
        <w:rPr>
          <w:rFonts w:ascii="Bookman Old Style" w:hAnsi="Bookman Old Style"/>
          <w:szCs w:val="24"/>
        </w:rPr>
        <w:t xml:space="preserve"> de generación</w:t>
      </w:r>
      <w:r w:rsidR="00E73529">
        <w:rPr>
          <w:rFonts w:ascii="Bookman Old Style" w:hAnsi="Bookman Old Style"/>
          <w:szCs w:val="24"/>
        </w:rPr>
        <w:t xml:space="preserve"> solicitados por GENSA,</w:t>
      </w:r>
      <w:r w:rsidR="00BC52A7" w:rsidRPr="00BC52A7">
        <w:rPr>
          <w:rFonts w:ascii="Bookman Old Style" w:hAnsi="Bookman Old Style"/>
          <w:szCs w:val="24"/>
        </w:rPr>
        <w:t xml:space="preserve"> esta Comisión </w:t>
      </w:r>
      <w:r w:rsidR="008837F4">
        <w:rPr>
          <w:rFonts w:ascii="Bookman Old Style" w:hAnsi="Bookman Old Style"/>
          <w:szCs w:val="24"/>
        </w:rPr>
        <w:t>identifica que</w:t>
      </w:r>
      <w:r w:rsidR="0034361D">
        <w:rPr>
          <w:rFonts w:ascii="Bookman Old Style" w:hAnsi="Bookman Old Style"/>
          <w:szCs w:val="24"/>
        </w:rPr>
        <w:t xml:space="preserve"> en línea con lo que menciona el recurrente</w:t>
      </w:r>
      <w:r w:rsidR="005457EC">
        <w:rPr>
          <w:rFonts w:ascii="Bookman Old Style" w:hAnsi="Bookman Old Style"/>
          <w:szCs w:val="24"/>
        </w:rPr>
        <w:t xml:space="preserve"> </w:t>
      </w:r>
      <w:r w:rsidR="005457EC" w:rsidRPr="00AA3165">
        <w:rPr>
          <w:rFonts w:ascii="Bookman Old Style" w:hAnsi="Bookman Old Style"/>
          <w:i/>
          <w:iCs/>
          <w:szCs w:val="24"/>
        </w:rPr>
        <w:t>“</w:t>
      </w:r>
      <w:r w:rsidR="00107C3F" w:rsidRPr="00AA3165">
        <w:rPr>
          <w:rFonts w:ascii="Bookman Old Style" w:hAnsi="Bookman Old Style"/>
          <w:i/>
          <w:iCs/>
          <w:szCs w:val="24"/>
        </w:rPr>
        <w:t>proveedores que cotizaron equipos para el proyecto hace más de un año</w:t>
      </w:r>
      <w:r w:rsidR="00AA3165" w:rsidRPr="00AA3165">
        <w:rPr>
          <w:rFonts w:ascii="Bookman Old Style" w:hAnsi="Bookman Old Style"/>
          <w:i/>
          <w:iCs/>
          <w:szCs w:val="24"/>
        </w:rPr>
        <w:t>”</w:t>
      </w:r>
      <w:r w:rsidR="00AA3165">
        <w:rPr>
          <w:rFonts w:ascii="Bookman Old Style" w:hAnsi="Bookman Old Style"/>
          <w:szCs w:val="24"/>
        </w:rPr>
        <w:t xml:space="preserve">, </w:t>
      </w:r>
      <w:r w:rsidR="002F6F81">
        <w:rPr>
          <w:rFonts w:ascii="Bookman Old Style" w:hAnsi="Bookman Old Style"/>
          <w:szCs w:val="24"/>
        </w:rPr>
        <w:t xml:space="preserve">el mes base para los precios </w:t>
      </w:r>
      <w:r w:rsidR="00BC52A7" w:rsidRPr="00BC52A7">
        <w:rPr>
          <w:rFonts w:ascii="Bookman Old Style" w:hAnsi="Bookman Old Style"/>
          <w:szCs w:val="24"/>
        </w:rPr>
        <w:t>con los cuales se aprobó el cargo de generación dispuesto en la Resolución CREG 501</w:t>
      </w:r>
      <w:r w:rsidR="00C15EA7">
        <w:rPr>
          <w:rFonts w:ascii="Bookman Old Style" w:hAnsi="Bookman Old Style"/>
          <w:szCs w:val="24"/>
        </w:rPr>
        <w:t xml:space="preserve"> </w:t>
      </w:r>
      <w:r w:rsidR="00BC52A7" w:rsidRPr="00BC52A7">
        <w:rPr>
          <w:rFonts w:ascii="Bookman Old Style" w:hAnsi="Bookman Old Style"/>
          <w:szCs w:val="24"/>
        </w:rPr>
        <w:t>041</w:t>
      </w:r>
      <w:r w:rsidR="00E354DF">
        <w:rPr>
          <w:rFonts w:ascii="Bookman Old Style" w:hAnsi="Bookman Old Style"/>
          <w:szCs w:val="24"/>
        </w:rPr>
        <w:t xml:space="preserve"> </w:t>
      </w:r>
      <w:r w:rsidR="00BC52A7" w:rsidRPr="00BC52A7">
        <w:rPr>
          <w:rFonts w:ascii="Bookman Old Style" w:hAnsi="Bookman Old Style"/>
          <w:szCs w:val="24"/>
        </w:rPr>
        <w:t xml:space="preserve">del 17 de mayo de 2022, </w:t>
      </w:r>
      <w:r w:rsidR="004924F8">
        <w:rPr>
          <w:rFonts w:ascii="Bookman Old Style" w:hAnsi="Bookman Old Style"/>
          <w:szCs w:val="24"/>
        </w:rPr>
        <w:t xml:space="preserve">que en su momento fue definido como </w:t>
      </w:r>
      <w:r w:rsidR="00BC52A7" w:rsidRPr="00BC52A7">
        <w:rPr>
          <w:rFonts w:ascii="Bookman Old Style" w:hAnsi="Bookman Old Style"/>
          <w:szCs w:val="24"/>
        </w:rPr>
        <w:t xml:space="preserve">diciembre de 2021, </w:t>
      </w:r>
      <w:r w:rsidR="004956B4">
        <w:rPr>
          <w:rFonts w:ascii="Bookman Old Style" w:hAnsi="Bookman Old Style"/>
          <w:szCs w:val="24"/>
        </w:rPr>
        <w:t xml:space="preserve">corresponde, de acuerdo con </w:t>
      </w:r>
      <w:r w:rsidR="00BC52A7" w:rsidRPr="00BC52A7">
        <w:rPr>
          <w:rFonts w:ascii="Bookman Old Style" w:hAnsi="Bookman Old Style"/>
          <w:szCs w:val="24"/>
        </w:rPr>
        <w:t>los soportes económicos presentados por GENSA</w:t>
      </w:r>
      <w:r w:rsidR="00C15EA7">
        <w:rPr>
          <w:rFonts w:ascii="Bookman Old Style" w:hAnsi="Bookman Old Style"/>
          <w:szCs w:val="24"/>
        </w:rPr>
        <w:t>,</w:t>
      </w:r>
      <w:r w:rsidR="00BC52A7" w:rsidRPr="00BC52A7">
        <w:rPr>
          <w:rFonts w:ascii="Bookman Old Style" w:hAnsi="Bookman Old Style"/>
          <w:szCs w:val="24"/>
        </w:rPr>
        <w:t xml:space="preserve"> a enero de 2021.</w:t>
      </w:r>
    </w:p>
    <w:p w14:paraId="02E52F6D" w14:textId="77777777" w:rsidR="007812A7" w:rsidRDefault="007812A7" w:rsidP="007812A7">
      <w:pPr>
        <w:pStyle w:val="Textodebloque"/>
        <w:ind w:left="284" w:right="6"/>
        <w:contextualSpacing/>
        <w:rPr>
          <w:rFonts w:ascii="Bookman Old Style" w:hAnsi="Bookman Old Style"/>
          <w:szCs w:val="24"/>
        </w:rPr>
      </w:pPr>
    </w:p>
    <w:p w14:paraId="34E049B7" w14:textId="32864344" w:rsidR="00A94E6E" w:rsidRPr="00BC52A7" w:rsidRDefault="00F6645C" w:rsidP="00BC52A7">
      <w:pPr>
        <w:pStyle w:val="Textodebloque"/>
        <w:ind w:left="284" w:right="6"/>
        <w:contextualSpacing/>
        <w:rPr>
          <w:rFonts w:ascii="Bookman Old Style" w:hAnsi="Bookman Old Style"/>
          <w:szCs w:val="24"/>
        </w:rPr>
      </w:pPr>
      <w:r>
        <w:rPr>
          <w:rFonts w:ascii="Bookman Old Style" w:hAnsi="Bookman Old Style"/>
          <w:szCs w:val="24"/>
        </w:rPr>
        <w:t xml:space="preserve">Considerando lo anterior, </w:t>
      </w:r>
      <w:r w:rsidR="00A94E6E">
        <w:rPr>
          <w:rFonts w:ascii="Bookman Old Style" w:hAnsi="Bookman Old Style"/>
          <w:szCs w:val="24"/>
        </w:rPr>
        <w:t xml:space="preserve">esta Comisión </w:t>
      </w:r>
      <w:r>
        <w:rPr>
          <w:rFonts w:ascii="Bookman Old Style" w:hAnsi="Bookman Old Style"/>
          <w:szCs w:val="24"/>
        </w:rPr>
        <w:t xml:space="preserve">procede a efectuar el recalculo de los cargos </w:t>
      </w:r>
      <w:r w:rsidR="0056303E">
        <w:rPr>
          <w:rFonts w:ascii="Bookman Old Style" w:hAnsi="Bookman Old Style"/>
          <w:szCs w:val="24"/>
        </w:rPr>
        <w:t>calculados a pesos de enero de 2021</w:t>
      </w:r>
      <w:r w:rsidR="005A14E6">
        <w:rPr>
          <w:rFonts w:ascii="Bookman Old Style" w:hAnsi="Bookman Old Style"/>
          <w:szCs w:val="24"/>
        </w:rPr>
        <w:t xml:space="preserve"> y </w:t>
      </w:r>
      <w:r>
        <w:rPr>
          <w:rFonts w:ascii="Bookman Old Style" w:hAnsi="Bookman Old Style"/>
          <w:szCs w:val="24"/>
        </w:rPr>
        <w:t>deflactarlos a pesos de diciembre de 2006</w:t>
      </w:r>
      <w:r w:rsidR="008E4AD2">
        <w:rPr>
          <w:rFonts w:ascii="Bookman Old Style" w:hAnsi="Bookman Old Style"/>
          <w:szCs w:val="24"/>
        </w:rPr>
        <w:t>.</w:t>
      </w:r>
    </w:p>
    <w:p w14:paraId="21EEB6D1" w14:textId="74F4DCBD" w:rsidR="00BC52A7" w:rsidRDefault="00BC52A7" w:rsidP="00BC52A7">
      <w:pPr>
        <w:pStyle w:val="Textodebloque"/>
        <w:ind w:left="284" w:right="6"/>
        <w:contextualSpacing/>
        <w:rPr>
          <w:rFonts w:ascii="Bookman Old Style" w:hAnsi="Bookman Old Style"/>
          <w:szCs w:val="24"/>
        </w:rPr>
      </w:pPr>
    </w:p>
    <w:p w14:paraId="5A62A906" w14:textId="03A774DC" w:rsidR="00172E1C" w:rsidRDefault="00172E1C" w:rsidP="00172E1C">
      <w:pPr>
        <w:pStyle w:val="Textodebloque"/>
        <w:ind w:left="284" w:right="6"/>
        <w:contextualSpacing/>
        <w:rPr>
          <w:rFonts w:ascii="Bookman Old Style" w:hAnsi="Bookman Old Style"/>
          <w:szCs w:val="24"/>
        </w:rPr>
      </w:pPr>
      <w:r w:rsidRPr="00BC52A7">
        <w:rPr>
          <w:rFonts w:ascii="Bookman Old Style" w:hAnsi="Bookman Old Style"/>
          <w:szCs w:val="24"/>
        </w:rPr>
        <w:t>Enmarcado en los cálculos resultantes, esta Comisión encuentra procedente el ajuste de las componentes de inversión y de administración, operación y mantenimiento del cargo de generación de energía eléctrica para la tecnología de acumulación de recurso solar fotovoltaico para el mercado relevante de Inírida</w:t>
      </w:r>
      <w:r w:rsidR="002614F3">
        <w:rPr>
          <w:rFonts w:ascii="Bookman Old Style" w:hAnsi="Bookman Old Style"/>
          <w:szCs w:val="24"/>
        </w:rPr>
        <w:t>.</w:t>
      </w:r>
    </w:p>
    <w:p w14:paraId="70C5412F" w14:textId="77777777" w:rsidR="00172E1C" w:rsidRPr="00BC52A7" w:rsidRDefault="00172E1C" w:rsidP="00BC52A7">
      <w:pPr>
        <w:pStyle w:val="Textodebloque"/>
        <w:ind w:left="284" w:right="6"/>
        <w:contextualSpacing/>
        <w:rPr>
          <w:rFonts w:ascii="Bookman Old Style" w:hAnsi="Bookman Old Style"/>
          <w:szCs w:val="24"/>
        </w:rPr>
      </w:pPr>
    </w:p>
    <w:p w14:paraId="141CC13F" w14:textId="77777777" w:rsidR="0058298E" w:rsidRPr="0058298E" w:rsidRDefault="0058298E" w:rsidP="0058298E">
      <w:pPr>
        <w:pStyle w:val="Textodebloque"/>
        <w:ind w:right="6"/>
        <w:contextualSpacing/>
        <w:rPr>
          <w:rFonts w:ascii="Bookman Old Style" w:hAnsi="Bookman Old Style"/>
          <w:b/>
          <w:iCs/>
          <w:szCs w:val="24"/>
        </w:rPr>
      </w:pPr>
      <w:r w:rsidRPr="0058298E">
        <w:rPr>
          <w:rFonts w:ascii="Bookman Old Style" w:hAnsi="Bookman Old Style"/>
          <w:b/>
          <w:iCs/>
          <w:szCs w:val="24"/>
        </w:rPr>
        <w:t>2. LA CREG DEBE MODIFICAR LAS TARIFAS O COMPONENTES CALCULADOS PARA NO PONER EN RIESGO LA ESTABILIDAD FINANCIERA DE LA PRESTACIÓN DEL SERVICIO.</w:t>
      </w:r>
    </w:p>
    <w:p w14:paraId="1EAFB35A" w14:textId="77777777" w:rsidR="000C3428" w:rsidRDefault="000C3428" w:rsidP="00BC52A7">
      <w:pPr>
        <w:pStyle w:val="Textodebloque"/>
        <w:ind w:left="284" w:right="6"/>
        <w:contextualSpacing/>
        <w:rPr>
          <w:rFonts w:ascii="Bookman Old Style" w:hAnsi="Bookman Old Style"/>
          <w:szCs w:val="24"/>
          <w:highlight w:val="yellow"/>
        </w:rPr>
      </w:pPr>
    </w:p>
    <w:p w14:paraId="5DE841BF" w14:textId="43707C41" w:rsidR="00BC52A7" w:rsidRPr="00BC52A7" w:rsidRDefault="00BC52A7" w:rsidP="00BC52A7">
      <w:pPr>
        <w:pStyle w:val="Textodebloque"/>
        <w:ind w:left="284" w:right="6"/>
        <w:contextualSpacing/>
        <w:rPr>
          <w:rFonts w:ascii="Bookman Old Style" w:hAnsi="Bookman Old Style"/>
          <w:szCs w:val="24"/>
        </w:rPr>
      </w:pPr>
      <w:r w:rsidRPr="0058298E">
        <w:rPr>
          <w:rFonts w:ascii="Bookman Old Style" w:hAnsi="Bookman Old Style"/>
          <w:szCs w:val="24"/>
        </w:rPr>
        <w:t>Ahora</w:t>
      </w:r>
      <w:r w:rsidRPr="00BC52A7">
        <w:rPr>
          <w:rFonts w:ascii="Bookman Old Style" w:hAnsi="Bookman Old Style"/>
          <w:szCs w:val="24"/>
        </w:rPr>
        <w:t xml:space="preserve"> bien, en cuanto a la afirmación del recurrente, que la CREG debe modificar las tarifas o componentes calculados para no poner en riesgo la estabilidad financiera de la prestación del servicio, argumentando como razón principal la mora administrativa por parte de la CREG en resolver la determinación de los cargos, se enfatiza lo siguiente:</w:t>
      </w:r>
    </w:p>
    <w:p w14:paraId="322F23B7" w14:textId="77777777" w:rsidR="00BC52A7" w:rsidRPr="00BC52A7" w:rsidRDefault="00BC52A7" w:rsidP="00BC52A7">
      <w:pPr>
        <w:pStyle w:val="Textodebloque"/>
        <w:ind w:left="284" w:right="6"/>
        <w:contextualSpacing/>
        <w:rPr>
          <w:rFonts w:ascii="Bookman Old Style" w:hAnsi="Bookman Old Style"/>
          <w:szCs w:val="24"/>
        </w:rPr>
      </w:pPr>
    </w:p>
    <w:p w14:paraId="2DD5CDE2" w14:textId="537E3C0A" w:rsidR="003169A9" w:rsidRDefault="003169A9" w:rsidP="003169A9">
      <w:pPr>
        <w:pStyle w:val="Textodebloque"/>
        <w:ind w:left="284" w:right="6"/>
        <w:contextualSpacing/>
        <w:rPr>
          <w:rFonts w:ascii="Bookman Old Style" w:hAnsi="Bookman Old Style"/>
          <w:lang w:val="es-ES"/>
        </w:rPr>
      </w:pPr>
      <w:r w:rsidRPr="003169A9">
        <w:rPr>
          <w:rFonts w:ascii="Bookman Old Style" w:hAnsi="Bookman Old Style"/>
          <w:lang w:val="es-ES"/>
        </w:rPr>
        <w:t>GENSA manifiesta que</w:t>
      </w:r>
      <w:r w:rsidR="00C15EA7">
        <w:rPr>
          <w:rFonts w:ascii="Bookman Old Style" w:hAnsi="Bookman Old Style"/>
          <w:lang w:val="es-ES"/>
        </w:rPr>
        <w:t>,</w:t>
      </w:r>
      <w:r w:rsidRPr="003169A9">
        <w:rPr>
          <w:rFonts w:ascii="Bookman Old Style" w:hAnsi="Bookman Old Style"/>
          <w:lang w:val="es-ES"/>
        </w:rPr>
        <w:t xml:space="preserve"> mediante radicado CREG E-2021-003557 del 24 de marzo de 2021</w:t>
      </w:r>
      <w:r w:rsidR="00C15EA7">
        <w:rPr>
          <w:rFonts w:ascii="Bookman Old Style" w:hAnsi="Bookman Old Style"/>
          <w:lang w:val="es-ES"/>
        </w:rPr>
        <w:t>,</w:t>
      </w:r>
      <w:r w:rsidRPr="003169A9">
        <w:rPr>
          <w:rFonts w:ascii="Bookman Old Style" w:hAnsi="Bookman Old Style"/>
          <w:lang w:val="es-ES"/>
        </w:rPr>
        <w:t xml:space="preserve"> presentó solicitud a la Comisión para la aprobación de cargos y que</w:t>
      </w:r>
      <w:r w:rsidR="00C15EA7">
        <w:rPr>
          <w:rFonts w:ascii="Bookman Old Style" w:hAnsi="Bookman Old Style"/>
          <w:lang w:val="es-ES"/>
        </w:rPr>
        <w:t>,</w:t>
      </w:r>
      <w:r w:rsidRPr="003169A9">
        <w:rPr>
          <w:rFonts w:ascii="Bookman Old Style" w:hAnsi="Bookman Old Style"/>
          <w:lang w:val="es-ES"/>
        </w:rPr>
        <w:t xml:space="preserve"> de acuerdo con lo señalado en el artículo 111 de la Ley 142 de 1994</w:t>
      </w:r>
      <w:r w:rsidR="00C15EA7">
        <w:rPr>
          <w:rFonts w:ascii="Bookman Old Style" w:hAnsi="Bookman Old Style"/>
          <w:lang w:val="es-ES"/>
        </w:rPr>
        <w:t>,</w:t>
      </w:r>
      <w:r w:rsidRPr="003169A9">
        <w:rPr>
          <w:rFonts w:ascii="Bookman Old Style" w:hAnsi="Bookman Old Style"/>
          <w:lang w:val="es-ES"/>
        </w:rPr>
        <w:t xml:space="preserve"> el trámite está estimado para ser resuelto en aproximadamente seis (6) meses</w:t>
      </w:r>
      <w:r w:rsidR="00C15EA7">
        <w:rPr>
          <w:rFonts w:ascii="Bookman Old Style" w:hAnsi="Bookman Old Style"/>
          <w:lang w:val="es-ES"/>
        </w:rPr>
        <w:t>,</w:t>
      </w:r>
      <w:r w:rsidRPr="003169A9">
        <w:rPr>
          <w:rFonts w:ascii="Bookman Old Style" w:hAnsi="Bookman Old Style"/>
          <w:lang w:val="es-ES"/>
        </w:rPr>
        <w:t xml:space="preserve"> por lo cual indica que hubo mora administrativa de la CREG en resolver la determinación de cargos.</w:t>
      </w:r>
    </w:p>
    <w:p w14:paraId="3C34CACC" w14:textId="77777777" w:rsidR="003169A9" w:rsidRPr="003169A9" w:rsidRDefault="003169A9" w:rsidP="003169A9">
      <w:pPr>
        <w:pStyle w:val="Textodebloque"/>
        <w:ind w:left="284" w:right="6"/>
        <w:contextualSpacing/>
        <w:rPr>
          <w:rFonts w:ascii="Bookman Old Style" w:hAnsi="Bookman Old Style"/>
          <w:lang w:val="es-ES"/>
        </w:rPr>
      </w:pPr>
    </w:p>
    <w:p w14:paraId="23B46430" w14:textId="1F93B57B" w:rsidR="003169A9" w:rsidRDefault="003169A9" w:rsidP="003169A9">
      <w:pPr>
        <w:pStyle w:val="Textodebloque"/>
        <w:ind w:left="284" w:right="6"/>
        <w:contextualSpacing/>
        <w:rPr>
          <w:rFonts w:ascii="Bookman Old Style" w:hAnsi="Bookman Old Style"/>
          <w:lang w:val="es-CO"/>
        </w:rPr>
      </w:pPr>
      <w:r w:rsidRPr="003169A9">
        <w:rPr>
          <w:rFonts w:ascii="Bookman Old Style" w:hAnsi="Bookman Old Style"/>
          <w:lang w:val="es-ES"/>
        </w:rPr>
        <w:t>Al respecto, sea lo primero indicar que</w:t>
      </w:r>
      <w:r w:rsidR="00C15EA7">
        <w:rPr>
          <w:rFonts w:ascii="Bookman Old Style" w:hAnsi="Bookman Old Style"/>
          <w:lang w:val="es-ES"/>
        </w:rPr>
        <w:t>,</w:t>
      </w:r>
      <w:r w:rsidRPr="003169A9">
        <w:rPr>
          <w:rFonts w:ascii="Bookman Old Style" w:hAnsi="Bookman Old Style"/>
          <w:lang w:val="es-ES"/>
        </w:rPr>
        <w:t xml:space="preserve"> de acuerdo con la información que reposa en el expediente administrativo mediante el radicado CREG E-2021-003557 del 24 de marzo del 2021</w:t>
      </w:r>
      <w:r w:rsidR="00C15EA7">
        <w:rPr>
          <w:rFonts w:ascii="Bookman Old Style" w:hAnsi="Bookman Old Style"/>
          <w:lang w:val="es-ES"/>
        </w:rPr>
        <w:t>,</w:t>
      </w:r>
      <w:r w:rsidRPr="003169A9">
        <w:rPr>
          <w:rFonts w:ascii="Bookman Old Style" w:hAnsi="Bookman Old Style"/>
          <w:lang w:val="es-ES"/>
        </w:rPr>
        <w:t xml:space="preserve"> GENSA presentó su solicitud inicial y </w:t>
      </w:r>
      <w:r w:rsidRPr="003169A9">
        <w:rPr>
          <w:rFonts w:ascii="Bookman Old Style" w:hAnsi="Bookman Old Style"/>
          <w:lang w:val="es-CO"/>
        </w:rPr>
        <w:t>con radicado CREG S-2021-001903 del 5 de mayo de 2021</w:t>
      </w:r>
      <w:r w:rsidR="00C15EA7">
        <w:rPr>
          <w:rFonts w:ascii="Bookman Old Style" w:hAnsi="Bookman Old Style"/>
          <w:lang w:val="es-CO"/>
        </w:rPr>
        <w:t>,</w:t>
      </w:r>
      <w:r w:rsidRPr="003169A9">
        <w:rPr>
          <w:rFonts w:ascii="Bookman Old Style" w:hAnsi="Bookman Old Style"/>
          <w:lang w:val="es-CO"/>
        </w:rPr>
        <w:t xml:space="preserve"> esta Comisión solicitó a la empresa completar dicha solicitud. El 2 de junio de 2021, mediante radicado CREG E-2021-006479, la empresa cumplió con tal requerimiento</w:t>
      </w:r>
      <w:r w:rsidR="00C15EA7">
        <w:rPr>
          <w:rFonts w:ascii="Bookman Old Style" w:hAnsi="Bookman Old Style"/>
          <w:lang w:val="es-CO"/>
        </w:rPr>
        <w:t>, m</w:t>
      </w:r>
      <w:r w:rsidRPr="003169A9">
        <w:rPr>
          <w:rFonts w:ascii="Bookman Old Style" w:hAnsi="Bookman Old Style"/>
          <w:lang w:val="es-CO"/>
        </w:rPr>
        <w:t>omento a partir del cual esta Comisión realizó los análisis y trámites correspondientes para poder iniciar la actuación administrativa.</w:t>
      </w:r>
    </w:p>
    <w:p w14:paraId="7E482792" w14:textId="49737494" w:rsidR="003169A9" w:rsidRPr="003169A9" w:rsidRDefault="003169A9" w:rsidP="003169A9">
      <w:pPr>
        <w:pStyle w:val="Textodebloque"/>
        <w:ind w:left="284" w:right="6"/>
        <w:contextualSpacing/>
        <w:rPr>
          <w:rFonts w:ascii="Bookman Old Style" w:hAnsi="Bookman Old Style"/>
          <w:lang w:val="es-ES"/>
        </w:rPr>
      </w:pPr>
    </w:p>
    <w:p w14:paraId="31230F64" w14:textId="78AC1AAF" w:rsidR="003169A9" w:rsidRDefault="003169A9" w:rsidP="003169A9">
      <w:pPr>
        <w:pStyle w:val="Textodebloque"/>
        <w:ind w:left="284" w:right="6"/>
        <w:contextualSpacing/>
        <w:rPr>
          <w:rFonts w:ascii="Bookman Old Style" w:hAnsi="Bookman Old Style"/>
          <w:lang w:val="es-ES"/>
        </w:rPr>
      </w:pPr>
      <w:r w:rsidRPr="003169A9">
        <w:rPr>
          <w:rFonts w:ascii="Bookman Old Style" w:hAnsi="Bookman Old Style"/>
          <w:lang w:val="es-ES"/>
        </w:rPr>
        <w:t xml:space="preserve">En ese sentido, el término indicado en el artículo 111 de la Ley 142 de 1994 debe contarse </w:t>
      </w:r>
      <w:r w:rsidRPr="003169A9">
        <w:rPr>
          <w:rFonts w:ascii="Bookman Old Style" w:hAnsi="Bookman Old Style"/>
          <w:lang w:val="es-CO"/>
        </w:rPr>
        <w:t>a partir del día siguiente en el que se haya hecho la primera de las citaciones o publicaciones de que trata el artículo</w:t>
      </w:r>
      <w:r w:rsidR="00B119F4">
        <w:rPr>
          <w:rFonts w:ascii="Bookman Old Style" w:hAnsi="Bookman Old Style"/>
          <w:lang w:val="es-CO"/>
        </w:rPr>
        <w:t xml:space="preserve"> </w:t>
      </w:r>
      <w:r w:rsidRPr="003169A9">
        <w:rPr>
          <w:rFonts w:ascii="Bookman Old Style" w:hAnsi="Bookman Old Style"/>
          <w:lang w:val="es-CO"/>
        </w:rPr>
        <w:t>108 de la Ley 142 de 1994, es decir</w:t>
      </w:r>
      <w:r w:rsidR="00C15EA7">
        <w:rPr>
          <w:rFonts w:ascii="Bookman Old Style" w:hAnsi="Bookman Old Style"/>
          <w:lang w:val="es-CO"/>
        </w:rPr>
        <w:t>,</w:t>
      </w:r>
      <w:r w:rsidRPr="003169A9">
        <w:rPr>
          <w:rFonts w:ascii="Bookman Old Style" w:hAnsi="Bookman Old Style"/>
          <w:lang w:val="es-CO"/>
        </w:rPr>
        <w:t xml:space="preserve"> a partir de la </w:t>
      </w:r>
      <w:r w:rsidRPr="003169A9">
        <w:rPr>
          <w:rFonts w:ascii="Bookman Old Style" w:hAnsi="Bookman Old Style"/>
          <w:lang w:val="es-ES"/>
        </w:rPr>
        <w:t>fecha en la que se publicó el auto de inicio de la actuación administrativa, la cual corresponde al 10 de agosto del 2021</w:t>
      </w:r>
      <w:r w:rsidR="00C15EA7">
        <w:rPr>
          <w:rFonts w:ascii="Bookman Old Style" w:hAnsi="Bookman Old Style"/>
          <w:lang w:val="es-ES"/>
        </w:rPr>
        <w:t>,</w:t>
      </w:r>
      <w:r w:rsidRPr="003169A9">
        <w:rPr>
          <w:rFonts w:ascii="Bookman Old Style" w:hAnsi="Bookman Old Style"/>
          <w:lang w:val="es-ES"/>
        </w:rPr>
        <w:t xml:space="preserve"> y no a la fecha del 24 de marzo de 2021 señalada por el recurrente. </w:t>
      </w:r>
    </w:p>
    <w:p w14:paraId="12D7B345" w14:textId="77777777" w:rsidR="00974367" w:rsidRDefault="00974367" w:rsidP="003169A9">
      <w:pPr>
        <w:pStyle w:val="Textodebloque"/>
        <w:ind w:left="284" w:right="6"/>
        <w:contextualSpacing/>
        <w:rPr>
          <w:rFonts w:ascii="Bookman Old Style" w:hAnsi="Bookman Old Style"/>
          <w:lang w:val="es-ES"/>
        </w:rPr>
      </w:pPr>
    </w:p>
    <w:p w14:paraId="291232D7" w14:textId="074B53BA" w:rsidR="003169A9" w:rsidRDefault="003169A9" w:rsidP="003169A9">
      <w:pPr>
        <w:pStyle w:val="Textodebloque"/>
        <w:ind w:left="284" w:right="6"/>
        <w:contextualSpacing/>
        <w:rPr>
          <w:rFonts w:ascii="Bookman Old Style" w:hAnsi="Bookman Old Style"/>
          <w:iCs/>
          <w:lang w:val="es-ES"/>
        </w:rPr>
      </w:pPr>
      <w:r w:rsidRPr="003169A9">
        <w:rPr>
          <w:rFonts w:ascii="Bookman Old Style" w:hAnsi="Bookman Old Style"/>
          <w:iCs/>
          <w:lang w:val="es-ES"/>
        </w:rPr>
        <w:t>De otra parte, las actuaciones de carácter particular se rigen por lo previsto en la Ley 142 de 1994</w:t>
      </w:r>
      <w:r w:rsidR="00C15EA7">
        <w:rPr>
          <w:rFonts w:ascii="Bookman Old Style" w:hAnsi="Bookman Old Style"/>
          <w:iCs/>
          <w:lang w:val="es-ES"/>
        </w:rPr>
        <w:t>,</w:t>
      </w:r>
      <w:r w:rsidRPr="003169A9">
        <w:rPr>
          <w:rFonts w:ascii="Bookman Old Style" w:hAnsi="Bookman Old Style"/>
          <w:iCs/>
          <w:lang w:val="es-ES"/>
        </w:rPr>
        <w:t xml:space="preserve"> y en lo no previsto en ella</w:t>
      </w:r>
      <w:r w:rsidR="00C15EA7">
        <w:rPr>
          <w:rFonts w:ascii="Bookman Old Style" w:hAnsi="Bookman Old Style"/>
          <w:iCs/>
          <w:lang w:val="es-ES"/>
        </w:rPr>
        <w:t>,</w:t>
      </w:r>
      <w:r w:rsidRPr="003169A9">
        <w:rPr>
          <w:rFonts w:ascii="Bookman Old Style" w:hAnsi="Bookman Old Style"/>
          <w:iCs/>
          <w:lang w:val="es-ES"/>
        </w:rPr>
        <w:t xml:space="preserve"> se sujetan al procedimiento para la expedición de actos administrativos contemplado principalmente en el Código de Procedimiento Administrativo y de lo Contencioso Administrativo</w:t>
      </w:r>
      <w:r w:rsidR="00D627AD">
        <w:rPr>
          <w:rFonts w:ascii="Bookman Old Style" w:hAnsi="Bookman Old Style"/>
          <w:iCs/>
          <w:lang w:val="es-ES"/>
        </w:rPr>
        <w:t xml:space="preserve">, </w:t>
      </w:r>
      <w:r w:rsidR="0023730A">
        <w:rPr>
          <w:rFonts w:ascii="Bookman Old Style" w:hAnsi="Bookman Old Style"/>
          <w:iCs/>
          <w:lang w:val="es-ES"/>
        </w:rPr>
        <w:t>CPACA</w:t>
      </w:r>
      <w:r w:rsidRPr="003169A9">
        <w:rPr>
          <w:rFonts w:ascii="Bookman Old Style" w:hAnsi="Bookman Old Style"/>
          <w:iCs/>
          <w:lang w:val="es-ES"/>
        </w:rPr>
        <w:t xml:space="preserve">. </w:t>
      </w:r>
    </w:p>
    <w:p w14:paraId="5893A9EE" w14:textId="77777777" w:rsidR="003169A9" w:rsidRPr="003169A9" w:rsidRDefault="003169A9" w:rsidP="003169A9">
      <w:pPr>
        <w:pStyle w:val="Textodebloque"/>
        <w:ind w:left="284" w:right="6"/>
        <w:contextualSpacing/>
        <w:rPr>
          <w:rFonts w:ascii="Bookman Old Style" w:hAnsi="Bookman Old Style"/>
          <w:iCs/>
          <w:lang w:val="es-ES"/>
        </w:rPr>
      </w:pPr>
    </w:p>
    <w:p w14:paraId="3A352ED5" w14:textId="41B8B3A7" w:rsidR="003169A9" w:rsidRDefault="003169A9" w:rsidP="003169A9">
      <w:pPr>
        <w:pStyle w:val="Textodebloque"/>
        <w:ind w:left="284" w:right="6"/>
        <w:contextualSpacing/>
        <w:rPr>
          <w:rFonts w:ascii="Bookman Old Style" w:hAnsi="Bookman Old Style"/>
          <w:lang w:val="es-CO"/>
        </w:rPr>
      </w:pPr>
      <w:r w:rsidRPr="003169A9">
        <w:rPr>
          <w:rFonts w:ascii="Bookman Old Style" w:hAnsi="Bookman Old Style"/>
          <w:lang w:val="es-ES"/>
        </w:rPr>
        <w:t xml:space="preserve">Debe resaltarse que en el trámite de la actuación administrativa fue necesario el </w:t>
      </w:r>
      <w:r w:rsidRPr="003169A9">
        <w:rPr>
          <w:rFonts w:ascii="Bookman Old Style" w:hAnsi="Bookman Old Style"/>
          <w:lang w:val="es-MX"/>
        </w:rPr>
        <w:t>decret</w:t>
      </w:r>
      <w:r w:rsidR="00B119F4">
        <w:rPr>
          <w:rFonts w:ascii="Bookman Old Style" w:hAnsi="Bookman Old Style"/>
          <w:lang w:val="es-MX"/>
        </w:rPr>
        <w:t>o</w:t>
      </w:r>
      <w:r w:rsidRPr="003169A9">
        <w:rPr>
          <w:rFonts w:ascii="Bookman Old Style" w:hAnsi="Bookman Old Style"/>
          <w:lang w:val="es-MX"/>
        </w:rPr>
        <w:t xml:space="preserve"> de práctica de pruebas de oficio</w:t>
      </w:r>
      <w:r w:rsidRPr="003169A9">
        <w:rPr>
          <w:rFonts w:ascii="Bookman Old Style" w:hAnsi="Bookman Old Style"/>
          <w:lang w:val="es-ES"/>
        </w:rPr>
        <w:t xml:space="preserve"> mediante Auto I-2021-003418 del 16 de noviembre de 2021</w:t>
      </w:r>
      <w:r w:rsidR="00D627AD">
        <w:rPr>
          <w:rFonts w:ascii="Bookman Old Style" w:hAnsi="Bookman Old Style"/>
          <w:lang w:val="es-ES"/>
        </w:rPr>
        <w:t>,</w:t>
      </w:r>
      <w:r w:rsidRPr="003169A9">
        <w:rPr>
          <w:rFonts w:ascii="Bookman Old Style" w:hAnsi="Bookman Old Style"/>
          <w:lang w:val="es-ES"/>
        </w:rPr>
        <w:t xml:space="preserve"> y Auto I-2022-004323 del 13 de enero de 2022</w:t>
      </w:r>
      <w:r w:rsidRPr="003169A9">
        <w:rPr>
          <w:rFonts w:ascii="Bookman Old Style" w:hAnsi="Bookman Old Style"/>
          <w:lang w:val="es-MX"/>
        </w:rPr>
        <w:t xml:space="preserve">, tendientes a complementar </w:t>
      </w:r>
      <w:r w:rsidRPr="003169A9">
        <w:rPr>
          <w:rFonts w:ascii="Bookman Old Style" w:hAnsi="Bookman Old Style"/>
          <w:lang w:val="es-ES"/>
        </w:rPr>
        <w:t xml:space="preserve">requerimientos sobre la información presentada por la empresa dentro de la actuación administrativa. </w:t>
      </w:r>
      <w:r w:rsidRPr="003169A9">
        <w:rPr>
          <w:rFonts w:ascii="Bookman Old Style" w:hAnsi="Bookman Old Style"/>
          <w:lang w:val="es-MX"/>
        </w:rPr>
        <w:t xml:space="preserve">Así mismo, se llevó a cabo una audiencia aclaratoria solicitada por la empresa, cuya acta se asoció al expediente con el radicado </w:t>
      </w:r>
      <w:r w:rsidRPr="003169A9">
        <w:rPr>
          <w:rFonts w:ascii="Bookman Old Style" w:hAnsi="Bookman Old Style"/>
          <w:lang w:val="es-CO"/>
        </w:rPr>
        <w:t xml:space="preserve">CREG </w:t>
      </w:r>
      <w:r w:rsidRPr="003169A9">
        <w:rPr>
          <w:rFonts w:ascii="Bookman Old Style" w:hAnsi="Bookman Old Style"/>
          <w:lang w:val="es-MX"/>
        </w:rPr>
        <w:t>I-2021-004020</w:t>
      </w:r>
      <w:r w:rsidR="00D627AD">
        <w:rPr>
          <w:rFonts w:ascii="Bookman Old Style" w:hAnsi="Bookman Old Style"/>
          <w:lang w:val="es-MX"/>
        </w:rPr>
        <w:t>,</w:t>
      </w:r>
      <w:r w:rsidRPr="003169A9">
        <w:rPr>
          <w:rFonts w:ascii="Bookman Old Style" w:hAnsi="Bookman Old Style"/>
          <w:lang w:val="es-MX"/>
        </w:rPr>
        <w:t xml:space="preserve"> y en donde se señaló una ampliación para el término de respuesta por parte de GENSA</w:t>
      </w:r>
      <w:r w:rsidR="00457EA1">
        <w:rPr>
          <w:rFonts w:ascii="Bookman Old Style" w:hAnsi="Bookman Old Style"/>
          <w:lang w:val="es-MX"/>
        </w:rPr>
        <w:t>, solicitado por la misma empresa</w:t>
      </w:r>
      <w:r w:rsidRPr="003169A9">
        <w:rPr>
          <w:rFonts w:ascii="Bookman Old Style" w:hAnsi="Bookman Old Style"/>
          <w:lang w:val="es-MX"/>
        </w:rPr>
        <w:t>, fij</w:t>
      </w:r>
      <w:r w:rsidR="00457EA1">
        <w:rPr>
          <w:rFonts w:ascii="Bookman Old Style" w:hAnsi="Bookman Old Style"/>
          <w:lang w:val="es-MX"/>
        </w:rPr>
        <w:t>á</w:t>
      </w:r>
      <w:r w:rsidRPr="003169A9">
        <w:rPr>
          <w:rFonts w:ascii="Bookman Old Style" w:hAnsi="Bookman Old Style"/>
          <w:lang w:val="es-MX"/>
        </w:rPr>
        <w:t>ndo</w:t>
      </w:r>
      <w:r w:rsidR="00457EA1">
        <w:rPr>
          <w:rFonts w:ascii="Bookman Old Style" w:hAnsi="Bookman Old Style"/>
          <w:lang w:val="es-MX"/>
        </w:rPr>
        <w:t>se</w:t>
      </w:r>
      <w:r w:rsidRPr="003169A9">
        <w:rPr>
          <w:rFonts w:ascii="Bookman Old Style" w:hAnsi="Bookman Old Style"/>
          <w:lang w:val="es-MX"/>
        </w:rPr>
        <w:t xml:space="preserve"> como fecha límite el 31 de enero de 2022.</w:t>
      </w:r>
    </w:p>
    <w:p w14:paraId="469438D1" w14:textId="77777777" w:rsidR="003169A9" w:rsidRPr="003169A9" w:rsidRDefault="003169A9" w:rsidP="003169A9">
      <w:pPr>
        <w:pStyle w:val="Textodebloque"/>
        <w:ind w:left="284" w:right="6"/>
        <w:contextualSpacing/>
        <w:rPr>
          <w:rFonts w:ascii="Bookman Old Style" w:hAnsi="Bookman Old Style"/>
          <w:lang w:val="es-ES"/>
        </w:rPr>
      </w:pPr>
    </w:p>
    <w:p w14:paraId="25527B38" w14:textId="7A9B0824" w:rsidR="003169A9" w:rsidRDefault="003169A9" w:rsidP="003169A9">
      <w:pPr>
        <w:pStyle w:val="Textodebloque"/>
        <w:ind w:left="284" w:right="6"/>
        <w:contextualSpacing/>
        <w:rPr>
          <w:rFonts w:ascii="Bookman Old Style" w:hAnsi="Bookman Old Style"/>
          <w:lang w:val="es-ES"/>
        </w:rPr>
      </w:pPr>
      <w:r w:rsidRPr="003169A9">
        <w:rPr>
          <w:rFonts w:ascii="Bookman Old Style" w:hAnsi="Bookman Old Style"/>
          <w:lang w:val="es-ES"/>
        </w:rPr>
        <w:t>Mediante comunicaciones con radicado CREG E-2022-001287, y radicado CREG E-2022-001274, ambas del 31 de enero de 2022, GENSA presentó la información requerida en los autos de pruebas Auto I-2021-003418 y Auto I-2022-004323</w:t>
      </w:r>
      <w:r w:rsidR="0003304F">
        <w:rPr>
          <w:rFonts w:ascii="Bookman Old Style" w:hAnsi="Bookman Old Style"/>
          <w:lang w:val="es-ES"/>
        </w:rPr>
        <w:t>.</w:t>
      </w:r>
    </w:p>
    <w:p w14:paraId="0538A0AF" w14:textId="77777777" w:rsidR="0003304F" w:rsidRDefault="0003304F" w:rsidP="003169A9">
      <w:pPr>
        <w:pStyle w:val="Textodebloque"/>
        <w:ind w:left="284" w:right="6"/>
        <w:contextualSpacing/>
        <w:rPr>
          <w:rFonts w:ascii="Bookman Old Style" w:hAnsi="Bookman Old Style"/>
          <w:lang w:val="es-ES"/>
        </w:rPr>
      </w:pPr>
    </w:p>
    <w:p w14:paraId="684DE503" w14:textId="26C3D7CB" w:rsidR="003169A9" w:rsidRDefault="003169A9" w:rsidP="003169A9">
      <w:pPr>
        <w:pStyle w:val="Textodebloque"/>
        <w:ind w:left="284" w:right="6"/>
        <w:contextualSpacing/>
        <w:rPr>
          <w:rFonts w:ascii="Bookman Old Style" w:hAnsi="Bookman Old Style"/>
          <w:lang w:val="es-CO"/>
        </w:rPr>
      </w:pPr>
      <w:r w:rsidRPr="003169A9">
        <w:rPr>
          <w:rFonts w:ascii="Bookman Old Style" w:hAnsi="Bookman Old Style"/>
          <w:lang w:val="es-ES"/>
        </w:rPr>
        <w:t>En relación con el trámite adelantado para poder adoptar la decisión, esta Comisión cumplió con el procedimiento administrativo</w:t>
      </w:r>
      <w:r w:rsidR="00D627AD">
        <w:rPr>
          <w:rFonts w:ascii="Bookman Old Style" w:hAnsi="Bookman Old Style"/>
          <w:lang w:val="es-ES"/>
        </w:rPr>
        <w:t>. A</w:t>
      </w:r>
      <w:r w:rsidRPr="003169A9">
        <w:rPr>
          <w:rFonts w:ascii="Bookman Old Style" w:hAnsi="Bookman Old Style"/>
          <w:lang w:val="es-ES"/>
        </w:rPr>
        <w:t>sí, una vez finalizada la práctica de pruebas</w:t>
      </w:r>
      <w:r w:rsidR="00D627AD">
        <w:rPr>
          <w:rFonts w:ascii="Bookman Old Style" w:hAnsi="Bookman Old Style"/>
          <w:lang w:val="es-ES"/>
        </w:rPr>
        <w:t>,</w:t>
      </w:r>
      <w:r w:rsidRPr="003169A9">
        <w:rPr>
          <w:rFonts w:ascii="Bookman Old Style" w:hAnsi="Bookman Old Style"/>
          <w:lang w:val="es-ES"/>
        </w:rPr>
        <w:t xml:space="preserve"> realizó los análisis técnicos y jurídicos y proyectó la decisión</w:t>
      </w:r>
      <w:r w:rsidR="00D627AD">
        <w:rPr>
          <w:rFonts w:ascii="Bookman Old Style" w:hAnsi="Bookman Old Style"/>
          <w:lang w:val="es-ES"/>
        </w:rPr>
        <w:t>,</w:t>
      </w:r>
      <w:r w:rsidRPr="003169A9">
        <w:rPr>
          <w:rFonts w:ascii="Bookman Old Style" w:hAnsi="Bookman Old Style"/>
          <w:lang w:val="es-ES"/>
        </w:rPr>
        <w:t xml:space="preserve"> la cual fue revisada y aprobada por el Comité de Expertos y luego presentada y aprobada en </w:t>
      </w:r>
      <w:r w:rsidRPr="003169A9">
        <w:rPr>
          <w:rFonts w:ascii="Bookman Old Style" w:hAnsi="Bookman Old Style"/>
          <w:iCs/>
          <w:lang w:val="es-CO"/>
        </w:rPr>
        <w:t xml:space="preserve">la </w:t>
      </w:r>
      <w:r w:rsidR="00337F75">
        <w:rPr>
          <w:rFonts w:ascii="Bookman Old Style" w:hAnsi="Bookman Old Style"/>
          <w:iCs/>
          <w:lang w:val="es-CO"/>
        </w:rPr>
        <w:t>s</w:t>
      </w:r>
      <w:r w:rsidRPr="003169A9">
        <w:rPr>
          <w:rFonts w:ascii="Bookman Old Style" w:hAnsi="Bookman Old Style"/>
          <w:iCs/>
          <w:lang w:val="es-CO"/>
        </w:rPr>
        <w:t>esión de Comisión</w:t>
      </w:r>
      <w:r w:rsidR="00D627AD">
        <w:rPr>
          <w:rFonts w:ascii="Bookman Old Style" w:hAnsi="Bookman Old Style"/>
          <w:iCs/>
          <w:lang w:val="es-CO"/>
        </w:rPr>
        <w:t>,</w:t>
      </w:r>
      <w:r w:rsidRPr="003169A9">
        <w:rPr>
          <w:rFonts w:ascii="Bookman Old Style" w:hAnsi="Bookman Old Style"/>
          <w:iCs/>
          <w:lang w:val="es-CO"/>
        </w:rPr>
        <w:t xml:space="preserve"> como se evidencia en el caso en concreto con la expedición de la Resolución CREG </w:t>
      </w:r>
      <w:r w:rsidRPr="003169A9">
        <w:rPr>
          <w:rFonts w:ascii="Bookman Old Style" w:hAnsi="Bookman Old Style"/>
          <w:lang w:val="es-CO"/>
        </w:rPr>
        <w:t xml:space="preserve">501 </w:t>
      </w:r>
      <w:r w:rsidR="008F3260">
        <w:rPr>
          <w:rFonts w:ascii="Bookman Old Style" w:hAnsi="Bookman Old Style"/>
          <w:lang w:val="es-CO"/>
        </w:rPr>
        <w:t>041</w:t>
      </w:r>
      <w:r w:rsidRPr="003169A9">
        <w:rPr>
          <w:rFonts w:ascii="Bookman Old Style" w:hAnsi="Bookman Old Style"/>
          <w:lang w:val="es-CO"/>
        </w:rPr>
        <w:t xml:space="preserve"> del 17 de mayo de 2022.</w:t>
      </w:r>
    </w:p>
    <w:p w14:paraId="1E672382" w14:textId="411C2C1F" w:rsidR="0003304F" w:rsidRDefault="0003304F" w:rsidP="003169A9">
      <w:pPr>
        <w:pStyle w:val="Textodebloque"/>
        <w:ind w:left="284" w:right="6"/>
        <w:contextualSpacing/>
        <w:rPr>
          <w:rFonts w:ascii="Bookman Old Style" w:hAnsi="Bookman Old Style"/>
          <w:iCs/>
          <w:lang w:val="es-CO"/>
        </w:rPr>
      </w:pPr>
    </w:p>
    <w:p w14:paraId="0F57A3D9" w14:textId="616B761D" w:rsidR="003169A9" w:rsidRPr="00D850E9" w:rsidRDefault="003169A9" w:rsidP="003169A9">
      <w:pPr>
        <w:pStyle w:val="Textodebloque"/>
        <w:ind w:left="284" w:right="6"/>
        <w:contextualSpacing/>
        <w:rPr>
          <w:rFonts w:ascii="Bookman Old Style" w:hAnsi="Bookman Old Style"/>
          <w:iCs/>
          <w:lang w:val="es-CO"/>
        </w:rPr>
      </w:pPr>
      <w:r w:rsidRPr="00D850E9">
        <w:rPr>
          <w:rFonts w:ascii="Bookman Old Style" w:hAnsi="Bookman Old Style"/>
          <w:iCs/>
          <w:lang w:val="es-CO"/>
        </w:rPr>
        <w:t xml:space="preserve">En ese sentido, si bien el trámite administrativo tuvo una duración superior a los </w:t>
      </w:r>
      <w:r w:rsidR="00D627AD">
        <w:rPr>
          <w:rFonts w:ascii="Bookman Old Style" w:hAnsi="Bookman Old Style"/>
          <w:iCs/>
          <w:lang w:val="es-CO"/>
        </w:rPr>
        <w:t>cinco (</w:t>
      </w:r>
      <w:r w:rsidRPr="00D850E9">
        <w:rPr>
          <w:rFonts w:ascii="Bookman Old Style" w:hAnsi="Bookman Old Style"/>
          <w:iCs/>
          <w:lang w:val="es-CO"/>
        </w:rPr>
        <w:t>5</w:t>
      </w:r>
      <w:r w:rsidR="00D627AD">
        <w:rPr>
          <w:rFonts w:ascii="Bookman Old Style" w:hAnsi="Bookman Old Style"/>
          <w:iCs/>
          <w:lang w:val="es-CO"/>
        </w:rPr>
        <w:t>)</w:t>
      </w:r>
      <w:r w:rsidRPr="00D850E9">
        <w:rPr>
          <w:rFonts w:ascii="Bookman Old Style" w:hAnsi="Bookman Old Style"/>
          <w:iCs/>
          <w:lang w:val="es-CO"/>
        </w:rPr>
        <w:t xml:space="preserve"> meses, el tiempo utilizado para el desarrollo de la actuación fue el requerido para contar con toda la información y realizar los análisis correspondientes para que esta Comisión cumpliera con su deber legal de proferir una decisión de fondo.</w:t>
      </w:r>
    </w:p>
    <w:p w14:paraId="290BA632" w14:textId="77777777" w:rsidR="00FE5C9B" w:rsidRDefault="00FE5C9B" w:rsidP="003169A9">
      <w:pPr>
        <w:pStyle w:val="Textodebloque"/>
        <w:ind w:left="284" w:right="6"/>
        <w:contextualSpacing/>
        <w:rPr>
          <w:rFonts w:ascii="Bookman Old Style" w:hAnsi="Bookman Old Style"/>
          <w:lang w:val="es-CO"/>
        </w:rPr>
      </w:pPr>
    </w:p>
    <w:p w14:paraId="5335C29D" w14:textId="729F28F3" w:rsidR="00FE5C9B" w:rsidRPr="00FE5C9B" w:rsidRDefault="00C52E45" w:rsidP="00B27F86">
      <w:pPr>
        <w:pStyle w:val="Textodebloque"/>
        <w:ind w:left="284" w:right="6"/>
        <w:rPr>
          <w:rFonts w:ascii="Bookman Old Style" w:hAnsi="Bookman Old Style"/>
        </w:rPr>
      </w:pPr>
      <w:r>
        <w:rPr>
          <w:rFonts w:ascii="Bookman Old Style" w:hAnsi="Bookman Old Style"/>
        </w:rPr>
        <w:t>Así</w:t>
      </w:r>
      <w:r w:rsidR="00337F75">
        <w:rPr>
          <w:rFonts w:ascii="Bookman Old Style" w:hAnsi="Bookman Old Style"/>
        </w:rPr>
        <w:t>,</w:t>
      </w:r>
      <w:r>
        <w:rPr>
          <w:rFonts w:ascii="Bookman Old Style" w:hAnsi="Bookman Old Style"/>
        </w:rPr>
        <w:t xml:space="preserve"> </w:t>
      </w:r>
      <w:r w:rsidR="0096178B">
        <w:rPr>
          <w:rFonts w:ascii="Bookman Old Style" w:hAnsi="Bookman Old Style"/>
        </w:rPr>
        <w:t xml:space="preserve">para poder adoptar una </w:t>
      </w:r>
      <w:r w:rsidR="004E3FA7">
        <w:rPr>
          <w:rFonts w:ascii="Bookman Old Style" w:hAnsi="Bookman Old Style"/>
        </w:rPr>
        <w:t xml:space="preserve">decisión </w:t>
      </w:r>
      <w:r w:rsidR="00A712E7">
        <w:rPr>
          <w:rFonts w:ascii="Bookman Old Style" w:hAnsi="Bookman Old Style"/>
        </w:rPr>
        <w:t xml:space="preserve">que ponga fin a la actuación administrativa se requiere de </w:t>
      </w:r>
      <w:r w:rsidR="00FE5C9B" w:rsidRPr="00FE5C9B">
        <w:rPr>
          <w:rFonts w:ascii="Bookman Old Style" w:hAnsi="Bookman Old Style"/>
        </w:rPr>
        <w:t>la oportuna presentación de la información y su correspondiente completitud, por parte del solicitante</w:t>
      </w:r>
      <w:r w:rsidR="006F271C">
        <w:rPr>
          <w:rFonts w:ascii="Bookman Old Style" w:hAnsi="Bookman Old Style"/>
        </w:rPr>
        <w:t xml:space="preserve">. </w:t>
      </w:r>
      <w:r w:rsidR="00FE5C9B" w:rsidRPr="00FE5C9B">
        <w:rPr>
          <w:rFonts w:ascii="Bookman Old Style" w:hAnsi="Bookman Old Style"/>
        </w:rPr>
        <w:t>Por lo anterior</w:t>
      </w:r>
      <w:r w:rsidR="00D627AD">
        <w:rPr>
          <w:rFonts w:ascii="Bookman Old Style" w:hAnsi="Bookman Old Style"/>
        </w:rPr>
        <w:t>,</w:t>
      </w:r>
      <w:r w:rsidR="00FE5C9B" w:rsidRPr="00FE5C9B">
        <w:rPr>
          <w:rFonts w:ascii="Bookman Old Style" w:hAnsi="Bookman Old Style"/>
        </w:rPr>
        <w:t xml:space="preserve"> y cumpliendo en rigor jurídico el debido proceso, se adelantó la actuación administrativa, agotando cada paso del procedimiento, desde </w:t>
      </w:r>
      <w:r w:rsidR="006B50AF">
        <w:rPr>
          <w:rFonts w:ascii="Bookman Old Style" w:hAnsi="Bookman Old Style"/>
        </w:rPr>
        <w:t xml:space="preserve">la </w:t>
      </w:r>
      <w:r w:rsidR="00F76A7D">
        <w:rPr>
          <w:rFonts w:ascii="Bookman Old Style" w:hAnsi="Bookman Old Style"/>
        </w:rPr>
        <w:t>expedición</w:t>
      </w:r>
      <w:r w:rsidR="006B50AF">
        <w:rPr>
          <w:rFonts w:ascii="Bookman Old Style" w:hAnsi="Bookman Old Style"/>
        </w:rPr>
        <w:t xml:space="preserve"> del </w:t>
      </w:r>
      <w:r w:rsidR="00FE5C9B" w:rsidRPr="00FE5C9B">
        <w:rPr>
          <w:rFonts w:ascii="Bookman Old Style" w:hAnsi="Bookman Old Style"/>
        </w:rPr>
        <w:t xml:space="preserve">Auto de inicio, </w:t>
      </w:r>
      <w:r w:rsidR="008D64EB">
        <w:rPr>
          <w:rFonts w:ascii="Bookman Old Style" w:hAnsi="Bookman Old Style"/>
        </w:rPr>
        <w:t xml:space="preserve">publicación del </w:t>
      </w:r>
      <w:r w:rsidR="00FE5C9B" w:rsidRPr="00FE5C9B">
        <w:rPr>
          <w:rFonts w:ascii="Bookman Old Style" w:hAnsi="Bookman Old Style"/>
        </w:rPr>
        <w:t>Aviso, Notificaciones, Auto de pruebas</w:t>
      </w:r>
      <w:r w:rsidR="00FC3A23">
        <w:rPr>
          <w:rFonts w:ascii="Bookman Old Style" w:hAnsi="Bookman Old Style"/>
        </w:rPr>
        <w:t>,</w:t>
      </w:r>
      <w:r w:rsidR="008D64EB">
        <w:rPr>
          <w:rFonts w:ascii="Bookman Old Style" w:hAnsi="Bookman Old Style"/>
        </w:rPr>
        <w:t xml:space="preserve"> hasta</w:t>
      </w:r>
      <w:r w:rsidR="00FE5C9B" w:rsidRPr="00FE5C9B">
        <w:rPr>
          <w:rFonts w:ascii="Bookman Old Style" w:hAnsi="Bookman Old Style"/>
        </w:rPr>
        <w:t xml:space="preserve"> llegar al análisis y </w:t>
      </w:r>
      <w:r w:rsidR="008D64EB">
        <w:rPr>
          <w:rFonts w:ascii="Bookman Old Style" w:hAnsi="Bookman Old Style"/>
        </w:rPr>
        <w:t>determinación d</w:t>
      </w:r>
      <w:r w:rsidR="00FE5C9B" w:rsidRPr="00FE5C9B">
        <w:rPr>
          <w:rFonts w:ascii="Bookman Old Style" w:hAnsi="Bookman Old Style"/>
        </w:rPr>
        <w:t xml:space="preserve">el cargo correspondiente </w:t>
      </w:r>
      <w:r w:rsidR="008D64EB">
        <w:rPr>
          <w:rFonts w:ascii="Bookman Old Style" w:hAnsi="Bookman Old Style"/>
        </w:rPr>
        <w:t xml:space="preserve">señalado </w:t>
      </w:r>
      <w:r w:rsidR="00FE5C9B" w:rsidRPr="00FE5C9B">
        <w:rPr>
          <w:rFonts w:ascii="Bookman Old Style" w:hAnsi="Bookman Old Style"/>
        </w:rPr>
        <w:t xml:space="preserve">en la </w:t>
      </w:r>
      <w:r w:rsidR="008D64EB">
        <w:rPr>
          <w:rFonts w:ascii="Bookman Old Style" w:hAnsi="Bookman Old Style"/>
        </w:rPr>
        <w:t>R</w:t>
      </w:r>
      <w:r w:rsidR="00FE5C9B" w:rsidRPr="00FE5C9B">
        <w:rPr>
          <w:rFonts w:ascii="Bookman Old Style" w:hAnsi="Bookman Old Style"/>
        </w:rPr>
        <w:t>esolución</w:t>
      </w:r>
      <w:r w:rsidR="008D64EB">
        <w:rPr>
          <w:rFonts w:ascii="Bookman Old Style" w:hAnsi="Bookman Old Style"/>
        </w:rPr>
        <w:t xml:space="preserve"> CREG</w:t>
      </w:r>
      <w:r w:rsidR="00FE5C9B" w:rsidRPr="00FE5C9B">
        <w:rPr>
          <w:rFonts w:ascii="Bookman Old Style" w:hAnsi="Bookman Old Style"/>
        </w:rPr>
        <w:t xml:space="preserve"> 501 041 de 2022.</w:t>
      </w:r>
    </w:p>
    <w:p w14:paraId="303563B2" w14:textId="5EF2DA20" w:rsidR="003169A9" w:rsidRPr="003169A9" w:rsidRDefault="008D64EB" w:rsidP="003169A9">
      <w:pPr>
        <w:pStyle w:val="Textodebloque"/>
        <w:ind w:left="284" w:right="6"/>
        <w:contextualSpacing/>
        <w:rPr>
          <w:rFonts w:ascii="Bookman Old Style" w:hAnsi="Bookman Old Style"/>
          <w:i/>
          <w:lang w:val="es-ES"/>
        </w:rPr>
      </w:pPr>
      <w:r>
        <w:rPr>
          <w:rFonts w:ascii="Bookman Old Style" w:hAnsi="Bookman Old Style"/>
          <w:lang w:val="es-ES"/>
        </w:rPr>
        <w:t>En consonancia con lo anterior</w:t>
      </w:r>
      <w:r w:rsidR="003169A9" w:rsidRPr="003169A9">
        <w:rPr>
          <w:rFonts w:ascii="Bookman Old Style" w:hAnsi="Bookman Old Style"/>
          <w:lang w:val="es-ES"/>
        </w:rPr>
        <w:t>,</w:t>
      </w:r>
      <w:r>
        <w:rPr>
          <w:rFonts w:ascii="Bookman Old Style" w:hAnsi="Bookman Old Style"/>
          <w:lang w:val="es-ES"/>
        </w:rPr>
        <w:t xml:space="preserve"> no</w:t>
      </w:r>
      <w:r w:rsidR="003169A9" w:rsidRPr="003169A9">
        <w:rPr>
          <w:rFonts w:ascii="Bookman Old Style" w:hAnsi="Bookman Old Style"/>
          <w:lang w:val="es-ES"/>
        </w:rPr>
        <w:t xml:space="preserve"> es atribuible a esta Comisión la vulneración al debido proceso y el acceso a la administración de justicia del administrado</w:t>
      </w:r>
      <w:r w:rsidR="00D627AD">
        <w:rPr>
          <w:rFonts w:ascii="Bookman Old Style" w:hAnsi="Bookman Old Style"/>
          <w:lang w:val="es-ES"/>
        </w:rPr>
        <w:t>,</w:t>
      </w:r>
      <w:r w:rsidR="003169A9" w:rsidRPr="003169A9">
        <w:rPr>
          <w:rFonts w:ascii="Bookman Old Style" w:hAnsi="Bookman Old Style"/>
          <w:lang w:val="es-ES"/>
        </w:rPr>
        <w:t xml:space="preserve"> ya que durante todo el trámite de la actuación administrativa se le dio oportunidad al recurrente de presentar pruebas, manifestarse sobre lo actuado y una vez proferida la decisión se le otorgó el término previsto en el artículo 113 de la Ley 142 de 1994 para presentar recurso de reposición. Agotándose en esta instancia el </w:t>
      </w:r>
      <w:r w:rsidR="00B10903" w:rsidRPr="003169A9">
        <w:rPr>
          <w:rFonts w:ascii="Bookman Old Style" w:hAnsi="Bookman Old Style"/>
          <w:lang w:val="es-ES"/>
        </w:rPr>
        <w:t>trámite</w:t>
      </w:r>
      <w:r w:rsidR="003169A9" w:rsidRPr="003169A9">
        <w:rPr>
          <w:rFonts w:ascii="Bookman Old Style" w:hAnsi="Bookman Old Style"/>
          <w:lang w:val="es-ES"/>
        </w:rPr>
        <w:t xml:space="preserve"> de la actuación administrativa.</w:t>
      </w:r>
    </w:p>
    <w:p w14:paraId="281772BF" w14:textId="49C8FA2C" w:rsidR="00EE28AB" w:rsidRDefault="00EE28AB" w:rsidP="00BC52A7">
      <w:pPr>
        <w:pStyle w:val="Textodebloque"/>
        <w:ind w:left="284" w:right="6"/>
        <w:contextualSpacing/>
        <w:rPr>
          <w:rFonts w:ascii="Bookman Old Style" w:hAnsi="Bookman Old Style"/>
          <w:szCs w:val="24"/>
        </w:rPr>
      </w:pPr>
    </w:p>
    <w:p w14:paraId="7055C690" w14:textId="4089A9AB" w:rsidR="00EE28AB" w:rsidRDefault="00EE28AB" w:rsidP="00EE28AB">
      <w:pPr>
        <w:pStyle w:val="Textodebloque"/>
        <w:ind w:left="284" w:right="6"/>
        <w:contextualSpacing/>
        <w:rPr>
          <w:rFonts w:ascii="Bookman Old Style" w:hAnsi="Bookman Old Style"/>
        </w:rPr>
      </w:pPr>
      <w:r w:rsidRPr="00EE28AB">
        <w:rPr>
          <w:rFonts w:ascii="Bookman Old Style" w:hAnsi="Bookman Old Style"/>
        </w:rPr>
        <w:t xml:space="preserve">Por otra parte, en cuanto al argumento presentado por el recurrente de la aplicación de los principios de la Non </w:t>
      </w:r>
      <w:proofErr w:type="spellStart"/>
      <w:r w:rsidRPr="00EE28AB">
        <w:rPr>
          <w:rFonts w:ascii="Bookman Old Style" w:hAnsi="Bookman Old Style"/>
        </w:rPr>
        <w:t>Reformatio</w:t>
      </w:r>
      <w:proofErr w:type="spellEnd"/>
      <w:r w:rsidRPr="00EE28AB">
        <w:rPr>
          <w:rFonts w:ascii="Bookman Old Style" w:hAnsi="Bookman Old Style"/>
        </w:rPr>
        <w:t xml:space="preserve"> In </w:t>
      </w:r>
      <w:proofErr w:type="spellStart"/>
      <w:r w:rsidRPr="00EE28AB">
        <w:rPr>
          <w:rFonts w:ascii="Bookman Old Style" w:hAnsi="Bookman Old Style"/>
        </w:rPr>
        <w:t>Pejus</w:t>
      </w:r>
      <w:proofErr w:type="spellEnd"/>
      <w:r w:rsidRPr="00EE28AB">
        <w:rPr>
          <w:rFonts w:ascii="Bookman Old Style" w:hAnsi="Bookman Old Style"/>
        </w:rPr>
        <w:t xml:space="preserve"> y la Congruencia Administrativa:</w:t>
      </w:r>
    </w:p>
    <w:p w14:paraId="7C3ED883" w14:textId="77777777" w:rsidR="00112C8D" w:rsidRDefault="00112C8D" w:rsidP="00EE28AB">
      <w:pPr>
        <w:pStyle w:val="Textodebloque"/>
        <w:ind w:left="284" w:right="6"/>
        <w:contextualSpacing/>
        <w:rPr>
          <w:rFonts w:ascii="Bookman Old Style" w:hAnsi="Bookman Old Style"/>
        </w:rPr>
      </w:pPr>
    </w:p>
    <w:p w14:paraId="25AF8690" w14:textId="25A6F48A" w:rsidR="00EE28AB" w:rsidRDefault="00EE28AB" w:rsidP="00340CF0">
      <w:pPr>
        <w:pStyle w:val="Textodebloque"/>
        <w:ind w:left="284" w:right="6"/>
        <w:contextualSpacing/>
        <w:rPr>
          <w:rFonts w:ascii="Bookman Old Style" w:hAnsi="Bookman Old Style"/>
        </w:rPr>
      </w:pPr>
      <w:r w:rsidRPr="00EE28AB">
        <w:rPr>
          <w:rFonts w:ascii="Bookman Old Style" w:hAnsi="Bookman Old Style"/>
        </w:rPr>
        <w:t xml:space="preserve">En relación con el principio de la Non </w:t>
      </w:r>
      <w:proofErr w:type="spellStart"/>
      <w:r w:rsidRPr="00EE28AB">
        <w:rPr>
          <w:rFonts w:ascii="Bookman Old Style" w:hAnsi="Bookman Old Style"/>
        </w:rPr>
        <w:t>Reformatio</w:t>
      </w:r>
      <w:proofErr w:type="spellEnd"/>
      <w:r w:rsidRPr="00EE28AB">
        <w:rPr>
          <w:rFonts w:ascii="Bookman Old Style" w:hAnsi="Bookman Old Style"/>
        </w:rPr>
        <w:t xml:space="preserve"> in </w:t>
      </w:r>
      <w:proofErr w:type="spellStart"/>
      <w:r w:rsidRPr="00EE28AB">
        <w:rPr>
          <w:rFonts w:ascii="Bookman Old Style" w:hAnsi="Bookman Old Style"/>
        </w:rPr>
        <w:t>Pejus</w:t>
      </w:r>
      <w:proofErr w:type="spellEnd"/>
      <w:r w:rsidR="00D627AD">
        <w:rPr>
          <w:rFonts w:ascii="Bookman Old Style" w:hAnsi="Bookman Old Style"/>
        </w:rPr>
        <w:t>,</w:t>
      </w:r>
      <w:r w:rsidRPr="00EE28AB">
        <w:rPr>
          <w:rFonts w:ascii="Bookman Old Style" w:hAnsi="Bookman Old Style"/>
        </w:rPr>
        <w:t xml:space="preserve"> el Honorable Consejo de Estado, Sala de lo Contencioso Administrativo, Sección Primera</w:t>
      </w:r>
      <w:r w:rsidR="00340CF0">
        <w:rPr>
          <w:rFonts w:ascii="Bookman Old Style" w:hAnsi="Bookman Old Style"/>
        </w:rPr>
        <w:t xml:space="preserve"> ha señalado que</w:t>
      </w:r>
      <w:r w:rsidRPr="00EE28AB">
        <w:rPr>
          <w:rFonts w:ascii="Bookman Old Style" w:hAnsi="Bookman Old Style"/>
        </w:rPr>
        <w:t xml:space="preserve"> este principio solo tiene cabida en actuaciones administrativas sancionatorias</w:t>
      </w:r>
      <w:r w:rsidRPr="00EE28AB">
        <w:rPr>
          <w:rFonts w:ascii="Bookman Old Style" w:hAnsi="Bookman Old Style"/>
          <w:vertAlign w:val="superscript"/>
        </w:rPr>
        <w:footnoteReference w:id="2"/>
      </w:r>
      <w:r w:rsidRPr="00EE28AB">
        <w:rPr>
          <w:rFonts w:ascii="Bookman Old Style" w:hAnsi="Bookman Old Style"/>
        </w:rPr>
        <w:t>.</w:t>
      </w:r>
      <w:r w:rsidR="00340CF0">
        <w:rPr>
          <w:rFonts w:ascii="Bookman Old Style" w:hAnsi="Bookman Old Style"/>
        </w:rPr>
        <w:t xml:space="preserve"> </w:t>
      </w:r>
      <w:r w:rsidRPr="00EE28AB">
        <w:rPr>
          <w:rFonts w:ascii="Bookman Old Style" w:hAnsi="Bookman Old Style"/>
        </w:rPr>
        <w:t xml:space="preserve"> </w:t>
      </w:r>
    </w:p>
    <w:p w14:paraId="521233FD" w14:textId="77777777" w:rsidR="00EE28AB" w:rsidRPr="00EE28AB" w:rsidRDefault="00EE28AB" w:rsidP="00EE28AB">
      <w:pPr>
        <w:pStyle w:val="Textodebloque"/>
        <w:ind w:left="284" w:right="6"/>
        <w:contextualSpacing/>
        <w:rPr>
          <w:rFonts w:ascii="Bookman Old Style" w:hAnsi="Bookman Old Style"/>
        </w:rPr>
      </w:pPr>
    </w:p>
    <w:p w14:paraId="18F7CC99" w14:textId="1FEFF7D3" w:rsidR="00340CF0" w:rsidRDefault="00EE28AB" w:rsidP="00340CF0">
      <w:pPr>
        <w:pStyle w:val="Textodebloque"/>
        <w:ind w:left="284" w:right="6"/>
        <w:contextualSpacing/>
        <w:rPr>
          <w:rFonts w:ascii="Bookman Old Style" w:hAnsi="Bookman Old Style"/>
        </w:rPr>
      </w:pPr>
      <w:r w:rsidRPr="00EE28AB">
        <w:rPr>
          <w:rFonts w:ascii="Bookman Old Style" w:hAnsi="Bookman Old Style"/>
        </w:rPr>
        <w:t>La definición de un cargo para la remuneración de la actividad de generación de energía eléctrica aplicable en un mercado relevante de comercialización con base en una metodología tarifaria previamente establecida, es de naturaleza administrativa regulatoria y no de caráct</w:t>
      </w:r>
      <w:r w:rsidR="00340CF0">
        <w:rPr>
          <w:rFonts w:ascii="Bookman Old Style" w:hAnsi="Bookman Old Style"/>
        </w:rPr>
        <w:t>er administrativo sancionatorio. Lo anterior, en virtud de que</w:t>
      </w:r>
      <w:r w:rsidRPr="00EE28AB">
        <w:rPr>
          <w:rFonts w:ascii="Bookman Old Style" w:hAnsi="Bookman Old Style"/>
        </w:rPr>
        <w:t xml:space="preserve"> con la decisión de la actuación lo que se determina es el costo de generación que puede ser trasladado a los usuarios del servicio en el respectivo mercado</w:t>
      </w:r>
      <w:r w:rsidR="00EB3874">
        <w:rPr>
          <w:rFonts w:ascii="Bookman Old Style" w:hAnsi="Bookman Old Style"/>
        </w:rPr>
        <w:t>,</w:t>
      </w:r>
      <w:r w:rsidRPr="00EE28AB">
        <w:rPr>
          <w:rFonts w:ascii="Bookman Old Style" w:hAnsi="Bookman Old Style"/>
        </w:rPr>
        <w:t xml:space="preserve"> y no una sanción a la empresa que lo solicita.</w:t>
      </w:r>
      <w:r w:rsidR="00340CF0">
        <w:rPr>
          <w:rFonts w:ascii="Bookman Old Style" w:hAnsi="Bookman Old Style"/>
        </w:rPr>
        <w:t xml:space="preserve"> En ese sentido, </w:t>
      </w:r>
      <w:r w:rsidR="00340CF0" w:rsidRPr="00EE28AB">
        <w:rPr>
          <w:rFonts w:ascii="Bookman Old Style" w:hAnsi="Bookman Old Style"/>
        </w:rPr>
        <w:t xml:space="preserve">es erróneo lo manifestado por el recurrente </w:t>
      </w:r>
      <w:r w:rsidR="00340CF0">
        <w:rPr>
          <w:rFonts w:ascii="Bookman Old Style" w:hAnsi="Bookman Old Style"/>
        </w:rPr>
        <w:t xml:space="preserve">de dar aplicación a </w:t>
      </w:r>
      <w:r w:rsidR="00340CF0" w:rsidRPr="00EE28AB">
        <w:rPr>
          <w:rFonts w:ascii="Bookman Old Style" w:hAnsi="Bookman Old Style"/>
        </w:rPr>
        <w:t xml:space="preserve">dicho principio </w:t>
      </w:r>
      <w:r w:rsidR="00340CF0">
        <w:rPr>
          <w:rFonts w:ascii="Bookman Old Style" w:hAnsi="Bookman Old Style"/>
        </w:rPr>
        <w:t xml:space="preserve">dentro de </w:t>
      </w:r>
      <w:r w:rsidR="00340CF0" w:rsidRPr="00EE28AB">
        <w:rPr>
          <w:rFonts w:ascii="Bookman Old Style" w:hAnsi="Bookman Old Style"/>
        </w:rPr>
        <w:t>la actuación administrativa</w:t>
      </w:r>
      <w:r w:rsidR="00EB3874">
        <w:rPr>
          <w:rFonts w:ascii="Bookman Old Style" w:hAnsi="Bookman Old Style"/>
        </w:rPr>
        <w:t>,</w:t>
      </w:r>
      <w:r w:rsidR="00340CF0" w:rsidRPr="00EE28AB">
        <w:rPr>
          <w:rFonts w:ascii="Bookman Old Style" w:hAnsi="Bookman Old Style"/>
        </w:rPr>
        <w:t xml:space="preserve"> ya que </w:t>
      </w:r>
      <w:r w:rsidR="00340CF0">
        <w:rPr>
          <w:rFonts w:ascii="Bookman Old Style" w:hAnsi="Bookman Old Style"/>
        </w:rPr>
        <w:t xml:space="preserve">no procede por no tratarse de una actuación de naturaleza sancionatoria. </w:t>
      </w:r>
    </w:p>
    <w:p w14:paraId="051C1CE9" w14:textId="77777777" w:rsidR="003B0FA8" w:rsidRDefault="003B0FA8" w:rsidP="00340CF0">
      <w:pPr>
        <w:pStyle w:val="Textodebloque"/>
        <w:ind w:left="284" w:right="6"/>
        <w:contextualSpacing/>
        <w:rPr>
          <w:rFonts w:ascii="Bookman Old Style" w:hAnsi="Bookman Old Style"/>
        </w:rPr>
      </w:pPr>
    </w:p>
    <w:p w14:paraId="15B175AF" w14:textId="3D865C12" w:rsidR="003B0FA8" w:rsidRDefault="003B0FA8" w:rsidP="003B0FA8">
      <w:pPr>
        <w:pStyle w:val="Textodebloque"/>
        <w:ind w:left="284" w:right="6"/>
        <w:contextualSpacing/>
        <w:rPr>
          <w:rFonts w:ascii="Bookman Old Style" w:hAnsi="Bookman Old Style"/>
        </w:rPr>
      </w:pPr>
      <w:r>
        <w:rPr>
          <w:rFonts w:ascii="Bookman Old Style" w:hAnsi="Bookman Old Style"/>
        </w:rPr>
        <w:t>Igualmente</w:t>
      </w:r>
      <w:r w:rsidRPr="00EE28AB">
        <w:rPr>
          <w:rFonts w:ascii="Bookman Old Style" w:hAnsi="Bookman Old Style"/>
        </w:rPr>
        <w:t xml:space="preserve">, debe tenerse en cuenta que el principio de la Non </w:t>
      </w:r>
      <w:proofErr w:type="spellStart"/>
      <w:r w:rsidRPr="00EE28AB">
        <w:rPr>
          <w:rFonts w:ascii="Bookman Old Style" w:hAnsi="Bookman Old Style"/>
        </w:rPr>
        <w:t>Reformatio</w:t>
      </w:r>
      <w:proofErr w:type="spellEnd"/>
      <w:r w:rsidRPr="00EE28AB">
        <w:rPr>
          <w:rFonts w:ascii="Bookman Old Style" w:hAnsi="Bookman Old Style"/>
        </w:rPr>
        <w:t xml:space="preserve"> in </w:t>
      </w:r>
      <w:proofErr w:type="spellStart"/>
      <w:r w:rsidRPr="00EE28AB">
        <w:rPr>
          <w:rFonts w:ascii="Bookman Old Style" w:hAnsi="Bookman Old Style"/>
        </w:rPr>
        <w:t>Pejus</w:t>
      </w:r>
      <w:proofErr w:type="spellEnd"/>
      <w:r w:rsidRPr="00EE28AB">
        <w:rPr>
          <w:rFonts w:ascii="Bookman Old Style" w:hAnsi="Bookman Old Style"/>
        </w:rPr>
        <w:t xml:space="preserve"> en materia administrativa ha tenido desarrollo por parte del legislador y se encuentra </w:t>
      </w:r>
      <w:r w:rsidR="00BA1A7E">
        <w:rPr>
          <w:rFonts w:ascii="Bookman Old Style" w:hAnsi="Bookman Old Style"/>
        </w:rPr>
        <w:t xml:space="preserve">prevista </w:t>
      </w:r>
      <w:r w:rsidRPr="00EE28AB">
        <w:rPr>
          <w:rFonts w:ascii="Bookman Old Style" w:hAnsi="Bookman Old Style"/>
        </w:rPr>
        <w:t xml:space="preserve">en lo señalado en el artículo 3.1 del CPACA. </w:t>
      </w:r>
    </w:p>
    <w:p w14:paraId="143407C3" w14:textId="77777777" w:rsidR="003B0FA8" w:rsidRDefault="003B0FA8" w:rsidP="003B0FA8">
      <w:pPr>
        <w:pStyle w:val="Textodebloque"/>
        <w:ind w:left="284" w:right="6"/>
        <w:contextualSpacing/>
        <w:rPr>
          <w:rFonts w:ascii="Bookman Old Style" w:hAnsi="Bookman Old Style"/>
        </w:rPr>
      </w:pPr>
    </w:p>
    <w:p w14:paraId="3B48A2E3" w14:textId="54031A51" w:rsidR="003B0FA8" w:rsidRDefault="00A8418B" w:rsidP="003B0FA8">
      <w:pPr>
        <w:pStyle w:val="Textodebloque"/>
        <w:ind w:left="284" w:right="6"/>
        <w:contextualSpacing/>
        <w:rPr>
          <w:rFonts w:ascii="Bookman Old Style" w:hAnsi="Bookman Old Style"/>
        </w:rPr>
      </w:pPr>
      <w:r>
        <w:rPr>
          <w:rFonts w:ascii="Bookman Old Style" w:hAnsi="Bookman Old Style"/>
        </w:rPr>
        <w:t>L</w:t>
      </w:r>
      <w:r w:rsidR="00301603">
        <w:rPr>
          <w:rFonts w:ascii="Bookman Old Style" w:hAnsi="Bookman Old Style"/>
        </w:rPr>
        <w:t>a intervención de esta Comisión en el caso objeto de estudio se encuentra enmarcada en las competencias y facultades otorgadas en una norma especial</w:t>
      </w:r>
      <w:r w:rsidR="00EB3874">
        <w:rPr>
          <w:rFonts w:ascii="Bookman Old Style" w:hAnsi="Bookman Old Style"/>
        </w:rPr>
        <w:t>,</w:t>
      </w:r>
      <w:r w:rsidR="00301603">
        <w:rPr>
          <w:rFonts w:ascii="Bookman Old Style" w:hAnsi="Bookman Old Style"/>
        </w:rPr>
        <w:t xml:space="preserve"> por lo que </w:t>
      </w:r>
      <w:r w:rsidR="00340CF0">
        <w:rPr>
          <w:rFonts w:ascii="Bookman Old Style" w:hAnsi="Bookman Old Style"/>
        </w:rPr>
        <w:t xml:space="preserve">para la definición del cargo solicitado se tiene en cuenta lo </w:t>
      </w:r>
      <w:r w:rsidR="003B0FA8">
        <w:rPr>
          <w:rFonts w:ascii="Bookman Old Style" w:hAnsi="Bookman Old Style"/>
        </w:rPr>
        <w:t>previsto en la Ley 142 de 1994, el marco normativo y regulatorio</w:t>
      </w:r>
      <w:r>
        <w:rPr>
          <w:rStyle w:val="Refdenotaalpie"/>
          <w:rFonts w:ascii="Bookman Old Style" w:hAnsi="Bookman Old Style"/>
        </w:rPr>
        <w:footnoteReference w:id="3"/>
      </w:r>
      <w:r w:rsidR="00340CF0">
        <w:rPr>
          <w:rFonts w:ascii="Bookman Old Style" w:hAnsi="Bookman Old Style"/>
        </w:rPr>
        <w:t xml:space="preserve"> </w:t>
      </w:r>
      <w:r w:rsidR="00D95BAE">
        <w:rPr>
          <w:rFonts w:ascii="Bookman Old Style" w:hAnsi="Bookman Old Style"/>
        </w:rPr>
        <w:t>vigente</w:t>
      </w:r>
      <w:r w:rsidR="00340CF0">
        <w:rPr>
          <w:rFonts w:ascii="Bookman Old Style" w:hAnsi="Bookman Old Style"/>
        </w:rPr>
        <w:t xml:space="preserve"> y</w:t>
      </w:r>
      <w:r w:rsidR="003B0FA8">
        <w:rPr>
          <w:rFonts w:ascii="Bookman Old Style" w:hAnsi="Bookman Old Style"/>
        </w:rPr>
        <w:t xml:space="preserve"> el procedimiento administrativo señalado en el CPACA. </w:t>
      </w:r>
    </w:p>
    <w:p w14:paraId="029DEC3E" w14:textId="77777777" w:rsidR="003B0FA8" w:rsidRDefault="003B0FA8" w:rsidP="003B0FA8">
      <w:pPr>
        <w:pStyle w:val="Textodebloque"/>
        <w:ind w:left="284" w:right="6"/>
        <w:contextualSpacing/>
        <w:rPr>
          <w:rFonts w:ascii="Bookman Old Style" w:hAnsi="Bookman Old Style"/>
        </w:rPr>
      </w:pPr>
    </w:p>
    <w:p w14:paraId="7C5EA81D" w14:textId="29B2EA8B" w:rsidR="00301603" w:rsidRDefault="003B0FA8" w:rsidP="00EE28AB">
      <w:pPr>
        <w:pStyle w:val="Textodebloque"/>
        <w:ind w:left="284" w:right="6"/>
        <w:contextualSpacing/>
        <w:rPr>
          <w:rFonts w:ascii="Bookman Old Style" w:hAnsi="Bookman Old Style"/>
        </w:rPr>
      </w:pPr>
      <w:r>
        <w:rPr>
          <w:rFonts w:ascii="Bookman Old Style" w:hAnsi="Bookman Old Style"/>
        </w:rPr>
        <w:t>Considerando lo anterior, en el trámite de la actuación administrativa</w:t>
      </w:r>
      <w:r w:rsidR="00EB3874">
        <w:rPr>
          <w:rFonts w:ascii="Bookman Old Style" w:hAnsi="Bookman Old Style"/>
        </w:rPr>
        <w:t>,</w:t>
      </w:r>
      <w:r>
        <w:rPr>
          <w:rFonts w:ascii="Bookman Old Style" w:hAnsi="Bookman Old Style"/>
        </w:rPr>
        <w:t xml:space="preserve"> </w:t>
      </w:r>
      <w:r w:rsidRPr="003B0FA8">
        <w:rPr>
          <w:rFonts w:ascii="Bookman Old Style" w:hAnsi="Bookman Old Style"/>
        </w:rPr>
        <w:t>esta Comisión actuó respetando el debido proceso y aplicando</w:t>
      </w:r>
      <w:r w:rsidR="00B444B0">
        <w:rPr>
          <w:rFonts w:ascii="Bookman Old Style" w:hAnsi="Bookman Old Style"/>
        </w:rPr>
        <w:t xml:space="preserve"> las</w:t>
      </w:r>
      <w:r w:rsidR="00BA1A7E">
        <w:rPr>
          <w:rFonts w:ascii="Bookman Old Style" w:hAnsi="Bookman Old Style"/>
        </w:rPr>
        <w:t xml:space="preserve"> normas de jerarquía superior. Debe resaltarse que</w:t>
      </w:r>
      <w:r w:rsidR="00EB3874">
        <w:rPr>
          <w:rFonts w:ascii="Bookman Old Style" w:hAnsi="Bookman Old Style"/>
        </w:rPr>
        <w:t>,</w:t>
      </w:r>
      <w:r w:rsidR="00BA1A7E">
        <w:rPr>
          <w:rFonts w:ascii="Bookman Old Style" w:hAnsi="Bookman Old Style"/>
        </w:rPr>
        <w:t xml:space="preserve"> en todo caso</w:t>
      </w:r>
      <w:r w:rsidR="00EB3874">
        <w:rPr>
          <w:rFonts w:ascii="Bookman Old Style" w:hAnsi="Bookman Old Style"/>
        </w:rPr>
        <w:t xml:space="preserve">, </w:t>
      </w:r>
      <w:r w:rsidR="00BA1A7E">
        <w:rPr>
          <w:rFonts w:ascii="Bookman Old Style" w:hAnsi="Bookman Old Style"/>
        </w:rPr>
        <w:t>con la decisión adoptada</w:t>
      </w:r>
      <w:r w:rsidR="00EB3874">
        <w:rPr>
          <w:rFonts w:ascii="Bookman Old Style" w:hAnsi="Bookman Old Style"/>
        </w:rPr>
        <w:t>,</w:t>
      </w:r>
      <w:r w:rsidR="00BA1A7E">
        <w:rPr>
          <w:rFonts w:ascii="Bookman Old Style" w:hAnsi="Bookman Old Style"/>
        </w:rPr>
        <w:t xml:space="preserve"> no se está haciendo más gravosa la situación de la empresa, ya </w:t>
      </w:r>
      <w:r w:rsidR="00D95BAE">
        <w:rPr>
          <w:rFonts w:ascii="Bookman Old Style" w:hAnsi="Bookman Old Style"/>
        </w:rPr>
        <w:t>que,</w:t>
      </w:r>
      <w:r w:rsidR="00BA1A7E">
        <w:rPr>
          <w:rFonts w:ascii="Bookman Old Style" w:hAnsi="Bookman Old Style"/>
        </w:rPr>
        <w:t xml:space="preserve"> por el contrario, se </w:t>
      </w:r>
      <w:r w:rsidR="00D95BAE">
        <w:rPr>
          <w:rFonts w:ascii="Bookman Old Style" w:hAnsi="Bookman Old Style"/>
        </w:rPr>
        <w:t>h</w:t>
      </w:r>
      <w:r w:rsidR="001D0FCD">
        <w:rPr>
          <w:rFonts w:ascii="Bookman Old Style" w:hAnsi="Bookman Old Style"/>
        </w:rPr>
        <w:t>ace</w:t>
      </w:r>
      <w:r w:rsidR="00D95BAE">
        <w:rPr>
          <w:rFonts w:ascii="Bookman Old Style" w:hAnsi="Bookman Old Style"/>
        </w:rPr>
        <w:t xml:space="preserve"> una revisión y ajuste </w:t>
      </w:r>
      <w:r w:rsidR="001D0FCD">
        <w:rPr>
          <w:rFonts w:ascii="Bookman Old Style" w:hAnsi="Bookman Old Style"/>
        </w:rPr>
        <w:t>del</w:t>
      </w:r>
      <w:r w:rsidR="00BA1A7E">
        <w:rPr>
          <w:rFonts w:ascii="Bookman Old Style" w:hAnsi="Bookman Old Style"/>
        </w:rPr>
        <w:t xml:space="preserve"> cargo tarifario </w:t>
      </w:r>
      <w:r w:rsidR="00D95BAE">
        <w:rPr>
          <w:rFonts w:ascii="Bookman Old Style" w:hAnsi="Bookman Old Style"/>
        </w:rPr>
        <w:t xml:space="preserve">en lo correspondiente a la </w:t>
      </w:r>
      <w:r w:rsidR="00D95BAE">
        <w:rPr>
          <w:rFonts w:ascii="Bookman Old Style" w:hAnsi="Bookman Old Style"/>
          <w:lang w:val="es-ES"/>
        </w:rPr>
        <w:t>a</w:t>
      </w:r>
      <w:r w:rsidR="00D95BAE" w:rsidRPr="00D95BAE">
        <w:rPr>
          <w:rFonts w:ascii="Bookman Old Style" w:hAnsi="Bookman Old Style"/>
          <w:lang w:val="es-ES"/>
        </w:rPr>
        <w:t>cumulación de recurso solar fotovoltaico</w:t>
      </w:r>
      <w:r w:rsidR="00D95BAE">
        <w:rPr>
          <w:rFonts w:ascii="Bookman Old Style" w:hAnsi="Bookman Old Style"/>
          <w:lang w:val="es-ES"/>
        </w:rPr>
        <w:t xml:space="preserve">, en línea con lo expuesto en el numeral 1.5 de la parte considerativa de la presente resolución.   </w:t>
      </w:r>
    </w:p>
    <w:p w14:paraId="46C424AB" w14:textId="08DBED96" w:rsidR="00BA1A7E" w:rsidRDefault="00BA1A7E" w:rsidP="00EE28AB">
      <w:pPr>
        <w:pStyle w:val="Textodebloque"/>
        <w:ind w:left="284" w:right="6"/>
        <w:contextualSpacing/>
        <w:rPr>
          <w:rFonts w:ascii="Bookman Old Style" w:hAnsi="Bookman Old Style"/>
        </w:rPr>
      </w:pPr>
    </w:p>
    <w:p w14:paraId="13BD3D05" w14:textId="2BC700DB" w:rsidR="00EE28AB" w:rsidRDefault="00EE28AB" w:rsidP="00EE28AB">
      <w:pPr>
        <w:pStyle w:val="Textodebloque"/>
        <w:ind w:left="284" w:right="6"/>
        <w:contextualSpacing/>
        <w:rPr>
          <w:rFonts w:ascii="Bookman Old Style" w:hAnsi="Bookman Old Style"/>
          <w:lang w:val="es-ES"/>
        </w:rPr>
      </w:pPr>
      <w:r w:rsidRPr="00EE28AB">
        <w:rPr>
          <w:rFonts w:ascii="Bookman Old Style" w:hAnsi="Bookman Old Style"/>
        </w:rPr>
        <w:t xml:space="preserve">Adicionalmente, debe considerarse que </w:t>
      </w:r>
      <w:r w:rsidRPr="00EE28AB">
        <w:rPr>
          <w:rFonts w:ascii="Bookman Old Style" w:hAnsi="Bookman Old Style"/>
          <w:lang w:val="es-ES"/>
        </w:rPr>
        <w:t xml:space="preserve">las normas de derecho público y las situaciones jurídicas consolidadas bajo su imperio nacen condicionadas por la prevalencia del interés general y la cláusula del Estado Social del Derecho, razón por las que son eminentemente modificables, con efecto general inmediato. </w:t>
      </w:r>
    </w:p>
    <w:p w14:paraId="0C78A87B" w14:textId="77777777" w:rsidR="00EE28AB" w:rsidRPr="00EE28AB" w:rsidRDefault="00EE28AB" w:rsidP="00EE28AB">
      <w:pPr>
        <w:pStyle w:val="Textodebloque"/>
        <w:ind w:left="284" w:right="6"/>
        <w:contextualSpacing/>
        <w:rPr>
          <w:rFonts w:ascii="Bookman Old Style" w:hAnsi="Bookman Old Style"/>
          <w:lang w:val="es-ES"/>
        </w:rPr>
      </w:pPr>
    </w:p>
    <w:p w14:paraId="5DDAB697" w14:textId="5C3E14C3" w:rsidR="00EE28AB" w:rsidRDefault="00EE28AB" w:rsidP="00EE28AB">
      <w:pPr>
        <w:pStyle w:val="Textodebloque"/>
        <w:ind w:left="284" w:right="6"/>
        <w:contextualSpacing/>
        <w:rPr>
          <w:rFonts w:ascii="Bookman Old Style" w:hAnsi="Bookman Old Style"/>
          <w:lang w:val="es-ES"/>
        </w:rPr>
      </w:pPr>
      <w:r w:rsidRPr="00EE28AB">
        <w:rPr>
          <w:rFonts w:ascii="Bookman Old Style" w:hAnsi="Bookman Old Style"/>
          <w:lang w:val="es-ES"/>
        </w:rPr>
        <w:t>En esa medida</w:t>
      </w:r>
      <w:r w:rsidR="00EB3874">
        <w:rPr>
          <w:rFonts w:ascii="Bookman Old Style" w:hAnsi="Bookman Old Style"/>
          <w:lang w:val="es-ES"/>
        </w:rPr>
        <w:t>,</w:t>
      </w:r>
      <w:r w:rsidRPr="00EE28AB">
        <w:rPr>
          <w:rFonts w:ascii="Bookman Old Style" w:hAnsi="Bookman Old Style"/>
          <w:lang w:val="es-ES"/>
        </w:rPr>
        <w:t xml:space="preserve"> las regulaciones que se expiden en ejercicio de la función de intervención del Estado no generan derechos adquiridos</w:t>
      </w:r>
      <w:r w:rsidR="00EB3874">
        <w:rPr>
          <w:rFonts w:ascii="Bookman Old Style" w:hAnsi="Bookman Old Style"/>
          <w:lang w:val="es-ES"/>
        </w:rPr>
        <w:t>,</w:t>
      </w:r>
      <w:r w:rsidRPr="00EE28AB">
        <w:rPr>
          <w:rFonts w:ascii="Bookman Old Style" w:hAnsi="Bookman Old Style"/>
          <w:lang w:val="es-ES"/>
        </w:rPr>
        <w:t xml:space="preserve"> sino situaciones jurídicas consolidadas</w:t>
      </w:r>
      <w:r w:rsidRPr="00EE28AB">
        <w:rPr>
          <w:rFonts w:ascii="Bookman Old Style" w:hAnsi="Bookman Old Style"/>
          <w:vertAlign w:val="superscript"/>
          <w:lang w:val="es-ES"/>
        </w:rPr>
        <w:footnoteReference w:id="4"/>
      </w:r>
      <w:r w:rsidRPr="00EE28AB">
        <w:rPr>
          <w:rFonts w:ascii="Bookman Old Style" w:hAnsi="Bookman Old Style"/>
          <w:lang w:val="es-ES"/>
        </w:rPr>
        <w:t xml:space="preserve">. </w:t>
      </w:r>
    </w:p>
    <w:p w14:paraId="3A5EDFC3" w14:textId="77777777" w:rsidR="00EE28AB" w:rsidRPr="00EE28AB" w:rsidRDefault="00EE28AB" w:rsidP="00EE28AB">
      <w:pPr>
        <w:pStyle w:val="Textodebloque"/>
        <w:ind w:left="284" w:right="6"/>
        <w:contextualSpacing/>
        <w:rPr>
          <w:rFonts w:ascii="Bookman Old Style" w:hAnsi="Bookman Old Style"/>
          <w:lang w:val="es-ES"/>
        </w:rPr>
      </w:pPr>
    </w:p>
    <w:p w14:paraId="3E323CC8" w14:textId="4FBB9861" w:rsidR="00EE28AB" w:rsidRDefault="00EE28AB" w:rsidP="00EE28AB">
      <w:pPr>
        <w:pStyle w:val="Textodebloque"/>
        <w:ind w:left="284" w:right="6"/>
        <w:contextualSpacing/>
        <w:rPr>
          <w:rFonts w:ascii="Bookman Old Style" w:hAnsi="Bookman Old Style"/>
          <w:szCs w:val="24"/>
        </w:rPr>
      </w:pPr>
      <w:r w:rsidRPr="00EE28AB">
        <w:rPr>
          <w:rFonts w:ascii="Bookman Old Style" w:hAnsi="Bookman Old Style"/>
          <w:szCs w:val="24"/>
          <w:lang w:val="es-ES"/>
        </w:rPr>
        <w:t xml:space="preserve">En el caso en concreto, dado que las disposiciones contenidas en la Resolución CREG 501 </w:t>
      </w:r>
      <w:r w:rsidRPr="00EE28AB">
        <w:rPr>
          <w:rFonts w:ascii="Bookman Old Style" w:hAnsi="Bookman Old Style"/>
          <w:szCs w:val="24"/>
          <w:lang w:val="es-CO"/>
        </w:rPr>
        <w:t>0</w:t>
      </w:r>
      <w:r w:rsidR="00AE2A73">
        <w:rPr>
          <w:rFonts w:ascii="Bookman Old Style" w:hAnsi="Bookman Old Style"/>
          <w:szCs w:val="24"/>
          <w:lang w:val="es-CO"/>
        </w:rPr>
        <w:t>41</w:t>
      </w:r>
      <w:r w:rsidRPr="00EE28AB">
        <w:rPr>
          <w:rFonts w:ascii="Bookman Old Style" w:hAnsi="Bookman Old Style"/>
          <w:szCs w:val="24"/>
          <w:lang w:val="es-CO"/>
        </w:rPr>
        <w:t xml:space="preserve"> de 2022</w:t>
      </w:r>
      <w:r w:rsidRPr="00EE28AB">
        <w:rPr>
          <w:rFonts w:ascii="Bookman Old Style" w:hAnsi="Bookman Old Style"/>
          <w:szCs w:val="24"/>
          <w:lang w:val="es-ES"/>
        </w:rPr>
        <w:t xml:space="preserve"> fueron objeto de impugnación,</w:t>
      </w:r>
      <w:r w:rsidR="00D95BAE">
        <w:rPr>
          <w:rFonts w:ascii="Bookman Old Style" w:hAnsi="Bookman Old Style"/>
          <w:szCs w:val="24"/>
          <w:lang w:val="es-ES"/>
        </w:rPr>
        <w:t xml:space="preserve"> la decisión allí contenida no se encontraba en firme y</w:t>
      </w:r>
      <w:r w:rsidR="00EB3874">
        <w:rPr>
          <w:rFonts w:ascii="Bookman Old Style" w:hAnsi="Bookman Old Style"/>
          <w:szCs w:val="24"/>
          <w:lang w:val="es-ES"/>
        </w:rPr>
        <w:t>,</w:t>
      </w:r>
      <w:r w:rsidR="00D95BAE">
        <w:rPr>
          <w:rFonts w:ascii="Bookman Old Style" w:hAnsi="Bookman Old Style"/>
          <w:szCs w:val="24"/>
          <w:lang w:val="es-ES"/>
        </w:rPr>
        <w:t xml:space="preserve"> por ende</w:t>
      </w:r>
      <w:r w:rsidR="00EB3874">
        <w:rPr>
          <w:rFonts w:ascii="Bookman Old Style" w:hAnsi="Bookman Old Style"/>
          <w:szCs w:val="24"/>
          <w:lang w:val="es-ES"/>
        </w:rPr>
        <w:t>,</w:t>
      </w:r>
      <w:r w:rsidR="00D95BAE">
        <w:rPr>
          <w:rFonts w:ascii="Bookman Old Style" w:hAnsi="Bookman Old Style"/>
          <w:szCs w:val="24"/>
          <w:lang w:val="es-ES"/>
        </w:rPr>
        <w:t xml:space="preserve"> </w:t>
      </w:r>
      <w:r w:rsidRPr="00EE28AB">
        <w:rPr>
          <w:rFonts w:ascii="Bookman Old Style" w:hAnsi="Bookman Old Style"/>
          <w:szCs w:val="24"/>
          <w:lang w:val="es-ES"/>
        </w:rPr>
        <w:t>procede</w:t>
      </w:r>
      <w:r w:rsidR="00D95BAE">
        <w:rPr>
          <w:rFonts w:ascii="Bookman Old Style" w:hAnsi="Bookman Old Style"/>
          <w:szCs w:val="24"/>
          <w:lang w:val="es-ES"/>
        </w:rPr>
        <w:t xml:space="preserve"> </w:t>
      </w:r>
      <w:r w:rsidR="00AE2A73">
        <w:rPr>
          <w:rFonts w:ascii="Bookman Old Style" w:hAnsi="Bookman Old Style"/>
          <w:szCs w:val="24"/>
          <w:lang w:val="es-ES"/>
        </w:rPr>
        <w:t>la</w:t>
      </w:r>
      <w:r w:rsidRPr="00EE28AB">
        <w:rPr>
          <w:rFonts w:ascii="Bookman Old Style" w:hAnsi="Bookman Old Style"/>
          <w:szCs w:val="24"/>
          <w:lang w:val="es-ES"/>
        </w:rPr>
        <w:t xml:space="preserve"> revisión y la realización de </w:t>
      </w:r>
      <w:r w:rsidR="00014ECC">
        <w:rPr>
          <w:rFonts w:ascii="Bookman Old Style" w:hAnsi="Bookman Old Style"/>
          <w:szCs w:val="24"/>
          <w:lang w:val="es-ES"/>
        </w:rPr>
        <w:t xml:space="preserve">los </w:t>
      </w:r>
      <w:r w:rsidRPr="00EE28AB">
        <w:rPr>
          <w:rFonts w:ascii="Bookman Old Style" w:hAnsi="Bookman Old Style"/>
          <w:szCs w:val="24"/>
          <w:lang w:val="es-ES"/>
        </w:rPr>
        <w:t>ajustes que determine esta Comisión</w:t>
      </w:r>
      <w:r w:rsidR="00EB3874">
        <w:rPr>
          <w:rFonts w:ascii="Bookman Old Style" w:hAnsi="Bookman Old Style"/>
          <w:szCs w:val="24"/>
          <w:lang w:val="es-ES"/>
        </w:rPr>
        <w:t>,</w:t>
      </w:r>
      <w:r w:rsidRPr="00EE28AB">
        <w:rPr>
          <w:rFonts w:ascii="Bookman Old Style" w:hAnsi="Bookman Old Style"/>
          <w:szCs w:val="24"/>
          <w:lang w:val="es-ES"/>
        </w:rPr>
        <w:t xml:space="preserve"> considerando no solo lo solicitado por el recurrente, sino también haciendo una validación del cumplimiento de los criterios y principios tarifarios, la prevalencia del interés general y la cláusula del Estado Social de Derecho</w:t>
      </w:r>
      <w:r w:rsidR="00A8418B">
        <w:rPr>
          <w:rFonts w:ascii="Bookman Old Style" w:hAnsi="Bookman Old Style"/>
          <w:szCs w:val="24"/>
          <w:lang w:val="es-ES"/>
        </w:rPr>
        <w:t>, lo cual tiene relación directa con el desarrollo de la actuación administrativa,</w:t>
      </w:r>
      <w:r w:rsidRPr="00EE28AB">
        <w:rPr>
          <w:rFonts w:ascii="Bookman Old Style" w:hAnsi="Bookman Old Style"/>
          <w:szCs w:val="24"/>
          <w:lang w:val="es-ES"/>
        </w:rPr>
        <w:t xml:space="preserve"> con la finalidad de que las decisiones que se adopten no causen un detrimento injustificado a los intereses de las empresas y de los usuarios</w:t>
      </w:r>
      <w:r w:rsidR="003B0FA8">
        <w:rPr>
          <w:rFonts w:ascii="Bookman Old Style" w:hAnsi="Bookman Old Style"/>
          <w:szCs w:val="24"/>
          <w:lang w:val="es-ES"/>
        </w:rPr>
        <w:t xml:space="preserve">. </w:t>
      </w:r>
    </w:p>
    <w:p w14:paraId="4C697430" w14:textId="77777777" w:rsidR="00EE28AB" w:rsidRPr="00BC52A7" w:rsidRDefault="00EE28AB" w:rsidP="00BC52A7">
      <w:pPr>
        <w:pStyle w:val="Textodebloque"/>
        <w:ind w:left="284" w:right="6"/>
        <w:contextualSpacing/>
        <w:rPr>
          <w:rFonts w:ascii="Bookman Old Style" w:hAnsi="Bookman Old Style"/>
          <w:szCs w:val="24"/>
        </w:rPr>
      </w:pPr>
    </w:p>
    <w:p w14:paraId="1002D0CE" w14:textId="6AD1A93D" w:rsidR="00DA5F25" w:rsidRPr="00DA5F25" w:rsidRDefault="00BC52A7" w:rsidP="00DA5F25">
      <w:pPr>
        <w:pStyle w:val="Textodebloque"/>
        <w:ind w:left="284" w:right="6"/>
        <w:contextualSpacing/>
        <w:rPr>
          <w:rFonts w:ascii="Bookman Old Style" w:hAnsi="Bookman Old Style"/>
          <w:szCs w:val="24"/>
          <w:highlight w:val="yellow"/>
        </w:rPr>
      </w:pPr>
      <w:r w:rsidRPr="007E39F4">
        <w:rPr>
          <w:rFonts w:ascii="Bookman Old Style" w:hAnsi="Bookman Old Style"/>
          <w:szCs w:val="24"/>
        </w:rPr>
        <w:t xml:space="preserve">Por último, en cuanto al principio de </w:t>
      </w:r>
      <w:r w:rsidR="00BB38FA" w:rsidRPr="007E39F4">
        <w:rPr>
          <w:rFonts w:ascii="Bookman Old Style" w:hAnsi="Bookman Old Style"/>
          <w:szCs w:val="24"/>
        </w:rPr>
        <w:t>c</w:t>
      </w:r>
      <w:r w:rsidR="00DA5F25" w:rsidRPr="007E39F4">
        <w:rPr>
          <w:rFonts w:ascii="Bookman Old Style" w:hAnsi="Bookman Old Style"/>
          <w:szCs w:val="24"/>
        </w:rPr>
        <w:t>ongruencia administrativa</w:t>
      </w:r>
      <w:r w:rsidR="00EB3874">
        <w:rPr>
          <w:rFonts w:ascii="Bookman Old Style" w:hAnsi="Bookman Old Style"/>
          <w:szCs w:val="24"/>
        </w:rPr>
        <w:t>,</w:t>
      </w:r>
      <w:r w:rsidR="00DA5F25">
        <w:rPr>
          <w:rFonts w:ascii="Bookman Old Style" w:hAnsi="Bookman Old Style"/>
          <w:szCs w:val="24"/>
        </w:rPr>
        <w:t xml:space="preserve"> este principio implica que </w:t>
      </w:r>
      <w:r w:rsidR="00DA5F25" w:rsidRPr="005F1F49">
        <w:rPr>
          <w:rFonts w:ascii="Bookman Old Style" w:hAnsi="Bookman Old Style"/>
          <w:szCs w:val="24"/>
        </w:rPr>
        <w:t xml:space="preserve">la decisión administrativa dé respuesta efectiva a todas las cuestiones que fueron planteadas a la </w:t>
      </w:r>
      <w:r w:rsidR="00DA5F25">
        <w:rPr>
          <w:rFonts w:ascii="Bookman Old Style" w:hAnsi="Bookman Old Style"/>
          <w:szCs w:val="24"/>
        </w:rPr>
        <w:t>a</w:t>
      </w:r>
      <w:r w:rsidR="00DA5F25" w:rsidRPr="005F1F49">
        <w:rPr>
          <w:rFonts w:ascii="Bookman Old Style" w:hAnsi="Bookman Old Style"/>
          <w:szCs w:val="24"/>
        </w:rPr>
        <w:t>dministración, de forma que no quede ninguna sin resolve</w:t>
      </w:r>
      <w:r w:rsidR="00DA5F25">
        <w:rPr>
          <w:rFonts w:ascii="Bookman Old Style" w:hAnsi="Bookman Old Style"/>
          <w:szCs w:val="24"/>
        </w:rPr>
        <w:t>rse. Lo anterior, en consonancia con lo previsto en los artículos 42</w:t>
      </w:r>
      <w:r w:rsidR="00DA5F25" w:rsidRPr="005F1F49">
        <w:rPr>
          <w:rFonts w:ascii="Bookman Old Style" w:hAnsi="Bookman Old Style"/>
          <w:szCs w:val="24"/>
        </w:rPr>
        <w:t xml:space="preserve"> y 80 del CPACA.</w:t>
      </w:r>
      <w:r w:rsidR="00DA5F25">
        <w:rPr>
          <w:rFonts w:ascii="Bookman Old Style" w:hAnsi="Bookman Old Style"/>
          <w:szCs w:val="24"/>
        </w:rPr>
        <w:t xml:space="preserve"> Con la aplicación de este principio se busca prevenir </w:t>
      </w:r>
      <w:r w:rsidR="00DA5F25" w:rsidRPr="005F1F49">
        <w:rPr>
          <w:rFonts w:ascii="Bookman Old Style" w:hAnsi="Bookman Old Style"/>
          <w:szCs w:val="24"/>
        </w:rPr>
        <w:t xml:space="preserve">arbitrariedad </w:t>
      </w:r>
      <w:r w:rsidR="00DA5F25">
        <w:rPr>
          <w:rFonts w:ascii="Bookman Old Style" w:hAnsi="Bookman Old Style"/>
          <w:szCs w:val="24"/>
        </w:rPr>
        <w:t xml:space="preserve">de la administración </w:t>
      </w:r>
      <w:r w:rsidR="00DA5F25" w:rsidRPr="005F1F49">
        <w:rPr>
          <w:rFonts w:ascii="Bookman Old Style" w:hAnsi="Bookman Old Style"/>
          <w:szCs w:val="24"/>
        </w:rPr>
        <w:t xml:space="preserve">en </w:t>
      </w:r>
      <w:r w:rsidR="00DA5F25">
        <w:rPr>
          <w:rFonts w:ascii="Bookman Old Style" w:hAnsi="Bookman Old Style"/>
          <w:szCs w:val="24"/>
        </w:rPr>
        <w:t xml:space="preserve">la toma de sus decisiones </w:t>
      </w:r>
      <w:r w:rsidR="00DA5F25" w:rsidRPr="005F1F49">
        <w:rPr>
          <w:rFonts w:ascii="Bookman Old Style" w:hAnsi="Bookman Old Style"/>
          <w:szCs w:val="24"/>
        </w:rPr>
        <w:t xml:space="preserve">y </w:t>
      </w:r>
      <w:r w:rsidR="00DA5F25">
        <w:rPr>
          <w:rFonts w:ascii="Bookman Old Style" w:hAnsi="Bookman Old Style"/>
          <w:szCs w:val="24"/>
        </w:rPr>
        <w:t xml:space="preserve">evitar </w:t>
      </w:r>
      <w:r w:rsidR="00DA5F25" w:rsidRPr="005F1F49">
        <w:rPr>
          <w:rFonts w:ascii="Bookman Old Style" w:hAnsi="Bookman Old Style"/>
          <w:szCs w:val="24"/>
        </w:rPr>
        <w:t>la</w:t>
      </w:r>
      <w:r w:rsidR="00DA5F25">
        <w:rPr>
          <w:rFonts w:ascii="Bookman Old Style" w:hAnsi="Bookman Old Style"/>
          <w:szCs w:val="24"/>
        </w:rPr>
        <w:t xml:space="preserve"> </w:t>
      </w:r>
      <w:r w:rsidR="00DA5F25" w:rsidRPr="005F1F49">
        <w:rPr>
          <w:rFonts w:ascii="Bookman Old Style" w:hAnsi="Bookman Old Style"/>
          <w:szCs w:val="24"/>
        </w:rPr>
        <w:t xml:space="preserve">vulneración del derecho de defensa de quien </w:t>
      </w:r>
      <w:r w:rsidR="00DA5F25">
        <w:rPr>
          <w:rFonts w:ascii="Bookman Old Style" w:hAnsi="Bookman Old Style"/>
          <w:szCs w:val="24"/>
        </w:rPr>
        <w:t>presentó</w:t>
      </w:r>
      <w:r w:rsidR="00DA5F25" w:rsidRPr="005F1F49">
        <w:rPr>
          <w:rFonts w:ascii="Bookman Old Style" w:hAnsi="Bookman Old Style"/>
          <w:szCs w:val="24"/>
        </w:rPr>
        <w:t xml:space="preserve"> la correspondiente</w:t>
      </w:r>
      <w:r w:rsidR="00DA5F25">
        <w:rPr>
          <w:rFonts w:ascii="Bookman Old Style" w:hAnsi="Bookman Old Style"/>
          <w:szCs w:val="24"/>
        </w:rPr>
        <w:t xml:space="preserve"> </w:t>
      </w:r>
      <w:r w:rsidR="00DA5F25" w:rsidRPr="005F1F49">
        <w:rPr>
          <w:rFonts w:ascii="Bookman Old Style" w:hAnsi="Bookman Old Style"/>
          <w:szCs w:val="24"/>
        </w:rPr>
        <w:t>reclamación</w:t>
      </w:r>
      <w:r w:rsidR="00DA5F25">
        <w:rPr>
          <w:rFonts w:ascii="Bookman Old Style" w:hAnsi="Bookman Old Style"/>
          <w:szCs w:val="24"/>
        </w:rPr>
        <w:t xml:space="preserve">. </w:t>
      </w:r>
    </w:p>
    <w:p w14:paraId="57112E26" w14:textId="0C891609" w:rsidR="00DA5F25" w:rsidRPr="00607160" w:rsidRDefault="00DA5F25" w:rsidP="00DA5F25">
      <w:pPr>
        <w:ind w:left="284"/>
        <w:jc w:val="both"/>
        <w:rPr>
          <w:rFonts w:ascii="Bookman Old Style" w:hAnsi="Bookman Old Style"/>
          <w:highlight w:val="cyan"/>
          <w:lang w:val="es-ES_tradnl"/>
        </w:rPr>
      </w:pPr>
      <w:r>
        <w:rPr>
          <w:rFonts w:ascii="Bookman Old Style" w:hAnsi="Bookman Old Style"/>
          <w:lang w:val="es-ES_tradnl"/>
        </w:rPr>
        <w:t xml:space="preserve">En el caso en concreto, </w:t>
      </w:r>
      <w:r w:rsidRPr="00870011">
        <w:rPr>
          <w:rFonts w:ascii="Bookman Old Style" w:hAnsi="Bookman Old Style"/>
          <w:lang w:val="es-ES_tradnl"/>
        </w:rPr>
        <w:t xml:space="preserve">esta Comisión </w:t>
      </w:r>
      <w:r>
        <w:rPr>
          <w:rFonts w:ascii="Bookman Old Style" w:hAnsi="Bookman Old Style"/>
          <w:lang w:val="es-ES_tradnl"/>
        </w:rPr>
        <w:t>no violó el principio de congruencia administrativa</w:t>
      </w:r>
      <w:r w:rsidR="00EB3874">
        <w:rPr>
          <w:rFonts w:ascii="Bookman Old Style" w:hAnsi="Bookman Old Style"/>
          <w:lang w:val="es-ES_tradnl"/>
        </w:rPr>
        <w:t>,</w:t>
      </w:r>
      <w:r>
        <w:rPr>
          <w:rFonts w:ascii="Bookman Old Style" w:hAnsi="Bookman Old Style"/>
          <w:lang w:val="es-ES_tradnl"/>
        </w:rPr>
        <w:t xml:space="preserve"> ya que </w:t>
      </w:r>
      <w:r w:rsidRPr="00870011">
        <w:rPr>
          <w:rFonts w:ascii="Bookman Old Style" w:hAnsi="Bookman Old Style"/>
          <w:lang w:val="es-ES_tradnl"/>
        </w:rPr>
        <w:t>actuó respetando el debido proceso, el derecho de defensa del recurrente</w:t>
      </w:r>
      <w:r w:rsidR="00EB3874">
        <w:rPr>
          <w:rFonts w:ascii="Bookman Old Style" w:hAnsi="Bookman Old Style"/>
          <w:lang w:val="es-ES_tradnl"/>
        </w:rPr>
        <w:t>,</w:t>
      </w:r>
      <w:r>
        <w:rPr>
          <w:rFonts w:ascii="Bookman Old Style" w:hAnsi="Bookman Old Style"/>
          <w:lang w:val="es-ES_tradnl"/>
        </w:rPr>
        <w:t xml:space="preserve"> y dio aplicación</w:t>
      </w:r>
      <w:r w:rsidRPr="00870011">
        <w:rPr>
          <w:rFonts w:ascii="Bookman Old Style" w:hAnsi="Bookman Old Style"/>
          <w:lang w:val="es-ES_tradnl"/>
        </w:rPr>
        <w:t xml:space="preserve"> </w:t>
      </w:r>
      <w:r>
        <w:rPr>
          <w:rFonts w:ascii="Bookman Old Style" w:hAnsi="Bookman Old Style"/>
          <w:lang w:val="es-ES_tradnl"/>
        </w:rPr>
        <w:t xml:space="preserve">a </w:t>
      </w:r>
      <w:r w:rsidRPr="00870011">
        <w:rPr>
          <w:rFonts w:ascii="Bookman Old Style" w:hAnsi="Bookman Old Style"/>
          <w:lang w:val="es-ES_tradnl"/>
        </w:rPr>
        <w:t>la normatividad vigente</w:t>
      </w:r>
      <w:r>
        <w:rPr>
          <w:rFonts w:ascii="Bookman Old Style" w:hAnsi="Bookman Old Style"/>
          <w:lang w:val="es-ES_tradnl"/>
        </w:rPr>
        <w:t xml:space="preserve"> </w:t>
      </w:r>
      <w:r w:rsidRPr="00870011">
        <w:rPr>
          <w:rFonts w:ascii="Bookman Old Style" w:hAnsi="Bookman Old Style"/>
          <w:lang w:val="es-ES_tradnl"/>
        </w:rPr>
        <w:t>para resolver la actuación administrativa. En la parte considerativa y documento soporte de la resolución impugnada</w:t>
      </w:r>
      <w:r>
        <w:rPr>
          <w:rFonts w:ascii="Bookman Old Style" w:hAnsi="Bookman Old Style"/>
          <w:lang w:val="es-ES_tradnl"/>
        </w:rPr>
        <w:t xml:space="preserve"> se expusieron</w:t>
      </w:r>
      <w:r w:rsidRPr="00870011">
        <w:rPr>
          <w:rFonts w:ascii="Bookman Old Style" w:hAnsi="Bookman Old Style"/>
          <w:lang w:val="es-ES_tradnl"/>
        </w:rPr>
        <w:t xml:space="preserve"> las consideraciones técnicas en relación con la información presentada por el recurrente dentro de la actuación, los fundamentos jurídicos y demás análisis efectuados para la adopción de la decisión. </w:t>
      </w:r>
      <w:r>
        <w:rPr>
          <w:rFonts w:ascii="Bookman Old Style" w:hAnsi="Bookman Old Style"/>
          <w:lang w:val="es-ES_tradnl"/>
        </w:rPr>
        <w:t>Igualmente, en la decisión del recurso se resuelven de fondo las solicitudes presentadas por el recurrente</w:t>
      </w:r>
      <w:r w:rsidR="008E5195">
        <w:rPr>
          <w:rFonts w:ascii="Bookman Old Style" w:hAnsi="Bookman Old Style"/>
          <w:lang w:val="es-ES_tradnl"/>
        </w:rPr>
        <w:t>,</w:t>
      </w:r>
      <w:r>
        <w:rPr>
          <w:rFonts w:ascii="Bookman Old Style" w:hAnsi="Bookman Old Style"/>
          <w:lang w:val="es-ES_tradnl"/>
        </w:rPr>
        <w:t xml:space="preserve"> evidenciándose </w:t>
      </w:r>
      <w:r w:rsidR="00A8418B">
        <w:rPr>
          <w:rFonts w:ascii="Bookman Old Style" w:hAnsi="Bookman Old Style"/>
          <w:lang w:val="es-ES_tradnl"/>
        </w:rPr>
        <w:t>la conexidad</w:t>
      </w:r>
      <w:r>
        <w:rPr>
          <w:rFonts w:ascii="Bookman Old Style" w:hAnsi="Bookman Old Style"/>
          <w:lang w:val="es-ES_tradnl"/>
        </w:rPr>
        <w:t xml:space="preserve"> entre lo solicitado por este y lo</w:t>
      </w:r>
      <w:r w:rsidR="00A8418B">
        <w:rPr>
          <w:rFonts w:ascii="Bookman Old Style" w:hAnsi="Bookman Old Style"/>
          <w:lang w:val="es-ES_tradnl"/>
        </w:rPr>
        <w:t xml:space="preserve"> aquí</w:t>
      </w:r>
      <w:r>
        <w:rPr>
          <w:rFonts w:ascii="Bookman Old Style" w:hAnsi="Bookman Old Style"/>
          <w:lang w:val="es-ES_tradnl"/>
        </w:rPr>
        <w:t xml:space="preserve"> resuelto. </w:t>
      </w:r>
    </w:p>
    <w:p w14:paraId="3F9D72ED" w14:textId="18DA0EC8" w:rsidR="00DA5F25" w:rsidRDefault="00DA5F25" w:rsidP="00BC52A7">
      <w:pPr>
        <w:pStyle w:val="Textodebloque"/>
        <w:ind w:left="284" w:right="6"/>
        <w:contextualSpacing/>
        <w:rPr>
          <w:rFonts w:ascii="Bookman Old Style" w:hAnsi="Bookman Old Style"/>
          <w:szCs w:val="24"/>
          <w:highlight w:val="yellow"/>
        </w:rPr>
      </w:pPr>
    </w:p>
    <w:p w14:paraId="7245CF38" w14:textId="5CDCFF8F" w:rsidR="00BC52A7" w:rsidRDefault="00BC52A7" w:rsidP="00BC52A7">
      <w:pPr>
        <w:pStyle w:val="Textodebloque"/>
        <w:ind w:left="284" w:right="6"/>
        <w:contextualSpacing/>
        <w:rPr>
          <w:rFonts w:ascii="Bookman Old Style" w:hAnsi="Bookman Old Style"/>
          <w:szCs w:val="24"/>
        </w:rPr>
      </w:pPr>
      <w:r w:rsidRPr="00BC52A7">
        <w:rPr>
          <w:rFonts w:ascii="Bookman Old Style" w:hAnsi="Bookman Old Style"/>
          <w:szCs w:val="24"/>
        </w:rPr>
        <w:t xml:space="preserve">La Comisión de Regulación de Energía y Gas, en su </w:t>
      </w:r>
      <w:r w:rsidRPr="00112C8D">
        <w:rPr>
          <w:rFonts w:ascii="Bookman Old Style" w:hAnsi="Bookman Old Style"/>
          <w:szCs w:val="24"/>
        </w:rPr>
        <w:t>sesión No.</w:t>
      </w:r>
      <w:r w:rsidR="0097211B" w:rsidRPr="00112C8D">
        <w:rPr>
          <w:rFonts w:ascii="Bookman Old Style" w:hAnsi="Bookman Old Style"/>
          <w:szCs w:val="24"/>
        </w:rPr>
        <w:t>119</w:t>
      </w:r>
      <w:r w:rsidR="00014ECC" w:rsidRPr="00112C8D">
        <w:rPr>
          <w:rFonts w:ascii="Bookman Old Style" w:hAnsi="Bookman Old Style"/>
          <w:szCs w:val="24"/>
        </w:rPr>
        <w:t>2</w:t>
      </w:r>
      <w:r w:rsidR="00EC20E0" w:rsidRPr="00112C8D">
        <w:rPr>
          <w:rFonts w:ascii="Bookman Old Style" w:hAnsi="Bookman Old Style"/>
          <w:szCs w:val="24"/>
        </w:rPr>
        <w:t xml:space="preserve"> del </w:t>
      </w:r>
      <w:r w:rsidR="0097211B" w:rsidRPr="00112C8D">
        <w:rPr>
          <w:rFonts w:ascii="Bookman Old Style" w:hAnsi="Bookman Old Style"/>
          <w:szCs w:val="24"/>
        </w:rPr>
        <w:t xml:space="preserve">05 </w:t>
      </w:r>
      <w:r w:rsidRPr="00112C8D">
        <w:rPr>
          <w:rFonts w:ascii="Bookman Old Style" w:hAnsi="Bookman Old Style"/>
          <w:szCs w:val="24"/>
        </w:rPr>
        <w:t xml:space="preserve">de </w:t>
      </w:r>
      <w:r w:rsidR="0097211B" w:rsidRPr="00112C8D">
        <w:rPr>
          <w:rFonts w:ascii="Bookman Old Style" w:hAnsi="Bookman Old Style"/>
          <w:szCs w:val="24"/>
        </w:rPr>
        <w:t>septiembre</w:t>
      </w:r>
      <w:r w:rsidRPr="00112C8D">
        <w:rPr>
          <w:rFonts w:ascii="Bookman Old Style" w:hAnsi="Bookman Old Style"/>
          <w:szCs w:val="24"/>
        </w:rPr>
        <w:t xml:space="preserve"> de 2022, acordó expedir la presente resolución.</w:t>
      </w:r>
    </w:p>
    <w:p w14:paraId="2544F38F" w14:textId="03323904" w:rsidR="009F2871" w:rsidRDefault="009F2871" w:rsidP="00BC52A7">
      <w:pPr>
        <w:pStyle w:val="Textodebloque"/>
        <w:ind w:left="284" w:right="6"/>
        <w:contextualSpacing/>
        <w:rPr>
          <w:rFonts w:ascii="Bookman Old Style" w:hAnsi="Bookman Old Style"/>
          <w:szCs w:val="24"/>
        </w:rPr>
      </w:pPr>
    </w:p>
    <w:p w14:paraId="38C1F9FD" w14:textId="4EA9A3B4" w:rsidR="009F2871" w:rsidRPr="00BC52A7" w:rsidRDefault="009F2871" w:rsidP="00BC52A7">
      <w:pPr>
        <w:pStyle w:val="Textodebloque"/>
        <w:ind w:left="284" w:right="6"/>
        <w:contextualSpacing/>
        <w:rPr>
          <w:rFonts w:ascii="Bookman Old Style" w:hAnsi="Bookman Old Style"/>
          <w:szCs w:val="24"/>
        </w:rPr>
      </w:pPr>
      <w:r>
        <w:rPr>
          <w:rFonts w:ascii="Bookman Old Style" w:hAnsi="Bookman Old Style"/>
          <w:szCs w:val="24"/>
        </w:rPr>
        <w:t xml:space="preserve">En consecuencia, </w:t>
      </w:r>
    </w:p>
    <w:p w14:paraId="4FB248AB" w14:textId="5164DE5C" w:rsidR="00DD5E79" w:rsidRDefault="00DD5E79" w:rsidP="00DD5E79">
      <w:pPr>
        <w:pStyle w:val="Textodebloque"/>
        <w:ind w:left="284" w:right="6"/>
        <w:contextualSpacing/>
        <w:jc w:val="center"/>
        <w:rPr>
          <w:rFonts w:ascii="Bookman Old Style" w:hAnsi="Bookman Old Style"/>
          <w:b/>
          <w:szCs w:val="24"/>
        </w:rPr>
      </w:pPr>
    </w:p>
    <w:p w14:paraId="25B34EBC" w14:textId="6AE03792" w:rsidR="008E5195" w:rsidRDefault="008E5195" w:rsidP="00DD5E79">
      <w:pPr>
        <w:pStyle w:val="Textodebloque"/>
        <w:ind w:left="284" w:right="6"/>
        <w:contextualSpacing/>
        <w:jc w:val="center"/>
        <w:rPr>
          <w:rFonts w:ascii="Bookman Old Style" w:hAnsi="Bookman Old Style"/>
          <w:b/>
          <w:szCs w:val="24"/>
        </w:rPr>
      </w:pPr>
    </w:p>
    <w:p w14:paraId="5AB2083F" w14:textId="408BD68A" w:rsidR="00BC52A7" w:rsidRPr="00DD5E79" w:rsidRDefault="00BC52A7" w:rsidP="00DD5E79">
      <w:pPr>
        <w:pStyle w:val="Textodebloque"/>
        <w:ind w:left="284" w:right="6"/>
        <w:contextualSpacing/>
        <w:jc w:val="center"/>
        <w:rPr>
          <w:rFonts w:ascii="Bookman Old Style" w:hAnsi="Bookman Old Style"/>
          <w:b/>
          <w:szCs w:val="24"/>
        </w:rPr>
      </w:pPr>
      <w:r w:rsidRPr="00DD5E79">
        <w:rPr>
          <w:rFonts w:ascii="Bookman Old Style" w:hAnsi="Bookman Old Style"/>
          <w:b/>
          <w:szCs w:val="24"/>
        </w:rPr>
        <w:t>RESUELVE:</w:t>
      </w:r>
    </w:p>
    <w:p w14:paraId="7AF3527E" w14:textId="77777777" w:rsidR="00BC52A7" w:rsidRPr="00BC52A7" w:rsidRDefault="00BC52A7" w:rsidP="00BC52A7">
      <w:pPr>
        <w:pStyle w:val="Textodebloque"/>
        <w:ind w:left="284" w:right="6"/>
        <w:contextualSpacing/>
        <w:rPr>
          <w:rFonts w:ascii="Bookman Old Style" w:hAnsi="Bookman Old Style"/>
          <w:szCs w:val="24"/>
        </w:rPr>
      </w:pPr>
    </w:p>
    <w:p w14:paraId="63B0A468" w14:textId="37C02384" w:rsidR="00BC52A7" w:rsidRPr="00BC52A7" w:rsidRDefault="00BC52A7" w:rsidP="00BC52A7">
      <w:pPr>
        <w:pStyle w:val="Textodebloque"/>
        <w:ind w:left="284" w:right="6"/>
        <w:contextualSpacing/>
        <w:rPr>
          <w:rFonts w:ascii="Bookman Old Style" w:hAnsi="Bookman Old Style"/>
          <w:szCs w:val="24"/>
        </w:rPr>
      </w:pPr>
      <w:r w:rsidRPr="00DD5E79">
        <w:rPr>
          <w:rFonts w:ascii="Bookman Old Style" w:hAnsi="Bookman Old Style"/>
          <w:b/>
          <w:szCs w:val="24"/>
        </w:rPr>
        <w:t>ARTÍCULO 1.</w:t>
      </w:r>
      <w:r w:rsidRPr="00BC52A7">
        <w:rPr>
          <w:rFonts w:ascii="Bookman Old Style" w:hAnsi="Bookman Old Style"/>
          <w:szCs w:val="24"/>
        </w:rPr>
        <w:t xml:space="preserve"> Reponer el artículo 1 de la </w:t>
      </w:r>
      <w:r w:rsidR="00B612D1">
        <w:rPr>
          <w:rFonts w:ascii="Bookman Old Style" w:hAnsi="Bookman Old Style"/>
          <w:szCs w:val="24"/>
        </w:rPr>
        <w:t>R</w:t>
      </w:r>
      <w:r w:rsidRPr="00BC52A7">
        <w:rPr>
          <w:rFonts w:ascii="Bookman Old Style" w:hAnsi="Bookman Old Style"/>
          <w:szCs w:val="24"/>
        </w:rPr>
        <w:t>esolución</w:t>
      </w:r>
      <w:r w:rsidR="00D9731A">
        <w:rPr>
          <w:rFonts w:ascii="Bookman Old Style" w:hAnsi="Bookman Old Style"/>
          <w:szCs w:val="24"/>
        </w:rPr>
        <w:t xml:space="preserve"> CREG</w:t>
      </w:r>
      <w:r w:rsidRPr="00BC52A7">
        <w:rPr>
          <w:rFonts w:ascii="Bookman Old Style" w:hAnsi="Bookman Old Style"/>
          <w:szCs w:val="24"/>
        </w:rPr>
        <w:t xml:space="preserve"> 501 041 de 2022, </w:t>
      </w:r>
      <w:r w:rsidR="000167C5">
        <w:rPr>
          <w:rFonts w:ascii="Bookman Old Style" w:hAnsi="Bookman Old Style"/>
          <w:szCs w:val="24"/>
        </w:rPr>
        <w:t>el</w:t>
      </w:r>
      <w:r w:rsidRPr="00BC52A7">
        <w:rPr>
          <w:rFonts w:ascii="Bookman Old Style" w:hAnsi="Bookman Old Style"/>
          <w:szCs w:val="24"/>
        </w:rPr>
        <w:t xml:space="preserve"> cual quedará así:</w:t>
      </w:r>
    </w:p>
    <w:p w14:paraId="0AA014B5" w14:textId="77777777" w:rsidR="00BC52A7" w:rsidRPr="00BC52A7" w:rsidRDefault="00BC52A7" w:rsidP="00BC52A7">
      <w:pPr>
        <w:pStyle w:val="Textodebloque"/>
        <w:ind w:left="284" w:right="6"/>
        <w:contextualSpacing/>
        <w:rPr>
          <w:rFonts w:ascii="Bookman Old Style" w:hAnsi="Bookman Old Style"/>
          <w:szCs w:val="24"/>
        </w:rPr>
      </w:pPr>
    </w:p>
    <w:p w14:paraId="3A471EF3" w14:textId="021EFE50" w:rsidR="00BC52A7" w:rsidRPr="00BC52A7" w:rsidRDefault="00BC52A7" w:rsidP="0077349E">
      <w:pPr>
        <w:pStyle w:val="Textodebloque"/>
        <w:tabs>
          <w:tab w:val="left" w:pos="567"/>
        </w:tabs>
        <w:ind w:right="6"/>
        <w:contextualSpacing/>
        <w:rPr>
          <w:rFonts w:ascii="Bookman Old Style" w:hAnsi="Bookman Old Style"/>
          <w:szCs w:val="24"/>
        </w:rPr>
      </w:pPr>
      <w:r w:rsidRPr="00DD5E79">
        <w:rPr>
          <w:rFonts w:ascii="Bookman Old Style" w:hAnsi="Bookman Old Style"/>
          <w:b/>
          <w:szCs w:val="24"/>
        </w:rPr>
        <w:t>A</w:t>
      </w:r>
      <w:r w:rsidR="00F04D65" w:rsidRPr="00DD5E79">
        <w:rPr>
          <w:rFonts w:ascii="Bookman Old Style" w:hAnsi="Bookman Old Style"/>
          <w:b/>
          <w:szCs w:val="24"/>
        </w:rPr>
        <w:t>RTÍCULO</w:t>
      </w:r>
      <w:r w:rsidRPr="00DD5E79">
        <w:rPr>
          <w:rFonts w:ascii="Bookman Old Style" w:hAnsi="Bookman Old Style"/>
          <w:b/>
          <w:szCs w:val="24"/>
        </w:rPr>
        <w:t xml:space="preserve"> 1.</w:t>
      </w:r>
      <w:r w:rsidRPr="00BC52A7">
        <w:rPr>
          <w:rFonts w:ascii="Bookman Old Style" w:hAnsi="Bookman Old Style"/>
          <w:szCs w:val="24"/>
        </w:rPr>
        <w:t xml:space="preserve"> Remuneración de las componentes de inversión y de administración, operación y mantenimiento. Para sistemas híbridos diésel, solar fotovoltaico y acumulación conectados al mercado relevante de la cabecera municipal del municipio de Inírida, en el Departamento del Guainía, las componentes que remuneran los costos de inversión y de administración, operación y mantenimiento</w:t>
      </w:r>
      <w:r w:rsidR="008E5195">
        <w:rPr>
          <w:rFonts w:ascii="Bookman Old Style" w:hAnsi="Bookman Old Style"/>
          <w:szCs w:val="24"/>
        </w:rPr>
        <w:t>,</w:t>
      </w:r>
      <w:r w:rsidRPr="00BC52A7">
        <w:rPr>
          <w:rFonts w:ascii="Bookman Old Style" w:hAnsi="Bookman Old Style"/>
          <w:szCs w:val="24"/>
        </w:rPr>
        <w:t xml:space="preserve"> son las siguientes:</w:t>
      </w:r>
    </w:p>
    <w:p w14:paraId="557B16C9" w14:textId="77777777" w:rsidR="00BC52A7" w:rsidRPr="00BC52A7" w:rsidRDefault="00BC52A7" w:rsidP="0077349E">
      <w:pPr>
        <w:pStyle w:val="Textodebloque"/>
        <w:tabs>
          <w:tab w:val="left" w:pos="567"/>
        </w:tabs>
        <w:ind w:right="6"/>
        <w:contextualSpacing/>
        <w:rPr>
          <w:rFonts w:ascii="Bookman Old Style" w:hAnsi="Bookman Old Style"/>
          <w:szCs w:val="24"/>
        </w:rPr>
      </w:pPr>
    </w:p>
    <w:p w14:paraId="6E25F3EF" w14:textId="77777777" w:rsidR="00BC52A7" w:rsidRPr="00BC52A7" w:rsidRDefault="00BC52A7" w:rsidP="0077349E">
      <w:pPr>
        <w:pStyle w:val="Textodebloque"/>
        <w:tabs>
          <w:tab w:val="left" w:pos="567"/>
        </w:tabs>
        <w:ind w:right="6"/>
        <w:contextualSpacing/>
        <w:jc w:val="center"/>
        <w:rPr>
          <w:rFonts w:ascii="Bookman Old Style" w:hAnsi="Bookman Old Style"/>
          <w:szCs w:val="24"/>
        </w:rPr>
      </w:pPr>
      <w:r w:rsidRPr="00BC52A7">
        <w:rPr>
          <w:rFonts w:ascii="Bookman Old Style" w:hAnsi="Bookman Old Style"/>
          <w:szCs w:val="24"/>
        </w:rPr>
        <w:t>Tabla 1. Componentes de remuneración de costos de inversión y de administración, operación y mantenimiento para sistemas híbridos diésel, solar fotovoltaicos y acumulación</w:t>
      </w:r>
    </w:p>
    <w:p w14:paraId="064DA9F3" w14:textId="5161E83A" w:rsidR="00BC52A7" w:rsidRPr="00BC52A7" w:rsidRDefault="00BC52A7" w:rsidP="0077349E">
      <w:pPr>
        <w:pStyle w:val="Textodebloque"/>
        <w:tabs>
          <w:tab w:val="left" w:pos="567"/>
        </w:tabs>
        <w:ind w:right="6"/>
        <w:contextualSpacing/>
        <w:jc w:val="center"/>
        <w:rPr>
          <w:rFonts w:ascii="Bookman Old Style" w:hAnsi="Bookman Old Style"/>
          <w:szCs w:val="24"/>
        </w:rPr>
      </w:pPr>
      <w:r w:rsidRPr="00BC52A7">
        <w:rPr>
          <w:rFonts w:ascii="Bookman Old Style" w:hAnsi="Bookman Old Style"/>
          <w:szCs w:val="24"/>
        </w:rPr>
        <w:t>(pesos de diciembre de 2006)</w:t>
      </w:r>
    </w:p>
    <w:tbl>
      <w:tblPr>
        <w:tblStyle w:val="Tablaconcuadrcula10"/>
        <w:tblW w:w="0" w:type="auto"/>
        <w:jc w:val="center"/>
        <w:tblLayout w:type="fixed"/>
        <w:tblLook w:val="04A0" w:firstRow="1" w:lastRow="0" w:firstColumn="1" w:lastColumn="0" w:noHBand="0" w:noVBand="1"/>
      </w:tblPr>
      <w:tblGrid>
        <w:gridCol w:w="2405"/>
        <w:gridCol w:w="2830"/>
        <w:gridCol w:w="3687"/>
      </w:tblGrid>
      <w:tr w:rsidR="00DD5E79" w:rsidRPr="00DD5E79" w14:paraId="5F2AC066" w14:textId="77777777" w:rsidTr="0077349E">
        <w:trPr>
          <w:trHeight w:val="1191"/>
          <w:jc w:val="center"/>
        </w:trPr>
        <w:tc>
          <w:tcPr>
            <w:tcW w:w="2405" w:type="dxa"/>
            <w:vAlign w:val="center"/>
          </w:tcPr>
          <w:p w14:paraId="030BA579" w14:textId="77777777" w:rsidR="00DD5E79" w:rsidRPr="00DD5E79" w:rsidRDefault="00DD5E79" w:rsidP="00DD5E79">
            <w:pPr>
              <w:tabs>
                <w:tab w:val="center" w:pos="4845"/>
              </w:tabs>
              <w:ind w:right="142"/>
              <w:contextualSpacing/>
              <w:jc w:val="center"/>
              <w:rPr>
                <w:rFonts w:ascii="Bookman Old Style" w:hAnsi="Bookman Old Style" w:cs="Arial"/>
                <w:b/>
                <w:bCs/>
                <w:sz w:val="20"/>
                <w:szCs w:val="20"/>
              </w:rPr>
            </w:pPr>
            <w:r w:rsidRPr="00DD5E79">
              <w:rPr>
                <w:rFonts w:ascii="Bookman Old Style" w:hAnsi="Bookman Old Style" w:cs="Arial"/>
                <w:b/>
                <w:bCs/>
                <w:sz w:val="20"/>
                <w:szCs w:val="20"/>
              </w:rPr>
              <w:t>Tipo de recurso energético</w:t>
            </w:r>
          </w:p>
        </w:tc>
        <w:tc>
          <w:tcPr>
            <w:tcW w:w="2830" w:type="dxa"/>
            <w:vAlign w:val="center"/>
          </w:tcPr>
          <w:p w14:paraId="70D7CF7F" w14:textId="77777777" w:rsidR="00DD5E79" w:rsidRPr="00DD5E79" w:rsidRDefault="00DD5E79" w:rsidP="00DD5E79">
            <w:pPr>
              <w:tabs>
                <w:tab w:val="center" w:pos="4252"/>
                <w:tab w:val="center" w:pos="4845"/>
                <w:tab w:val="right" w:pos="8504"/>
              </w:tabs>
              <w:ind w:left="284" w:right="142"/>
              <w:contextualSpacing/>
              <w:jc w:val="center"/>
              <w:rPr>
                <w:rFonts w:ascii="Bookman Old Style" w:hAnsi="Bookman Old Style" w:cs="Arial"/>
                <w:b/>
                <w:bCs/>
                <w:sz w:val="20"/>
                <w:szCs w:val="20"/>
              </w:rPr>
            </w:pPr>
            <w:r w:rsidRPr="00DD5E79">
              <w:rPr>
                <w:rFonts w:ascii="Bookman Old Style" w:hAnsi="Bookman Old Style" w:cs="Arial"/>
                <w:b/>
                <w:bCs/>
                <w:sz w:val="20"/>
                <w:szCs w:val="20"/>
              </w:rPr>
              <w:t>Costo de inversión, CI</w:t>
            </w:r>
            <w:r w:rsidRPr="00DD5E79">
              <w:rPr>
                <w:rFonts w:ascii="Bookman Old Style" w:hAnsi="Bookman Old Style" w:cs="Arial"/>
                <w:b/>
                <w:bCs/>
                <w:sz w:val="20"/>
                <w:szCs w:val="20"/>
                <w:vertAlign w:val="subscript"/>
              </w:rPr>
              <w:t>j,0</w:t>
            </w:r>
          </w:p>
          <w:p w14:paraId="2240325A" w14:textId="77777777" w:rsidR="00DD5E79" w:rsidRPr="00DD5E79" w:rsidRDefault="00DD5E79" w:rsidP="00DD5E79">
            <w:pPr>
              <w:tabs>
                <w:tab w:val="center" w:pos="4845"/>
              </w:tabs>
              <w:ind w:right="142"/>
              <w:contextualSpacing/>
              <w:jc w:val="center"/>
              <w:rPr>
                <w:rFonts w:ascii="Bookman Old Style" w:hAnsi="Bookman Old Style" w:cs="Arial"/>
                <w:b/>
                <w:bCs/>
                <w:sz w:val="20"/>
                <w:szCs w:val="20"/>
              </w:rPr>
            </w:pPr>
            <w:r w:rsidRPr="00DD5E79">
              <w:rPr>
                <w:rFonts w:ascii="Bookman Old Style" w:hAnsi="Bookman Old Style" w:cs="Arial"/>
                <w:b/>
                <w:bCs/>
                <w:sz w:val="20"/>
                <w:szCs w:val="20"/>
              </w:rPr>
              <w:t>($/kWh)</w:t>
            </w:r>
          </w:p>
        </w:tc>
        <w:tc>
          <w:tcPr>
            <w:tcW w:w="3687" w:type="dxa"/>
            <w:vAlign w:val="center"/>
          </w:tcPr>
          <w:p w14:paraId="13D870CD" w14:textId="77777777" w:rsidR="00DD5E79" w:rsidRPr="00DD5E79" w:rsidRDefault="00DD5E79" w:rsidP="00DD5E79">
            <w:pPr>
              <w:tabs>
                <w:tab w:val="center" w:pos="4252"/>
                <w:tab w:val="center" w:pos="4845"/>
                <w:tab w:val="right" w:pos="8504"/>
              </w:tabs>
              <w:ind w:left="284" w:right="142"/>
              <w:contextualSpacing/>
              <w:jc w:val="center"/>
              <w:rPr>
                <w:rFonts w:ascii="Bookman Old Style" w:hAnsi="Bookman Old Style" w:cs="Arial"/>
                <w:b/>
                <w:bCs/>
                <w:sz w:val="20"/>
                <w:szCs w:val="20"/>
              </w:rPr>
            </w:pPr>
            <w:r w:rsidRPr="00DD5E79">
              <w:rPr>
                <w:rFonts w:ascii="Bookman Old Style" w:hAnsi="Bookman Old Style" w:cs="Arial"/>
                <w:b/>
                <w:bCs/>
                <w:sz w:val="20"/>
                <w:szCs w:val="20"/>
              </w:rPr>
              <w:t>Costos de administración, operación y mantenimiento, CM</w:t>
            </w:r>
            <w:r w:rsidRPr="00DD5E79">
              <w:rPr>
                <w:rFonts w:ascii="Bookman Old Style" w:hAnsi="Bookman Old Style" w:cs="Arial"/>
                <w:b/>
                <w:bCs/>
                <w:sz w:val="20"/>
                <w:szCs w:val="20"/>
                <w:vertAlign w:val="subscript"/>
              </w:rPr>
              <w:t>j,0</w:t>
            </w:r>
            <w:r w:rsidRPr="00DD5E79">
              <w:rPr>
                <w:rFonts w:ascii="Bookman Old Style" w:hAnsi="Bookman Old Style" w:cs="Arial"/>
                <w:b/>
                <w:bCs/>
                <w:sz w:val="20"/>
                <w:szCs w:val="20"/>
              </w:rPr>
              <w:t xml:space="preserve"> </w:t>
            </w:r>
          </w:p>
          <w:p w14:paraId="716C3499" w14:textId="77777777" w:rsidR="00DD5E79" w:rsidRPr="00DD5E79" w:rsidRDefault="00DD5E79" w:rsidP="00DD5E79">
            <w:pPr>
              <w:tabs>
                <w:tab w:val="center" w:pos="4252"/>
                <w:tab w:val="center" w:pos="4845"/>
                <w:tab w:val="right" w:pos="8504"/>
              </w:tabs>
              <w:ind w:left="284" w:right="142"/>
              <w:contextualSpacing/>
              <w:jc w:val="center"/>
              <w:rPr>
                <w:rFonts w:ascii="Bookman Old Style" w:hAnsi="Bookman Old Style" w:cs="Arial"/>
                <w:b/>
                <w:bCs/>
                <w:sz w:val="20"/>
                <w:szCs w:val="20"/>
              </w:rPr>
            </w:pPr>
            <w:r w:rsidRPr="00DD5E79">
              <w:rPr>
                <w:rFonts w:ascii="Bookman Old Style" w:hAnsi="Bookman Old Style" w:cs="Arial"/>
                <w:b/>
                <w:bCs/>
                <w:sz w:val="20"/>
                <w:szCs w:val="20"/>
              </w:rPr>
              <w:t>($/kWh)</w:t>
            </w:r>
          </w:p>
        </w:tc>
      </w:tr>
      <w:tr w:rsidR="00DD5E79" w:rsidRPr="00DD5E79" w14:paraId="6BB1175F" w14:textId="77777777" w:rsidTr="0077349E">
        <w:trPr>
          <w:trHeight w:val="964"/>
          <w:jc w:val="center"/>
        </w:trPr>
        <w:tc>
          <w:tcPr>
            <w:tcW w:w="2405" w:type="dxa"/>
            <w:vAlign w:val="center"/>
          </w:tcPr>
          <w:p w14:paraId="0623FBC6" w14:textId="77777777" w:rsidR="00DD5E79" w:rsidRPr="00DD5E79" w:rsidRDefault="00DD5E79" w:rsidP="00DD5E79">
            <w:pPr>
              <w:tabs>
                <w:tab w:val="center" w:pos="4845"/>
              </w:tabs>
              <w:ind w:right="142"/>
              <w:contextualSpacing/>
              <w:jc w:val="center"/>
              <w:rPr>
                <w:rFonts w:ascii="Bookman Old Style" w:hAnsi="Bookman Old Style" w:cs="Arial"/>
                <w:sz w:val="20"/>
                <w:szCs w:val="20"/>
              </w:rPr>
            </w:pPr>
            <w:r w:rsidRPr="00DD5E79">
              <w:rPr>
                <w:rFonts w:ascii="Bookman Old Style" w:hAnsi="Bookman Old Style" w:cs="Arial"/>
                <w:sz w:val="20"/>
                <w:szCs w:val="20"/>
              </w:rPr>
              <w:t>Diésel</w:t>
            </w:r>
          </w:p>
        </w:tc>
        <w:tc>
          <w:tcPr>
            <w:tcW w:w="6517" w:type="dxa"/>
            <w:gridSpan w:val="2"/>
            <w:vAlign w:val="center"/>
          </w:tcPr>
          <w:p w14:paraId="2D7E91EE" w14:textId="77777777" w:rsidR="00DD5E79" w:rsidRPr="00DD5E79" w:rsidRDefault="00DD5E79" w:rsidP="00DD5E79">
            <w:pPr>
              <w:tabs>
                <w:tab w:val="center" w:pos="4845"/>
              </w:tabs>
              <w:spacing w:line="259" w:lineRule="auto"/>
              <w:ind w:right="142"/>
              <w:contextualSpacing/>
              <w:jc w:val="center"/>
              <w:rPr>
                <w:rFonts w:ascii="Bookman Old Style" w:hAnsi="Bookman Old Style" w:cs="Arial"/>
                <w:sz w:val="20"/>
                <w:szCs w:val="20"/>
              </w:rPr>
            </w:pPr>
            <w:r w:rsidRPr="00DD5E79">
              <w:rPr>
                <w:rFonts w:ascii="Bookman Old Style" w:hAnsi="Bookman Old Style" w:cs="Arial"/>
                <w:sz w:val="20"/>
                <w:szCs w:val="20"/>
              </w:rPr>
              <w:t>Según lo previsto en el literal a), del artículo 22, de la Resolución CREG 091 de 2007, modificada mediante Resolución CREG 057 de 2009.</w:t>
            </w:r>
          </w:p>
        </w:tc>
      </w:tr>
      <w:tr w:rsidR="00DD5E79" w:rsidRPr="00DD5E79" w14:paraId="2879F3F3" w14:textId="77777777" w:rsidTr="0077349E">
        <w:trPr>
          <w:trHeight w:val="846"/>
          <w:jc w:val="center"/>
        </w:trPr>
        <w:tc>
          <w:tcPr>
            <w:tcW w:w="2405" w:type="dxa"/>
            <w:vAlign w:val="center"/>
          </w:tcPr>
          <w:p w14:paraId="03DA9565" w14:textId="77777777" w:rsidR="00DD5E79" w:rsidRPr="00DD5E79" w:rsidRDefault="00DD5E79" w:rsidP="00DD5E79">
            <w:pPr>
              <w:tabs>
                <w:tab w:val="center" w:pos="4845"/>
              </w:tabs>
              <w:ind w:right="142"/>
              <w:contextualSpacing/>
              <w:jc w:val="center"/>
              <w:rPr>
                <w:rFonts w:ascii="Bookman Old Style" w:hAnsi="Bookman Old Style" w:cs="Arial"/>
                <w:sz w:val="20"/>
                <w:szCs w:val="20"/>
              </w:rPr>
            </w:pPr>
            <w:r w:rsidRPr="00DD5E79">
              <w:rPr>
                <w:rFonts w:ascii="Bookman Old Style" w:hAnsi="Bookman Old Style" w:cs="Arial"/>
                <w:sz w:val="20"/>
                <w:szCs w:val="20"/>
              </w:rPr>
              <w:t>Solar fotovoltaico con alimentación directa a red</w:t>
            </w:r>
          </w:p>
        </w:tc>
        <w:tc>
          <w:tcPr>
            <w:tcW w:w="6517" w:type="dxa"/>
            <w:gridSpan w:val="2"/>
            <w:vAlign w:val="center"/>
          </w:tcPr>
          <w:p w14:paraId="73A1FD29" w14:textId="77777777" w:rsidR="00DD5E79" w:rsidRPr="00DD5E79" w:rsidRDefault="00DD5E79" w:rsidP="00DD5E79">
            <w:pPr>
              <w:tabs>
                <w:tab w:val="center" w:pos="4845"/>
              </w:tabs>
              <w:spacing w:line="259" w:lineRule="auto"/>
              <w:ind w:right="142"/>
              <w:contextualSpacing/>
              <w:jc w:val="center"/>
              <w:rPr>
                <w:rFonts w:ascii="Bookman Old Style" w:hAnsi="Bookman Old Style" w:cs="Arial"/>
                <w:sz w:val="20"/>
                <w:szCs w:val="20"/>
              </w:rPr>
            </w:pPr>
            <w:r w:rsidRPr="00DD5E79">
              <w:rPr>
                <w:rFonts w:ascii="Bookman Old Style" w:hAnsi="Bookman Old Style" w:cs="Arial"/>
                <w:sz w:val="20"/>
                <w:szCs w:val="20"/>
              </w:rPr>
              <w:t xml:space="preserve">Según lo previsto en Resolución CREG 012 de 2018, modificada por Resolución CREG 135 de 2019 </w:t>
            </w:r>
          </w:p>
        </w:tc>
      </w:tr>
      <w:tr w:rsidR="00DD5E79" w:rsidRPr="00DD5E79" w14:paraId="6C98E4BB" w14:textId="77777777" w:rsidTr="0077349E">
        <w:trPr>
          <w:jc w:val="center"/>
        </w:trPr>
        <w:tc>
          <w:tcPr>
            <w:tcW w:w="2405" w:type="dxa"/>
            <w:vAlign w:val="center"/>
          </w:tcPr>
          <w:p w14:paraId="69907409" w14:textId="77777777" w:rsidR="00DD5E79" w:rsidRPr="00DD5E79" w:rsidRDefault="00DD5E79" w:rsidP="00DD5E79">
            <w:pPr>
              <w:tabs>
                <w:tab w:val="center" w:pos="4845"/>
              </w:tabs>
              <w:ind w:right="142"/>
              <w:contextualSpacing/>
              <w:jc w:val="center"/>
              <w:rPr>
                <w:rFonts w:ascii="Bookman Old Style" w:hAnsi="Bookman Old Style" w:cs="Arial"/>
                <w:sz w:val="20"/>
                <w:szCs w:val="20"/>
              </w:rPr>
            </w:pPr>
            <w:r w:rsidRPr="00DD5E79">
              <w:rPr>
                <w:rFonts w:ascii="Bookman Old Style" w:hAnsi="Bookman Old Style" w:cs="Arial"/>
                <w:sz w:val="20"/>
                <w:szCs w:val="20"/>
              </w:rPr>
              <w:t>Acumulación de recurso solar fotovoltaico.</w:t>
            </w:r>
          </w:p>
        </w:tc>
        <w:tc>
          <w:tcPr>
            <w:tcW w:w="2830" w:type="dxa"/>
            <w:vAlign w:val="center"/>
          </w:tcPr>
          <w:p w14:paraId="65C07767" w14:textId="77777777" w:rsidR="00DD5E79" w:rsidRPr="00DD5E79" w:rsidRDefault="00DD5E79" w:rsidP="00DD5E79">
            <w:pPr>
              <w:tabs>
                <w:tab w:val="center" w:pos="4845"/>
              </w:tabs>
              <w:ind w:right="142"/>
              <w:contextualSpacing/>
              <w:jc w:val="center"/>
              <w:rPr>
                <w:rFonts w:ascii="Bookman Old Style" w:hAnsi="Bookman Old Style" w:cs="Arial"/>
                <w:sz w:val="20"/>
                <w:szCs w:val="20"/>
              </w:rPr>
            </w:pPr>
            <w:r w:rsidRPr="00DD5E79">
              <w:rPr>
                <w:rFonts w:ascii="Bookman Old Style" w:hAnsi="Bookman Old Style" w:cs="Arial"/>
                <w:sz w:val="20"/>
                <w:szCs w:val="20"/>
              </w:rPr>
              <w:t>872,91</w:t>
            </w:r>
          </w:p>
        </w:tc>
        <w:tc>
          <w:tcPr>
            <w:tcW w:w="3687" w:type="dxa"/>
            <w:vAlign w:val="center"/>
          </w:tcPr>
          <w:p w14:paraId="23B1871B" w14:textId="77777777" w:rsidR="00DD5E79" w:rsidRPr="00DD5E79" w:rsidRDefault="00DD5E79" w:rsidP="00DD5E79">
            <w:pPr>
              <w:tabs>
                <w:tab w:val="center" w:pos="4845"/>
              </w:tabs>
              <w:spacing w:line="259" w:lineRule="auto"/>
              <w:ind w:right="142"/>
              <w:contextualSpacing/>
              <w:jc w:val="center"/>
              <w:rPr>
                <w:rFonts w:ascii="Bookman Old Style" w:hAnsi="Bookman Old Style" w:cs="Arial"/>
                <w:sz w:val="20"/>
                <w:szCs w:val="20"/>
              </w:rPr>
            </w:pPr>
            <w:r w:rsidRPr="00DD5E79">
              <w:rPr>
                <w:rFonts w:ascii="Bookman Old Style" w:hAnsi="Bookman Old Style" w:cs="Arial"/>
                <w:sz w:val="20"/>
                <w:szCs w:val="20"/>
              </w:rPr>
              <w:t>68,56</w:t>
            </w:r>
          </w:p>
        </w:tc>
      </w:tr>
    </w:tbl>
    <w:p w14:paraId="18E2DBDA" w14:textId="77777777" w:rsidR="00BC52A7" w:rsidRPr="00BC52A7" w:rsidRDefault="00BC52A7" w:rsidP="00BC52A7">
      <w:pPr>
        <w:pStyle w:val="Textodebloque"/>
        <w:ind w:left="284" w:right="6"/>
        <w:contextualSpacing/>
        <w:rPr>
          <w:rFonts w:ascii="Bookman Old Style" w:hAnsi="Bookman Old Style"/>
          <w:szCs w:val="24"/>
        </w:rPr>
      </w:pPr>
    </w:p>
    <w:p w14:paraId="465B88F5" w14:textId="28FB55FE" w:rsidR="00BC52A7" w:rsidRPr="00BC52A7" w:rsidRDefault="00BC52A7" w:rsidP="00BC52A7">
      <w:pPr>
        <w:pStyle w:val="Textodebloque"/>
        <w:ind w:left="284" w:right="6"/>
        <w:contextualSpacing/>
        <w:rPr>
          <w:rFonts w:ascii="Bookman Old Style" w:hAnsi="Bookman Old Style"/>
          <w:szCs w:val="24"/>
        </w:rPr>
      </w:pPr>
      <w:r w:rsidRPr="00F04D65">
        <w:rPr>
          <w:rFonts w:ascii="Bookman Old Style" w:hAnsi="Bookman Old Style"/>
          <w:b/>
          <w:bCs/>
          <w:szCs w:val="24"/>
        </w:rPr>
        <w:t>ARTÍCULO 2.</w:t>
      </w:r>
      <w:r w:rsidRPr="00BC52A7">
        <w:rPr>
          <w:rFonts w:ascii="Bookman Old Style" w:hAnsi="Bookman Old Style"/>
          <w:szCs w:val="24"/>
        </w:rPr>
        <w:t xml:space="preserve"> </w:t>
      </w:r>
      <w:r w:rsidRPr="00F04D65">
        <w:rPr>
          <w:rFonts w:ascii="Bookman Old Style" w:hAnsi="Bookman Old Style"/>
          <w:b/>
          <w:bCs/>
          <w:szCs w:val="24"/>
        </w:rPr>
        <w:t>Notificación.</w:t>
      </w:r>
      <w:r w:rsidRPr="00BC52A7">
        <w:rPr>
          <w:rFonts w:ascii="Bookman Old Style" w:hAnsi="Bookman Old Style"/>
          <w:szCs w:val="24"/>
        </w:rPr>
        <w:t xml:space="preserve"> Notificar a los representantes legales de GENSA </w:t>
      </w:r>
      <w:r w:rsidR="00041C7C">
        <w:rPr>
          <w:rFonts w:ascii="Bookman Old Style" w:hAnsi="Bookman Old Style"/>
          <w:szCs w:val="24"/>
        </w:rPr>
        <w:t>S.A</w:t>
      </w:r>
      <w:r w:rsidR="00AE35B6">
        <w:rPr>
          <w:rFonts w:ascii="Bookman Old Style" w:hAnsi="Bookman Old Style"/>
          <w:szCs w:val="24"/>
        </w:rPr>
        <w:t>.</w:t>
      </w:r>
      <w:r w:rsidR="00041C7C">
        <w:rPr>
          <w:rFonts w:ascii="Bookman Old Style" w:hAnsi="Bookman Old Style"/>
          <w:szCs w:val="24"/>
        </w:rPr>
        <w:t xml:space="preserve"> E.S.P</w:t>
      </w:r>
      <w:r w:rsidR="007963DD">
        <w:rPr>
          <w:rFonts w:ascii="Bookman Old Style" w:hAnsi="Bookman Old Style"/>
          <w:szCs w:val="24"/>
        </w:rPr>
        <w:t>.</w:t>
      </w:r>
      <w:r w:rsidR="00041C7C">
        <w:rPr>
          <w:rFonts w:ascii="Bookman Old Style" w:hAnsi="Bookman Old Style"/>
          <w:szCs w:val="24"/>
        </w:rPr>
        <w:t xml:space="preserve"> </w:t>
      </w:r>
      <w:r w:rsidRPr="00BC52A7">
        <w:rPr>
          <w:rFonts w:ascii="Bookman Old Style" w:hAnsi="Bookman Old Style"/>
          <w:szCs w:val="24"/>
        </w:rPr>
        <w:t>y EMELCE</w:t>
      </w:r>
      <w:r w:rsidR="00014ECC">
        <w:rPr>
          <w:rFonts w:ascii="Bookman Old Style" w:hAnsi="Bookman Old Style"/>
          <w:szCs w:val="24"/>
        </w:rPr>
        <w:t xml:space="preserve"> S.A</w:t>
      </w:r>
      <w:r w:rsidR="008E5195">
        <w:rPr>
          <w:rFonts w:ascii="Bookman Old Style" w:hAnsi="Bookman Old Style"/>
          <w:szCs w:val="24"/>
        </w:rPr>
        <w:t>.</w:t>
      </w:r>
      <w:r w:rsidR="00014ECC">
        <w:rPr>
          <w:rFonts w:ascii="Bookman Old Style" w:hAnsi="Bookman Old Style"/>
          <w:szCs w:val="24"/>
        </w:rPr>
        <w:t xml:space="preserve"> E.S.P.</w:t>
      </w:r>
      <w:r w:rsidRPr="00BC52A7">
        <w:rPr>
          <w:rFonts w:ascii="Bookman Old Style" w:hAnsi="Bookman Old Style"/>
          <w:szCs w:val="24"/>
        </w:rPr>
        <w:t>, el contenido de esta resolución. Contra lo aquí dispuesto no procede recurso alguno</w:t>
      </w:r>
      <w:r w:rsidR="008E5195">
        <w:rPr>
          <w:rFonts w:ascii="Bookman Old Style" w:hAnsi="Bookman Old Style"/>
          <w:szCs w:val="24"/>
        </w:rPr>
        <w:t>,</w:t>
      </w:r>
      <w:r w:rsidRPr="00BC52A7">
        <w:rPr>
          <w:rFonts w:ascii="Bookman Old Style" w:hAnsi="Bookman Old Style"/>
          <w:szCs w:val="24"/>
        </w:rPr>
        <w:t xml:space="preserve"> por haber finalizado la actuación administrativa correspondiente a la presentación de recursos previsto en la Ley.</w:t>
      </w:r>
      <w:r w:rsidR="00BA1A7E" w:rsidRPr="00BA1A7E">
        <w:rPr>
          <w:rFonts w:ascii="Bookman Old Style" w:hAnsi="Bookman Old Style"/>
          <w:spacing w:val="0"/>
          <w:szCs w:val="24"/>
          <w:lang w:val="es-ES"/>
        </w:rPr>
        <w:t xml:space="preserve"> </w:t>
      </w:r>
    </w:p>
    <w:p w14:paraId="40A1FD90" w14:textId="77777777" w:rsidR="00BC52A7" w:rsidRPr="00BC52A7" w:rsidRDefault="00BC52A7" w:rsidP="00BC52A7">
      <w:pPr>
        <w:pStyle w:val="Textodebloque"/>
        <w:ind w:left="284" w:right="6"/>
        <w:contextualSpacing/>
        <w:rPr>
          <w:rFonts w:ascii="Bookman Old Style" w:hAnsi="Bookman Old Style"/>
          <w:szCs w:val="24"/>
        </w:rPr>
      </w:pPr>
    </w:p>
    <w:p w14:paraId="21895FFF" w14:textId="77777777" w:rsidR="00BC52A7" w:rsidRPr="00DD5E79" w:rsidRDefault="00BC52A7" w:rsidP="00DD5E79">
      <w:pPr>
        <w:pStyle w:val="Textodebloque"/>
        <w:ind w:left="284" w:right="6"/>
        <w:contextualSpacing/>
        <w:jc w:val="center"/>
        <w:rPr>
          <w:rFonts w:ascii="Bookman Old Style" w:hAnsi="Bookman Old Style"/>
          <w:b/>
          <w:szCs w:val="24"/>
        </w:rPr>
      </w:pPr>
      <w:r w:rsidRPr="00DD5E79">
        <w:rPr>
          <w:rFonts w:ascii="Bookman Old Style" w:hAnsi="Bookman Old Style"/>
          <w:b/>
          <w:szCs w:val="24"/>
        </w:rPr>
        <w:t>NOTIFÍQUESE Y CÚMPLASE</w:t>
      </w:r>
    </w:p>
    <w:p w14:paraId="78445F49" w14:textId="77777777" w:rsidR="00BC52A7" w:rsidRPr="00BC52A7" w:rsidRDefault="00BC52A7" w:rsidP="00BC52A7">
      <w:pPr>
        <w:pStyle w:val="Textodebloque"/>
        <w:ind w:left="284" w:right="6"/>
        <w:contextualSpacing/>
        <w:rPr>
          <w:rFonts w:ascii="Bookman Old Style" w:hAnsi="Bookman Old Style"/>
          <w:szCs w:val="24"/>
        </w:rPr>
      </w:pPr>
    </w:p>
    <w:p w14:paraId="72086C14" w14:textId="2FD6D154" w:rsidR="00BC52A7" w:rsidRPr="00DD5E79" w:rsidRDefault="00BC52A7" w:rsidP="00BC52A7">
      <w:pPr>
        <w:pStyle w:val="Textodebloque"/>
        <w:ind w:left="284" w:right="6"/>
        <w:contextualSpacing/>
        <w:rPr>
          <w:rFonts w:ascii="Bookman Old Style" w:hAnsi="Bookman Old Style"/>
          <w:b/>
          <w:szCs w:val="24"/>
        </w:rPr>
      </w:pPr>
      <w:r w:rsidRPr="00112C8D">
        <w:rPr>
          <w:rFonts w:ascii="Bookman Old Style" w:hAnsi="Bookman Old Style"/>
          <w:bCs/>
          <w:szCs w:val="24"/>
        </w:rPr>
        <w:t>Dada en Bogotá, D.C.,</w:t>
      </w:r>
      <w:r w:rsidR="00112C8D">
        <w:rPr>
          <w:rFonts w:ascii="Bookman Old Style" w:hAnsi="Bookman Old Style"/>
          <w:b/>
          <w:szCs w:val="24"/>
        </w:rPr>
        <w:t xml:space="preserve"> 05 SEP. 2022</w:t>
      </w:r>
    </w:p>
    <w:p w14:paraId="48271F25" w14:textId="1A081426" w:rsidR="00BC52A7" w:rsidRDefault="00BC52A7" w:rsidP="00BC52A7">
      <w:pPr>
        <w:pStyle w:val="Textodebloque"/>
        <w:ind w:left="284" w:right="6"/>
        <w:contextualSpacing/>
        <w:rPr>
          <w:rFonts w:ascii="Bookman Old Style" w:hAnsi="Bookman Old Style"/>
          <w:b/>
          <w:szCs w:val="24"/>
        </w:rPr>
      </w:pPr>
    </w:p>
    <w:p w14:paraId="42F9B92A" w14:textId="3E63E3FC" w:rsidR="000C3428" w:rsidRDefault="000C3428" w:rsidP="00BC52A7">
      <w:pPr>
        <w:pStyle w:val="Textodebloque"/>
        <w:ind w:left="284" w:right="6"/>
        <w:contextualSpacing/>
        <w:rPr>
          <w:rFonts w:ascii="Bookman Old Style" w:hAnsi="Bookman Old Style"/>
          <w:b/>
          <w:szCs w:val="24"/>
        </w:rPr>
      </w:pPr>
    </w:p>
    <w:p w14:paraId="192E0B8C" w14:textId="77777777" w:rsidR="008E5195" w:rsidRDefault="008E5195" w:rsidP="00BC52A7">
      <w:pPr>
        <w:pStyle w:val="Textodebloque"/>
        <w:ind w:left="284" w:right="6"/>
        <w:contextualSpacing/>
        <w:rPr>
          <w:rFonts w:ascii="Bookman Old Style" w:hAnsi="Bookman Old Style"/>
          <w:b/>
          <w:szCs w:val="24"/>
        </w:rPr>
      </w:pPr>
    </w:p>
    <w:p w14:paraId="5F88883E" w14:textId="77777777" w:rsidR="00664968" w:rsidRDefault="00664968" w:rsidP="00BC52A7">
      <w:pPr>
        <w:pStyle w:val="Textodebloque"/>
        <w:ind w:left="284" w:right="6"/>
        <w:contextualSpacing/>
        <w:rPr>
          <w:rFonts w:ascii="Bookman Old Style" w:hAnsi="Bookman Old Style"/>
          <w:b/>
          <w:szCs w:val="24"/>
        </w:rPr>
      </w:pPr>
    </w:p>
    <w:tbl>
      <w:tblPr>
        <w:tblStyle w:val="Tablaconcuadrcula"/>
        <w:tblW w:w="92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961"/>
      </w:tblGrid>
      <w:tr w:rsidR="008B0B89" w14:paraId="6F281894" w14:textId="77777777" w:rsidTr="008B0B89">
        <w:tc>
          <w:tcPr>
            <w:tcW w:w="4252" w:type="dxa"/>
          </w:tcPr>
          <w:p w14:paraId="025ED202" w14:textId="38B09E2C" w:rsidR="00664968" w:rsidRDefault="00664968" w:rsidP="00664968">
            <w:pPr>
              <w:pStyle w:val="Textodebloque"/>
              <w:ind w:left="0" w:right="6"/>
              <w:contextualSpacing/>
              <w:jc w:val="center"/>
              <w:rPr>
                <w:rFonts w:ascii="Bookman Old Style" w:hAnsi="Bookman Old Style"/>
                <w:b/>
                <w:szCs w:val="24"/>
              </w:rPr>
            </w:pPr>
            <w:r w:rsidRPr="00DD5E79">
              <w:rPr>
                <w:rFonts w:ascii="Bookman Old Style" w:hAnsi="Bookman Old Style"/>
                <w:b/>
                <w:szCs w:val="24"/>
              </w:rPr>
              <w:t>IRENE VELEZ TORRE</w:t>
            </w:r>
            <w:r w:rsidR="008B0B89">
              <w:rPr>
                <w:rFonts w:ascii="Bookman Old Style" w:hAnsi="Bookman Old Style"/>
                <w:b/>
                <w:szCs w:val="24"/>
              </w:rPr>
              <w:t>S</w:t>
            </w:r>
          </w:p>
          <w:p w14:paraId="232AC964" w14:textId="77777777" w:rsidR="00664968" w:rsidRDefault="00664968" w:rsidP="00664968">
            <w:pPr>
              <w:pStyle w:val="Textodebloque"/>
              <w:ind w:left="0" w:right="6"/>
              <w:contextualSpacing/>
              <w:jc w:val="center"/>
              <w:rPr>
                <w:rFonts w:ascii="Bookman Old Style" w:hAnsi="Bookman Old Style"/>
                <w:bCs/>
                <w:szCs w:val="24"/>
              </w:rPr>
            </w:pPr>
            <w:r w:rsidRPr="00112C8D">
              <w:rPr>
                <w:rFonts w:ascii="Bookman Old Style" w:hAnsi="Bookman Old Style"/>
                <w:bCs/>
                <w:szCs w:val="24"/>
              </w:rPr>
              <w:t>Ministra de Minas y Energía</w:t>
            </w:r>
          </w:p>
          <w:p w14:paraId="36199E7E" w14:textId="4E45835C" w:rsidR="00D4786F" w:rsidRPr="00112C8D" w:rsidRDefault="00D4786F" w:rsidP="00664968">
            <w:pPr>
              <w:pStyle w:val="Textodebloque"/>
              <w:ind w:left="0" w:right="6"/>
              <w:contextualSpacing/>
              <w:jc w:val="center"/>
              <w:rPr>
                <w:rFonts w:ascii="Bookman Old Style" w:hAnsi="Bookman Old Style"/>
                <w:bCs/>
                <w:szCs w:val="24"/>
              </w:rPr>
            </w:pPr>
            <w:r>
              <w:rPr>
                <w:rFonts w:ascii="Bookman Old Style" w:hAnsi="Bookman Old Style"/>
                <w:bCs/>
                <w:szCs w:val="24"/>
              </w:rPr>
              <w:t>Presidente</w:t>
            </w:r>
          </w:p>
        </w:tc>
        <w:tc>
          <w:tcPr>
            <w:tcW w:w="4961" w:type="dxa"/>
          </w:tcPr>
          <w:p w14:paraId="02424C70" w14:textId="4BC0ECAC" w:rsidR="00664968" w:rsidRDefault="00664968" w:rsidP="00664968">
            <w:pPr>
              <w:pStyle w:val="Textodebloque"/>
              <w:ind w:left="284" w:right="6"/>
              <w:contextualSpacing/>
              <w:jc w:val="center"/>
              <w:rPr>
                <w:rFonts w:ascii="Bookman Old Style" w:hAnsi="Bookman Old Style"/>
                <w:b/>
                <w:szCs w:val="24"/>
              </w:rPr>
            </w:pPr>
            <w:r w:rsidRPr="00DD5E79">
              <w:rPr>
                <w:rFonts w:ascii="Bookman Old Style" w:hAnsi="Bookman Old Style"/>
                <w:b/>
                <w:szCs w:val="24"/>
              </w:rPr>
              <w:t>JORGE ALBERTO VALENCIA MARÍN</w:t>
            </w:r>
          </w:p>
          <w:p w14:paraId="43445761" w14:textId="2FD8F65C" w:rsidR="00664968" w:rsidRPr="00112C8D" w:rsidRDefault="00664968" w:rsidP="00664968">
            <w:pPr>
              <w:pStyle w:val="Textodebloque"/>
              <w:ind w:left="284" w:right="6"/>
              <w:contextualSpacing/>
              <w:jc w:val="center"/>
              <w:rPr>
                <w:rFonts w:ascii="Bookman Old Style" w:hAnsi="Bookman Old Style"/>
                <w:bCs/>
                <w:szCs w:val="24"/>
              </w:rPr>
            </w:pPr>
            <w:r w:rsidRPr="00112C8D">
              <w:rPr>
                <w:rFonts w:ascii="Bookman Old Style" w:hAnsi="Bookman Old Style"/>
                <w:bCs/>
                <w:szCs w:val="24"/>
              </w:rPr>
              <w:t>Director Ejecutivo</w:t>
            </w:r>
          </w:p>
          <w:p w14:paraId="0FE2140E" w14:textId="77777777" w:rsidR="00664968" w:rsidRDefault="00664968" w:rsidP="00664968">
            <w:pPr>
              <w:pStyle w:val="Textodebloque"/>
              <w:ind w:left="0" w:right="6"/>
              <w:contextualSpacing/>
              <w:jc w:val="center"/>
              <w:rPr>
                <w:rFonts w:ascii="Bookman Old Style" w:hAnsi="Bookman Old Style"/>
                <w:b/>
                <w:szCs w:val="24"/>
              </w:rPr>
            </w:pPr>
          </w:p>
        </w:tc>
      </w:tr>
      <w:bookmarkEnd w:id="0"/>
    </w:tbl>
    <w:p w14:paraId="44DC4F3A" w14:textId="77777777" w:rsidR="000C3428" w:rsidRPr="00DD5E79" w:rsidRDefault="000C3428" w:rsidP="008E5195">
      <w:pPr>
        <w:pStyle w:val="Textodebloque"/>
        <w:ind w:left="0" w:right="6"/>
        <w:contextualSpacing/>
        <w:rPr>
          <w:rFonts w:ascii="Bookman Old Style" w:hAnsi="Bookman Old Style"/>
          <w:b/>
          <w:szCs w:val="24"/>
        </w:rPr>
      </w:pPr>
    </w:p>
    <w:sectPr w:rsidR="000C3428" w:rsidRPr="00DD5E79" w:rsidSect="00023385">
      <w:headerReference w:type="default" r:id="rId18"/>
      <w:headerReference w:type="first" r:id="rId19"/>
      <w:type w:val="continuous"/>
      <w:pgSz w:w="12242" w:h="18722" w:code="123"/>
      <w:pgMar w:top="1440" w:right="1043" w:bottom="167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8F73D" w14:textId="77777777" w:rsidR="00077CB5" w:rsidRDefault="00077CB5">
      <w:r>
        <w:separator/>
      </w:r>
    </w:p>
  </w:endnote>
  <w:endnote w:type="continuationSeparator" w:id="0">
    <w:p w14:paraId="239D1559" w14:textId="77777777" w:rsidR="00077CB5" w:rsidRDefault="00077CB5">
      <w:r>
        <w:continuationSeparator/>
      </w:r>
    </w:p>
  </w:endnote>
  <w:endnote w:type="continuationNotice" w:id="1">
    <w:p w14:paraId="6B93EFF2" w14:textId="77777777" w:rsidR="00077CB5" w:rsidRDefault="00077C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4A4B1" w14:textId="77777777" w:rsidR="00077CB5" w:rsidRDefault="00077CB5">
      <w:r>
        <w:separator/>
      </w:r>
    </w:p>
  </w:footnote>
  <w:footnote w:type="continuationSeparator" w:id="0">
    <w:p w14:paraId="49D518D3" w14:textId="77777777" w:rsidR="00077CB5" w:rsidRDefault="00077CB5">
      <w:r>
        <w:continuationSeparator/>
      </w:r>
    </w:p>
  </w:footnote>
  <w:footnote w:type="continuationNotice" w:id="1">
    <w:p w14:paraId="4A49BEFA" w14:textId="77777777" w:rsidR="00077CB5" w:rsidRDefault="00077CB5"/>
  </w:footnote>
  <w:footnote w:id="2">
    <w:p w14:paraId="315CD262" w14:textId="77777777" w:rsidR="00077CB5" w:rsidRPr="005F1F49" w:rsidRDefault="00077CB5" w:rsidP="00EE28AB">
      <w:pPr>
        <w:pStyle w:val="Textonotapie"/>
      </w:pPr>
      <w:r>
        <w:rPr>
          <w:rStyle w:val="Refdenotaalpie"/>
        </w:rPr>
        <w:footnoteRef/>
      </w:r>
      <w:r>
        <w:t xml:space="preserve"> </w:t>
      </w:r>
      <w:r w:rsidRPr="003B0FA8">
        <w:rPr>
          <w:rFonts w:ascii="Bookman Old Style" w:hAnsi="Bookman Old Style"/>
        </w:rPr>
        <w:t>Consejo De Estado, Sala de lo Contencioso Administrativo Sección Primera, Consejero ponente: Carlos Enrique Moreno Rubio, Sentencia del dos (2) de marzo de dos mil diecisiete (2017) Radicación número: 11001-03-24-000-2015-00310-00.</w:t>
      </w:r>
    </w:p>
  </w:footnote>
  <w:footnote w:id="3">
    <w:p w14:paraId="2BC80DE8" w14:textId="77777777" w:rsidR="00077CB5" w:rsidRPr="00014ECC" w:rsidRDefault="00077CB5" w:rsidP="00A8418B">
      <w:pPr>
        <w:pStyle w:val="Textonotapie"/>
        <w:rPr>
          <w:rFonts w:ascii="Bookman Old Style" w:hAnsi="Bookman Old Style"/>
          <w:sz w:val="18"/>
          <w:szCs w:val="18"/>
          <w:lang w:val="es-ES"/>
        </w:rPr>
      </w:pPr>
      <w:r w:rsidRPr="00014ECC">
        <w:rPr>
          <w:rStyle w:val="Refdenotaalpie"/>
          <w:rFonts w:ascii="Bookman Old Style" w:hAnsi="Bookman Old Style"/>
          <w:sz w:val="18"/>
          <w:szCs w:val="18"/>
        </w:rPr>
        <w:footnoteRef/>
      </w:r>
      <w:r w:rsidRPr="00014ECC">
        <w:rPr>
          <w:rFonts w:ascii="Bookman Old Style" w:hAnsi="Bookman Old Style"/>
          <w:sz w:val="18"/>
          <w:szCs w:val="18"/>
        </w:rPr>
        <w:t xml:space="preserve"> </w:t>
      </w:r>
      <w:r w:rsidRPr="00014ECC">
        <w:rPr>
          <w:rFonts w:ascii="Bookman Old Style" w:hAnsi="Bookman Old Style"/>
          <w:sz w:val="18"/>
          <w:szCs w:val="18"/>
          <w:lang w:val="es-ES"/>
        </w:rPr>
        <w:t xml:space="preserve">Ver Resolución </w:t>
      </w:r>
      <w:r w:rsidRPr="00014ECC">
        <w:rPr>
          <w:rFonts w:ascii="Bookman Old Style" w:hAnsi="Bookman Old Style"/>
          <w:sz w:val="18"/>
          <w:szCs w:val="18"/>
        </w:rPr>
        <w:t xml:space="preserve">CREG 091 de 2007, modificada mediante Resolución CREG 057 de 2009. </w:t>
      </w:r>
    </w:p>
  </w:footnote>
  <w:footnote w:id="4">
    <w:p w14:paraId="50FFD83C" w14:textId="77777777" w:rsidR="00077CB5" w:rsidRPr="003B0FA8" w:rsidRDefault="00077CB5" w:rsidP="00EE28AB">
      <w:pPr>
        <w:pStyle w:val="Textonotapie"/>
        <w:rPr>
          <w:rFonts w:ascii="Bookman Old Style" w:hAnsi="Bookman Old Style"/>
          <w:lang w:val="es-ES"/>
        </w:rPr>
      </w:pPr>
      <w:r w:rsidRPr="00014ECC">
        <w:rPr>
          <w:rStyle w:val="Refdenotaalpie"/>
          <w:rFonts w:ascii="Bookman Old Style" w:hAnsi="Bookman Old Style"/>
          <w:sz w:val="18"/>
          <w:szCs w:val="18"/>
        </w:rPr>
        <w:footnoteRef/>
      </w:r>
      <w:r w:rsidRPr="00014ECC">
        <w:rPr>
          <w:rFonts w:ascii="Bookman Old Style" w:hAnsi="Bookman Old Style"/>
          <w:sz w:val="18"/>
          <w:szCs w:val="18"/>
        </w:rPr>
        <w:t xml:space="preserve"> Cfr., Corte Constitucional, sentencias C-604/00 y C-192/16. El mismo criterio lo ha sentado la Corte en las sentencias T- 001 de 1992, C-544 de 1993, C-147/97 y C-822 de 2011, entre otras.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A9C5" w14:textId="77777777" w:rsidR="00077CB5" w:rsidRDefault="00077CB5" w:rsidP="00951F79">
    <w:pPr>
      <w:pStyle w:val="Ttulo1"/>
      <w:ind w:right="6"/>
      <w:jc w:val="left"/>
      <w:rPr>
        <w:rFonts w:ascii="Bookman Old Style" w:hAnsi="Bookman Old Style" w:cs="Arial"/>
        <w:b w:val="0"/>
        <w:sz w:val="22"/>
        <w:szCs w:val="22"/>
      </w:rPr>
    </w:pPr>
  </w:p>
  <w:p w14:paraId="36B1EA65" w14:textId="7D5C5D96" w:rsidR="00077CB5" w:rsidRPr="00951F79" w:rsidRDefault="00077CB5" w:rsidP="00951F79">
    <w:pPr>
      <w:pStyle w:val="Ttulo1"/>
      <w:ind w:right="6"/>
      <w:jc w:val="left"/>
      <w:rPr>
        <w:rFonts w:ascii="Bookman Old Style" w:hAnsi="Bookman Old Style" w:cs="Arial"/>
        <w:b w:val="0"/>
        <w:sz w:val="22"/>
        <w:szCs w:val="22"/>
      </w:rPr>
    </w:pPr>
    <w:r w:rsidRPr="00654384">
      <w:rPr>
        <w:rFonts w:ascii="Bookman Old Style" w:hAnsi="Bookman Old Style" w:cs="Arial"/>
        <w:b w:val="0"/>
        <w:sz w:val="22"/>
        <w:szCs w:val="22"/>
      </w:rPr>
      <w:t>RESOLUCIÓN No</w:t>
    </w:r>
    <w:r w:rsidRPr="00AD369B">
      <w:rPr>
        <w:rFonts w:ascii="Bookman Old Style" w:hAnsi="Bookman Old Style" w:cs="Arial"/>
        <w:b w:val="0"/>
        <w:szCs w:val="24"/>
      </w:rPr>
      <w:t>.</w:t>
    </w:r>
    <w:r w:rsidRPr="00AD369B">
      <w:rPr>
        <w:rFonts w:ascii="Bookman Old Style" w:hAnsi="Bookman Old Style" w:cs="Arial"/>
        <w:bCs/>
        <w:szCs w:val="24"/>
        <w:u w:val="single"/>
      </w:rPr>
      <w:t xml:space="preserve"> </w:t>
    </w:r>
    <w:r>
      <w:rPr>
        <w:rFonts w:ascii="Bookman Old Style" w:hAnsi="Bookman Old Style" w:cs="Arial"/>
        <w:bCs/>
        <w:szCs w:val="24"/>
        <w:u w:val="single"/>
      </w:rPr>
      <w:t xml:space="preserve">501 </w:t>
    </w:r>
    <w:proofErr w:type="gramStart"/>
    <w:r w:rsidR="00023385">
      <w:rPr>
        <w:rFonts w:ascii="Bookman Old Style" w:hAnsi="Bookman Old Style" w:cs="Arial"/>
        <w:bCs/>
        <w:szCs w:val="24"/>
        <w:u w:val="single"/>
      </w:rPr>
      <w:t>061</w:t>
    </w:r>
    <w:r>
      <w:rPr>
        <w:rFonts w:ascii="Bookman Old Style" w:hAnsi="Bookman Old Style" w:cs="Arial"/>
        <w:b w:val="0"/>
        <w:sz w:val="22"/>
        <w:szCs w:val="22"/>
      </w:rPr>
      <w:t xml:space="preserve">  </w:t>
    </w:r>
    <w:r w:rsidRPr="00654384">
      <w:rPr>
        <w:rFonts w:ascii="Bookman Old Style" w:hAnsi="Bookman Old Style" w:cs="Arial"/>
        <w:b w:val="0"/>
        <w:sz w:val="22"/>
        <w:szCs w:val="22"/>
      </w:rPr>
      <w:tab/>
    </w:r>
    <w:proofErr w:type="gramEnd"/>
    <w:r>
      <w:rPr>
        <w:rFonts w:ascii="Bookman Old Style" w:hAnsi="Bookman Old Style" w:cs="Arial"/>
        <w:b w:val="0"/>
        <w:sz w:val="22"/>
        <w:szCs w:val="22"/>
      </w:rPr>
      <w:t xml:space="preserve">DE  </w:t>
    </w:r>
    <w:r w:rsidRPr="00AD369B">
      <w:rPr>
        <w:rFonts w:ascii="Bookman Old Style" w:hAnsi="Bookman Old Style" w:cs="Arial"/>
        <w:b w:val="0"/>
        <w:sz w:val="22"/>
        <w:szCs w:val="22"/>
        <w:u w:val="single"/>
      </w:rPr>
      <w:t xml:space="preserve"> </w:t>
    </w:r>
    <w:r w:rsidR="00023385">
      <w:rPr>
        <w:rFonts w:ascii="Bookman Old Style" w:hAnsi="Bookman Old Style" w:cs="Arial"/>
        <w:bCs/>
        <w:szCs w:val="24"/>
        <w:u w:val="single"/>
      </w:rPr>
      <w:t>05 SEP.</w:t>
    </w:r>
    <w:r w:rsidRPr="00AD369B">
      <w:rPr>
        <w:rFonts w:ascii="Bookman Old Style" w:hAnsi="Bookman Old Style" w:cs="Arial"/>
        <w:bCs/>
        <w:szCs w:val="24"/>
        <w:u w:val="single"/>
      </w:rPr>
      <w:t xml:space="preserve"> 202</w:t>
    </w:r>
    <w:r>
      <w:rPr>
        <w:rFonts w:ascii="Bookman Old Style" w:hAnsi="Bookman Old Style" w:cs="Arial"/>
        <w:bCs/>
        <w:szCs w:val="24"/>
        <w:u w:val="single"/>
      </w:rPr>
      <w:t>2</w:t>
    </w:r>
    <w:r w:rsidRPr="00AD369B">
      <w:rPr>
        <w:rFonts w:ascii="Bookman Old Style" w:hAnsi="Bookman Old Style" w:cs="Arial"/>
        <w:b w:val="0"/>
        <w:sz w:val="22"/>
        <w:szCs w:val="22"/>
        <w:u w:val="single"/>
      </w:rPr>
      <w:t xml:space="preserve"> </w:t>
    </w:r>
    <w:r>
      <w:rPr>
        <w:rFonts w:ascii="Bookman Old Style" w:hAnsi="Bookman Old Style" w:cs="Arial"/>
        <w:b w:val="0"/>
        <w:sz w:val="22"/>
        <w:szCs w:val="22"/>
      </w:rPr>
      <w:tab/>
    </w:r>
    <w:r w:rsidRPr="00654384">
      <w:rPr>
        <w:rFonts w:ascii="Bookman Old Style" w:hAnsi="Bookman Old Style" w:cs="Arial"/>
        <w:b w:val="0"/>
        <w:sz w:val="22"/>
        <w:szCs w:val="22"/>
      </w:rPr>
      <w:t xml:space="preserve">HOJA No. </w:t>
    </w:r>
    <w:r w:rsidRPr="00654384">
      <w:rPr>
        <w:rFonts w:ascii="Bookman Old Style" w:hAnsi="Bookman Old Style" w:cs="Arial"/>
        <w:b w:val="0"/>
        <w:sz w:val="22"/>
        <w:szCs w:val="22"/>
      </w:rPr>
      <w:fldChar w:fldCharType="begin"/>
    </w:r>
    <w:r w:rsidRPr="00654384">
      <w:rPr>
        <w:rFonts w:ascii="Bookman Old Style" w:hAnsi="Bookman Old Style" w:cs="Arial"/>
        <w:b w:val="0"/>
        <w:sz w:val="22"/>
        <w:szCs w:val="22"/>
      </w:rPr>
      <w:instrText xml:space="preserve"> PAGE   \* MERGEFORMAT </w:instrText>
    </w:r>
    <w:r w:rsidRPr="00654384">
      <w:rPr>
        <w:rFonts w:ascii="Bookman Old Style" w:hAnsi="Bookman Old Style" w:cs="Arial"/>
        <w:b w:val="0"/>
        <w:sz w:val="22"/>
        <w:szCs w:val="22"/>
      </w:rPr>
      <w:fldChar w:fldCharType="separate"/>
    </w:r>
    <w:r w:rsidR="004439EC">
      <w:rPr>
        <w:rFonts w:ascii="Bookman Old Style" w:hAnsi="Bookman Old Style" w:cs="Arial"/>
        <w:b w:val="0"/>
        <w:noProof/>
        <w:sz w:val="22"/>
        <w:szCs w:val="22"/>
      </w:rPr>
      <w:t>21</w:t>
    </w:r>
    <w:r w:rsidRPr="00654384">
      <w:rPr>
        <w:rFonts w:ascii="Bookman Old Style" w:hAnsi="Bookman Old Style" w:cs="Arial"/>
        <w:b w:val="0"/>
        <w:sz w:val="22"/>
        <w:szCs w:val="22"/>
      </w:rPr>
      <w:fldChar w:fldCharType="end"/>
    </w:r>
    <w:r w:rsidRPr="00654384">
      <w:rPr>
        <w:rFonts w:ascii="Bookman Old Style" w:hAnsi="Bookman Old Style" w:cs="Arial"/>
        <w:b w:val="0"/>
        <w:sz w:val="22"/>
        <w:szCs w:val="22"/>
      </w:rPr>
      <w:t>/</w:t>
    </w:r>
    <w:r>
      <w:rPr>
        <w:rFonts w:ascii="Bookman Old Style" w:hAnsi="Bookman Old Style" w:cs="Arial"/>
        <w:b w:val="0"/>
        <w:sz w:val="22"/>
        <w:szCs w:val="22"/>
      </w:rPr>
      <w:fldChar w:fldCharType="begin"/>
    </w:r>
    <w:r>
      <w:rPr>
        <w:rFonts w:ascii="Bookman Old Style" w:hAnsi="Bookman Old Style" w:cs="Arial"/>
        <w:b w:val="0"/>
        <w:sz w:val="22"/>
        <w:szCs w:val="22"/>
      </w:rPr>
      <w:instrText xml:space="preserve"> NUMPAGES  \* MERGEFORMAT </w:instrText>
    </w:r>
    <w:r>
      <w:rPr>
        <w:rFonts w:ascii="Bookman Old Style" w:hAnsi="Bookman Old Style" w:cs="Arial"/>
        <w:b w:val="0"/>
        <w:sz w:val="22"/>
        <w:szCs w:val="22"/>
      </w:rPr>
      <w:fldChar w:fldCharType="separate"/>
    </w:r>
    <w:r w:rsidR="004439EC">
      <w:rPr>
        <w:rFonts w:ascii="Bookman Old Style" w:hAnsi="Bookman Old Style" w:cs="Arial"/>
        <w:b w:val="0"/>
        <w:noProof/>
        <w:sz w:val="22"/>
        <w:szCs w:val="22"/>
      </w:rPr>
      <w:t>22</w:t>
    </w:r>
    <w:r>
      <w:rPr>
        <w:rFonts w:ascii="Bookman Old Style" w:hAnsi="Bookman Old Style" w:cs="Arial"/>
        <w:b w:val="0"/>
        <w:sz w:val="22"/>
        <w:szCs w:val="22"/>
      </w:rPr>
      <w:fldChar w:fldCharType="end"/>
    </w:r>
  </w:p>
  <w:p w14:paraId="6279FA08" w14:textId="77777777" w:rsidR="00077CB5" w:rsidRDefault="00077CB5" w:rsidP="00053032">
    <w:pPr>
      <w:pStyle w:val="Textodebloque"/>
      <w:ind w:left="0" w:right="142"/>
      <w:rPr>
        <w:rFonts w:ascii="Bookman Old Style" w:hAnsi="Bookman Old Style" w:cs="Arial"/>
        <w:szCs w:val="24"/>
      </w:rPr>
    </w:pPr>
    <w:r>
      <w:rPr>
        <w:noProof/>
        <w:lang w:val="es-CO" w:eastAsia="es-CO"/>
      </w:rPr>
      <mc:AlternateContent>
        <mc:Choice Requires="wps">
          <w:drawing>
            <wp:anchor distT="0" distB="0" distL="114300" distR="114300" simplePos="0" relativeHeight="251658240" behindDoc="0" locked="0" layoutInCell="1" allowOverlap="1" wp14:anchorId="4489AA18" wp14:editId="704F40EB">
              <wp:simplePos x="0" y="0"/>
              <wp:positionH relativeFrom="column">
                <wp:posOffset>-9884</wp:posOffset>
              </wp:positionH>
              <wp:positionV relativeFrom="paragraph">
                <wp:posOffset>144475</wp:posOffset>
              </wp:positionV>
              <wp:extent cx="6342380" cy="9939131"/>
              <wp:effectExtent l="0" t="0" r="20320" b="2413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2380" cy="9939131"/>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8BDFE7">
            <v:rect id="Rectangle 4" style="position:absolute;margin-left:-.8pt;margin-top:11.4pt;width:499.4pt;height:78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5pt" w14:anchorId="2E642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"/>
          </w:pict>
        </mc:Fallback>
      </mc:AlternateContent>
    </w:r>
    <w:r w:rsidRPr="00507115">
      <w:rPr>
        <w:rFonts w:ascii="Bookman Old Style" w:hAnsi="Bookman Old Style" w:cs="Arial"/>
        <w:szCs w:val="24"/>
      </w:rPr>
      <w:t xml:space="preserve"> </w:t>
    </w:r>
  </w:p>
  <w:p w14:paraId="088D54CB" w14:textId="2695F28B" w:rsidR="00077CB5" w:rsidRDefault="00077CB5" w:rsidP="00AD369B">
    <w:pPr>
      <w:pStyle w:val="Textodebloque"/>
      <w:spacing w:after="0"/>
      <w:ind w:left="283" w:right="142"/>
      <w:rPr>
        <w:rFonts w:ascii="Bookman Old Style" w:hAnsi="Bookman Old Style"/>
      </w:rPr>
    </w:pPr>
    <w:r w:rsidRPr="00053032">
      <w:rPr>
        <w:rFonts w:ascii="Bookman Old Style" w:hAnsi="Bookman Old Style"/>
      </w:rPr>
      <w:t xml:space="preserve">Por la cual se </w:t>
    </w:r>
    <w:r>
      <w:rPr>
        <w:rFonts w:ascii="Bookman Old Style" w:hAnsi="Bookman Old Style"/>
      </w:rPr>
      <w:t>resuelve el recurso de reposición interpuesto por GENSA contra la Resolución CREG 501 041 de 2022.</w:t>
    </w:r>
  </w:p>
  <w:p w14:paraId="28F3F09E" w14:textId="0D17716A" w:rsidR="00077CB5" w:rsidRPr="00053032" w:rsidRDefault="00077CB5" w:rsidP="00AD369B">
    <w:pPr>
      <w:pStyle w:val="Textodebloque"/>
      <w:spacing w:after="0"/>
      <w:ind w:left="283" w:right="142"/>
      <w:rPr>
        <w:rFonts w:ascii="Bookman Old Style" w:hAnsi="Bookman Old Style"/>
      </w:rPr>
    </w:pPr>
    <w:r>
      <w:rPr>
        <w:rFonts w:ascii="Bookman Old Style" w:hAnsi="Bookman Old Style"/>
      </w:rPr>
      <w:t>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145D" w14:textId="77777777" w:rsidR="00077CB5" w:rsidRDefault="00077CB5">
    <w:pPr>
      <w:pStyle w:val="Encabezado"/>
      <w:jc w:val="center"/>
      <w:rPr>
        <w:rFonts w:ascii="Arial" w:hAnsi="Arial" w:cs="Arial"/>
        <w:spacing w:val="20"/>
        <w:sz w:val="20"/>
      </w:rPr>
    </w:pPr>
    <w:r>
      <w:rPr>
        <w:rFonts w:ascii="Arial" w:hAnsi="Arial" w:cs="Arial"/>
        <w:spacing w:val="20"/>
        <w:sz w:val="20"/>
      </w:rPr>
      <w:t>República de Colombia</w:t>
    </w:r>
  </w:p>
  <w:p w14:paraId="1DEBF43A" w14:textId="77777777" w:rsidR="00077CB5" w:rsidRDefault="00077CB5">
    <w:pPr>
      <w:pStyle w:val="Encabezado"/>
      <w:jc w:val="center"/>
      <w:rPr>
        <w:rFonts w:ascii="Arial" w:hAnsi="Arial" w:cs="Arial"/>
        <w:spacing w:val="20"/>
        <w:sz w:val="20"/>
      </w:rPr>
    </w:pPr>
  </w:p>
  <w:p w14:paraId="000510A4" w14:textId="77777777" w:rsidR="00077CB5" w:rsidRDefault="00077CB5" w:rsidP="00CA77FB">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58241" behindDoc="0" locked="0" layoutInCell="1" allowOverlap="1" wp14:anchorId="2B7A6E49" wp14:editId="12E5A430">
              <wp:simplePos x="0" y="0"/>
              <wp:positionH relativeFrom="column">
                <wp:posOffset>-8890</wp:posOffset>
              </wp:positionH>
              <wp:positionV relativeFrom="paragraph">
                <wp:posOffset>224790</wp:posOffset>
              </wp:positionV>
              <wp:extent cx="6308090" cy="9839325"/>
              <wp:effectExtent l="15240" t="14605" r="10795" b="1397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090" cy="983932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F8B460">
            <v:rect id="Rectangle 5" style="position:absolute;margin-left:-.7pt;margin-top:17.7pt;width:496.7pt;height:77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5pt" w14:anchorId="45F70C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asN4NImkaYycL" int2:id="s4Vj5Ba8">
      <int2:state int2:value="Rejected" int2:type="LegacyProofing"/>
    </int2:textHash>
    <int2:bookmark int2:bookmarkName="_Int_4boCidrs" int2:invalidationBookmarkName="" int2:hashCode="5FWQzIoBPoMCPj" int2:id="7WtU3Nmw">
      <int2:state int2:value="Rejected" int2:type="AugLoop_Acronyms_AcronymsCritique"/>
    </int2:bookmark>
    <int2:bookmark int2:bookmarkName="_Int_sz6iUwbW" int2:invalidationBookmarkName="" int2:hashCode="oFh++U/suL03qX" int2:id="P5jfHDAS">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1BFF"/>
    <w:multiLevelType w:val="hybridMultilevel"/>
    <w:tmpl w:val="78C4842A"/>
    <w:lvl w:ilvl="0" w:tplc="CB589430">
      <w:start w:val="1"/>
      <w:numFmt w:val="decimal"/>
      <w:lvlText w:val="Artículo %1."/>
      <w:lvlJc w:val="left"/>
      <w:pPr>
        <w:tabs>
          <w:tab w:val="num" w:pos="1440"/>
        </w:tabs>
        <w:ind w:left="0" w:firstLine="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3C95E8A"/>
    <w:multiLevelType w:val="hybridMultilevel"/>
    <w:tmpl w:val="3806B692"/>
    <w:lvl w:ilvl="0" w:tplc="0C0A0019">
      <w:start w:val="1"/>
      <w:numFmt w:val="lowerLetter"/>
      <w:lvlText w:val="%1."/>
      <w:lvlJc w:val="left"/>
      <w:pPr>
        <w:ind w:left="644" w:hanging="360"/>
      </w:pPr>
    </w:lvl>
    <w:lvl w:ilvl="1" w:tplc="0C0A0019">
      <w:start w:val="1"/>
      <w:numFmt w:val="lowerLetter"/>
      <w:lvlText w:val="%2."/>
      <w:lvlJc w:val="left"/>
      <w:pPr>
        <w:ind w:left="28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04561569"/>
    <w:multiLevelType w:val="hybridMultilevel"/>
    <w:tmpl w:val="FE6E4C60"/>
    <w:lvl w:ilvl="0" w:tplc="93268C86">
      <w:start w:val="1"/>
      <w:numFmt w:val="bullet"/>
      <w:lvlText w:val="•"/>
      <w:lvlJc w:val="left"/>
      <w:pPr>
        <w:tabs>
          <w:tab w:val="num" w:pos="720"/>
        </w:tabs>
        <w:ind w:left="720" w:hanging="360"/>
      </w:pPr>
      <w:rPr>
        <w:rFonts w:ascii="Times New Roman" w:hAnsi="Times New Roman" w:hint="default"/>
      </w:rPr>
    </w:lvl>
    <w:lvl w:ilvl="1" w:tplc="666470E6" w:tentative="1">
      <w:start w:val="1"/>
      <w:numFmt w:val="bullet"/>
      <w:lvlText w:val="•"/>
      <w:lvlJc w:val="left"/>
      <w:pPr>
        <w:tabs>
          <w:tab w:val="num" w:pos="1440"/>
        </w:tabs>
        <w:ind w:left="1440" w:hanging="360"/>
      </w:pPr>
      <w:rPr>
        <w:rFonts w:ascii="Times New Roman" w:hAnsi="Times New Roman" w:hint="default"/>
      </w:rPr>
    </w:lvl>
    <w:lvl w:ilvl="2" w:tplc="A7F60A86" w:tentative="1">
      <w:start w:val="1"/>
      <w:numFmt w:val="bullet"/>
      <w:lvlText w:val="•"/>
      <w:lvlJc w:val="left"/>
      <w:pPr>
        <w:tabs>
          <w:tab w:val="num" w:pos="2160"/>
        </w:tabs>
        <w:ind w:left="2160" w:hanging="360"/>
      </w:pPr>
      <w:rPr>
        <w:rFonts w:ascii="Times New Roman" w:hAnsi="Times New Roman" w:hint="default"/>
      </w:rPr>
    </w:lvl>
    <w:lvl w:ilvl="3" w:tplc="FCEC9788" w:tentative="1">
      <w:start w:val="1"/>
      <w:numFmt w:val="bullet"/>
      <w:lvlText w:val="•"/>
      <w:lvlJc w:val="left"/>
      <w:pPr>
        <w:tabs>
          <w:tab w:val="num" w:pos="2880"/>
        </w:tabs>
        <w:ind w:left="2880" w:hanging="360"/>
      </w:pPr>
      <w:rPr>
        <w:rFonts w:ascii="Times New Roman" w:hAnsi="Times New Roman" w:hint="default"/>
      </w:rPr>
    </w:lvl>
    <w:lvl w:ilvl="4" w:tplc="C0483474" w:tentative="1">
      <w:start w:val="1"/>
      <w:numFmt w:val="bullet"/>
      <w:lvlText w:val="•"/>
      <w:lvlJc w:val="left"/>
      <w:pPr>
        <w:tabs>
          <w:tab w:val="num" w:pos="3600"/>
        </w:tabs>
        <w:ind w:left="3600" w:hanging="360"/>
      </w:pPr>
      <w:rPr>
        <w:rFonts w:ascii="Times New Roman" w:hAnsi="Times New Roman" w:hint="default"/>
      </w:rPr>
    </w:lvl>
    <w:lvl w:ilvl="5" w:tplc="8CC83BA8" w:tentative="1">
      <w:start w:val="1"/>
      <w:numFmt w:val="bullet"/>
      <w:lvlText w:val="•"/>
      <w:lvlJc w:val="left"/>
      <w:pPr>
        <w:tabs>
          <w:tab w:val="num" w:pos="4320"/>
        </w:tabs>
        <w:ind w:left="4320" w:hanging="360"/>
      </w:pPr>
      <w:rPr>
        <w:rFonts w:ascii="Times New Roman" w:hAnsi="Times New Roman" w:hint="default"/>
      </w:rPr>
    </w:lvl>
    <w:lvl w:ilvl="6" w:tplc="11DCAB8A" w:tentative="1">
      <w:start w:val="1"/>
      <w:numFmt w:val="bullet"/>
      <w:lvlText w:val="•"/>
      <w:lvlJc w:val="left"/>
      <w:pPr>
        <w:tabs>
          <w:tab w:val="num" w:pos="5040"/>
        </w:tabs>
        <w:ind w:left="5040" w:hanging="360"/>
      </w:pPr>
      <w:rPr>
        <w:rFonts w:ascii="Times New Roman" w:hAnsi="Times New Roman" w:hint="default"/>
      </w:rPr>
    </w:lvl>
    <w:lvl w:ilvl="7" w:tplc="450AF894" w:tentative="1">
      <w:start w:val="1"/>
      <w:numFmt w:val="bullet"/>
      <w:lvlText w:val="•"/>
      <w:lvlJc w:val="left"/>
      <w:pPr>
        <w:tabs>
          <w:tab w:val="num" w:pos="5760"/>
        </w:tabs>
        <w:ind w:left="5760" w:hanging="360"/>
      </w:pPr>
      <w:rPr>
        <w:rFonts w:ascii="Times New Roman" w:hAnsi="Times New Roman" w:hint="default"/>
      </w:rPr>
    </w:lvl>
    <w:lvl w:ilvl="8" w:tplc="D69EF5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CE0429"/>
    <w:multiLevelType w:val="hybridMultilevel"/>
    <w:tmpl w:val="F5D2FE38"/>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5844659"/>
    <w:multiLevelType w:val="multilevel"/>
    <w:tmpl w:val="DEA4FC0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7655057"/>
    <w:multiLevelType w:val="hybridMultilevel"/>
    <w:tmpl w:val="A828BA4E"/>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09720070"/>
    <w:multiLevelType w:val="hybridMultilevel"/>
    <w:tmpl w:val="71D2E7DC"/>
    <w:lvl w:ilvl="0" w:tplc="CFAA6A46">
      <w:start w:val="1"/>
      <w:numFmt w:val="lowerLetter"/>
      <w:lvlText w:val="%1."/>
      <w:lvlJc w:val="left"/>
      <w:pPr>
        <w:ind w:left="1552" w:hanging="420"/>
      </w:pPr>
      <w:rPr>
        <w:rFonts w:hint="default"/>
      </w:rPr>
    </w:lvl>
    <w:lvl w:ilvl="1" w:tplc="240A0019" w:tentative="1">
      <w:start w:val="1"/>
      <w:numFmt w:val="lowerLetter"/>
      <w:lvlText w:val="%2."/>
      <w:lvlJc w:val="left"/>
      <w:pPr>
        <w:ind w:left="2212" w:hanging="360"/>
      </w:pPr>
    </w:lvl>
    <w:lvl w:ilvl="2" w:tplc="240A001B" w:tentative="1">
      <w:start w:val="1"/>
      <w:numFmt w:val="lowerRoman"/>
      <w:lvlText w:val="%3."/>
      <w:lvlJc w:val="right"/>
      <w:pPr>
        <w:ind w:left="2932" w:hanging="180"/>
      </w:pPr>
    </w:lvl>
    <w:lvl w:ilvl="3" w:tplc="240A000F" w:tentative="1">
      <w:start w:val="1"/>
      <w:numFmt w:val="decimal"/>
      <w:lvlText w:val="%4."/>
      <w:lvlJc w:val="left"/>
      <w:pPr>
        <w:ind w:left="3652" w:hanging="360"/>
      </w:pPr>
    </w:lvl>
    <w:lvl w:ilvl="4" w:tplc="240A0019" w:tentative="1">
      <w:start w:val="1"/>
      <w:numFmt w:val="lowerLetter"/>
      <w:lvlText w:val="%5."/>
      <w:lvlJc w:val="left"/>
      <w:pPr>
        <w:ind w:left="4372" w:hanging="360"/>
      </w:pPr>
    </w:lvl>
    <w:lvl w:ilvl="5" w:tplc="240A001B" w:tentative="1">
      <w:start w:val="1"/>
      <w:numFmt w:val="lowerRoman"/>
      <w:lvlText w:val="%6."/>
      <w:lvlJc w:val="right"/>
      <w:pPr>
        <w:ind w:left="5092" w:hanging="180"/>
      </w:pPr>
    </w:lvl>
    <w:lvl w:ilvl="6" w:tplc="240A000F" w:tentative="1">
      <w:start w:val="1"/>
      <w:numFmt w:val="decimal"/>
      <w:lvlText w:val="%7."/>
      <w:lvlJc w:val="left"/>
      <w:pPr>
        <w:ind w:left="5812" w:hanging="360"/>
      </w:pPr>
    </w:lvl>
    <w:lvl w:ilvl="7" w:tplc="240A0019" w:tentative="1">
      <w:start w:val="1"/>
      <w:numFmt w:val="lowerLetter"/>
      <w:lvlText w:val="%8."/>
      <w:lvlJc w:val="left"/>
      <w:pPr>
        <w:ind w:left="6532" w:hanging="360"/>
      </w:pPr>
    </w:lvl>
    <w:lvl w:ilvl="8" w:tplc="240A001B" w:tentative="1">
      <w:start w:val="1"/>
      <w:numFmt w:val="lowerRoman"/>
      <w:lvlText w:val="%9."/>
      <w:lvlJc w:val="right"/>
      <w:pPr>
        <w:ind w:left="7252" w:hanging="180"/>
      </w:pPr>
    </w:lvl>
  </w:abstractNum>
  <w:abstractNum w:abstractNumId="7" w15:restartNumberingAfterBreak="0">
    <w:nsid w:val="09901A1E"/>
    <w:multiLevelType w:val="hybridMultilevel"/>
    <w:tmpl w:val="49EEC4E2"/>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0DD8419B"/>
    <w:multiLevelType w:val="multilevel"/>
    <w:tmpl w:val="F42CDCEA"/>
    <w:lvl w:ilvl="0">
      <w:start w:val="1"/>
      <w:numFmt w:val="decimal"/>
      <w:lvlText w:val="Artículo %1."/>
      <w:lvlJc w:val="right"/>
      <w:pPr>
        <w:tabs>
          <w:tab w:val="num" w:pos="247"/>
        </w:tabs>
        <w:ind w:left="-1474" w:firstLine="1474"/>
      </w:pPr>
      <w:rPr>
        <w:rFonts w:ascii="Bookman Old Style" w:hAnsi="Bookman Old Style" w:cs="Arial" w:hint="default"/>
        <w:b/>
        <w:i w:val="0"/>
        <w:color w:val="auto"/>
        <w:sz w:val="24"/>
        <w:szCs w:val="24"/>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9" w15:restartNumberingAfterBreak="0">
    <w:nsid w:val="0DF36714"/>
    <w:multiLevelType w:val="hybridMultilevel"/>
    <w:tmpl w:val="0F70A1FA"/>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85F6A33A">
      <w:start w:val="1"/>
      <w:numFmt w:val="lowerLetter"/>
      <w:lvlText w:val="%3)"/>
      <w:lvlJc w:val="left"/>
      <w:pPr>
        <w:ind w:left="2160" w:hanging="360"/>
      </w:pPr>
      <w:rPr>
        <w:rFonts w:ascii="Arial" w:eastAsia="Times New Roman" w:hAnsi="Arial" w:cs="Arial"/>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4D793F"/>
    <w:multiLevelType w:val="hybridMultilevel"/>
    <w:tmpl w:val="61706B4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194114BA"/>
    <w:multiLevelType w:val="hybridMultilevel"/>
    <w:tmpl w:val="A73C32C2"/>
    <w:lvl w:ilvl="0" w:tplc="0C0A0017">
      <w:start w:val="1"/>
      <w:numFmt w:val="lowerLetter"/>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1AC41947"/>
    <w:multiLevelType w:val="hybridMultilevel"/>
    <w:tmpl w:val="D06A1BA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15:restartNumberingAfterBreak="0">
    <w:nsid w:val="1CF63874"/>
    <w:multiLevelType w:val="hybridMultilevel"/>
    <w:tmpl w:val="D7964F3C"/>
    <w:lvl w:ilvl="0" w:tplc="06F077C6">
      <w:start w:val="1"/>
      <w:numFmt w:val="decimal"/>
      <w:lvlText w:val="%1."/>
      <w:lvlJc w:val="left"/>
      <w:pPr>
        <w:ind w:left="720" w:hanging="360"/>
      </w:pPr>
    </w:lvl>
    <w:lvl w:ilvl="1" w:tplc="50100124">
      <w:start w:val="1"/>
      <w:numFmt w:val="lowerLetter"/>
      <w:lvlText w:val="%2."/>
      <w:lvlJc w:val="left"/>
      <w:pPr>
        <w:ind w:left="1440" w:hanging="360"/>
      </w:pPr>
    </w:lvl>
    <w:lvl w:ilvl="2" w:tplc="0AEA1D8A">
      <w:start w:val="1"/>
      <w:numFmt w:val="lowerRoman"/>
      <w:lvlText w:val="%3."/>
      <w:lvlJc w:val="right"/>
      <w:pPr>
        <w:ind w:left="2160" w:hanging="180"/>
      </w:pPr>
    </w:lvl>
    <w:lvl w:ilvl="3" w:tplc="B9B010B8">
      <w:start w:val="1"/>
      <w:numFmt w:val="decimal"/>
      <w:lvlText w:val="%4."/>
      <w:lvlJc w:val="left"/>
      <w:pPr>
        <w:ind w:left="2880" w:hanging="360"/>
      </w:pPr>
    </w:lvl>
    <w:lvl w:ilvl="4" w:tplc="D93A292C">
      <w:start w:val="1"/>
      <w:numFmt w:val="lowerLetter"/>
      <w:lvlText w:val="%5."/>
      <w:lvlJc w:val="left"/>
      <w:pPr>
        <w:ind w:left="3600" w:hanging="360"/>
      </w:pPr>
    </w:lvl>
    <w:lvl w:ilvl="5" w:tplc="F02C69A8">
      <w:start w:val="1"/>
      <w:numFmt w:val="lowerRoman"/>
      <w:lvlText w:val="%6."/>
      <w:lvlJc w:val="right"/>
      <w:pPr>
        <w:ind w:left="4320" w:hanging="180"/>
      </w:pPr>
    </w:lvl>
    <w:lvl w:ilvl="6" w:tplc="F26CB838">
      <w:start w:val="1"/>
      <w:numFmt w:val="decimal"/>
      <w:lvlText w:val="%7."/>
      <w:lvlJc w:val="left"/>
      <w:pPr>
        <w:ind w:left="5040" w:hanging="360"/>
      </w:pPr>
    </w:lvl>
    <w:lvl w:ilvl="7" w:tplc="EC32E44A">
      <w:start w:val="1"/>
      <w:numFmt w:val="lowerLetter"/>
      <w:lvlText w:val="%8."/>
      <w:lvlJc w:val="left"/>
      <w:pPr>
        <w:ind w:left="5760" w:hanging="360"/>
      </w:pPr>
    </w:lvl>
    <w:lvl w:ilvl="8" w:tplc="74BE00FC">
      <w:start w:val="1"/>
      <w:numFmt w:val="lowerRoman"/>
      <w:lvlText w:val="%9."/>
      <w:lvlJc w:val="right"/>
      <w:pPr>
        <w:ind w:left="6480" w:hanging="180"/>
      </w:pPr>
    </w:lvl>
  </w:abstractNum>
  <w:abstractNum w:abstractNumId="14" w15:restartNumberingAfterBreak="0">
    <w:nsid w:val="1F0D7481"/>
    <w:multiLevelType w:val="hybridMultilevel"/>
    <w:tmpl w:val="44364074"/>
    <w:lvl w:ilvl="0" w:tplc="0C0A0017">
      <w:start w:val="1"/>
      <w:numFmt w:val="lowerLetter"/>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25100DC7"/>
    <w:multiLevelType w:val="hybridMultilevel"/>
    <w:tmpl w:val="51F81D26"/>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6B23CC3"/>
    <w:multiLevelType w:val="hybridMultilevel"/>
    <w:tmpl w:val="8A9C2C42"/>
    <w:lvl w:ilvl="0" w:tplc="24067DDC">
      <w:start w:val="1"/>
      <w:numFmt w:val="bullet"/>
      <w:lvlText w:val="•"/>
      <w:lvlJc w:val="left"/>
      <w:pPr>
        <w:tabs>
          <w:tab w:val="num" w:pos="720"/>
        </w:tabs>
        <w:ind w:left="720" w:hanging="360"/>
      </w:pPr>
      <w:rPr>
        <w:rFonts w:ascii="Times New Roman" w:hAnsi="Times New Roman" w:hint="default"/>
      </w:rPr>
    </w:lvl>
    <w:lvl w:ilvl="1" w:tplc="077EA892" w:tentative="1">
      <w:start w:val="1"/>
      <w:numFmt w:val="bullet"/>
      <w:lvlText w:val="•"/>
      <w:lvlJc w:val="left"/>
      <w:pPr>
        <w:tabs>
          <w:tab w:val="num" w:pos="1440"/>
        </w:tabs>
        <w:ind w:left="1440" w:hanging="360"/>
      </w:pPr>
      <w:rPr>
        <w:rFonts w:ascii="Times New Roman" w:hAnsi="Times New Roman" w:hint="default"/>
      </w:rPr>
    </w:lvl>
    <w:lvl w:ilvl="2" w:tplc="8356FBC6" w:tentative="1">
      <w:start w:val="1"/>
      <w:numFmt w:val="bullet"/>
      <w:lvlText w:val="•"/>
      <w:lvlJc w:val="left"/>
      <w:pPr>
        <w:tabs>
          <w:tab w:val="num" w:pos="2160"/>
        </w:tabs>
        <w:ind w:left="2160" w:hanging="360"/>
      </w:pPr>
      <w:rPr>
        <w:rFonts w:ascii="Times New Roman" w:hAnsi="Times New Roman" w:hint="default"/>
      </w:rPr>
    </w:lvl>
    <w:lvl w:ilvl="3" w:tplc="5FBE7D7C" w:tentative="1">
      <w:start w:val="1"/>
      <w:numFmt w:val="bullet"/>
      <w:lvlText w:val="•"/>
      <w:lvlJc w:val="left"/>
      <w:pPr>
        <w:tabs>
          <w:tab w:val="num" w:pos="2880"/>
        </w:tabs>
        <w:ind w:left="2880" w:hanging="360"/>
      </w:pPr>
      <w:rPr>
        <w:rFonts w:ascii="Times New Roman" w:hAnsi="Times New Roman" w:hint="default"/>
      </w:rPr>
    </w:lvl>
    <w:lvl w:ilvl="4" w:tplc="95320D2E" w:tentative="1">
      <w:start w:val="1"/>
      <w:numFmt w:val="bullet"/>
      <w:lvlText w:val="•"/>
      <w:lvlJc w:val="left"/>
      <w:pPr>
        <w:tabs>
          <w:tab w:val="num" w:pos="3600"/>
        </w:tabs>
        <w:ind w:left="3600" w:hanging="360"/>
      </w:pPr>
      <w:rPr>
        <w:rFonts w:ascii="Times New Roman" w:hAnsi="Times New Roman" w:hint="default"/>
      </w:rPr>
    </w:lvl>
    <w:lvl w:ilvl="5" w:tplc="1A1893EC" w:tentative="1">
      <w:start w:val="1"/>
      <w:numFmt w:val="bullet"/>
      <w:lvlText w:val="•"/>
      <w:lvlJc w:val="left"/>
      <w:pPr>
        <w:tabs>
          <w:tab w:val="num" w:pos="4320"/>
        </w:tabs>
        <w:ind w:left="4320" w:hanging="360"/>
      </w:pPr>
      <w:rPr>
        <w:rFonts w:ascii="Times New Roman" w:hAnsi="Times New Roman" w:hint="default"/>
      </w:rPr>
    </w:lvl>
    <w:lvl w:ilvl="6" w:tplc="5FAE00A4" w:tentative="1">
      <w:start w:val="1"/>
      <w:numFmt w:val="bullet"/>
      <w:lvlText w:val="•"/>
      <w:lvlJc w:val="left"/>
      <w:pPr>
        <w:tabs>
          <w:tab w:val="num" w:pos="5040"/>
        </w:tabs>
        <w:ind w:left="5040" w:hanging="360"/>
      </w:pPr>
      <w:rPr>
        <w:rFonts w:ascii="Times New Roman" w:hAnsi="Times New Roman" w:hint="default"/>
      </w:rPr>
    </w:lvl>
    <w:lvl w:ilvl="7" w:tplc="FC8C1D00" w:tentative="1">
      <w:start w:val="1"/>
      <w:numFmt w:val="bullet"/>
      <w:lvlText w:val="•"/>
      <w:lvlJc w:val="left"/>
      <w:pPr>
        <w:tabs>
          <w:tab w:val="num" w:pos="5760"/>
        </w:tabs>
        <w:ind w:left="5760" w:hanging="360"/>
      </w:pPr>
      <w:rPr>
        <w:rFonts w:ascii="Times New Roman" w:hAnsi="Times New Roman" w:hint="default"/>
      </w:rPr>
    </w:lvl>
    <w:lvl w:ilvl="8" w:tplc="EECEE5E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7BE515C"/>
    <w:multiLevelType w:val="hybridMultilevel"/>
    <w:tmpl w:val="F476072A"/>
    <w:lvl w:ilvl="0" w:tplc="080A0001">
      <w:start w:val="1"/>
      <w:numFmt w:val="bullet"/>
      <w:lvlText w:val=""/>
      <w:lvlJc w:val="left"/>
      <w:pPr>
        <w:ind w:left="1693" w:hanging="360"/>
      </w:pPr>
      <w:rPr>
        <w:rFonts w:ascii="Symbol" w:hAnsi="Symbol" w:hint="default"/>
      </w:rPr>
    </w:lvl>
    <w:lvl w:ilvl="1" w:tplc="080A0003" w:tentative="1">
      <w:start w:val="1"/>
      <w:numFmt w:val="bullet"/>
      <w:lvlText w:val="o"/>
      <w:lvlJc w:val="left"/>
      <w:pPr>
        <w:ind w:left="2413" w:hanging="360"/>
      </w:pPr>
      <w:rPr>
        <w:rFonts w:ascii="Courier New" w:hAnsi="Courier New" w:cs="Courier New" w:hint="default"/>
      </w:rPr>
    </w:lvl>
    <w:lvl w:ilvl="2" w:tplc="080A0005" w:tentative="1">
      <w:start w:val="1"/>
      <w:numFmt w:val="bullet"/>
      <w:lvlText w:val=""/>
      <w:lvlJc w:val="left"/>
      <w:pPr>
        <w:ind w:left="3133" w:hanging="360"/>
      </w:pPr>
      <w:rPr>
        <w:rFonts w:ascii="Wingdings" w:hAnsi="Wingdings" w:hint="default"/>
      </w:rPr>
    </w:lvl>
    <w:lvl w:ilvl="3" w:tplc="080A0001" w:tentative="1">
      <w:start w:val="1"/>
      <w:numFmt w:val="bullet"/>
      <w:lvlText w:val=""/>
      <w:lvlJc w:val="left"/>
      <w:pPr>
        <w:ind w:left="3853" w:hanging="360"/>
      </w:pPr>
      <w:rPr>
        <w:rFonts w:ascii="Symbol" w:hAnsi="Symbol" w:hint="default"/>
      </w:rPr>
    </w:lvl>
    <w:lvl w:ilvl="4" w:tplc="080A0003" w:tentative="1">
      <w:start w:val="1"/>
      <w:numFmt w:val="bullet"/>
      <w:lvlText w:val="o"/>
      <w:lvlJc w:val="left"/>
      <w:pPr>
        <w:ind w:left="4573" w:hanging="360"/>
      </w:pPr>
      <w:rPr>
        <w:rFonts w:ascii="Courier New" w:hAnsi="Courier New" w:cs="Courier New" w:hint="default"/>
      </w:rPr>
    </w:lvl>
    <w:lvl w:ilvl="5" w:tplc="080A0005" w:tentative="1">
      <w:start w:val="1"/>
      <w:numFmt w:val="bullet"/>
      <w:lvlText w:val=""/>
      <w:lvlJc w:val="left"/>
      <w:pPr>
        <w:ind w:left="5293" w:hanging="360"/>
      </w:pPr>
      <w:rPr>
        <w:rFonts w:ascii="Wingdings" w:hAnsi="Wingdings" w:hint="default"/>
      </w:rPr>
    </w:lvl>
    <w:lvl w:ilvl="6" w:tplc="080A0001" w:tentative="1">
      <w:start w:val="1"/>
      <w:numFmt w:val="bullet"/>
      <w:lvlText w:val=""/>
      <w:lvlJc w:val="left"/>
      <w:pPr>
        <w:ind w:left="6013" w:hanging="360"/>
      </w:pPr>
      <w:rPr>
        <w:rFonts w:ascii="Symbol" w:hAnsi="Symbol" w:hint="default"/>
      </w:rPr>
    </w:lvl>
    <w:lvl w:ilvl="7" w:tplc="080A0003" w:tentative="1">
      <w:start w:val="1"/>
      <w:numFmt w:val="bullet"/>
      <w:lvlText w:val="o"/>
      <w:lvlJc w:val="left"/>
      <w:pPr>
        <w:ind w:left="6733" w:hanging="360"/>
      </w:pPr>
      <w:rPr>
        <w:rFonts w:ascii="Courier New" w:hAnsi="Courier New" w:cs="Courier New" w:hint="default"/>
      </w:rPr>
    </w:lvl>
    <w:lvl w:ilvl="8" w:tplc="080A0005" w:tentative="1">
      <w:start w:val="1"/>
      <w:numFmt w:val="bullet"/>
      <w:lvlText w:val=""/>
      <w:lvlJc w:val="left"/>
      <w:pPr>
        <w:ind w:left="7453" w:hanging="360"/>
      </w:pPr>
      <w:rPr>
        <w:rFonts w:ascii="Wingdings" w:hAnsi="Wingdings" w:hint="default"/>
      </w:rPr>
    </w:lvl>
  </w:abstractNum>
  <w:abstractNum w:abstractNumId="18" w15:restartNumberingAfterBreak="0">
    <w:nsid w:val="299626C3"/>
    <w:multiLevelType w:val="hybridMultilevel"/>
    <w:tmpl w:val="9F143EB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2B86733A"/>
    <w:multiLevelType w:val="multilevel"/>
    <w:tmpl w:val="7C6A80AC"/>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2F9E6ECA"/>
    <w:multiLevelType w:val="hybridMultilevel"/>
    <w:tmpl w:val="254E9A9E"/>
    <w:lvl w:ilvl="0" w:tplc="07FCB602">
      <w:start w:val="1"/>
      <w:numFmt w:val="bullet"/>
      <w:lvlText w:val="•"/>
      <w:lvlJc w:val="left"/>
      <w:pPr>
        <w:tabs>
          <w:tab w:val="num" w:pos="720"/>
        </w:tabs>
        <w:ind w:left="720" w:hanging="360"/>
      </w:pPr>
      <w:rPr>
        <w:rFonts w:ascii="Times New Roman" w:hAnsi="Times New Roman" w:hint="default"/>
      </w:rPr>
    </w:lvl>
    <w:lvl w:ilvl="1" w:tplc="DA08F9F2" w:tentative="1">
      <w:start w:val="1"/>
      <w:numFmt w:val="bullet"/>
      <w:lvlText w:val="•"/>
      <w:lvlJc w:val="left"/>
      <w:pPr>
        <w:tabs>
          <w:tab w:val="num" w:pos="1440"/>
        </w:tabs>
        <w:ind w:left="1440" w:hanging="360"/>
      </w:pPr>
      <w:rPr>
        <w:rFonts w:ascii="Times New Roman" w:hAnsi="Times New Roman" w:hint="default"/>
      </w:rPr>
    </w:lvl>
    <w:lvl w:ilvl="2" w:tplc="4482A9F8" w:tentative="1">
      <w:start w:val="1"/>
      <w:numFmt w:val="bullet"/>
      <w:lvlText w:val="•"/>
      <w:lvlJc w:val="left"/>
      <w:pPr>
        <w:tabs>
          <w:tab w:val="num" w:pos="2160"/>
        </w:tabs>
        <w:ind w:left="2160" w:hanging="360"/>
      </w:pPr>
      <w:rPr>
        <w:rFonts w:ascii="Times New Roman" w:hAnsi="Times New Roman" w:hint="default"/>
      </w:rPr>
    </w:lvl>
    <w:lvl w:ilvl="3" w:tplc="38709DCA" w:tentative="1">
      <w:start w:val="1"/>
      <w:numFmt w:val="bullet"/>
      <w:lvlText w:val="•"/>
      <w:lvlJc w:val="left"/>
      <w:pPr>
        <w:tabs>
          <w:tab w:val="num" w:pos="2880"/>
        </w:tabs>
        <w:ind w:left="2880" w:hanging="360"/>
      </w:pPr>
      <w:rPr>
        <w:rFonts w:ascii="Times New Roman" w:hAnsi="Times New Roman" w:hint="default"/>
      </w:rPr>
    </w:lvl>
    <w:lvl w:ilvl="4" w:tplc="CFF21244" w:tentative="1">
      <w:start w:val="1"/>
      <w:numFmt w:val="bullet"/>
      <w:lvlText w:val="•"/>
      <w:lvlJc w:val="left"/>
      <w:pPr>
        <w:tabs>
          <w:tab w:val="num" w:pos="3600"/>
        </w:tabs>
        <w:ind w:left="3600" w:hanging="360"/>
      </w:pPr>
      <w:rPr>
        <w:rFonts w:ascii="Times New Roman" w:hAnsi="Times New Roman" w:hint="default"/>
      </w:rPr>
    </w:lvl>
    <w:lvl w:ilvl="5" w:tplc="2FD2D818" w:tentative="1">
      <w:start w:val="1"/>
      <w:numFmt w:val="bullet"/>
      <w:lvlText w:val="•"/>
      <w:lvlJc w:val="left"/>
      <w:pPr>
        <w:tabs>
          <w:tab w:val="num" w:pos="4320"/>
        </w:tabs>
        <w:ind w:left="4320" w:hanging="360"/>
      </w:pPr>
      <w:rPr>
        <w:rFonts w:ascii="Times New Roman" w:hAnsi="Times New Roman" w:hint="default"/>
      </w:rPr>
    </w:lvl>
    <w:lvl w:ilvl="6" w:tplc="87F090F0" w:tentative="1">
      <w:start w:val="1"/>
      <w:numFmt w:val="bullet"/>
      <w:lvlText w:val="•"/>
      <w:lvlJc w:val="left"/>
      <w:pPr>
        <w:tabs>
          <w:tab w:val="num" w:pos="5040"/>
        </w:tabs>
        <w:ind w:left="5040" w:hanging="360"/>
      </w:pPr>
      <w:rPr>
        <w:rFonts w:ascii="Times New Roman" w:hAnsi="Times New Roman" w:hint="default"/>
      </w:rPr>
    </w:lvl>
    <w:lvl w:ilvl="7" w:tplc="BC660A64" w:tentative="1">
      <w:start w:val="1"/>
      <w:numFmt w:val="bullet"/>
      <w:lvlText w:val="•"/>
      <w:lvlJc w:val="left"/>
      <w:pPr>
        <w:tabs>
          <w:tab w:val="num" w:pos="5760"/>
        </w:tabs>
        <w:ind w:left="5760" w:hanging="360"/>
      </w:pPr>
      <w:rPr>
        <w:rFonts w:ascii="Times New Roman" w:hAnsi="Times New Roman" w:hint="default"/>
      </w:rPr>
    </w:lvl>
    <w:lvl w:ilvl="8" w:tplc="0C10170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2AA64B3"/>
    <w:multiLevelType w:val="hybridMultilevel"/>
    <w:tmpl w:val="71D2E7DC"/>
    <w:lvl w:ilvl="0" w:tplc="CFAA6A46">
      <w:start w:val="1"/>
      <w:numFmt w:val="lowerLetter"/>
      <w:lvlText w:val="%1."/>
      <w:lvlJc w:val="left"/>
      <w:pPr>
        <w:ind w:left="780" w:hanging="4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7283257"/>
    <w:multiLevelType w:val="multilevel"/>
    <w:tmpl w:val="745434BA"/>
    <w:lvl w:ilvl="0">
      <w:start w:val="1"/>
      <w:numFmt w:val="decimal"/>
      <w:lvlText w:val="%1."/>
      <w:lvlJc w:val="left"/>
      <w:pPr>
        <w:ind w:left="644" w:hanging="360"/>
      </w:pPr>
      <w:rPr>
        <w:b/>
      </w:rPr>
    </w:lvl>
    <w:lvl w:ilvl="1">
      <w:start w:val="1"/>
      <w:numFmt w:val="decimal"/>
      <w:lvlText w:val="%1.%2"/>
      <w:lvlJc w:val="left"/>
      <w:pPr>
        <w:ind w:left="1004" w:hanging="720"/>
      </w:pPr>
      <w:rPr>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3" w15:restartNumberingAfterBreak="0">
    <w:nsid w:val="3979120E"/>
    <w:multiLevelType w:val="hybridMultilevel"/>
    <w:tmpl w:val="E5C09F84"/>
    <w:lvl w:ilvl="0" w:tplc="6DC8016C">
      <w:numFmt w:val="bullet"/>
      <w:lvlText w:val="-"/>
      <w:lvlJc w:val="left"/>
      <w:pPr>
        <w:ind w:left="786" w:hanging="360"/>
      </w:pPr>
      <w:rPr>
        <w:rFonts w:ascii="Calibri" w:eastAsiaTheme="minorHAnsi" w:hAnsi="Calibri" w:cstheme="minorBidi"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4" w15:restartNumberingAfterBreak="0">
    <w:nsid w:val="3ECD7147"/>
    <w:multiLevelType w:val="hybridMultilevel"/>
    <w:tmpl w:val="232A81B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0D97D28"/>
    <w:multiLevelType w:val="hybridMultilevel"/>
    <w:tmpl w:val="56A67378"/>
    <w:lvl w:ilvl="0" w:tplc="DF1858F6">
      <w:start w:val="1"/>
      <w:numFmt w:val="decimal"/>
      <w:lvlText w:val="%1."/>
      <w:lvlJc w:val="left"/>
      <w:pPr>
        <w:ind w:left="1004" w:hanging="360"/>
      </w:pPr>
      <w:rPr>
        <w:rFonts w:hint="default"/>
        <w:color w:val="4F81BD" w:themeColor="accent1"/>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6" w15:restartNumberingAfterBreak="0">
    <w:nsid w:val="488C7569"/>
    <w:multiLevelType w:val="hybridMultilevel"/>
    <w:tmpl w:val="F7400AF2"/>
    <w:lvl w:ilvl="0" w:tplc="240A0001">
      <w:start w:val="1"/>
      <w:numFmt w:val="bullet"/>
      <w:lvlText w:val=""/>
      <w:lvlJc w:val="left"/>
      <w:pPr>
        <w:ind w:left="795" w:hanging="360"/>
      </w:pPr>
      <w:rPr>
        <w:rFonts w:ascii="Symbol" w:hAnsi="Symbol" w:hint="default"/>
      </w:rPr>
    </w:lvl>
    <w:lvl w:ilvl="1" w:tplc="0C0A0001">
      <w:start w:val="1"/>
      <w:numFmt w:val="bullet"/>
      <w:lvlText w:val=""/>
      <w:lvlJc w:val="left"/>
      <w:pPr>
        <w:ind w:left="1515" w:hanging="360"/>
      </w:pPr>
      <w:rPr>
        <w:rFonts w:ascii="Symbol" w:hAnsi="Symbol"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27" w15:restartNumberingAfterBreak="0">
    <w:nsid w:val="4CB860E7"/>
    <w:multiLevelType w:val="hybridMultilevel"/>
    <w:tmpl w:val="6D0C0874"/>
    <w:lvl w:ilvl="0" w:tplc="6DC8016C">
      <w:numFmt w:val="bullet"/>
      <w:lvlText w:val="-"/>
      <w:lvlJc w:val="left"/>
      <w:pPr>
        <w:ind w:left="1428" w:hanging="360"/>
      </w:pPr>
      <w:rPr>
        <w:rFonts w:ascii="Calibri" w:eastAsiaTheme="minorHAnsi" w:hAnsi="Calibri" w:cstheme="minorBidi"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8" w15:restartNumberingAfterBreak="0">
    <w:nsid w:val="501D1D75"/>
    <w:multiLevelType w:val="hybridMultilevel"/>
    <w:tmpl w:val="706C7AB4"/>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9" w15:restartNumberingAfterBreak="0">
    <w:nsid w:val="52B9427A"/>
    <w:multiLevelType w:val="hybridMultilevel"/>
    <w:tmpl w:val="07FCAB20"/>
    <w:lvl w:ilvl="0" w:tplc="6DC8016C">
      <w:numFmt w:val="bullet"/>
      <w:lvlText w:val="-"/>
      <w:lvlJc w:val="left"/>
      <w:pPr>
        <w:ind w:left="1004" w:hanging="360"/>
      </w:pPr>
      <w:rPr>
        <w:rFonts w:ascii="Calibri" w:eastAsiaTheme="minorHAnsi" w:hAnsi="Calibri" w:cstheme="minorBidi"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15:restartNumberingAfterBreak="0">
    <w:nsid w:val="5318171C"/>
    <w:multiLevelType w:val="hybridMultilevel"/>
    <w:tmpl w:val="75F230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3693B4E"/>
    <w:multiLevelType w:val="hybridMultilevel"/>
    <w:tmpl w:val="D188D578"/>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545638A4"/>
    <w:multiLevelType w:val="hybridMultilevel"/>
    <w:tmpl w:val="4844EFA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5B701BA2"/>
    <w:multiLevelType w:val="hybridMultilevel"/>
    <w:tmpl w:val="7BAE5532"/>
    <w:lvl w:ilvl="0" w:tplc="FDAEACC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D223715"/>
    <w:multiLevelType w:val="hybridMultilevel"/>
    <w:tmpl w:val="18305DF0"/>
    <w:lvl w:ilvl="0" w:tplc="E36AFB5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5" w15:restartNumberingAfterBreak="0">
    <w:nsid w:val="5D820386"/>
    <w:multiLevelType w:val="hybridMultilevel"/>
    <w:tmpl w:val="9B1CF446"/>
    <w:lvl w:ilvl="0" w:tplc="240A0001">
      <w:start w:val="1"/>
      <w:numFmt w:val="bullet"/>
      <w:lvlText w:val=""/>
      <w:lvlJc w:val="left"/>
      <w:pPr>
        <w:ind w:left="1434" w:hanging="360"/>
      </w:pPr>
      <w:rPr>
        <w:rFonts w:ascii="Symbol" w:hAnsi="Symbol" w:hint="default"/>
      </w:rPr>
    </w:lvl>
    <w:lvl w:ilvl="1" w:tplc="240A0003" w:tentative="1">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36" w15:restartNumberingAfterBreak="0">
    <w:nsid w:val="5F63119C"/>
    <w:multiLevelType w:val="hybridMultilevel"/>
    <w:tmpl w:val="67E2BFD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61507CDC"/>
    <w:multiLevelType w:val="hybridMultilevel"/>
    <w:tmpl w:val="A73C32C2"/>
    <w:lvl w:ilvl="0" w:tplc="0C0A0017">
      <w:start w:val="1"/>
      <w:numFmt w:val="lowerLetter"/>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15:restartNumberingAfterBreak="0">
    <w:nsid w:val="629D729B"/>
    <w:multiLevelType w:val="hybridMultilevel"/>
    <w:tmpl w:val="9AB6BA4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15:restartNumberingAfterBreak="0">
    <w:nsid w:val="663144B8"/>
    <w:multiLevelType w:val="hybridMultilevel"/>
    <w:tmpl w:val="D868BFC8"/>
    <w:lvl w:ilvl="0" w:tplc="FFFFFFFF">
      <w:start w:val="1"/>
      <w:numFmt w:val="upp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0" w15:restartNumberingAfterBreak="0">
    <w:nsid w:val="696E61CE"/>
    <w:multiLevelType w:val="hybridMultilevel"/>
    <w:tmpl w:val="61DE126E"/>
    <w:lvl w:ilvl="0" w:tplc="7988C44E">
      <w:start w:val="1"/>
      <w:numFmt w:val="lowerLetter"/>
      <w:lvlText w:val="%1."/>
      <w:lvlJc w:val="left"/>
      <w:pPr>
        <w:ind w:left="928" w:hanging="360"/>
      </w:pPr>
      <w:rPr>
        <w:i w:val="0"/>
        <w:sz w:val="24"/>
        <w:szCs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697911D7"/>
    <w:multiLevelType w:val="hybridMultilevel"/>
    <w:tmpl w:val="1C4CFDE4"/>
    <w:lvl w:ilvl="0" w:tplc="0C0A0017">
      <w:start w:val="1"/>
      <w:numFmt w:val="lowerLetter"/>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2" w15:restartNumberingAfterBreak="0">
    <w:nsid w:val="6A493F7D"/>
    <w:multiLevelType w:val="hybridMultilevel"/>
    <w:tmpl w:val="D1D0A3BE"/>
    <w:lvl w:ilvl="0" w:tplc="3398B6A6">
      <w:start w:val="1"/>
      <w:numFmt w:val="upperLetter"/>
      <w:lvlText w:val="%1."/>
      <w:lvlJc w:val="left"/>
      <w:pPr>
        <w:ind w:left="1004" w:hanging="360"/>
      </w:pPr>
    </w:lvl>
    <w:lvl w:ilvl="1" w:tplc="A8540F8E">
      <w:start w:val="1"/>
      <w:numFmt w:val="lowerLetter"/>
      <w:lvlText w:val="%2."/>
      <w:lvlJc w:val="left"/>
      <w:pPr>
        <w:ind w:left="1440" w:hanging="360"/>
      </w:pPr>
    </w:lvl>
    <w:lvl w:ilvl="2" w:tplc="27CE8052">
      <w:start w:val="1"/>
      <w:numFmt w:val="lowerRoman"/>
      <w:lvlText w:val="%3."/>
      <w:lvlJc w:val="right"/>
      <w:pPr>
        <w:ind w:left="2160" w:hanging="180"/>
      </w:pPr>
    </w:lvl>
    <w:lvl w:ilvl="3" w:tplc="3AC6194E">
      <w:start w:val="1"/>
      <w:numFmt w:val="decimal"/>
      <w:lvlText w:val="%4."/>
      <w:lvlJc w:val="left"/>
      <w:pPr>
        <w:ind w:left="2880" w:hanging="360"/>
      </w:pPr>
    </w:lvl>
    <w:lvl w:ilvl="4" w:tplc="0A9A0C80">
      <w:start w:val="1"/>
      <w:numFmt w:val="lowerLetter"/>
      <w:lvlText w:val="%5."/>
      <w:lvlJc w:val="left"/>
      <w:pPr>
        <w:ind w:left="3600" w:hanging="360"/>
      </w:pPr>
    </w:lvl>
    <w:lvl w:ilvl="5" w:tplc="F848745E">
      <w:start w:val="1"/>
      <w:numFmt w:val="lowerRoman"/>
      <w:lvlText w:val="%6."/>
      <w:lvlJc w:val="right"/>
      <w:pPr>
        <w:ind w:left="4320" w:hanging="180"/>
      </w:pPr>
    </w:lvl>
    <w:lvl w:ilvl="6" w:tplc="C65432CE">
      <w:start w:val="1"/>
      <w:numFmt w:val="decimal"/>
      <w:lvlText w:val="%7."/>
      <w:lvlJc w:val="left"/>
      <w:pPr>
        <w:ind w:left="5040" w:hanging="360"/>
      </w:pPr>
    </w:lvl>
    <w:lvl w:ilvl="7" w:tplc="5D10CC56">
      <w:start w:val="1"/>
      <w:numFmt w:val="lowerLetter"/>
      <w:lvlText w:val="%8."/>
      <w:lvlJc w:val="left"/>
      <w:pPr>
        <w:ind w:left="5760" w:hanging="360"/>
      </w:pPr>
    </w:lvl>
    <w:lvl w:ilvl="8" w:tplc="899A5182">
      <w:start w:val="1"/>
      <w:numFmt w:val="lowerRoman"/>
      <w:lvlText w:val="%9."/>
      <w:lvlJc w:val="right"/>
      <w:pPr>
        <w:ind w:left="6480" w:hanging="180"/>
      </w:pPr>
    </w:lvl>
  </w:abstractNum>
  <w:abstractNum w:abstractNumId="43" w15:restartNumberingAfterBreak="0">
    <w:nsid w:val="6B3A5639"/>
    <w:multiLevelType w:val="multilevel"/>
    <w:tmpl w:val="4D787F6C"/>
    <w:lvl w:ilvl="0">
      <w:start w:val="1"/>
      <w:numFmt w:val="decimal"/>
      <w:lvlText w:val="%1."/>
      <w:lvlJc w:val="left"/>
      <w:pPr>
        <w:ind w:left="36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79BF78AB"/>
    <w:multiLevelType w:val="hybridMultilevel"/>
    <w:tmpl w:val="F46C5B44"/>
    <w:lvl w:ilvl="0" w:tplc="0C0A000F">
      <w:start w:val="1"/>
      <w:numFmt w:val="decimal"/>
      <w:lvlText w:val="%1."/>
      <w:lvlJc w:val="left"/>
      <w:pPr>
        <w:ind w:left="720" w:hanging="360"/>
      </w:pPr>
      <w:rPr>
        <w:rFonts w:hint="default"/>
      </w:rPr>
    </w:lvl>
    <w:lvl w:ilvl="1" w:tplc="0C0A0019">
      <w:start w:val="1"/>
      <w:numFmt w:val="lowerLetter"/>
      <w:lvlText w:val="%2."/>
      <w:lvlJc w:val="left"/>
      <w:pPr>
        <w:ind w:left="644"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9F339DD"/>
    <w:multiLevelType w:val="hybridMultilevel"/>
    <w:tmpl w:val="1D5EF93E"/>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6" w15:restartNumberingAfterBreak="0">
    <w:nsid w:val="7AE90809"/>
    <w:multiLevelType w:val="hybridMultilevel"/>
    <w:tmpl w:val="F5FEA0D6"/>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7" w15:restartNumberingAfterBreak="0">
    <w:nsid w:val="7AF601F8"/>
    <w:multiLevelType w:val="hybridMultilevel"/>
    <w:tmpl w:val="51F81D26"/>
    <w:lvl w:ilvl="0" w:tplc="0C0A0017">
      <w:start w:val="1"/>
      <w:numFmt w:val="lowerLetter"/>
      <w:lvlText w:val="%1)"/>
      <w:lvlJc w:val="left"/>
      <w:pPr>
        <w:ind w:left="1068" w:hanging="360"/>
      </w:pPr>
      <w:rPr>
        <w:rFonts w:hint="default"/>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8" w15:restartNumberingAfterBreak="0">
    <w:nsid w:val="7B750D6A"/>
    <w:multiLevelType w:val="hybridMultilevel"/>
    <w:tmpl w:val="285E2A12"/>
    <w:lvl w:ilvl="0" w:tplc="0C0A0017">
      <w:start w:val="1"/>
      <w:numFmt w:val="lowerLetter"/>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16cid:durableId="1072971475">
    <w:abstractNumId w:val="26"/>
  </w:num>
  <w:num w:numId="2" w16cid:durableId="661087354">
    <w:abstractNumId w:val="9"/>
  </w:num>
  <w:num w:numId="3" w16cid:durableId="93791481">
    <w:abstractNumId w:val="47"/>
  </w:num>
  <w:num w:numId="4" w16cid:durableId="900559385">
    <w:abstractNumId w:val="15"/>
  </w:num>
  <w:num w:numId="5" w16cid:durableId="467744507">
    <w:abstractNumId w:val="33"/>
  </w:num>
  <w:num w:numId="6" w16cid:durableId="1556774808">
    <w:abstractNumId w:val="3"/>
  </w:num>
  <w:num w:numId="7" w16cid:durableId="39282621">
    <w:abstractNumId w:val="0"/>
  </w:num>
  <w:num w:numId="8" w16cid:durableId="208080840">
    <w:abstractNumId w:val="22"/>
  </w:num>
  <w:num w:numId="9" w16cid:durableId="777412638">
    <w:abstractNumId w:val="34"/>
  </w:num>
  <w:num w:numId="10" w16cid:durableId="453334850">
    <w:abstractNumId w:val="6"/>
  </w:num>
  <w:num w:numId="11" w16cid:durableId="1593539267">
    <w:abstractNumId w:val="21"/>
  </w:num>
  <w:num w:numId="12" w16cid:durableId="1280378080">
    <w:abstractNumId w:val="4"/>
  </w:num>
  <w:num w:numId="13" w16cid:durableId="480272629">
    <w:abstractNumId w:val="14"/>
  </w:num>
  <w:num w:numId="14" w16cid:durableId="700133521">
    <w:abstractNumId w:val="32"/>
  </w:num>
  <w:num w:numId="15" w16cid:durableId="150755482">
    <w:abstractNumId w:val="48"/>
  </w:num>
  <w:num w:numId="16" w16cid:durableId="376047374">
    <w:abstractNumId w:val="11"/>
  </w:num>
  <w:num w:numId="17" w16cid:durableId="1788617139">
    <w:abstractNumId w:val="37"/>
  </w:num>
  <w:num w:numId="18" w16cid:durableId="370569948">
    <w:abstractNumId w:val="41"/>
  </w:num>
  <w:num w:numId="19" w16cid:durableId="1113597600">
    <w:abstractNumId w:val="38"/>
  </w:num>
  <w:num w:numId="20" w16cid:durableId="108817405">
    <w:abstractNumId w:val="2"/>
  </w:num>
  <w:num w:numId="21" w16cid:durableId="1736316136">
    <w:abstractNumId w:val="28"/>
  </w:num>
  <w:num w:numId="22" w16cid:durableId="161702362">
    <w:abstractNumId w:val="30"/>
  </w:num>
  <w:num w:numId="23" w16cid:durableId="1345480458">
    <w:abstractNumId w:val="24"/>
  </w:num>
  <w:num w:numId="24" w16cid:durableId="1932154142">
    <w:abstractNumId w:val="46"/>
  </w:num>
  <w:num w:numId="25" w16cid:durableId="140738235">
    <w:abstractNumId w:val="44"/>
  </w:num>
  <w:num w:numId="26" w16cid:durableId="1133407055">
    <w:abstractNumId w:val="1"/>
  </w:num>
  <w:num w:numId="27" w16cid:durableId="451215455">
    <w:abstractNumId w:val="23"/>
  </w:num>
  <w:num w:numId="28" w16cid:durableId="1224878072">
    <w:abstractNumId w:val="43"/>
  </w:num>
  <w:num w:numId="29" w16cid:durableId="1985356018">
    <w:abstractNumId w:val="40"/>
  </w:num>
  <w:num w:numId="30" w16cid:durableId="1915821823">
    <w:abstractNumId w:val="35"/>
  </w:num>
  <w:num w:numId="31" w16cid:durableId="705834262">
    <w:abstractNumId w:val="8"/>
  </w:num>
  <w:num w:numId="32" w16cid:durableId="1660229401">
    <w:abstractNumId w:val="27"/>
  </w:num>
  <w:num w:numId="33" w16cid:durableId="23411621">
    <w:abstractNumId w:val="29"/>
  </w:num>
  <w:num w:numId="34" w16cid:durableId="904531139">
    <w:abstractNumId w:val="17"/>
  </w:num>
  <w:num w:numId="35" w16cid:durableId="1661619764">
    <w:abstractNumId w:val="45"/>
  </w:num>
  <w:num w:numId="36" w16cid:durableId="583029266">
    <w:abstractNumId w:val="16"/>
  </w:num>
  <w:num w:numId="37" w16cid:durableId="844976539">
    <w:abstractNumId w:val="20"/>
  </w:num>
  <w:num w:numId="38" w16cid:durableId="1415054297">
    <w:abstractNumId w:val="36"/>
  </w:num>
  <w:num w:numId="39" w16cid:durableId="1077441633">
    <w:abstractNumId w:val="5"/>
  </w:num>
  <w:num w:numId="40" w16cid:durableId="1776093240">
    <w:abstractNumId w:val="25"/>
  </w:num>
  <w:num w:numId="41" w16cid:durableId="614336674">
    <w:abstractNumId w:val="39"/>
  </w:num>
  <w:num w:numId="42" w16cid:durableId="1876848653">
    <w:abstractNumId w:val="13"/>
  </w:num>
  <w:num w:numId="43" w16cid:durableId="1419054282">
    <w:abstractNumId w:val="42"/>
  </w:num>
  <w:num w:numId="44" w16cid:durableId="487333213">
    <w:abstractNumId w:val="18"/>
  </w:num>
  <w:num w:numId="45" w16cid:durableId="874462948">
    <w:abstractNumId w:val="10"/>
  </w:num>
  <w:num w:numId="46" w16cid:durableId="1194000818">
    <w:abstractNumId w:val="31"/>
  </w:num>
  <w:num w:numId="47" w16cid:durableId="1734429955">
    <w:abstractNumId w:val="7"/>
  </w:num>
  <w:num w:numId="48" w16cid:durableId="1579897844">
    <w:abstractNumId w:val="12"/>
  </w:num>
  <w:num w:numId="49" w16cid:durableId="13191122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20"/>
  <w:displayHorizontalDrawingGridEvery w:val="2"/>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4B8"/>
    <w:rsid w:val="00000DD8"/>
    <w:rsid w:val="0000214C"/>
    <w:rsid w:val="000039B5"/>
    <w:rsid w:val="00004A66"/>
    <w:rsid w:val="00005B58"/>
    <w:rsid w:val="000061AB"/>
    <w:rsid w:val="00006DEB"/>
    <w:rsid w:val="00007785"/>
    <w:rsid w:val="00007933"/>
    <w:rsid w:val="00007CB3"/>
    <w:rsid w:val="00010101"/>
    <w:rsid w:val="00010147"/>
    <w:rsid w:val="000105DB"/>
    <w:rsid w:val="000109EE"/>
    <w:rsid w:val="00011C16"/>
    <w:rsid w:val="00011D74"/>
    <w:rsid w:val="000127F4"/>
    <w:rsid w:val="000139E1"/>
    <w:rsid w:val="00013AAC"/>
    <w:rsid w:val="00013BBD"/>
    <w:rsid w:val="0001461E"/>
    <w:rsid w:val="000146C9"/>
    <w:rsid w:val="00014ECC"/>
    <w:rsid w:val="0001566F"/>
    <w:rsid w:val="0001567C"/>
    <w:rsid w:val="00015797"/>
    <w:rsid w:val="00015A2B"/>
    <w:rsid w:val="000167C5"/>
    <w:rsid w:val="00016D92"/>
    <w:rsid w:val="00017089"/>
    <w:rsid w:val="000172BA"/>
    <w:rsid w:val="00017703"/>
    <w:rsid w:val="00017B7D"/>
    <w:rsid w:val="000217E8"/>
    <w:rsid w:val="00021CC9"/>
    <w:rsid w:val="00023385"/>
    <w:rsid w:val="00023F19"/>
    <w:rsid w:val="000240F0"/>
    <w:rsid w:val="00024BD3"/>
    <w:rsid w:val="0002667C"/>
    <w:rsid w:val="0002753E"/>
    <w:rsid w:val="00030FA5"/>
    <w:rsid w:val="00031A48"/>
    <w:rsid w:val="00031FC7"/>
    <w:rsid w:val="00032331"/>
    <w:rsid w:val="0003304F"/>
    <w:rsid w:val="0003321C"/>
    <w:rsid w:val="00034B16"/>
    <w:rsid w:val="00034B56"/>
    <w:rsid w:val="00034D3E"/>
    <w:rsid w:val="00035ED8"/>
    <w:rsid w:val="000360EB"/>
    <w:rsid w:val="00037C6F"/>
    <w:rsid w:val="00040619"/>
    <w:rsid w:val="0004144B"/>
    <w:rsid w:val="00041C7C"/>
    <w:rsid w:val="00041DF3"/>
    <w:rsid w:val="00042EF3"/>
    <w:rsid w:val="00044955"/>
    <w:rsid w:val="00044D15"/>
    <w:rsid w:val="000463FE"/>
    <w:rsid w:val="00046C38"/>
    <w:rsid w:val="00047EF9"/>
    <w:rsid w:val="00052EC4"/>
    <w:rsid w:val="00053032"/>
    <w:rsid w:val="000532A7"/>
    <w:rsid w:val="00055B77"/>
    <w:rsid w:val="00055F0D"/>
    <w:rsid w:val="00055F92"/>
    <w:rsid w:val="00056350"/>
    <w:rsid w:val="0005742C"/>
    <w:rsid w:val="00057BD8"/>
    <w:rsid w:val="00057EF3"/>
    <w:rsid w:val="000611BF"/>
    <w:rsid w:val="00061839"/>
    <w:rsid w:val="0006277F"/>
    <w:rsid w:val="000645B9"/>
    <w:rsid w:val="00064BE6"/>
    <w:rsid w:val="000653C2"/>
    <w:rsid w:val="00065952"/>
    <w:rsid w:val="000666B3"/>
    <w:rsid w:val="00067947"/>
    <w:rsid w:val="00073C36"/>
    <w:rsid w:val="00074119"/>
    <w:rsid w:val="000758BB"/>
    <w:rsid w:val="0007678D"/>
    <w:rsid w:val="00076D43"/>
    <w:rsid w:val="00076EFB"/>
    <w:rsid w:val="00077365"/>
    <w:rsid w:val="00077CB5"/>
    <w:rsid w:val="00077E1A"/>
    <w:rsid w:val="0008073E"/>
    <w:rsid w:val="00080E3B"/>
    <w:rsid w:val="00084FD1"/>
    <w:rsid w:val="00085854"/>
    <w:rsid w:val="00091685"/>
    <w:rsid w:val="00091CDB"/>
    <w:rsid w:val="00094181"/>
    <w:rsid w:val="00095E30"/>
    <w:rsid w:val="00096303"/>
    <w:rsid w:val="00096D77"/>
    <w:rsid w:val="000973AA"/>
    <w:rsid w:val="000A0304"/>
    <w:rsid w:val="000A0A80"/>
    <w:rsid w:val="000A15C1"/>
    <w:rsid w:val="000A19AC"/>
    <w:rsid w:val="000A2F2D"/>
    <w:rsid w:val="000A42D2"/>
    <w:rsid w:val="000A4E13"/>
    <w:rsid w:val="000A5DC6"/>
    <w:rsid w:val="000A7898"/>
    <w:rsid w:val="000B22B8"/>
    <w:rsid w:val="000B23C4"/>
    <w:rsid w:val="000B24D7"/>
    <w:rsid w:val="000B28DE"/>
    <w:rsid w:val="000B2B65"/>
    <w:rsid w:val="000B3908"/>
    <w:rsid w:val="000B4CFD"/>
    <w:rsid w:val="000B4EFE"/>
    <w:rsid w:val="000B5851"/>
    <w:rsid w:val="000B66D5"/>
    <w:rsid w:val="000B7263"/>
    <w:rsid w:val="000C0C0A"/>
    <w:rsid w:val="000C28F8"/>
    <w:rsid w:val="000C3428"/>
    <w:rsid w:val="000C41F8"/>
    <w:rsid w:val="000C529B"/>
    <w:rsid w:val="000C5C12"/>
    <w:rsid w:val="000C5DD0"/>
    <w:rsid w:val="000C7309"/>
    <w:rsid w:val="000C7E0E"/>
    <w:rsid w:val="000D137F"/>
    <w:rsid w:val="000D150E"/>
    <w:rsid w:val="000D1646"/>
    <w:rsid w:val="000D190A"/>
    <w:rsid w:val="000D194E"/>
    <w:rsid w:val="000D20E4"/>
    <w:rsid w:val="000D26F8"/>
    <w:rsid w:val="000D2CC9"/>
    <w:rsid w:val="000D3C37"/>
    <w:rsid w:val="000D3D2A"/>
    <w:rsid w:val="000D40FF"/>
    <w:rsid w:val="000D54B6"/>
    <w:rsid w:val="000D6527"/>
    <w:rsid w:val="000D6F69"/>
    <w:rsid w:val="000D71CD"/>
    <w:rsid w:val="000E0A85"/>
    <w:rsid w:val="000E1096"/>
    <w:rsid w:val="000E2590"/>
    <w:rsid w:val="000E266B"/>
    <w:rsid w:val="000E26BD"/>
    <w:rsid w:val="000F0A11"/>
    <w:rsid w:val="000F0C5F"/>
    <w:rsid w:val="000F1158"/>
    <w:rsid w:val="000F1CD5"/>
    <w:rsid w:val="000F3415"/>
    <w:rsid w:val="000F35E6"/>
    <w:rsid w:val="000F5520"/>
    <w:rsid w:val="000F5953"/>
    <w:rsid w:val="000F6002"/>
    <w:rsid w:val="000F67D3"/>
    <w:rsid w:val="000F69F2"/>
    <w:rsid w:val="0010008F"/>
    <w:rsid w:val="001007E9"/>
    <w:rsid w:val="00100A81"/>
    <w:rsid w:val="00100FEA"/>
    <w:rsid w:val="00102975"/>
    <w:rsid w:val="00102BCB"/>
    <w:rsid w:val="001039AD"/>
    <w:rsid w:val="001044A2"/>
    <w:rsid w:val="00105549"/>
    <w:rsid w:val="0010568F"/>
    <w:rsid w:val="001058F5"/>
    <w:rsid w:val="00105C5E"/>
    <w:rsid w:val="001076A5"/>
    <w:rsid w:val="00107885"/>
    <w:rsid w:val="00107C3F"/>
    <w:rsid w:val="00110614"/>
    <w:rsid w:val="00110A41"/>
    <w:rsid w:val="00111860"/>
    <w:rsid w:val="0011199A"/>
    <w:rsid w:val="00111BCC"/>
    <w:rsid w:val="00112C8D"/>
    <w:rsid w:val="0011323F"/>
    <w:rsid w:val="00113916"/>
    <w:rsid w:val="001148AC"/>
    <w:rsid w:val="00115547"/>
    <w:rsid w:val="00115E89"/>
    <w:rsid w:val="00116313"/>
    <w:rsid w:val="00117147"/>
    <w:rsid w:val="00117B7B"/>
    <w:rsid w:val="00121224"/>
    <w:rsid w:val="0012155C"/>
    <w:rsid w:val="00121840"/>
    <w:rsid w:val="00122504"/>
    <w:rsid w:val="00122CD7"/>
    <w:rsid w:val="0012349B"/>
    <w:rsid w:val="00123EB6"/>
    <w:rsid w:val="001244AE"/>
    <w:rsid w:val="00125180"/>
    <w:rsid w:val="0012569C"/>
    <w:rsid w:val="0012591E"/>
    <w:rsid w:val="00125B17"/>
    <w:rsid w:val="00125FAF"/>
    <w:rsid w:val="00126027"/>
    <w:rsid w:val="00126B7E"/>
    <w:rsid w:val="00127064"/>
    <w:rsid w:val="00127A5C"/>
    <w:rsid w:val="00127B41"/>
    <w:rsid w:val="00130534"/>
    <w:rsid w:val="001318D6"/>
    <w:rsid w:val="001318FF"/>
    <w:rsid w:val="00133B0C"/>
    <w:rsid w:val="001342BA"/>
    <w:rsid w:val="00134FFA"/>
    <w:rsid w:val="001354FE"/>
    <w:rsid w:val="00135577"/>
    <w:rsid w:val="00135697"/>
    <w:rsid w:val="00135A79"/>
    <w:rsid w:val="00135FEE"/>
    <w:rsid w:val="00136B3D"/>
    <w:rsid w:val="0013770E"/>
    <w:rsid w:val="00137C71"/>
    <w:rsid w:val="00137D54"/>
    <w:rsid w:val="00137E15"/>
    <w:rsid w:val="001405C6"/>
    <w:rsid w:val="00140684"/>
    <w:rsid w:val="00140ABF"/>
    <w:rsid w:val="00141013"/>
    <w:rsid w:val="00141079"/>
    <w:rsid w:val="0014124F"/>
    <w:rsid w:val="001415F3"/>
    <w:rsid w:val="001429E1"/>
    <w:rsid w:val="00143093"/>
    <w:rsid w:val="00143FD6"/>
    <w:rsid w:val="0014441A"/>
    <w:rsid w:val="001459AA"/>
    <w:rsid w:val="00145DE8"/>
    <w:rsid w:val="00147ADF"/>
    <w:rsid w:val="00147DF0"/>
    <w:rsid w:val="00150140"/>
    <w:rsid w:val="001503F7"/>
    <w:rsid w:val="00151C17"/>
    <w:rsid w:val="00152200"/>
    <w:rsid w:val="00152B46"/>
    <w:rsid w:val="00153FF0"/>
    <w:rsid w:val="00155143"/>
    <w:rsid w:val="00155936"/>
    <w:rsid w:val="00155D32"/>
    <w:rsid w:val="00156CE1"/>
    <w:rsid w:val="00160009"/>
    <w:rsid w:val="00160621"/>
    <w:rsid w:val="0016198F"/>
    <w:rsid w:val="00161E06"/>
    <w:rsid w:val="00162AEA"/>
    <w:rsid w:val="00162C13"/>
    <w:rsid w:val="001636CB"/>
    <w:rsid w:val="00163721"/>
    <w:rsid w:val="00163CFA"/>
    <w:rsid w:val="00163E02"/>
    <w:rsid w:val="00166694"/>
    <w:rsid w:val="001670A2"/>
    <w:rsid w:val="00171009"/>
    <w:rsid w:val="00171024"/>
    <w:rsid w:val="001715A6"/>
    <w:rsid w:val="00172E1C"/>
    <w:rsid w:val="00175142"/>
    <w:rsid w:val="001758F9"/>
    <w:rsid w:val="001766FB"/>
    <w:rsid w:val="00176E35"/>
    <w:rsid w:val="0018001E"/>
    <w:rsid w:val="001831DE"/>
    <w:rsid w:val="00183463"/>
    <w:rsid w:val="001841B7"/>
    <w:rsid w:val="001851B6"/>
    <w:rsid w:val="00185968"/>
    <w:rsid w:val="00187850"/>
    <w:rsid w:val="00191128"/>
    <w:rsid w:val="00192CBF"/>
    <w:rsid w:val="00192FF1"/>
    <w:rsid w:val="001935D0"/>
    <w:rsid w:val="001948E0"/>
    <w:rsid w:val="00194943"/>
    <w:rsid w:val="00194A24"/>
    <w:rsid w:val="00196088"/>
    <w:rsid w:val="00196225"/>
    <w:rsid w:val="00196853"/>
    <w:rsid w:val="00196917"/>
    <w:rsid w:val="001978B2"/>
    <w:rsid w:val="001A10CF"/>
    <w:rsid w:val="001A1A80"/>
    <w:rsid w:val="001A1D88"/>
    <w:rsid w:val="001A35DF"/>
    <w:rsid w:val="001A3A24"/>
    <w:rsid w:val="001A3C92"/>
    <w:rsid w:val="001A3EEA"/>
    <w:rsid w:val="001A5475"/>
    <w:rsid w:val="001A5AE8"/>
    <w:rsid w:val="001A5F1B"/>
    <w:rsid w:val="001A6946"/>
    <w:rsid w:val="001A74A7"/>
    <w:rsid w:val="001A7870"/>
    <w:rsid w:val="001A7F6E"/>
    <w:rsid w:val="001B08FA"/>
    <w:rsid w:val="001B0B09"/>
    <w:rsid w:val="001B0B2E"/>
    <w:rsid w:val="001B0D4D"/>
    <w:rsid w:val="001B12C7"/>
    <w:rsid w:val="001B1987"/>
    <w:rsid w:val="001B458E"/>
    <w:rsid w:val="001B5377"/>
    <w:rsid w:val="001B5E7C"/>
    <w:rsid w:val="001B6785"/>
    <w:rsid w:val="001B74BD"/>
    <w:rsid w:val="001C0CA7"/>
    <w:rsid w:val="001C1D1F"/>
    <w:rsid w:val="001C2B80"/>
    <w:rsid w:val="001C2CE9"/>
    <w:rsid w:val="001C2F41"/>
    <w:rsid w:val="001C4173"/>
    <w:rsid w:val="001C4A9D"/>
    <w:rsid w:val="001C610C"/>
    <w:rsid w:val="001C668A"/>
    <w:rsid w:val="001C6F22"/>
    <w:rsid w:val="001C73F2"/>
    <w:rsid w:val="001D042A"/>
    <w:rsid w:val="001D0D88"/>
    <w:rsid w:val="001D0FCD"/>
    <w:rsid w:val="001D1744"/>
    <w:rsid w:val="001D374C"/>
    <w:rsid w:val="001D3BC6"/>
    <w:rsid w:val="001D41C5"/>
    <w:rsid w:val="001D5159"/>
    <w:rsid w:val="001D557F"/>
    <w:rsid w:val="001D5903"/>
    <w:rsid w:val="001D632A"/>
    <w:rsid w:val="001D6E7D"/>
    <w:rsid w:val="001D716C"/>
    <w:rsid w:val="001E04D1"/>
    <w:rsid w:val="001E18D3"/>
    <w:rsid w:val="001E379A"/>
    <w:rsid w:val="001E3A22"/>
    <w:rsid w:val="001E41FF"/>
    <w:rsid w:val="001E43BA"/>
    <w:rsid w:val="001E4510"/>
    <w:rsid w:val="001E4D38"/>
    <w:rsid w:val="001E59E6"/>
    <w:rsid w:val="001E64AF"/>
    <w:rsid w:val="001F0119"/>
    <w:rsid w:val="001F02FE"/>
    <w:rsid w:val="001F184C"/>
    <w:rsid w:val="001F1862"/>
    <w:rsid w:val="001F1A0C"/>
    <w:rsid w:val="001F35A9"/>
    <w:rsid w:val="001F41E5"/>
    <w:rsid w:val="001F6751"/>
    <w:rsid w:val="001F6946"/>
    <w:rsid w:val="001F6995"/>
    <w:rsid w:val="001F6997"/>
    <w:rsid w:val="001F6E53"/>
    <w:rsid w:val="001F726F"/>
    <w:rsid w:val="001F7DBA"/>
    <w:rsid w:val="0020138C"/>
    <w:rsid w:val="00202AC1"/>
    <w:rsid w:val="00202B60"/>
    <w:rsid w:val="00203868"/>
    <w:rsid w:val="00204CEB"/>
    <w:rsid w:val="002050FA"/>
    <w:rsid w:val="00210345"/>
    <w:rsid w:val="00210C04"/>
    <w:rsid w:val="00210E16"/>
    <w:rsid w:val="00211F9F"/>
    <w:rsid w:val="00211FFE"/>
    <w:rsid w:val="00212455"/>
    <w:rsid w:val="00214892"/>
    <w:rsid w:val="002166F4"/>
    <w:rsid w:val="00216F51"/>
    <w:rsid w:val="0021740A"/>
    <w:rsid w:val="0022157F"/>
    <w:rsid w:val="00223319"/>
    <w:rsid w:val="00223B1C"/>
    <w:rsid w:val="00225188"/>
    <w:rsid w:val="00227DC3"/>
    <w:rsid w:val="00230DFD"/>
    <w:rsid w:val="00233148"/>
    <w:rsid w:val="002337A0"/>
    <w:rsid w:val="00233BE1"/>
    <w:rsid w:val="0023730A"/>
    <w:rsid w:val="002373E5"/>
    <w:rsid w:val="0023757A"/>
    <w:rsid w:val="00237BA8"/>
    <w:rsid w:val="00240149"/>
    <w:rsid w:val="0024250F"/>
    <w:rsid w:val="00242624"/>
    <w:rsid w:val="00243627"/>
    <w:rsid w:val="002443E8"/>
    <w:rsid w:val="002467E6"/>
    <w:rsid w:val="00250773"/>
    <w:rsid w:val="002530AF"/>
    <w:rsid w:val="00255160"/>
    <w:rsid w:val="00255AA6"/>
    <w:rsid w:val="00255DD9"/>
    <w:rsid w:val="002614F3"/>
    <w:rsid w:val="00261FAA"/>
    <w:rsid w:val="00262930"/>
    <w:rsid w:val="00262B85"/>
    <w:rsid w:val="00262D91"/>
    <w:rsid w:val="00264637"/>
    <w:rsid w:val="00264B42"/>
    <w:rsid w:val="00265543"/>
    <w:rsid w:val="00265A84"/>
    <w:rsid w:val="00267295"/>
    <w:rsid w:val="00270541"/>
    <w:rsid w:val="0027254B"/>
    <w:rsid w:val="002728B7"/>
    <w:rsid w:val="00272D34"/>
    <w:rsid w:val="002739C6"/>
    <w:rsid w:val="00275208"/>
    <w:rsid w:val="002762AC"/>
    <w:rsid w:val="00276C78"/>
    <w:rsid w:val="00276F0B"/>
    <w:rsid w:val="00280386"/>
    <w:rsid w:val="00280716"/>
    <w:rsid w:val="002809FC"/>
    <w:rsid w:val="00280B7E"/>
    <w:rsid w:val="0028147B"/>
    <w:rsid w:val="00281F27"/>
    <w:rsid w:val="002825B6"/>
    <w:rsid w:val="00282A59"/>
    <w:rsid w:val="00282B9C"/>
    <w:rsid w:val="002830F4"/>
    <w:rsid w:val="00283DEE"/>
    <w:rsid w:val="00284144"/>
    <w:rsid w:val="002841E4"/>
    <w:rsid w:val="00284747"/>
    <w:rsid w:val="002857DF"/>
    <w:rsid w:val="00290B43"/>
    <w:rsid w:val="00291A1D"/>
    <w:rsid w:val="0029263A"/>
    <w:rsid w:val="00292C7C"/>
    <w:rsid w:val="00293801"/>
    <w:rsid w:val="00293C67"/>
    <w:rsid w:val="002950E0"/>
    <w:rsid w:val="002955EC"/>
    <w:rsid w:val="002960F6"/>
    <w:rsid w:val="00297326"/>
    <w:rsid w:val="002A0135"/>
    <w:rsid w:val="002A193A"/>
    <w:rsid w:val="002A2967"/>
    <w:rsid w:val="002A4D8E"/>
    <w:rsid w:val="002A5636"/>
    <w:rsid w:val="002A5860"/>
    <w:rsid w:val="002A66C0"/>
    <w:rsid w:val="002A6844"/>
    <w:rsid w:val="002A76A4"/>
    <w:rsid w:val="002A7D05"/>
    <w:rsid w:val="002B0059"/>
    <w:rsid w:val="002B0AA1"/>
    <w:rsid w:val="002B24B8"/>
    <w:rsid w:val="002B2880"/>
    <w:rsid w:val="002B2E01"/>
    <w:rsid w:val="002B4F2E"/>
    <w:rsid w:val="002B53ED"/>
    <w:rsid w:val="002B6FC0"/>
    <w:rsid w:val="002B714B"/>
    <w:rsid w:val="002B77DF"/>
    <w:rsid w:val="002C034A"/>
    <w:rsid w:val="002C04C0"/>
    <w:rsid w:val="002C0E42"/>
    <w:rsid w:val="002C1CA4"/>
    <w:rsid w:val="002C2D45"/>
    <w:rsid w:val="002C3224"/>
    <w:rsid w:val="002C4385"/>
    <w:rsid w:val="002C48A3"/>
    <w:rsid w:val="002C5C1E"/>
    <w:rsid w:val="002C66A2"/>
    <w:rsid w:val="002C7E0E"/>
    <w:rsid w:val="002D1BC1"/>
    <w:rsid w:val="002D3809"/>
    <w:rsid w:val="002D3AE9"/>
    <w:rsid w:val="002D4620"/>
    <w:rsid w:val="002D4D69"/>
    <w:rsid w:val="002D5856"/>
    <w:rsid w:val="002D5902"/>
    <w:rsid w:val="002D609B"/>
    <w:rsid w:val="002D785C"/>
    <w:rsid w:val="002D7C34"/>
    <w:rsid w:val="002E02FD"/>
    <w:rsid w:val="002E0F5C"/>
    <w:rsid w:val="002E279F"/>
    <w:rsid w:val="002E3589"/>
    <w:rsid w:val="002E408A"/>
    <w:rsid w:val="002E4D97"/>
    <w:rsid w:val="002E5175"/>
    <w:rsid w:val="002E55A2"/>
    <w:rsid w:val="002E5821"/>
    <w:rsid w:val="002E5D7F"/>
    <w:rsid w:val="002E62ED"/>
    <w:rsid w:val="002E74B8"/>
    <w:rsid w:val="002E7B6D"/>
    <w:rsid w:val="002F0604"/>
    <w:rsid w:val="002F1691"/>
    <w:rsid w:val="002F1D08"/>
    <w:rsid w:val="002F30C2"/>
    <w:rsid w:val="002F46E7"/>
    <w:rsid w:val="002F46ED"/>
    <w:rsid w:val="002F4BF1"/>
    <w:rsid w:val="002F4D96"/>
    <w:rsid w:val="002F5054"/>
    <w:rsid w:val="002F56AF"/>
    <w:rsid w:val="002F59E4"/>
    <w:rsid w:val="002F59F8"/>
    <w:rsid w:val="002F5AD6"/>
    <w:rsid w:val="002F5BBB"/>
    <w:rsid w:val="002F6B4B"/>
    <w:rsid w:val="002F6CFD"/>
    <w:rsid w:val="002F6F81"/>
    <w:rsid w:val="0030069E"/>
    <w:rsid w:val="00301011"/>
    <w:rsid w:val="00301603"/>
    <w:rsid w:val="003016E9"/>
    <w:rsid w:val="003019CE"/>
    <w:rsid w:val="00301A2D"/>
    <w:rsid w:val="0030354E"/>
    <w:rsid w:val="00303695"/>
    <w:rsid w:val="00303EF7"/>
    <w:rsid w:val="00306F4C"/>
    <w:rsid w:val="00307E90"/>
    <w:rsid w:val="00310107"/>
    <w:rsid w:val="003107A9"/>
    <w:rsid w:val="00310DF0"/>
    <w:rsid w:val="00311A3C"/>
    <w:rsid w:val="00312493"/>
    <w:rsid w:val="003128A1"/>
    <w:rsid w:val="00312B4F"/>
    <w:rsid w:val="003137BD"/>
    <w:rsid w:val="0031469D"/>
    <w:rsid w:val="00315CA8"/>
    <w:rsid w:val="00315E05"/>
    <w:rsid w:val="00316197"/>
    <w:rsid w:val="003169A9"/>
    <w:rsid w:val="00317D7F"/>
    <w:rsid w:val="0032072E"/>
    <w:rsid w:val="003211CE"/>
    <w:rsid w:val="00321605"/>
    <w:rsid w:val="00322AC4"/>
    <w:rsid w:val="00322C27"/>
    <w:rsid w:val="003235DA"/>
    <w:rsid w:val="00324744"/>
    <w:rsid w:val="00324F67"/>
    <w:rsid w:val="00325347"/>
    <w:rsid w:val="003257AA"/>
    <w:rsid w:val="0032687B"/>
    <w:rsid w:val="003268B5"/>
    <w:rsid w:val="0032784B"/>
    <w:rsid w:val="00331CA5"/>
    <w:rsid w:val="003338CE"/>
    <w:rsid w:val="00333B17"/>
    <w:rsid w:val="003348F8"/>
    <w:rsid w:val="003359BE"/>
    <w:rsid w:val="00336014"/>
    <w:rsid w:val="00336938"/>
    <w:rsid w:val="00336D2A"/>
    <w:rsid w:val="00337972"/>
    <w:rsid w:val="00337F75"/>
    <w:rsid w:val="00340CF0"/>
    <w:rsid w:val="00340D60"/>
    <w:rsid w:val="003410A6"/>
    <w:rsid w:val="0034326F"/>
    <w:rsid w:val="0034355F"/>
    <w:rsid w:val="0034361D"/>
    <w:rsid w:val="00343835"/>
    <w:rsid w:val="003450E2"/>
    <w:rsid w:val="00345CEE"/>
    <w:rsid w:val="003464F3"/>
    <w:rsid w:val="003479EF"/>
    <w:rsid w:val="00347B4D"/>
    <w:rsid w:val="003500C4"/>
    <w:rsid w:val="00353674"/>
    <w:rsid w:val="00354029"/>
    <w:rsid w:val="0035461F"/>
    <w:rsid w:val="003549CE"/>
    <w:rsid w:val="00354C4D"/>
    <w:rsid w:val="003559E0"/>
    <w:rsid w:val="00356115"/>
    <w:rsid w:val="00356A02"/>
    <w:rsid w:val="0035705F"/>
    <w:rsid w:val="00357197"/>
    <w:rsid w:val="00357959"/>
    <w:rsid w:val="00357EC2"/>
    <w:rsid w:val="00360F8B"/>
    <w:rsid w:val="00361BF0"/>
    <w:rsid w:val="0036240D"/>
    <w:rsid w:val="00362799"/>
    <w:rsid w:val="00363AD4"/>
    <w:rsid w:val="003656FF"/>
    <w:rsid w:val="0036696B"/>
    <w:rsid w:val="003673AC"/>
    <w:rsid w:val="003701BA"/>
    <w:rsid w:val="003709B5"/>
    <w:rsid w:val="00370BFA"/>
    <w:rsid w:val="00371E42"/>
    <w:rsid w:val="00372DB2"/>
    <w:rsid w:val="0037538B"/>
    <w:rsid w:val="0037544D"/>
    <w:rsid w:val="003756F2"/>
    <w:rsid w:val="003759C2"/>
    <w:rsid w:val="0037650F"/>
    <w:rsid w:val="00376597"/>
    <w:rsid w:val="00376976"/>
    <w:rsid w:val="003775DA"/>
    <w:rsid w:val="00377848"/>
    <w:rsid w:val="00380489"/>
    <w:rsid w:val="00380808"/>
    <w:rsid w:val="0038081D"/>
    <w:rsid w:val="0038102C"/>
    <w:rsid w:val="003819B0"/>
    <w:rsid w:val="003824C1"/>
    <w:rsid w:val="00382F75"/>
    <w:rsid w:val="0038491F"/>
    <w:rsid w:val="00385CAA"/>
    <w:rsid w:val="00386703"/>
    <w:rsid w:val="00387997"/>
    <w:rsid w:val="00392688"/>
    <w:rsid w:val="00393035"/>
    <w:rsid w:val="003933A3"/>
    <w:rsid w:val="003947E6"/>
    <w:rsid w:val="0039503E"/>
    <w:rsid w:val="00395400"/>
    <w:rsid w:val="00395490"/>
    <w:rsid w:val="00395E9C"/>
    <w:rsid w:val="003A03E1"/>
    <w:rsid w:val="003A0E9E"/>
    <w:rsid w:val="003A3D9D"/>
    <w:rsid w:val="003A424A"/>
    <w:rsid w:val="003A469F"/>
    <w:rsid w:val="003A60FF"/>
    <w:rsid w:val="003A7BD2"/>
    <w:rsid w:val="003B0283"/>
    <w:rsid w:val="003B0A64"/>
    <w:rsid w:val="003B0FA8"/>
    <w:rsid w:val="003B19A3"/>
    <w:rsid w:val="003B2192"/>
    <w:rsid w:val="003B57F4"/>
    <w:rsid w:val="003B617B"/>
    <w:rsid w:val="003B7594"/>
    <w:rsid w:val="003C07DA"/>
    <w:rsid w:val="003C0828"/>
    <w:rsid w:val="003C0A53"/>
    <w:rsid w:val="003C2DE2"/>
    <w:rsid w:val="003C3033"/>
    <w:rsid w:val="003C3447"/>
    <w:rsid w:val="003C3C13"/>
    <w:rsid w:val="003C420E"/>
    <w:rsid w:val="003C4355"/>
    <w:rsid w:val="003C5490"/>
    <w:rsid w:val="003C59FA"/>
    <w:rsid w:val="003C7208"/>
    <w:rsid w:val="003C7C59"/>
    <w:rsid w:val="003D076C"/>
    <w:rsid w:val="003D0FB2"/>
    <w:rsid w:val="003D1C23"/>
    <w:rsid w:val="003D1DA7"/>
    <w:rsid w:val="003D2062"/>
    <w:rsid w:val="003D21D8"/>
    <w:rsid w:val="003D3571"/>
    <w:rsid w:val="003D48B9"/>
    <w:rsid w:val="003D4B93"/>
    <w:rsid w:val="003D4FFA"/>
    <w:rsid w:val="003D523E"/>
    <w:rsid w:val="003D56DD"/>
    <w:rsid w:val="003D5A67"/>
    <w:rsid w:val="003D7230"/>
    <w:rsid w:val="003D7604"/>
    <w:rsid w:val="003E005C"/>
    <w:rsid w:val="003E0E08"/>
    <w:rsid w:val="003E105D"/>
    <w:rsid w:val="003E13DD"/>
    <w:rsid w:val="003E1858"/>
    <w:rsid w:val="003E4212"/>
    <w:rsid w:val="003E4C8B"/>
    <w:rsid w:val="003E6138"/>
    <w:rsid w:val="003E6E93"/>
    <w:rsid w:val="003E709F"/>
    <w:rsid w:val="003E7605"/>
    <w:rsid w:val="003F0220"/>
    <w:rsid w:val="003F0A0E"/>
    <w:rsid w:val="003F1A81"/>
    <w:rsid w:val="003F337F"/>
    <w:rsid w:val="003F5157"/>
    <w:rsid w:val="003F5F33"/>
    <w:rsid w:val="003F7981"/>
    <w:rsid w:val="003F7B17"/>
    <w:rsid w:val="003F7EAC"/>
    <w:rsid w:val="00400015"/>
    <w:rsid w:val="00400E05"/>
    <w:rsid w:val="00401E97"/>
    <w:rsid w:val="00402154"/>
    <w:rsid w:val="00404054"/>
    <w:rsid w:val="00404E84"/>
    <w:rsid w:val="004051E4"/>
    <w:rsid w:val="0041000E"/>
    <w:rsid w:val="0041082F"/>
    <w:rsid w:val="004120A1"/>
    <w:rsid w:val="0041287A"/>
    <w:rsid w:val="004129FD"/>
    <w:rsid w:val="00413D60"/>
    <w:rsid w:val="00414998"/>
    <w:rsid w:val="0041526D"/>
    <w:rsid w:val="004159E2"/>
    <w:rsid w:val="004168C4"/>
    <w:rsid w:val="004175D5"/>
    <w:rsid w:val="00417896"/>
    <w:rsid w:val="0042036D"/>
    <w:rsid w:val="00420B31"/>
    <w:rsid w:val="004222C3"/>
    <w:rsid w:val="00422ADD"/>
    <w:rsid w:val="00422C8E"/>
    <w:rsid w:val="00422D43"/>
    <w:rsid w:val="00422D86"/>
    <w:rsid w:val="004237DF"/>
    <w:rsid w:val="00423A53"/>
    <w:rsid w:val="004256BB"/>
    <w:rsid w:val="00426287"/>
    <w:rsid w:val="004277FE"/>
    <w:rsid w:val="00431EF4"/>
    <w:rsid w:val="0043541E"/>
    <w:rsid w:val="004408A8"/>
    <w:rsid w:val="004409AE"/>
    <w:rsid w:val="00440D5D"/>
    <w:rsid w:val="00442E60"/>
    <w:rsid w:val="00442E69"/>
    <w:rsid w:val="00442E88"/>
    <w:rsid w:val="004439EC"/>
    <w:rsid w:val="00445EF7"/>
    <w:rsid w:val="00446675"/>
    <w:rsid w:val="00450A30"/>
    <w:rsid w:val="00451919"/>
    <w:rsid w:val="00452530"/>
    <w:rsid w:val="004526B2"/>
    <w:rsid w:val="00452BCD"/>
    <w:rsid w:val="00453107"/>
    <w:rsid w:val="00453AF5"/>
    <w:rsid w:val="00454FD6"/>
    <w:rsid w:val="00455A85"/>
    <w:rsid w:val="00456BE7"/>
    <w:rsid w:val="00457EA1"/>
    <w:rsid w:val="00460059"/>
    <w:rsid w:val="004604AC"/>
    <w:rsid w:val="00460837"/>
    <w:rsid w:val="004611DB"/>
    <w:rsid w:val="00461B89"/>
    <w:rsid w:val="004635BE"/>
    <w:rsid w:val="00464859"/>
    <w:rsid w:val="00464E49"/>
    <w:rsid w:val="00465269"/>
    <w:rsid w:val="004652F8"/>
    <w:rsid w:val="004667B7"/>
    <w:rsid w:val="00466DD5"/>
    <w:rsid w:val="004708D8"/>
    <w:rsid w:val="0047122B"/>
    <w:rsid w:val="00471DB5"/>
    <w:rsid w:val="004727FE"/>
    <w:rsid w:val="00472B65"/>
    <w:rsid w:val="00473244"/>
    <w:rsid w:val="00473B7A"/>
    <w:rsid w:val="0047432C"/>
    <w:rsid w:val="00475A0D"/>
    <w:rsid w:val="004765C2"/>
    <w:rsid w:val="00476652"/>
    <w:rsid w:val="0047793A"/>
    <w:rsid w:val="00480375"/>
    <w:rsid w:val="00480389"/>
    <w:rsid w:val="00480A11"/>
    <w:rsid w:val="0048195A"/>
    <w:rsid w:val="00482C82"/>
    <w:rsid w:val="0048369C"/>
    <w:rsid w:val="0048396A"/>
    <w:rsid w:val="004843D0"/>
    <w:rsid w:val="004844A1"/>
    <w:rsid w:val="004844DB"/>
    <w:rsid w:val="00484BC3"/>
    <w:rsid w:val="004867E4"/>
    <w:rsid w:val="00487875"/>
    <w:rsid w:val="0049047A"/>
    <w:rsid w:val="004924F8"/>
    <w:rsid w:val="0049282D"/>
    <w:rsid w:val="00493613"/>
    <w:rsid w:val="00493B41"/>
    <w:rsid w:val="004943EE"/>
    <w:rsid w:val="004951D8"/>
    <w:rsid w:val="004952AF"/>
    <w:rsid w:val="004956B4"/>
    <w:rsid w:val="00497CDF"/>
    <w:rsid w:val="004A0B3B"/>
    <w:rsid w:val="004A1D1E"/>
    <w:rsid w:val="004A2373"/>
    <w:rsid w:val="004A2E88"/>
    <w:rsid w:val="004A3942"/>
    <w:rsid w:val="004A3E62"/>
    <w:rsid w:val="004A41B9"/>
    <w:rsid w:val="004A49B0"/>
    <w:rsid w:val="004A5305"/>
    <w:rsid w:val="004A5999"/>
    <w:rsid w:val="004B03D3"/>
    <w:rsid w:val="004B0AFE"/>
    <w:rsid w:val="004B0B28"/>
    <w:rsid w:val="004B2B06"/>
    <w:rsid w:val="004B4590"/>
    <w:rsid w:val="004B4F2F"/>
    <w:rsid w:val="004B5DAA"/>
    <w:rsid w:val="004B6F15"/>
    <w:rsid w:val="004C0119"/>
    <w:rsid w:val="004C1E0B"/>
    <w:rsid w:val="004C23E6"/>
    <w:rsid w:val="004C285C"/>
    <w:rsid w:val="004C2B0A"/>
    <w:rsid w:val="004C3986"/>
    <w:rsid w:val="004C39CF"/>
    <w:rsid w:val="004C3C03"/>
    <w:rsid w:val="004C4AFE"/>
    <w:rsid w:val="004C63CD"/>
    <w:rsid w:val="004C66D4"/>
    <w:rsid w:val="004D04CE"/>
    <w:rsid w:val="004D071B"/>
    <w:rsid w:val="004D07F7"/>
    <w:rsid w:val="004D0BF2"/>
    <w:rsid w:val="004D17CE"/>
    <w:rsid w:val="004D1B09"/>
    <w:rsid w:val="004D28B1"/>
    <w:rsid w:val="004D2AB8"/>
    <w:rsid w:val="004D335B"/>
    <w:rsid w:val="004D377E"/>
    <w:rsid w:val="004D380A"/>
    <w:rsid w:val="004D4433"/>
    <w:rsid w:val="004D6DF9"/>
    <w:rsid w:val="004D7020"/>
    <w:rsid w:val="004E05C8"/>
    <w:rsid w:val="004E13A9"/>
    <w:rsid w:val="004E2FCE"/>
    <w:rsid w:val="004E3FA7"/>
    <w:rsid w:val="004E4C5A"/>
    <w:rsid w:val="004E5151"/>
    <w:rsid w:val="004E5E63"/>
    <w:rsid w:val="004E6C6C"/>
    <w:rsid w:val="004E7878"/>
    <w:rsid w:val="004F017B"/>
    <w:rsid w:val="004F184C"/>
    <w:rsid w:val="004F2711"/>
    <w:rsid w:val="004F5BE4"/>
    <w:rsid w:val="004F6050"/>
    <w:rsid w:val="004F60C9"/>
    <w:rsid w:val="004F6226"/>
    <w:rsid w:val="004F639C"/>
    <w:rsid w:val="005006B9"/>
    <w:rsid w:val="00500A77"/>
    <w:rsid w:val="0050330A"/>
    <w:rsid w:val="0050336E"/>
    <w:rsid w:val="005037B8"/>
    <w:rsid w:val="0050415F"/>
    <w:rsid w:val="00504783"/>
    <w:rsid w:val="005047B4"/>
    <w:rsid w:val="00504DB1"/>
    <w:rsid w:val="005057A2"/>
    <w:rsid w:val="0050594C"/>
    <w:rsid w:val="00507115"/>
    <w:rsid w:val="0051014E"/>
    <w:rsid w:val="00510513"/>
    <w:rsid w:val="005110EB"/>
    <w:rsid w:val="00511227"/>
    <w:rsid w:val="00511308"/>
    <w:rsid w:val="005128AE"/>
    <w:rsid w:val="00512B15"/>
    <w:rsid w:val="00513849"/>
    <w:rsid w:val="0051388A"/>
    <w:rsid w:val="00514E0C"/>
    <w:rsid w:val="00517BED"/>
    <w:rsid w:val="00520B75"/>
    <w:rsid w:val="00520BB1"/>
    <w:rsid w:val="00521B17"/>
    <w:rsid w:val="0052240C"/>
    <w:rsid w:val="00522955"/>
    <w:rsid w:val="005233B5"/>
    <w:rsid w:val="005235E4"/>
    <w:rsid w:val="0052418F"/>
    <w:rsid w:val="0052432E"/>
    <w:rsid w:val="005245F0"/>
    <w:rsid w:val="0052468A"/>
    <w:rsid w:val="0052583D"/>
    <w:rsid w:val="00525937"/>
    <w:rsid w:val="00526CEA"/>
    <w:rsid w:val="00527D9B"/>
    <w:rsid w:val="00527F6E"/>
    <w:rsid w:val="005300D3"/>
    <w:rsid w:val="0053063C"/>
    <w:rsid w:val="00530B8D"/>
    <w:rsid w:val="00530CDD"/>
    <w:rsid w:val="0053254A"/>
    <w:rsid w:val="0053257C"/>
    <w:rsid w:val="00532C17"/>
    <w:rsid w:val="005330B4"/>
    <w:rsid w:val="00533124"/>
    <w:rsid w:val="00533D93"/>
    <w:rsid w:val="00534EB4"/>
    <w:rsid w:val="00535608"/>
    <w:rsid w:val="00535847"/>
    <w:rsid w:val="0053585B"/>
    <w:rsid w:val="00535E68"/>
    <w:rsid w:val="0053697D"/>
    <w:rsid w:val="00536BD9"/>
    <w:rsid w:val="00537049"/>
    <w:rsid w:val="00537674"/>
    <w:rsid w:val="0054083F"/>
    <w:rsid w:val="005418B9"/>
    <w:rsid w:val="00542743"/>
    <w:rsid w:val="00542B7F"/>
    <w:rsid w:val="005451E8"/>
    <w:rsid w:val="0054541F"/>
    <w:rsid w:val="005457EC"/>
    <w:rsid w:val="00546DE9"/>
    <w:rsid w:val="005472FB"/>
    <w:rsid w:val="00547C4A"/>
    <w:rsid w:val="005506E8"/>
    <w:rsid w:val="00552D58"/>
    <w:rsid w:val="00552F05"/>
    <w:rsid w:val="00554656"/>
    <w:rsid w:val="00555B02"/>
    <w:rsid w:val="00555C2F"/>
    <w:rsid w:val="005571EA"/>
    <w:rsid w:val="00557359"/>
    <w:rsid w:val="00557672"/>
    <w:rsid w:val="00560ACC"/>
    <w:rsid w:val="00560C9C"/>
    <w:rsid w:val="00561ED5"/>
    <w:rsid w:val="005627CF"/>
    <w:rsid w:val="00562E5B"/>
    <w:rsid w:val="0056303E"/>
    <w:rsid w:val="005632EE"/>
    <w:rsid w:val="00563CA4"/>
    <w:rsid w:val="00563FAE"/>
    <w:rsid w:val="005641D8"/>
    <w:rsid w:val="0056551B"/>
    <w:rsid w:val="00565C93"/>
    <w:rsid w:val="00567057"/>
    <w:rsid w:val="00567151"/>
    <w:rsid w:val="005674B2"/>
    <w:rsid w:val="00567500"/>
    <w:rsid w:val="00567755"/>
    <w:rsid w:val="00570AC3"/>
    <w:rsid w:val="00571A8C"/>
    <w:rsid w:val="00572A4F"/>
    <w:rsid w:val="00573344"/>
    <w:rsid w:val="005741F8"/>
    <w:rsid w:val="00574750"/>
    <w:rsid w:val="00574922"/>
    <w:rsid w:val="00575372"/>
    <w:rsid w:val="00576535"/>
    <w:rsid w:val="0057665D"/>
    <w:rsid w:val="00576E4E"/>
    <w:rsid w:val="00577F61"/>
    <w:rsid w:val="005800E7"/>
    <w:rsid w:val="0058100B"/>
    <w:rsid w:val="00581CA0"/>
    <w:rsid w:val="00581F4D"/>
    <w:rsid w:val="00582588"/>
    <w:rsid w:val="0058298E"/>
    <w:rsid w:val="00582F13"/>
    <w:rsid w:val="00583A43"/>
    <w:rsid w:val="005843EA"/>
    <w:rsid w:val="00584B0E"/>
    <w:rsid w:val="00584E17"/>
    <w:rsid w:val="00584F15"/>
    <w:rsid w:val="00585F7F"/>
    <w:rsid w:val="00586737"/>
    <w:rsid w:val="00587735"/>
    <w:rsid w:val="00587826"/>
    <w:rsid w:val="005878BF"/>
    <w:rsid w:val="00587A21"/>
    <w:rsid w:val="00591686"/>
    <w:rsid w:val="005927DD"/>
    <w:rsid w:val="00592D3B"/>
    <w:rsid w:val="00593085"/>
    <w:rsid w:val="00593176"/>
    <w:rsid w:val="00593565"/>
    <w:rsid w:val="005936BD"/>
    <w:rsid w:val="00593C4F"/>
    <w:rsid w:val="005946A8"/>
    <w:rsid w:val="005947EA"/>
    <w:rsid w:val="00594B18"/>
    <w:rsid w:val="005960EB"/>
    <w:rsid w:val="00596AF6"/>
    <w:rsid w:val="00596E09"/>
    <w:rsid w:val="00597471"/>
    <w:rsid w:val="005A03F5"/>
    <w:rsid w:val="005A083E"/>
    <w:rsid w:val="005A08DA"/>
    <w:rsid w:val="005A0C3C"/>
    <w:rsid w:val="005A14C7"/>
    <w:rsid w:val="005A14E6"/>
    <w:rsid w:val="005A1576"/>
    <w:rsid w:val="005A187C"/>
    <w:rsid w:val="005A1B43"/>
    <w:rsid w:val="005A1B5E"/>
    <w:rsid w:val="005A1E93"/>
    <w:rsid w:val="005A1EF8"/>
    <w:rsid w:val="005A2D18"/>
    <w:rsid w:val="005A377B"/>
    <w:rsid w:val="005A3F2D"/>
    <w:rsid w:val="005A4377"/>
    <w:rsid w:val="005A4407"/>
    <w:rsid w:val="005A50D2"/>
    <w:rsid w:val="005A522D"/>
    <w:rsid w:val="005A6B00"/>
    <w:rsid w:val="005A6B63"/>
    <w:rsid w:val="005A6F4F"/>
    <w:rsid w:val="005B04DE"/>
    <w:rsid w:val="005B1122"/>
    <w:rsid w:val="005B18A5"/>
    <w:rsid w:val="005B1EB0"/>
    <w:rsid w:val="005B2CD6"/>
    <w:rsid w:val="005B32F8"/>
    <w:rsid w:val="005B3476"/>
    <w:rsid w:val="005B3E11"/>
    <w:rsid w:val="005B53C3"/>
    <w:rsid w:val="005B5C99"/>
    <w:rsid w:val="005B5FCB"/>
    <w:rsid w:val="005B7B83"/>
    <w:rsid w:val="005C06A9"/>
    <w:rsid w:val="005C1FC1"/>
    <w:rsid w:val="005C2043"/>
    <w:rsid w:val="005C2688"/>
    <w:rsid w:val="005C2C89"/>
    <w:rsid w:val="005C2EE9"/>
    <w:rsid w:val="005C64D6"/>
    <w:rsid w:val="005D0AE3"/>
    <w:rsid w:val="005D1310"/>
    <w:rsid w:val="005D1C3A"/>
    <w:rsid w:val="005D2B03"/>
    <w:rsid w:val="005D3BAF"/>
    <w:rsid w:val="005D5315"/>
    <w:rsid w:val="005D5810"/>
    <w:rsid w:val="005D6AFF"/>
    <w:rsid w:val="005D6BB7"/>
    <w:rsid w:val="005D7B40"/>
    <w:rsid w:val="005E0857"/>
    <w:rsid w:val="005E0A4E"/>
    <w:rsid w:val="005E22FC"/>
    <w:rsid w:val="005E2565"/>
    <w:rsid w:val="005E28E4"/>
    <w:rsid w:val="005E30D0"/>
    <w:rsid w:val="005E42A5"/>
    <w:rsid w:val="005E4A47"/>
    <w:rsid w:val="005E532F"/>
    <w:rsid w:val="005E565B"/>
    <w:rsid w:val="005E588F"/>
    <w:rsid w:val="005E6450"/>
    <w:rsid w:val="005E673E"/>
    <w:rsid w:val="005E7460"/>
    <w:rsid w:val="005F01FC"/>
    <w:rsid w:val="005F153F"/>
    <w:rsid w:val="005F1628"/>
    <w:rsid w:val="005F1728"/>
    <w:rsid w:val="005F1A19"/>
    <w:rsid w:val="005F2B6B"/>
    <w:rsid w:val="005F3433"/>
    <w:rsid w:val="005F39B6"/>
    <w:rsid w:val="005F4D82"/>
    <w:rsid w:val="005F51FD"/>
    <w:rsid w:val="005F5CDB"/>
    <w:rsid w:val="005F6C16"/>
    <w:rsid w:val="005F6DE7"/>
    <w:rsid w:val="005F7A74"/>
    <w:rsid w:val="00600691"/>
    <w:rsid w:val="006018D9"/>
    <w:rsid w:val="00601B13"/>
    <w:rsid w:val="006025DF"/>
    <w:rsid w:val="006026A2"/>
    <w:rsid w:val="00604859"/>
    <w:rsid w:val="00604901"/>
    <w:rsid w:val="00604DC6"/>
    <w:rsid w:val="00607360"/>
    <w:rsid w:val="006100D0"/>
    <w:rsid w:val="00610319"/>
    <w:rsid w:val="006125DF"/>
    <w:rsid w:val="00612C05"/>
    <w:rsid w:val="00613AB6"/>
    <w:rsid w:val="00615F41"/>
    <w:rsid w:val="00617C03"/>
    <w:rsid w:val="006203BF"/>
    <w:rsid w:val="006207C7"/>
    <w:rsid w:val="00620A2D"/>
    <w:rsid w:val="00620B94"/>
    <w:rsid w:val="0062226A"/>
    <w:rsid w:val="006235E0"/>
    <w:rsid w:val="00623A39"/>
    <w:rsid w:val="00624DCE"/>
    <w:rsid w:val="0062540E"/>
    <w:rsid w:val="006259F6"/>
    <w:rsid w:val="00625DC6"/>
    <w:rsid w:val="006276AB"/>
    <w:rsid w:val="0062781E"/>
    <w:rsid w:val="0063061A"/>
    <w:rsid w:val="00630660"/>
    <w:rsid w:val="006313B3"/>
    <w:rsid w:val="006314FC"/>
    <w:rsid w:val="0063150A"/>
    <w:rsid w:val="006338A0"/>
    <w:rsid w:val="00633AFE"/>
    <w:rsid w:val="0063486C"/>
    <w:rsid w:val="00634FDB"/>
    <w:rsid w:val="0063572C"/>
    <w:rsid w:val="00635EEB"/>
    <w:rsid w:val="00636534"/>
    <w:rsid w:val="00637604"/>
    <w:rsid w:val="006406D7"/>
    <w:rsid w:val="00640B96"/>
    <w:rsid w:val="00641014"/>
    <w:rsid w:val="00642FF0"/>
    <w:rsid w:val="0064377C"/>
    <w:rsid w:val="00643867"/>
    <w:rsid w:val="006450A4"/>
    <w:rsid w:val="006466F2"/>
    <w:rsid w:val="00646B56"/>
    <w:rsid w:val="00646FAB"/>
    <w:rsid w:val="006471E6"/>
    <w:rsid w:val="006476F8"/>
    <w:rsid w:val="00647724"/>
    <w:rsid w:val="006477F4"/>
    <w:rsid w:val="00647E76"/>
    <w:rsid w:val="006508A8"/>
    <w:rsid w:val="006515EA"/>
    <w:rsid w:val="00651821"/>
    <w:rsid w:val="00651A0C"/>
    <w:rsid w:val="0065201C"/>
    <w:rsid w:val="00652EA9"/>
    <w:rsid w:val="00652F47"/>
    <w:rsid w:val="00653337"/>
    <w:rsid w:val="00653931"/>
    <w:rsid w:val="00653A16"/>
    <w:rsid w:val="006540B8"/>
    <w:rsid w:val="00654131"/>
    <w:rsid w:val="006542BA"/>
    <w:rsid w:val="006542DE"/>
    <w:rsid w:val="00654370"/>
    <w:rsid w:val="00654384"/>
    <w:rsid w:val="0066037F"/>
    <w:rsid w:val="00660803"/>
    <w:rsid w:val="00660B17"/>
    <w:rsid w:val="00660B18"/>
    <w:rsid w:val="00660EA5"/>
    <w:rsid w:val="00662657"/>
    <w:rsid w:val="006631A6"/>
    <w:rsid w:val="00663790"/>
    <w:rsid w:val="0066466E"/>
    <w:rsid w:val="00664968"/>
    <w:rsid w:val="00664C39"/>
    <w:rsid w:val="0066683A"/>
    <w:rsid w:val="006669AA"/>
    <w:rsid w:val="006676AF"/>
    <w:rsid w:val="00670669"/>
    <w:rsid w:val="006706F8"/>
    <w:rsid w:val="0067077F"/>
    <w:rsid w:val="0067115A"/>
    <w:rsid w:val="006713D4"/>
    <w:rsid w:val="0067162D"/>
    <w:rsid w:val="00671F53"/>
    <w:rsid w:val="00673CF5"/>
    <w:rsid w:val="00673D40"/>
    <w:rsid w:val="00673E3C"/>
    <w:rsid w:val="006748D2"/>
    <w:rsid w:val="00676420"/>
    <w:rsid w:val="0067647F"/>
    <w:rsid w:val="00676EF8"/>
    <w:rsid w:val="0067736B"/>
    <w:rsid w:val="00677D74"/>
    <w:rsid w:val="00677DD7"/>
    <w:rsid w:val="00680980"/>
    <w:rsid w:val="00680EDD"/>
    <w:rsid w:val="00681486"/>
    <w:rsid w:val="006824DC"/>
    <w:rsid w:val="00684435"/>
    <w:rsid w:val="00684D9B"/>
    <w:rsid w:val="006852F2"/>
    <w:rsid w:val="00685E54"/>
    <w:rsid w:val="00687A55"/>
    <w:rsid w:val="00690836"/>
    <w:rsid w:val="006912F0"/>
    <w:rsid w:val="0069185E"/>
    <w:rsid w:val="006926AA"/>
    <w:rsid w:val="006931CD"/>
    <w:rsid w:val="00694060"/>
    <w:rsid w:val="006947F4"/>
    <w:rsid w:val="006957EA"/>
    <w:rsid w:val="00695859"/>
    <w:rsid w:val="00695F53"/>
    <w:rsid w:val="00696AA5"/>
    <w:rsid w:val="00697556"/>
    <w:rsid w:val="00697A2C"/>
    <w:rsid w:val="006A0844"/>
    <w:rsid w:val="006A0D4E"/>
    <w:rsid w:val="006A1D8F"/>
    <w:rsid w:val="006A1E31"/>
    <w:rsid w:val="006A26E2"/>
    <w:rsid w:val="006A43C7"/>
    <w:rsid w:val="006A472D"/>
    <w:rsid w:val="006A4D1E"/>
    <w:rsid w:val="006A6F79"/>
    <w:rsid w:val="006A6FC5"/>
    <w:rsid w:val="006A723A"/>
    <w:rsid w:val="006A73A7"/>
    <w:rsid w:val="006A7A24"/>
    <w:rsid w:val="006B25AF"/>
    <w:rsid w:val="006B2E8F"/>
    <w:rsid w:val="006B2F13"/>
    <w:rsid w:val="006B464D"/>
    <w:rsid w:val="006B4C2B"/>
    <w:rsid w:val="006B50AF"/>
    <w:rsid w:val="006B50DC"/>
    <w:rsid w:val="006B5201"/>
    <w:rsid w:val="006B52BF"/>
    <w:rsid w:val="006B5F58"/>
    <w:rsid w:val="006C0147"/>
    <w:rsid w:val="006C1C25"/>
    <w:rsid w:val="006C28B8"/>
    <w:rsid w:val="006C2A6B"/>
    <w:rsid w:val="006C40CE"/>
    <w:rsid w:val="006C446C"/>
    <w:rsid w:val="006C5166"/>
    <w:rsid w:val="006C5B50"/>
    <w:rsid w:val="006C5C08"/>
    <w:rsid w:val="006C7414"/>
    <w:rsid w:val="006C7EB6"/>
    <w:rsid w:val="006D03D7"/>
    <w:rsid w:val="006D061B"/>
    <w:rsid w:val="006D0AA8"/>
    <w:rsid w:val="006D1E68"/>
    <w:rsid w:val="006D26C7"/>
    <w:rsid w:val="006D301C"/>
    <w:rsid w:val="006D49F9"/>
    <w:rsid w:val="006D5195"/>
    <w:rsid w:val="006D5C0A"/>
    <w:rsid w:val="006D6D78"/>
    <w:rsid w:val="006D790B"/>
    <w:rsid w:val="006D7D8C"/>
    <w:rsid w:val="006E04C7"/>
    <w:rsid w:val="006E0529"/>
    <w:rsid w:val="006E0894"/>
    <w:rsid w:val="006E1DB3"/>
    <w:rsid w:val="006E219C"/>
    <w:rsid w:val="006E2A43"/>
    <w:rsid w:val="006E2DC4"/>
    <w:rsid w:val="006E5595"/>
    <w:rsid w:val="006E5F1D"/>
    <w:rsid w:val="006E691E"/>
    <w:rsid w:val="006E6A62"/>
    <w:rsid w:val="006E75B7"/>
    <w:rsid w:val="006E7AEF"/>
    <w:rsid w:val="006F04B9"/>
    <w:rsid w:val="006F105C"/>
    <w:rsid w:val="006F1910"/>
    <w:rsid w:val="006F271C"/>
    <w:rsid w:val="006F3167"/>
    <w:rsid w:val="006F34E2"/>
    <w:rsid w:val="006F5609"/>
    <w:rsid w:val="006F57B4"/>
    <w:rsid w:val="006F6BFF"/>
    <w:rsid w:val="006F6D95"/>
    <w:rsid w:val="006F7BCD"/>
    <w:rsid w:val="007002AC"/>
    <w:rsid w:val="00700553"/>
    <w:rsid w:val="007008EC"/>
    <w:rsid w:val="0070226D"/>
    <w:rsid w:val="00702434"/>
    <w:rsid w:val="00702AB8"/>
    <w:rsid w:val="00705245"/>
    <w:rsid w:val="00706F13"/>
    <w:rsid w:val="00707596"/>
    <w:rsid w:val="00707C70"/>
    <w:rsid w:val="00710BEC"/>
    <w:rsid w:val="00712633"/>
    <w:rsid w:val="007140CF"/>
    <w:rsid w:val="0071420C"/>
    <w:rsid w:val="0071442B"/>
    <w:rsid w:val="00714C53"/>
    <w:rsid w:val="00715697"/>
    <w:rsid w:val="00716D02"/>
    <w:rsid w:val="007208AF"/>
    <w:rsid w:val="007208D2"/>
    <w:rsid w:val="00720BF4"/>
    <w:rsid w:val="00721831"/>
    <w:rsid w:val="00721BB4"/>
    <w:rsid w:val="0072306A"/>
    <w:rsid w:val="007231E6"/>
    <w:rsid w:val="00723BBC"/>
    <w:rsid w:val="00724573"/>
    <w:rsid w:val="00724A53"/>
    <w:rsid w:val="0072554A"/>
    <w:rsid w:val="00725C0F"/>
    <w:rsid w:val="00725FA4"/>
    <w:rsid w:val="00727040"/>
    <w:rsid w:val="007279FA"/>
    <w:rsid w:val="00727B77"/>
    <w:rsid w:val="00730C82"/>
    <w:rsid w:val="0073119B"/>
    <w:rsid w:val="00731E86"/>
    <w:rsid w:val="00733E3B"/>
    <w:rsid w:val="00735D75"/>
    <w:rsid w:val="00740085"/>
    <w:rsid w:val="00740F91"/>
    <w:rsid w:val="0074106E"/>
    <w:rsid w:val="007414F7"/>
    <w:rsid w:val="00741663"/>
    <w:rsid w:val="00741818"/>
    <w:rsid w:val="00742F35"/>
    <w:rsid w:val="007438A9"/>
    <w:rsid w:val="007446ED"/>
    <w:rsid w:val="0074491E"/>
    <w:rsid w:val="00745EF3"/>
    <w:rsid w:val="00747BF4"/>
    <w:rsid w:val="0075003D"/>
    <w:rsid w:val="00750E2C"/>
    <w:rsid w:val="00751007"/>
    <w:rsid w:val="00751525"/>
    <w:rsid w:val="00752020"/>
    <w:rsid w:val="00753383"/>
    <w:rsid w:val="00753A32"/>
    <w:rsid w:val="007542EF"/>
    <w:rsid w:val="00754DE5"/>
    <w:rsid w:val="007570D3"/>
    <w:rsid w:val="007573C4"/>
    <w:rsid w:val="00757E76"/>
    <w:rsid w:val="00760146"/>
    <w:rsid w:val="00763D60"/>
    <w:rsid w:val="0076507A"/>
    <w:rsid w:val="00765C62"/>
    <w:rsid w:val="00765D9C"/>
    <w:rsid w:val="00771027"/>
    <w:rsid w:val="00771386"/>
    <w:rsid w:val="007719AE"/>
    <w:rsid w:val="0077349E"/>
    <w:rsid w:val="00773605"/>
    <w:rsid w:val="0077400A"/>
    <w:rsid w:val="0077427C"/>
    <w:rsid w:val="00774A36"/>
    <w:rsid w:val="00775CAE"/>
    <w:rsid w:val="00775E77"/>
    <w:rsid w:val="00775FCC"/>
    <w:rsid w:val="00776BDE"/>
    <w:rsid w:val="00776F52"/>
    <w:rsid w:val="00777F7B"/>
    <w:rsid w:val="00780F5E"/>
    <w:rsid w:val="00780FD1"/>
    <w:rsid w:val="007812A7"/>
    <w:rsid w:val="00781E26"/>
    <w:rsid w:val="00784693"/>
    <w:rsid w:val="00785748"/>
    <w:rsid w:val="007859B1"/>
    <w:rsid w:val="00785B93"/>
    <w:rsid w:val="007860CA"/>
    <w:rsid w:val="0079048D"/>
    <w:rsid w:val="0079059D"/>
    <w:rsid w:val="007915E0"/>
    <w:rsid w:val="00791CA1"/>
    <w:rsid w:val="00792297"/>
    <w:rsid w:val="00792404"/>
    <w:rsid w:val="00792999"/>
    <w:rsid w:val="00793B66"/>
    <w:rsid w:val="00793F52"/>
    <w:rsid w:val="00794917"/>
    <w:rsid w:val="00794BB4"/>
    <w:rsid w:val="0079518C"/>
    <w:rsid w:val="00795BFB"/>
    <w:rsid w:val="00795FFB"/>
    <w:rsid w:val="007963DD"/>
    <w:rsid w:val="00797A54"/>
    <w:rsid w:val="00797DA8"/>
    <w:rsid w:val="007A04FA"/>
    <w:rsid w:val="007A0B17"/>
    <w:rsid w:val="007A1624"/>
    <w:rsid w:val="007A2ABF"/>
    <w:rsid w:val="007A38A7"/>
    <w:rsid w:val="007A5599"/>
    <w:rsid w:val="007A78D6"/>
    <w:rsid w:val="007B001D"/>
    <w:rsid w:val="007B005B"/>
    <w:rsid w:val="007B04CB"/>
    <w:rsid w:val="007B06AD"/>
    <w:rsid w:val="007B0AA4"/>
    <w:rsid w:val="007B21C8"/>
    <w:rsid w:val="007B2528"/>
    <w:rsid w:val="007B5C77"/>
    <w:rsid w:val="007B6561"/>
    <w:rsid w:val="007C2250"/>
    <w:rsid w:val="007C35DB"/>
    <w:rsid w:val="007C4294"/>
    <w:rsid w:val="007C43D0"/>
    <w:rsid w:val="007C6B3E"/>
    <w:rsid w:val="007C7355"/>
    <w:rsid w:val="007C7AF7"/>
    <w:rsid w:val="007D1AC8"/>
    <w:rsid w:val="007D1C65"/>
    <w:rsid w:val="007D1C93"/>
    <w:rsid w:val="007D2074"/>
    <w:rsid w:val="007D2A2F"/>
    <w:rsid w:val="007D2E75"/>
    <w:rsid w:val="007D31E0"/>
    <w:rsid w:val="007D3224"/>
    <w:rsid w:val="007D336B"/>
    <w:rsid w:val="007D337E"/>
    <w:rsid w:val="007D5F6B"/>
    <w:rsid w:val="007D63FF"/>
    <w:rsid w:val="007D6866"/>
    <w:rsid w:val="007E07AC"/>
    <w:rsid w:val="007E0C35"/>
    <w:rsid w:val="007E0EF6"/>
    <w:rsid w:val="007E1E32"/>
    <w:rsid w:val="007E39F4"/>
    <w:rsid w:val="007E3C4B"/>
    <w:rsid w:val="007E458F"/>
    <w:rsid w:val="007E5E6C"/>
    <w:rsid w:val="007E601E"/>
    <w:rsid w:val="007E72DF"/>
    <w:rsid w:val="007E7AD1"/>
    <w:rsid w:val="007E7DD9"/>
    <w:rsid w:val="007F04C8"/>
    <w:rsid w:val="007F0FF2"/>
    <w:rsid w:val="007F196E"/>
    <w:rsid w:val="007F1F18"/>
    <w:rsid w:val="007F390C"/>
    <w:rsid w:val="007F5FEA"/>
    <w:rsid w:val="007F69C5"/>
    <w:rsid w:val="007F71FA"/>
    <w:rsid w:val="00800BF7"/>
    <w:rsid w:val="00800DC3"/>
    <w:rsid w:val="00800FDA"/>
    <w:rsid w:val="008019DD"/>
    <w:rsid w:val="00801AC6"/>
    <w:rsid w:val="00801F28"/>
    <w:rsid w:val="0080272D"/>
    <w:rsid w:val="00803251"/>
    <w:rsid w:val="00803499"/>
    <w:rsid w:val="008034B2"/>
    <w:rsid w:val="008039E9"/>
    <w:rsid w:val="0080494D"/>
    <w:rsid w:val="00805205"/>
    <w:rsid w:val="008058F6"/>
    <w:rsid w:val="008063E2"/>
    <w:rsid w:val="00806AEE"/>
    <w:rsid w:val="008078F9"/>
    <w:rsid w:val="0081111F"/>
    <w:rsid w:val="0081237D"/>
    <w:rsid w:val="00812AE1"/>
    <w:rsid w:val="008146D5"/>
    <w:rsid w:val="008148CC"/>
    <w:rsid w:val="00814CEC"/>
    <w:rsid w:val="00815B80"/>
    <w:rsid w:val="00820F61"/>
    <w:rsid w:val="008211A4"/>
    <w:rsid w:val="008233F8"/>
    <w:rsid w:val="00823679"/>
    <w:rsid w:val="00823D51"/>
    <w:rsid w:val="008253C3"/>
    <w:rsid w:val="00826D87"/>
    <w:rsid w:val="00826DF1"/>
    <w:rsid w:val="00827725"/>
    <w:rsid w:val="0083085F"/>
    <w:rsid w:val="00830923"/>
    <w:rsid w:val="00830BC1"/>
    <w:rsid w:val="00830D80"/>
    <w:rsid w:val="00831D4F"/>
    <w:rsid w:val="008326AB"/>
    <w:rsid w:val="0083324C"/>
    <w:rsid w:val="0083380E"/>
    <w:rsid w:val="00834A26"/>
    <w:rsid w:val="00834F8E"/>
    <w:rsid w:val="00835C5D"/>
    <w:rsid w:val="008363B7"/>
    <w:rsid w:val="00836E26"/>
    <w:rsid w:val="008374D0"/>
    <w:rsid w:val="00840725"/>
    <w:rsid w:val="00841735"/>
    <w:rsid w:val="00841C21"/>
    <w:rsid w:val="0084204C"/>
    <w:rsid w:val="00843746"/>
    <w:rsid w:val="0084642C"/>
    <w:rsid w:val="008464B5"/>
    <w:rsid w:val="00846692"/>
    <w:rsid w:val="008478F7"/>
    <w:rsid w:val="00847951"/>
    <w:rsid w:val="008505B9"/>
    <w:rsid w:val="00850762"/>
    <w:rsid w:val="00850BAA"/>
    <w:rsid w:val="00851448"/>
    <w:rsid w:val="00851946"/>
    <w:rsid w:val="008523D0"/>
    <w:rsid w:val="00854309"/>
    <w:rsid w:val="008544CC"/>
    <w:rsid w:val="00854E71"/>
    <w:rsid w:val="0085510C"/>
    <w:rsid w:val="00855549"/>
    <w:rsid w:val="0085624A"/>
    <w:rsid w:val="008568DC"/>
    <w:rsid w:val="0085765A"/>
    <w:rsid w:val="00857F45"/>
    <w:rsid w:val="00860701"/>
    <w:rsid w:val="0086078E"/>
    <w:rsid w:val="00861560"/>
    <w:rsid w:val="008621FD"/>
    <w:rsid w:val="008630C1"/>
    <w:rsid w:val="00863268"/>
    <w:rsid w:val="00863A29"/>
    <w:rsid w:val="0086440A"/>
    <w:rsid w:val="00864CBE"/>
    <w:rsid w:val="0086545E"/>
    <w:rsid w:val="008656D1"/>
    <w:rsid w:val="00865C62"/>
    <w:rsid w:val="00866562"/>
    <w:rsid w:val="008667ED"/>
    <w:rsid w:val="0086719C"/>
    <w:rsid w:val="008671C2"/>
    <w:rsid w:val="00870C22"/>
    <w:rsid w:val="0087120A"/>
    <w:rsid w:val="00872884"/>
    <w:rsid w:val="00873150"/>
    <w:rsid w:val="00873392"/>
    <w:rsid w:val="00873804"/>
    <w:rsid w:val="00873E56"/>
    <w:rsid w:val="00874016"/>
    <w:rsid w:val="00874328"/>
    <w:rsid w:val="008758A0"/>
    <w:rsid w:val="0087642E"/>
    <w:rsid w:val="0087657D"/>
    <w:rsid w:val="0087683E"/>
    <w:rsid w:val="00877C77"/>
    <w:rsid w:val="00877D07"/>
    <w:rsid w:val="00880832"/>
    <w:rsid w:val="00880C60"/>
    <w:rsid w:val="00881DFA"/>
    <w:rsid w:val="00881EB1"/>
    <w:rsid w:val="00882834"/>
    <w:rsid w:val="00882C4A"/>
    <w:rsid w:val="008837B7"/>
    <w:rsid w:val="008837F4"/>
    <w:rsid w:val="00883A56"/>
    <w:rsid w:val="008840AA"/>
    <w:rsid w:val="00884A97"/>
    <w:rsid w:val="0088567C"/>
    <w:rsid w:val="008862CF"/>
    <w:rsid w:val="00886EE1"/>
    <w:rsid w:val="00887D10"/>
    <w:rsid w:val="00890A22"/>
    <w:rsid w:val="00892E39"/>
    <w:rsid w:val="0089308A"/>
    <w:rsid w:val="00894C55"/>
    <w:rsid w:val="00894D64"/>
    <w:rsid w:val="00895107"/>
    <w:rsid w:val="0089544B"/>
    <w:rsid w:val="008954AA"/>
    <w:rsid w:val="0089727F"/>
    <w:rsid w:val="00897C75"/>
    <w:rsid w:val="008A0196"/>
    <w:rsid w:val="008A0A45"/>
    <w:rsid w:val="008A17E8"/>
    <w:rsid w:val="008A18DA"/>
    <w:rsid w:val="008A1E0F"/>
    <w:rsid w:val="008A26EE"/>
    <w:rsid w:val="008A2DA0"/>
    <w:rsid w:val="008A2F9A"/>
    <w:rsid w:val="008A3715"/>
    <w:rsid w:val="008A3BF2"/>
    <w:rsid w:val="008A3DAF"/>
    <w:rsid w:val="008A452B"/>
    <w:rsid w:val="008A56BA"/>
    <w:rsid w:val="008A5B22"/>
    <w:rsid w:val="008A6CC4"/>
    <w:rsid w:val="008A738D"/>
    <w:rsid w:val="008A7BC4"/>
    <w:rsid w:val="008B0268"/>
    <w:rsid w:val="008B0485"/>
    <w:rsid w:val="008B0B41"/>
    <w:rsid w:val="008B0B89"/>
    <w:rsid w:val="008B0E5D"/>
    <w:rsid w:val="008B128B"/>
    <w:rsid w:val="008B16B3"/>
    <w:rsid w:val="008B1E07"/>
    <w:rsid w:val="008B2C31"/>
    <w:rsid w:val="008B3548"/>
    <w:rsid w:val="008B35A8"/>
    <w:rsid w:val="008B3876"/>
    <w:rsid w:val="008B415B"/>
    <w:rsid w:val="008B4609"/>
    <w:rsid w:val="008B4B35"/>
    <w:rsid w:val="008B5755"/>
    <w:rsid w:val="008B6AE2"/>
    <w:rsid w:val="008B6CE5"/>
    <w:rsid w:val="008C014C"/>
    <w:rsid w:val="008C180F"/>
    <w:rsid w:val="008C1B94"/>
    <w:rsid w:val="008C20B4"/>
    <w:rsid w:val="008C2298"/>
    <w:rsid w:val="008C41F2"/>
    <w:rsid w:val="008C436B"/>
    <w:rsid w:val="008C6689"/>
    <w:rsid w:val="008C7B31"/>
    <w:rsid w:val="008D04DD"/>
    <w:rsid w:val="008D05B7"/>
    <w:rsid w:val="008D0A06"/>
    <w:rsid w:val="008D0A8F"/>
    <w:rsid w:val="008D14D1"/>
    <w:rsid w:val="008D18E6"/>
    <w:rsid w:val="008D2A93"/>
    <w:rsid w:val="008D3118"/>
    <w:rsid w:val="008D32AF"/>
    <w:rsid w:val="008D38DF"/>
    <w:rsid w:val="008D491B"/>
    <w:rsid w:val="008D54E2"/>
    <w:rsid w:val="008D64EB"/>
    <w:rsid w:val="008D678D"/>
    <w:rsid w:val="008D6849"/>
    <w:rsid w:val="008D6A5A"/>
    <w:rsid w:val="008D7775"/>
    <w:rsid w:val="008E09A3"/>
    <w:rsid w:val="008E0D6D"/>
    <w:rsid w:val="008E0E1A"/>
    <w:rsid w:val="008E2D1C"/>
    <w:rsid w:val="008E2D1E"/>
    <w:rsid w:val="008E3473"/>
    <w:rsid w:val="008E4AD2"/>
    <w:rsid w:val="008E5195"/>
    <w:rsid w:val="008E5296"/>
    <w:rsid w:val="008E5A9F"/>
    <w:rsid w:val="008E6FC7"/>
    <w:rsid w:val="008E7755"/>
    <w:rsid w:val="008F0710"/>
    <w:rsid w:val="008F0CAC"/>
    <w:rsid w:val="008F196D"/>
    <w:rsid w:val="008F21F6"/>
    <w:rsid w:val="008F288A"/>
    <w:rsid w:val="008F2B7E"/>
    <w:rsid w:val="008F2BEA"/>
    <w:rsid w:val="008F3260"/>
    <w:rsid w:val="008F38CF"/>
    <w:rsid w:val="008F4E99"/>
    <w:rsid w:val="008F62E1"/>
    <w:rsid w:val="008F790D"/>
    <w:rsid w:val="008F7DEA"/>
    <w:rsid w:val="0090049E"/>
    <w:rsid w:val="00900768"/>
    <w:rsid w:val="00900C2A"/>
    <w:rsid w:val="00902198"/>
    <w:rsid w:val="00902875"/>
    <w:rsid w:val="00902905"/>
    <w:rsid w:val="009029D7"/>
    <w:rsid w:val="00902C09"/>
    <w:rsid w:val="00903C58"/>
    <w:rsid w:val="0090507E"/>
    <w:rsid w:val="00907189"/>
    <w:rsid w:val="009076B4"/>
    <w:rsid w:val="00907D4C"/>
    <w:rsid w:val="00910077"/>
    <w:rsid w:val="00910B86"/>
    <w:rsid w:val="00911122"/>
    <w:rsid w:val="009113FB"/>
    <w:rsid w:val="00911656"/>
    <w:rsid w:val="00911767"/>
    <w:rsid w:val="0091185C"/>
    <w:rsid w:val="00911CF9"/>
    <w:rsid w:val="00912CF3"/>
    <w:rsid w:val="00916275"/>
    <w:rsid w:val="00920178"/>
    <w:rsid w:val="009202D6"/>
    <w:rsid w:val="009208D2"/>
    <w:rsid w:val="00920D90"/>
    <w:rsid w:val="00921267"/>
    <w:rsid w:val="00921B91"/>
    <w:rsid w:val="00921CF1"/>
    <w:rsid w:val="009221E1"/>
    <w:rsid w:val="00922271"/>
    <w:rsid w:val="00923FE5"/>
    <w:rsid w:val="00925021"/>
    <w:rsid w:val="0092503E"/>
    <w:rsid w:val="009262A4"/>
    <w:rsid w:val="009273A3"/>
    <w:rsid w:val="0093026D"/>
    <w:rsid w:val="009302A6"/>
    <w:rsid w:val="009305B2"/>
    <w:rsid w:val="00930B31"/>
    <w:rsid w:val="00931C45"/>
    <w:rsid w:val="0093232B"/>
    <w:rsid w:val="00932F07"/>
    <w:rsid w:val="009363DC"/>
    <w:rsid w:val="00936F56"/>
    <w:rsid w:val="0093745B"/>
    <w:rsid w:val="009409E1"/>
    <w:rsid w:val="009410EF"/>
    <w:rsid w:val="00941610"/>
    <w:rsid w:val="00941B91"/>
    <w:rsid w:val="00941D3F"/>
    <w:rsid w:val="00942419"/>
    <w:rsid w:val="00944C7B"/>
    <w:rsid w:val="00945715"/>
    <w:rsid w:val="00945B72"/>
    <w:rsid w:val="009477AB"/>
    <w:rsid w:val="00947DE1"/>
    <w:rsid w:val="00947F5A"/>
    <w:rsid w:val="00950212"/>
    <w:rsid w:val="009514A1"/>
    <w:rsid w:val="009519CF"/>
    <w:rsid w:val="00951A2A"/>
    <w:rsid w:val="00951F79"/>
    <w:rsid w:val="00952440"/>
    <w:rsid w:val="0095301B"/>
    <w:rsid w:val="0095303A"/>
    <w:rsid w:val="00954164"/>
    <w:rsid w:val="009542F7"/>
    <w:rsid w:val="0095461B"/>
    <w:rsid w:val="00957B92"/>
    <w:rsid w:val="0096017C"/>
    <w:rsid w:val="009606F2"/>
    <w:rsid w:val="0096178B"/>
    <w:rsid w:val="009632EE"/>
    <w:rsid w:val="009633FD"/>
    <w:rsid w:val="00963A25"/>
    <w:rsid w:val="00963EBB"/>
    <w:rsid w:val="00965E27"/>
    <w:rsid w:val="009664B3"/>
    <w:rsid w:val="00966CA8"/>
    <w:rsid w:val="00967714"/>
    <w:rsid w:val="00967A25"/>
    <w:rsid w:val="00967C0E"/>
    <w:rsid w:val="00967D8F"/>
    <w:rsid w:val="00970D6D"/>
    <w:rsid w:val="00971BFA"/>
    <w:rsid w:val="0097211B"/>
    <w:rsid w:val="00972E6F"/>
    <w:rsid w:val="00973840"/>
    <w:rsid w:val="00974367"/>
    <w:rsid w:val="00974FFD"/>
    <w:rsid w:val="00975881"/>
    <w:rsid w:val="00975EDB"/>
    <w:rsid w:val="009763C7"/>
    <w:rsid w:val="00976901"/>
    <w:rsid w:val="00977CE3"/>
    <w:rsid w:val="009802B3"/>
    <w:rsid w:val="0098032A"/>
    <w:rsid w:val="009811C0"/>
    <w:rsid w:val="00982A77"/>
    <w:rsid w:val="00982AA8"/>
    <w:rsid w:val="0098394C"/>
    <w:rsid w:val="00983CDC"/>
    <w:rsid w:val="00983F5C"/>
    <w:rsid w:val="0098412B"/>
    <w:rsid w:val="009851D8"/>
    <w:rsid w:val="0098560E"/>
    <w:rsid w:val="00986A69"/>
    <w:rsid w:val="00986AA1"/>
    <w:rsid w:val="0098706D"/>
    <w:rsid w:val="009871F8"/>
    <w:rsid w:val="009900EE"/>
    <w:rsid w:val="009910CA"/>
    <w:rsid w:val="0099194A"/>
    <w:rsid w:val="00991DFF"/>
    <w:rsid w:val="0099264B"/>
    <w:rsid w:val="00992E17"/>
    <w:rsid w:val="009935FB"/>
    <w:rsid w:val="00994621"/>
    <w:rsid w:val="00994EC2"/>
    <w:rsid w:val="0099606D"/>
    <w:rsid w:val="009962FB"/>
    <w:rsid w:val="00996792"/>
    <w:rsid w:val="00996A27"/>
    <w:rsid w:val="00997188"/>
    <w:rsid w:val="00997E46"/>
    <w:rsid w:val="009A06FB"/>
    <w:rsid w:val="009A0F0B"/>
    <w:rsid w:val="009A0F14"/>
    <w:rsid w:val="009A1556"/>
    <w:rsid w:val="009A3E1B"/>
    <w:rsid w:val="009A5703"/>
    <w:rsid w:val="009A59BD"/>
    <w:rsid w:val="009A6236"/>
    <w:rsid w:val="009A720B"/>
    <w:rsid w:val="009B0006"/>
    <w:rsid w:val="009B0712"/>
    <w:rsid w:val="009B09C6"/>
    <w:rsid w:val="009B1BD1"/>
    <w:rsid w:val="009B1E49"/>
    <w:rsid w:val="009B28EA"/>
    <w:rsid w:val="009B44A9"/>
    <w:rsid w:val="009B4CF6"/>
    <w:rsid w:val="009B55BC"/>
    <w:rsid w:val="009B5A32"/>
    <w:rsid w:val="009B5B01"/>
    <w:rsid w:val="009B6038"/>
    <w:rsid w:val="009B6146"/>
    <w:rsid w:val="009B62AD"/>
    <w:rsid w:val="009B6719"/>
    <w:rsid w:val="009B6906"/>
    <w:rsid w:val="009B7376"/>
    <w:rsid w:val="009B77C7"/>
    <w:rsid w:val="009C0229"/>
    <w:rsid w:val="009C0D9F"/>
    <w:rsid w:val="009C0FEE"/>
    <w:rsid w:val="009C100E"/>
    <w:rsid w:val="009C209F"/>
    <w:rsid w:val="009C20DE"/>
    <w:rsid w:val="009C21F8"/>
    <w:rsid w:val="009C3A86"/>
    <w:rsid w:val="009C3B99"/>
    <w:rsid w:val="009C41C2"/>
    <w:rsid w:val="009C5484"/>
    <w:rsid w:val="009C600C"/>
    <w:rsid w:val="009C65FA"/>
    <w:rsid w:val="009D0297"/>
    <w:rsid w:val="009D02D6"/>
    <w:rsid w:val="009D0964"/>
    <w:rsid w:val="009D0AF6"/>
    <w:rsid w:val="009D215B"/>
    <w:rsid w:val="009D2EC9"/>
    <w:rsid w:val="009D2EF3"/>
    <w:rsid w:val="009D47D0"/>
    <w:rsid w:val="009D4F73"/>
    <w:rsid w:val="009D5ACC"/>
    <w:rsid w:val="009D61ED"/>
    <w:rsid w:val="009D79D7"/>
    <w:rsid w:val="009D7C4E"/>
    <w:rsid w:val="009E032A"/>
    <w:rsid w:val="009E122D"/>
    <w:rsid w:val="009E1C54"/>
    <w:rsid w:val="009E2D28"/>
    <w:rsid w:val="009E32F5"/>
    <w:rsid w:val="009E3606"/>
    <w:rsid w:val="009E42BD"/>
    <w:rsid w:val="009E4C05"/>
    <w:rsid w:val="009E5874"/>
    <w:rsid w:val="009E5C09"/>
    <w:rsid w:val="009E5F56"/>
    <w:rsid w:val="009E6611"/>
    <w:rsid w:val="009E6956"/>
    <w:rsid w:val="009F048B"/>
    <w:rsid w:val="009F05D1"/>
    <w:rsid w:val="009F0D9A"/>
    <w:rsid w:val="009F2226"/>
    <w:rsid w:val="009F27A8"/>
    <w:rsid w:val="009F2871"/>
    <w:rsid w:val="009F45B7"/>
    <w:rsid w:val="009F51F6"/>
    <w:rsid w:val="009F5267"/>
    <w:rsid w:val="009F572E"/>
    <w:rsid w:val="009F6BAC"/>
    <w:rsid w:val="009F74C4"/>
    <w:rsid w:val="009F78C3"/>
    <w:rsid w:val="009F7AA6"/>
    <w:rsid w:val="00A010D0"/>
    <w:rsid w:val="00A01416"/>
    <w:rsid w:val="00A01DFD"/>
    <w:rsid w:val="00A0300E"/>
    <w:rsid w:val="00A0321E"/>
    <w:rsid w:val="00A0381B"/>
    <w:rsid w:val="00A05048"/>
    <w:rsid w:val="00A07BC5"/>
    <w:rsid w:val="00A11049"/>
    <w:rsid w:val="00A118B0"/>
    <w:rsid w:val="00A11EB4"/>
    <w:rsid w:val="00A11F2A"/>
    <w:rsid w:val="00A125DE"/>
    <w:rsid w:val="00A129E5"/>
    <w:rsid w:val="00A13421"/>
    <w:rsid w:val="00A13A10"/>
    <w:rsid w:val="00A13E29"/>
    <w:rsid w:val="00A14156"/>
    <w:rsid w:val="00A14495"/>
    <w:rsid w:val="00A147D1"/>
    <w:rsid w:val="00A149D1"/>
    <w:rsid w:val="00A16576"/>
    <w:rsid w:val="00A16E16"/>
    <w:rsid w:val="00A16EBB"/>
    <w:rsid w:val="00A1702A"/>
    <w:rsid w:val="00A171CF"/>
    <w:rsid w:val="00A17B23"/>
    <w:rsid w:val="00A17D3F"/>
    <w:rsid w:val="00A21A3A"/>
    <w:rsid w:val="00A21CF7"/>
    <w:rsid w:val="00A2214E"/>
    <w:rsid w:val="00A224C9"/>
    <w:rsid w:val="00A22713"/>
    <w:rsid w:val="00A24A6B"/>
    <w:rsid w:val="00A250F5"/>
    <w:rsid w:val="00A25FD7"/>
    <w:rsid w:val="00A261EC"/>
    <w:rsid w:val="00A26253"/>
    <w:rsid w:val="00A27C6C"/>
    <w:rsid w:val="00A30052"/>
    <w:rsid w:val="00A3160F"/>
    <w:rsid w:val="00A3164D"/>
    <w:rsid w:val="00A31AD1"/>
    <w:rsid w:val="00A31C0A"/>
    <w:rsid w:val="00A3212C"/>
    <w:rsid w:val="00A32651"/>
    <w:rsid w:val="00A32E55"/>
    <w:rsid w:val="00A33177"/>
    <w:rsid w:val="00A332E7"/>
    <w:rsid w:val="00A33607"/>
    <w:rsid w:val="00A337D7"/>
    <w:rsid w:val="00A33D94"/>
    <w:rsid w:val="00A3466A"/>
    <w:rsid w:val="00A354D5"/>
    <w:rsid w:val="00A35829"/>
    <w:rsid w:val="00A35B97"/>
    <w:rsid w:val="00A366C7"/>
    <w:rsid w:val="00A36D37"/>
    <w:rsid w:val="00A37A2B"/>
    <w:rsid w:val="00A40740"/>
    <w:rsid w:val="00A409E1"/>
    <w:rsid w:val="00A41BD2"/>
    <w:rsid w:val="00A43AFF"/>
    <w:rsid w:val="00A43C5B"/>
    <w:rsid w:val="00A43E0C"/>
    <w:rsid w:val="00A4498B"/>
    <w:rsid w:val="00A44D5B"/>
    <w:rsid w:val="00A44E9B"/>
    <w:rsid w:val="00A4535E"/>
    <w:rsid w:val="00A45A02"/>
    <w:rsid w:val="00A45AE1"/>
    <w:rsid w:val="00A47799"/>
    <w:rsid w:val="00A47CFB"/>
    <w:rsid w:val="00A50E58"/>
    <w:rsid w:val="00A513FC"/>
    <w:rsid w:val="00A52503"/>
    <w:rsid w:val="00A5293C"/>
    <w:rsid w:val="00A53A88"/>
    <w:rsid w:val="00A54473"/>
    <w:rsid w:val="00A5529C"/>
    <w:rsid w:val="00A555BD"/>
    <w:rsid w:val="00A558DD"/>
    <w:rsid w:val="00A55B3B"/>
    <w:rsid w:val="00A572B7"/>
    <w:rsid w:val="00A61E5E"/>
    <w:rsid w:val="00A62387"/>
    <w:rsid w:val="00A632C8"/>
    <w:rsid w:val="00A6549D"/>
    <w:rsid w:val="00A654F9"/>
    <w:rsid w:val="00A657D1"/>
    <w:rsid w:val="00A659C7"/>
    <w:rsid w:val="00A660CC"/>
    <w:rsid w:val="00A6610A"/>
    <w:rsid w:val="00A67867"/>
    <w:rsid w:val="00A712E7"/>
    <w:rsid w:val="00A7155A"/>
    <w:rsid w:val="00A72B18"/>
    <w:rsid w:val="00A734AD"/>
    <w:rsid w:val="00A73A4D"/>
    <w:rsid w:val="00A73E8C"/>
    <w:rsid w:val="00A74E66"/>
    <w:rsid w:val="00A75B2F"/>
    <w:rsid w:val="00A7659E"/>
    <w:rsid w:val="00A77185"/>
    <w:rsid w:val="00A772EF"/>
    <w:rsid w:val="00A777EC"/>
    <w:rsid w:val="00A77888"/>
    <w:rsid w:val="00A7793A"/>
    <w:rsid w:val="00A77C6C"/>
    <w:rsid w:val="00A82818"/>
    <w:rsid w:val="00A82F3F"/>
    <w:rsid w:val="00A83753"/>
    <w:rsid w:val="00A8418B"/>
    <w:rsid w:val="00A844B6"/>
    <w:rsid w:val="00A847E1"/>
    <w:rsid w:val="00A850BB"/>
    <w:rsid w:val="00A85D08"/>
    <w:rsid w:val="00A87024"/>
    <w:rsid w:val="00A906D2"/>
    <w:rsid w:val="00A90D98"/>
    <w:rsid w:val="00A91B41"/>
    <w:rsid w:val="00A91C7A"/>
    <w:rsid w:val="00A931AC"/>
    <w:rsid w:val="00A936BE"/>
    <w:rsid w:val="00A93715"/>
    <w:rsid w:val="00A93746"/>
    <w:rsid w:val="00A93C29"/>
    <w:rsid w:val="00A93D8C"/>
    <w:rsid w:val="00A94E6E"/>
    <w:rsid w:val="00A9562B"/>
    <w:rsid w:val="00A95ADE"/>
    <w:rsid w:val="00A974B8"/>
    <w:rsid w:val="00AA0872"/>
    <w:rsid w:val="00AA1FBA"/>
    <w:rsid w:val="00AA27B0"/>
    <w:rsid w:val="00AA3165"/>
    <w:rsid w:val="00AA42D8"/>
    <w:rsid w:val="00AA45AF"/>
    <w:rsid w:val="00AA55E4"/>
    <w:rsid w:val="00AA5FDF"/>
    <w:rsid w:val="00AA6396"/>
    <w:rsid w:val="00AA6A88"/>
    <w:rsid w:val="00AB012D"/>
    <w:rsid w:val="00AB13BC"/>
    <w:rsid w:val="00AB1559"/>
    <w:rsid w:val="00AB2734"/>
    <w:rsid w:val="00AB31E5"/>
    <w:rsid w:val="00AB3511"/>
    <w:rsid w:val="00AB4A76"/>
    <w:rsid w:val="00AB5871"/>
    <w:rsid w:val="00AB662D"/>
    <w:rsid w:val="00AB7A1E"/>
    <w:rsid w:val="00AB7FD9"/>
    <w:rsid w:val="00AC0128"/>
    <w:rsid w:val="00AC12B1"/>
    <w:rsid w:val="00AC1BF4"/>
    <w:rsid w:val="00AC249B"/>
    <w:rsid w:val="00AC2ADA"/>
    <w:rsid w:val="00AC3211"/>
    <w:rsid w:val="00AC5973"/>
    <w:rsid w:val="00AC6419"/>
    <w:rsid w:val="00AD01E4"/>
    <w:rsid w:val="00AD14CA"/>
    <w:rsid w:val="00AD1542"/>
    <w:rsid w:val="00AD369B"/>
    <w:rsid w:val="00AD4C73"/>
    <w:rsid w:val="00AD6E2A"/>
    <w:rsid w:val="00AE2A73"/>
    <w:rsid w:val="00AE35B6"/>
    <w:rsid w:val="00AE4237"/>
    <w:rsid w:val="00AE5B22"/>
    <w:rsid w:val="00AE5F8E"/>
    <w:rsid w:val="00AE665D"/>
    <w:rsid w:val="00AE67FD"/>
    <w:rsid w:val="00AE7398"/>
    <w:rsid w:val="00AF0298"/>
    <w:rsid w:val="00AF0358"/>
    <w:rsid w:val="00AF0FC4"/>
    <w:rsid w:val="00AF1D01"/>
    <w:rsid w:val="00AF31AD"/>
    <w:rsid w:val="00AF4505"/>
    <w:rsid w:val="00AF5E1C"/>
    <w:rsid w:val="00AF74AE"/>
    <w:rsid w:val="00AF7CBD"/>
    <w:rsid w:val="00AF7E58"/>
    <w:rsid w:val="00B00E37"/>
    <w:rsid w:val="00B01954"/>
    <w:rsid w:val="00B01A96"/>
    <w:rsid w:val="00B0291F"/>
    <w:rsid w:val="00B0299E"/>
    <w:rsid w:val="00B031BD"/>
    <w:rsid w:val="00B0451B"/>
    <w:rsid w:val="00B04F9A"/>
    <w:rsid w:val="00B050BA"/>
    <w:rsid w:val="00B051D8"/>
    <w:rsid w:val="00B0563E"/>
    <w:rsid w:val="00B0699B"/>
    <w:rsid w:val="00B069E4"/>
    <w:rsid w:val="00B0736B"/>
    <w:rsid w:val="00B10903"/>
    <w:rsid w:val="00B116BD"/>
    <w:rsid w:val="00B118A6"/>
    <w:rsid w:val="00B11990"/>
    <w:rsid w:val="00B119F4"/>
    <w:rsid w:val="00B12818"/>
    <w:rsid w:val="00B133C6"/>
    <w:rsid w:val="00B141E7"/>
    <w:rsid w:val="00B14CDD"/>
    <w:rsid w:val="00B14E7E"/>
    <w:rsid w:val="00B15031"/>
    <w:rsid w:val="00B1619C"/>
    <w:rsid w:val="00B16669"/>
    <w:rsid w:val="00B16695"/>
    <w:rsid w:val="00B168E1"/>
    <w:rsid w:val="00B17070"/>
    <w:rsid w:val="00B17868"/>
    <w:rsid w:val="00B20BAA"/>
    <w:rsid w:val="00B2123C"/>
    <w:rsid w:val="00B213F2"/>
    <w:rsid w:val="00B21C9B"/>
    <w:rsid w:val="00B22053"/>
    <w:rsid w:val="00B22F4F"/>
    <w:rsid w:val="00B236CE"/>
    <w:rsid w:val="00B240E0"/>
    <w:rsid w:val="00B2626A"/>
    <w:rsid w:val="00B27F86"/>
    <w:rsid w:val="00B306D7"/>
    <w:rsid w:val="00B30DEF"/>
    <w:rsid w:val="00B31216"/>
    <w:rsid w:val="00B31F0F"/>
    <w:rsid w:val="00B327EF"/>
    <w:rsid w:val="00B33CEC"/>
    <w:rsid w:val="00B33E8E"/>
    <w:rsid w:val="00B35372"/>
    <w:rsid w:val="00B362D5"/>
    <w:rsid w:val="00B3780A"/>
    <w:rsid w:val="00B404D2"/>
    <w:rsid w:val="00B4201F"/>
    <w:rsid w:val="00B444B0"/>
    <w:rsid w:val="00B44709"/>
    <w:rsid w:val="00B45AB8"/>
    <w:rsid w:val="00B46BCA"/>
    <w:rsid w:val="00B503D9"/>
    <w:rsid w:val="00B50937"/>
    <w:rsid w:val="00B51E41"/>
    <w:rsid w:val="00B53ABF"/>
    <w:rsid w:val="00B54D44"/>
    <w:rsid w:val="00B55785"/>
    <w:rsid w:val="00B56906"/>
    <w:rsid w:val="00B60158"/>
    <w:rsid w:val="00B606A2"/>
    <w:rsid w:val="00B612C4"/>
    <w:rsid w:val="00B612D1"/>
    <w:rsid w:val="00B61BCF"/>
    <w:rsid w:val="00B6326F"/>
    <w:rsid w:val="00B63A12"/>
    <w:rsid w:val="00B63D2D"/>
    <w:rsid w:val="00B64CDD"/>
    <w:rsid w:val="00B65018"/>
    <w:rsid w:val="00B65728"/>
    <w:rsid w:val="00B65828"/>
    <w:rsid w:val="00B6595A"/>
    <w:rsid w:val="00B66162"/>
    <w:rsid w:val="00B67034"/>
    <w:rsid w:val="00B6716A"/>
    <w:rsid w:val="00B6724D"/>
    <w:rsid w:val="00B67FCA"/>
    <w:rsid w:val="00B73F31"/>
    <w:rsid w:val="00B7425B"/>
    <w:rsid w:val="00B74E22"/>
    <w:rsid w:val="00B74F72"/>
    <w:rsid w:val="00B767EE"/>
    <w:rsid w:val="00B768D0"/>
    <w:rsid w:val="00B77BD3"/>
    <w:rsid w:val="00B80510"/>
    <w:rsid w:val="00B808E6"/>
    <w:rsid w:val="00B80B89"/>
    <w:rsid w:val="00B82A06"/>
    <w:rsid w:val="00B83275"/>
    <w:rsid w:val="00B833F7"/>
    <w:rsid w:val="00B83992"/>
    <w:rsid w:val="00B8578B"/>
    <w:rsid w:val="00B85ABA"/>
    <w:rsid w:val="00B85F36"/>
    <w:rsid w:val="00B868A2"/>
    <w:rsid w:val="00B87806"/>
    <w:rsid w:val="00B87EC9"/>
    <w:rsid w:val="00B90174"/>
    <w:rsid w:val="00B9052A"/>
    <w:rsid w:val="00B90E7B"/>
    <w:rsid w:val="00B91141"/>
    <w:rsid w:val="00B92512"/>
    <w:rsid w:val="00B954ED"/>
    <w:rsid w:val="00B96102"/>
    <w:rsid w:val="00B9781A"/>
    <w:rsid w:val="00B9788F"/>
    <w:rsid w:val="00B97A53"/>
    <w:rsid w:val="00BA0719"/>
    <w:rsid w:val="00BA0B36"/>
    <w:rsid w:val="00BA1A7E"/>
    <w:rsid w:val="00BA1CD7"/>
    <w:rsid w:val="00BA2676"/>
    <w:rsid w:val="00BA2B65"/>
    <w:rsid w:val="00BA2DAB"/>
    <w:rsid w:val="00BA36A1"/>
    <w:rsid w:val="00BA3ECB"/>
    <w:rsid w:val="00BA49A9"/>
    <w:rsid w:val="00BA4EAA"/>
    <w:rsid w:val="00BA4FF0"/>
    <w:rsid w:val="00BA5A27"/>
    <w:rsid w:val="00BA5E47"/>
    <w:rsid w:val="00BA62DC"/>
    <w:rsid w:val="00BB0F1B"/>
    <w:rsid w:val="00BB36D6"/>
    <w:rsid w:val="00BB38E6"/>
    <w:rsid w:val="00BB38F8"/>
    <w:rsid w:val="00BB38FA"/>
    <w:rsid w:val="00BB3D1F"/>
    <w:rsid w:val="00BB6425"/>
    <w:rsid w:val="00BB6E8F"/>
    <w:rsid w:val="00BB75AC"/>
    <w:rsid w:val="00BC1C4B"/>
    <w:rsid w:val="00BC3758"/>
    <w:rsid w:val="00BC38FD"/>
    <w:rsid w:val="00BC4285"/>
    <w:rsid w:val="00BC435D"/>
    <w:rsid w:val="00BC52A7"/>
    <w:rsid w:val="00BC67E9"/>
    <w:rsid w:val="00BC7EC2"/>
    <w:rsid w:val="00BD11B5"/>
    <w:rsid w:val="00BD15FE"/>
    <w:rsid w:val="00BD1C99"/>
    <w:rsid w:val="00BD1F4B"/>
    <w:rsid w:val="00BD21FA"/>
    <w:rsid w:val="00BD2964"/>
    <w:rsid w:val="00BD2A6B"/>
    <w:rsid w:val="00BD2D41"/>
    <w:rsid w:val="00BD3B09"/>
    <w:rsid w:val="00BD46FB"/>
    <w:rsid w:val="00BD75DA"/>
    <w:rsid w:val="00BE199A"/>
    <w:rsid w:val="00BE30D3"/>
    <w:rsid w:val="00BE31BB"/>
    <w:rsid w:val="00BE3260"/>
    <w:rsid w:val="00BE338B"/>
    <w:rsid w:val="00BE3A17"/>
    <w:rsid w:val="00BE3F26"/>
    <w:rsid w:val="00BE4108"/>
    <w:rsid w:val="00BE466D"/>
    <w:rsid w:val="00BE4D0C"/>
    <w:rsid w:val="00BE5D54"/>
    <w:rsid w:val="00BE5DDF"/>
    <w:rsid w:val="00BE5FE4"/>
    <w:rsid w:val="00BE614E"/>
    <w:rsid w:val="00BE631D"/>
    <w:rsid w:val="00BE64A0"/>
    <w:rsid w:val="00BE66D6"/>
    <w:rsid w:val="00BF0A9B"/>
    <w:rsid w:val="00BF1B50"/>
    <w:rsid w:val="00BF278D"/>
    <w:rsid w:val="00BF2A3B"/>
    <w:rsid w:val="00BF2F63"/>
    <w:rsid w:val="00BF5CB1"/>
    <w:rsid w:val="00BF67CD"/>
    <w:rsid w:val="00C00D6C"/>
    <w:rsid w:val="00C01043"/>
    <w:rsid w:val="00C015E9"/>
    <w:rsid w:val="00C0359A"/>
    <w:rsid w:val="00C03842"/>
    <w:rsid w:val="00C0434A"/>
    <w:rsid w:val="00C0440A"/>
    <w:rsid w:val="00C04A34"/>
    <w:rsid w:val="00C054BC"/>
    <w:rsid w:val="00C05FEC"/>
    <w:rsid w:val="00C060C0"/>
    <w:rsid w:val="00C06E13"/>
    <w:rsid w:val="00C06FD4"/>
    <w:rsid w:val="00C07BB0"/>
    <w:rsid w:val="00C1017C"/>
    <w:rsid w:val="00C101D1"/>
    <w:rsid w:val="00C10464"/>
    <w:rsid w:val="00C11528"/>
    <w:rsid w:val="00C1153B"/>
    <w:rsid w:val="00C129F4"/>
    <w:rsid w:val="00C12E8A"/>
    <w:rsid w:val="00C1425C"/>
    <w:rsid w:val="00C14C5E"/>
    <w:rsid w:val="00C14E95"/>
    <w:rsid w:val="00C14EB5"/>
    <w:rsid w:val="00C158C6"/>
    <w:rsid w:val="00C15EA7"/>
    <w:rsid w:val="00C16273"/>
    <w:rsid w:val="00C16C98"/>
    <w:rsid w:val="00C1757B"/>
    <w:rsid w:val="00C1760D"/>
    <w:rsid w:val="00C17897"/>
    <w:rsid w:val="00C21AD5"/>
    <w:rsid w:val="00C2251E"/>
    <w:rsid w:val="00C23BEB"/>
    <w:rsid w:val="00C25876"/>
    <w:rsid w:val="00C270D7"/>
    <w:rsid w:val="00C27105"/>
    <w:rsid w:val="00C27DF0"/>
    <w:rsid w:val="00C31898"/>
    <w:rsid w:val="00C31E0A"/>
    <w:rsid w:val="00C32BE9"/>
    <w:rsid w:val="00C32FBD"/>
    <w:rsid w:val="00C33809"/>
    <w:rsid w:val="00C33F5F"/>
    <w:rsid w:val="00C33FDD"/>
    <w:rsid w:val="00C3491B"/>
    <w:rsid w:val="00C34963"/>
    <w:rsid w:val="00C369F9"/>
    <w:rsid w:val="00C409D5"/>
    <w:rsid w:val="00C40CC2"/>
    <w:rsid w:val="00C41558"/>
    <w:rsid w:val="00C41BF4"/>
    <w:rsid w:val="00C4235E"/>
    <w:rsid w:val="00C429F8"/>
    <w:rsid w:val="00C42D86"/>
    <w:rsid w:val="00C43318"/>
    <w:rsid w:val="00C455F0"/>
    <w:rsid w:val="00C4699B"/>
    <w:rsid w:val="00C46EA7"/>
    <w:rsid w:val="00C47510"/>
    <w:rsid w:val="00C501F3"/>
    <w:rsid w:val="00C50B9D"/>
    <w:rsid w:val="00C519A8"/>
    <w:rsid w:val="00C52178"/>
    <w:rsid w:val="00C526ED"/>
    <w:rsid w:val="00C52740"/>
    <w:rsid w:val="00C52C13"/>
    <w:rsid w:val="00C52E45"/>
    <w:rsid w:val="00C5350F"/>
    <w:rsid w:val="00C535CA"/>
    <w:rsid w:val="00C54862"/>
    <w:rsid w:val="00C551D0"/>
    <w:rsid w:val="00C55682"/>
    <w:rsid w:val="00C563DF"/>
    <w:rsid w:val="00C6049E"/>
    <w:rsid w:val="00C60999"/>
    <w:rsid w:val="00C6234B"/>
    <w:rsid w:val="00C6300C"/>
    <w:rsid w:val="00C63C4A"/>
    <w:rsid w:val="00C63EAE"/>
    <w:rsid w:val="00C64263"/>
    <w:rsid w:val="00C65126"/>
    <w:rsid w:val="00C66CDB"/>
    <w:rsid w:val="00C67300"/>
    <w:rsid w:val="00C67BD3"/>
    <w:rsid w:val="00C67D85"/>
    <w:rsid w:val="00C67E29"/>
    <w:rsid w:val="00C70AB9"/>
    <w:rsid w:val="00C726ED"/>
    <w:rsid w:val="00C72DDA"/>
    <w:rsid w:val="00C73359"/>
    <w:rsid w:val="00C73F9B"/>
    <w:rsid w:val="00C74E84"/>
    <w:rsid w:val="00C753EA"/>
    <w:rsid w:val="00C75571"/>
    <w:rsid w:val="00C75A03"/>
    <w:rsid w:val="00C76004"/>
    <w:rsid w:val="00C7629F"/>
    <w:rsid w:val="00C76CD4"/>
    <w:rsid w:val="00C76CDD"/>
    <w:rsid w:val="00C76F4C"/>
    <w:rsid w:val="00C77D37"/>
    <w:rsid w:val="00C805CB"/>
    <w:rsid w:val="00C80A55"/>
    <w:rsid w:val="00C814E1"/>
    <w:rsid w:val="00C81620"/>
    <w:rsid w:val="00C8181C"/>
    <w:rsid w:val="00C81D2E"/>
    <w:rsid w:val="00C8322D"/>
    <w:rsid w:val="00C83821"/>
    <w:rsid w:val="00C838AF"/>
    <w:rsid w:val="00C838F9"/>
    <w:rsid w:val="00C83958"/>
    <w:rsid w:val="00C85ED4"/>
    <w:rsid w:val="00C860D6"/>
    <w:rsid w:val="00C8661B"/>
    <w:rsid w:val="00C8724B"/>
    <w:rsid w:val="00C873D6"/>
    <w:rsid w:val="00C87742"/>
    <w:rsid w:val="00C87CFD"/>
    <w:rsid w:val="00C90853"/>
    <w:rsid w:val="00C93722"/>
    <w:rsid w:val="00C93A1A"/>
    <w:rsid w:val="00C93D0A"/>
    <w:rsid w:val="00C93DF5"/>
    <w:rsid w:val="00C94CE2"/>
    <w:rsid w:val="00C94F1A"/>
    <w:rsid w:val="00C94FA3"/>
    <w:rsid w:val="00C958E7"/>
    <w:rsid w:val="00C964B0"/>
    <w:rsid w:val="00CA0209"/>
    <w:rsid w:val="00CA04B7"/>
    <w:rsid w:val="00CA04E8"/>
    <w:rsid w:val="00CA10DA"/>
    <w:rsid w:val="00CA15AA"/>
    <w:rsid w:val="00CA1931"/>
    <w:rsid w:val="00CA1D22"/>
    <w:rsid w:val="00CA1F9E"/>
    <w:rsid w:val="00CA28A5"/>
    <w:rsid w:val="00CA2E36"/>
    <w:rsid w:val="00CA3334"/>
    <w:rsid w:val="00CA3D06"/>
    <w:rsid w:val="00CA4542"/>
    <w:rsid w:val="00CA4A4B"/>
    <w:rsid w:val="00CA4AA2"/>
    <w:rsid w:val="00CA5ED8"/>
    <w:rsid w:val="00CA60F1"/>
    <w:rsid w:val="00CA6EF4"/>
    <w:rsid w:val="00CA6FEA"/>
    <w:rsid w:val="00CA77FB"/>
    <w:rsid w:val="00CB03A0"/>
    <w:rsid w:val="00CB087A"/>
    <w:rsid w:val="00CB1963"/>
    <w:rsid w:val="00CB22F6"/>
    <w:rsid w:val="00CB27B8"/>
    <w:rsid w:val="00CB2B94"/>
    <w:rsid w:val="00CB2DEE"/>
    <w:rsid w:val="00CB3143"/>
    <w:rsid w:val="00CB3693"/>
    <w:rsid w:val="00CB379B"/>
    <w:rsid w:val="00CB4C66"/>
    <w:rsid w:val="00CB5751"/>
    <w:rsid w:val="00CB5B20"/>
    <w:rsid w:val="00CB5CD7"/>
    <w:rsid w:val="00CB5D3D"/>
    <w:rsid w:val="00CB5DD0"/>
    <w:rsid w:val="00CB5EE4"/>
    <w:rsid w:val="00CB5F63"/>
    <w:rsid w:val="00CB681D"/>
    <w:rsid w:val="00CB7FBF"/>
    <w:rsid w:val="00CC03B7"/>
    <w:rsid w:val="00CC071C"/>
    <w:rsid w:val="00CC2A6F"/>
    <w:rsid w:val="00CC3CE0"/>
    <w:rsid w:val="00CC453F"/>
    <w:rsid w:val="00CC4970"/>
    <w:rsid w:val="00CC4B91"/>
    <w:rsid w:val="00CC4C03"/>
    <w:rsid w:val="00CC51D4"/>
    <w:rsid w:val="00CC5A50"/>
    <w:rsid w:val="00CC6398"/>
    <w:rsid w:val="00CC65DA"/>
    <w:rsid w:val="00CC6B86"/>
    <w:rsid w:val="00CD0063"/>
    <w:rsid w:val="00CD0B63"/>
    <w:rsid w:val="00CD16FF"/>
    <w:rsid w:val="00CD195F"/>
    <w:rsid w:val="00CD5970"/>
    <w:rsid w:val="00CD75F7"/>
    <w:rsid w:val="00CE0142"/>
    <w:rsid w:val="00CE020E"/>
    <w:rsid w:val="00CE0285"/>
    <w:rsid w:val="00CE074F"/>
    <w:rsid w:val="00CE09DF"/>
    <w:rsid w:val="00CE13EF"/>
    <w:rsid w:val="00CE15AC"/>
    <w:rsid w:val="00CE1CA3"/>
    <w:rsid w:val="00CE1FD6"/>
    <w:rsid w:val="00CE2C32"/>
    <w:rsid w:val="00CE3059"/>
    <w:rsid w:val="00CE38C0"/>
    <w:rsid w:val="00CE5745"/>
    <w:rsid w:val="00CE6FEE"/>
    <w:rsid w:val="00CF03C7"/>
    <w:rsid w:val="00CF067A"/>
    <w:rsid w:val="00CF21B9"/>
    <w:rsid w:val="00CF22CD"/>
    <w:rsid w:val="00CF403A"/>
    <w:rsid w:val="00CF48AE"/>
    <w:rsid w:val="00CF50BF"/>
    <w:rsid w:val="00CF5EF3"/>
    <w:rsid w:val="00CF62A3"/>
    <w:rsid w:val="00CF6BF9"/>
    <w:rsid w:val="00CF6EFD"/>
    <w:rsid w:val="00CF79A2"/>
    <w:rsid w:val="00CF7EC3"/>
    <w:rsid w:val="00CF7FED"/>
    <w:rsid w:val="00D00166"/>
    <w:rsid w:val="00D0056C"/>
    <w:rsid w:val="00D01587"/>
    <w:rsid w:val="00D02570"/>
    <w:rsid w:val="00D02A10"/>
    <w:rsid w:val="00D032B5"/>
    <w:rsid w:val="00D03800"/>
    <w:rsid w:val="00D045C7"/>
    <w:rsid w:val="00D04EAE"/>
    <w:rsid w:val="00D04F90"/>
    <w:rsid w:val="00D058C7"/>
    <w:rsid w:val="00D065D3"/>
    <w:rsid w:val="00D06E77"/>
    <w:rsid w:val="00D0765E"/>
    <w:rsid w:val="00D109DE"/>
    <w:rsid w:val="00D1141B"/>
    <w:rsid w:val="00D11908"/>
    <w:rsid w:val="00D11B4E"/>
    <w:rsid w:val="00D127D0"/>
    <w:rsid w:val="00D13138"/>
    <w:rsid w:val="00D13297"/>
    <w:rsid w:val="00D13C1E"/>
    <w:rsid w:val="00D1630A"/>
    <w:rsid w:val="00D163A8"/>
    <w:rsid w:val="00D16D05"/>
    <w:rsid w:val="00D1752C"/>
    <w:rsid w:val="00D17F07"/>
    <w:rsid w:val="00D20B1E"/>
    <w:rsid w:val="00D2185A"/>
    <w:rsid w:val="00D218B3"/>
    <w:rsid w:val="00D23266"/>
    <w:rsid w:val="00D23460"/>
    <w:rsid w:val="00D23527"/>
    <w:rsid w:val="00D238B3"/>
    <w:rsid w:val="00D238CB"/>
    <w:rsid w:val="00D24427"/>
    <w:rsid w:val="00D2489F"/>
    <w:rsid w:val="00D26683"/>
    <w:rsid w:val="00D26AFB"/>
    <w:rsid w:val="00D26B33"/>
    <w:rsid w:val="00D26BBC"/>
    <w:rsid w:val="00D300DD"/>
    <w:rsid w:val="00D30C15"/>
    <w:rsid w:val="00D30C66"/>
    <w:rsid w:val="00D3145F"/>
    <w:rsid w:val="00D31B41"/>
    <w:rsid w:val="00D31EA2"/>
    <w:rsid w:val="00D31EE7"/>
    <w:rsid w:val="00D320C4"/>
    <w:rsid w:val="00D333DE"/>
    <w:rsid w:val="00D335B0"/>
    <w:rsid w:val="00D336B1"/>
    <w:rsid w:val="00D353C9"/>
    <w:rsid w:val="00D36033"/>
    <w:rsid w:val="00D369C3"/>
    <w:rsid w:val="00D373CB"/>
    <w:rsid w:val="00D37C84"/>
    <w:rsid w:val="00D4024D"/>
    <w:rsid w:val="00D40294"/>
    <w:rsid w:val="00D40DD6"/>
    <w:rsid w:val="00D45180"/>
    <w:rsid w:val="00D451C0"/>
    <w:rsid w:val="00D45E9A"/>
    <w:rsid w:val="00D464BF"/>
    <w:rsid w:val="00D4786F"/>
    <w:rsid w:val="00D47DE8"/>
    <w:rsid w:val="00D50A58"/>
    <w:rsid w:val="00D511FA"/>
    <w:rsid w:val="00D52B00"/>
    <w:rsid w:val="00D52FBD"/>
    <w:rsid w:val="00D53E26"/>
    <w:rsid w:val="00D5401E"/>
    <w:rsid w:val="00D547EF"/>
    <w:rsid w:val="00D5482F"/>
    <w:rsid w:val="00D55DC7"/>
    <w:rsid w:val="00D560F7"/>
    <w:rsid w:val="00D562E1"/>
    <w:rsid w:val="00D57F49"/>
    <w:rsid w:val="00D60C2C"/>
    <w:rsid w:val="00D61985"/>
    <w:rsid w:val="00D61CAB"/>
    <w:rsid w:val="00D6225C"/>
    <w:rsid w:val="00D627AD"/>
    <w:rsid w:val="00D63029"/>
    <w:rsid w:val="00D6311E"/>
    <w:rsid w:val="00D6537B"/>
    <w:rsid w:val="00D657BE"/>
    <w:rsid w:val="00D65EC7"/>
    <w:rsid w:val="00D6752E"/>
    <w:rsid w:val="00D70AC1"/>
    <w:rsid w:val="00D726F0"/>
    <w:rsid w:val="00D728D6"/>
    <w:rsid w:val="00D72BC8"/>
    <w:rsid w:val="00D73E4C"/>
    <w:rsid w:val="00D73F96"/>
    <w:rsid w:val="00D76772"/>
    <w:rsid w:val="00D7748E"/>
    <w:rsid w:val="00D77988"/>
    <w:rsid w:val="00D80AC5"/>
    <w:rsid w:val="00D80BE3"/>
    <w:rsid w:val="00D80E82"/>
    <w:rsid w:val="00D81392"/>
    <w:rsid w:val="00D81432"/>
    <w:rsid w:val="00D81E42"/>
    <w:rsid w:val="00D82A48"/>
    <w:rsid w:val="00D82E7F"/>
    <w:rsid w:val="00D83874"/>
    <w:rsid w:val="00D8394C"/>
    <w:rsid w:val="00D83C2C"/>
    <w:rsid w:val="00D8403F"/>
    <w:rsid w:val="00D84855"/>
    <w:rsid w:val="00D850E9"/>
    <w:rsid w:val="00D8675A"/>
    <w:rsid w:val="00D8713F"/>
    <w:rsid w:val="00D90497"/>
    <w:rsid w:val="00D90679"/>
    <w:rsid w:val="00D9085E"/>
    <w:rsid w:val="00D90B73"/>
    <w:rsid w:val="00D915C5"/>
    <w:rsid w:val="00D9206F"/>
    <w:rsid w:val="00D927B0"/>
    <w:rsid w:val="00D92849"/>
    <w:rsid w:val="00D92C96"/>
    <w:rsid w:val="00D93573"/>
    <w:rsid w:val="00D93779"/>
    <w:rsid w:val="00D94920"/>
    <w:rsid w:val="00D9523E"/>
    <w:rsid w:val="00D95BAE"/>
    <w:rsid w:val="00D96F67"/>
    <w:rsid w:val="00D96F6B"/>
    <w:rsid w:val="00D9731A"/>
    <w:rsid w:val="00D9795B"/>
    <w:rsid w:val="00D97A7D"/>
    <w:rsid w:val="00D97B4A"/>
    <w:rsid w:val="00D97E7C"/>
    <w:rsid w:val="00DA00CD"/>
    <w:rsid w:val="00DA0B6E"/>
    <w:rsid w:val="00DA1407"/>
    <w:rsid w:val="00DA17AA"/>
    <w:rsid w:val="00DA1850"/>
    <w:rsid w:val="00DA1F39"/>
    <w:rsid w:val="00DA1F9B"/>
    <w:rsid w:val="00DA254E"/>
    <w:rsid w:val="00DA30E1"/>
    <w:rsid w:val="00DA3A45"/>
    <w:rsid w:val="00DA3F77"/>
    <w:rsid w:val="00DA494F"/>
    <w:rsid w:val="00DA4B78"/>
    <w:rsid w:val="00DA52FD"/>
    <w:rsid w:val="00DA5844"/>
    <w:rsid w:val="00DA5A0E"/>
    <w:rsid w:val="00DA5F25"/>
    <w:rsid w:val="00DA79F7"/>
    <w:rsid w:val="00DB0425"/>
    <w:rsid w:val="00DB0689"/>
    <w:rsid w:val="00DB230D"/>
    <w:rsid w:val="00DB3870"/>
    <w:rsid w:val="00DB4B44"/>
    <w:rsid w:val="00DB5492"/>
    <w:rsid w:val="00DB559B"/>
    <w:rsid w:val="00DB5B98"/>
    <w:rsid w:val="00DB66C5"/>
    <w:rsid w:val="00DB68ED"/>
    <w:rsid w:val="00DB6D76"/>
    <w:rsid w:val="00DB73DD"/>
    <w:rsid w:val="00DB744D"/>
    <w:rsid w:val="00DB7CC5"/>
    <w:rsid w:val="00DB7DC3"/>
    <w:rsid w:val="00DB7E73"/>
    <w:rsid w:val="00DC049C"/>
    <w:rsid w:val="00DC0975"/>
    <w:rsid w:val="00DC0A27"/>
    <w:rsid w:val="00DC1227"/>
    <w:rsid w:val="00DC1B38"/>
    <w:rsid w:val="00DC27CE"/>
    <w:rsid w:val="00DC301F"/>
    <w:rsid w:val="00DC30AC"/>
    <w:rsid w:val="00DC38B8"/>
    <w:rsid w:val="00DC39E2"/>
    <w:rsid w:val="00DC6BF6"/>
    <w:rsid w:val="00DC6FA9"/>
    <w:rsid w:val="00DC7233"/>
    <w:rsid w:val="00DD1B49"/>
    <w:rsid w:val="00DD1FA7"/>
    <w:rsid w:val="00DD2CBE"/>
    <w:rsid w:val="00DD38E6"/>
    <w:rsid w:val="00DD4D31"/>
    <w:rsid w:val="00DD4F0E"/>
    <w:rsid w:val="00DD5E79"/>
    <w:rsid w:val="00DD6567"/>
    <w:rsid w:val="00DD69F2"/>
    <w:rsid w:val="00DD6FA0"/>
    <w:rsid w:val="00DD7CA4"/>
    <w:rsid w:val="00DD7E68"/>
    <w:rsid w:val="00DE056C"/>
    <w:rsid w:val="00DE0C57"/>
    <w:rsid w:val="00DE1880"/>
    <w:rsid w:val="00DE18C7"/>
    <w:rsid w:val="00DE1A06"/>
    <w:rsid w:val="00DE1A62"/>
    <w:rsid w:val="00DE263D"/>
    <w:rsid w:val="00DE3E92"/>
    <w:rsid w:val="00DE41F3"/>
    <w:rsid w:val="00DE4857"/>
    <w:rsid w:val="00DE4BF8"/>
    <w:rsid w:val="00DE4C18"/>
    <w:rsid w:val="00DE4FB0"/>
    <w:rsid w:val="00DE5853"/>
    <w:rsid w:val="00DE5B4F"/>
    <w:rsid w:val="00DE6A3B"/>
    <w:rsid w:val="00DE79A3"/>
    <w:rsid w:val="00DF06C5"/>
    <w:rsid w:val="00DF0A30"/>
    <w:rsid w:val="00DF2957"/>
    <w:rsid w:val="00DF38CE"/>
    <w:rsid w:val="00DF3C4A"/>
    <w:rsid w:val="00DF5013"/>
    <w:rsid w:val="00DF55E0"/>
    <w:rsid w:val="00DF611B"/>
    <w:rsid w:val="00DF6BB4"/>
    <w:rsid w:val="00DF763D"/>
    <w:rsid w:val="00DF7A28"/>
    <w:rsid w:val="00E003FF"/>
    <w:rsid w:val="00E00C30"/>
    <w:rsid w:val="00E00E80"/>
    <w:rsid w:val="00E03E72"/>
    <w:rsid w:val="00E04385"/>
    <w:rsid w:val="00E044A7"/>
    <w:rsid w:val="00E046CE"/>
    <w:rsid w:val="00E04C05"/>
    <w:rsid w:val="00E079E5"/>
    <w:rsid w:val="00E11573"/>
    <w:rsid w:val="00E1243F"/>
    <w:rsid w:val="00E12509"/>
    <w:rsid w:val="00E133A6"/>
    <w:rsid w:val="00E14D72"/>
    <w:rsid w:val="00E1539D"/>
    <w:rsid w:val="00E15E36"/>
    <w:rsid w:val="00E17342"/>
    <w:rsid w:val="00E174C2"/>
    <w:rsid w:val="00E225DE"/>
    <w:rsid w:val="00E22ACD"/>
    <w:rsid w:val="00E24E84"/>
    <w:rsid w:val="00E25C2E"/>
    <w:rsid w:val="00E26CA4"/>
    <w:rsid w:val="00E26D62"/>
    <w:rsid w:val="00E27BEE"/>
    <w:rsid w:val="00E33082"/>
    <w:rsid w:val="00E3315D"/>
    <w:rsid w:val="00E338D4"/>
    <w:rsid w:val="00E353F6"/>
    <w:rsid w:val="00E354DF"/>
    <w:rsid w:val="00E35581"/>
    <w:rsid w:val="00E41921"/>
    <w:rsid w:val="00E42591"/>
    <w:rsid w:val="00E42852"/>
    <w:rsid w:val="00E43320"/>
    <w:rsid w:val="00E446D3"/>
    <w:rsid w:val="00E449AE"/>
    <w:rsid w:val="00E44A02"/>
    <w:rsid w:val="00E44B14"/>
    <w:rsid w:val="00E44B45"/>
    <w:rsid w:val="00E44EC2"/>
    <w:rsid w:val="00E45615"/>
    <w:rsid w:val="00E46062"/>
    <w:rsid w:val="00E4614C"/>
    <w:rsid w:val="00E4637C"/>
    <w:rsid w:val="00E46AE8"/>
    <w:rsid w:val="00E47C5A"/>
    <w:rsid w:val="00E506A9"/>
    <w:rsid w:val="00E513DD"/>
    <w:rsid w:val="00E5157E"/>
    <w:rsid w:val="00E52792"/>
    <w:rsid w:val="00E52A7D"/>
    <w:rsid w:val="00E52BDA"/>
    <w:rsid w:val="00E530FF"/>
    <w:rsid w:val="00E534CF"/>
    <w:rsid w:val="00E538F4"/>
    <w:rsid w:val="00E54BB6"/>
    <w:rsid w:val="00E54C70"/>
    <w:rsid w:val="00E56080"/>
    <w:rsid w:val="00E5724F"/>
    <w:rsid w:val="00E57CF2"/>
    <w:rsid w:val="00E57DBE"/>
    <w:rsid w:val="00E606B7"/>
    <w:rsid w:val="00E60D28"/>
    <w:rsid w:val="00E60D38"/>
    <w:rsid w:val="00E61E92"/>
    <w:rsid w:val="00E624EA"/>
    <w:rsid w:val="00E62FA5"/>
    <w:rsid w:val="00E63E5A"/>
    <w:rsid w:val="00E64559"/>
    <w:rsid w:val="00E652BF"/>
    <w:rsid w:val="00E6549A"/>
    <w:rsid w:val="00E65BDC"/>
    <w:rsid w:val="00E674B3"/>
    <w:rsid w:val="00E67571"/>
    <w:rsid w:val="00E67A9F"/>
    <w:rsid w:val="00E7168A"/>
    <w:rsid w:val="00E71BAA"/>
    <w:rsid w:val="00E71D32"/>
    <w:rsid w:val="00E73529"/>
    <w:rsid w:val="00E74985"/>
    <w:rsid w:val="00E751AC"/>
    <w:rsid w:val="00E806A0"/>
    <w:rsid w:val="00E80DC1"/>
    <w:rsid w:val="00E822B5"/>
    <w:rsid w:val="00E8388C"/>
    <w:rsid w:val="00E84990"/>
    <w:rsid w:val="00E85E70"/>
    <w:rsid w:val="00E86530"/>
    <w:rsid w:val="00E86C4E"/>
    <w:rsid w:val="00E86FE3"/>
    <w:rsid w:val="00E87470"/>
    <w:rsid w:val="00E87D54"/>
    <w:rsid w:val="00E90559"/>
    <w:rsid w:val="00E91946"/>
    <w:rsid w:val="00E91D8E"/>
    <w:rsid w:val="00E91FB2"/>
    <w:rsid w:val="00E929F5"/>
    <w:rsid w:val="00E93A92"/>
    <w:rsid w:val="00E96D4C"/>
    <w:rsid w:val="00E97117"/>
    <w:rsid w:val="00E97EC2"/>
    <w:rsid w:val="00EA0752"/>
    <w:rsid w:val="00EA1B76"/>
    <w:rsid w:val="00EA384F"/>
    <w:rsid w:val="00EA471F"/>
    <w:rsid w:val="00EA4A44"/>
    <w:rsid w:val="00EA60A8"/>
    <w:rsid w:val="00EA71E8"/>
    <w:rsid w:val="00EA7B7C"/>
    <w:rsid w:val="00EB000A"/>
    <w:rsid w:val="00EB137F"/>
    <w:rsid w:val="00EB2450"/>
    <w:rsid w:val="00EB256C"/>
    <w:rsid w:val="00EB373C"/>
    <w:rsid w:val="00EB37BE"/>
    <w:rsid w:val="00EB3874"/>
    <w:rsid w:val="00EB3FEF"/>
    <w:rsid w:val="00EB5BDC"/>
    <w:rsid w:val="00EB5E0B"/>
    <w:rsid w:val="00EB6B06"/>
    <w:rsid w:val="00EB7106"/>
    <w:rsid w:val="00EC0AEA"/>
    <w:rsid w:val="00EC118C"/>
    <w:rsid w:val="00EC208F"/>
    <w:rsid w:val="00EC20E0"/>
    <w:rsid w:val="00EC25D8"/>
    <w:rsid w:val="00EC2917"/>
    <w:rsid w:val="00EC3439"/>
    <w:rsid w:val="00EC4044"/>
    <w:rsid w:val="00EC4691"/>
    <w:rsid w:val="00EC4862"/>
    <w:rsid w:val="00EC4D6D"/>
    <w:rsid w:val="00EC65B7"/>
    <w:rsid w:val="00EC7750"/>
    <w:rsid w:val="00ED17C8"/>
    <w:rsid w:val="00ED19F9"/>
    <w:rsid w:val="00ED2AF3"/>
    <w:rsid w:val="00ED2BE3"/>
    <w:rsid w:val="00ED385B"/>
    <w:rsid w:val="00ED3F1E"/>
    <w:rsid w:val="00ED514A"/>
    <w:rsid w:val="00ED55C6"/>
    <w:rsid w:val="00ED6319"/>
    <w:rsid w:val="00ED6FBF"/>
    <w:rsid w:val="00ED782F"/>
    <w:rsid w:val="00ED7C90"/>
    <w:rsid w:val="00ED7F05"/>
    <w:rsid w:val="00EE0523"/>
    <w:rsid w:val="00EE1284"/>
    <w:rsid w:val="00EE1EB4"/>
    <w:rsid w:val="00EE20E8"/>
    <w:rsid w:val="00EE21FC"/>
    <w:rsid w:val="00EE28AB"/>
    <w:rsid w:val="00EE2E6E"/>
    <w:rsid w:val="00EE2EFB"/>
    <w:rsid w:val="00EE3D3B"/>
    <w:rsid w:val="00EE3EA3"/>
    <w:rsid w:val="00EE431C"/>
    <w:rsid w:val="00EE46C7"/>
    <w:rsid w:val="00EE48C6"/>
    <w:rsid w:val="00EE5170"/>
    <w:rsid w:val="00EE77CE"/>
    <w:rsid w:val="00EE7889"/>
    <w:rsid w:val="00EF1076"/>
    <w:rsid w:val="00EF1415"/>
    <w:rsid w:val="00EF1A72"/>
    <w:rsid w:val="00EF25BC"/>
    <w:rsid w:val="00EF35B3"/>
    <w:rsid w:val="00EF38F6"/>
    <w:rsid w:val="00EF55A4"/>
    <w:rsid w:val="00EF59A6"/>
    <w:rsid w:val="00EF7207"/>
    <w:rsid w:val="00EF73D9"/>
    <w:rsid w:val="00EF751F"/>
    <w:rsid w:val="00EF79B9"/>
    <w:rsid w:val="00F0017D"/>
    <w:rsid w:val="00F01D99"/>
    <w:rsid w:val="00F0207C"/>
    <w:rsid w:val="00F031CF"/>
    <w:rsid w:val="00F0393C"/>
    <w:rsid w:val="00F0435A"/>
    <w:rsid w:val="00F04930"/>
    <w:rsid w:val="00F04D65"/>
    <w:rsid w:val="00F057C7"/>
    <w:rsid w:val="00F059FB"/>
    <w:rsid w:val="00F05E15"/>
    <w:rsid w:val="00F06B20"/>
    <w:rsid w:val="00F0759E"/>
    <w:rsid w:val="00F0763B"/>
    <w:rsid w:val="00F076F4"/>
    <w:rsid w:val="00F077F6"/>
    <w:rsid w:val="00F105E5"/>
    <w:rsid w:val="00F119E7"/>
    <w:rsid w:val="00F11B23"/>
    <w:rsid w:val="00F149D0"/>
    <w:rsid w:val="00F15DE3"/>
    <w:rsid w:val="00F16731"/>
    <w:rsid w:val="00F176D8"/>
    <w:rsid w:val="00F17804"/>
    <w:rsid w:val="00F20106"/>
    <w:rsid w:val="00F20C4E"/>
    <w:rsid w:val="00F212B8"/>
    <w:rsid w:val="00F225AF"/>
    <w:rsid w:val="00F24347"/>
    <w:rsid w:val="00F2456F"/>
    <w:rsid w:val="00F259BF"/>
    <w:rsid w:val="00F26551"/>
    <w:rsid w:val="00F304FA"/>
    <w:rsid w:val="00F30A1E"/>
    <w:rsid w:val="00F314C2"/>
    <w:rsid w:val="00F3163A"/>
    <w:rsid w:val="00F32A72"/>
    <w:rsid w:val="00F33E2F"/>
    <w:rsid w:val="00F33E94"/>
    <w:rsid w:val="00F33F45"/>
    <w:rsid w:val="00F34157"/>
    <w:rsid w:val="00F34194"/>
    <w:rsid w:val="00F35646"/>
    <w:rsid w:val="00F401C3"/>
    <w:rsid w:val="00F40A90"/>
    <w:rsid w:val="00F4135E"/>
    <w:rsid w:val="00F4192E"/>
    <w:rsid w:val="00F41E77"/>
    <w:rsid w:val="00F4201E"/>
    <w:rsid w:val="00F424E7"/>
    <w:rsid w:val="00F429F8"/>
    <w:rsid w:val="00F42F5A"/>
    <w:rsid w:val="00F442DD"/>
    <w:rsid w:val="00F47321"/>
    <w:rsid w:val="00F477CA"/>
    <w:rsid w:val="00F47951"/>
    <w:rsid w:val="00F47BC1"/>
    <w:rsid w:val="00F51E3D"/>
    <w:rsid w:val="00F53D63"/>
    <w:rsid w:val="00F54393"/>
    <w:rsid w:val="00F54BE8"/>
    <w:rsid w:val="00F5695C"/>
    <w:rsid w:val="00F5742C"/>
    <w:rsid w:val="00F57710"/>
    <w:rsid w:val="00F5776A"/>
    <w:rsid w:val="00F57E6A"/>
    <w:rsid w:val="00F60B56"/>
    <w:rsid w:val="00F61319"/>
    <w:rsid w:val="00F61A01"/>
    <w:rsid w:val="00F62149"/>
    <w:rsid w:val="00F622A3"/>
    <w:rsid w:val="00F628E1"/>
    <w:rsid w:val="00F63C7A"/>
    <w:rsid w:val="00F63D53"/>
    <w:rsid w:val="00F63F0F"/>
    <w:rsid w:val="00F64630"/>
    <w:rsid w:val="00F6465E"/>
    <w:rsid w:val="00F646BF"/>
    <w:rsid w:val="00F6568B"/>
    <w:rsid w:val="00F656EA"/>
    <w:rsid w:val="00F65D02"/>
    <w:rsid w:val="00F66398"/>
    <w:rsid w:val="00F6645C"/>
    <w:rsid w:val="00F67F44"/>
    <w:rsid w:val="00F713A3"/>
    <w:rsid w:val="00F71C1E"/>
    <w:rsid w:val="00F72288"/>
    <w:rsid w:val="00F722CA"/>
    <w:rsid w:val="00F72365"/>
    <w:rsid w:val="00F727C7"/>
    <w:rsid w:val="00F72D61"/>
    <w:rsid w:val="00F73531"/>
    <w:rsid w:val="00F7418C"/>
    <w:rsid w:val="00F743E7"/>
    <w:rsid w:val="00F74864"/>
    <w:rsid w:val="00F767B8"/>
    <w:rsid w:val="00F767CA"/>
    <w:rsid w:val="00F76A7D"/>
    <w:rsid w:val="00F77872"/>
    <w:rsid w:val="00F80340"/>
    <w:rsid w:val="00F81C46"/>
    <w:rsid w:val="00F82339"/>
    <w:rsid w:val="00F82FF6"/>
    <w:rsid w:val="00F84530"/>
    <w:rsid w:val="00F85D49"/>
    <w:rsid w:val="00F85D83"/>
    <w:rsid w:val="00F85E27"/>
    <w:rsid w:val="00F864B5"/>
    <w:rsid w:val="00F86A1A"/>
    <w:rsid w:val="00F8701B"/>
    <w:rsid w:val="00F877C9"/>
    <w:rsid w:val="00F907BA"/>
    <w:rsid w:val="00F90FD0"/>
    <w:rsid w:val="00F91D79"/>
    <w:rsid w:val="00F92181"/>
    <w:rsid w:val="00F92735"/>
    <w:rsid w:val="00F92AAF"/>
    <w:rsid w:val="00F930D4"/>
    <w:rsid w:val="00F94DB6"/>
    <w:rsid w:val="00F94FEB"/>
    <w:rsid w:val="00F96337"/>
    <w:rsid w:val="00F96AB7"/>
    <w:rsid w:val="00F96EC0"/>
    <w:rsid w:val="00FA0000"/>
    <w:rsid w:val="00FA08DD"/>
    <w:rsid w:val="00FA0B92"/>
    <w:rsid w:val="00FA0D66"/>
    <w:rsid w:val="00FA1533"/>
    <w:rsid w:val="00FA26F3"/>
    <w:rsid w:val="00FA2779"/>
    <w:rsid w:val="00FA27A4"/>
    <w:rsid w:val="00FA28B5"/>
    <w:rsid w:val="00FA2E6C"/>
    <w:rsid w:val="00FA3038"/>
    <w:rsid w:val="00FA3575"/>
    <w:rsid w:val="00FA605A"/>
    <w:rsid w:val="00FA7786"/>
    <w:rsid w:val="00FB0507"/>
    <w:rsid w:val="00FB087C"/>
    <w:rsid w:val="00FB3762"/>
    <w:rsid w:val="00FB44F1"/>
    <w:rsid w:val="00FB483F"/>
    <w:rsid w:val="00FB52E3"/>
    <w:rsid w:val="00FB5427"/>
    <w:rsid w:val="00FB562A"/>
    <w:rsid w:val="00FB5ECF"/>
    <w:rsid w:val="00FB65FA"/>
    <w:rsid w:val="00FB6D31"/>
    <w:rsid w:val="00FB75BA"/>
    <w:rsid w:val="00FC0400"/>
    <w:rsid w:val="00FC0DDC"/>
    <w:rsid w:val="00FC2450"/>
    <w:rsid w:val="00FC25A3"/>
    <w:rsid w:val="00FC3A23"/>
    <w:rsid w:val="00FC3A71"/>
    <w:rsid w:val="00FC3C5D"/>
    <w:rsid w:val="00FC45B0"/>
    <w:rsid w:val="00FC55A7"/>
    <w:rsid w:val="00FC58EF"/>
    <w:rsid w:val="00FC65B2"/>
    <w:rsid w:val="00FC697D"/>
    <w:rsid w:val="00FD0570"/>
    <w:rsid w:val="00FD1664"/>
    <w:rsid w:val="00FD1876"/>
    <w:rsid w:val="00FD2225"/>
    <w:rsid w:val="00FD2445"/>
    <w:rsid w:val="00FD3F8F"/>
    <w:rsid w:val="00FD51AE"/>
    <w:rsid w:val="00FD5EA1"/>
    <w:rsid w:val="00FE027C"/>
    <w:rsid w:val="00FE0FDD"/>
    <w:rsid w:val="00FE1EBB"/>
    <w:rsid w:val="00FE24A4"/>
    <w:rsid w:val="00FE2EB4"/>
    <w:rsid w:val="00FE51D8"/>
    <w:rsid w:val="00FE553A"/>
    <w:rsid w:val="00FE5B4D"/>
    <w:rsid w:val="00FE5C9B"/>
    <w:rsid w:val="00FE6DC1"/>
    <w:rsid w:val="00FE714F"/>
    <w:rsid w:val="00FE72A8"/>
    <w:rsid w:val="00FF07FD"/>
    <w:rsid w:val="00FF182B"/>
    <w:rsid w:val="00FF1E47"/>
    <w:rsid w:val="00FF28CA"/>
    <w:rsid w:val="00FF355A"/>
    <w:rsid w:val="00FF39C7"/>
    <w:rsid w:val="00FF4A6D"/>
    <w:rsid w:val="00FF54B4"/>
    <w:rsid w:val="00FF60A0"/>
    <w:rsid w:val="00FF692A"/>
    <w:rsid w:val="00FF7392"/>
    <w:rsid w:val="0110846A"/>
    <w:rsid w:val="0131A41C"/>
    <w:rsid w:val="01E2417A"/>
    <w:rsid w:val="01ED77FA"/>
    <w:rsid w:val="02024D3A"/>
    <w:rsid w:val="0212593C"/>
    <w:rsid w:val="021E0151"/>
    <w:rsid w:val="0224057D"/>
    <w:rsid w:val="0225EED7"/>
    <w:rsid w:val="02302A54"/>
    <w:rsid w:val="0244AAC5"/>
    <w:rsid w:val="02620BD1"/>
    <w:rsid w:val="02818C86"/>
    <w:rsid w:val="02E499D2"/>
    <w:rsid w:val="031E1F2E"/>
    <w:rsid w:val="034A1D7C"/>
    <w:rsid w:val="03CFB63B"/>
    <w:rsid w:val="040A0947"/>
    <w:rsid w:val="043474C5"/>
    <w:rsid w:val="0452E583"/>
    <w:rsid w:val="04647395"/>
    <w:rsid w:val="050F273D"/>
    <w:rsid w:val="05424145"/>
    <w:rsid w:val="060EBEA6"/>
    <w:rsid w:val="064FF5B1"/>
    <w:rsid w:val="0652EB09"/>
    <w:rsid w:val="070E68F5"/>
    <w:rsid w:val="07FB19F0"/>
    <w:rsid w:val="0827931E"/>
    <w:rsid w:val="0864578D"/>
    <w:rsid w:val="08C8BE88"/>
    <w:rsid w:val="090491EF"/>
    <w:rsid w:val="09BE79B9"/>
    <w:rsid w:val="09CC28BB"/>
    <w:rsid w:val="0A568D73"/>
    <w:rsid w:val="0B16FB49"/>
    <w:rsid w:val="0B9470AE"/>
    <w:rsid w:val="0BA257AD"/>
    <w:rsid w:val="0BF6B626"/>
    <w:rsid w:val="0C19F6A6"/>
    <w:rsid w:val="0D1A4423"/>
    <w:rsid w:val="0D238E9F"/>
    <w:rsid w:val="0D2410B0"/>
    <w:rsid w:val="0D2E9003"/>
    <w:rsid w:val="0D4FB0D8"/>
    <w:rsid w:val="0E4CD261"/>
    <w:rsid w:val="0E50CC21"/>
    <w:rsid w:val="0E9EA520"/>
    <w:rsid w:val="0EAFE8E0"/>
    <w:rsid w:val="0EFB605B"/>
    <w:rsid w:val="0F2E109C"/>
    <w:rsid w:val="0F350347"/>
    <w:rsid w:val="0FAA63EE"/>
    <w:rsid w:val="0FB04D71"/>
    <w:rsid w:val="0FC667F2"/>
    <w:rsid w:val="0FFFC19C"/>
    <w:rsid w:val="101C7ED8"/>
    <w:rsid w:val="11025B10"/>
    <w:rsid w:val="116C0E94"/>
    <w:rsid w:val="11A9A5A6"/>
    <w:rsid w:val="11B8D0C8"/>
    <w:rsid w:val="1222EA44"/>
    <w:rsid w:val="1240A2CE"/>
    <w:rsid w:val="127A7DCB"/>
    <w:rsid w:val="1316AD37"/>
    <w:rsid w:val="139FE07C"/>
    <w:rsid w:val="13A2D4D9"/>
    <w:rsid w:val="13D99512"/>
    <w:rsid w:val="140E17A5"/>
    <w:rsid w:val="14F26069"/>
    <w:rsid w:val="14FDE255"/>
    <w:rsid w:val="157332CC"/>
    <w:rsid w:val="159EEF63"/>
    <w:rsid w:val="16B4D4A2"/>
    <w:rsid w:val="16DDB238"/>
    <w:rsid w:val="172EA757"/>
    <w:rsid w:val="1778C647"/>
    <w:rsid w:val="178DCA5C"/>
    <w:rsid w:val="17955D0A"/>
    <w:rsid w:val="17C473EE"/>
    <w:rsid w:val="17EAED89"/>
    <w:rsid w:val="187C307A"/>
    <w:rsid w:val="1B2FB61F"/>
    <w:rsid w:val="1B37431B"/>
    <w:rsid w:val="1B63C041"/>
    <w:rsid w:val="1B992C67"/>
    <w:rsid w:val="1C153AE5"/>
    <w:rsid w:val="1C646EE4"/>
    <w:rsid w:val="1C73173A"/>
    <w:rsid w:val="1C9E40FD"/>
    <w:rsid w:val="1CDA8FCD"/>
    <w:rsid w:val="1D4819B9"/>
    <w:rsid w:val="1D4E12CE"/>
    <w:rsid w:val="1D9BF351"/>
    <w:rsid w:val="1E7F9468"/>
    <w:rsid w:val="1EBFE687"/>
    <w:rsid w:val="1ED0E3F5"/>
    <w:rsid w:val="1F486741"/>
    <w:rsid w:val="1FE75F9B"/>
    <w:rsid w:val="200A6929"/>
    <w:rsid w:val="200D6163"/>
    <w:rsid w:val="20347F83"/>
    <w:rsid w:val="20646D14"/>
    <w:rsid w:val="20A4624A"/>
    <w:rsid w:val="20CBD4A7"/>
    <w:rsid w:val="20CD7888"/>
    <w:rsid w:val="20D159AB"/>
    <w:rsid w:val="20D81B4F"/>
    <w:rsid w:val="215889C3"/>
    <w:rsid w:val="21F78749"/>
    <w:rsid w:val="22456AFF"/>
    <w:rsid w:val="226EA970"/>
    <w:rsid w:val="2290A195"/>
    <w:rsid w:val="22918BA6"/>
    <w:rsid w:val="22DB6F5F"/>
    <w:rsid w:val="22E1C190"/>
    <w:rsid w:val="22FF73BE"/>
    <w:rsid w:val="2313C8E4"/>
    <w:rsid w:val="239E65B1"/>
    <w:rsid w:val="23D4590D"/>
    <w:rsid w:val="23DCCBF5"/>
    <w:rsid w:val="23EAB1B3"/>
    <w:rsid w:val="23F7DA82"/>
    <w:rsid w:val="24CDC93A"/>
    <w:rsid w:val="24D2AA49"/>
    <w:rsid w:val="2572A531"/>
    <w:rsid w:val="25789C56"/>
    <w:rsid w:val="25881EF9"/>
    <w:rsid w:val="25B421D8"/>
    <w:rsid w:val="25C4BB68"/>
    <w:rsid w:val="25CCF261"/>
    <w:rsid w:val="25DA88CB"/>
    <w:rsid w:val="25EFB9DA"/>
    <w:rsid w:val="25F965D8"/>
    <w:rsid w:val="26E785EA"/>
    <w:rsid w:val="2721BAFD"/>
    <w:rsid w:val="27981787"/>
    <w:rsid w:val="280A755B"/>
    <w:rsid w:val="282F754D"/>
    <w:rsid w:val="28612B68"/>
    <w:rsid w:val="28A26C74"/>
    <w:rsid w:val="28AF1D3C"/>
    <w:rsid w:val="28BE341B"/>
    <w:rsid w:val="28CED27E"/>
    <w:rsid w:val="2963D8E0"/>
    <w:rsid w:val="29B1F70E"/>
    <w:rsid w:val="2A0EE497"/>
    <w:rsid w:val="2B176A5C"/>
    <w:rsid w:val="2B7FB33D"/>
    <w:rsid w:val="2BD0B5C5"/>
    <w:rsid w:val="2BE60576"/>
    <w:rsid w:val="2BE7DDDA"/>
    <w:rsid w:val="2C300F2E"/>
    <w:rsid w:val="2C4FDFA4"/>
    <w:rsid w:val="2C52604D"/>
    <w:rsid w:val="2CA038D1"/>
    <w:rsid w:val="2CB5FD44"/>
    <w:rsid w:val="2D0A09AD"/>
    <w:rsid w:val="2D2D2683"/>
    <w:rsid w:val="2D3108AE"/>
    <w:rsid w:val="2D334BC8"/>
    <w:rsid w:val="2D485C4E"/>
    <w:rsid w:val="2D83AE3B"/>
    <w:rsid w:val="2D9763EC"/>
    <w:rsid w:val="2E0571F7"/>
    <w:rsid w:val="2E0C720F"/>
    <w:rsid w:val="2E14D486"/>
    <w:rsid w:val="2E33B5B2"/>
    <w:rsid w:val="2E7587A5"/>
    <w:rsid w:val="2E856831"/>
    <w:rsid w:val="2E99008B"/>
    <w:rsid w:val="2EB8E033"/>
    <w:rsid w:val="2F031234"/>
    <w:rsid w:val="2F06FD67"/>
    <w:rsid w:val="2F1F7E9C"/>
    <w:rsid w:val="2F2C683B"/>
    <w:rsid w:val="2FDEBC35"/>
    <w:rsid w:val="2FEF410A"/>
    <w:rsid w:val="3002A21B"/>
    <w:rsid w:val="3006E145"/>
    <w:rsid w:val="301A0410"/>
    <w:rsid w:val="3049BF33"/>
    <w:rsid w:val="304CE8DB"/>
    <w:rsid w:val="30814162"/>
    <w:rsid w:val="30A1C6DF"/>
    <w:rsid w:val="30BB4EFD"/>
    <w:rsid w:val="31769B13"/>
    <w:rsid w:val="31EC7DFF"/>
    <w:rsid w:val="327B9DC3"/>
    <w:rsid w:val="32DCB6B9"/>
    <w:rsid w:val="32E44DB7"/>
    <w:rsid w:val="330C166B"/>
    <w:rsid w:val="3324DA21"/>
    <w:rsid w:val="33D8EB1A"/>
    <w:rsid w:val="343629EE"/>
    <w:rsid w:val="344D227A"/>
    <w:rsid w:val="352F6FB8"/>
    <w:rsid w:val="357477E7"/>
    <w:rsid w:val="358EC020"/>
    <w:rsid w:val="35C51686"/>
    <w:rsid w:val="35EE8C50"/>
    <w:rsid w:val="36695AB6"/>
    <w:rsid w:val="3669BE37"/>
    <w:rsid w:val="36F3E744"/>
    <w:rsid w:val="37025D42"/>
    <w:rsid w:val="370F9F90"/>
    <w:rsid w:val="3713A95E"/>
    <w:rsid w:val="371666E9"/>
    <w:rsid w:val="37EDAD32"/>
    <w:rsid w:val="37F560B6"/>
    <w:rsid w:val="37FD3D91"/>
    <w:rsid w:val="3805C775"/>
    <w:rsid w:val="382C4A77"/>
    <w:rsid w:val="387C1773"/>
    <w:rsid w:val="388CBFFB"/>
    <w:rsid w:val="390D8A51"/>
    <w:rsid w:val="39212B15"/>
    <w:rsid w:val="392D570D"/>
    <w:rsid w:val="396CDF9F"/>
    <w:rsid w:val="3976644D"/>
    <w:rsid w:val="3980BCD6"/>
    <w:rsid w:val="3981ACF8"/>
    <w:rsid w:val="39DF9E59"/>
    <w:rsid w:val="3A22B769"/>
    <w:rsid w:val="3A623143"/>
    <w:rsid w:val="3AB2E2E1"/>
    <w:rsid w:val="3ABD6FE0"/>
    <w:rsid w:val="3AE93461"/>
    <w:rsid w:val="3B26B190"/>
    <w:rsid w:val="3B40A03E"/>
    <w:rsid w:val="3BC537D0"/>
    <w:rsid w:val="3BE252DA"/>
    <w:rsid w:val="3BE878CA"/>
    <w:rsid w:val="3C32BEC1"/>
    <w:rsid w:val="3C4C8E06"/>
    <w:rsid w:val="3C553F07"/>
    <w:rsid w:val="3C9CE0DB"/>
    <w:rsid w:val="3CD0AEB4"/>
    <w:rsid w:val="3D13E934"/>
    <w:rsid w:val="3D625C2D"/>
    <w:rsid w:val="3D6E5315"/>
    <w:rsid w:val="3D8FF127"/>
    <w:rsid w:val="3DC71262"/>
    <w:rsid w:val="3DF3841E"/>
    <w:rsid w:val="3DF3D1EF"/>
    <w:rsid w:val="3E55D078"/>
    <w:rsid w:val="3E9E1536"/>
    <w:rsid w:val="3EA60D3B"/>
    <w:rsid w:val="3EDBC6CB"/>
    <w:rsid w:val="3F51CE9E"/>
    <w:rsid w:val="3F7C9B25"/>
    <w:rsid w:val="400F1D20"/>
    <w:rsid w:val="403ADC9E"/>
    <w:rsid w:val="4044D212"/>
    <w:rsid w:val="409A2FC0"/>
    <w:rsid w:val="409D4561"/>
    <w:rsid w:val="411BDD15"/>
    <w:rsid w:val="41366C76"/>
    <w:rsid w:val="41773936"/>
    <w:rsid w:val="4204B8CC"/>
    <w:rsid w:val="42249279"/>
    <w:rsid w:val="429FD050"/>
    <w:rsid w:val="42D78E13"/>
    <w:rsid w:val="42FAFF2A"/>
    <w:rsid w:val="4306CAA9"/>
    <w:rsid w:val="43474B2C"/>
    <w:rsid w:val="43D90409"/>
    <w:rsid w:val="4506F859"/>
    <w:rsid w:val="450729CC"/>
    <w:rsid w:val="451A2BC3"/>
    <w:rsid w:val="45362625"/>
    <w:rsid w:val="45E56815"/>
    <w:rsid w:val="45F78EC1"/>
    <w:rsid w:val="461A0F07"/>
    <w:rsid w:val="461ECC57"/>
    <w:rsid w:val="46320874"/>
    <w:rsid w:val="464707A3"/>
    <w:rsid w:val="4655F44A"/>
    <w:rsid w:val="46943419"/>
    <w:rsid w:val="46AB84C9"/>
    <w:rsid w:val="46FC4DDD"/>
    <w:rsid w:val="47189251"/>
    <w:rsid w:val="4727F676"/>
    <w:rsid w:val="4754F3F8"/>
    <w:rsid w:val="4769C53C"/>
    <w:rsid w:val="4781BEA9"/>
    <w:rsid w:val="479DA63C"/>
    <w:rsid w:val="47AEEEFC"/>
    <w:rsid w:val="47F3E5EB"/>
    <w:rsid w:val="47FF93A7"/>
    <w:rsid w:val="4813346B"/>
    <w:rsid w:val="482333FD"/>
    <w:rsid w:val="48A4B551"/>
    <w:rsid w:val="48B81AAB"/>
    <w:rsid w:val="48EB9ABE"/>
    <w:rsid w:val="490637DF"/>
    <w:rsid w:val="49163FA9"/>
    <w:rsid w:val="4916D16F"/>
    <w:rsid w:val="4953EE80"/>
    <w:rsid w:val="4988C5E0"/>
    <w:rsid w:val="49D431E3"/>
    <w:rsid w:val="49ED0B4F"/>
    <w:rsid w:val="4A020F64"/>
    <w:rsid w:val="4A32023E"/>
    <w:rsid w:val="4A427B42"/>
    <w:rsid w:val="4A503313"/>
    <w:rsid w:val="4AAAB44A"/>
    <w:rsid w:val="4ACA8CD1"/>
    <w:rsid w:val="4AE15FD9"/>
    <w:rsid w:val="4B227CE6"/>
    <w:rsid w:val="4B22E67A"/>
    <w:rsid w:val="4B52EFA3"/>
    <w:rsid w:val="4BBACBBD"/>
    <w:rsid w:val="4C10E19A"/>
    <w:rsid w:val="4C17CD0A"/>
    <w:rsid w:val="4C65AC79"/>
    <w:rsid w:val="4C7AD83B"/>
    <w:rsid w:val="4C7D303A"/>
    <w:rsid w:val="4D11EE30"/>
    <w:rsid w:val="4D2B1E2C"/>
    <w:rsid w:val="4DC595C0"/>
    <w:rsid w:val="4DCA8E70"/>
    <w:rsid w:val="4DD2E934"/>
    <w:rsid w:val="4EC8FB8F"/>
    <w:rsid w:val="4EE7A30B"/>
    <w:rsid w:val="4F0C7F27"/>
    <w:rsid w:val="4F29D99F"/>
    <w:rsid w:val="4F430317"/>
    <w:rsid w:val="4FAC44EC"/>
    <w:rsid w:val="4FB4D0FC"/>
    <w:rsid w:val="4FD6307C"/>
    <w:rsid w:val="503D8099"/>
    <w:rsid w:val="507F3C8A"/>
    <w:rsid w:val="50A64C3A"/>
    <w:rsid w:val="50E99E4D"/>
    <w:rsid w:val="5188D001"/>
    <w:rsid w:val="51C79DAC"/>
    <w:rsid w:val="51CD872F"/>
    <w:rsid w:val="523C7CAB"/>
    <w:rsid w:val="524A2BAD"/>
    <w:rsid w:val="525EFCF1"/>
    <w:rsid w:val="528F7846"/>
    <w:rsid w:val="529677AF"/>
    <w:rsid w:val="532CB1A0"/>
    <w:rsid w:val="5388A12A"/>
    <w:rsid w:val="53DDECFC"/>
    <w:rsid w:val="53F71559"/>
    <w:rsid w:val="5420FBBB"/>
    <w:rsid w:val="54959160"/>
    <w:rsid w:val="555BBF59"/>
    <w:rsid w:val="55A0B648"/>
    <w:rsid w:val="55A1251D"/>
    <w:rsid w:val="55B7BCC9"/>
    <w:rsid w:val="55BA7F54"/>
    <w:rsid w:val="55CDB3CA"/>
    <w:rsid w:val="55E2850E"/>
    <w:rsid w:val="55F33850"/>
    <w:rsid w:val="563663BE"/>
    <w:rsid w:val="564E8FFC"/>
    <w:rsid w:val="5673FAD0"/>
    <w:rsid w:val="56B25ABA"/>
    <w:rsid w:val="56BC53E7"/>
    <w:rsid w:val="56C82F72"/>
    <w:rsid w:val="57062364"/>
    <w:rsid w:val="5737C603"/>
    <w:rsid w:val="57A757DD"/>
    <w:rsid w:val="57E95974"/>
    <w:rsid w:val="57F30C67"/>
    <w:rsid w:val="5820A161"/>
    <w:rsid w:val="5846B796"/>
    <w:rsid w:val="584DD1B4"/>
    <w:rsid w:val="5863FFD3"/>
    <w:rsid w:val="5865CB21"/>
    <w:rsid w:val="588084D4"/>
    <w:rsid w:val="58B15E1F"/>
    <w:rsid w:val="58C97918"/>
    <w:rsid w:val="58F60EBB"/>
    <w:rsid w:val="5906B89D"/>
    <w:rsid w:val="5910EEC7"/>
    <w:rsid w:val="59301EF2"/>
    <w:rsid w:val="59344F06"/>
    <w:rsid w:val="59685394"/>
    <w:rsid w:val="599ADC83"/>
    <w:rsid w:val="5A4700E7"/>
    <w:rsid w:val="5A6EE5BB"/>
    <w:rsid w:val="5A8170CB"/>
    <w:rsid w:val="5AD1E744"/>
    <w:rsid w:val="5AFAC4CB"/>
    <w:rsid w:val="5AFDE278"/>
    <w:rsid w:val="5B1A1438"/>
    <w:rsid w:val="5B6C3CDA"/>
    <w:rsid w:val="5C12D535"/>
    <w:rsid w:val="5C43AE03"/>
    <w:rsid w:val="5C9C38B1"/>
    <w:rsid w:val="5D0E5AE4"/>
    <w:rsid w:val="5D2875BE"/>
    <w:rsid w:val="5D361EE5"/>
    <w:rsid w:val="5DC25FD9"/>
    <w:rsid w:val="5DF04ADB"/>
    <w:rsid w:val="5E097093"/>
    <w:rsid w:val="5E90BEE3"/>
    <w:rsid w:val="5F15BDC0"/>
    <w:rsid w:val="5F8E918F"/>
    <w:rsid w:val="5F973FD8"/>
    <w:rsid w:val="5FBCA156"/>
    <w:rsid w:val="5FC0B478"/>
    <w:rsid w:val="60526202"/>
    <w:rsid w:val="607B149A"/>
    <w:rsid w:val="60D59861"/>
    <w:rsid w:val="61393BDB"/>
    <w:rsid w:val="627168C2"/>
    <w:rsid w:val="62BC45B0"/>
    <w:rsid w:val="63411BF6"/>
    <w:rsid w:val="63878183"/>
    <w:rsid w:val="6396E819"/>
    <w:rsid w:val="6398E1D6"/>
    <w:rsid w:val="640D3923"/>
    <w:rsid w:val="6427EA10"/>
    <w:rsid w:val="6434FDE7"/>
    <w:rsid w:val="648E4583"/>
    <w:rsid w:val="64A03BCF"/>
    <w:rsid w:val="64D7B68D"/>
    <w:rsid w:val="64F934F4"/>
    <w:rsid w:val="6534B237"/>
    <w:rsid w:val="65AD95F4"/>
    <w:rsid w:val="66081E42"/>
    <w:rsid w:val="6610E320"/>
    <w:rsid w:val="662493BA"/>
    <w:rsid w:val="6628FB73"/>
    <w:rsid w:val="6690B1B5"/>
    <w:rsid w:val="66B18D71"/>
    <w:rsid w:val="67277CF6"/>
    <w:rsid w:val="673885F7"/>
    <w:rsid w:val="6755D753"/>
    <w:rsid w:val="67AC743B"/>
    <w:rsid w:val="68463A95"/>
    <w:rsid w:val="6929D866"/>
    <w:rsid w:val="692C49CC"/>
    <w:rsid w:val="69FD9EA8"/>
    <w:rsid w:val="6A5550FB"/>
    <w:rsid w:val="6B654A72"/>
    <w:rsid w:val="6B7FEDE5"/>
    <w:rsid w:val="6B989C02"/>
    <w:rsid w:val="6B9ED94B"/>
    <w:rsid w:val="6BB698B9"/>
    <w:rsid w:val="6BCDDDD8"/>
    <w:rsid w:val="6C584DE6"/>
    <w:rsid w:val="6CADAB94"/>
    <w:rsid w:val="6CEED103"/>
    <w:rsid w:val="6D39DC10"/>
    <w:rsid w:val="6D7B6837"/>
    <w:rsid w:val="6D8FAC4F"/>
    <w:rsid w:val="6DC518D7"/>
    <w:rsid w:val="6DC5E70B"/>
    <w:rsid w:val="6E0DCD1A"/>
    <w:rsid w:val="6E19F88C"/>
    <w:rsid w:val="6E340D58"/>
    <w:rsid w:val="6E73E1B4"/>
    <w:rsid w:val="6E81F884"/>
    <w:rsid w:val="6EFE17EB"/>
    <w:rsid w:val="6EFE1ABA"/>
    <w:rsid w:val="6F3FC7A9"/>
    <w:rsid w:val="6F4FAED1"/>
    <w:rsid w:val="6FA390CE"/>
    <w:rsid w:val="70115E03"/>
    <w:rsid w:val="70316682"/>
    <w:rsid w:val="703958BF"/>
    <w:rsid w:val="70403116"/>
    <w:rsid w:val="70717D7D"/>
    <w:rsid w:val="70BFF874"/>
    <w:rsid w:val="70DCEE03"/>
    <w:rsid w:val="7104ED15"/>
    <w:rsid w:val="71154F64"/>
    <w:rsid w:val="716BAE1A"/>
    <w:rsid w:val="7177A5C8"/>
    <w:rsid w:val="7180526E"/>
    <w:rsid w:val="71BB966A"/>
    <w:rsid w:val="71D49624"/>
    <w:rsid w:val="7245CA9A"/>
    <w:rsid w:val="726E642F"/>
    <w:rsid w:val="7293D7F5"/>
    <w:rsid w:val="72CD0927"/>
    <w:rsid w:val="72F4E7C4"/>
    <w:rsid w:val="733FDCCF"/>
    <w:rsid w:val="7350438E"/>
    <w:rsid w:val="73CAC630"/>
    <w:rsid w:val="73D1B31B"/>
    <w:rsid w:val="73D95DE0"/>
    <w:rsid w:val="7471D3FE"/>
    <w:rsid w:val="747CBB53"/>
    <w:rsid w:val="749FA767"/>
    <w:rsid w:val="7537E132"/>
    <w:rsid w:val="756B2781"/>
    <w:rsid w:val="76242998"/>
    <w:rsid w:val="7628ACA4"/>
    <w:rsid w:val="77AA6B2D"/>
    <w:rsid w:val="77B12291"/>
    <w:rsid w:val="788D9D02"/>
    <w:rsid w:val="792F3E40"/>
    <w:rsid w:val="798455ED"/>
    <w:rsid w:val="798879C5"/>
    <w:rsid w:val="79A0A603"/>
    <w:rsid w:val="79BDDD84"/>
    <w:rsid w:val="7A68D4D2"/>
    <w:rsid w:val="7AF96DE4"/>
    <w:rsid w:val="7B533617"/>
    <w:rsid w:val="7B5DCEAD"/>
    <w:rsid w:val="7C2643E3"/>
    <w:rsid w:val="7C595DEB"/>
    <w:rsid w:val="7C60FBFA"/>
    <w:rsid w:val="7C83D09D"/>
    <w:rsid w:val="7CCB0857"/>
    <w:rsid w:val="7D046EC7"/>
    <w:rsid w:val="7DDB1980"/>
    <w:rsid w:val="7DF96B45"/>
    <w:rsid w:val="7E21A36A"/>
    <w:rsid w:val="7E2A23EC"/>
    <w:rsid w:val="7E4FF87F"/>
    <w:rsid w:val="7E8BB16C"/>
    <w:rsid w:val="7E9FECE9"/>
    <w:rsid w:val="7ED6F8D0"/>
    <w:rsid w:val="7EEE4E14"/>
    <w:rsid w:val="7F2E30E5"/>
    <w:rsid w:val="7FF848F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9DF5728"/>
  <w15:docId w15:val="{E3A6A674-D5AC-43DE-A18E-BC4AA602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qFormat/>
    <w:pPr>
      <w:keepNext/>
      <w:jc w:val="center"/>
      <w:outlineLvl w:val="0"/>
    </w:pPr>
    <w:rPr>
      <w:rFonts w:ascii="CG Times" w:hAnsi="CG Times"/>
      <w:b/>
      <w:szCs w:val="20"/>
      <w:lang w:val="es-CO"/>
    </w:rPr>
  </w:style>
  <w:style w:type="paragraph" w:styleId="Ttulo3">
    <w:name w:val="heading 3"/>
    <w:basedOn w:val="Normal"/>
    <w:next w:val="Normal"/>
    <w:link w:val="Ttulo3Car"/>
    <w:qFormat/>
    <w:pPr>
      <w:keepNext/>
      <w:jc w:val="center"/>
      <w:outlineLvl w:val="2"/>
    </w:pPr>
    <w:rPr>
      <w:rFonts w:ascii="CG Times" w:hAnsi="CG Times"/>
      <w:b/>
      <w:snapToGrid w:val="0"/>
      <w:color w:val="000000"/>
      <w:szCs w:val="20"/>
      <w:lang w:val="es-ES_tradnl" w:eastAsia="x-none"/>
    </w:rPr>
  </w:style>
  <w:style w:type="paragraph" w:styleId="Ttulo4">
    <w:name w:val="heading 4"/>
    <w:basedOn w:val="Normal"/>
    <w:next w:val="Normal"/>
    <w:link w:val="Ttulo4Car"/>
    <w:qFormat/>
    <w:pPr>
      <w:keepNext/>
      <w:jc w:val="center"/>
      <w:outlineLvl w:val="3"/>
    </w:pPr>
    <w:rPr>
      <w:rFonts w:ascii="Arial" w:hAnsi="Arial"/>
      <w:b/>
      <w:snapToGrid w:val="0"/>
      <w:color w:val="000000"/>
      <w:spacing w:val="20"/>
      <w:sz w:val="20"/>
      <w:szCs w:val="20"/>
      <w:lang w:val="es-ES_tradnl" w:eastAsia="x-none"/>
    </w:rPr>
  </w:style>
  <w:style w:type="paragraph" w:styleId="Ttulo5">
    <w:name w:val="heading 5"/>
    <w:basedOn w:val="Normal"/>
    <w:next w:val="Normal"/>
    <w:link w:val="Ttulo5Car"/>
    <w:qFormat/>
    <w:pPr>
      <w:keepNext/>
      <w:jc w:val="center"/>
      <w:outlineLvl w:val="4"/>
    </w:pPr>
    <w:rPr>
      <w:rFonts w:ascii="Arial" w:hAnsi="Arial"/>
      <w:b/>
      <w:snapToGrid w:val="0"/>
      <w:color w:val="000000"/>
      <w:spacing w:val="20"/>
      <w:sz w:val="28"/>
      <w:szCs w:val="20"/>
      <w:lang w:val="es-ES_tradnl" w:eastAsia="x-none"/>
    </w:rPr>
  </w:style>
  <w:style w:type="paragraph" w:styleId="Ttulo6">
    <w:name w:val="heading 6"/>
    <w:basedOn w:val="Normal"/>
    <w:next w:val="Normal"/>
    <w:link w:val="Ttulo6Car"/>
    <w:uiPriority w:val="9"/>
    <w:semiHidden/>
    <w:unhideWhenUsed/>
    <w:qFormat/>
    <w:rsid w:val="00795BFB"/>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CG Times" w:hAnsi="CG Times"/>
      <w:szCs w:val="20"/>
      <w:lang w:val="es-CO" w:eastAsia="x-none"/>
    </w:rPr>
  </w:style>
  <w:style w:type="paragraph" w:styleId="Piedepgina">
    <w:name w:val="footer"/>
    <w:basedOn w:val="Normal"/>
    <w:semiHidden/>
    <w:pPr>
      <w:tabs>
        <w:tab w:val="center" w:pos="4252"/>
        <w:tab w:val="right" w:pos="8504"/>
      </w:tabs>
    </w:pPr>
  </w:style>
  <w:style w:type="paragraph" w:customStyle="1" w:styleId="Estilo1">
    <w:name w:val="Estilo1"/>
    <w:basedOn w:val="Normal"/>
    <w:pPr>
      <w:shd w:val="clear" w:color="auto" w:fill="C0C0C0"/>
      <w:jc w:val="center"/>
    </w:pPr>
    <w:rPr>
      <w:rFonts w:ascii="Comic Sans MS" w:hAnsi="Comic Sans MS"/>
      <w:color w:val="0000FF"/>
      <w:sz w:val="36"/>
      <w:szCs w:val="20"/>
      <w:lang w:val="es-C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style>
  <w:style w:type="paragraph" w:styleId="Textoindependiente">
    <w:name w:val="Body Text"/>
    <w:basedOn w:val="Normal"/>
    <w:link w:val="TextoindependienteCar"/>
    <w:semiHidden/>
    <w:pPr>
      <w:jc w:val="center"/>
    </w:pPr>
    <w:rPr>
      <w:rFonts w:ascii="Arial" w:hAnsi="Arial"/>
      <w:b/>
      <w:bCs/>
      <w:lang w:val="x-none" w:eastAsia="x-none"/>
    </w:rPr>
  </w:style>
  <w:style w:type="paragraph" w:styleId="Textoindependiente3">
    <w:name w:val="Body Text 3"/>
    <w:basedOn w:val="Normal"/>
    <w:link w:val="Textoindependiente3Car"/>
    <w:semiHidden/>
    <w:pPr>
      <w:jc w:val="center"/>
      <w:outlineLvl w:val="0"/>
    </w:pPr>
    <w:rPr>
      <w:rFonts w:ascii="Arial" w:hAnsi="Arial"/>
      <w:b/>
      <w:bCs/>
      <w:spacing w:val="-3"/>
      <w:lang w:val="x-none" w:eastAsia="x-none"/>
    </w:rPr>
  </w:style>
  <w:style w:type="paragraph" w:styleId="Textodeglobo">
    <w:name w:val="Balloon Text"/>
    <w:basedOn w:val="Normal"/>
    <w:link w:val="TextodegloboCar"/>
    <w:semiHidden/>
    <w:unhideWhenUsed/>
    <w:rsid w:val="00725FA4"/>
    <w:rPr>
      <w:rFonts w:ascii="Tahoma" w:hAnsi="Tahoma"/>
      <w:sz w:val="16"/>
      <w:szCs w:val="16"/>
      <w:lang w:val="x-none" w:eastAsia="x-none"/>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link w:val="Ttulo3"/>
    <w:rsid w:val="00141013"/>
    <w:rPr>
      <w:rFonts w:ascii="CG Times" w:hAnsi="CG Times"/>
      <w:b/>
      <w:snapToGrid w:val="0"/>
      <w:color w:val="000000"/>
      <w:sz w:val="24"/>
      <w:lang w:val="es-ES_tradnl"/>
    </w:rPr>
  </w:style>
  <w:style w:type="character" w:customStyle="1" w:styleId="Ttulo4Car">
    <w:name w:val="Título 4 Car"/>
    <w:link w:val="Ttulo4"/>
    <w:rsid w:val="00141013"/>
    <w:rPr>
      <w:rFonts w:ascii="Arial" w:hAnsi="Arial" w:cs="Arial"/>
      <w:b/>
      <w:snapToGrid w:val="0"/>
      <w:color w:val="000000"/>
      <w:spacing w:val="20"/>
      <w:lang w:val="es-ES_tradnl"/>
    </w:rPr>
  </w:style>
  <w:style w:type="character" w:customStyle="1" w:styleId="Ttulo5Car">
    <w:name w:val="Título 5 Car"/>
    <w:link w:val="Ttulo5"/>
    <w:rsid w:val="00141013"/>
    <w:rPr>
      <w:rFonts w:ascii="Arial" w:hAnsi="Arial" w:cs="Arial"/>
      <w:b/>
      <w:snapToGrid w:val="0"/>
      <w:color w:val="000000"/>
      <w:spacing w:val="20"/>
      <w:sz w:val="28"/>
      <w:lang w:val="es-ES_tradnl"/>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uiPriority w:val="9"/>
    <w:semiHidden/>
    <w:rsid w:val="00795BFB"/>
    <w:rPr>
      <w:rFonts w:ascii="Calibri" w:eastAsia="Times New Roman" w:hAnsi="Calibri" w:cs="Times New Roman"/>
      <w:b/>
      <w:bCs/>
      <w:sz w:val="22"/>
      <w:szCs w:val="22"/>
    </w:rPr>
  </w:style>
  <w:style w:type="paragraph" w:styleId="Ttulo">
    <w:name w:val="Title"/>
    <w:basedOn w:val="Normal"/>
    <w:link w:val="TtuloCar"/>
    <w:qFormat/>
    <w:rsid w:val="00795BFB"/>
    <w:pPr>
      <w:widowControl w:val="0"/>
      <w:adjustRightInd w:val="0"/>
      <w:spacing w:line="360" w:lineRule="atLeast"/>
      <w:jc w:val="center"/>
      <w:textAlignment w:val="baseline"/>
    </w:pPr>
    <w:rPr>
      <w:rFonts w:ascii="Arial" w:hAnsi="Arial"/>
      <w:b/>
      <w:bCs/>
      <w:lang w:val="x-none" w:eastAsia="x-none"/>
    </w:rPr>
  </w:style>
  <w:style w:type="character" w:customStyle="1" w:styleId="TtuloCar">
    <w:name w:val="Título Car"/>
    <w:link w:val="Ttulo"/>
    <w:rsid w:val="00795BFB"/>
    <w:rPr>
      <w:rFonts w:ascii="Arial" w:hAnsi="Arial" w:cs="Arial"/>
      <w:b/>
      <w:bCs/>
      <w:sz w:val="24"/>
      <w:szCs w:val="24"/>
    </w:rPr>
  </w:style>
  <w:style w:type="paragraph" w:styleId="Prrafodelista">
    <w:name w:val="List Paragraph"/>
    <w:basedOn w:val="Normal"/>
    <w:link w:val="PrrafodelistaCar"/>
    <w:uiPriority w:val="34"/>
    <w:qFormat/>
    <w:rsid w:val="001405C6"/>
    <w:pPr>
      <w:ind w:left="708"/>
    </w:pPr>
    <w:rPr>
      <w:sz w:val="20"/>
      <w:szCs w:val="20"/>
      <w:lang w:val="es-CO" w:eastAsia="x-none"/>
    </w:rPr>
  </w:style>
  <w:style w:type="character" w:customStyle="1" w:styleId="PrrafodelistaCar">
    <w:name w:val="Párrafo de lista Car"/>
    <w:link w:val="Prrafodelista"/>
    <w:rsid w:val="001405C6"/>
    <w:rPr>
      <w:lang w:val="es-CO"/>
    </w:rPr>
  </w:style>
  <w:style w:type="paragraph" w:styleId="TDC1">
    <w:name w:val="toc 1"/>
    <w:basedOn w:val="Normal"/>
    <w:next w:val="Normal"/>
    <w:autoRedefine/>
    <w:semiHidden/>
    <w:rsid w:val="00D03800"/>
    <w:pPr>
      <w:tabs>
        <w:tab w:val="left" w:pos="480"/>
        <w:tab w:val="right" w:leader="dot" w:pos="8828"/>
      </w:tabs>
      <w:spacing w:before="120"/>
      <w:jc w:val="both"/>
    </w:pPr>
    <w:rPr>
      <w:rFonts w:ascii="Arial" w:hAnsi="Arial"/>
      <w:noProof/>
    </w:rPr>
  </w:style>
  <w:style w:type="paragraph" w:styleId="Textodebloque">
    <w:name w:val="Block Text"/>
    <w:basedOn w:val="Normal"/>
    <w:semiHidden/>
    <w:rsid w:val="00D03800"/>
    <w:pPr>
      <w:suppressAutoHyphens/>
      <w:spacing w:after="240"/>
      <w:ind w:left="567" w:right="788"/>
      <w:jc w:val="both"/>
    </w:pPr>
    <w:rPr>
      <w:rFonts w:ascii="Arial" w:hAnsi="Arial"/>
      <w:spacing w:val="-3"/>
      <w:szCs w:val="20"/>
      <w:lang w:val="es-ES_tradnl"/>
    </w:rPr>
  </w:style>
  <w:style w:type="paragraph" w:styleId="Textoindependiente2">
    <w:name w:val="Body Text 2"/>
    <w:basedOn w:val="Normal"/>
    <w:link w:val="Textoindependiente2Car"/>
    <w:uiPriority w:val="99"/>
    <w:unhideWhenUsed/>
    <w:rsid w:val="00DE4BF8"/>
    <w:pPr>
      <w:spacing w:after="120" w:line="480" w:lineRule="auto"/>
    </w:pPr>
    <w:rPr>
      <w:lang w:val="x-none" w:eastAsia="x-none"/>
    </w:rPr>
  </w:style>
  <w:style w:type="character" w:customStyle="1" w:styleId="Textoindependiente2Car">
    <w:name w:val="Texto independiente 2 Car"/>
    <w:link w:val="Textoindependiente2"/>
    <w:uiPriority w:val="99"/>
    <w:rsid w:val="00DE4BF8"/>
    <w:rPr>
      <w:sz w:val="24"/>
      <w:szCs w:val="24"/>
    </w:rPr>
  </w:style>
  <w:style w:type="paragraph" w:customStyle="1" w:styleId="Textoindependiente21">
    <w:name w:val="Texto independiente 21"/>
    <w:basedOn w:val="Normal"/>
    <w:rsid w:val="00DE4BF8"/>
    <w:pPr>
      <w:overflowPunct w:val="0"/>
      <w:autoSpaceDE w:val="0"/>
      <w:autoSpaceDN w:val="0"/>
      <w:adjustRightInd w:val="0"/>
      <w:jc w:val="both"/>
      <w:textAlignment w:val="baseline"/>
    </w:pPr>
    <w:rPr>
      <w:rFonts w:ascii="Arial" w:hAnsi="Arial"/>
      <w:sz w:val="22"/>
      <w:szCs w:val="20"/>
      <w:lang w:val="es-ES_tradnl"/>
    </w:rPr>
  </w:style>
  <w:style w:type="character" w:styleId="Refdecomentario">
    <w:name w:val="annotation reference"/>
    <w:semiHidden/>
    <w:rsid w:val="00404E84"/>
    <w:rPr>
      <w:sz w:val="16"/>
    </w:rPr>
  </w:style>
  <w:style w:type="paragraph" w:styleId="Textocomentario">
    <w:name w:val="annotation text"/>
    <w:basedOn w:val="Normal"/>
    <w:link w:val="TextocomentarioCar"/>
    <w:semiHidden/>
    <w:rsid w:val="00404E84"/>
    <w:rPr>
      <w:rFonts w:ascii="CG Times" w:hAnsi="CG Times"/>
      <w:sz w:val="20"/>
      <w:szCs w:val="20"/>
      <w:lang w:val="x-none"/>
    </w:rPr>
  </w:style>
  <w:style w:type="character" w:customStyle="1" w:styleId="TextocomentarioCar">
    <w:name w:val="Texto comentario Car"/>
    <w:link w:val="Textocomentario"/>
    <w:semiHidden/>
    <w:rsid w:val="00404E84"/>
    <w:rPr>
      <w:rFonts w:ascii="CG Times" w:hAnsi="CG Times"/>
      <w:lang w:eastAsia="es-ES"/>
    </w:rPr>
  </w:style>
  <w:style w:type="paragraph" w:styleId="Asuntodelcomentario">
    <w:name w:val="annotation subject"/>
    <w:basedOn w:val="Textocomentario"/>
    <w:next w:val="Textocomentario"/>
    <w:link w:val="AsuntodelcomentarioCar"/>
    <w:uiPriority w:val="99"/>
    <w:semiHidden/>
    <w:unhideWhenUsed/>
    <w:rsid w:val="00D57F49"/>
    <w:rPr>
      <w:rFonts w:ascii="Times New Roman" w:hAnsi="Times New Roman"/>
      <w:b/>
      <w:bCs/>
      <w:lang w:val="es-ES"/>
    </w:rPr>
  </w:style>
  <w:style w:type="character" w:customStyle="1" w:styleId="AsuntodelcomentarioCar">
    <w:name w:val="Asunto del comentario Car"/>
    <w:link w:val="Asuntodelcomentario"/>
    <w:uiPriority w:val="99"/>
    <w:semiHidden/>
    <w:rsid w:val="00D57F49"/>
    <w:rPr>
      <w:rFonts w:ascii="CG Times" w:hAnsi="CG Times"/>
      <w:b/>
      <w:bCs/>
      <w:lang w:val="es-ES" w:eastAsia="es-ES"/>
    </w:rPr>
  </w:style>
  <w:style w:type="paragraph" w:customStyle="1" w:styleId="Textoindependiente22">
    <w:name w:val="Texto independiente 22"/>
    <w:basedOn w:val="Normal"/>
    <w:rsid w:val="005878BF"/>
    <w:pPr>
      <w:overflowPunct w:val="0"/>
      <w:autoSpaceDE w:val="0"/>
      <w:autoSpaceDN w:val="0"/>
      <w:adjustRightInd w:val="0"/>
      <w:jc w:val="both"/>
      <w:textAlignment w:val="baseline"/>
    </w:pPr>
    <w:rPr>
      <w:rFonts w:ascii="Arial" w:hAnsi="Arial"/>
      <w:sz w:val="22"/>
      <w:szCs w:val="20"/>
      <w:lang w:val="es-ES_tradnl"/>
    </w:rPr>
  </w:style>
  <w:style w:type="paragraph" w:styleId="Textonotapie">
    <w:name w:val="footnote text"/>
    <w:basedOn w:val="Normal"/>
    <w:link w:val="TextonotapieCar"/>
    <w:semiHidden/>
    <w:rsid w:val="007F0FF2"/>
    <w:pPr>
      <w:overflowPunct w:val="0"/>
      <w:autoSpaceDE w:val="0"/>
      <w:autoSpaceDN w:val="0"/>
      <w:adjustRightInd w:val="0"/>
      <w:jc w:val="both"/>
      <w:textAlignment w:val="baseline"/>
    </w:pPr>
    <w:rPr>
      <w:rFonts w:ascii="Arial" w:hAnsi="Arial"/>
      <w:sz w:val="20"/>
      <w:szCs w:val="20"/>
      <w:lang w:val="es-ES_tradnl"/>
    </w:rPr>
  </w:style>
  <w:style w:type="character" w:customStyle="1" w:styleId="TextonotapieCar">
    <w:name w:val="Texto nota pie Car"/>
    <w:link w:val="Textonotapie"/>
    <w:semiHidden/>
    <w:rsid w:val="007F0FF2"/>
    <w:rPr>
      <w:rFonts w:ascii="Arial" w:hAnsi="Arial"/>
      <w:lang w:val="es-ES_tradnl" w:eastAsia="es-ES"/>
    </w:rPr>
  </w:style>
  <w:style w:type="character" w:styleId="Refdenotaalpie">
    <w:name w:val="footnote reference"/>
    <w:uiPriority w:val="99"/>
    <w:semiHidden/>
    <w:rsid w:val="007F0FF2"/>
    <w:rPr>
      <w:vertAlign w:val="superscript"/>
    </w:rPr>
  </w:style>
  <w:style w:type="paragraph" w:styleId="Descripcin">
    <w:name w:val="caption"/>
    <w:basedOn w:val="Normal"/>
    <w:next w:val="Normal"/>
    <w:qFormat/>
    <w:rsid w:val="00B213F2"/>
    <w:pPr>
      <w:overflowPunct w:val="0"/>
      <w:autoSpaceDE w:val="0"/>
      <w:autoSpaceDN w:val="0"/>
      <w:adjustRightInd w:val="0"/>
      <w:spacing w:before="120" w:after="120"/>
      <w:jc w:val="both"/>
      <w:textAlignment w:val="baseline"/>
    </w:pPr>
    <w:rPr>
      <w:rFonts w:ascii="Arial Narrow" w:hAnsi="Arial Narrow"/>
      <w:b/>
      <w:bCs/>
      <w:sz w:val="20"/>
      <w:szCs w:val="20"/>
      <w:lang w:val="es-ES_tradnl"/>
    </w:rPr>
  </w:style>
  <w:style w:type="character" w:customStyle="1" w:styleId="CharStyle9">
    <w:name w:val="Char Style 9"/>
    <w:link w:val="Style2"/>
    <w:uiPriority w:val="99"/>
    <w:locked/>
    <w:rsid w:val="00270541"/>
    <w:rPr>
      <w:rFonts w:ascii="Arial" w:hAnsi="Arial" w:cs="Arial"/>
      <w:sz w:val="14"/>
      <w:szCs w:val="14"/>
      <w:shd w:val="clear" w:color="auto" w:fill="FFFFFF"/>
      <w:lang w:val="es-ES"/>
    </w:rPr>
  </w:style>
  <w:style w:type="paragraph" w:customStyle="1" w:styleId="Style2">
    <w:name w:val="Style 2"/>
    <w:basedOn w:val="Normal"/>
    <w:link w:val="CharStyle9"/>
    <w:uiPriority w:val="99"/>
    <w:rsid w:val="00270541"/>
    <w:pPr>
      <w:widowControl w:val="0"/>
      <w:shd w:val="clear" w:color="auto" w:fill="FFFFFF"/>
      <w:spacing w:before="120" w:line="240" w:lineRule="atLeast"/>
      <w:ind w:hanging="1420"/>
    </w:pPr>
    <w:rPr>
      <w:rFonts w:ascii="Arial" w:hAnsi="Arial" w:cs="Arial"/>
      <w:sz w:val="14"/>
      <w:szCs w:val="14"/>
      <w:lang w:eastAsia="es-CO"/>
    </w:rPr>
  </w:style>
  <w:style w:type="paragraph" w:styleId="NormalWeb">
    <w:name w:val="Normal (Web)"/>
    <w:basedOn w:val="Normal"/>
    <w:uiPriority w:val="99"/>
    <w:rsid w:val="0047432C"/>
    <w:pPr>
      <w:jc w:val="both"/>
    </w:pPr>
    <w:rPr>
      <w:spacing w:val="-5"/>
      <w:lang w:val="es-CO" w:eastAsia="en-US"/>
    </w:rPr>
  </w:style>
  <w:style w:type="paragraph" w:customStyle="1" w:styleId="Default">
    <w:name w:val="Default"/>
    <w:rsid w:val="0047432C"/>
    <w:pPr>
      <w:autoSpaceDE w:val="0"/>
      <w:autoSpaceDN w:val="0"/>
      <w:adjustRightInd w:val="0"/>
    </w:pPr>
    <w:rPr>
      <w:rFonts w:ascii="Arial" w:eastAsia="SimSun" w:hAnsi="Arial" w:cs="Arial"/>
      <w:color w:val="000000"/>
      <w:sz w:val="24"/>
      <w:szCs w:val="24"/>
    </w:rPr>
  </w:style>
  <w:style w:type="paragraph" w:customStyle="1" w:styleId="xl27">
    <w:name w:val="xl27"/>
    <w:basedOn w:val="Normal"/>
    <w:rsid w:val="00D02A10"/>
    <w:pPr>
      <w:spacing w:before="100" w:after="100"/>
      <w:jc w:val="both"/>
    </w:pPr>
    <w:rPr>
      <w:rFonts w:ascii="Bookman Old Style" w:eastAsia="Arial Unicode MS" w:hAnsi="Bookman Old Style"/>
      <w:szCs w:val="20"/>
    </w:rPr>
  </w:style>
  <w:style w:type="character" w:customStyle="1" w:styleId="apple-converted-space">
    <w:name w:val="apple-converted-space"/>
    <w:basedOn w:val="Fuentedeprrafopredeter"/>
    <w:rsid w:val="00CE09DF"/>
  </w:style>
  <w:style w:type="character" w:styleId="Textodelmarcadordeposicin">
    <w:name w:val="Placeholder Text"/>
    <w:basedOn w:val="Fuentedeprrafopredeter"/>
    <w:uiPriority w:val="99"/>
    <w:semiHidden/>
    <w:rsid w:val="00AF1D01"/>
    <w:rPr>
      <w:color w:val="808080"/>
    </w:rPr>
  </w:style>
  <w:style w:type="paragraph" w:customStyle="1" w:styleId="Pliego-Normal">
    <w:name w:val="Pliego-Normal"/>
    <w:basedOn w:val="Normal"/>
    <w:rsid w:val="007D3224"/>
    <w:pPr>
      <w:widowControl w:val="0"/>
      <w:adjustRightInd w:val="0"/>
      <w:spacing w:line="360" w:lineRule="atLeast"/>
      <w:jc w:val="both"/>
      <w:textAlignment w:val="baseline"/>
    </w:pPr>
    <w:rPr>
      <w:rFonts w:ascii="Garamond" w:hAnsi="Garamond"/>
      <w:bCs/>
      <w:sz w:val="22"/>
      <w:szCs w:val="20"/>
      <w:lang w:val="es-ES_tradnl"/>
    </w:rPr>
  </w:style>
  <w:style w:type="paragraph" w:styleId="Revisin">
    <w:name w:val="Revision"/>
    <w:hidden/>
    <w:uiPriority w:val="99"/>
    <w:semiHidden/>
    <w:rsid w:val="005E673E"/>
    <w:rPr>
      <w:sz w:val="24"/>
      <w:szCs w:val="24"/>
      <w:lang w:val="es-ES" w:eastAsia="es-ES"/>
    </w:rPr>
  </w:style>
  <w:style w:type="character" w:customStyle="1" w:styleId="CharStyle3Exact">
    <w:name w:val="Char Style 3 Exact"/>
    <w:basedOn w:val="Fuentedeprrafopredeter"/>
    <w:uiPriority w:val="99"/>
    <w:rsid w:val="00032331"/>
    <w:rPr>
      <w:rFonts w:ascii="Arial" w:eastAsiaTheme="minorEastAsia" w:hAnsi="Arial" w:cs="Arial"/>
      <w:sz w:val="12"/>
      <w:szCs w:val="12"/>
      <w:u w:val="none"/>
      <w:lang w:val="en-US" w:eastAsia="en-US" w:bidi="ar-SA"/>
    </w:rPr>
  </w:style>
  <w:style w:type="paragraph" w:customStyle="1" w:styleId="paragraph">
    <w:name w:val="paragraph"/>
    <w:basedOn w:val="Normal"/>
    <w:uiPriority w:val="1"/>
    <w:rsid w:val="00032331"/>
    <w:pPr>
      <w:spacing w:beforeAutospacing="1" w:afterAutospacing="1"/>
    </w:pPr>
    <w:rPr>
      <w:lang w:eastAsia="es-CO"/>
    </w:rPr>
  </w:style>
  <w:style w:type="character" w:customStyle="1" w:styleId="normaltextrun">
    <w:name w:val="normaltextrun"/>
    <w:basedOn w:val="Fuentedeprrafopredeter"/>
    <w:uiPriority w:val="1"/>
    <w:rsid w:val="00032331"/>
  </w:style>
  <w:style w:type="table" w:customStyle="1" w:styleId="Tablaconcuadrcula10">
    <w:name w:val="Tabla con cuadrícula10"/>
    <w:basedOn w:val="Tablanormal"/>
    <w:next w:val="Tablaconcuadrcula"/>
    <w:uiPriority w:val="59"/>
    <w:rsid w:val="00DD5E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8D7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Fuentedeprrafopredeter"/>
    <w:uiPriority w:val="99"/>
    <w:unhideWhenUsed/>
    <w:rsid w:val="00014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4810">
      <w:bodyDiv w:val="1"/>
      <w:marLeft w:val="0"/>
      <w:marRight w:val="0"/>
      <w:marTop w:val="0"/>
      <w:marBottom w:val="0"/>
      <w:divBdr>
        <w:top w:val="none" w:sz="0" w:space="0" w:color="auto"/>
        <w:left w:val="none" w:sz="0" w:space="0" w:color="auto"/>
        <w:bottom w:val="none" w:sz="0" w:space="0" w:color="auto"/>
        <w:right w:val="none" w:sz="0" w:space="0" w:color="auto"/>
      </w:divBdr>
    </w:div>
    <w:div w:id="177087638">
      <w:bodyDiv w:val="1"/>
      <w:marLeft w:val="0"/>
      <w:marRight w:val="0"/>
      <w:marTop w:val="0"/>
      <w:marBottom w:val="0"/>
      <w:divBdr>
        <w:top w:val="none" w:sz="0" w:space="0" w:color="auto"/>
        <w:left w:val="none" w:sz="0" w:space="0" w:color="auto"/>
        <w:bottom w:val="none" w:sz="0" w:space="0" w:color="auto"/>
        <w:right w:val="none" w:sz="0" w:space="0" w:color="auto"/>
      </w:divBdr>
      <w:divsChild>
        <w:div w:id="375012877">
          <w:marLeft w:val="0"/>
          <w:marRight w:val="0"/>
          <w:marTop w:val="0"/>
          <w:marBottom w:val="0"/>
          <w:divBdr>
            <w:top w:val="none" w:sz="0" w:space="0" w:color="auto"/>
            <w:left w:val="none" w:sz="0" w:space="0" w:color="auto"/>
            <w:bottom w:val="none" w:sz="0" w:space="0" w:color="auto"/>
            <w:right w:val="none" w:sz="0" w:space="0" w:color="auto"/>
          </w:divBdr>
          <w:divsChild>
            <w:div w:id="1129711777">
              <w:marLeft w:val="0"/>
              <w:marRight w:val="0"/>
              <w:marTop w:val="0"/>
              <w:marBottom w:val="0"/>
              <w:divBdr>
                <w:top w:val="none" w:sz="0" w:space="0" w:color="auto"/>
                <w:left w:val="none" w:sz="0" w:space="0" w:color="auto"/>
                <w:bottom w:val="none" w:sz="0" w:space="0" w:color="auto"/>
                <w:right w:val="none" w:sz="0" w:space="0" w:color="auto"/>
              </w:divBdr>
              <w:divsChild>
                <w:div w:id="6628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22239">
      <w:bodyDiv w:val="1"/>
      <w:marLeft w:val="0"/>
      <w:marRight w:val="0"/>
      <w:marTop w:val="0"/>
      <w:marBottom w:val="0"/>
      <w:divBdr>
        <w:top w:val="none" w:sz="0" w:space="0" w:color="auto"/>
        <w:left w:val="none" w:sz="0" w:space="0" w:color="auto"/>
        <w:bottom w:val="none" w:sz="0" w:space="0" w:color="auto"/>
        <w:right w:val="none" w:sz="0" w:space="0" w:color="auto"/>
      </w:divBdr>
    </w:div>
    <w:div w:id="447430438">
      <w:bodyDiv w:val="1"/>
      <w:marLeft w:val="0"/>
      <w:marRight w:val="0"/>
      <w:marTop w:val="0"/>
      <w:marBottom w:val="0"/>
      <w:divBdr>
        <w:top w:val="none" w:sz="0" w:space="0" w:color="auto"/>
        <w:left w:val="none" w:sz="0" w:space="0" w:color="auto"/>
        <w:bottom w:val="none" w:sz="0" w:space="0" w:color="auto"/>
        <w:right w:val="none" w:sz="0" w:space="0" w:color="auto"/>
      </w:divBdr>
      <w:divsChild>
        <w:div w:id="2781986">
          <w:marLeft w:val="547"/>
          <w:marRight w:val="0"/>
          <w:marTop w:val="0"/>
          <w:marBottom w:val="0"/>
          <w:divBdr>
            <w:top w:val="none" w:sz="0" w:space="0" w:color="auto"/>
            <w:left w:val="none" w:sz="0" w:space="0" w:color="auto"/>
            <w:bottom w:val="none" w:sz="0" w:space="0" w:color="auto"/>
            <w:right w:val="none" w:sz="0" w:space="0" w:color="auto"/>
          </w:divBdr>
        </w:div>
      </w:divsChild>
    </w:div>
    <w:div w:id="487593984">
      <w:bodyDiv w:val="1"/>
      <w:marLeft w:val="0"/>
      <w:marRight w:val="0"/>
      <w:marTop w:val="0"/>
      <w:marBottom w:val="0"/>
      <w:divBdr>
        <w:top w:val="none" w:sz="0" w:space="0" w:color="auto"/>
        <w:left w:val="none" w:sz="0" w:space="0" w:color="auto"/>
        <w:bottom w:val="none" w:sz="0" w:space="0" w:color="auto"/>
        <w:right w:val="none" w:sz="0" w:space="0" w:color="auto"/>
      </w:divBdr>
    </w:div>
    <w:div w:id="710114339">
      <w:bodyDiv w:val="1"/>
      <w:marLeft w:val="0"/>
      <w:marRight w:val="0"/>
      <w:marTop w:val="0"/>
      <w:marBottom w:val="0"/>
      <w:divBdr>
        <w:top w:val="none" w:sz="0" w:space="0" w:color="auto"/>
        <w:left w:val="none" w:sz="0" w:space="0" w:color="auto"/>
        <w:bottom w:val="none" w:sz="0" w:space="0" w:color="auto"/>
        <w:right w:val="none" w:sz="0" w:space="0" w:color="auto"/>
      </w:divBdr>
    </w:div>
    <w:div w:id="804274791">
      <w:bodyDiv w:val="1"/>
      <w:marLeft w:val="0"/>
      <w:marRight w:val="0"/>
      <w:marTop w:val="0"/>
      <w:marBottom w:val="0"/>
      <w:divBdr>
        <w:top w:val="none" w:sz="0" w:space="0" w:color="auto"/>
        <w:left w:val="none" w:sz="0" w:space="0" w:color="auto"/>
        <w:bottom w:val="none" w:sz="0" w:space="0" w:color="auto"/>
        <w:right w:val="none" w:sz="0" w:space="0" w:color="auto"/>
      </w:divBdr>
    </w:div>
    <w:div w:id="836312373">
      <w:bodyDiv w:val="1"/>
      <w:marLeft w:val="0"/>
      <w:marRight w:val="0"/>
      <w:marTop w:val="0"/>
      <w:marBottom w:val="0"/>
      <w:divBdr>
        <w:top w:val="none" w:sz="0" w:space="0" w:color="auto"/>
        <w:left w:val="none" w:sz="0" w:space="0" w:color="auto"/>
        <w:bottom w:val="none" w:sz="0" w:space="0" w:color="auto"/>
        <w:right w:val="none" w:sz="0" w:space="0" w:color="auto"/>
      </w:divBdr>
    </w:div>
    <w:div w:id="937718912">
      <w:bodyDiv w:val="1"/>
      <w:marLeft w:val="0"/>
      <w:marRight w:val="0"/>
      <w:marTop w:val="0"/>
      <w:marBottom w:val="0"/>
      <w:divBdr>
        <w:top w:val="none" w:sz="0" w:space="0" w:color="auto"/>
        <w:left w:val="none" w:sz="0" w:space="0" w:color="auto"/>
        <w:bottom w:val="none" w:sz="0" w:space="0" w:color="auto"/>
        <w:right w:val="none" w:sz="0" w:space="0" w:color="auto"/>
      </w:divBdr>
      <w:divsChild>
        <w:div w:id="1771464202">
          <w:marLeft w:val="547"/>
          <w:marRight w:val="0"/>
          <w:marTop w:val="0"/>
          <w:marBottom w:val="0"/>
          <w:divBdr>
            <w:top w:val="none" w:sz="0" w:space="0" w:color="auto"/>
            <w:left w:val="none" w:sz="0" w:space="0" w:color="auto"/>
            <w:bottom w:val="none" w:sz="0" w:space="0" w:color="auto"/>
            <w:right w:val="none" w:sz="0" w:space="0" w:color="auto"/>
          </w:divBdr>
        </w:div>
      </w:divsChild>
    </w:div>
    <w:div w:id="997342814">
      <w:bodyDiv w:val="1"/>
      <w:marLeft w:val="0"/>
      <w:marRight w:val="0"/>
      <w:marTop w:val="0"/>
      <w:marBottom w:val="0"/>
      <w:divBdr>
        <w:top w:val="none" w:sz="0" w:space="0" w:color="auto"/>
        <w:left w:val="none" w:sz="0" w:space="0" w:color="auto"/>
        <w:bottom w:val="none" w:sz="0" w:space="0" w:color="auto"/>
        <w:right w:val="none" w:sz="0" w:space="0" w:color="auto"/>
      </w:divBdr>
    </w:div>
    <w:div w:id="1040784384">
      <w:bodyDiv w:val="1"/>
      <w:marLeft w:val="0"/>
      <w:marRight w:val="0"/>
      <w:marTop w:val="0"/>
      <w:marBottom w:val="0"/>
      <w:divBdr>
        <w:top w:val="none" w:sz="0" w:space="0" w:color="auto"/>
        <w:left w:val="none" w:sz="0" w:space="0" w:color="auto"/>
        <w:bottom w:val="none" w:sz="0" w:space="0" w:color="auto"/>
        <w:right w:val="none" w:sz="0" w:space="0" w:color="auto"/>
      </w:divBdr>
    </w:div>
    <w:div w:id="1107121285">
      <w:bodyDiv w:val="1"/>
      <w:marLeft w:val="0"/>
      <w:marRight w:val="0"/>
      <w:marTop w:val="0"/>
      <w:marBottom w:val="0"/>
      <w:divBdr>
        <w:top w:val="none" w:sz="0" w:space="0" w:color="auto"/>
        <w:left w:val="none" w:sz="0" w:space="0" w:color="auto"/>
        <w:bottom w:val="none" w:sz="0" w:space="0" w:color="auto"/>
        <w:right w:val="none" w:sz="0" w:space="0" w:color="auto"/>
      </w:divBdr>
    </w:div>
    <w:div w:id="1169566138">
      <w:bodyDiv w:val="1"/>
      <w:marLeft w:val="0"/>
      <w:marRight w:val="0"/>
      <w:marTop w:val="0"/>
      <w:marBottom w:val="0"/>
      <w:divBdr>
        <w:top w:val="none" w:sz="0" w:space="0" w:color="auto"/>
        <w:left w:val="none" w:sz="0" w:space="0" w:color="auto"/>
        <w:bottom w:val="none" w:sz="0" w:space="0" w:color="auto"/>
        <w:right w:val="none" w:sz="0" w:space="0" w:color="auto"/>
      </w:divBdr>
    </w:div>
    <w:div w:id="1236017368">
      <w:bodyDiv w:val="1"/>
      <w:marLeft w:val="0"/>
      <w:marRight w:val="0"/>
      <w:marTop w:val="0"/>
      <w:marBottom w:val="0"/>
      <w:divBdr>
        <w:top w:val="none" w:sz="0" w:space="0" w:color="auto"/>
        <w:left w:val="none" w:sz="0" w:space="0" w:color="auto"/>
        <w:bottom w:val="none" w:sz="0" w:space="0" w:color="auto"/>
        <w:right w:val="none" w:sz="0" w:space="0" w:color="auto"/>
      </w:divBdr>
      <w:divsChild>
        <w:div w:id="1251040164">
          <w:marLeft w:val="547"/>
          <w:marRight w:val="0"/>
          <w:marTop w:val="0"/>
          <w:marBottom w:val="0"/>
          <w:divBdr>
            <w:top w:val="none" w:sz="0" w:space="0" w:color="auto"/>
            <w:left w:val="none" w:sz="0" w:space="0" w:color="auto"/>
            <w:bottom w:val="none" w:sz="0" w:space="0" w:color="auto"/>
            <w:right w:val="none" w:sz="0" w:space="0" w:color="auto"/>
          </w:divBdr>
        </w:div>
      </w:divsChild>
    </w:div>
    <w:div w:id="1236210951">
      <w:bodyDiv w:val="1"/>
      <w:marLeft w:val="0"/>
      <w:marRight w:val="0"/>
      <w:marTop w:val="0"/>
      <w:marBottom w:val="0"/>
      <w:divBdr>
        <w:top w:val="none" w:sz="0" w:space="0" w:color="auto"/>
        <w:left w:val="none" w:sz="0" w:space="0" w:color="auto"/>
        <w:bottom w:val="none" w:sz="0" w:space="0" w:color="auto"/>
        <w:right w:val="none" w:sz="0" w:space="0" w:color="auto"/>
      </w:divBdr>
      <w:divsChild>
        <w:div w:id="336618575">
          <w:marLeft w:val="547"/>
          <w:marRight w:val="0"/>
          <w:marTop w:val="0"/>
          <w:marBottom w:val="0"/>
          <w:divBdr>
            <w:top w:val="none" w:sz="0" w:space="0" w:color="auto"/>
            <w:left w:val="none" w:sz="0" w:space="0" w:color="auto"/>
            <w:bottom w:val="none" w:sz="0" w:space="0" w:color="auto"/>
            <w:right w:val="none" w:sz="0" w:space="0" w:color="auto"/>
          </w:divBdr>
        </w:div>
      </w:divsChild>
    </w:div>
    <w:div w:id="1287076730">
      <w:bodyDiv w:val="1"/>
      <w:marLeft w:val="0"/>
      <w:marRight w:val="0"/>
      <w:marTop w:val="0"/>
      <w:marBottom w:val="0"/>
      <w:divBdr>
        <w:top w:val="none" w:sz="0" w:space="0" w:color="auto"/>
        <w:left w:val="none" w:sz="0" w:space="0" w:color="auto"/>
        <w:bottom w:val="none" w:sz="0" w:space="0" w:color="auto"/>
        <w:right w:val="none" w:sz="0" w:space="0" w:color="auto"/>
      </w:divBdr>
      <w:divsChild>
        <w:div w:id="1677229557">
          <w:marLeft w:val="547"/>
          <w:marRight w:val="0"/>
          <w:marTop w:val="0"/>
          <w:marBottom w:val="0"/>
          <w:divBdr>
            <w:top w:val="none" w:sz="0" w:space="0" w:color="auto"/>
            <w:left w:val="none" w:sz="0" w:space="0" w:color="auto"/>
            <w:bottom w:val="none" w:sz="0" w:space="0" w:color="auto"/>
            <w:right w:val="none" w:sz="0" w:space="0" w:color="auto"/>
          </w:divBdr>
        </w:div>
      </w:divsChild>
    </w:div>
    <w:div w:id="1356736911">
      <w:bodyDiv w:val="1"/>
      <w:marLeft w:val="0"/>
      <w:marRight w:val="0"/>
      <w:marTop w:val="0"/>
      <w:marBottom w:val="0"/>
      <w:divBdr>
        <w:top w:val="none" w:sz="0" w:space="0" w:color="auto"/>
        <w:left w:val="none" w:sz="0" w:space="0" w:color="auto"/>
        <w:bottom w:val="none" w:sz="0" w:space="0" w:color="auto"/>
        <w:right w:val="none" w:sz="0" w:space="0" w:color="auto"/>
      </w:divBdr>
    </w:div>
    <w:div w:id="1563714998">
      <w:bodyDiv w:val="1"/>
      <w:marLeft w:val="0"/>
      <w:marRight w:val="0"/>
      <w:marTop w:val="0"/>
      <w:marBottom w:val="0"/>
      <w:divBdr>
        <w:top w:val="none" w:sz="0" w:space="0" w:color="auto"/>
        <w:left w:val="none" w:sz="0" w:space="0" w:color="auto"/>
        <w:bottom w:val="none" w:sz="0" w:space="0" w:color="auto"/>
        <w:right w:val="none" w:sz="0" w:space="0" w:color="auto"/>
      </w:divBdr>
    </w:div>
    <w:div w:id="1631327079">
      <w:bodyDiv w:val="1"/>
      <w:marLeft w:val="0"/>
      <w:marRight w:val="0"/>
      <w:marTop w:val="0"/>
      <w:marBottom w:val="0"/>
      <w:divBdr>
        <w:top w:val="none" w:sz="0" w:space="0" w:color="auto"/>
        <w:left w:val="none" w:sz="0" w:space="0" w:color="auto"/>
        <w:bottom w:val="none" w:sz="0" w:space="0" w:color="auto"/>
        <w:right w:val="none" w:sz="0" w:space="0" w:color="auto"/>
      </w:divBdr>
    </w:div>
    <w:div w:id="1857185876">
      <w:bodyDiv w:val="1"/>
      <w:marLeft w:val="0"/>
      <w:marRight w:val="0"/>
      <w:marTop w:val="0"/>
      <w:marBottom w:val="0"/>
      <w:divBdr>
        <w:top w:val="none" w:sz="0" w:space="0" w:color="auto"/>
        <w:left w:val="none" w:sz="0" w:space="0" w:color="auto"/>
        <w:bottom w:val="none" w:sz="0" w:space="0" w:color="auto"/>
        <w:right w:val="none" w:sz="0" w:space="0" w:color="auto"/>
      </w:divBdr>
    </w:div>
    <w:div w:id="1926651726">
      <w:bodyDiv w:val="1"/>
      <w:marLeft w:val="0"/>
      <w:marRight w:val="0"/>
      <w:marTop w:val="0"/>
      <w:marBottom w:val="0"/>
      <w:divBdr>
        <w:top w:val="none" w:sz="0" w:space="0" w:color="auto"/>
        <w:left w:val="none" w:sz="0" w:space="0" w:color="auto"/>
        <w:bottom w:val="none" w:sz="0" w:space="0" w:color="auto"/>
        <w:right w:val="none" w:sz="0" w:space="0" w:color="auto"/>
      </w:divBdr>
    </w:div>
    <w:div w:id="1950232101">
      <w:bodyDiv w:val="1"/>
      <w:marLeft w:val="0"/>
      <w:marRight w:val="0"/>
      <w:marTop w:val="0"/>
      <w:marBottom w:val="0"/>
      <w:divBdr>
        <w:top w:val="none" w:sz="0" w:space="0" w:color="auto"/>
        <w:left w:val="none" w:sz="0" w:space="0" w:color="auto"/>
        <w:bottom w:val="none" w:sz="0" w:space="0" w:color="auto"/>
        <w:right w:val="none" w:sz="0" w:space="0" w:color="auto"/>
      </w:divBdr>
    </w:div>
    <w:div w:id="20723462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M:\lebarragan\plantilla\resolucion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SharedWithUsers xmlns="309f6219-a73f-4366-a00d-6bacb1e9f8e0">
      <UserInfo>
        <DisplayName>Carlos Andres Castellanos Gamboa</DisplayName>
        <AccountId>9</AccountId>
        <AccountType/>
      </UserInfo>
      <UserInfo>
        <DisplayName>Andrea Paola Ahumada Forigua</DisplayName>
        <AccountId>17</AccountId>
        <AccountType/>
      </UserInfo>
      <UserInfo>
        <DisplayName>Oscar Andres Zabaleta Montenegro</DisplayName>
        <AccountId>18</AccountId>
        <AccountType/>
      </UserInfo>
      <UserInfo>
        <DisplayName>Juan Carlos Bonilla Borda</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6b5bdc1cce74b137d2e69d8153d0a8fb">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5901425aba8cf683fa08dc6686d9dc6d"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6ce1057a-84f0-41ef-9c26-068fafd6c4b9}"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E7BF1-5584-4629-8EC0-3425C03AC01B}">
  <ds:schemaRefs>
    <ds:schemaRef ds:uri="http://schemas.openxmlformats.org/officeDocument/2006/bibliography"/>
  </ds:schemaRefs>
</ds:datastoreItem>
</file>

<file path=customXml/itemProps2.xml><?xml version="1.0" encoding="utf-8"?>
<ds:datastoreItem xmlns:ds="http://schemas.openxmlformats.org/officeDocument/2006/customXml" ds:itemID="{B8328D52-C6AD-4CC0-A6BB-B54527BD791F}">
  <ds:schemaRefs>
    <ds:schemaRef ds:uri="http://schemas.microsoft.com/sharepoint/v3/contenttype/forms"/>
  </ds:schemaRefs>
</ds:datastoreItem>
</file>

<file path=customXml/itemProps3.xml><?xml version="1.0" encoding="utf-8"?>
<ds:datastoreItem xmlns:ds="http://schemas.openxmlformats.org/officeDocument/2006/customXml" ds:itemID="{5FDE2197-47FA-4565-9BAD-19733390382E}">
  <ds:schemaRefs>
    <ds:schemaRef ds:uri="http://schemas.microsoft.com/office/2006/metadata/properties"/>
    <ds:schemaRef ds:uri="http://schemas.microsoft.com/office/infopath/2007/PartnerControls"/>
    <ds:schemaRef ds:uri="0f90cc45-9d06-4234-8034-eeec6c0c7cc1"/>
    <ds:schemaRef ds:uri="309f6219-a73f-4366-a00d-6bacb1e9f8e0"/>
  </ds:schemaRefs>
</ds:datastoreItem>
</file>

<file path=customXml/itemProps4.xml><?xml version="1.0" encoding="utf-8"?>
<ds:datastoreItem xmlns:ds="http://schemas.openxmlformats.org/officeDocument/2006/customXml" ds:itemID="{1D1EA291-3B66-445B-BEE7-1A955368F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resoluciones</Template>
  <TotalTime>1</TotalTime>
  <Pages>3</Pages>
  <Words>8875</Words>
  <Characters>48813</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CREG</Company>
  <LinksUpToDate>false</LinksUpToDate>
  <CharactersWithSpaces>57573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Ramos;Carlos Castellanos;Andres Hernando Dominguez</dc:creator>
  <cp:keywords/>
  <cp:lastModifiedBy>Luz Stella Rojas Macias</cp:lastModifiedBy>
  <cp:revision>2</cp:revision>
  <cp:lastPrinted>2022-10-06T17:46:00Z</cp:lastPrinted>
  <dcterms:created xsi:type="dcterms:W3CDTF">2022-11-11T14:55:00Z</dcterms:created>
  <dcterms:modified xsi:type="dcterms:W3CDTF">2022-11-11T14:55:00Z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ies>
</file>