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CBA" w:rsidRPr="006875CB" w:rsidRDefault="005A2DE2" w:rsidP="005056C1">
      <w:pPr>
        <w:pStyle w:val="Encabezado"/>
        <w:tabs>
          <w:tab w:val="clear" w:pos="8504"/>
          <w:tab w:val="left" w:pos="0"/>
          <w:tab w:val="left" w:pos="2977"/>
          <w:tab w:val="right" w:pos="9356"/>
        </w:tabs>
        <w:ind w:left="0"/>
        <w:jc w:val="both"/>
        <w:rPr>
          <w:rFonts w:ascii="Bookman Old Style" w:hAnsi="Bookman Old Style"/>
          <w:color w:val="000000" w:themeColor="text1"/>
          <w:szCs w:val="24"/>
          <w:lang w:val="es-ES"/>
        </w:rPr>
      </w:pPr>
      <w:bookmarkStart w:id="0" w:name="_GoBack"/>
      <w:bookmarkEnd w:id="0"/>
      <w:r>
        <w:rPr>
          <w:rFonts w:ascii="Bookman Old Style" w:hAnsi="Bookman Old Style"/>
          <w:noProof/>
          <w:color w:val="000000" w:themeColor="text1"/>
          <w:szCs w:val="24"/>
          <w:lang w:eastAsia="es-CO"/>
        </w:rPr>
        <w:drawing>
          <wp:anchor distT="0" distB="0" distL="114300" distR="114300" simplePos="0" relativeHeight="251657728" behindDoc="0" locked="0" layoutInCell="1" allowOverlap="1">
            <wp:simplePos x="0" y="0"/>
            <wp:positionH relativeFrom="column">
              <wp:posOffset>2570480</wp:posOffset>
            </wp:positionH>
            <wp:positionV relativeFrom="paragraph">
              <wp:posOffset>-631825</wp:posOffset>
            </wp:positionV>
            <wp:extent cx="666750" cy="619125"/>
            <wp:effectExtent l="0" t="0" r="0" b="9525"/>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619125"/>
                    </a:xfrm>
                    <a:prstGeom prst="rect">
                      <a:avLst/>
                    </a:prstGeom>
                    <a:noFill/>
                  </pic:spPr>
                </pic:pic>
              </a:graphicData>
            </a:graphic>
            <wp14:sizeRelH relativeFrom="page">
              <wp14:pctWidth>0</wp14:pctWidth>
            </wp14:sizeRelH>
            <wp14:sizeRelV relativeFrom="page">
              <wp14:pctHeight>0</wp14:pctHeight>
            </wp14:sizeRelV>
          </wp:anchor>
        </w:drawing>
      </w:r>
    </w:p>
    <w:p w:rsidR="00625DC6" w:rsidRPr="006875CB" w:rsidRDefault="00625DC6" w:rsidP="005056C1">
      <w:pPr>
        <w:pStyle w:val="Encabezado"/>
        <w:tabs>
          <w:tab w:val="clear" w:pos="8504"/>
          <w:tab w:val="left" w:pos="0"/>
          <w:tab w:val="right" w:pos="9356"/>
        </w:tabs>
        <w:ind w:left="0"/>
        <w:jc w:val="both"/>
        <w:rPr>
          <w:rFonts w:ascii="Bookman Old Style" w:hAnsi="Bookman Old Style"/>
          <w:color w:val="000000" w:themeColor="text1"/>
          <w:szCs w:val="24"/>
          <w:lang w:val="es-ES"/>
        </w:rPr>
      </w:pPr>
    </w:p>
    <w:p w:rsidR="00AD0D6E" w:rsidRPr="006875CB" w:rsidRDefault="00AD0D6E" w:rsidP="005056C1">
      <w:pPr>
        <w:pStyle w:val="Ttulo4"/>
        <w:tabs>
          <w:tab w:val="left" w:pos="0"/>
          <w:tab w:val="right" w:pos="9356"/>
        </w:tabs>
        <w:ind w:left="0"/>
        <w:rPr>
          <w:rFonts w:ascii="Bookman Old Style" w:hAnsi="Bookman Old Style"/>
          <w:b w:val="0"/>
          <w:bCs/>
          <w:sz w:val="24"/>
          <w:szCs w:val="24"/>
        </w:rPr>
      </w:pPr>
    </w:p>
    <w:p w:rsidR="00CC5CE1" w:rsidRPr="006875CB" w:rsidRDefault="00CC5CE1" w:rsidP="005056C1">
      <w:pPr>
        <w:pStyle w:val="Ttulo4"/>
        <w:tabs>
          <w:tab w:val="left" w:pos="0"/>
          <w:tab w:val="right" w:pos="9356"/>
        </w:tabs>
        <w:ind w:left="0"/>
        <w:rPr>
          <w:rFonts w:ascii="Bookman Old Style" w:hAnsi="Bookman Old Style"/>
          <w:b w:val="0"/>
          <w:bCs/>
          <w:noProof/>
          <w:sz w:val="24"/>
          <w:szCs w:val="24"/>
          <w:lang w:val="es-ES"/>
        </w:rPr>
      </w:pPr>
      <w:r w:rsidRPr="006875CB">
        <w:rPr>
          <w:rFonts w:ascii="Bookman Old Style" w:hAnsi="Bookman Old Style"/>
          <w:b w:val="0"/>
          <w:bCs/>
          <w:sz w:val="24"/>
          <w:szCs w:val="24"/>
        </w:rPr>
        <w:t>Ministerio de Minas y Energía</w:t>
      </w:r>
    </w:p>
    <w:p w:rsidR="00CC5CE1" w:rsidRPr="006875CB" w:rsidRDefault="00CC5CE1" w:rsidP="005300B2">
      <w:pPr>
        <w:pStyle w:val="Ttulo4"/>
        <w:tabs>
          <w:tab w:val="left" w:pos="0"/>
          <w:tab w:val="right" w:pos="9356"/>
        </w:tabs>
        <w:ind w:left="0"/>
        <w:rPr>
          <w:rFonts w:ascii="Bookman Old Style" w:hAnsi="Bookman Old Style"/>
          <w:b w:val="0"/>
          <w:bCs/>
          <w:sz w:val="24"/>
          <w:szCs w:val="24"/>
        </w:rPr>
      </w:pPr>
    </w:p>
    <w:p w:rsidR="00CC5CE1" w:rsidRPr="006875CB" w:rsidRDefault="00CC5CE1" w:rsidP="005300B2">
      <w:pPr>
        <w:pStyle w:val="Ttulo3"/>
        <w:tabs>
          <w:tab w:val="left" w:pos="0"/>
          <w:tab w:val="right" w:pos="9356"/>
        </w:tabs>
        <w:ind w:left="0"/>
        <w:rPr>
          <w:rFonts w:ascii="Bookman Old Style" w:hAnsi="Bookman Old Style" w:cs="Arial"/>
          <w:spacing w:val="20"/>
          <w:szCs w:val="24"/>
        </w:rPr>
      </w:pPr>
      <w:r w:rsidRPr="006875CB">
        <w:rPr>
          <w:rFonts w:ascii="Bookman Old Style" w:hAnsi="Bookman Old Style" w:cs="Arial"/>
          <w:spacing w:val="20"/>
          <w:szCs w:val="24"/>
        </w:rPr>
        <w:t>COMISIÓN DE REGULACIÓN DE ENERGÍA Y GAS</w:t>
      </w:r>
    </w:p>
    <w:p w:rsidR="00CC5CE1" w:rsidRPr="006875CB" w:rsidRDefault="00CC5CE1" w:rsidP="005300B2">
      <w:pPr>
        <w:pStyle w:val="Ttulo5"/>
        <w:tabs>
          <w:tab w:val="left" w:pos="0"/>
          <w:tab w:val="right" w:pos="9356"/>
        </w:tabs>
        <w:ind w:left="0"/>
        <w:rPr>
          <w:rFonts w:ascii="Bookman Old Style" w:hAnsi="Bookman Old Style"/>
          <w:sz w:val="24"/>
          <w:szCs w:val="24"/>
        </w:rPr>
      </w:pPr>
    </w:p>
    <w:p w:rsidR="00CC5CE1" w:rsidRPr="006875CB" w:rsidRDefault="00CC5CE1">
      <w:pPr>
        <w:pStyle w:val="Ttulo5"/>
        <w:tabs>
          <w:tab w:val="left" w:pos="0"/>
          <w:tab w:val="right" w:pos="9356"/>
        </w:tabs>
        <w:ind w:left="0"/>
        <w:rPr>
          <w:rFonts w:ascii="Bookman Old Style" w:hAnsi="Bookman Old Style"/>
          <w:sz w:val="24"/>
          <w:szCs w:val="24"/>
        </w:rPr>
      </w:pPr>
    </w:p>
    <w:p w:rsidR="00CC5CE1" w:rsidRPr="006875CB" w:rsidRDefault="00CC5CE1">
      <w:pPr>
        <w:pStyle w:val="Ttulo5"/>
        <w:tabs>
          <w:tab w:val="left" w:pos="0"/>
          <w:tab w:val="right" w:pos="9356"/>
        </w:tabs>
        <w:ind w:left="0"/>
        <w:rPr>
          <w:rFonts w:ascii="Bookman Old Style" w:hAnsi="Bookman Old Style"/>
          <w:sz w:val="24"/>
          <w:szCs w:val="24"/>
        </w:rPr>
      </w:pPr>
      <w:r w:rsidRPr="006875CB">
        <w:rPr>
          <w:rFonts w:ascii="Bookman Old Style" w:hAnsi="Bookman Old Style"/>
          <w:sz w:val="24"/>
          <w:szCs w:val="24"/>
        </w:rPr>
        <w:t>RESOLUCIÓN No.</w:t>
      </w:r>
      <w:r w:rsidR="00AD0D6E" w:rsidRPr="006875CB">
        <w:rPr>
          <w:rFonts w:ascii="Bookman Old Style" w:hAnsi="Bookman Old Style"/>
          <w:color w:val="000000" w:themeColor="text1"/>
          <w:sz w:val="24"/>
          <w:szCs w:val="24"/>
          <w:lang w:val="es-ES"/>
        </w:rPr>
        <w:t xml:space="preserve">          </w:t>
      </w:r>
      <w:r w:rsidRPr="006875CB">
        <w:rPr>
          <w:rFonts w:ascii="Bookman Old Style" w:hAnsi="Bookman Old Style"/>
          <w:sz w:val="24"/>
          <w:szCs w:val="24"/>
        </w:rPr>
        <w:t>DE 201</w:t>
      </w:r>
      <w:r w:rsidR="00AD0D6E" w:rsidRPr="006875CB">
        <w:rPr>
          <w:rFonts w:ascii="Bookman Old Style" w:hAnsi="Bookman Old Style"/>
          <w:sz w:val="24"/>
          <w:szCs w:val="24"/>
        </w:rPr>
        <w:t>3</w:t>
      </w:r>
    </w:p>
    <w:p w:rsidR="00CC5CE1" w:rsidRPr="006875CB" w:rsidRDefault="00CC5CE1">
      <w:pPr>
        <w:tabs>
          <w:tab w:val="left" w:pos="0"/>
          <w:tab w:val="right" w:pos="9356"/>
        </w:tabs>
        <w:ind w:left="0"/>
        <w:jc w:val="center"/>
        <w:rPr>
          <w:rFonts w:ascii="Bookman Old Style" w:hAnsi="Bookman Old Style" w:cs="Arial"/>
          <w:b/>
          <w:snapToGrid w:val="0"/>
          <w:color w:val="000000"/>
          <w:lang w:val="es-ES_tradnl"/>
        </w:rPr>
      </w:pPr>
    </w:p>
    <w:p w:rsidR="00CC5CE1" w:rsidRPr="006875CB" w:rsidRDefault="00CC5CE1">
      <w:pPr>
        <w:pStyle w:val="Ttulo3"/>
        <w:tabs>
          <w:tab w:val="left" w:pos="0"/>
          <w:tab w:val="right" w:pos="9356"/>
        </w:tabs>
        <w:ind w:left="0"/>
        <w:rPr>
          <w:rFonts w:ascii="Bookman Old Style" w:hAnsi="Bookman Old Style"/>
          <w:b w:val="0"/>
          <w:szCs w:val="24"/>
        </w:rPr>
      </w:pPr>
      <w:r w:rsidRPr="006875CB">
        <w:rPr>
          <w:rFonts w:ascii="Bookman Old Style" w:hAnsi="Bookman Old Style"/>
          <w:b w:val="0"/>
          <w:szCs w:val="24"/>
        </w:rPr>
        <w:t>(                                  )</w:t>
      </w:r>
    </w:p>
    <w:p w:rsidR="00CC5CE1" w:rsidRPr="006875CB" w:rsidRDefault="00CC5CE1">
      <w:pPr>
        <w:ind w:left="0"/>
        <w:rPr>
          <w:rFonts w:ascii="Bookman Old Style" w:hAnsi="Bookman Old Style"/>
          <w:bCs/>
          <w:lang w:val="es-CO"/>
        </w:rPr>
      </w:pPr>
    </w:p>
    <w:p w:rsidR="00CC5CE1" w:rsidRPr="006875CB" w:rsidRDefault="00CC5CE1">
      <w:pPr>
        <w:ind w:left="0"/>
        <w:rPr>
          <w:rFonts w:ascii="Bookman Old Style" w:hAnsi="Bookman Old Style"/>
          <w:bCs/>
          <w:lang w:val="es-CO"/>
        </w:rPr>
      </w:pPr>
    </w:p>
    <w:p w:rsidR="00CC5CE1" w:rsidRPr="006875CB" w:rsidRDefault="00CC5CE1">
      <w:pPr>
        <w:ind w:left="0"/>
        <w:jc w:val="center"/>
        <w:rPr>
          <w:rFonts w:ascii="Bookman Old Style" w:hAnsi="Bookman Old Style"/>
        </w:rPr>
      </w:pPr>
      <w:r w:rsidRPr="006875CB">
        <w:rPr>
          <w:rFonts w:ascii="Bookman Old Style" w:hAnsi="Bookman Old Style"/>
        </w:rPr>
        <w:t>Por la cual se resuelve el recurso de reposición interpuesto contra la Resolución CREG 140 de 2012</w:t>
      </w:r>
      <w:r w:rsidR="00E7538E" w:rsidRPr="006875CB">
        <w:rPr>
          <w:rFonts w:ascii="Bookman Old Style" w:hAnsi="Bookman Old Style"/>
        </w:rPr>
        <w:t>,</w:t>
      </w:r>
      <w:r w:rsidRPr="006875CB">
        <w:rPr>
          <w:rFonts w:ascii="Bookman Old Style" w:hAnsi="Bookman Old Style"/>
        </w:rPr>
        <w:t xml:space="preserve"> “Por la cual se establecen los cargos regulados para el sistema regional de transporte Boyacá Central, según solicitud de la Transportadora de Gas Internacional S.A. E.S.P., TGI S.A. E.S.P.</w:t>
      </w:r>
      <w:r w:rsidR="00E7538E" w:rsidRPr="006875CB">
        <w:rPr>
          <w:rFonts w:ascii="Bookman Old Style" w:hAnsi="Bookman Old Style"/>
        </w:rPr>
        <w:t>”</w:t>
      </w:r>
    </w:p>
    <w:p w:rsidR="00CC5CE1" w:rsidRPr="006875CB" w:rsidRDefault="00CC5CE1">
      <w:pPr>
        <w:ind w:left="0"/>
        <w:jc w:val="center"/>
        <w:rPr>
          <w:rFonts w:ascii="Bookman Old Style" w:hAnsi="Bookman Old Style" w:cs="Arial"/>
        </w:rPr>
      </w:pPr>
    </w:p>
    <w:p w:rsidR="00CC5CE1" w:rsidRPr="006875CB" w:rsidRDefault="00CC5CE1">
      <w:pPr>
        <w:ind w:left="0"/>
        <w:jc w:val="both"/>
        <w:rPr>
          <w:rFonts w:ascii="Bookman Old Style" w:hAnsi="Bookman Old Style" w:cs="Arial"/>
        </w:rPr>
      </w:pPr>
    </w:p>
    <w:p w:rsidR="00CC5CE1" w:rsidRPr="006875CB" w:rsidRDefault="00CC5CE1">
      <w:pPr>
        <w:pStyle w:val="Ttulo7"/>
        <w:spacing w:before="0" w:after="0"/>
        <w:ind w:left="0"/>
        <w:jc w:val="center"/>
        <w:rPr>
          <w:rFonts w:ascii="Bookman Old Style" w:hAnsi="Bookman Old Style"/>
          <w:b/>
        </w:rPr>
      </w:pPr>
      <w:r w:rsidRPr="006875CB">
        <w:rPr>
          <w:rFonts w:ascii="Bookman Old Style" w:hAnsi="Bookman Old Style"/>
          <w:b/>
        </w:rPr>
        <w:t>LA COMISIÓN DE REGULACIÓN DE ENERGÍA Y GAS</w:t>
      </w:r>
    </w:p>
    <w:p w:rsidR="00CC5CE1" w:rsidRPr="006875CB" w:rsidRDefault="00CC5CE1">
      <w:pPr>
        <w:ind w:left="0"/>
        <w:jc w:val="both"/>
        <w:rPr>
          <w:rFonts w:ascii="Bookman Old Style" w:hAnsi="Bookman Old Style" w:cs="Arial"/>
          <w:b/>
        </w:rPr>
      </w:pPr>
    </w:p>
    <w:p w:rsidR="00CC5CE1" w:rsidRPr="006875CB" w:rsidRDefault="00CC5CE1">
      <w:pPr>
        <w:ind w:left="0"/>
        <w:jc w:val="both"/>
        <w:rPr>
          <w:rFonts w:ascii="Bookman Old Style" w:hAnsi="Bookman Old Style" w:cs="Arial"/>
        </w:rPr>
      </w:pPr>
    </w:p>
    <w:p w:rsidR="00CC5CE1" w:rsidRPr="006875CB" w:rsidRDefault="00CC5CE1">
      <w:pPr>
        <w:ind w:left="0"/>
        <w:jc w:val="center"/>
        <w:rPr>
          <w:rFonts w:ascii="Bookman Old Style" w:hAnsi="Bookman Old Style" w:cs="Arial"/>
        </w:rPr>
      </w:pPr>
      <w:r w:rsidRPr="006875CB">
        <w:rPr>
          <w:rFonts w:ascii="Bookman Old Style" w:hAnsi="Bookman Old Style" w:cs="Arial"/>
        </w:rPr>
        <w:t xml:space="preserve">En ejercicio de sus atribuciones legales, en especial </w:t>
      </w:r>
      <w:r w:rsidR="00E7538E" w:rsidRPr="006875CB">
        <w:rPr>
          <w:rFonts w:ascii="Bookman Old Style" w:hAnsi="Bookman Old Style" w:cs="Arial"/>
        </w:rPr>
        <w:t xml:space="preserve">de </w:t>
      </w:r>
      <w:r w:rsidRPr="006875CB">
        <w:rPr>
          <w:rFonts w:ascii="Bookman Old Style" w:hAnsi="Bookman Old Style" w:cs="Arial"/>
        </w:rPr>
        <w:t>las conferidas por la Ley 142 de 1994, y en desarrollo del Decreto 2253 de 1994, y</w:t>
      </w:r>
    </w:p>
    <w:p w:rsidR="00CC5CE1" w:rsidRPr="006875CB" w:rsidRDefault="00CC5CE1">
      <w:pPr>
        <w:ind w:left="0"/>
        <w:jc w:val="both"/>
        <w:rPr>
          <w:rFonts w:ascii="Bookman Old Style" w:hAnsi="Bookman Old Style" w:cs="Arial"/>
        </w:rPr>
      </w:pPr>
    </w:p>
    <w:p w:rsidR="00CC5CE1" w:rsidRPr="006875CB" w:rsidRDefault="00CC5CE1">
      <w:pPr>
        <w:ind w:left="0"/>
        <w:jc w:val="both"/>
        <w:rPr>
          <w:rFonts w:ascii="Bookman Old Style" w:hAnsi="Bookman Old Style" w:cs="Arial"/>
        </w:rPr>
      </w:pPr>
    </w:p>
    <w:p w:rsidR="00CC5CE1" w:rsidRPr="006875CB" w:rsidRDefault="00CC5CE1">
      <w:pPr>
        <w:ind w:left="0"/>
        <w:jc w:val="center"/>
        <w:rPr>
          <w:rFonts w:ascii="Bookman Old Style" w:hAnsi="Bookman Old Style" w:cs="Arial"/>
          <w:b/>
        </w:rPr>
      </w:pPr>
      <w:r w:rsidRPr="006875CB">
        <w:rPr>
          <w:rFonts w:ascii="Bookman Old Style" w:hAnsi="Bookman Old Style" w:cs="Arial"/>
          <w:b/>
          <w:spacing w:val="80"/>
        </w:rPr>
        <w:t>CONSIDERANDO QUE</w:t>
      </w:r>
      <w:r w:rsidRPr="006875CB">
        <w:rPr>
          <w:rFonts w:ascii="Bookman Old Style" w:hAnsi="Bookman Old Style" w:cs="Arial"/>
          <w:b/>
        </w:rPr>
        <w:t>:</w:t>
      </w:r>
    </w:p>
    <w:p w:rsidR="00CC5CE1" w:rsidRPr="006875CB" w:rsidRDefault="00CC5CE1">
      <w:pPr>
        <w:ind w:left="0"/>
        <w:jc w:val="both"/>
        <w:rPr>
          <w:rFonts w:ascii="Bookman Old Style" w:hAnsi="Bookman Old Style" w:cs="Arial"/>
          <w:b/>
        </w:rPr>
      </w:pPr>
    </w:p>
    <w:p w:rsidR="00E7538E" w:rsidRPr="009139A6" w:rsidRDefault="00E7538E">
      <w:pPr>
        <w:ind w:left="0"/>
        <w:jc w:val="both"/>
        <w:rPr>
          <w:rFonts w:ascii="Bookman Old Style" w:hAnsi="Bookman Old Style" w:cs="Arial"/>
          <w:b/>
          <w:sz w:val="20"/>
        </w:rPr>
      </w:pPr>
    </w:p>
    <w:p w:rsidR="00CC5CE1" w:rsidRPr="006875CB" w:rsidRDefault="00CC5CE1" w:rsidP="000804FD">
      <w:pPr>
        <w:numPr>
          <w:ilvl w:val="0"/>
          <w:numId w:val="29"/>
        </w:numPr>
        <w:ind w:left="567" w:hanging="567"/>
        <w:jc w:val="both"/>
        <w:rPr>
          <w:rFonts w:ascii="Bookman Old Style" w:hAnsi="Bookman Old Style" w:cs="Arial"/>
          <w:b/>
        </w:rPr>
      </w:pPr>
      <w:r w:rsidRPr="006875CB">
        <w:rPr>
          <w:rFonts w:ascii="Bookman Old Style" w:hAnsi="Bookman Old Style" w:cs="Arial"/>
          <w:b/>
        </w:rPr>
        <w:t>ANTECEDENTES</w:t>
      </w:r>
    </w:p>
    <w:p w:rsidR="00CC5CE1" w:rsidRPr="006875CB" w:rsidRDefault="00CC5CE1" w:rsidP="005056C1">
      <w:pPr>
        <w:ind w:left="0"/>
        <w:jc w:val="both"/>
        <w:rPr>
          <w:rFonts w:ascii="Bookman Old Style" w:hAnsi="Bookman Old Style" w:cs="Arial"/>
        </w:rPr>
      </w:pPr>
    </w:p>
    <w:p w:rsidR="00CC5CE1" w:rsidRPr="006875CB" w:rsidRDefault="00CC5CE1" w:rsidP="005056C1">
      <w:pPr>
        <w:ind w:left="0"/>
        <w:jc w:val="both"/>
        <w:rPr>
          <w:rFonts w:ascii="Bookman Old Style" w:hAnsi="Bookman Old Style"/>
          <w:spacing w:val="-3"/>
        </w:rPr>
      </w:pPr>
      <w:r w:rsidRPr="006875CB">
        <w:rPr>
          <w:rFonts w:ascii="Bookman Old Style" w:hAnsi="Bookman Old Style"/>
        </w:rPr>
        <w:t>De acuerdo con lo establecido en el artículo 14.28 de la Ley 142 de 1994, la actividad de transporte de gas natural es una actividad complementaria del servicio público domiciliario de gas combustible.</w:t>
      </w:r>
    </w:p>
    <w:p w:rsidR="00CC5CE1" w:rsidRPr="006875CB" w:rsidRDefault="00CC5CE1" w:rsidP="005300B2">
      <w:pPr>
        <w:rPr>
          <w:rFonts w:ascii="Bookman Old Style" w:hAnsi="Bookman Old Style"/>
          <w:spacing w:val="-3"/>
        </w:rPr>
      </w:pPr>
    </w:p>
    <w:p w:rsidR="00CC5CE1" w:rsidRPr="006875CB" w:rsidRDefault="00CC5CE1" w:rsidP="005300B2">
      <w:pPr>
        <w:ind w:left="0"/>
        <w:jc w:val="both"/>
        <w:rPr>
          <w:rFonts w:ascii="Bookman Old Style" w:hAnsi="Bookman Old Style"/>
        </w:rPr>
      </w:pPr>
      <w:r w:rsidRPr="006875CB">
        <w:rPr>
          <w:rFonts w:ascii="Bookman Old Style" w:hAnsi="Bookman Old Style"/>
        </w:rPr>
        <w:t>Según lo dispuesto por el artículo 28 de la Ley 142 de 1994, la construcción y operación de redes para el transporte de gas, así como el señalamiento de las tarifas por su uso, se regirán exclusivamente por esta Ley.</w:t>
      </w:r>
    </w:p>
    <w:p w:rsidR="00CC5CE1" w:rsidRPr="006875CB" w:rsidRDefault="00CC5CE1" w:rsidP="005300B2">
      <w:pPr>
        <w:ind w:left="0"/>
        <w:jc w:val="both"/>
        <w:rPr>
          <w:rFonts w:ascii="Bookman Old Style" w:hAnsi="Bookman Old Style"/>
        </w:rPr>
      </w:pPr>
    </w:p>
    <w:p w:rsidR="00CC5CE1" w:rsidRPr="006875CB" w:rsidRDefault="00CC5CE1">
      <w:pPr>
        <w:ind w:left="0"/>
        <w:jc w:val="both"/>
        <w:rPr>
          <w:rFonts w:ascii="Bookman Old Style" w:hAnsi="Bookman Old Style"/>
        </w:rPr>
      </w:pPr>
      <w:r w:rsidRPr="006875CB">
        <w:rPr>
          <w:rFonts w:ascii="Bookman Old Style" w:hAnsi="Bookman Old Style"/>
        </w:rPr>
        <w:t>El artículo 73.11 de la Ley 142 de 1994 atribuyó a la Comisión de Regulación de Energía y Gas la competencia para establecer las fórmulas para la fijación de las tarifas del servicio público domiciliario de gas combustible.</w:t>
      </w:r>
    </w:p>
    <w:p w:rsidR="00CC5CE1" w:rsidRPr="006875CB" w:rsidRDefault="00CC5CE1">
      <w:pPr>
        <w:ind w:left="0"/>
        <w:jc w:val="both"/>
        <w:rPr>
          <w:rFonts w:ascii="Bookman Old Style" w:hAnsi="Bookman Old Style" w:cs="Arial"/>
        </w:rPr>
      </w:pPr>
    </w:p>
    <w:p w:rsidR="00CC5CE1" w:rsidRPr="006875CB" w:rsidRDefault="00CC5CE1">
      <w:pPr>
        <w:ind w:left="0"/>
        <w:jc w:val="both"/>
        <w:rPr>
          <w:rFonts w:ascii="Bookman Old Style" w:hAnsi="Bookman Old Style" w:cs="Arial"/>
          <w:lang w:val="es-CO" w:eastAsia="es-CO"/>
        </w:rPr>
      </w:pPr>
      <w:r w:rsidRPr="006875CB">
        <w:rPr>
          <w:rFonts w:ascii="Bookman Old Style" w:hAnsi="Bookman Old Style"/>
        </w:rPr>
        <w:t xml:space="preserve">Mediante la Resolución CREG 126 de 2010, en adelante la </w:t>
      </w:r>
      <w:r w:rsidRPr="006875CB">
        <w:rPr>
          <w:rFonts w:ascii="Bookman Old Style" w:hAnsi="Bookman Old Style"/>
          <w:i/>
        </w:rPr>
        <w:t>metodología</w:t>
      </w:r>
      <w:r w:rsidRPr="006875CB">
        <w:rPr>
          <w:rFonts w:ascii="Bookman Old Style" w:hAnsi="Bookman Old Style"/>
        </w:rPr>
        <w:t xml:space="preserve">, la Comisión de Regulación de Energía y Gas </w:t>
      </w:r>
      <w:r w:rsidRPr="006875CB">
        <w:rPr>
          <w:rFonts w:ascii="Bookman Old Style" w:hAnsi="Bookman Old Style" w:cs="Arial"/>
          <w:lang w:val="es-CO" w:eastAsia="es-CO"/>
        </w:rPr>
        <w:t>estableció los criterios generales para la remuneración del servicio de transporte de gas natural y el esquema general de cargos del Sistema Nacional de Transporte, y dictó otras disposiciones en materia de transporte de gas natural.</w:t>
      </w:r>
    </w:p>
    <w:p w:rsidR="00CC5CE1" w:rsidRPr="006875CB" w:rsidRDefault="00CC5CE1">
      <w:pPr>
        <w:ind w:left="0"/>
        <w:jc w:val="both"/>
        <w:rPr>
          <w:rFonts w:ascii="Bookman Old Style" w:hAnsi="Bookman Old Style" w:cs="Arial"/>
          <w:lang w:val="es-CO" w:eastAsia="es-CO"/>
        </w:rPr>
      </w:pPr>
    </w:p>
    <w:p w:rsidR="00CC5CE1" w:rsidRPr="006875CB" w:rsidRDefault="00CC5CE1">
      <w:pPr>
        <w:ind w:left="0"/>
        <w:jc w:val="both"/>
        <w:rPr>
          <w:rFonts w:ascii="Bookman Old Style" w:hAnsi="Bookman Old Style"/>
        </w:rPr>
      </w:pPr>
      <w:r w:rsidRPr="006875CB">
        <w:rPr>
          <w:rFonts w:ascii="Bookman Old Style" w:hAnsi="Bookman Old Style"/>
        </w:rPr>
        <w:t>El artículo 25 de la Resolución CREG 126 de 2010 determina las normas aplicables a las extensiones de la red tipo II de transporte, cuya definición se establece en el artículo 22 de la misma Resolución.</w:t>
      </w:r>
    </w:p>
    <w:p w:rsidR="00B9084B" w:rsidRDefault="00B9084B">
      <w:pPr>
        <w:ind w:left="0"/>
        <w:jc w:val="both"/>
        <w:rPr>
          <w:rFonts w:ascii="Bookman Old Style" w:hAnsi="Bookman Old Style"/>
        </w:rPr>
      </w:pPr>
    </w:p>
    <w:p w:rsidR="00CC5CE1" w:rsidRPr="006875CB" w:rsidRDefault="00CC5CE1">
      <w:pPr>
        <w:ind w:left="0"/>
        <w:jc w:val="both"/>
        <w:rPr>
          <w:rFonts w:ascii="Bookman Old Style" w:hAnsi="Bookman Old Style"/>
        </w:rPr>
      </w:pPr>
      <w:r w:rsidRPr="006875CB">
        <w:rPr>
          <w:rFonts w:ascii="Bookman Old Style" w:hAnsi="Bookman Old Style"/>
        </w:rPr>
        <w:t>Mediante la comunicación radicada en la CREG bajo el No. CREG E-2011-007114, de fecha 27 de julio de 2011, y de conformidad con lo establecido en el artículo 25 de la Resolución CREG 126 de 2010, l</w:t>
      </w:r>
      <w:r w:rsidRPr="006875CB">
        <w:rPr>
          <w:rFonts w:ascii="Bookman Old Style" w:hAnsi="Bookman Old Style" w:cs="Arial"/>
          <w:lang w:val="es-CO" w:eastAsia="es-CO"/>
        </w:rPr>
        <w:t>a Transportadora de Gas Internacional S.A. E.S.P., TGI S.A. E.S.P., en adelante TGI,</w:t>
      </w:r>
      <w:r w:rsidRPr="006875CB">
        <w:rPr>
          <w:rFonts w:ascii="Bookman Old Style" w:hAnsi="Bookman Old Style"/>
        </w:rPr>
        <w:t xml:space="preserve"> presentó a la Comisión la solicitud de aprobación de cargos para los gasoductos del sistema regional de transporte denominado Boyacá Central. </w:t>
      </w:r>
    </w:p>
    <w:p w:rsidR="00CC5CE1" w:rsidRPr="006875CB" w:rsidRDefault="00CC5CE1">
      <w:pPr>
        <w:ind w:left="0"/>
        <w:jc w:val="both"/>
        <w:rPr>
          <w:rFonts w:ascii="Bookman Old Style" w:hAnsi="Bookman Old Style"/>
        </w:rPr>
      </w:pPr>
    </w:p>
    <w:p w:rsidR="00CC5CE1" w:rsidRPr="006875CB" w:rsidRDefault="00CC5CE1">
      <w:pPr>
        <w:ind w:left="0"/>
        <w:jc w:val="both"/>
        <w:rPr>
          <w:rFonts w:ascii="Bookman Old Style" w:hAnsi="Bookman Old Style" w:cs="Arial"/>
        </w:rPr>
      </w:pPr>
      <w:r w:rsidRPr="006875CB">
        <w:rPr>
          <w:rFonts w:ascii="Bookman Old Style" w:hAnsi="Bookman Old Style"/>
        </w:rPr>
        <w:t>La Comisión de Regulación de Energía y Gas se ciñó al procedimiento establecido en la Resolución CREG 126 de 2010 y,</w:t>
      </w:r>
      <w:r w:rsidRPr="006875CB">
        <w:rPr>
          <w:rFonts w:ascii="Bookman Old Style" w:hAnsi="Bookman Old Style" w:cs="Arial"/>
        </w:rPr>
        <w:t xml:space="preserve"> según la </w:t>
      </w:r>
      <w:r w:rsidRPr="006875CB">
        <w:rPr>
          <w:rFonts w:ascii="Bookman Old Style" w:hAnsi="Bookman Old Style" w:cs="Arial"/>
          <w:i/>
        </w:rPr>
        <w:t>metodología</w:t>
      </w:r>
      <w:r w:rsidRPr="006875CB">
        <w:rPr>
          <w:rFonts w:ascii="Bookman Old Style" w:hAnsi="Bookman Old Style" w:cs="Arial"/>
        </w:rPr>
        <w:t xml:space="preserve"> allí contemplada y </w:t>
      </w:r>
      <w:r w:rsidR="002F38C7" w:rsidRPr="006875CB">
        <w:rPr>
          <w:rFonts w:ascii="Bookman Old Style" w:hAnsi="Bookman Old Style" w:cs="Arial"/>
        </w:rPr>
        <w:t xml:space="preserve">la </w:t>
      </w:r>
      <w:r w:rsidRPr="006875CB">
        <w:rPr>
          <w:rFonts w:ascii="Bookman Old Style" w:hAnsi="Bookman Old Style" w:cs="Arial"/>
        </w:rPr>
        <w:t xml:space="preserve">información disponible en la Comisión, efectuó los cálculos tarifarios correspondientes y fijó los cargos para el sistema regional de transporte Boyacá Central mediante </w:t>
      </w:r>
      <w:r w:rsidRPr="006875CB">
        <w:rPr>
          <w:rFonts w:ascii="Bookman Old Style" w:hAnsi="Bookman Old Style"/>
        </w:rPr>
        <w:t>la Resolución CREG 140 de 2012</w:t>
      </w:r>
      <w:r w:rsidRPr="006875CB">
        <w:rPr>
          <w:rFonts w:ascii="Bookman Old Style" w:hAnsi="Bookman Old Style" w:cs="Arial"/>
        </w:rPr>
        <w:t>.</w:t>
      </w:r>
    </w:p>
    <w:p w:rsidR="00CC5CE1" w:rsidRPr="006875CB" w:rsidRDefault="00CC5CE1">
      <w:pPr>
        <w:ind w:left="0"/>
        <w:jc w:val="both"/>
        <w:rPr>
          <w:rFonts w:ascii="Bookman Old Style" w:hAnsi="Bookman Old Style" w:cs="Arial"/>
        </w:rPr>
      </w:pPr>
    </w:p>
    <w:p w:rsidR="00CC5CE1" w:rsidRPr="006875CB" w:rsidRDefault="00CC5CE1">
      <w:pPr>
        <w:ind w:left="0"/>
        <w:jc w:val="both"/>
        <w:rPr>
          <w:rFonts w:ascii="Bookman Old Style" w:hAnsi="Bookman Old Style" w:cs="Arial"/>
        </w:rPr>
      </w:pPr>
      <w:r w:rsidRPr="006875CB">
        <w:rPr>
          <w:rFonts w:ascii="Bookman Old Style" w:hAnsi="Bookman Old Style" w:cs="Arial"/>
        </w:rPr>
        <w:t>Una vez notificado el acto administrativo en mención, y estando dentro del término legal para hacerlo, TGI interpuso recurso de reposición mediante comunicación radicada el día 3 de enero de 2013 bajo el número E-2013-000089.</w:t>
      </w:r>
    </w:p>
    <w:p w:rsidR="00CC5CE1" w:rsidRPr="006875CB" w:rsidRDefault="00CC5CE1">
      <w:pPr>
        <w:ind w:left="0"/>
        <w:jc w:val="both"/>
        <w:rPr>
          <w:rFonts w:ascii="Bookman Old Style" w:hAnsi="Bookman Old Style" w:cs="Arial"/>
        </w:rPr>
      </w:pPr>
    </w:p>
    <w:p w:rsidR="00CC5CE1" w:rsidRPr="006875CB" w:rsidRDefault="00CC5CE1" w:rsidP="000804FD">
      <w:pPr>
        <w:numPr>
          <w:ilvl w:val="0"/>
          <w:numId w:val="29"/>
        </w:numPr>
        <w:ind w:left="567" w:hanging="567"/>
        <w:jc w:val="both"/>
        <w:rPr>
          <w:rFonts w:ascii="Bookman Old Style" w:hAnsi="Bookman Old Style" w:cs="Arial"/>
          <w:b/>
        </w:rPr>
      </w:pPr>
      <w:r w:rsidRPr="006875CB">
        <w:rPr>
          <w:rFonts w:ascii="Bookman Old Style" w:hAnsi="Bookman Old Style" w:cs="Arial"/>
          <w:b/>
        </w:rPr>
        <w:t>PETICIONES DE TGI</w:t>
      </w:r>
    </w:p>
    <w:p w:rsidR="00CC5CE1" w:rsidRPr="006875CB" w:rsidRDefault="00CC5CE1" w:rsidP="005056C1">
      <w:pPr>
        <w:ind w:left="0"/>
        <w:jc w:val="both"/>
        <w:rPr>
          <w:rFonts w:ascii="Bookman Old Style" w:hAnsi="Bookman Old Style" w:cs="Arial"/>
          <w:b/>
        </w:rPr>
      </w:pPr>
    </w:p>
    <w:p w:rsidR="00CC5CE1" w:rsidRPr="006875CB" w:rsidRDefault="00CC5CE1" w:rsidP="005300B2">
      <w:pPr>
        <w:ind w:left="0"/>
        <w:jc w:val="both"/>
        <w:rPr>
          <w:rFonts w:ascii="Bookman Old Style" w:hAnsi="Bookman Old Style" w:cs="Arial"/>
        </w:rPr>
      </w:pPr>
      <w:r w:rsidRPr="006875CB">
        <w:rPr>
          <w:rFonts w:ascii="Bookman Old Style" w:hAnsi="Bookman Old Style" w:cs="Arial"/>
        </w:rPr>
        <w:t xml:space="preserve">Según lo expresado por TGI en el acápite denominado “III. SOLICITUD” del recurso de reposición por ella interpuesto, </w:t>
      </w:r>
      <w:r w:rsidRPr="006875CB">
        <w:rPr>
          <w:rFonts w:ascii="Bookman Old Style" w:hAnsi="Bookman Old Style" w:cs="Arial"/>
          <w:i/>
        </w:rPr>
        <w:t xml:space="preserve">“(…) </w:t>
      </w:r>
      <w:r w:rsidRPr="006875CB">
        <w:rPr>
          <w:rFonts w:ascii="Bookman Old Style" w:hAnsi="Bookman Old Style" w:cs="Arial"/>
          <w:i/>
          <w:u w:val="single"/>
        </w:rPr>
        <w:t>se solicita sea revocada la Resolución CREG 140 de 2012</w:t>
      </w:r>
      <w:r w:rsidRPr="006875CB">
        <w:rPr>
          <w:rFonts w:ascii="Bookman Old Style" w:hAnsi="Bookman Old Style" w:cs="Arial"/>
          <w:i/>
        </w:rPr>
        <w:t xml:space="preserve"> y se proceda expedir los cargos regulados para el Sistema Regional de Transporte de Boyacá Central, reconociendo las nuevas exigencias de inversión y la actualización de los costos presentados por la Transportadora de Gas Internacional S.A. E.S.P.”</w:t>
      </w:r>
      <w:r w:rsidRPr="006875CB">
        <w:rPr>
          <w:rFonts w:ascii="Bookman Old Style" w:hAnsi="Bookman Old Style" w:cs="Arial"/>
        </w:rPr>
        <w:t xml:space="preserve">, según se sustenta en los acápites “I. CONSIDERACIONES JURÍDICAS” y “II. NUEVAS CONSIDERACIONES A TENER EN CUENTA” del mismo documento. </w:t>
      </w:r>
    </w:p>
    <w:p w:rsidR="00CC5CE1" w:rsidRPr="006875CB" w:rsidRDefault="00CC5CE1" w:rsidP="005300B2">
      <w:pPr>
        <w:ind w:left="0"/>
        <w:jc w:val="both"/>
        <w:rPr>
          <w:rFonts w:ascii="Bookman Old Style" w:hAnsi="Bookman Old Style" w:cs="Arial"/>
        </w:rPr>
      </w:pPr>
    </w:p>
    <w:p w:rsidR="00CC5CE1" w:rsidRPr="006875CB" w:rsidRDefault="00CC5CE1" w:rsidP="005300B2">
      <w:pPr>
        <w:ind w:left="0"/>
        <w:jc w:val="both"/>
        <w:rPr>
          <w:rFonts w:ascii="Bookman Old Style" w:hAnsi="Bookman Old Style" w:cs="Arial"/>
        </w:rPr>
      </w:pPr>
      <w:r w:rsidRPr="006875CB">
        <w:rPr>
          <w:rFonts w:ascii="Bookman Old Style" w:hAnsi="Bookman Old Style" w:cs="Arial"/>
        </w:rPr>
        <w:t>A continuación se analizan tales argumentos.</w:t>
      </w:r>
    </w:p>
    <w:p w:rsidR="00CC5CE1" w:rsidRPr="006875CB" w:rsidRDefault="00CC5CE1">
      <w:pPr>
        <w:ind w:left="0"/>
        <w:jc w:val="both"/>
        <w:rPr>
          <w:rFonts w:ascii="Bookman Old Style" w:hAnsi="Bookman Old Style" w:cs="Arial"/>
        </w:rPr>
      </w:pPr>
    </w:p>
    <w:p w:rsidR="00CC5CE1" w:rsidRPr="006875CB" w:rsidRDefault="00CC5CE1" w:rsidP="000804FD">
      <w:pPr>
        <w:numPr>
          <w:ilvl w:val="0"/>
          <w:numId w:val="29"/>
        </w:numPr>
        <w:ind w:left="567" w:hanging="567"/>
        <w:jc w:val="both"/>
        <w:rPr>
          <w:rFonts w:ascii="Bookman Old Style" w:hAnsi="Bookman Old Style" w:cs="Arial"/>
          <w:b/>
        </w:rPr>
      </w:pPr>
      <w:r w:rsidRPr="006875CB">
        <w:rPr>
          <w:rFonts w:ascii="Bookman Old Style" w:hAnsi="Bookman Old Style" w:cs="Arial"/>
          <w:b/>
        </w:rPr>
        <w:t>AN</w:t>
      </w:r>
      <w:r w:rsidR="005056C1" w:rsidRPr="006875CB">
        <w:rPr>
          <w:rFonts w:ascii="Bookman Old Style" w:hAnsi="Bookman Old Style" w:cs="Arial"/>
          <w:b/>
        </w:rPr>
        <w:t>Á</w:t>
      </w:r>
      <w:r w:rsidRPr="006875CB">
        <w:rPr>
          <w:rFonts w:ascii="Bookman Old Style" w:hAnsi="Bookman Old Style" w:cs="Arial"/>
          <w:b/>
        </w:rPr>
        <w:t>LISIS DE LA CREG</w:t>
      </w:r>
    </w:p>
    <w:p w:rsidR="00CC5CE1" w:rsidRPr="006875CB" w:rsidRDefault="00CC5CE1" w:rsidP="005056C1">
      <w:pPr>
        <w:ind w:left="0"/>
        <w:jc w:val="both"/>
        <w:rPr>
          <w:rFonts w:ascii="Bookman Old Style" w:hAnsi="Bookman Old Style" w:cs="Arial"/>
          <w:b/>
        </w:rPr>
      </w:pPr>
    </w:p>
    <w:p w:rsidR="00CC5CE1" w:rsidRPr="006875CB" w:rsidRDefault="00CC5CE1" w:rsidP="005056C1">
      <w:pPr>
        <w:ind w:left="0"/>
        <w:jc w:val="both"/>
        <w:rPr>
          <w:rFonts w:ascii="Bookman Old Style" w:hAnsi="Bookman Old Style" w:cs="Arial"/>
        </w:rPr>
      </w:pPr>
      <w:r w:rsidRPr="006875CB">
        <w:rPr>
          <w:rFonts w:ascii="Bookman Old Style" w:hAnsi="Bookman Old Style" w:cs="Arial"/>
        </w:rPr>
        <w:t xml:space="preserve">A continuación se procede a analizar la argumentación esbozada por TGI en los acápites I y II de su recurso, para lo cual se seguirá el orden </w:t>
      </w:r>
      <w:r w:rsidR="003A122D" w:rsidRPr="006875CB">
        <w:rPr>
          <w:rFonts w:ascii="Bookman Old Style" w:hAnsi="Bookman Old Style" w:cs="Arial"/>
        </w:rPr>
        <w:t>de</w:t>
      </w:r>
      <w:r w:rsidRPr="006875CB">
        <w:rPr>
          <w:rFonts w:ascii="Bookman Old Style" w:hAnsi="Bookman Old Style" w:cs="Arial"/>
        </w:rPr>
        <w:t xml:space="preserve"> dicho documento.</w:t>
      </w:r>
    </w:p>
    <w:p w:rsidR="00CC5CE1" w:rsidRPr="006875CB" w:rsidRDefault="00CC5CE1" w:rsidP="005300B2">
      <w:pPr>
        <w:ind w:left="0"/>
        <w:jc w:val="both"/>
        <w:rPr>
          <w:rFonts w:ascii="Bookman Old Style" w:hAnsi="Bookman Old Style" w:cs="Arial"/>
          <w:b/>
        </w:rPr>
      </w:pPr>
    </w:p>
    <w:p w:rsidR="00CC5CE1" w:rsidRPr="006875CB" w:rsidRDefault="00CC5CE1" w:rsidP="000804FD">
      <w:pPr>
        <w:numPr>
          <w:ilvl w:val="0"/>
          <w:numId w:val="30"/>
        </w:numPr>
        <w:ind w:left="567" w:hanging="567"/>
        <w:jc w:val="both"/>
        <w:rPr>
          <w:rFonts w:ascii="Bookman Old Style" w:hAnsi="Bookman Old Style" w:cs="Arial"/>
          <w:b/>
        </w:rPr>
      </w:pPr>
      <w:r w:rsidRPr="006875CB">
        <w:rPr>
          <w:rFonts w:ascii="Bookman Old Style" w:hAnsi="Bookman Old Style" w:cs="Arial"/>
          <w:b/>
        </w:rPr>
        <w:t>Violación del debido proceso</w:t>
      </w:r>
    </w:p>
    <w:p w:rsidR="00CC5CE1" w:rsidRPr="006875CB" w:rsidRDefault="00CC5CE1" w:rsidP="005056C1">
      <w:pPr>
        <w:ind w:left="0"/>
        <w:jc w:val="both"/>
        <w:rPr>
          <w:rFonts w:ascii="Bookman Old Style" w:hAnsi="Bookman Old Style" w:cs="Arial"/>
          <w:b/>
        </w:rPr>
      </w:pPr>
    </w:p>
    <w:p w:rsidR="00CC5CE1" w:rsidRPr="006875CB" w:rsidRDefault="00CC5CE1" w:rsidP="005300B2">
      <w:pPr>
        <w:ind w:left="0"/>
        <w:jc w:val="both"/>
        <w:rPr>
          <w:rFonts w:ascii="Bookman Old Style" w:hAnsi="Bookman Old Style" w:cs="Arial"/>
        </w:rPr>
      </w:pPr>
      <w:r w:rsidRPr="006875CB">
        <w:rPr>
          <w:rFonts w:ascii="Bookman Old Style" w:hAnsi="Bookman Old Style" w:cs="Arial"/>
        </w:rPr>
        <w:t>Luego de trascribir el artículo 29 de la Constitución y hacer referencia a jurisprudencia de la Corte Constitucional al respecto, TGI afirma lo siguiente:</w:t>
      </w:r>
    </w:p>
    <w:p w:rsidR="00CC5CE1" w:rsidRPr="006875CB" w:rsidRDefault="00CC5CE1" w:rsidP="005300B2">
      <w:pPr>
        <w:ind w:left="0"/>
        <w:jc w:val="both"/>
        <w:rPr>
          <w:rFonts w:ascii="Bookman Old Style" w:hAnsi="Bookman Old Style" w:cs="Arial"/>
        </w:rPr>
      </w:pPr>
    </w:p>
    <w:p w:rsidR="00CC5CE1" w:rsidRPr="006875CB" w:rsidRDefault="00CC5CE1" w:rsidP="000804FD">
      <w:pPr>
        <w:jc w:val="both"/>
        <w:rPr>
          <w:rFonts w:ascii="Bookman Old Style" w:hAnsi="Bookman Old Style" w:cs="Arial"/>
          <w:i/>
          <w:sz w:val="22"/>
          <w:szCs w:val="22"/>
        </w:rPr>
      </w:pPr>
      <w:r w:rsidRPr="006875CB">
        <w:rPr>
          <w:rFonts w:ascii="Bookman Old Style" w:hAnsi="Bookman Old Style" w:cs="Arial"/>
          <w:i/>
          <w:sz w:val="22"/>
          <w:szCs w:val="22"/>
        </w:rPr>
        <w:t>“(…) no puede un peticionario soportar procedimientos no públicos o que no evidencien la realidad de las inversiones o costos que un prestador de un servicio complementario a un servicio tiene que realizar.</w:t>
      </w:r>
    </w:p>
    <w:p w:rsidR="00CC5CE1" w:rsidRPr="006875CB" w:rsidRDefault="00CC5CE1" w:rsidP="000804FD">
      <w:pPr>
        <w:jc w:val="both"/>
        <w:rPr>
          <w:rFonts w:ascii="Bookman Old Style" w:hAnsi="Bookman Old Style" w:cs="Arial"/>
          <w:i/>
          <w:sz w:val="22"/>
          <w:szCs w:val="22"/>
        </w:rPr>
      </w:pPr>
    </w:p>
    <w:p w:rsidR="00CC5CE1" w:rsidRPr="006875CB" w:rsidRDefault="00CC5CE1" w:rsidP="000804FD">
      <w:pPr>
        <w:jc w:val="both"/>
        <w:rPr>
          <w:rFonts w:ascii="Bookman Old Style" w:hAnsi="Bookman Old Style" w:cs="Arial"/>
          <w:i/>
          <w:sz w:val="22"/>
          <w:szCs w:val="22"/>
        </w:rPr>
      </w:pPr>
      <w:r w:rsidRPr="006875CB">
        <w:rPr>
          <w:rFonts w:ascii="Bookman Old Style" w:hAnsi="Bookman Old Style" w:cs="Arial"/>
          <w:i/>
          <w:sz w:val="22"/>
          <w:szCs w:val="22"/>
        </w:rPr>
        <w:t xml:space="preserve">Dentro de la actuación administrativa ante la CREG, ésta violó el presente derecho constitucional, y estableciendo una relación concreta con la resolución objeto del presente recurso se observa que la Empresa en ningún caso ha podido controvertir </w:t>
      </w:r>
      <w:r w:rsidRPr="006875CB">
        <w:rPr>
          <w:rFonts w:ascii="Bookman Old Style" w:hAnsi="Bookman Old Style" w:cs="Arial"/>
          <w:i/>
          <w:sz w:val="22"/>
          <w:szCs w:val="22"/>
        </w:rPr>
        <w:lastRenderedPageBreak/>
        <w:t>la información de carácter reservada y, por lo tanto, la inversión reconocida en el Sistema Regional de Transporte la cual se basó en el modelo de valoración de inversiones en gasoductos por comparación impidiendo el análisis y definición del efecto que esta genera.</w:t>
      </w:r>
    </w:p>
    <w:p w:rsidR="00CC5CE1" w:rsidRPr="006875CB" w:rsidRDefault="00CC5CE1" w:rsidP="000804FD">
      <w:pPr>
        <w:jc w:val="both"/>
        <w:rPr>
          <w:rFonts w:ascii="Bookman Old Style" w:hAnsi="Bookman Old Style" w:cs="Arial"/>
          <w:i/>
          <w:sz w:val="22"/>
          <w:szCs w:val="22"/>
        </w:rPr>
      </w:pPr>
    </w:p>
    <w:p w:rsidR="00CC5CE1" w:rsidRPr="006875CB" w:rsidRDefault="00CC5CE1" w:rsidP="000804FD">
      <w:pPr>
        <w:jc w:val="both"/>
        <w:rPr>
          <w:rFonts w:ascii="Bookman Old Style" w:hAnsi="Bookman Old Style" w:cs="Arial"/>
          <w:i/>
          <w:sz w:val="22"/>
          <w:szCs w:val="22"/>
        </w:rPr>
      </w:pPr>
      <w:r w:rsidRPr="006875CB">
        <w:rPr>
          <w:rFonts w:ascii="Bookman Old Style" w:hAnsi="Bookman Old Style" w:cs="Arial"/>
          <w:i/>
          <w:sz w:val="22"/>
          <w:szCs w:val="22"/>
        </w:rPr>
        <w:t>Lo anterior significa (…) que a la Empresa no se le pueden asignar cargos regulados sin tener un proceso legal que respete el derecho de contradicción, que necesariamente está en conocer la información, las formas y métodos que utiliza el regulador (…).</w:t>
      </w:r>
    </w:p>
    <w:p w:rsidR="00CC5CE1" w:rsidRPr="006875CB" w:rsidRDefault="00CC5CE1" w:rsidP="000804FD">
      <w:pPr>
        <w:jc w:val="both"/>
        <w:rPr>
          <w:rFonts w:ascii="Bookman Old Style" w:hAnsi="Bookman Old Style" w:cs="Arial"/>
          <w:i/>
          <w:sz w:val="22"/>
          <w:szCs w:val="22"/>
        </w:rPr>
      </w:pPr>
    </w:p>
    <w:p w:rsidR="00D979BA" w:rsidRDefault="00CC5CE1" w:rsidP="000804FD">
      <w:pPr>
        <w:jc w:val="both"/>
        <w:rPr>
          <w:rFonts w:ascii="Bookman Old Style" w:hAnsi="Bookman Old Style" w:cs="Arial"/>
          <w:i/>
          <w:sz w:val="22"/>
          <w:szCs w:val="22"/>
        </w:rPr>
      </w:pPr>
      <w:r w:rsidRPr="006875CB">
        <w:rPr>
          <w:rFonts w:ascii="Bookman Old Style" w:hAnsi="Bookman Old Style" w:cs="Arial"/>
          <w:i/>
          <w:sz w:val="22"/>
          <w:szCs w:val="22"/>
        </w:rPr>
        <w:t>Es importante entonces, igualmente considerar que existen situaciones posteriores al análisis que realiza la CREG y que, si no se tienen en cuenta, no se estaría siguiendo un procedimiento legal y efectivo para la determinación de cargos. Por ello, la Comisión debe en primer lugar informar y permitir el análisis para cada caso concreto de la información utilizada para el modelo de cálculo de los cargos y posteriormente incluir y actualizar los mismos con las situaciones fácticas y con ello evitar efectos patrimoniales y de servicios nocivos para la Empresa</w:t>
      </w:r>
      <w:r w:rsidR="00D979BA">
        <w:rPr>
          <w:rFonts w:ascii="Bookman Old Style" w:hAnsi="Bookman Old Style" w:cs="Arial"/>
          <w:i/>
          <w:sz w:val="22"/>
          <w:szCs w:val="22"/>
        </w:rPr>
        <w:t>.</w:t>
      </w:r>
    </w:p>
    <w:p w:rsidR="00D979BA" w:rsidRDefault="00D979BA" w:rsidP="000804FD">
      <w:pPr>
        <w:jc w:val="both"/>
        <w:rPr>
          <w:rFonts w:ascii="Bookman Old Style" w:hAnsi="Bookman Old Style" w:cs="Arial"/>
          <w:i/>
          <w:sz w:val="22"/>
          <w:szCs w:val="22"/>
        </w:rPr>
      </w:pPr>
    </w:p>
    <w:p w:rsidR="00CC5CE1" w:rsidRPr="006875CB" w:rsidRDefault="00CC5CE1" w:rsidP="000804FD">
      <w:pPr>
        <w:jc w:val="both"/>
        <w:rPr>
          <w:rFonts w:ascii="Bookman Old Style" w:hAnsi="Bookman Old Style" w:cs="Arial"/>
          <w:i/>
          <w:sz w:val="22"/>
          <w:szCs w:val="22"/>
        </w:rPr>
      </w:pPr>
      <w:r w:rsidRPr="006875CB">
        <w:rPr>
          <w:rFonts w:ascii="Bookman Old Style" w:hAnsi="Bookman Old Style" w:cs="Arial"/>
          <w:i/>
          <w:sz w:val="22"/>
          <w:szCs w:val="22"/>
        </w:rPr>
        <w:t xml:space="preserve"> (…)</w:t>
      </w:r>
    </w:p>
    <w:p w:rsidR="00CC5CE1" w:rsidRPr="006875CB" w:rsidRDefault="00CC5CE1" w:rsidP="000804FD">
      <w:pPr>
        <w:jc w:val="both"/>
        <w:rPr>
          <w:rFonts w:ascii="Bookman Old Style" w:hAnsi="Bookman Old Style" w:cs="Arial"/>
          <w:i/>
          <w:sz w:val="22"/>
          <w:szCs w:val="22"/>
        </w:rPr>
      </w:pPr>
    </w:p>
    <w:p w:rsidR="00CC5CE1" w:rsidRPr="006875CB" w:rsidRDefault="00CC5CE1" w:rsidP="000804FD">
      <w:pPr>
        <w:jc w:val="both"/>
        <w:rPr>
          <w:rFonts w:ascii="Bookman Old Style" w:hAnsi="Bookman Old Style" w:cs="Arial"/>
          <w:i/>
          <w:sz w:val="22"/>
          <w:szCs w:val="22"/>
        </w:rPr>
      </w:pPr>
      <w:r w:rsidRPr="006875CB">
        <w:rPr>
          <w:rFonts w:ascii="Bookman Old Style" w:hAnsi="Bookman Old Style" w:cs="Arial"/>
          <w:i/>
          <w:sz w:val="22"/>
          <w:szCs w:val="22"/>
        </w:rPr>
        <w:t xml:space="preserve">En efecto, el Documento CREG 082/12 expone varios criterios de valoración para una muestra de gasoductos, pero no indica la manera como se le aplicaron al Sistema Regional de Transporte Boyacá Central. De la información remitida por la CREG a TGI sobre los gasoductos de la muestra, a 11 de los 35 elementos de la misma no le es posible comprobar los costos originados con la información disponible por los criterios de comparación a pesar que la CREG utiliza el costo en USD/m-pulg de los 35 elementos de la muestra. </w:t>
      </w:r>
    </w:p>
    <w:p w:rsidR="00CC5CE1" w:rsidRPr="006875CB" w:rsidRDefault="00CC5CE1" w:rsidP="000804FD">
      <w:pPr>
        <w:jc w:val="both"/>
        <w:rPr>
          <w:rFonts w:ascii="Bookman Old Style" w:hAnsi="Bookman Old Style" w:cs="Arial"/>
          <w:i/>
          <w:sz w:val="22"/>
          <w:szCs w:val="22"/>
        </w:rPr>
      </w:pPr>
    </w:p>
    <w:p w:rsidR="00CC5CE1" w:rsidRPr="006875CB" w:rsidRDefault="00CC5CE1" w:rsidP="000804FD">
      <w:pPr>
        <w:jc w:val="both"/>
        <w:rPr>
          <w:rFonts w:ascii="Bookman Old Style" w:hAnsi="Bookman Old Style" w:cs="Arial"/>
          <w:i/>
          <w:sz w:val="22"/>
          <w:szCs w:val="22"/>
        </w:rPr>
      </w:pPr>
      <w:r w:rsidRPr="006875CB">
        <w:rPr>
          <w:rFonts w:ascii="Bookman Old Style" w:hAnsi="Bookman Old Style" w:cs="Arial"/>
          <w:i/>
          <w:sz w:val="22"/>
          <w:szCs w:val="22"/>
        </w:rPr>
        <w:t xml:space="preserve">No se cumple, por lo tanto, la exigencia legal de que los motivos para tomar las decisiones contenidas en la Resolución recurrida </w:t>
      </w:r>
      <w:r w:rsidR="00D979BA">
        <w:rPr>
          <w:rFonts w:ascii="Bookman Old Style" w:hAnsi="Bookman Old Style" w:cs="Arial"/>
          <w:i/>
          <w:sz w:val="22"/>
          <w:szCs w:val="22"/>
        </w:rPr>
        <w:t>‘</w:t>
      </w:r>
      <w:r w:rsidRPr="006875CB">
        <w:rPr>
          <w:rFonts w:ascii="Bookman Old Style" w:hAnsi="Bookman Old Style" w:cs="Arial"/>
          <w:i/>
          <w:sz w:val="22"/>
          <w:szCs w:val="22"/>
        </w:rPr>
        <w:t>sean verificables</w:t>
      </w:r>
      <w:r w:rsidR="00D979BA">
        <w:rPr>
          <w:rFonts w:ascii="Bookman Old Style" w:hAnsi="Bookman Old Style" w:cs="Arial"/>
          <w:i/>
          <w:sz w:val="22"/>
          <w:szCs w:val="22"/>
        </w:rPr>
        <w:t>’</w:t>
      </w:r>
      <w:r w:rsidRPr="006875CB">
        <w:rPr>
          <w:rFonts w:ascii="Bookman Old Style" w:hAnsi="Bookman Old Style" w:cs="Arial"/>
          <w:i/>
          <w:sz w:val="22"/>
          <w:szCs w:val="22"/>
        </w:rPr>
        <w:t xml:space="preserve">. </w:t>
      </w:r>
    </w:p>
    <w:p w:rsidR="00CC5CE1" w:rsidRPr="006875CB" w:rsidRDefault="00CC5CE1" w:rsidP="000804FD">
      <w:pPr>
        <w:jc w:val="both"/>
        <w:rPr>
          <w:rFonts w:ascii="Bookman Old Style" w:hAnsi="Bookman Old Style" w:cs="Arial"/>
          <w:i/>
          <w:sz w:val="22"/>
          <w:szCs w:val="22"/>
        </w:rPr>
      </w:pPr>
    </w:p>
    <w:p w:rsidR="00CC5CE1" w:rsidRPr="006875CB" w:rsidRDefault="00CC5CE1" w:rsidP="000804FD">
      <w:pPr>
        <w:jc w:val="both"/>
        <w:rPr>
          <w:rFonts w:ascii="Bookman Old Style" w:hAnsi="Bookman Old Style" w:cs="Arial"/>
          <w:i/>
          <w:sz w:val="22"/>
          <w:szCs w:val="22"/>
        </w:rPr>
      </w:pPr>
      <w:r w:rsidRPr="006875CB">
        <w:rPr>
          <w:rFonts w:ascii="Bookman Old Style" w:hAnsi="Bookman Old Style" w:cs="Arial"/>
          <w:i/>
          <w:sz w:val="22"/>
          <w:szCs w:val="22"/>
        </w:rPr>
        <w:t xml:space="preserve">En efecto, al reducir considerablemente los costos reconocidos para la inversión, y ello sin tener en cuenta que los correspondientes a Geotecnia de por sí se han elevado considerablemente, TGI resulta lesionado gravemente o, como dice el código, recibe un </w:t>
      </w:r>
      <w:r w:rsidR="00D979BA">
        <w:rPr>
          <w:rFonts w:ascii="Bookman Old Style" w:hAnsi="Bookman Old Style" w:cs="Arial"/>
          <w:i/>
          <w:sz w:val="22"/>
          <w:szCs w:val="22"/>
        </w:rPr>
        <w:t>‘</w:t>
      </w:r>
      <w:r w:rsidRPr="006875CB">
        <w:rPr>
          <w:rFonts w:ascii="Bookman Old Style" w:hAnsi="Bookman Old Style" w:cs="Arial"/>
          <w:i/>
          <w:sz w:val="22"/>
          <w:szCs w:val="22"/>
        </w:rPr>
        <w:t>agravio injustificado</w:t>
      </w:r>
      <w:r w:rsidR="00D979BA">
        <w:rPr>
          <w:rFonts w:ascii="Bookman Old Style" w:hAnsi="Bookman Old Style" w:cs="Arial"/>
          <w:i/>
          <w:sz w:val="22"/>
          <w:szCs w:val="22"/>
        </w:rPr>
        <w:t>’</w:t>
      </w:r>
      <w:r w:rsidRPr="006875CB">
        <w:rPr>
          <w:rFonts w:ascii="Bookman Old Style" w:hAnsi="Bookman Old Style" w:cs="Arial"/>
          <w:i/>
          <w:sz w:val="22"/>
          <w:szCs w:val="22"/>
        </w:rPr>
        <w:t>.</w:t>
      </w:r>
    </w:p>
    <w:p w:rsidR="00CC5CE1" w:rsidRPr="006875CB" w:rsidRDefault="00CC5CE1" w:rsidP="000804FD">
      <w:pPr>
        <w:jc w:val="both"/>
        <w:rPr>
          <w:rFonts w:ascii="Bookman Old Style" w:hAnsi="Bookman Old Style" w:cs="Arial"/>
          <w:i/>
          <w:sz w:val="22"/>
          <w:szCs w:val="22"/>
        </w:rPr>
      </w:pPr>
    </w:p>
    <w:p w:rsidR="00CC5CE1" w:rsidRPr="006875CB" w:rsidRDefault="00CC5CE1" w:rsidP="000804FD">
      <w:pPr>
        <w:jc w:val="both"/>
        <w:rPr>
          <w:rFonts w:ascii="Bookman Old Style" w:hAnsi="Bookman Old Style" w:cs="Arial"/>
          <w:i/>
          <w:sz w:val="22"/>
          <w:szCs w:val="22"/>
        </w:rPr>
      </w:pPr>
      <w:r w:rsidRPr="006875CB">
        <w:rPr>
          <w:rFonts w:ascii="Bookman Old Style" w:hAnsi="Bookman Old Style" w:cs="Arial"/>
          <w:i/>
          <w:sz w:val="22"/>
          <w:szCs w:val="22"/>
        </w:rPr>
        <w:t>Las decisiones tarifarias de la CREG, que legalmente son regladas, están sujetas a un procedimiento legal y por tal razón la causal es plenamente aplicable, máxime en la situación presente en que el gasoducto no está construido y parte de los usuarios del mercado o mercados relevantes está siendo atendida por MADIGAS INGENIEROS S.A. E.S.P. mediante una derivación en tubería de polietileno de sus Sistemas de Distribución y con una conexión inicial al Sistema Nacional de Transporte de TGI en el Municipio de Ventaquemada.</w:t>
      </w:r>
    </w:p>
    <w:p w:rsidR="00CC5CE1" w:rsidRPr="006875CB" w:rsidRDefault="00CC5CE1" w:rsidP="000804FD">
      <w:pPr>
        <w:jc w:val="both"/>
        <w:rPr>
          <w:rFonts w:ascii="Bookman Old Style" w:hAnsi="Bookman Old Style" w:cs="Arial"/>
          <w:i/>
          <w:sz w:val="22"/>
          <w:szCs w:val="22"/>
        </w:rPr>
      </w:pPr>
    </w:p>
    <w:p w:rsidR="00CC5CE1" w:rsidRPr="006875CB" w:rsidRDefault="00CC5CE1" w:rsidP="000804FD">
      <w:pPr>
        <w:jc w:val="both"/>
        <w:rPr>
          <w:rFonts w:ascii="Bookman Old Style" w:hAnsi="Bookman Old Style" w:cs="Arial"/>
          <w:i/>
          <w:sz w:val="22"/>
          <w:szCs w:val="22"/>
        </w:rPr>
      </w:pPr>
      <w:r w:rsidRPr="006875CB">
        <w:rPr>
          <w:rFonts w:ascii="Bookman Old Style" w:hAnsi="Bookman Old Style" w:cs="Arial"/>
          <w:i/>
          <w:sz w:val="22"/>
          <w:szCs w:val="22"/>
        </w:rPr>
        <w:t>Igualmente se debe tener en cuenta que la metodología general para remunerar los servicios de transporte de gas natural, contenida en la Resolución CREG 126/10, reformada por la Resolución CREG 79/11, se modificó para la fijación de los cargos en la Resolución objeto del presente recurso, a incorporar los conceptos de peritazgos utilizados para resolver los Recursos de Reposición contra las Resoluciones CREG 110/11, 115/11 y 117/11, relativas a cargos regulados de transporte. (…)</w:t>
      </w:r>
    </w:p>
    <w:p w:rsidR="00CC5CE1" w:rsidRPr="006875CB" w:rsidRDefault="00CC5CE1" w:rsidP="000804FD">
      <w:pPr>
        <w:jc w:val="both"/>
        <w:rPr>
          <w:rFonts w:ascii="Bookman Old Style" w:hAnsi="Bookman Old Style" w:cs="Arial"/>
          <w:i/>
          <w:sz w:val="22"/>
          <w:szCs w:val="22"/>
        </w:rPr>
      </w:pPr>
    </w:p>
    <w:p w:rsidR="00092660" w:rsidRDefault="00CC5CE1" w:rsidP="000804FD">
      <w:pPr>
        <w:jc w:val="both"/>
        <w:rPr>
          <w:rFonts w:ascii="Bookman Old Style" w:hAnsi="Bookman Old Style" w:cs="Arial"/>
          <w:i/>
          <w:sz w:val="22"/>
          <w:szCs w:val="22"/>
        </w:rPr>
      </w:pPr>
      <w:r w:rsidRPr="006875CB">
        <w:rPr>
          <w:rFonts w:ascii="Bookman Old Style" w:hAnsi="Bookman Old Style" w:cs="Arial"/>
          <w:i/>
          <w:sz w:val="22"/>
          <w:szCs w:val="22"/>
        </w:rPr>
        <w:t xml:space="preserve">Sin embargo, una decisión de carácter particular como la mencionada resolución, no puede ni ser fundamento de otras decisiones, ni modificar resoluciones de </w:t>
      </w:r>
      <w:r w:rsidRPr="006875CB">
        <w:rPr>
          <w:rFonts w:ascii="Bookman Old Style" w:hAnsi="Bookman Old Style" w:cs="Arial"/>
          <w:i/>
          <w:sz w:val="22"/>
          <w:szCs w:val="22"/>
        </w:rPr>
        <w:lastRenderedPageBreak/>
        <w:t>carácter general, toda vez que contraría lo dispuesto en el artículo 126 de la Ley 142/94</w:t>
      </w:r>
      <w:r w:rsidR="00092660">
        <w:rPr>
          <w:rFonts w:ascii="Bookman Old Style" w:hAnsi="Bookman Old Style" w:cs="Arial"/>
          <w:i/>
          <w:sz w:val="22"/>
          <w:szCs w:val="22"/>
        </w:rPr>
        <w:t>:</w:t>
      </w:r>
    </w:p>
    <w:p w:rsidR="00092660" w:rsidRDefault="00092660" w:rsidP="000804FD">
      <w:pPr>
        <w:jc w:val="both"/>
        <w:rPr>
          <w:rFonts w:ascii="Bookman Old Style" w:hAnsi="Bookman Old Style" w:cs="Arial"/>
          <w:i/>
          <w:sz w:val="22"/>
          <w:szCs w:val="22"/>
        </w:rPr>
      </w:pPr>
    </w:p>
    <w:p w:rsidR="00CC5CE1" w:rsidRPr="006875CB" w:rsidRDefault="00CC5CE1" w:rsidP="000804FD">
      <w:pPr>
        <w:jc w:val="both"/>
        <w:rPr>
          <w:rFonts w:ascii="Bookman Old Style" w:hAnsi="Bookman Old Style" w:cs="Arial"/>
          <w:i/>
          <w:sz w:val="22"/>
          <w:szCs w:val="22"/>
        </w:rPr>
      </w:pPr>
      <w:r w:rsidRPr="006875CB">
        <w:rPr>
          <w:rFonts w:ascii="Bookman Old Style" w:hAnsi="Bookman Old Style" w:cs="Arial"/>
          <w:i/>
          <w:sz w:val="22"/>
          <w:szCs w:val="22"/>
        </w:rPr>
        <w:t>(…)”.</w:t>
      </w:r>
    </w:p>
    <w:p w:rsidR="00CC5CE1" w:rsidRPr="006875CB" w:rsidRDefault="00CC5CE1" w:rsidP="005056C1">
      <w:pPr>
        <w:ind w:left="0"/>
        <w:jc w:val="both"/>
        <w:rPr>
          <w:rFonts w:ascii="Bookman Old Style" w:hAnsi="Bookman Old Style" w:cs="Arial"/>
        </w:rPr>
      </w:pPr>
    </w:p>
    <w:p w:rsidR="00A62E4D" w:rsidRPr="006875CB" w:rsidRDefault="00E95F5C" w:rsidP="001743A6">
      <w:pPr>
        <w:ind w:left="0"/>
        <w:jc w:val="both"/>
        <w:rPr>
          <w:rFonts w:ascii="Bookman Old Style" w:hAnsi="Bookman Old Style" w:cs="Arial"/>
        </w:rPr>
      </w:pPr>
      <w:r w:rsidRPr="006875CB">
        <w:rPr>
          <w:rFonts w:ascii="Bookman Old Style" w:hAnsi="Bookman Old Style" w:cs="Arial"/>
        </w:rPr>
        <w:t>Respecto de las aseveraci</w:t>
      </w:r>
      <w:r w:rsidR="00CB73DF" w:rsidRPr="006875CB">
        <w:rPr>
          <w:rFonts w:ascii="Bookman Old Style" w:hAnsi="Bookman Old Style" w:cs="Arial"/>
        </w:rPr>
        <w:t>ones de TGI</w:t>
      </w:r>
      <w:r w:rsidRPr="006875CB">
        <w:rPr>
          <w:rFonts w:ascii="Bookman Old Style" w:hAnsi="Bookman Old Style" w:cs="Arial"/>
        </w:rPr>
        <w:t xml:space="preserve"> es pertinente </w:t>
      </w:r>
      <w:r w:rsidR="00067F10" w:rsidRPr="006875CB">
        <w:rPr>
          <w:rFonts w:ascii="Bookman Old Style" w:hAnsi="Bookman Old Style" w:cs="Arial"/>
        </w:rPr>
        <w:t>señalar</w:t>
      </w:r>
      <w:r w:rsidR="00CB73DF" w:rsidRPr="006875CB">
        <w:rPr>
          <w:rFonts w:ascii="Bookman Old Style" w:hAnsi="Bookman Old Style" w:cs="Arial"/>
        </w:rPr>
        <w:t>,</w:t>
      </w:r>
      <w:r w:rsidR="00087095" w:rsidRPr="006875CB">
        <w:rPr>
          <w:rFonts w:ascii="Bookman Old Style" w:hAnsi="Bookman Old Style" w:cs="Arial"/>
        </w:rPr>
        <w:t xml:space="preserve"> como primer punto</w:t>
      </w:r>
      <w:r w:rsidR="00CB73DF" w:rsidRPr="006875CB">
        <w:rPr>
          <w:rFonts w:ascii="Bookman Old Style" w:hAnsi="Bookman Old Style" w:cs="Arial"/>
        </w:rPr>
        <w:t>,</w:t>
      </w:r>
      <w:r w:rsidR="00087095" w:rsidRPr="006875CB">
        <w:rPr>
          <w:rFonts w:ascii="Bookman Old Style" w:hAnsi="Bookman Old Style" w:cs="Arial"/>
        </w:rPr>
        <w:t xml:space="preserve"> que </w:t>
      </w:r>
      <w:r w:rsidR="00087095" w:rsidRPr="006875CB">
        <w:rPr>
          <w:rFonts w:ascii="Bookman Old Style" w:hAnsi="Bookman Old Style" w:cs="Arial"/>
          <w:i/>
        </w:rPr>
        <w:t>“</w:t>
      </w:r>
      <w:r w:rsidRPr="006875CB">
        <w:rPr>
          <w:rFonts w:ascii="Bookman Old Style" w:hAnsi="Bookman Old Style" w:cs="Arial"/>
          <w:i/>
        </w:rPr>
        <w:t>la información</w:t>
      </w:r>
      <w:r w:rsidR="00087095" w:rsidRPr="006875CB">
        <w:rPr>
          <w:rFonts w:ascii="Bookman Old Style" w:hAnsi="Bookman Old Style" w:cs="Arial"/>
          <w:i/>
        </w:rPr>
        <w:t xml:space="preserve">, </w:t>
      </w:r>
      <w:r w:rsidRPr="006875CB">
        <w:rPr>
          <w:rFonts w:ascii="Bookman Old Style" w:hAnsi="Bookman Old Style" w:cs="Arial"/>
          <w:i/>
        </w:rPr>
        <w:t>las formas</w:t>
      </w:r>
      <w:r w:rsidR="00087095" w:rsidRPr="006875CB">
        <w:rPr>
          <w:rFonts w:ascii="Bookman Old Style" w:hAnsi="Bookman Old Style" w:cs="Arial"/>
          <w:i/>
        </w:rPr>
        <w:t xml:space="preserve"> y los métodos”</w:t>
      </w:r>
      <w:r w:rsidRPr="006875CB">
        <w:rPr>
          <w:rFonts w:ascii="Bookman Old Style" w:hAnsi="Bookman Old Style" w:cs="Arial"/>
        </w:rPr>
        <w:t xml:space="preserve"> que utilizó la CREG para fijar los cargos regulados de transporte de gas natural </w:t>
      </w:r>
      <w:r w:rsidR="00087095" w:rsidRPr="006875CB">
        <w:rPr>
          <w:rFonts w:ascii="Bookman Old Style" w:hAnsi="Bookman Old Style" w:cs="Arial"/>
        </w:rPr>
        <w:t>no sólo están claramente determinados en la normativa pertinente, sino que son públicos y basados en información transparente</w:t>
      </w:r>
      <w:r w:rsidRPr="006875CB">
        <w:rPr>
          <w:rFonts w:ascii="Bookman Old Style" w:hAnsi="Bookman Old Style" w:cs="Arial"/>
        </w:rPr>
        <w:t xml:space="preserve">. </w:t>
      </w:r>
      <w:r w:rsidR="00A62E4D" w:rsidRPr="006875CB">
        <w:rPr>
          <w:rFonts w:ascii="Bookman Old Style" w:hAnsi="Bookman Old Style" w:cs="Arial"/>
        </w:rPr>
        <w:t>Por lo tanto, se rechaza toda afirmación que implique que la CREG actuó ocultando información o violando en manera alguna el principio de publicidad.</w:t>
      </w:r>
    </w:p>
    <w:p w:rsidR="00A62E4D" w:rsidRPr="006875CB" w:rsidRDefault="00A62E4D" w:rsidP="001743A6">
      <w:pPr>
        <w:ind w:left="0"/>
        <w:jc w:val="both"/>
        <w:rPr>
          <w:rFonts w:ascii="Bookman Old Style" w:hAnsi="Bookman Old Style" w:cs="Arial"/>
        </w:rPr>
      </w:pPr>
    </w:p>
    <w:p w:rsidR="00087095" w:rsidRPr="006875CB" w:rsidRDefault="00E95F5C" w:rsidP="001743A6">
      <w:pPr>
        <w:ind w:left="0"/>
        <w:jc w:val="both"/>
        <w:rPr>
          <w:rFonts w:ascii="Bookman Old Style" w:hAnsi="Bookman Old Style" w:cs="Arial"/>
        </w:rPr>
      </w:pPr>
      <w:r w:rsidRPr="006875CB">
        <w:rPr>
          <w:rFonts w:ascii="Bookman Old Style" w:hAnsi="Bookman Old Style" w:cs="Arial"/>
        </w:rPr>
        <w:t xml:space="preserve">En efecto, la Resolución CREG 126 de 2010 estableció con claridad la </w:t>
      </w:r>
      <w:r w:rsidRPr="006875CB">
        <w:rPr>
          <w:rFonts w:ascii="Bookman Old Style" w:hAnsi="Bookman Old Style" w:cs="Arial"/>
          <w:i/>
        </w:rPr>
        <w:t>metodología</w:t>
      </w:r>
      <w:r w:rsidRPr="006875CB">
        <w:rPr>
          <w:rFonts w:ascii="Bookman Old Style" w:hAnsi="Bookman Old Style" w:cs="Arial"/>
        </w:rPr>
        <w:t xml:space="preserve"> </w:t>
      </w:r>
      <w:r w:rsidR="00E93A08" w:rsidRPr="006875CB">
        <w:rPr>
          <w:rFonts w:ascii="Bookman Old Style" w:hAnsi="Bookman Old Style" w:cs="Arial"/>
        </w:rPr>
        <w:t>aplicable, en especial en sus artículo</w:t>
      </w:r>
      <w:r w:rsidR="00087095" w:rsidRPr="006875CB">
        <w:rPr>
          <w:rFonts w:ascii="Bookman Old Style" w:hAnsi="Bookman Old Style" w:cs="Arial"/>
        </w:rPr>
        <w:t>s</w:t>
      </w:r>
      <w:r w:rsidR="00E93A08" w:rsidRPr="006875CB">
        <w:rPr>
          <w:rFonts w:ascii="Bookman Old Style" w:hAnsi="Bookman Old Style" w:cs="Arial"/>
        </w:rPr>
        <w:t xml:space="preserve"> 22</w:t>
      </w:r>
      <w:r w:rsidR="00087095" w:rsidRPr="006875CB">
        <w:rPr>
          <w:rFonts w:ascii="Bookman Old Style" w:hAnsi="Bookman Old Style" w:cs="Arial"/>
        </w:rPr>
        <w:t>, 24 y 25, los cuales fueron aplicados</w:t>
      </w:r>
      <w:r w:rsidR="00E93A08" w:rsidRPr="006875CB">
        <w:rPr>
          <w:rFonts w:ascii="Bookman Old Style" w:hAnsi="Bookman Old Style" w:cs="Arial"/>
        </w:rPr>
        <w:t xml:space="preserve"> de manera rigurosa</w:t>
      </w:r>
      <w:r w:rsidR="00087095" w:rsidRPr="006875CB">
        <w:rPr>
          <w:rFonts w:ascii="Bookman Old Style" w:hAnsi="Bookman Old Style" w:cs="Arial"/>
        </w:rPr>
        <w:t xml:space="preserve"> durante la actuación administrativa que dio lugar a la Resolución recurrida.</w:t>
      </w:r>
    </w:p>
    <w:p w:rsidR="00087095" w:rsidRPr="006875CB" w:rsidRDefault="00087095" w:rsidP="001743A6">
      <w:pPr>
        <w:ind w:left="0"/>
        <w:jc w:val="both"/>
        <w:rPr>
          <w:rFonts w:ascii="Bookman Old Style" w:hAnsi="Bookman Old Style" w:cs="Arial"/>
        </w:rPr>
      </w:pPr>
    </w:p>
    <w:p w:rsidR="00B61182" w:rsidRPr="006875CB" w:rsidRDefault="00CB73DF" w:rsidP="001743A6">
      <w:pPr>
        <w:ind w:left="0"/>
        <w:jc w:val="both"/>
        <w:rPr>
          <w:rFonts w:ascii="Bookman Old Style" w:hAnsi="Bookman Old Style" w:cs="Arial"/>
        </w:rPr>
      </w:pPr>
      <w:r w:rsidRPr="006875CB">
        <w:rPr>
          <w:rFonts w:ascii="Bookman Old Style" w:hAnsi="Bookman Old Style" w:cs="Arial"/>
        </w:rPr>
        <w:t>En efecto, l</w:t>
      </w:r>
      <w:r w:rsidR="00087095" w:rsidRPr="006875CB">
        <w:rPr>
          <w:rFonts w:ascii="Bookman Old Style" w:hAnsi="Bookman Old Style" w:cs="Arial"/>
        </w:rPr>
        <w:t>a CREG dio aplicación al literal h) del mencionado artículo 24,</w:t>
      </w:r>
      <w:r w:rsidR="00B61182" w:rsidRPr="006875CB">
        <w:rPr>
          <w:rFonts w:ascii="Bookman Old Style" w:hAnsi="Bookman Old Style" w:cs="Arial"/>
        </w:rPr>
        <w:t xml:space="preserve"> el</w:t>
      </w:r>
      <w:r w:rsidR="00087095" w:rsidRPr="006875CB">
        <w:rPr>
          <w:rFonts w:ascii="Bookman Old Style" w:hAnsi="Bookman Old Style" w:cs="Arial"/>
        </w:rPr>
        <w:t xml:space="preserve"> cual dispone que </w:t>
      </w:r>
      <w:r w:rsidR="00B61182" w:rsidRPr="006875CB">
        <w:rPr>
          <w:rFonts w:ascii="Bookman Old Style" w:hAnsi="Bookman Old Style" w:cs="Arial"/>
        </w:rPr>
        <w:t>si para la determinación de cargos de la Red Tipo II</w:t>
      </w:r>
      <w:r w:rsidR="00087095" w:rsidRPr="006875CB">
        <w:rPr>
          <w:rFonts w:ascii="Bookman Old Style" w:hAnsi="Bookman Old Style" w:cs="Arial"/>
        </w:rPr>
        <w:t xml:space="preserve"> </w:t>
      </w:r>
      <w:r w:rsidR="00087095" w:rsidRPr="006875CB">
        <w:rPr>
          <w:rFonts w:ascii="Bookman Old Style" w:hAnsi="Bookman Old Style" w:cs="Arial"/>
          <w:i/>
        </w:rPr>
        <w:t>“</w:t>
      </w:r>
      <w:r w:rsidR="00087095" w:rsidRPr="006875CB">
        <w:rPr>
          <w:rFonts w:ascii="Bookman Old Style" w:hAnsi="Bookman Old Style" w:cs="Arial"/>
          <w:i/>
          <w:color w:val="000000"/>
        </w:rPr>
        <w:t xml:space="preserve">se presenta una solicitud tarifaria o sólo se reciben solicitudes de transportadores que tienen interés económico entre sí, la CREG evaluará la solicitud del agente que presentó los tres sobres de conformidad con el </w:t>
      </w:r>
      <w:r w:rsidR="00087095" w:rsidRPr="006875CB">
        <w:rPr>
          <w:rFonts w:ascii="Bookman Old Style" w:hAnsi="Bookman Old Style" w:cs="Arial"/>
          <w:i/>
        </w:rPr>
        <w:t>literal a)</w:t>
      </w:r>
      <w:r w:rsidR="00087095" w:rsidRPr="006875CB">
        <w:rPr>
          <w:rFonts w:ascii="Bookman Old Style" w:hAnsi="Bookman Old Style"/>
          <w:i/>
        </w:rPr>
        <w:t xml:space="preserve"> </w:t>
      </w:r>
      <w:r w:rsidR="00087095" w:rsidRPr="006875CB">
        <w:rPr>
          <w:rFonts w:ascii="Bookman Old Style" w:hAnsi="Bookman Old Style" w:cs="Arial"/>
          <w:i/>
          <w:color w:val="000000"/>
        </w:rPr>
        <w:t xml:space="preserve">de este artículo. </w:t>
      </w:r>
      <w:r w:rsidR="00087095" w:rsidRPr="006875CB">
        <w:rPr>
          <w:rFonts w:ascii="Bookman Old Style" w:hAnsi="Bookman Old Style" w:cs="Arial"/>
          <w:b/>
          <w:i/>
          <w:color w:val="000000"/>
          <w:u w:val="single"/>
        </w:rPr>
        <w:t>Este procedimiento se llevará a cabo de acuerdo con lo establecido en el Anexo 1 de la presente Resolución</w:t>
      </w:r>
      <w:r w:rsidR="00087095" w:rsidRPr="006875CB">
        <w:rPr>
          <w:rFonts w:ascii="Bookman Old Style" w:hAnsi="Bookman Old Style" w:cs="Arial"/>
          <w:i/>
        </w:rPr>
        <w:t>”</w:t>
      </w:r>
      <w:r w:rsidR="00E93A08" w:rsidRPr="006875CB">
        <w:rPr>
          <w:rFonts w:ascii="Bookman Old Style" w:hAnsi="Bookman Old Style" w:cs="Arial"/>
        </w:rPr>
        <w:t xml:space="preserve"> </w:t>
      </w:r>
      <w:r w:rsidR="00087095" w:rsidRPr="006875CB">
        <w:rPr>
          <w:rFonts w:ascii="Bookman Old Style" w:hAnsi="Bookman Old Style" w:cs="Arial"/>
        </w:rPr>
        <w:t xml:space="preserve">(subrayas y negrillas fuera de texto). </w:t>
      </w:r>
    </w:p>
    <w:p w:rsidR="00B61182" w:rsidRPr="006875CB" w:rsidRDefault="00B61182" w:rsidP="001743A6">
      <w:pPr>
        <w:ind w:left="0"/>
        <w:jc w:val="both"/>
        <w:rPr>
          <w:rFonts w:ascii="Bookman Old Style" w:hAnsi="Bookman Old Style" w:cs="Arial"/>
        </w:rPr>
      </w:pPr>
    </w:p>
    <w:p w:rsidR="00CB73DF" w:rsidRPr="006875CB" w:rsidRDefault="00B61182" w:rsidP="001743A6">
      <w:pPr>
        <w:ind w:left="0"/>
        <w:jc w:val="both"/>
        <w:rPr>
          <w:rFonts w:ascii="Bookman Old Style" w:hAnsi="Bookman Old Style" w:cs="Arial"/>
        </w:rPr>
      </w:pPr>
      <w:r w:rsidRPr="006875CB">
        <w:rPr>
          <w:rFonts w:ascii="Bookman Old Style" w:hAnsi="Bookman Old Style" w:cs="Arial"/>
        </w:rPr>
        <w:t>De esta forma, se procedió a aplicar el método de comparación</w:t>
      </w:r>
      <w:r w:rsidR="00A62E4D" w:rsidRPr="006875CB">
        <w:rPr>
          <w:rFonts w:ascii="Bookman Old Style" w:hAnsi="Bookman Old Style" w:cs="Arial"/>
        </w:rPr>
        <w:t xml:space="preserve"> cuyo marco fue establecido en el Anexo </w:t>
      </w:r>
      <w:r w:rsidR="003A122D" w:rsidRPr="006875CB">
        <w:rPr>
          <w:rFonts w:ascii="Bookman Old Style" w:hAnsi="Bookman Old Style" w:cs="Arial"/>
        </w:rPr>
        <w:t xml:space="preserve">1 </w:t>
      </w:r>
      <w:r w:rsidR="00A62E4D" w:rsidRPr="006875CB">
        <w:rPr>
          <w:rFonts w:ascii="Bookman Old Style" w:hAnsi="Bookman Old Style" w:cs="Arial"/>
        </w:rPr>
        <w:t>de la Resolución CREG 126 de 2010</w:t>
      </w:r>
      <w:r w:rsidRPr="006875CB">
        <w:rPr>
          <w:rFonts w:ascii="Bookman Old Style" w:hAnsi="Bookman Old Style" w:cs="Arial"/>
        </w:rPr>
        <w:t>, el cual es explicado en detalle en el Documento CREG 082 de 2012</w:t>
      </w:r>
      <w:r w:rsidR="00CB73DF" w:rsidRPr="006875CB">
        <w:rPr>
          <w:rFonts w:ascii="Bookman Old Style" w:hAnsi="Bookman Old Style" w:cs="Arial"/>
        </w:rPr>
        <w:t>, específicamente en el Anexo 3 del mismo</w:t>
      </w:r>
      <w:r w:rsidRPr="006875CB">
        <w:rPr>
          <w:rFonts w:ascii="Bookman Old Style" w:hAnsi="Bookman Old Style" w:cs="Arial"/>
        </w:rPr>
        <w:t xml:space="preserve">. </w:t>
      </w:r>
      <w:r w:rsidR="00CB73DF" w:rsidRPr="006875CB">
        <w:rPr>
          <w:rFonts w:ascii="Bookman Old Style" w:hAnsi="Bookman Old Style" w:cs="Arial"/>
        </w:rPr>
        <w:t>Allí</w:t>
      </w:r>
      <w:r w:rsidRPr="006875CB">
        <w:rPr>
          <w:rFonts w:ascii="Bookman Old Style" w:hAnsi="Bookman Old Style" w:cs="Arial"/>
        </w:rPr>
        <w:t xml:space="preserve"> se </w:t>
      </w:r>
      <w:r w:rsidR="00CB73DF" w:rsidRPr="006875CB">
        <w:rPr>
          <w:rFonts w:ascii="Bookman Old Style" w:hAnsi="Bookman Old Style" w:cs="Arial"/>
        </w:rPr>
        <w:t xml:space="preserve">exponen de manera clara los ductos que fueron tenidos en cuenta para conformar la muestra respecto de la cual se aplicó el método de comparación determinado en la </w:t>
      </w:r>
      <w:r w:rsidR="00CB73DF" w:rsidRPr="006875CB">
        <w:rPr>
          <w:rFonts w:ascii="Bookman Old Style" w:hAnsi="Bookman Old Style" w:cs="Arial"/>
          <w:i/>
        </w:rPr>
        <w:t xml:space="preserve">metodología. </w:t>
      </w:r>
      <w:r w:rsidR="00CB73DF" w:rsidRPr="006875CB">
        <w:rPr>
          <w:rFonts w:ascii="Bookman Old Style" w:hAnsi="Bookman Old Style" w:cs="Arial"/>
        </w:rPr>
        <w:t xml:space="preserve">Así, entre otros, se dejó claro el </w:t>
      </w:r>
      <w:r w:rsidR="00154D0F" w:rsidRPr="006875CB">
        <w:rPr>
          <w:rFonts w:ascii="Bookman Old Style" w:hAnsi="Bookman Old Style" w:cs="Arial"/>
        </w:rPr>
        <w:t xml:space="preserve">gasoducto </w:t>
      </w:r>
      <w:r w:rsidR="005B5D4F">
        <w:rPr>
          <w:rFonts w:ascii="Bookman Old Style" w:hAnsi="Bookman Old Style" w:cs="Arial"/>
        </w:rPr>
        <w:t>correspondiente y la r</w:t>
      </w:r>
      <w:r w:rsidR="00CB73DF" w:rsidRPr="006875CB">
        <w:rPr>
          <w:rFonts w:ascii="Bookman Old Style" w:hAnsi="Bookman Old Style" w:cs="Arial"/>
        </w:rPr>
        <w:t>esolución CREG mediante la cual se aprobaron cargos regulados de transporte</w:t>
      </w:r>
      <w:r w:rsidR="00C74BCD" w:rsidRPr="006875CB">
        <w:rPr>
          <w:rFonts w:ascii="Bookman Old Style" w:hAnsi="Bookman Old Style" w:cs="Arial"/>
        </w:rPr>
        <w:t>. Valga indicar que todos los du</w:t>
      </w:r>
      <w:r w:rsidR="00CB73DF" w:rsidRPr="006875CB">
        <w:rPr>
          <w:rFonts w:ascii="Bookman Old Style" w:hAnsi="Bookman Old Style" w:cs="Arial"/>
        </w:rPr>
        <w:t>ctos referidos fueron construidos entre los años 2002 y 2011.</w:t>
      </w:r>
    </w:p>
    <w:p w:rsidR="00CB73DF" w:rsidRPr="006875CB" w:rsidRDefault="00CB73DF" w:rsidP="001743A6">
      <w:pPr>
        <w:ind w:left="0"/>
        <w:jc w:val="both"/>
        <w:rPr>
          <w:rFonts w:ascii="Bookman Old Style" w:hAnsi="Bookman Old Style" w:cs="Arial"/>
        </w:rPr>
      </w:pPr>
    </w:p>
    <w:p w:rsidR="007F03D7" w:rsidRPr="006875CB" w:rsidRDefault="00CB73DF" w:rsidP="001743A6">
      <w:pPr>
        <w:ind w:left="0"/>
        <w:jc w:val="both"/>
        <w:rPr>
          <w:rFonts w:ascii="Bookman Old Style" w:hAnsi="Bookman Old Style" w:cs="Arial"/>
        </w:rPr>
      </w:pPr>
      <w:r w:rsidRPr="006875CB">
        <w:rPr>
          <w:rFonts w:ascii="Bookman Old Style" w:hAnsi="Bookman Old Style" w:cs="Arial"/>
        </w:rPr>
        <w:t>Asimismo, en el Anexo 3 del Documento CRE</w:t>
      </w:r>
      <w:r w:rsidR="00154D0F" w:rsidRPr="006875CB">
        <w:rPr>
          <w:rFonts w:ascii="Bookman Old Style" w:hAnsi="Bookman Old Style" w:cs="Arial"/>
        </w:rPr>
        <w:t>G</w:t>
      </w:r>
      <w:r w:rsidRPr="006875CB">
        <w:rPr>
          <w:rFonts w:ascii="Bookman Old Style" w:hAnsi="Bookman Old Style" w:cs="Arial"/>
        </w:rPr>
        <w:t xml:space="preserve"> 082 de 2012 se detallaron</w:t>
      </w:r>
      <w:r w:rsidR="00B61182" w:rsidRPr="006875CB">
        <w:rPr>
          <w:rFonts w:ascii="Bookman Old Style" w:hAnsi="Bookman Old Style" w:cs="Arial"/>
        </w:rPr>
        <w:t xml:space="preserve"> las variables tomadas en cuenta por la CREG</w:t>
      </w:r>
      <w:r w:rsidR="00A62E4D" w:rsidRPr="006875CB">
        <w:rPr>
          <w:rFonts w:ascii="Bookman Old Style" w:hAnsi="Bookman Old Style" w:cs="Arial"/>
        </w:rPr>
        <w:t xml:space="preserve"> para comparar las inversiones de TGI</w:t>
      </w:r>
      <w:r w:rsidR="00B61182" w:rsidRPr="006875CB">
        <w:rPr>
          <w:rFonts w:ascii="Bookman Old Style" w:hAnsi="Bookman Old Style" w:cs="Arial"/>
        </w:rPr>
        <w:t xml:space="preserve">, </w:t>
      </w:r>
      <w:r w:rsidR="00A62E4D" w:rsidRPr="006875CB">
        <w:rPr>
          <w:rFonts w:ascii="Bookman Old Style" w:hAnsi="Bookman Old Style" w:cs="Arial"/>
        </w:rPr>
        <w:t xml:space="preserve">así como </w:t>
      </w:r>
      <w:r w:rsidR="00B61182" w:rsidRPr="006875CB">
        <w:rPr>
          <w:rFonts w:ascii="Bookman Old Style" w:hAnsi="Bookman Old Style" w:cs="Arial"/>
        </w:rPr>
        <w:t xml:space="preserve">el procedimiento mediante el cual se </w:t>
      </w:r>
      <w:r w:rsidR="00A62E4D" w:rsidRPr="006875CB">
        <w:rPr>
          <w:rFonts w:ascii="Bookman Old Style" w:hAnsi="Bookman Old Style" w:cs="Arial"/>
        </w:rPr>
        <w:t>llegó a determinar los multiplicadores que perm</w:t>
      </w:r>
      <w:r w:rsidRPr="006875CB">
        <w:rPr>
          <w:rFonts w:ascii="Bookman Old Style" w:hAnsi="Bookman Old Style" w:cs="Arial"/>
        </w:rPr>
        <w:t>iten comparar las inversiones.</w:t>
      </w:r>
      <w:r w:rsidR="00C74BCD" w:rsidRPr="006875CB">
        <w:rPr>
          <w:rFonts w:ascii="Bookman Old Style" w:hAnsi="Bookman Old Style" w:cs="Arial"/>
        </w:rPr>
        <w:t xml:space="preserve"> Según se indica en el mismo documento, la mencionada información surgió de informes realizados por expertos internacionales que recomendaron incluir trece variables distintas al modelo de comparación, recomendaciones que TGI conocía de antemano y tuvo la oportunidad de controvertir</w:t>
      </w:r>
      <w:r w:rsidR="007F03D7" w:rsidRPr="006875CB">
        <w:rPr>
          <w:rFonts w:ascii="Bookman Old Style" w:hAnsi="Bookman Old Style" w:cs="Arial"/>
        </w:rPr>
        <w:t>. Los primeros párrafos del Anexo 3 en mención establecen lo siguiente:</w:t>
      </w:r>
    </w:p>
    <w:p w:rsidR="007F03D7" w:rsidRPr="006875CB" w:rsidRDefault="007F03D7" w:rsidP="001743A6">
      <w:pPr>
        <w:ind w:left="0"/>
        <w:jc w:val="both"/>
        <w:rPr>
          <w:rFonts w:ascii="Bookman Old Style" w:hAnsi="Bookman Old Style" w:cs="Arial"/>
        </w:rPr>
      </w:pPr>
    </w:p>
    <w:p w:rsidR="007F03D7" w:rsidRPr="006875CB" w:rsidRDefault="007F03D7" w:rsidP="007F03D7">
      <w:pPr>
        <w:jc w:val="both"/>
        <w:rPr>
          <w:rFonts w:ascii="Bookman Old Style" w:hAnsi="Bookman Old Style" w:cs="Arial"/>
          <w:i/>
          <w:sz w:val="22"/>
          <w:szCs w:val="22"/>
        </w:rPr>
      </w:pPr>
      <w:r w:rsidRPr="006875CB">
        <w:rPr>
          <w:rFonts w:ascii="Bookman Old Style" w:hAnsi="Bookman Old Style" w:cs="Arial"/>
          <w:i/>
          <w:sz w:val="22"/>
          <w:szCs w:val="22"/>
        </w:rPr>
        <w:t xml:space="preserve">“En este anexo se presentan los análisis realizados por la Comisión para valorar inversiones en gasoductos por comparación, con fundamento en lo establecido en el anexo 1 de la Resolución CREG 126 de 2010. El resultado de estos análisis es </w:t>
      </w:r>
      <w:r w:rsidRPr="006875CB">
        <w:rPr>
          <w:rFonts w:ascii="Bookman Old Style" w:hAnsi="Bookman Old Style" w:cs="Arial"/>
          <w:i/>
          <w:sz w:val="22"/>
          <w:szCs w:val="22"/>
        </w:rPr>
        <w:lastRenderedPageBreak/>
        <w:t>un modelo de valoración que recoge las principales variables que determinan el costo de un gasoducto.</w:t>
      </w:r>
    </w:p>
    <w:p w:rsidR="007F03D7" w:rsidRPr="006875CB" w:rsidRDefault="007F03D7" w:rsidP="007F03D7">
      <w:pPr>
        <w:jc w:val="both"/>
        <w:rPr>
          <w:rFonts w:ascii="Bookman Old Style" w:hAnsi="Bookman Old Style" w:cs="Arial"/>
          <w:i/>
          <w:sz w:val="22"/>
          <w:szCs w:val="22"/>
        </w:rPr>
      </w:pPr>
    </w:p>
    <w:p w:rsidR="007F03D7" w:rsidRPr="006875CB" w:rsidRDefault="007F03D7" w:rsidP="009F5E1A">
      <w:pPr>
        <w:jc w:val="both"/>
        <w:rPr>
          <w:rFonts w:ascii="Bookman Old Style" w:hAnsi="Bookman Old Style" w:cs="Arial"/>
          <w:i/>
          <w:sz w:val="22"/>
          <w:szCs w:val="22"/>
        </w:rPr>
      </w:pPr>
      <w:r w:rsidRPr="006875CB">
        <w:rPr>
          <w:rFonts w:ascii="Bookman Old Style" w:hAnsi="Bookman Old Style" w:cs="Arial"/>
          <w:i/>
          <w:sz w:val="22"/>
          <w:szCs w:val="22"/>
        </w:rPr>
        <w:t xml:space="preserve">Aunque estos análisis, y el modelo de valoración resultante, surgieron por la necesidad de profundizar el mecanismo de valoración de gasoductos utilizado en los cargos adoptados mediante las resoluciones </w:t>
      </w:r>
      <w:r w:rsidRPr="006875CB">
        <w:rPr>
          <w:rFonts w:ascii="Bookman Old Style" w:hAnsi="Bookman Old Style" w:cs="Arial"/>
          <w:b/>
          <w:i/>
          <w:sz w:val="22"/>
          <w:szCs w:val="22"/>
        </w:rPr>
        <w:t>CREG 110</w:t>
      </w:r>
      <w:r w:rsidRPr="006875CB">
        <w:rPr>
          <w:rStyle w:val="Refdenotaalpie"/>
          <w:rFonts w:ascii="Bookman Old Style" w:hAnsi="Bookman Old Style" w:cs="Arial"/>
          <w:b/>
          <w:i/>
          <w:sz w:val="22"/>
          <w:szCs w:val="22"/>
        </w:rPr>
        <w:footnoteReference w:id="1"/>
      </w:r>
      <w:r w:rsidRPr="006875CB">
        <w:rPr>
          <w:rFonts w:ascii="Bookman Old Style" w:hAnsi="Bookman Old Style" w:cs="Arial"/>
          <w:i/>
          <w:sz w:val="22"/>
          <w:szCs w:val="22"/>
        </w:rPr>
        <w:t xml:space="preserve">, 115 y 117 de 2011, </w:t>
      </w:r>
      <w:r w:rsidRPr="006875CB">
        <w:rPr>
          <w:rFonts w:ascii="Bookman Old Style" w:hAnsi="Bookman Old Style" w:cs="Arial"/>
          <w:b/>
          <w:i/>
          <w:sz w:val="22"/>
          <w:szCs w:val="22"/>
          <w:u w:val="single"/>
        </w:rPr>
        <w:t>su aplicación es de carácter general para la valoración de gasoductos. Es decir, este modelo de valoración se puede aplicar a cualquier gasoducto para el que se conozcan los valores de las variables requeridas por el modelo</w:t>
      </w:r>
      <w:r w:rsidRPr="006875CB">
        <w:rPr>
          <w:rFonts w:ascii="Bookman Old Style" w:hAnsi="Bookman Old Style" w:cs="Arial"/>
          <w:i/>
          <w:sz w:val="22"/>
          <w:szCs w:val="22"/>
        </w:rPr>
        <w:t>”</w:t>
      </w:r>
      <w:r w:rsidR="009F5E1A" w:rsidRPr="006875CB">
        <w:rPr>
          <w:rFonts w:ascii="Bookman Old Style" w:hAnsi="Bookman Old Style" w:cs="Arial"/>
          <w:i/>
          <w:sz w:val="22"/>
          <w:szCs w:val="22"/>
        </w:rPr>
        <w:t xml:space="preserve"> </w:t>
      </w:r>
      <w:r w:rsidR="009F5E1A" w:rsidRPr="006875CB">
        <w:rPr>
          <w:rFonts w:ascii="Bookman Old Style" w:hAnsi="Bookman Old Style" w:cs="Arial"/>
          <w:sz w:val="22"/>
          <w:szCs w:val="22"/>
        </w:rPr>
        <w:t>(subrayas y negrillas fuera de texto)</w:t>
      </w:r>
      <w:r w:rsidRPr="006875CB">
        <w:rPr>
          <w:rFonts w:ascii="Bookman Old Style" w:hAnsi="Bookman Old Style" w:cs="Arial"/>
          <w:i/>
          <w:sz w:val="22"/>
          <w:szCs w:val="22"/>
        </w:rPr>
        <w:t>.</w:t>
      </w:r>
    </w:p>
    <w:p w:rsidR="00C74BCD" w:rsidRPr="006875CB" w:rsidRDefault="00C74BCD" w:rsidP="00C74BCD">
      <w:pPr>
        <w:ind w:left="0"/>
        <w:jc w:val="both"/>
        <w:rPr>
          <w:rFonts w:ascii="Bookman Old Style" w:hAnsi="Bookman Old Style" w:cs="Arial"/>
        </w:rPr>
      </w:pPr>
      <w:r w:rsidRPr="006875CB">
        <w:rPr>
          <w:rFonts w:ascii="Bookman Old Style" w:hAnsi="Bookman Old Style" w:cs="Arial"/>
        </w:rPr>
        <w:t xml:space="preserve"> </w:t>
      </w:r>
    </w:p>
    <w:p w:rsidR="00C74BCD" w:rsidRPr="006875CB" w:rsidRDefault="00C74BCD" w:rsidP="00C74BCD">
      <w:pPr>
        <w:ind w:left="0"/>
        <w:jc w:val="both"/>
        <w:rPr>
          <w:rFonts w:ascii="Bookman Old Style" w:hAnsi="Bookman Old Style" w:cs="Arial"/>
        </w:rPr>
      </w:pPr>
      <w:r w:rsidRPr="00BC42B7">
        <w:rPr>
          <w:rFonts w:ascii="Bookman Old Style" w:hAnsi="Bookman Old Style" w:cs="Arial"/>
        </w:rPr>
        <w:t xml:space="preserve">Es pertinente </w:t>
      </w:r>
      <w:r w:rsidR="00E027AA" w:rsidRPr="00BC42B7">
        <w:rPr>
          <w:rFonts w:ascii="Bookman Old Style" w:hAnsi="Bookman Old Style" w:cs="Arial"/>
        </w:rPr>
        <w:t xml:space="preserve">anotar </w:t>
      </w:r>
      <w:r w:rsidRPr="00BC42B7">
        <w:rPr>
          <w:rFonts w:ascii="Bookman Old Style" w:hAnsi="Bookman Old Style" w:cs="Arial"/>
        </w:rPr>
        <w:t>que</w:t>
      </w:r>
      <w:r w:rsidR="00E027AA" w:rsidRPr="00BC42B7">
        <w:rPr>
          <w:rFonts w:ascii="Bookman Old Style" w:hAnsi="Bookman Old Style" w:cs="Arial"/>
        </w:rPr>
        <w:t xml:space="preserve"> la información indicada en el Anexo 3 del documento CREG 082 de 2012 ha estado disponible, dentro de los términos previstos en la Ley, tanto para </w:t>
      </w:r>
      <w:r w:rsidR="001D3786" w:rsidRPr="00BC42B7">
        <w:rPr>
          <w:rFonts w:ascii="Bookman Old Style" w:hAnsi="Bookman Old Style" w:cs="Arial"/>
        </w:rPr>
        <w:t xml:space="preserve">TGI </w:t>
      </w:r>
      <w:r w:rsidR="00E027AA" w:rsidRPr="00BC42B7">
        <w:rPr>
          <w:rFonts w:ascii="Bookman Old Style" w:hAnsi="Bookman Old Style" w:cs="Arial"/>
        </w:rPr>
        <w:t xml:space="preserve">como para los terceros interesados. En particular, </w:t>
      </w:r>
      <w:r w:rsidRPr="00BC42B7">
        <w:rPr>
          <w:rFonts w:ascii="Bookman Old Style" w:hAnsi="Bookman Old Style" w:cs="Arial"/>
        </w:rPr>
        <w:t xml:space="preserve">mediante </w:t>
      </w:r>
      <w:r w:rsidR="00E027AA" w:rsidRPr="00BC42B7">
        <w:rPr>
          <w:rFonts w:ascii="Bookman Old Style" w:hAnsi="Bookman Old Style" w:cs="Arial"/>
        </w:rPr>
        <w:t xml:space="preserve">las </w:t>
      </w:r>
      <w:r w:rsidRPr="00BC42B7">
        <w:rPr>
          <w:rFonts w:ascii="Bookman Old Style" w:hAnsi="Bookman Old Style" w:cs="Arial"/>
        </w:rPr>
        <w:t>comunicaciones E-2012-</w:t>
      </w:r>
      <w:r w:rsidR="001D3786" w:rsidRPr="00BC42B7">
        <w:rPr>
          <w:rFonts w:ascii="Bookman Old Style" w:hAnsi="Bookman Old Style" w:cs="Arial"/>
        </w:rPr>
        <w:t>011287</w:t>
      </w:r>
      <w:r w:rsidRPr="00BC42B7">
        <w:rPr>
          <w:rFonts w:ascii="Bookman Old Style" w:hAnsi="Bookman Old Style" w:cs="Arial"/>
        </w:rPr>
        <w:t>, E-2012-</w:t>
      </w:r>
      <w:r w:rsidR="001D3786" w:rsidRPr="00BC42B7">
        <w:rPr>
          <w:rFonts w:ascii="Bookman Old Style" w:hAnsi="Bookman Old Style" w:cs="Arial"/>
        </w:rPr>
        <w:t>011543, E-2012-012158</w:t>
      </w:r>
      <w:r w:rsidR="00E027AA" w:rsidRPr="00BC42B7">
        <w:rPr>
          <w:rFonts w:ascii="Bookman Old Style" w:hAnsi="Bookman Old Style" w:cs="Arial"/>
        </w:rPr>
        <w:t xml:space="preserve"> y E-2012-012472</w:t>
      </w:r>
      <w:r w:rsidRPr="00BC42B7">
        <w:rPr>
          <w:rFonts w:ascii="Bookman Old Style" w:hAnsi="Bookman Old Style" w:cs="Arial"/>
        </w:rPr>
        <w:t xml:space="preserve"> TGI solicitó información </w:t>
      </w:r>
      <w:r w:rsidR="001D3786" w:rsidRPr="00BC42B7">
        <w:rPr>
          <w:rFonts w:ascii="Bookman Old Style" w:hAnsi="Bookman Old Style" w:cs="Arial"/>
        </w:rPr>
        <w:t xml:space="preserve">utilizada para los análisis consignados en el Anexo 3 del </w:t>
      </w:r>
      <w:r w:rsidRPr="00BC42B7">
        <w:rPr>
          <w:rFonts w:ascii="Bookman Old Style" w:hAnsi="Bookman Old Style" w:cs="Arial"/>
        </w:rPr>
        <w:t>Documento CREG 082 de 2012, las cuales fueron respondidas</w:t>
      </w:r>
      <w:r w:rsidR="001D3786" w:rsidRPr="00BC42B7">
        <w:rPr>
          <w:rFonts w:ascii="Bookman Old Style" w:hAnsi="Bookman Old Style" w:cs="Arial"/>
        </w:rPr>
        <w:t xml:space="preserve">, dentro de los términos previstos en la Ley, </w:t>
      </w:r>
      <w:r w:rsidRPr="00BC42B7">
        <w:rPr>
          <w:rFonts w:ascii="Bookman Old Style" w:hAnsi="Bookman Old Style" w:cs="Arial"/>
        </w:rPr>
        <w:t xml:space="preserve">mediante </w:t>
      </w:r>
      <w:r w:rsidR="00E027AA" w:rsidRPr="00BC42B7">
        <w:rPr>
          <w:rFonts w:ascii="Bookman Old Style" w:hAnsi="Bookman Old Style" w:cs="Arial"/>
        </w:rPr>
        <w:t xml:space="preserve">los </w:t>
      </w:r>
      <w:r w:rsidRPr="00BC42B7">
        <w:rPr>
          <w:rFonts w:ascii="Bookman Old Style" w:hAnsi="Bookman Old Style" w:cs="Arial"/>
        </w:rPr>
        <w:t>oficios S-2012-</w:t>
      </w:r>
      <w:r w:rsidR="00E027AA" w:rsidRPr="00BC42B7">
        <w:rPr>
          <w:rFonts w:ascii="Bookman Old Style" w:hAnsi="Bookman Old Style" w:cs="Arial"/>
        </w:rPr>
        <w:t>05814,</w:t>
      </w:r>
      <w:r w:rsidRPr="00BC42B7">
        <w:rPr>
          <w:rFonts w:ascii="Bookman Old Style" w:hAnsi="Bookman Old Style" w:cs="Arial"/>
        </w:rPr>
        <w:t xml:space="preserve"> S-2012-</w:t>
      </w:r>
      <w:r w:rsidR="00E027AA" w:rsidRPr="00BC42B7">
        <w:rPr>
          <w:rFonts w:ascii="Bookman Old Style" w:hAnsi="Bookman Old Style" w:cs="Arial"/>
        </w:rPr>
        <w:t>05987, S-2012-05988, S-2012-0</w:t>
      </w:r>
      <w:r w:rsidR="0047177D" w:rsidRPr="00BC42B7">
        <w:rPr>
          <w:rFonts w:ascii="Bookman Old Style" w:hAnsi="Bookman Old Style" w:cs="Arial"/>
        </w:rPr>
        <w:t>06080, S-2013-000022</w:t>
      </w:r>
      <w:r w:rsidR="00FF4C7F" w:rsidRPr="00BC42B7">
        <w:rPr>
          <w:rFonts w:ascii="Bookman Old Style" w:hAnsi="Bookman Old Style" w:cs="Arial"/>
        </w:rPr>
        <w:t>,</w:t>
      </w:r>
      <w:r w:rsidR="0047177D" w:rsidRPr="00BC42B7">
        <w:rPr>
          <w:rFonts w:ascii="Bookman Old Style" w:hAnsi="Bookman Old Style" w:cs="Arial"/>
        </w:rPr>
        <w:t xml:space="preserve"> S-2013-000024</w:t>
      </w:r>
      <w:r w:rsidR="00FF4C7F" w:rsidRPr="00BC42B7">
        <w:rPr>
          <w:rFonts w:ascii="Bookman Old Style" w:hAnsi="Bookman Old Style" w:cs="Arial"/>
        </w:rPr>
        <w:t xml:space="preserve"> y S-2013-000106</w:t>
      </w:r>
      <w:r w:rsidRPr="00BC42B7">
        <w:rPr>
          <w:rFonts w:ascii="Bookman Old Style" w:hAnsi="Bookman Old Style" w:cs="Arial"/>
        </w:rPr>
        <w:t xml:space="preserve"> con la información no sujeta a reserva legal. Valga además resaltar que mediante </w:t>
      </w:r>
      <w:r w:rsidR="003B42E3" w:rsidRPr="00BC42B7">
        <w:rPr>
          <w:rFonts w:ascii="Bookman Old Style" w:hAnsi="Bookman Old Style" w:cs="Arial"/>
        </w:rPr>
        <w:t xml:space="preserve">las </w:t>
      </w:r>
      <w:r w:rsidRPr="00BC42B7">
        <w:rPr>
          <w:rFonts w:ascii="Bookman Old Style" w:hAnsi="Bookman Old Style" w:cs="Arial"/>
        </w:rPr>
        <w:t>comunicaci</w:t>
      </w:r>
      <w:r w:rsidR="003B42E3" w:rsidRPr="00BC42B7">
        <w:rPr>
          <w:rFonts w:ascii="Bookman Old Style" w:hAnsi="Bookman Old Style" w:cs="Arial"/>
        </w:rPr>
        <w:t xml:space="preserve">ones S-2012-006018 y </w:t>
      </w:r>
      <w:r w:rsidRPr="00BC42B7">
        <w:rPr>
          <w:rFonts w:ascii="Bookman Old Style" w:hAnsi="Bookman Old Style" w:cs="Arial"/>
        </w:rPr>
        <w:t>S-201</w:t>
      </w:r>
      <w:r w:rsidR="001D3786" w:rsidRPr="00BC42B7">
        <w:rPr>
          <w:rFonts w:ascii="Bookman Old Style" w:hAnsi="Bookman Old Style" w:cs="Arial"/>
        </w:rPr>
        <w:t>3</w:t>
      </w:r>
      <w:r w:rsidRPr="00BC42B7">
        <w:rPr>
          <w:rFonts w:ascii="Bookman Old Style" w:hAnsi="Bookman Old Style" w:cs="Arial"/>
        </w:rPr>
        <w:t>-</w:t>
      </w:r>
      <w:r w:rsidR="001D3786" w:rsidRPr="00BC42B7">
        <w:rPr>
          <w:rFonts w:ascii="Bookman Old Style" w:hAnsi="Bookman Old Style" w:cs="Arial"/>
        </w:rPr>
        <w:t xml:space="preserve">000310 </w:t>
      </w:r>
      <w:r w:rsidRPr="00BC42B7">
        <w:rPr>
          <w:rFonts w:ascii="Bookman Old Style" w:hAnsi="Bookman Old Style" w:cs="Arial"/>
        </w:rPr>
        <w:t xml:space="preserve">la CREG solicitó a TGI indicar qué documentos remitidos por la empresa deben estar sujetos a reserva de acuerdo con la Ley, solicitud que fue respondida mediante </w:t>
      </w:r>
      <w:r w:rsidR="003B42E3" w:rsidRPr="00BC42B7">
        <w:rPr>
          <w:rFonts w:ascii="Bookman Old Style" w:hAnsi="Bookman Old Style" w:cs="Arial"/>
        </w:rPr>
        <w:t xml:space="preserve">las </w:t>
      </w:r>
      <w:r w:rsidRPr="00BC42B7">
        <w:rPr>
          <w:rFonts w:ascii="Bookman Old Style" w:hAnsi="Bookman Old Style" w:cs="Arial"/>
        </w:rPr>
        <w:t>comunicaci</w:t>
      </w:r>
      <w:r w:rsidR="003B42E3" w:rsidRPr="00BC42B7">
        <w:rPr>
          <w:rFonts w:ascii="Bookman Old Style" w:hAnsi="Bookman Old Style" w:cs="Arial"/>
        </w:rPr>
        <w:t xml:space="preserve">ones E-2012-012471 y </w:t>
      </w:r>
      <w:r w:rsidRPr="00BC42B7">
        <w:rPr>
          <w:rFonts w:ascii="Bookman Old Style" w:hAnsi="Bookman Old Style" w:cs="Arial"/>
        </w:rPr>
        <w:t>E-201</w:t>
      </w:r>
      <w:r w:rsidR="001D3786" w:rsidRPr="00BC42B7">
        <w:rPr>
          <w:rFonts w:ascii="Bookman Old Style" w:hAnsi="Bookman Old Style" w:cs="Arial"/>
        </w:rPr>
        <w:t>3</w:t>
      </w:r>
      <w:r w:rsidRPr="00BC42B7">
        <w:rPr>
          <w:rFonts w:ascii="Bookman Old Style" w:hAnsi="Bookman Old Style" w:cs="Arial"/>
        </w:rPr>
        <w:t>-</w:t>
      </w:r>
      <w:r w:rsidR="001D3786" w:rsidRPr="00BC42B7">
        <w:rPr>
          <w:rFonts w:ascii="Bookman Old Style" w:hAnsi="Bookman Old Style" w:cs="Arial"/>
        </w:rPr>
        <w:t>001268</w:t>
      </w:r>
      <w:r w:rsidR="003B42E3" w:rsidRPr="00BC42B7">
        <w:rPr>
          <w:rFonts w:ascii="Bookman Old Style" w:hAnsi="Bookman Old Style" w:cs="Arial"/>
        </w:rPr>
        <w:t xml:space="preserve"> en las cuales TGI indicó </w:t>
      </w:r>
      <w:r w:rsidRPr="00BC42B7">
        <w:rPr>
          <w:rFonts w:ascii="Bookman Old Style" w:hAnsi="Bookman Old Style" w:cs="Arial"/>
        </w:rPr>
        <w:t xml:space="preserve">que </w:t>
      </w:r>
      <w:r w:rsidRPr="00BC42B7">
        <w:rPr>
          <w:rFonts w:ascii="Bookman Old Style" w:hAnsi="Bookman Old Style" w:cs="Arial"/>
          <w:i/>
        </w:rPr>
        <w:t>“</w:t>
      </w:r>
      <w:r w:rsidR="003B42E3" w:rsidRPr="00BC42B7">
        <w:rPr>
          <w:rFonts w:ascii="Bookman Old Style" w:hAnsi="Bookman Old Style" w:cs="Arial"/>
          <w:i/>
        </w:rPr>
        <w:t>… la información del asunto no tiene reserva legal para cualquier aspecto relacionado con la aprobación de la solicitud de cargos regulados de transporte de TGI, pero que su utilización para otros aspectos diferentes a lo señalado anteriormente debe ser previamente consultada y autorizada por la Empresa</w:t>
      </w:r>
      <w:r w:rsidRPr="00BC42B7">
        <w:rPr>
          <w:rFonts w:ascii="Bookman Old Style" w:hAnsi="Bookman Old Style" w:cs="Arial"/>
          <w:i/>
        </w:rPr>
        <w:t>”</w:t>
      </w:r>
      <w:r w:rsidRPr="00BC42B7">
        <w:rPr>
          <w:rFonts w:ascii="Bookman Old Style" w:hAnsi="Bookman Old Style" w:cs="Arial"/>
        </w:rPr>
        <w:t>. La CREG hizo la misma solicitud a todas las empresas que reportaron información respecto de los gasoductos y propanoductos incluidos en la muestra.</w:t>
      </w:r>
    </w:p>
    <w:p w:rsidR="00C74BCD" w:rsidRPr="006875CB" w:rsidRDefault="00C74BCD" w:rsidP="001743A6">
      <w:pPr>
        <w:ind w:left="0"/>
        <w:jc w:val="both"/>
        <w:rPr>
          <w:rFonts w:ascii="Bookman Old Style" w:hAnsi="Bookman Old Style" w:cs="Arial"/>
        </w:rPr>
      </w:pPr>
    </w:p>
    <w:p w:rsidR="00087095" w:rsidRDefault="00C74BCD" w:rsidP="001743A6">
      <w:pPr>
        <w:ind w:left="0"/>
        <w:jc w:val="both"/>
        <w:rPr>
          <w:rFonts w:ascii="Bookman Old Style" w:hAnsi="Bookman Old Style" w:cs="Arial"/>
        </w:rPr>
      </w:pPr>
      <w:r w:rsidRPr="006875CB">
        <w:rPr>
          <w:rFonts w:ascii="Bookman Old Style" w:hAnsi="Bookman Old Style" w:cs="Arial"/>
        </w:rPr>
        <w:t>Se reitera, entonces, que la actuación de la CREG fue transparente, cuidadosa y apegada a la Ley, tal y como se desprende de los documentos que obran en el expediente, así como de la rigurosidad del análisis de la Comisión reflejado en el detalle que exhibe el Documento CRE</w:t>
      </w:r>
      <w:r w:rsidR="00154D0F" w:rsidRPr="006875CB">
        <w:rPr>
          <w:rFonts w:ascii="Bookman Old Style" w:hAnsi="Bookman Old Style" w:cs="Arial"/>
        </w:rPr>
        <w:t>G</w:t>
      </w:r>
      <w:r w:rsidRPr="006875CB">
        <w:rPr>
          <w:rFonts w:ascii="Bookman Old Style" w:hAnsi="Bookman Old Style" w:cs="Arial"/>
        </w:rPr>
        <w:t xml:space="preserve"> 082 de 2012, soporte de la Resolución CREG 140 de 2012 recurrida por TGI.</w:t>
      </w:r>
    </w:p>
    <w:p w:rsidR="006D4B83" w:rsidRPr="006875CB" w:rsidRDefault="006D4B83" w:rsidP="001743A6">
      <w:pPr>
        <w:ind w:left="0"/>
        <w:jc w:val="both"/>
        <w:rPr>
          <w:rFonts w:ascii="Bookman Old Style" w:hAnsi="Bookman Old Style" w:cs="Arial"/>
        </w:rPr>
      </w:pPr>
    </w:p>
    <w:p w:rsidR="007F03D7" w:rsidRPr="006875CB" w:rsidRDefault="00C74BCD" w:rsidP="001743A6">
      <w:pPr>
        <w:ind w:left="0"/>
        <w:jc w:val="both"/>
        <w:rPr>
          <w:rFonts w:ascii="Bookman Old Style" w:hAnsi="Bookman Old Style" w:cs="Arial"/>
        </w:rPr>
      </w:pPr>
      <w:r w:rsidRPr="006875CB">
        <w:rPr>
          <w:rFonts w:ascii="Bookman Old Style" w:hAnsi="Bookman Old Style" w:cs="Arial"/>
        </w:rPr>
        <w:t xml:space="preserve">Ahora bien, </w:t>
      </w:r>
      <w:r w:rsidR="007F03D7" w:rsidRPr="006875CB">
        <w:rPr>
          <w:rFonts w:ascii="Bookman Old Style" w:hAnsi="Bookman Old Style" w:cs="Arial"/>
        </w:rPr>
        <w:t xml:space="preserve">respecto de la información específica utilizada por la CREG para la caracterización de los ductos de la muestra, es pertinente </w:t>
      </w:r>
      <w:r w:rsidR="00434F58">
        <w:rPr>
          <w:rFonts w:ascii="Bookman Old Style" w:hAnsi="Bookman Old Style" w:cs="Arial"/>
        </w:rPr>
        <w:t xml:space="preserve">detallar </w:t>
      </w:r>
      <w:r w:rsidR="007F03D7" w:rsidRPr="006875CB">
        <w:rPr>
          <w:rFonts w:ascii="Bookman Old Style" w:hAnsi="Bookman Old Style" w:cs="Arial"/>
        </w:rPr>
        <w:t>lo siguiente.</w:t>
      </w:r>
    </w:p>
    <w:p w:rsidR="007F03D7" w:rsidRPr="006875CB" w:rsidRDefault="007F03D7" w:rsidP="001743A6">
      <w:pPr>
        <w:ind w:left="0"/>
        <w:jc w:val="both"/>
        <w:rPr>
          <w:rFonts w:ascii="Bookman Old Style" w:hAnsi="Bookman Old Style" w:cs="Arial"/>
        </w:rPr>
      </w:pPr>
    </w:p>
    <w:p w:rsidR="00CC5CE1" w:rsidRPr="002446FD" w:rsidRDefault="007F03D7" w:rsidP="001743A6">
      <w:pPr>
        <w:ind w:left="0"/>
        <w:jc w:val="both"/>
        <w:rPr>
          <w:rFonts w:ascii="Bookman Old Style" w:hAnsi="Bookman Old Style" w:cs="Arial"/>
          <w:lang w:val="es-ES_tradnl"/>
        </w:rPr>
      </w:pPr>
      <w:r w:rsidRPr="006875CB">
        <w:rPr>
          <w:rFonts w:ascii="Bookman Old Style" w:hAnsi="Bookman Old Style" w:cs="Arial"/>
        </w:rPr>
        <w:t>E</w:t>
      </w:r>
      <w:r w:rsidR="00C74BCD" w:rsidRPr="006875CB">
        <w:rPr>
          <w:rFonts w:ascii="Bookman Old Style" w:hAnsi="Bookman Old Style" w:cs="Arial"/>
        </w:rPr>
        <w:t>n todas sus actuaciones</w:t>
      </w:r>
      <w:r w:rsidR="00CD449F" w:rsidRPr="006875CB">
        <w:rPr>
          <w:rFonts w:ascii="Bookman Old Style" w:hAnsi="Bookman Old Style" w:cs="Arial"/>
        </w:rPr>
        <w:t xml:space="preserve"> </w:t>
      </w:r>
      <w:r w:rsidR="00C74BCD" w:rsidRPr="006875CB">
        <w:rPr>
          <w:rFonts w:ascii="Bookman Old Style" w:hAnsi="Bookman Old Style" w:cs="Arial"/>
        </w:rPr>
        <w:t xml:space="preserve">la CREG </w:t>
      </w:r>
      <w:r w:rsidR="00CC5CE1" w:rsidRPr="006875CB">
        <w:rPr>
          <w:rFonts w:ascii="Bookman Old Style" w:hAnsi="Bookman Old Style" w:cs="Arial"/>
        </w:rPr>
        <w:t>d</w:t>
      </w:r>
      <w:r w:rsidR="00CD449F" w:rsidRPr="006875CB">
        <w:rPr>
          <w:rFonts w:ascii="Bookman Old Style" w:hAnsi="Bookman Old Style" w:cs="Arial"/>
        </w:rPr>
        <w:t>a</w:t>
      </w:r>
      <w:r w:rsidR="00CC5CE1" w:rsidRPr="006875CB">
        <w:rPr>
          <w:rFonts w:ascii="Bookman Old Style" w:hAnsi="Bookman Old Style" w:cs="Arial"/>
        </w:rPr>
        <w:t xml:space="preserve"> cabal cumplimiento al artículo 74 de la Constitución Política, a cuyo tenor </w:t>
      </w:r>
      <w:r w:rsidR="00CC5CE1" w:rsidRPr="006875CB">
        <w:rPr>
          <w:rFonts w:ascii="Bookman Old Style" w:hAnsi="Bookman Old Style" w:cs="Arial"/>
          <w:i/>
        </w:rPr>
        <w:t>“</w:t>
      </w:r>
      <w:r w:rsidR="00CC5CE1" w:rsidRPr="006875CB">
        <w:rPr>
          <w:rFonts w:ascii="Bookman Old Style" w:hAnsi="Bookman Old Style" w:cs="Arial"/>
          <w:i/>
          <w:lang w:val="es-ES_tradnl"/>
        </w:rPr>
        <w:t>Todas las personas tienen derecho a acceder a los documentos públicos salvo los casos que establezca la ley”</w:t>
      </w:r>
      <w:r w:rsidR="00CC5CE1" w:rsidRPr="006875CB">
        <w:rPr>
          <w:rFonts w:ascii="Bookman Old Style" w:hAnsi="Bookman Old Style" w:cs="Arial"/>
          <w:lang w:val="es-ES_tradnl"/>
        </w:rPr>
        <w:t xml:space="preserve">, lo que a su turno se refleja en el artículo </w:t>
      </w:r>
      <w:r w:rsidR="00CC5CE1" w:rsidRPr="006875CB">
        <w:rPr>
          <w:rFonts w:ascii="Bookman Old Style" w:hAnsi="Bookman Old Style" w:cs="Arial"/>
        </w:rPr>
        <w:t xml:space="preserve">29 del Código Contencioso Administrativo, cuyo inciso tercero estipula que </w:t>
      </w:r>
      <w:r w:rsidR="00CC5CE1" w:rsidRPr="006875CB">
        <w:rPr>
          <w:rFonts w:ascii="Bookman Old Style" w:hAnsi="Bookman Old Style" w:cs="Arial"/>
          <w:i/>
        </w:rPr>
        <w:t>“</w:t>
      </w:r>
      <w:r w:rsidR="00CC5CE1" w:rsidRPr="006875CB">
        <w:rPr>
          <w:rFonts w:ascii="Bookman Old Style" w:hAnsi="Bookman Old Style" w:cs="Arial"/>
          <w:i/>
          <w:lang w:val="es-ES_tradnl"/>
        </w:rPr>
        <w:t xml:space="preserve">Cualquier persona tendrá derecho a examinar </w:t>
      </w:r>
      <w:r w:rsidR="00CC5CE1" w:rsidRPr="006875CB">
        <w:rPr>
          <w:rFonts w:ascii="Bookman Old Style" w:hAnsi="Bookman Old Style" w:cs="Arial"/>
          <w:i/>
          <w:lang w:val="es-ES_tradnl"/>
        </w:rPr>
        <w:lastRenderedPageBreak/>
        <w:t>los expedientes en el estado en que se encuentren, y de obtener copias y certificaciones sobre los mismos, que se entregarán en plazo no mayor de tres (3) días. Con los documentos que, por mandato de la Constitución Política o de la ley, tengan carácter de reservados y obren dentro de un expediente, se hará cuaderno separado</w:t>
      </w:r>
      <w:r w:rsidR="00CC5CE1" w:rsidRPr="006875CB">
        <w:rPr>
          <w:rFonts w:ascii="Bookman Old Style" w:hAnsi="Bookman Old Style" w:cs="Arial"/>
        </w:rPr>
        <w:t>”</w:t>
      </w:r>
      <w:r w:rsidR="006401EE">
        <w:rPr>
          <w:rFonts w:ascii="Bookman Old Style" w:hAnsi="Bookman Old Style" w:cs="Arial"/>
        </w:rPr>
        <w:t xml:space="preserve">, disposición hoy contenida en el artículo 36 del </w:t>
      </w:r>
      <w:r w:rsidR="006401EE" w:rsidRPr="006401EE">
        <w:rPr>
          <w:rFonts w:ascii="Bookman Old Style" w:hAnsi="Bookman Old Style" w:cs="Arial"/>
          <w:lang w:val="es-ES_tradnl"/>
        </w:rPr>
        <w:t>Código de Procedimiento Administrativo y de lo Contencioso Administrativo</w:t>
      </w:r>
      <w:r w:rsidR="00CC5CE1" w:rsidRPr="006875CB">
        <w:rPr>
          <w:rFonts w:ascii="Bookman Old Style" w:hAnsi="Bookman Old Style" w:cs="Arial"/>
        </w:rPr>
        <w:t>.</w:t>
      </w:r>
    </w:p>
    <w:p w:rsidR="00CC5CE1" w:rsidRPr="006875CB" w:rsidRDefault="00CC5CE1" w:rsidP="005300B2">
      <w:pPr>
        <w:ind w:left="0"/>
        <w:jc w:val="both"/>
        <w:rPr>
          <w:rFonts w:ascii="Bookman Old Style" w:hAnsi="Bookman Old Style" w:cs="Arial"/>
        </w:rPr>
      </w:pPr>
    </w:p>
    <w:p w:rsidR="00CC5CE1" w:rsidRPr="006875CB" w:rsidRDefault="00CC5CE1" w:rsidP="001743A6">
      <w:pPr>
        <w:ind w:left="0"/>
        <w:jc w:val="both"/>
        <w:rPr>
          <w:rFonts w:ascii="Bookman Old Style" w:hAnsi="Bookman Old Style" w:cs="Arial"/>
        </w:rPr>
      </w:pPr>
      <w:r w:rsidRPr="006875CB">
        <w:rPr>
          <w:rFonts w:ascii="Bookman Old Style" w:hAnsi="Bookman Old Style" w:cs="Arial"/>
        </w:rPr>
        <w:t xml:space="preserve">En ese sentido, dentro de la actuación administrativa que dio lugar a la expedición de la </w:t>
      </w:r>
      <w:r w:rsidR="001743A6" w:rsidRPr="006875CB">
        <w:rPr>
          <w:rFonts w:ascii="Bookman Old Style" w:hAnsi="Bookman Old Style" w:cs="Arial"/>
        </w:rPr>
        <w:t>r</w:t>
      </w:r>
      <w:r w:rsidRPr="006875CB">
        <w:rPr>
          <w:rFonts w:ascii="Bookman Old Style" w:hAnsi="Bookman Old Style" w:cs="Arial"/>
        </w:rPr>
        <w:t>esolución recurrida, TGI tuvo la posibilidad de acceder al expediente tarifario sin restricción alguna, al mismo tiempo que la Comisión cumplió su obligación de proveer a dicha empresa los documentos que fueron s</w:t>
      </w:r>
      <w:r w:rsidR="00A62E4D" w:rsidRPr="006875CB">
        <w:rPr>
          <w:rFonts w:ascii="Bookman Old Style" w:hAnsi="Bookman Old Style" w:cs="Arial"/>
        </w:rPr>
        <w:t xml:space="preserve">olicitados. Asimismo, se reitera </w:t>
      </w:r>
      <w:r w:rsidR="00154D0F" w:rsidRPr="006875CB">
        <w:rPr>
          <w:rFonts w:ascii="Bookman Old Style" w:hAnsi="Bookman Old Style" w:cs="Arial"/>
        </w:rPr>
        <w:t xml:space="preserve">que </w:t>
      </w:r>
      <w:r w:rsidRPr="006875CB">
        <w:rPr>
          <w:rFonts w:ascii="Bookman Old Style" w:hAnsi="Bookman Old Style" w:cs="Arial"/>
        </w:rPr>
        <w:t>la CREG fue cuidadosa en salvaguardar la reserva legal a que hace referencia el artículo trascrito, negando el acceso a información así clasificada por las mismas empresas que la suscribieron.</w:t>
      </w:r>
    </w:p>
    <w:p w:rsidR="00CC5CE1" w:rsidRPr="006875CB" w:rsidRDefault="00CC5CE1" w:rsidP="005300B2">
      <w:pPr>
        <w:ind w:left="0"/>
        <w:jc w:val="both"/>
        <w:rPr>
          <w:rFonts w:ascii="Bookman Old Style" w:hAnsi="Bookman Old Style" w:cs="Arial"/>
        </w:rPr>
      </w:pPr>
    </w:p>
    <w:p w:rsidR="00CC5CE1" w:rsidRPr="006875CB" w:rsidRDefault="00A62E4D" w:rsidP="005300B2">
      <w:pPr>
        <w:ind w:left="0"/>
        <w:jc w:val="both"/>
        <w:rPr>
          <w:rFonts w:ascii="Bookman Old Style" w:hAnsi="Bookman Old Style" w:cs="Arial"/>
        </w:rPr>
      </w:pPr>
      <w:r w:rsidRPr="006875CB">
        <w:rPr>
          <w:rFonts w:ascii="Bookman Old Style" w:hAnsi="Bookman Old Style" w:cs="Arial"/>
        </w:rPr>
        <w:t>Ahora bien, m</w:t>
      </w:r>
      <w:r w:rsidR="00CC5CE1" w:rsidRPr="006875CB">
        <w:rPr>
          <w:rFonts w:ascii="Bookman Old Style" w:hAnsi="Bookman Old Style" w:cs="Arial"/>
        </w:rPr>
        <w:t xml:space="preserve">al puede concluirse de lo anterior que la información en la que se basa el modelo de comparación, esto es, la aplicación del Anexo 1 de la Resolución CREG 126 de 2010, no es “comprobable”. En efecto, el hecho de que la Comisión esté legalmente obligada a guardar la reserva de cierta información no implica que la misma no es verificable, ni que la CREG se esté basando en supuestos ficticios para decidir sobre los cargos regulados de transporte de gas. Por el contrario, tal y como se evidencia en el Documento CREG 082 de 2012, la información allegada por las empresas del sector y que fue utilizada por la CREG para dar aplicación al Anexo 1 de la Resolución CREG 126 de 2010 fue escudriñada y analizada de la manera más detallada posible. </w:t>
      </w:r>
    </w:p>
    <w:p w:rsidR="00CC5CE1" w:rsidRPr="006875CB" w:rsidRDefault="00CC5CE1" w:rsidP="005300B2">
      <w:pPr>
        <w:ind w:left="0"/>
        <w:jc w:val="both"/>
        <w:rPr>
          <w:rFonts w:ascii="Bookman Old Style" w:hAnsi="Bookman Old Style" w:cs="Arial"/>
        </w:rPr>
      </w:pPr>
      <w:r w:rsidRPr="006875CB">
        <w:rPr>
          <w:rFonts w:ascii="Bookman Old Style" w:hAnsi="Bookman Old Style" w:cs="Arial"/>
          <w:i/>
        </w:rPr>
        <w:t xml:space="preserve"> </w:t>
      </w:r>
    </w:p>
    <w:p w:rsidR="00CC5CE1" w:rsidRPr="006875CB" w:rsidRDefault="00CC5CE1" w:rsidP="005300B2">
      <w:pPr>
        <w:ind w:left="0"/>
        <w:jc w:val="both"/>
        <w:rPr>
          <w:rFonts w:ascii="Bookman Old Style" w:hAnsi="Bookman Old Style" w:cs="Arial"/>
        </w:rPr>
      </w:pPr>
      <w:r w:rsidRPr="006875CB">
        <w:rPr>
          <w:rFonts w:ascii="Bookman Old Style" w:hAnsi="Bookman Old Style" w:cs="Arial"/>
        </w:rPr>
        <w:t>Allí se establece con toda claridad</w:t>
      </w:r>
      <w:r w:rsidR="001743A6" w:rsidRPr="006875CB">
        <w:rPr>
          <w:rFonts w:ascii="Bookman Old Style" w:hAnsi="Bookman Old Style" w:cs="Arial"/>
        </w:rPr>
        <w:t>:</w:t>
      </w:r>
      <w:r w:rsidRPr="006875CB">
        <w:rPr>
          <w:rFonts w:ascii="Bookman Old Style" w:hAnsi="Bookman Old Style" w:cs="Arial"/>
        </w:rPr>
        <w:t xml:space="preserve"> i) los gasoductos que constituyen la muestra respecto a la cual se compararán las nuevas inversiones</w:t>
      </w:r>
      <w:r w:rsidR="00154D0F" w:rsidRPr="006875CB">
        <w:rPr>
          <w:rFonts w:ascii="Bookman Old Style" w:hAnsi="Bookman Old Style" w:cs="Arial"/>
        </w:rPr>
        <w:t xml:space="preserve">; </w:t>
      </w:r>
      <w:r w:rsidRPr="006875CB">
        <w:rPr>
          <w:rFonts w:ascii="Bookman Old Style" w:hAnsi="Bookman Old Style" w:cs="Arial"/>
        </w:rPr>
        <w:t>ii) los criterios específicos de comparación, para lo cual se solicitó a las empresas dueñas de cada gasoducto la información correspondiente</w:t>
      </w:r>
      <w:r w:rsidR="00154D0F" w:rsidRPr="006875CB">
        <w:rPr>
          <w:rFonts w:ascii="Bookman Old Style" w:hAnsi="Bookman Old Style" w:cs="Arial"/>
        </w:rPr>
        <w:t xml:space="preserve">; </w:t>
      </w:r>
      <w:r w:rsidRPr="006875CB">
        <w:rPr>
          <w:rFonts w:ascii="Bookman Old Style" w:hAnsi="Bookman Old Style" w:cs="Arial"/>
        </w:rPr>
        <w:t xml:space="preserve">y iii) el tratamiento de dicha información y la aplicación específica, desde el punto de vista estadístico, de la misma. Más aún, el programa diseñado para aplicar el modelo allí descrito, esto es, las hojas de Microsoft Excel utilizadas por la Comisión son de </w:t>
      </w:r>
      <w:r w:rsidR="00434F58">
        <w:rPr>
          <w:rFonts w:ascii="Bookman Old Style" w:hAnsi="Bookman Old Style" w:cs="Arial"/>
        </w:rPr>
        <w:t xml:space="preserve">acceso </w:t>
      </w:r>
      <w:r w:rsidRPr="006875CB">
        <w:rPr>
          <w:rFonts w:ascii="Bookman Old Style" w:hAnsi="Bookman Old Style" w:cs="Arial"/>
        </w:rPr>
        <w:t xml:space="preserve">público </w:t>
      </w:r>
      <w:r w:rsidR="00434F58">
        <w:rPr>
          <w:rFonts w:ascii="Bookman Old Style" w:hAnsi="Bookman Old Style" w:cs="Arial"/>
        </w:rPr>
        <w:t>dentro de los términos de la Ley</w:t>
      </w:r>
      <w:r w:rsidRPr="006875CB">
        <w:rPr>
          <w:rFonts w:ascii="Bookman Old Style" w:hAnsi="Bookman Old Style" w:cs="Arial"/>
        </w:rPr>
        <w:t xml:space="preserve">. De esta forma, la CREG rechaza de manera tajante la afirmación de TGI según la cual </w:t>
      </w:r>
      <w:r w:rsidRPr="006875CB">
        <w:rPr>
          <w:rFonts w:ascii="Bookman Old Style" w:hAnsi="Bookman Old Style" w:cs="Arial"/>
          <w:i/>
        </w:rPr>
        <w:t xml:space="preserve">“No se cumple (…) la exigencia legal de que los motivos para tomar las decisiones contenidas en la Resolución recurrida </w:t>
      </w:r>
      <w:r w:rsidR="00154D0F" w:rsidRPr="006875CB">
        <w:rPr>
          <w:rFonts w:ascii="Bookman Old Style" w:hAnsi="Bookman Old Style" w:cs="Arial"/>
          <w:i/>
        </w:rPr>
        <w:t>‘</w:t>
      </w:r>
      <w:r w:rsidRPr="006875CB">
        <w:rPr>
          <w:rFonts w:ascii="Bookman Old Style" w:hAnsi="Bookman Old Style" w:cs="Arial"/>
          <w:i/>
        </w:rPr>
        <w:t>sean verificables</w:t>
      </w:r>
      <w:r w:rsidR="006D4B83">
        <w:rPr>
          <w:rFonts w:ascii="Bookman Old Style" w:hAnsi="Bookman Old Style" w:cs="Arial"/>
          <w:i/>
        </w:rPr>
        <w:t>”</w:t>
      </w:r>
      <w:r w:rsidRPr="006875CB">
        <w:rPr>
          <w:rFonts w:ascii="Bookman Old Style" w:hAnsi="Bookman Old Style" w:cs="Arial"/>
        </w:rPr>
        <w:t>.</w:t>
      </w:r>
    </w:p>
    <w:p w:rsidR="00CC5CE1" w:rsidRPr="006875CB" w:rsidRDefault="00CC5CE1" w:rsidP="00ED68C4">
      <w:pPr>
        <w:ind w:left="0"/>
        <w:jc w:val="both"/>
        <w:rPr>
          <w:rFonts w:ascii="Bookman Old Style" w:hAnsi="Bookman Old Style" w:cs="Arial"/>
        </w:rPr>
      </w:pPr>
    </w:p>
    <w:p w:rsidR="00CC5CE1" w:rsidRDefault="00CC5CE1" w:rsidP="00ED68C4">
      <w:pPr>
        <w:ind w:left="0"/>
        <w:jc w:val="both"/>
        <w:rPr>
          <w:rFonts w:ascii="Bookman Old Style" w:hAnsi="Bookman Old Style" w:cs="Arial"/>
        </w:rPr>
      </w:pPr>
      <w:r w:rsidRPr="006875CB">
        <w:rPr>
          <w:rFonts w:ascii="Bookman Old Style" w:hAnsi="Bookman Old Style" w:cs="Arial"/>
        </w:rPr>
        <w:t>Se reitera, además, que el cumplimiento de la obligación de guardar la reserva legal a que se ha hecho referencia no puede constituirse en una violación al principio de contradicción y, por ende, en violación alguna del derecho al debido proceso.</w:t>
      </w:r>
    </w:p>
    <w:p w:rsidR="00B9084B" w:rsidRPr="006875CB" w:rsidRDefault="00B9084B" w:rsidP="00ED68C4">
      <w:pPr>
        <w:ind w:left="0"/>
        <w:jc w:val="both"/>
        <w:rPr>
          <w:rFonts w:ascii="Bookman Old Style" w:hAnsi="Bookman Old Style" w:cs="Arial"/>
        </w:rPr>
      </w:pPr>
    </w:p>
    <w:p w:rsidR="00CC5CE1" w:rsidRPr="006875CB" w:rsidRDefault="00CC5CE1">
      <w:pPr>
        <w:ind w:left="0"/>
        <w:jc w:val="both"/>
        <w:rPr>
          <w:rFonts w:ascii="Bookman Old Style" w:hAnsi="Bookman Old Style" w:cs="Arial"/>
        </w:rPr>
      </w:pPr>
      <w:r w:rsidRPr="006875CB">
        <w:rPr>
          <w:rFonts w:ascii="Bookman Old Style" w:hAnsi="Bookman Old Style" w:cs="Arial"/>
        </w:rPr>
        <w:t xml:space="preserve">La Corte Constitucional se ha referido a la tensión que se evidencia entre el derecho </w:t>
      </w:r>
      <w:r w:rsidR="0000183C" w:rsidRPr="006875CB">
        <w:rPr>
          <w:rFonts w:ascii="Bookman Old Style" w:hAnsi="Bookman Old Style" w:cs="Arial"/>
        </w:rPr>
        <w:t xml:space="preserve">a </w:t>
      </w:r>
      <w:r w:rsidRPr="006875CB">
        <w:rPr>
          <w:rFonts w:ascii="Bookman Old Style" w:hAnsi="Bookman Old Style" w:cs="Arial"/>
        </w:rPr>
        <w:t>acceder a información pública y el deber de guardar la reserva legal. En efecto, en sentencia C-860 de 2007, M.P. Jaime Córdova Triviño, el Alto Tribunal estableció lo siguiente:</w:t>
      </w:r>
    </w:p>
    <w:p w:rsidR="00CC5CE1" w:rsidRDefault="00CC5CE1">
      <w:pPr>
        <w:ind w:left="0"/>
        <w:jc w:val="both"/>
        <w:rPr>
          <w:rFonts w:ascii="Bookman Old Style" w:hAnsi="Bookman Old Style" w:cs="Arial"/>
        </w:rPr>
      </w:pPr>
    </w:p>
    <w:p w:rsidR="00B9084B" w:rsidRDefault="00B9084B">
      <w:pPr>
        <w:ind w:left="0"/>
        <w:jc w:val="both"/>
        <w:rPr>
          <w:rFonts w:ascii="Bookman Old Style" w:hAnsi="Bookman Old Style" w:cs="Arial"/>
        </w:rPr>
      </w:pPr>
    </w:p>
    <w:p w:rsidR="00B9084B" w:rsidRPr="006875CB" w:rsidRDefault="00B9084B">
      <w:pPr>
        <w:ind w:left="0"/>
        <w:jc w:val="both"/>
        <w:rPr>
          <w:rFonts w:ascii="Bookman Old Style" w:hAnsi="Bookman Old Style" w:cs="Arial"/>
        </w:rPr>
      </w:pPr>
    </w:p>
    <w:p w:rsidR="00CC5CE1" w:rsidRPr="006875CB" w:rsidRDefault="00CC5CE1" w:rsidP="000804FD">
      <w:pPr>
        <w:jc w:val="both"/>
        <w:rPr>
          <w:rFonts w:ascii="Bookman Old Style" w:hAnsi="Bookman Old Style" w:cs="Arial"/>
          <w:i/>
          <w:sz w:val="22"/>
          <w:szCs w:val="22"/>
          <w:lang w:val="es-ES_tradnl"/>
        </w:rPr>
      </w:pPr>
      <w:r w:rsidRPr="006875CB">
        <w:rPr>
          <w:rFonts w:ascii="Bookman Old Style" w:hAnsi="Bookman Old Style" w:cs="Arial"/>
          <w:i/>
          <w:sz w:val="22"/>
          <w:szCs w:val="22"/>
          <w:lang w:val="es-CO"/>
        </w:rPr>
        <w:t>“8.2.  Existe en la actualidad una sólida doctrina constitucional acerca de la naturaleza, fundamento, contenido, alcance y limitaciones del derecho de acceso a los documentos públicos consagrado en el artículo 74 de la Carta Política</w:t>
      </w:r>
      <w:r w:rsidRPr="006875CB">
        <w:rPr>
          <w:rStyle w:val="Refdenotaalpie"/>
          <w:rFonts w:ascii="Bookman Old Style" w:hAnsi="Bookman Old Style" w:cs="Arial"/>
          <w:i/>
          <w:sz w:val="22"/>
          <w:szCs w:val="22"/>
          <w:lang w:val="es-CO"/>
        </w:rPr>
        <w:footnoteReference w:id="2"/>
      </w:r>
      <w:r w:rsidRPr="006875CB">
        <w:rPr>
          <w:rFonts w:ascii="Bookman Old Style" w:hAnsi="Bookman Old Style" w:cs="Arial"/>
          <w:i/>
          <w:sz w:val="22"/>
          <w:szCs w:val="22"/>
          <w:lang w:val="es-CO"/>
        </w:rPr>
        <w:t>.  Los elementos centrales de dicha doctrina pueden resumirse así:</w:t>
      </w:r>
    </w:p>
    <w:p w:rsidR="00CC5CE1" w:rsidRPr="006875CB" w:rsidRDefault="00CC5CE1" w:rsidP="000804FD">
      <w:pPr>
        <w:jc w:val="both"/>
        <w:rPr>
          <w:rFonts w:ascii="Bookman Old Style" w:hAnsi="Bookman Old Style" w:cs="Arial"/>
          <w:i/>
          <w:sz w:val="22"/>
          <w:szCs w:val="22"/>
          <w:lang w:val="es-ES_tradnl"/>
        </w:rPr>
      </w:pPr>
      <w:r w:rsidRPr="006875CB">
        <w:rPr>
          <w:rFonts w:ascii="Bookman Old Style" w:hAnsi="Bookman Old Style" w:cs="Arial"/>
          <w:i/>
          <w:sz w:val="22"/>
          <w:szCs w:val="22"/>
          <w:lang w:val="es-CO"/>
        </w:rPr>
        <w:t> </w:t>
      </w:r>
    </w:p>
    <w:p w:rsidR="00CC5CE1" w:rsidRPr="006875CB" w:rsidRDefault="00CC5CE1" w:rsidP="000804FD">
      <w:pPr>
        <w:jc w:val="both"/>
        <w:rPr>
          <w:rFonts w:ascii="Bookman Old Style" w:hAnsi="Bookman Old Style" w:cs="Arial"/>
          <w:i/>
          <w:sz w:val="22"/>
          <w:szCs w:val="22"/>
          <w:lang w:val="es-ES_tradnl"/>
        </w:rPr>
      </w:pPr>
      <w:r w:rsidRPr="006875CB">
        <w:rPr>
          <w:rFonts w:ascii="Bookman Old Style" w:hAnsi="Bookman Old Style" w:cs="Arial"/>
          <w:i/>
          <w:sz w:val="22"/>
          <w:szCs w:val="22"/>
          <w:lang w:val="es-CO"/>
        </w:rPr>
        <w:t>8.2.1.  La facultad de todo ciudadano de acceder a los documentos públicos está protegida en nuestro sistema jurídico como un derecho fundamental autónomo, aunque a la vez estrechamente vinculado al ejercicio de otros derechos tales como el de petición (art. 23 C.P.)</w:t>
      </w:r>
      <w:r w:rsidRPr="006875CB">
        <w:rPr>
          <w:rStyle w:val="Refdenotaalpie"/>
          <w:rFonts w:ascii="Bookman Old Style" w:hAnsi="Bookman Old Style" w:cs="Arial"/>
          <w:i/>
          <w:sz w:val="22"/>
          <w:szCs w:val="22"/>
          <w:lang w:val="es-CO"/>
        </w:rPr>
        <w:footnoteReference w:id="3"/>
      </w:r>
      <w:r w:rsidRPr="006875CB">
        <w:rPr>
          <w:rFonts w:ascii="Bookman Old Style" w:hAnsi="Bookman Old Style" w:cs="Arial"/>
          <w:i/>
          <w:sz w:val="22"/>
          <w:szCs w:val="22"/>
          <w:lang w:val="es-CO"/>
        </w:rPr>
        <w:t> y el derecho a participar en la conformación, ejercicio y control del poder político (art. 40 C.P.)</w:t>
      </w:r>
      <w:r w:rsidRPr="006875CB">
        <w:rPr>
          <w:rStyle w:val="Refdenotaalpie"/>
          <w:rFonts w:ascii="Bookman Old Style" w:hAnsi="Bookman Old Style" w:cs="Arial"/>
          <w:i/>
          <w:sz w:val="22"/>
          <w:szCs w:val="22"/>
          <w:lang w:val="es-CO"/>
        </w:rPr>
        <w:footnoteReference w:id="4"/>
      </w:r>
      <w:r w:rsidRPr="006875CB">
        <w:rPr>
          <w:rFonts w:ascii="Bookman Old Style" w:hAnsi="Bookman Old Style" w:cs="Arial"/>
          <w:i/>
          <w:sz w:val="22"/>
          <w:szCs w:val="22"/>
          <w:lang w:val="es-CO"/>
        </w:rPr>
        <w:t>.</w:t>
      </w:r>
    </w:p>
    <w:p w:rsidR="00CC5CE1" w:rsidRPr="006875CB" w:rsidRDefault="00CC5CE1" w:rsidP="000804FD">
      <w:pPr>
        <w:jc w:val="both"/>
        <w:rPr>
          <w:rFonts w:ascii="Bookman Old Style" w:hAnsi="Bookman Old Style" w:cs="Arial"/>
          <w:i/>
          <w:sz w:val="22"/>
          <w:szCs w:val="22"/>
          <w:lang w:val="es-ES_tradnl"/>
        </w:rPr>
      </w:pPr>
      <w:r w:rsidRPr="006875CB">
        <w:rPr>
          <w:rFonts w:ascii="Bookman Old Style" w:hAnsi="Bookman Old Style" w:cs="Arial"/>
          <w:i/>
          <w:sz w:val="22"/>
          <w:szCs w:val="22"/>
          <w:lang w:val="es-CO"/>
        </w:rPr>
        <w:t> </w:t>
      </w:r>
    </w:p>
    <w:p w:rsidR="00CC5CE1" w:rsidRPr="006875CB" w:rsidRDefault="00CC5CE1" w:rsidP="000804FD">
      <w:pPr>
        <w:jc w:val="both"/>
        <w:rPr>
          <w:rFonts w:ascii="Bookman Old Style" w:hAnsi="Bookman Old Style" w:cs="Arial"/>
          <w:i/>
          <w:sz w:val="22"/>
          <w:szCs w:val="22"/>
          <w:lang w:val="es-ES_tradnl"/>
        </w:rPr>
      </w:pPr>
      <w:r w:rsidRPr="006875CB">
        <w:rPr>
          <w:rFonts w:ascii="Bookman Old Style" w:hAnsi="Bookman Old Style" w:cs="Arial"/>
          <w:i/>
          <w:sz w:val="22"/>
          <w:szCs w:val="22"/>
          <w:lang w:val="es-CO"/>
        </w:rPr>
        <w:t>8.2.2. El principio de publicidad de los documentos oficiales recaba además su fundamento en el modelo de democracia participativa establecido en la constitución.  Así lo ha señalado esta Corporación (…)</w:t>
      </w:r>
      <w:r w:rsidRPr="006875CB">
        <w:rPr>
          <w:rFonts w:ascii="Bookman Old Style" w:hAnsi="Bookman Old Style" w:cs="Arial"/>
          <w:i/>
          <w:iCs/>
          <w:sz w:val="22"/>
          <w:szCs w:val="22"/>
          <w:lang w:val="es-CO"/>
        </w:rPr>
        <w:t>.</w:t>
      </w:r>
    </w:p>
    <w:p w:rsidR="00CC5CE1" w:rsidRPr="006875CB" w:rsidRDefault="00CC5CE1" w:rsidP="000804FD">
      <w:pPr>
        <w:jc w:val="both"/>
        <w:rPr>
          <w:rFonts w:ascii="Bookman Old Style" w:hAnsi="Bookman Old Style" w:cs="Arial"/>
          <w:i/>
          <w:sz w:val="22"/>
          <w:szCs w:val="22"/>
          <w:lang w:val="es-ES_tradnl"/>
        </w:rPr>
      </w:pPr>
      <w:r w:rsidRPr="006875CB">
        <w:rPr>
          <w:rFonts w:ascii="Bookman Old Style" w:hAnsi="Bookman Old Style" w:cs="Arial"/>
          <w:i/>
          <w:sz w:val="22"/>
          <w:szCs w:val="22"/>
          <w:lang w:val="es-CO"/>
        </w:rPr>
        <w:t> </w:t>
      </w:r>
    </w:p>
    <w:p w:rsidR="00CC5CE1" w:rsidRPr="006875CB" w:rsidRDefault="00CC5CE1" w:rsidP="000804FD">
      <w:pPr>
        <w:jc w:val="both"/>
        <w:rPr>
          <w:rFonts w:ascii="Bookman Old Style" w:hAnsi="Bookman Old Style" w:cs="Arial"/>
          <w:i/>
          <w:sz w:val="22"/>
          <w:szCs w:val="22"/>
          <w:lang w:val="es-ES_tradnl"/>
        </w:rPr>
      </w:pPr>
      <w:r w:rsidRPr="006875CB">
        <w:rPr>
          <w:rFonts w:ascii="Bookman Old Style" w:hAnsi="Bookman Old Style" w:cs="Arial"/>
          <w:i/>
          <w:sz w:val="22"/>
          <w:szCs w:val="22"/>
          <w:lang w:val="es-CO"/>
        </w:rPr>
        <w:t>8.2.3.  En relación con el contenido de este derecho se ha establecido que, por tratarse de una condición necesaria para el control ciudadano de la actividad estatal y, con ello, contribuir al desarrollo de una democracia participativa, el artículo 74 de la Carta debe ser interpretado en sentido amplio, para albergar un principio general de publicidad de la información estatal, que faculta a toda persona para la consulta </w:t>
      </w:r>
      <w:r w:rsidRPr="006875CB">
        <w:rPr>
          <w:rFonts w:ascii="Bookman Old Style" w:hAnsi="Bookman Old Style" w:cs="Arial"/>
          <w:i/>
          <w:iCs/>
          <w:sz w:val="22"/>
          <w:szCs w:val="22"/>
          <w:lang w:val="es-CO"/>
        </w:rPr>
        <w:t>in situ</w:t>
      </w:r>
      <w:r w:rsidRPr="006875CB">
        <w:rPr>
          <w:rFonts w:ascii="Bookman Old Style" w:hAnsi="Bookman Old Style" w:cs="Arial"/>
          <w:i/>
          <w:sz w:val="22"/>
          <w:szCs w:val="22"/>
          <w:lang w:val="es-CO"/>
        </w:rPr>
        <w:t xml:space="preserve"> y la reproducción de todos los documentos públicos, </w:t>
      </w:r>
      <w:r w:rsidRPr="006875CB">
        <w:rPr>
          <w:rFonts w:ascii="Bookman Old Style" w:hAnsi="Bookman Old Style" w:cs="Arial"/>
          <w:b/>
          <w:i/>
          <w:sz w:val="22"/>
          <w:szCs w:val="22"/>
          <w:u w:val="single"/>
          <w:lang w:val="es-CO"/>
        </w:rPr>
        <w:t>con excepción de los excluidos por mandato de la ley</w:t>
      </w:r>
      <w:r w:rsidRPr="006875CB">
        <w:rPr>
          <w:rFonts w:ascii="Bookman Old Style" w:hAnsi="Bookman Old Style" w:cs="Arial"/>
          <w:i/>
          <w:sz w:val="22"/>
          <w:szCs w:val="22"/>
          <w:lang w:val="es-CO"/>
        </w:rPr>
        <w:t>. </w:t>
      </w:r>
    </w:p>
    <w:p w:rsidR="00CC5CE1" w:rsidRPr="006875CB" w:rsidRDefault="00CC5CE1" w:rsidP="000804FD">
      <w:pPr>
        <w:jc w:val="both"/>
        <w:rPr>
          <w:rFonts w:ascii="Bookman Old Style" w:hAnsi="Bookman Old Style" w:cs="Arial"/>
          <w:i/>
          <w:sz w:val="22"/>
          <w:szCs w:val="22"/>
          <w:lang w:val="es-ES_tradnl"/>
        </w:rPr>
      </w:pPr>
      <w:r w:rsidRPr="006875CB">
        <w:rPr>
          <w:rFonts w:ascii="Bookman Old Style" w:hAnsi="Bookman Old Style" w:cs="Arial"/>
          <w:i/>
          <w:sz w:val="22"/>
          <w:szCs w:val="22"/>
          <w:lang w:val="es-CO"/>
        </w:rPr>
        <w:t> </w:t>
      </w:r>
    </w:p>
    <w:p w:rsidR="00CC5CE1" w:rsidRPr="006875CB" w:rsidRDefault="00CC5CE1" w:rsidP="000804FD">
      <w:pPr>
        <w:jc w:val="both"/>
        <w:rPr>
          <w:rFonts w:ascii="Bookman Old Style" w:hAnsi="Bookman Old Style" w:cs="Arial"/>
          <w:i/>
          <w:sz w:val="22"/>
          <w:szCs w:val="22"/>
          <w:lang w:val="es-ES_tradnl"/>
        </w:rPr>
      </w:pPr>
      <w:r w:rsidRPr="006875CB">
        <w:rPr>
          <w:rFonts w:ascii="Bookman Old Style" w:hAnsi="Bookman Old Style" w:cs="Arial"/>
          <w:i/>
          <w:sz w:val="22"/>
          <w:szCs w:val="22"/>
          <w:lang w:val="es-CO"/>
        </w:rPr>
        <w:t>(…)</w:t>
      </w:r>
    </w:p>
    <w:p w:rsidR="00CC5CE1" w:rsidRPr="006875CB" w:rsidRDefault="00CC5CE1" w:rsidP="000804FD">
      <w:pPr>
        <w:jc w:val="both"/>
        <w:rPr>
          <w:rFonts w:ascii="Bookman Old Style" w:hAnsi="Bookman Old Style" w:cs="Arial"/>
          <w:i/>
          <w:sz w:val="22"/>
          <w:szCs w:val="22"/>
          <w:lang w:val="es-ES_tradnl"/>
        </w:rPr>
      </w:pPr>
      <w:r w:rsidRPr="006875CB">
        <w:rPr>
          <w:rFonts w:ascii="Bookman Old Style" w:hAnsi="Bookman Old Style" w:cs="Arial"/>
          <w:i/>
          <w:sz w:val="22"/>
          <w:szCs w:val="22"/>
          <w:lang w:val="es-CO"/>
        </w:rPr>
        <w:t> </w:t>
      </w:r>
    </w:p>
    <w:p w:rsidR="00CC5CE1" w:rsidRPr="006875CB" w:rsidRDefault="00CC5CE1" w:rsidP="000804FD">
      <w:pPr>
        <w:jc w:val="both"/>
        <w:rPr>
          <w:rFonts w:ascii="Bookman Old Style" w:hAnsi="Bookman Old Style" w:cs="Arial"/>
          <w:i/>
          <w:sz w:val="22"/>
          <w:szCs w:val="22"/>
          <w:lang w:val="es-ES_tradnl"/>
        </w:rPr>
      </w:pPr>
      <w:r w:rsidRPr="006875CB">
        <w:rPr>
          <w:rFonts w:ascii="Bookman Old Style" w:hAnsi="Bookman Old Style" w:cs="Arial"/>
          <w:i/>
          <w:sz w:val="22"/>
          <w:szCs w:val="22"/>
          <w:lang w:val="es-CO"/>
        </w:rPr>
        <w:t>8.2.4. Respecto a las excepciones a este principio general de publicidad de la información, la jurisprudencia de esta Corporación ha establecido que ellas deben satisfacer tres requisitos:</w:t>
      </w:r>
    </w:p>
    <w:p w:rsidR="00CC5CE1" w:rsidRPr="006875CB" w:rsidRDefault="00CC5CE1" w:rsidP="000804FD">
      <w:pPr>
        <w:jc w:val="both"/>
        <w:rPr>
          <w:rFonts w:ascii="Bookman Old Style" w:hAnsi="Bookman Old Style" w:cs="Arial"/>
          <w:i/>
          <w:sz w:val="22"/>
          <w:szCs w:val="22"/>
          <w:lang w:val="es-ES_tradnl"/>
        </w:rPr>
      </w:pPr>
      <w:r w:rsidRPr="006875CB">
        <w:rPr>
          <w:rFonts w:ascii="Bookman Old Style" w:hAnsi="Bookman Old Style" w:cs="Arial"/>
          <w:i/>
          <w:sz w:val="22"/>
          <w:szCs w:val="22"/>
          <w:lang w:val="es-CO"/>
        </w:rPr>
        <w:t> </w:t>
      </w:r>
    </w:p>
    <w:p w:rsidR="00CC5CE1" w:rsidRPr="006875CB" w:rsidRDefault="00CC5CE1" w:rsidP="000804FD">
      <w:pPr>
        <w:jc w:val="both"/>
        <w:rPr>
          <w:rFonts w:ascii="Bookman Old Style" w:hAnsi="Bookman Old Style" w:cs="Arial"/>
          <w:i/>
          <w:sz w:val="22"/>
          <w:szCs w:val="22"/>
          <w:lang w:val="es-ES_tradnl"/>
        </w:rPr>
      </w:pPr>
      <w:r w:rsidRPr="006875CB">
        <w:rPr>
          <w:rFonts w:ascii="Bookman Old Style" w:hAnsi="Bookman Old Style" w:cs="Arial"/>
          <w:i/>
          <w:sz w:val="22"/>
          <w:szCs w:val="22"/>
          <w:lang w:val="es-CO"/>
        </w:rPr>
        <w:t xml:space="preserve">8.2.4.1.   </w:t>
      </w:r>
      <w:r w:rsidRPr="006875CB">
        <w:rPr>
          <w:rFonts w:ascii="Bookman Old Style" w:hAnsi="Bookman Old Style" w:cs="Arial"/>
          <w:b/>
          <w:i/>
          <w:sz w:val="22"/>
          <w:szCs w:val="22"/>
          <w:u w:val="single"/>
          <w:lang w:val="es-CO"/>
        </w:rPr>
        <w:t>Sólo pueden ser estipuladas por ley</w:t>
      </w:r>
      <w:r w:rsidRPr="006875CB">
        <w:rPr>
          <w:rFonts w:ascii="Bookman Old Style" w:hAnsi="Bookman Old Style" w:cs="Arial"/>
          <w:i/>
          <w:sz w:val="22"/>
          <w:szCs w:val="22"/>
          <w:lang w:val="es-CO"/>
        </w:rPr>
        <w:t xml:space="preserve">.  En relación con la reserva de ley  para imponer restricciones al derecho de acceso a los documentos públicos, la Corte ha señalado que, si bien el artículo 74 autoriza que se establezcan excepciones a este derecho por medio de la ley, no especifica un tipo especial de ley.  En consecuencia, </w:t>
      </w:r>
      <w:r w:rsidRPr="006875CB">
        <w:rPr>
          <w:rFonts w:ascii="Bookman Old Style" w:hAnsi="Bookman Old Style" w:cs="Arial"/>
          <w:i/>
          <w:sz w:val="22"/>
          <w:szCs w:val="22"/>
          <w:u w:val="single"/>
          <w:lang w:val="es-CO"/>
        </w:rPr>
        <w:t xml:space="preserve">aunque no se requiera de ley estatutaria, tales limitaciones deben estar contempladas en una ley ordinaria </w:t>
      </w:r>
      <w:r w:rsidRPr="006875CB">
        <w:rPr>
          <w:rFonts w:ascii="Bookman Old Style" w:hAnsi="Bookman Old Style" w:cs="Arial"/>
          <w:b/>
          <w:i/>
          <w:sz w:val="22"/>
          <w:szCs w:val="22"/>
          <w:u w:val="single"/>
          <w:lang w:val="es-CO"/>
        </w:rPr>
        <w:t>o, en su caso, en un decreto con fuerza de ley</w:t>
      </w:r>
      <w:r w:rsidRPr="006875CB">
        <w:rPr>
          <w:rFonts w:ascii="Bookman Old Style" w:hAnsi="Bookman Old Style" w:cs="Arial"/>
          <w:i/>
          <w:sz w:val="22"/>
          <w:szCs w:val="22"/>
          <w:u w:val="single"/>
          <w:lang w:val="es-CO"/>
        </w:rPr>
        <w:t>, como los expedidos en virtud de la delegación de competencias que puede efectuar el Congreso con fundamento en el artículo 150, numeral 10, de la Constitución</w:t>
      </w:r>
      <w:r w:rsidRPr="006875CB">
        <w:rPr>
          <w:rFonts w:ascii="Bookman Old Style" w:hAnsi="Bookman Old Style" w:cs="Arial"/>
          <w:i/>
          <w:sz w:val="22"/>
          <w:szCs w:val="22"/>
          <w:lang w:val="es-CO"/>
        </w:rPr>
        <w:t>.</w:t>
      </w:r>
      <w:r w:rsidRPr="006875CB">
        <w:rPr>
          <w:rStyle w:val="Refdenotaalpie"/>
          <w:rFonts w:ascii="Bookman Old Style" w:hAnsi="Bookman Old Style" w:cs="Arial"/>
          <w:i/>
          <w:sz w:val="22"/>
          <w:szCs w:val="22"/>
          <w:lang w:val="es-CO"/>
        </w:rPr>
        <w:footnoteReference w:id="5"/>
      </w:r>
      <w:r w:rsidRPr="006875CB">
        <w:rPr>
          <w:rFonts w:ascii="Bookman Old Style" w:hAnsi="Bookman Old Style" w:cs="Arial"/>
          <w:i/>
          <w:sz w:val="22"/>
          <w:szCs w:val="22"/>
          <w:lang w:val="es-CO"/>
        </w:rPr>
        <w:t> </w:t>
      </w:r>
    </w:p>
    <w:p w:rsidR="00CC5CE1" w:rsidRPr="006875CB" w:rsidRDefault="00CC5CE1" w:rsidP="000804FD">
      <w:pPr>
        <w:jc w:val="both"/>
        <w:rPr>
          <w:rFonts w:ascii="Bookman Old Style" w:hAnsi="Bookman Old Style" w:cs="Arial"/>
          <w:i/>
          <w:sz w:val="22"/>
          <w:szCs w:val="22"/>
          <w:lang w:val="es-ES_tradnl"/>
        </w:rPr>
      </w:pPr>
      <w:r w:rsidRPr="006875CB">
        <w:rPr>
          <w:rFonts w:ascii="Bookman Old Style" w:hAnsi="Bookman Old Style" w:cs="Arial"/>
          <w:i/>
          <w:sz w:val="22"/>
          <w:szCs w:val="22"/>
          <w:lang w:val="es-CO"/>
        </w:rPr>
        <w:t> </w:t>
      </w:r>
    </w:p>
    <w:p w:rsidR="00CC5CE1" w:rsidRPr="006875CB" w:rsidRDefault="00CC5CE1" w:rsidP="000804FD">
      <w:pPr>
        <w:jc w:val="both"/>
        <w:rPr>
          <w:rFonts w:ascii="Bookman Old Style" w:hAnsi="Bookman Old Style" w:cs="Arial"/>
          <w:lang w:val="es-ES_tradnl"/>
        </w:rPr>
      </w:pPr>
      <w:r w:rsidRPr="006875CB">
        <w:rPr>
          <w:rFonts w:ascii="Bookman Old Style" w:hAnsi="Bookman Old Style" w:cs="Arial"/>
          <w:i/>
          <w:sz w:val="22"/>
          <w:szCs w:val="22"/>
          <w:lang w:val="es-CO"/>
        </w:rPr>
        <w:t xml:space="preserve">8.2.4.2.  Tales  excepciones deben sujetarse a los principios de razonabilidad y proporcionalidad, e igualmente estar </w:t>
      </w:r>
      <w:r w:rsidRPr="006875CB">
        <w:rPr>
          <w:rFonts w:ascii="Bookman Old Style" w:hAnsi="Bookman Old Style" w:cs="Arial"/>
          <w:b/>
          <w:i/>
          <w:sz w:val="22"/>
          <w:szCs w:val="22"/>
          <w:u w:val="single"/>
          <w:lang w:val="es-CO"/>
        </w:rPr>
        <w:t>relacionadas con la protección de derechos fundamentales, como es el caso de la intimidad</w:t>
      </w:r>
      <w:r w:rsidRPr="006875CB">
        <w:rPr>
          <w:rFonts w:ascii="Bookman Old Style" w:hAnsi="Bookman Old Style" w:cs="Arial"/>
          <w:i/>
          <w:sz w:val="22"/>
          <w:szCs w:val="22"/>
          <w:lang w:val="es-CO"/>
        </w:rPr>
        <w:t>, o de valores constitucionalmente protegidos, como sucede con la seguridad y la defensa nacional.</w:t>
      </w:r>
      <w:r w:rsidRPr="006875CB">
        <w:rPr>
          <w:rFonts w:ascii="Bookman Old Style" w:hAnsi="Bookman Old Style" w:cs="Arial"/>
          <w:i/>
          <w:sz w:val="22"/>
          <w:szCs w:val="22"/>
          <w:lang w:val="es-ES_tradnl"/>
        </w:rPr>
        <w:t xml:space="preserve"> </w:t>
      </w:r>
      <w:r w:rsidRPr="006875CB">
        <w:rPr>
          <w:rFonts w:ascii="Bookman Old Style" w:hAnsi="Bookman Old Style" w:cs="Arial"/>
          <w:i/>
          <w:sz w:val="22"/>
          <w:szCs w:val="22"/>
          <w:lang w:val="es-CO"/>
        </w:rPr>
        <w:t>(…)”</w:t>
      </w:r>
      <w:r w:rsidRPr="006875CB">
        <w:rPr>
          <w:rFonts w:ascii="Bookman Old Style" w:hAnsi="Bookman Old Style" w:cs="Arial"/>
          <w:sz w:val="22"/>
          <w:szCs w:val="22"/>
          <w:lang w:val="es-CO"/>
        </w:rPr>
        <w:t xml:space="preserve"> (subrayas y negrillas fuera de texto)</w:t>
      </w:r>
    </w:p>
    <w:p w:rsidR="00CC5CE1" w:rsidRPr="006875CB" w:rsidRDefault="00CC5CE1" w:rsidP="0000183C">
      <w:pPr>
        <w:ind w:left="0"/>
        <w:jc w:val="both"/>
        <w:rPr>
          <w:rFonts w:ascii="Bookman Old Style" w:hAnsi="Bookman Old Style" w:cs="Arial"/>
          <w:lang w:val="es-CO"/>
        </w:rPr>
      </w:pPr>
    </w:p>
    <w:p w:rsidR="00B9084B" w:rsidRDefault="00B9084B" w:rsidP="0000183C">
      <w:pPr>
        <w:ind w:left="0"/>
        <w:jc w:val="both"/>
        <w:rPr>
          <w:rFonts w:ascii="Bookman Old Style" w:hAnsi="Bookman Old Style" w:cs="Arial"/>
          <w:lang w:val="es-ES_tradnl"/>
        </w:rPr>
      </w:pPr>
    </w:p>
    <w:p w:rsidR="00CC5CE1" w:rsidRPr="006875CB" w:rsidRDefault="00CC5CE1" w:rsidP="0000183C">
      <w:pPr>
        <w:ind w:left="0"/>
        <w:jc w:val="both"/>
        <w:rPr>
          <w:rFonts w:ascii="Bookman Old Style" w:hAnsi="Bookman Old Style" w:cs="Arial"/>
          <w:lang w:val="es-ES_tradnl"/>
        </w:rPr>
      </w:pPr>
      <w:r w:rsidRPr="006875CB">
        <w:rPr>
          <w:rFonts w:ascii="Bookman Old Style" w:hAnsi="Bookman Old Style" w:cs="Arial"/>
          <w:lang w:val="es-ES_tradnl"/>
        </w:rPr>
        <w:t xml:space="preserve">Se reitera que la CREG dio estricto cumplimiento a un mandato </w:t>
      </w:r>
      <w:r w:rsidR="0000183C" w:rsidRPr="006875CB">
        <w:rPr>
          <w:rFonts w:ascii="Bookman Old Style" w:hAnsi="Bookman Old Style" w:cs="Arial"/>
          <w:lang w:val="es-ES_tradnl"/>
        </w:rPr>
        <w:t>c</w:t>
      </w:r>
      <w:r w:rsidRPr="006875CB">
        <w:rPr>
          <w:rFonts w:ascii="Bookman Old Style" w:hAnsi="Bookman Old Style" w:cs="Arial"/>
          <w:lang w:val="es-ES_tradnl"/>
        </w:rPr>
        <w:t>onstitucional y legal, sin que por ello se pueda considerar que actuó de forma arbitraria o basándose en supuestos falsos o ficticios, o que violó el derecho al debido proceso de la recurrente.</w:t>
      </w:r>
    </w:p>
    <w:p w:rsidR="00CC5CE1" w:rsidRPr="006875CB" w:rsidRDefault="00CC5CE1" w:rsidP="0000183C">
      <w:pPr>
        <w:ind w:left="0"/>
        <w:jc w:val="both"/>
        <w:rPr>
          <w:rFonts w:ascii="Bookman Old Style" w:hAnsi="Bookman Old Style" w:cs="Arial"/>
          <w:lang w:val="es-ES_tradnl"/>
        </w:rPr>
      </w:pPr>
    </w:p>
    <w:p w:rsidR="00CC5CE1" w:rsidRPr="006875CB" w:rsidRDefault="00CC5CE1" w:rsidP="005300B2">
      <w:pPr>
        <w:ind w:left="0"/>
        <w:jc w:val="both"/>
        <w:rPr>
          <w:rFonts w:ascii="Bookman Old Style" w:hAnsi="Bookman Old Style" w:cs="Arial"/>
        </w:rPr>
      </w:pPr>
      <w:r w:rsidRPr="006875CB">
        <w:rPr>
          <w:rFonts w:ascii="Bookman Old Style" w:hAnsi="Bookman Old Style" w:cs="Arial"/>
          <w:lang w:val="es-ES_tradnl"/>
        </w:rPr>
        <w:t xml:space="preserve">Finalmente, debe indicarse que no es acertado concluir, como lo hace TGI, que la Resolución CREG 140 de 2012 recurrida modificó la </w:t>
      </w:r>
      <w:r w:rsidRPr="006875CB">
        <w:rPr>
          <w:rFonts w:ascii="Bookman Old Style" w:hAnsi="Bookman Old Style" w:cs="Arial"/>
          <w:i/>
          <w:lang w:val="es-ES_tradnl"/>
        </w:rPr>
        <w:t>metodología</w:t>
      </w:r>
      <w:r w:rsidRPr="006875CB">
        <w:rPr>
          <w:rFonts w:ascii="Bookman Old Style" w:hAnsi="Bookman Old Style" w:cs="Arial"/>
          <w:lang w:val="es-ES_tradnl"/>
        </w:rPr>
        <w:t xml:space="preserve"> contenida en la Resolución CREG 126 de 2010. En efecto, </w:t>
      </w:r>
      <w:r w:rsidRPr="006875CB">
        <w:rPr>
          <w:rFonts w:ascii="Bookman Old Style" w:hAnsi="Bookman Old Style" w:cs="Arial"/>
        </w:rPr>
        <w:t xml:space="preserve">valga recordar que el Anexo 1 referido establece que </w:t>
      </w:r>
      <w:r w:rsidRPr="006875CB">
        <w:rPr>
          <w:rFonts w:ascii="Bookman Old Style" w:hAnsi="Bookman Old Style" w:cs="Arial"/>
          <w:i/>
        </w:rPr>
        <w:t>“</w:t>
      </w:r>
      <w:r w:rsidRPr="006875CB">
        <w:rPr>
          <w:rFonts w:ascii="Bookman Old Style" w:hAnsi="Bookman Old Style"/>
          <w:i/>
          <w:color w:val="000000"/>
        </w:rPr>
        <w:t xml:space="preserve">Para efectos regulatorios, la CREG determinará los costos eficientes de inversiones a través del mecanismo de comparación, mediante la aplicación de los siguientes criterios, </w:t>
      </w:r>
      <w:r w:rsidRPr="006875CB">
        <w:rPr>
          <w:rFonts w:ascii="Bookman Old Style" w:hAnsi="Bookman Old Style"/>
          <w:i/>
          <w:color w:val="000000"/>
          <w:u w:val="single"/>
        </w:rPr>
        <w:t>entre otros</w:t>
      </w:r>
      <w:r w:rsidRPr="006875CB">
        <w:rPr>
          <w:rFonts w:ascii="Bookman Old Style" w:hAnsi="Bookman Old Style" w:cs="Arial"/>
          <w:i/>
        </w:rPr>
        <w:t>”</w:t>
      </w:r>
      <w:r w:rsidRPr="006875CB">
        <w:rPr>
          <w:rFonts w:ascii="Bookman Old Style" w:hAnsi="Bookman Old Style" w:cs="Arial"/>
        </w:rPr>
        <w:t xml:space="preserve">, y que </w:t>
      </w:r>
      <w:r w:rsidRPr="006875CB">
        <w:rPr>
          <w:rFonts w:ascii="Bookman Old Style" w:hAnsi="Bookman Old Style" w:cs="Arial"/>
          <w:i/>
        </w:rPr>
        <w:t>“</w:t>
      </w:r>
      <w:r w:rsidR="006110B0" w:rsidRPr="006875CB">
        <w:rPr>
          <w:rFonts w:ascii="Bookman Old Style" w:hAnsi="Bookman Old Style" w:cs="Arial"/>
          <w:i/>
        </w:rPr>
        <w:t>[e]</w:t>
      </w:r>
      <w:r w:rsidRPr="006875CB">
        <w:rPr>
          <w:rFonts w:ascii="Bookman Old Style" w:hAnsi="Bookman Old Style"/>
          <w:i/>
          <w:color w:val="000000"/>
        </w:rPr>
        <w:t xml:space="preserve">l procedimiento descrito en este anexo se aplicará gradualmente, </w:t>
      </w:r>
      <w:r w:rsidRPr="006875CB">
        <w:rPr>
          <w:rFonts w:ascii="Bookman Old Style" w:hAnsi="Bookman Old Style"/>
          <w:i/>
          <w:color w:val="000000"/>
          <w:u w:val="single"/>
        </w:rPr>
        <w:t>en la medida que la CREG disponga de la información requerida para su implementación</w:t>
      </w:r>
      <w:r w:rsidRPr="006875CB">
        <w:rPr>
          <w:rFonts w:ascii="Bookman Old Style" w:hAnsi="Bookman Old Style" w:cs="Arial"/>
          <w:i/>
        </w:rPr>
        <w:t>”</w:t>
      </w:r>
      <w:r w:rsidRPr="006875CB">
        <w:rPr>
          <w:rFonts w:ascii="Bookman Old Style" w:hAnsi="Bookman Old Style" w:cs="Arial"/>
        </w:rPr>
        <w:t xml:space="preserve">. </w:t>
      </w:r>
      <w:r w:rsidR="006110B0" w:rsidRPr="006875CB">
        <w:rPr>
          <w:rFonts w:ascii="Bookman Old Style" w:hAnsi="Bookman Old Style" w:cs="Arial"/>
        </w:rPr>
        <w:t>(subrayas propias)</w:t>
      </w:r>
    </w:p>
    <w:p w:rsidR="00CC5CE1" w:rsidRPr="006875CB" w:rsidRDefault="00CC5CE1" w:rsidP="005300B2">
      <w:pPr>
        <w:ind w:left="0"/>
        <w:jc w:val="both"/>
        <w:rPr>
          <w:rFonts w:ascii="Bookman Old Style" w:hAnsi="Bookman Old Style" w:cs="Arial"/>
        </w:rPr>
      </w:pPr>
    </w:p>
    <w:p w:rsidR="00CC5CE1" w:rsidRPr="006875CB" w:rsidRDefault="00CC5CE1" w:rsidP="005300B2">
      <w:pPr>
        <w:ind w:left="0"/>
        <w:jc w:val="both"/>
        <w:rPr>
          <w:rFonts w:ascii="Bookman Old Style" w:hAnsi="Bookman Old Style" w:cs="Arial"/>
        </w:rPr>
      </w:pPr>
      <w:r w:rsidRPr="006875CB">
        <w:rPr>
          <w:rFonts w:ascii="Bookman Old Style" w:hAnsi="Bookman Old Style" w:cs="Arial"/>
        </w:rPr>
        <w:t>Según se desprende del Anexo 1</w:t>
      </w:r>
      <w:r w:rsidR="0000183C" w:rsidRPr="006875CB">
        <w:rPr>
          <w:rFonts w:ascii="Bookman Old Style" w:hAnsi="Bookman Old Style" w:cs="Arial"/>
        </w:rPr>
        <w:t xml:space="preserve"> de </w:t>
      </w:r>
      <w:r w:rsidR="0000183C" w:rsidRPr="006875CB">
        <w:rPr>
          <w:rFonts w:ascii="Bookman Old Style" w:hAnsi="Bookman Old Style" w:cs="Arial"/>
          <w:lang w:val="es-ES_tradnl"/>
        </w:rPr>
        <w:t>la Resolución CREG 126 de 2010</w:t>
      </w:r>
      <w:r w:rsidRPr="006875CB">
        <w:rPr>
          <w:rFonts w:ascii="Bookman Old Style" w:hAnsi="Bookman Old Style" w:cs="Arial"/>
        </w:rPr>
        <w:t>, la CREG tiene la facultad y el deber de incluir otros criterios y de mejorar la información que sirve de base para sus decisiones, si ello es posible. Pues bien, gracias al procedimiento llevado a cabo para la expedición de las</w:t>
      </w:r>
      <w:r w:rsidR="006D4B83">
        <w:rPr>
          <w:rFonts w:ascii="Bookman Old Style" w:hAnsi="Bookman Old Style" w:cs="Arial"/>
        </w:rPr>
        <w:t xml:space="preserve"> r</w:t>
      </w:r>
      <w:r w:rsidRPr="006875CB">
        <w:rPr>
          <w:rFonts w:ascii="Bookman Old Style" w:hAnsi="Bookman Old Style" w:cs="Arial"/>
        </w:rPr>
        <w:t xml:space="preserve">esoluciones CREG 121, 122 y 123 de 2012, la Comisión contó con información más completa, específica y relevante para aplicar el mencionado Anexo en la decisión adoptada en la </w:t>
      </w:r>
      <w:r w:rsidR="0000183C" w:rsidRPr="006875CB">
        <w:rPr>
          <w:rFonts w:ascii="Bookman Old Style" w:hAnsi="Bookman Old Style" w:cs="Arial"/>
        </w:rPr>
        <w:t>r</w:t>
      </w:r>
      <w:r w:rsidRPr="006875CB">
        <w:rPr>
          <w:rFonts w:ascii="Bookman Old Style" w:hAnsi="Bookman Old Style" w:cs="Arial"/>
        </w:rPr>
        <w:t>esolución recurrida por TGI. La recopilación y el análisis de dicha información fueron explicados en detalle, como arriba se dijo, en el Documento CREG 082 de 2012</w:t>
      </w:r>
      <w:r w:rsidR="006110B0" w:rsidRPr="006875CB">
        <w:rPr>
          <w:rFonts w:ascii="Bookman Old Style" w:hAnsi="Bookman Old Style" w:cs="Arial"/>
        </w:rPr>
        <w:t>, soporte de la Resolución CREG 140 de 2012</w:t>
      </w:r>
      <w:r w:rsidRPr="006875CB">
        <w:rPr>
          <w:rFonts w:ascii="Bookman Old Style" w:hAnsi="Bookman Old Style" w:cs="Arial"/>
        </w:rPr>
        <w:t xml:space="preserve">. </w:t>
      </w:r>
    </w:p>
    <w:p w:rsidR="00CC5CE1" w:rsidRPr="006875CB" w:rsidRDefault="00CC5CE1" w:rsidP="005300B2">
      <w:pPr>
        <w:ind w:left="0"/>
        <w:jc w:val="both"/>
        <w:rPr>
          <w:rFonts w:ascii="Bookman Old Style" w:hAnsi="Bookman Old Style" w:cs="Arial"/>
        </w:rPr>
      </w:pPr>
    </w:p>
    <w:p w:rsidR="00CC5CE1" w:rsidRPr="006875CB" w:rsidRDefault="00CC5CE1" w:rsidP="005300B2">
      <w:pPr>
        <w:ind w:left="0"/>
        <w:jc w:val="both"/>
        <w:rPr>
          <w:rFonts w:ascii="Bookman Old Style" w:hAnsi="Bookman Old Style" w:cs="Arial"/>
          <w:lang w:val="es-ES_tradnl"/>
        </w:rPr>
      </w:pPr>
      <w:r w:rsidRPr="006875CB">
        <w:rPr>
          <w:rFonts w:ascii="Bookman Old Style" w:hAnsi="Bookman Old Style" w:cs="Arial"/>
        </w:rPr>
        <w:t xml:space="preserve">Así, mal puede afirmarse que se modificó la </w:t>
      </w:r>
      <w:r w:rsidRPr="006875CB">
        <w:rPr>
          <w:rFonts w:ascii="Bookman Old Style" w:hAnsi="Bookman Old Style" w:cs="Arial"/>
          <w:i/>
        </w:rPr>
        <w:t>metodología</w:t>
      </w:r>
      <w:r w:rsidRPr="006875CB">
        <w:rPr>
          <w:rFonts w:ascii="Bookman Old Style" w:hAnsi="Bookman Old Style" w:cs="Arial"/>
        </w:rPr>
        <w:t xml:space="preserve"> en manera alguna mediante la </w:t>
      </w:r>
      <w:r w:rsidR="0000183C" w:rsidRPr="006875CB">
        <w:rPr>
          <w:rFonts w:ascii="Bookman Old Style" w:hAnsi="Bookman Old Style" w:cs="Arial"/>
        </w:rPr>
        <w:t>r</w:t>
      </w:r>
      <w:r w:rsidRPr="006875CB">
        <w:rPr>
          <w:rFonts w:ascii="Bookman Old Style" w:hAnsi="Bookman Old Style" w:cs="Arial"/>
        </w:rPr>
        <w:t xml:space="preserve">esolución recurrida. La Comisión dio estricto cumplimiento a la </w:t>
      </w:r>
      <w:r w:rsidRPr="006875CB">
        <w:rPr>
          <w:rFonts w:ascii="Bookman Old Style" w:hAnsi="Bookman Old Style" w:cs="Arial"/>
          <w:i/>
        </w:rPr>
        <w:t>metodología</w:t>
      </w:r>
      <w:r w:rsidRPr="006875CB">
        <w:rPr>
          <w:rFonts w:ascii="Bookman Old Style" w:hAnsi="Bookman Old Style" w:cs="Arial"/>
        </w:rPr>
        <w:t xml:space="preserve"> contenida en la Resolución CREG 126 de 2010, incluyendo criterios que, incluso, fueron propuestos por TGI durante el proceso de expedición de la Resolución CREG 121 de 2012. </w:t>
      </w:r>
    </w:p>
    <w:p w:rsidR="00CC5CE1" w:rsidRPr="006875CB" w:rsidRDefault="00CC5CE1" w:rsidP="005300B2">
      <w:pPr>
        <w:ind w:left="0"/>
        <w:jc w:val="both"/>
        <w:rPr>
          <w:rFonts w:ascii="Bookman Old Style" w:hAnsi="Bookman Old Style" w:cs="Arial"/>
          <w:lang w:val="es-ES_tradnl"/>
        </w:rPr>
      </w:pPr>
    </w:p>
    <w:p w:rsidR="00CC5CE1" w:rsidRPr="006875CB" w:rsidRDefault="00CC5CE1" w:rsidP="000804FD">
      <w:pPr>
        <w:numPr>
          <w:ilvl w:val="0"/>
          <w:numId w:val="30"/>
        </w:numPr>
        <w:ind w:left="567" w:hanging="567"/>
        <w:jc w:val="both"/>
        <w:rPr>
          <w:rFonts w:ascii="Bookman Old Style" w:hAnsi="Bookman Old Style" w:cs="Arial"/>
          <w:b/>
        </w:rPr>
      </w:pPr>
      <w:r w:rsidRPr="006875CB">
        <w:rPr>
          <w:rFonts w:ascii="Bookman Old Style" w:hAnsi="Bookman Old Style" w:cs="Arial"/>
          <w:b/>
        </w:rPr>
        <w:t>Nuevas consideraciones esbozadas por TGI</w:t>
      </w:r>
    </w:p>
    <w:p w:rsidR="00CC5CE1" w:rsidRPr="006875CB" w:rsidRDefault="00CC5CE1" w:rsidP="005300B2">
      <w:pPr>
        <w:ind w:left="0"/>
        <w:jc w:val="both"/>
        <w:rPr>
          <w:rFonts w:ascii="Bookman Old Style" w:hAnsi="Bookman Old Style" w:cs="Arial"/>
          <w:b/>
        </w:rPr>
      </w:pPr>
    </w:p>
    <w:p w:rsidR="00CC5CE1" w:rsidRPr="006875CB" w:rsidRDefault="00CC5CE1" w:rsidP="00D7393B">
      <w:pPr>
        <w:ind w:left="0"/>
        <w:jc w:val="both"/>
        <w:rPr>
          <w:rFonts w:ascii="Bookman Old Style" w:hAnsi="Bookman Old Style" w:cs="Arial"/>
        </w:rPr>
      </w:pPr>
      <w:r w:rsidRPr="006875CB">
        <w:rPr>
          <w:rFonts w:ascii="Bookman Old Style" w:hAnsi="Bookman Old Style" w:cs="Arial"/>
        </w:rPr>
        <w:t>En el acápite II del recurso de reposición TGI afirma que dado el tiempo que tomó la Comisión para aprobar los cargos regulados del sistema regional de transporte Boyacá Central, es necesario actualizar o modificar algunos costos. Se refiere a las siguien</w:t>
      </w:r>
      <w:r w:rsidR="00ED68C4" w:rsidRPr="006875CB">
        <w:rPr>
          <w:rFonts w:ascii="Bookman Old Style" w:hAnsi="Bookman Old Style" w:cs="Arial"/>
        </w:rPr>
        <w:t>t</w:t>
      </w:r>
      <w:r w:rsidRPr="006875CB">
        <w:rPr>
          <w:rFonts w:ascii="Bookman Old Style" w:hAnsi="Bookman Old Style" w:cs="Arial"/>
        </w:rPr>
        <w:t>es variables:</w:t>
      </w:r>
    </w:p>
    <w:p w:rsidR="00CC5CE1" w:rsidRPr="006875CB" w:rsidRDefault="00CC5CE1" w:rsidP="00ED68C4">
      <w:pPr>
        <w:ind w:left="0"/>
        <w:jc w:val="both"/>
        <w:rPr>
          <w:rFonts w:ascii="Bookman Old Style" w:hAnsi="Bookman Old Style" w:cs="Arial"/>
          <w:b/>
        </w:rPr>
      </w:pPr>
    </w:p>
    <w:p w:rsidR="00CC5CE1" w:rsidRPr="006F7C8F" w:rsidRDefault="00CC5CE1" w:rsidP="00D73A17">
      <w:pPr>
        <w:jc w:val="both"/>
        <w:rPr>
          <w:rFonts w:ascii="Bookman Old Style" w:hAnsi="Bookman Old Style" w:cs="Arial"/>
          <w:i/>
          <w:sz w:val="22"/>
          <w:szCs w:val="22"/>
        </w:rPr>
      </w:pPr>
      <w:r w:rsidRPr="006F7C8F">
        <w:rPr>
          <w:rFonts w:ascii="Bookman Old Style" w:hAnsi="Bookman Old Style" w:cs="Arial"/>
          <w:i/>
          <w:sz w:val="22"/>
          <w:szCs w:val="22"/>
        </w:rPr>
        <w:t>“(…)</w:t>
      </w:r>
    </w:p>
    <w:p w:rsidR="00ED68C4" w:rsidRPr="006875CB" w:rsidRDefault="00ED68C4" w:rsidP="00D73A17">
      <w:pPr>
        <w:jc w:val="both"/>
        <w:rPr>
          <w:rFonts w:ascii="Bookman Old Style" w:hAnsi="Bookman Old Style" w:cs="Arial"/>
          <w:i/>
          <w:sz w:val="22"/>
          <w:szCs w:val="22"/>
        </w:rPr>
      </w:pPr>
    </w:p>
    <w:p w:rsidR="00CC5CE1" w:rsidRPr="006875CB" w:rsidRDefault="00CC5CE1" w:rsidP="00D73A17">
      <w:pPr>
        <w:numPr>
          <w:ilvl w:val="0"/>
          <w:numId w:val="31"/>
        </w:numPr>
        <w:ind w:left="567" w:firstLine="0"/>
        <w:jc w:val="both"/>
        <w:rPr>
          <w:rFonts w:ascii="Bookman Old Style" w:hAnsi="Bookman Old Style" w:cs="Arial"/>
          <w:i/>
          <w:sz w:val="22"/>
          <w:szCs w:val="22"/>
        </w:rPr>
      </w:pPr>
      <w:r w:rsidRPr="006875CB">
        <w:rPr>
          <w:rFonts w:ascii="Bookman Old Style" w:hAnsi="Bookman Old Style" w:cs="Arial"/>
          <w:b/>
          <w:i/>
          <w:sz w:val="22"/>
          <w:szCs w:val="22"/>
        </w:rPr>
        <w:t xml:space="preserve">Aumento en las obras de geotecnia: </w:t>
      </w:r>
      <w:r w:rsidRPr="006875CB">
        <w:rPr>
          <w:rFonts w:ascii="Bookman Old Style" w:hAnsi="Bookman Old Style" w:cs="Arial"/>
          <w:i/>
          <w:sz w:val="22"/>
          <w:szCs w:val="22"/>
        </w:rPr>
        <w:t>En los últimos dos años se ha evidenciado un incremento significativo en la cantidad y complejidad de las obras de geotecnia necesarias para garantizar la esta</w:t>
      </w:r>
      <w:r w:rsidR="00220D15" w:rsidRPr="006875CB">
        <w:rPr>
          <w:rFonts w:ascii="Bookman Old Style" w:hAnsi="Bookman Old Style" w:cs="Arial"/>
          <w:i/>
          <w:sz w:val="22"/>
          <w:szCs w:val="22"/>
        </w:rPr>
        <w:t>b</w:t>
      </w:r>
      <w:r w:rsidRPr="006875CB">
        <w:rPr>
          <w:rFonts w:ascii="Bookman Old Style" w:hAnsi="Bookman Old Style" w:cs="Arial"/>
          <w:i/>
          <w:sz w:val="22"/>
          <w:szCs w:val="22"/>
        </w:rPr>
        <w:t>ilidad e integridad de los ductos para transporte de gas natural y sus respectivos Derechos de Vía. Lo anterior es consecuencia de dos factores principales.</w:t>
      </w:r>
    </w:p>
    <w:p w:rsidR="00CC5CE1" w:rsidRPr="006875CB" w:rsidRDefault="00CC5CE1" w:rsidP="00D73A17">
      <w:pPr>
        <w:jc w:val="both"/>
        <w:rPr>
          <w:rFonts w:ascii="Bookman Old Style" w:hAnsi="Bookman Old Style" w:cs="Arial"/>
          <w:b/>
          <w:i/>
          <w:sz w:val="22"/>
          <w:szCs w:val="22"/>
        </w:rPr>
      </w:pPr>
    </w:p>
    <w:p w:rsidR="00220D15" w:rsidRPr="006875CB" w:rsidRDefault="00CC5CE1" w:rsidP="00D73A17">
      <w:pPr>
        <w:jc w:val="both"/>
        <w:rPr>
          <w:rFonts w:ascii="Bookman Old Style" w:hAnsi="Bookman Old Style" w:cs="Arial"/>
          <w:i/>
          <w:sz w:val="22"/>
          <w:szCs w:val="22"/>
        </w:rPr>
      </w:pPr>
      <w:r w:rsidRPr="006875CB">
        <w:rPr>
          <w:rFonts w:ascii="Bookman Old Style" w:hAnsi="Bookman Old Style" w:cs="Arial"/>
          <w:i/>
          <w:sz w:val="22"/>
          <w:szCs w:val="22"/>
        </w:rPr>
        <w:t>El primer factor es el cambio climático que trae consigo una mayor concentración de lluvias en algunos periodos (Fenómeno de La Niña), generado crecientes en los ríos y quebradas e inestabilidades superficiales (coluviones) en las zonas montañosas</w:t>
      </w:r>
      <w:r w:rsidR="00220D15" w:rsidRPr="006875CB">
        <w:rPr>
          <w:rFonts w:ascii="Bookman Old Style" w:hAnsi="Bookman Old Style" w:cs="Arial"/>
          <w:i/>
          <w:sz w:val="22"/>
          <w:szCs w:val="22"/>
        </w:rPr>
        <w:t xml:space="preserve"> …</w:t>
      </w:r>
    </w:p>
    <w:p w:rsidR="00220D15" w:rsidRPr="006875CB" w:rsidRDefault="00220D15" w:rsidP="00D73A17">
      <w:pPr>
        <w:jc w:val="both"/>
        <w:rPr>
          <w:rFonts w:ascii="Bookman Old Style" w:hAnsi="Bookman Old Style" w:cs="Arial"/>
          <w:i/>
          <w:sz w:val="22"/>
          <w:szCs w:val="22"/>
        </w:rPr>
      </w:pPr>
    </w:p>
    <w:p w:rsidR="00CC5CE1" w:rsidRPr="006875CB" w:rsidRDefault="00220D15" w:rsidP="00D73A17">
      <w:pPr>
        <w:jc w:val="both"/>
        <w:rPr>
          <w:rFonts w:ascii="Bookman Old Style" w:hAnsi="Bookman Old Style" w:cs="Arial"/>
          <w:i/>
          <w:sz w:val="22"/>
          <w:szCs w:val="22"/>
        </w:rPr>
      </w:pPr>
      <w:r w:rsidRPr="006875CB">
        <w:rPr>
          <w:rFonts w:ascii="Bookman Old Style" w:hAnsi="Bookman Old Style" w:cs="Arial"/>
          <w:i/>
          <w:sz w:val="22"/>
          <w:szCs w:val="22"/>
        </w:rPr>
        <w:t>El segundo factor es el incremento en la densidad de obras de geotecnia</w:t>
      </w:r>
      <w:r w:rsidR="00CC5CE1" w:rsidRPr="006875CB">
        <w:rPr>
          <w:rFonts w:ascii="Bookman Old Style" w:hAnsi="Bookman Old Style" w:cs="Arial"/>
          <w:i/>
          <w:sz w:val="22"/>
          <w:szCs w:val="22"/>
        </w:rPr>
        <w:t xml:space="preserve"> </w:t>
      </w:r>
      <w:r w:rsidRPr="006875CB">
        <w:rPr>
          <w:rFonts w:ascii="Bookman Old Style" w:hAnsi="Bookman Old Style" w:cs="Arial"/>
          <w:i/>
          <w:sz w:val="22"/>
          <w:szCs w:val="22"/>
        </w:rPr>
        <w:t>preliminar, que son aquellas necesarias para estabilizar la zona de trabajo y tránsito para la construcción del ducto y que son sacrificadas cuando se hace la reconformación del terreno después de enterrada la tubería …</w:t>
      </w:r>
    </w:p>
    <w:p w:rsidR="00220D15" w:rsidRPr="006875CB" w:rsidRDefault="00220D15" w:rsidP="00D73A17">
      <w:pPr>
        <w:jc w:val="both"/>
        <w:rPr>
          <w:rFonts w:ascii="Bookman Old Style" w:hAnsi="Bookman Old Style" w:cs="Arial"/>
          <w:i/>
          <w:sz w:val="22"/>
          <w:szCs w:val="22"/>
        </w:rPr>
      </w:pPr>
    </w:p>
    <w:p w:rsidR="00220D15" w:rsidRPr="006875CB" w:rsidRDefault="00220D15" w:rsidP="00D73A17">
      <w:pPr>
        <w:jc w:val="both"/>
        <w:rPr>
          <w:rFonts w:ascii="Bookman Old Style" w:hAnsi="Bookman Old Style" w:cs="Arial"/>
          <w:i/>
          <w:sz w:val="22"/>
          <w:szCs w:val="22"/>
        </w:rPr>
      </w:pPr>
      <w:r w:rsidRPr="006875CB">
        <w:rPr>
          <w:rFonts w:ascii="Bookman Old Style" w:hAnsi="Bookman Old Style" w:cs="Arial"/>
          <w:i/>
          <w:sz w:val="22"/>
          <w:szCs w:val="22"/>
        </w:rPr>
        <w:t>El costo de las obras de geotecnia previstas inicialmente en el 2010 representaba aproximadamente el 6% del costo total del proyecto y ahora, con las nuevas necesidades, éste aumenta, pasando a representar cerca del 25%.</w:t>
      </w:r>
    </w:p>
    <w:p w:rsidR="00220D15" w:rsidRPr="006875CB" w:rsidRDefault="00220D15" w:rsidP="00D73A17">
      <w:pPr>
        <w:jc w:val="both"/>
        <w:rPr>
          <w:rFonts w:ascii="Bookman Old Style" w:hAnsi="Bookman Old Style" w:cs="Arial"/>
          <w:i/>
          <w:sz w:val="22"/>
          <w:szCs w:val="22"/>
        </w:rPr>
      </w:pPr>
    </w:p>
    <w:p w:rsidR="00220D15" w:rsidRPr="006875CB" w:rsidRDefault="00220D15" w:rsidP="00D73A17">
      <w:pPr>
        <w:pStyle w:val="Prrafodelista"/>
        <w:numPr>
          <w:ilvl w:val="0"/>
          <w:numId w:val="31"/>
        </w:numPr>
        <w:ind w:left="567" w:firstLine="0"/>
        <w:jc w:val="both"/>
        <w:rPr>
          <w:rFonts w:ascii="Bookman Old Style" w:hAnsi="Bookman Old Style" w:cs="Arial"/>
          <w:i/>
          <w:sz w:val="22"/>
          <w:szCs w:val="22"/>
        </w:rPr>
      </w:pPr>
      <w:r w:rsidRPr="006875CB">
        <w:rPr>
          <w:rFonts w:ascii="Bookman Old Style" w:hAnsi="Bookman Old Style" w:cs="Arial"/>
          <w:b/>
          <w:i/>
          <w:sz w:val="22"/>
          <w:szCs w:val="22"/>
        </w:rPr>
        <w:t xml:space="preserve">Interventoría: </w:t>
      </w:r>
      <w:r w:rsidRPr="006875CB">
        <w:rPr>
          <w:rFonts w:ascii="Bookman Old Style" w:hAnsi="Bookman Old Style" w:cs="Arial"/>
          <w:i/>
          <w:sz w:val="22"/>
          <w:szCs w:val="22"/>
        </w:rPr>
        <w:t>En la actualidad se están desarrollando en el país una gran cantidad de proyectos en el sector de hidrocarburos que han generado un aumento en la demanda de ingenieros y de personal técnico con experiencia en construcción de ductos, conllevando a un incremento en el valor de los servicios profesionales requeridos para la supervisión de la construcción de los mismos. Teniendo en cuenta lo anterior (…) se estima un aumento en el costo de los recursos necesarios para la interventoría a la construcción, la cual pasa de representar aproximadamente un 4% a cerca de un 6% del costo total del proyecto.</w:t>
      </w:r>
    </w:p>
    <w:p w:rsidR="00220D15" w:rsidRPr="006875CB" w:rsidRDefault="00220D15" w:rsidP="00D73A17">
      <w:pPr>
        <w:pStyle w:val="Prrafodelista"/>
        <w:ind w:left="567"/>
        <w:jc w:val="both"/>
        <w:rPr>
          <w:rFonts w:ascii="Bookman Old Style" w:hAnsi="Bookman Old Style" w:cs="Arial"/>
          <w:i/>
          <w:sz w:val="22"/>
          <w:szCs w:val="22"/>
        </w:rPr>
      </w:pPr>
    </w:p>
    <w:p w:rsidR="00761EDD" w:rsidRPr="006875CB" w:rsidRDefault="00220D15" w:rsidP="00D73A17">
      <w:pPr>
        <w:pStyle w:val="Prrafodelista"/>
        <w:numPr>
          <w:ilvl w:val="0"/>
          <w:numId w:val="31"/>
        </w:numPr>
        <w:ind w:left="567" w:firstLine="0"/>
        <w:jc w:val="both"/>
        <w:rPr>
          <w:rFonts w:ascii="Bookman Old Style" w:hAnsi="Bookman Old Style" w:cs="Arial"/>
          <w:i/>
          <w:sz w:val="22"/>
          <w:szCs w:val="22"/>
        </w:rPr>
      </w:pPr>
      <w:r w:rsidRPr="006875CB">
        <w:rPr>
          <w:rFonts w:ascii="Bookman Old Style" w:hAnsi="Bookman Old Style" w:cs="Arial"/>
          <w:b/>
          <w:i/>
          <w:sz w:val="22"/>
          <w:szCs w:val="22"/>
        </w:rPr>
        <w:t xml:space="preserve">AIU del contratista de construcción: </w:t>
      </w:r>
      <w:r w:rsidR="00761EDD" w:rsidRPr="006875CB">
        <w:rPr>
          <w:rFonts w:ascii="Bookman Old Style" w:hAnsi="Bookman Old Style" w:cs="Arial"/>
          <w:i/>
          <w:sz w:val="22"/>
          <w:szCs w:val="22"/>
        </w:rPr>
        <w:t>El costo promedio de los AIU que cobran los contratistas de constr</w:t>
      </w:r>
      <w:r w:rsidR="0026544D">
        <w:rPr>
          <w:rFonts w:ascii="Bookman Old Style" w:hAnsi="Bookman Old Style" w:cs="Arial"/>
          <w:i/>
          <w:sz w:val="22"/>
          <w:szCs w:val="22"/>
        </w:rPr>
        <w:t>u</w:t>
      </w:r>
      <w:r w:rsidR="00761EDD" w:rsidRPr="006875CB">
        <w:rPr>
          <w:rFonts w:ascii="Bookman Old Style" w:hAnsi="Bookman Old Style" w:cs="Arial"/>
          <w:i/>
          <w:sz w:val="22"/>
          <w:szCs w:val="22"/>
        </w:rPr>
        <w:t>cción en el sector de hidrocarburos ha aumentado en los dos últimos años. Para ductos relativamente pequeños, se estima que estos costos han pasado del 23% alrededor del 28% de los costos directos de construcción, debido principalmente a dos factores.</w:t>
      </w:r>
    </w:p>
    <w:p w:rsidR="00761EDD" w:rsidRPr="006875CB" w:rsidRDefault="00761EDD" w:rsidP="00D73A17">
      <w:pPr>
        <w:jc w:val="both"/>
        <w:rPr>
          <w:rFonts w:ascii="Bookman Old Style" w:hAnsi="Bookman Old Style" w:cs="Arial"/>
          <w:i/>
          <w:sz w:val="22"/>
          <w:szCs w:val="22"/>
        </w:rPr>
      </w:pPr>
    </w:p>
    <w:p w:rsidR="00761EDD" w:rsidRPr="006875CB" w:rsidRDefault="00761EDD" w:rsidP="00D73A17">
      <w:pPr>
        <w:pStyle w:val="Prrafodelista"/>
        <w:tabs>
          <w:tab w:val="left" w:pos="630"/>
        </w:tabs>
        <w:ind w:left="567"/>
        <w:jc w:val="both"/>
        <w:rPr>
          <w:rFonts w:ascii="Bookman Old Style" w:hAnsi="Bookman Old Style" w:cs="Arial"/>
          <w:i/>
          <w:sz w:val="22"/>
          <w:szCs w:val="22"/>
        </w:rPr>
      </w:pPr>
      <w:r w:rsidRPr="006875CB">
        <w:rPr>
          <w:rFonts w:ascii="Bookman Old Style" w:hAnsi="Bookman Old Style" w:cs="Arial"/>
          <w:i/>
          <w:sz w:val="22"/>
          <w:szCs w:val="22"/>
        </w:rPr>
        <w:t>El primer factor es que el costo y cantidad de los recursos con que deben disponer los constratistas para la administración de las obras ha presentado un aumento en los últimos dos años …</w:t>
      </w:r>
    </w:p>
    <w:p w:rsidR="00761EDD" w:rsidRPr="006875CB" w:rsidRDefault="00761EDD" w:rsidP="00D73A17">
      <w:pPr>
        <w:pStyle w:val="Prrafodelista"/>
        <w:ind w:left="567"/>
        <w:jc w:val="both"/>
        <w:rPr>
          <w:rFonts w:ascii="Bookman Old Style" w:hAnsi="Bookman Old Style" w:cs="Arial"/>
          <w:i/>
          <w:sz w:val="22"/>
          <w:szCs w:val="22"/>
        </w:rPr>
      </w:pPr>
    </w:p>
    <w:p w:rsidR="00761EDD" w:rsidRPr="006875CB" w:rsidRDefault="00761EDD" w:rsidP="00D73A17">
      <w:pPr>
        <w:pStyle w:val="Prrafodelista"/>
        <w:ind w:left="567"/>
        <w:jc w:val="both"/>
        <w:rPr>
          <w:rFonts w:ascii="Bookman Old Style" w:hAnsi="Bookman Old Style" w:cs="Arial"/>
          <w:i/>
          <w:sz w:val="22"/>
          <w:szCs w:val="22"/>
        </w:rPr>
      </w:pPr>
      <w:r w:rsidRPr="006875CB">
        <w:rPr>
          <w:rFonts w:ascii="Bookman Old Style" w:hAnsi="Bookman Old Style" w:cs="Arial"/>
          <w:i/>
          <w:sz w:val="22"/>
          <w:szCs w:val="22"/>
        </w:rPr>
        <w:t>El segu</w:t>
      </w:r>
      <w:r w:rsidR="002B356B" w:rsidRPr="006875CB">
        <w:rPr>
          <w:rFonts w:ascii="Bookman Old Style" w:hAnsi="Bookman Old Style" w:cs="Arial"/>
          <w:i/>
          <w:sz w:val="22"/>
          <w:szCs w:val="22"/>
        </w:rPr>
        <w:t>ndo factor es el aumento de la i</w:t>
      </w:r>
      <w:r w:rsidRPr="006875CB">
        <w:rPr>
          <w:rFonts w:ascii="Bookman Old Style" w:hAnsi="Bookman Old Style" w:cs="Arial"/>
          <w:i/>
          <w:sz w:val="22"/>
          <w:szCs w:val="22"/>
        </w:rPr>
        <w:t>ncertidumbre en la ejecución de las obras, que genera un aumento en la cuantificación de los imprevistos que debe asumir el contratista … El AIU del contratista pasó de representar aproximadamente el 14% a cerca del 17% del costo total del proyecto.</w:t>
      </w:r>
    </w:p>
    <w:p w:rsidR="00761EDD" w:rsidRPr="006875CB" w:rsidRDefault="00761EDD" w:rsidP="00D73A17">
      <w:pPr>
        <w:jc w:val="both"/>
        <w:rPr>
          <w:rFonts w:ascii="Bookman Old Style" w:hAnsi="Bookman Old Style" w:cs="Arial"/>
          <w:i/>
          <w:sz w:val="22"/>
          <w:szCs w:val="22"/>
        </w:rPr>
      </w:pPr>
    </w:p>
    <w:p w:rsidR="00761EDD" w:rsidRPr="006875CB" w:rsidRDefault="00761EDD" w:rsidP="00D73A17">
      <w:pPr>
        <w:pStyle w:val="Prrafodelista"/>
        <w:numPr>
          <w:ilvl w:val="0"/>
          <w:numId w:val="31"/>
        </w:numPr>
        <w:ind w:left="567" w:firstLine="0"/>
        <w:jc w:val="both"/>
        <w:rPr>
          <w:rFonts w:ascii="Bookman Old Style" w:hAnsi="Bookman Old Style" w:cs="Arial"/>
          <w:i/>
          <w:sz w:val="22"/>
          <w:szCs w:val="22"/>
        </w:rPr>
      </w:pPr>
      <w:r w:rsidRPr="006875CB">
        <w:rPr>
          <w:rFonts w:ascii="Bookman Old Style" w:hAnsi="Bookman Old Style" w:cs="Arial"/>
          <w:b/>
          <w:i/>
          <w:sz w:val="22"/>
          <w:szCs w:val="22"/>
        </w:rPr>
        <w:t xml:space="preserve">Revaluación del peso colombiano frente al dólar: </w:t>
      </w:r>
      <w:r w:rsidRPr="006875CB">
        <w:rPr>
          <w:rFonts w:ascii="Bookman Old Style" w:hAnsi="Bookman Old Style" w:cs="Arial"/>
          <w:i/>
          <w:sz w:val="22"/>
          <w:szCs w:val="22"/>
        </w:rPr>
        <w:t>La inversión en este proyecto tiene no solo componentes denominados en dólares sino que también tiene componentes denominados en pesos colombianos, razón por la cual la fuente de revaluación del peso frente al dólar genera que el costo del proyecto cuando es denominado en dólares sea superior … introduciéndose una diferencia sólo por este concepto del orden de 8% durante este periodo de tiempo.</w:t>
      </w:r>
    </w:p>
    <w:p w:rsidR="00761EDD" w:rsidRPr="006875CB" w:rsidRDefault="00761EDD" w:rsidP="00D73A17">
      <w:pPr>
        <w:pStyle w:val="Prrafodelista"/>
        <w:ind w:left="567"/>
        <w:jc w:val="both"/>
        <w:rPr>
          <w:rFonts w:ascii="Bookman Old Style" w:hAnsi="Bookman Old Style" w:cs="Arial"/>
          <w:i/>
          <w:sz w:val="22"/>
          <w:szCs w:val="22"/>
        </w:rPr>
      </w:pPr>
    </w:p>
    <w:p w:rsidR="00220D15" w:rsidRPr="006875CB" w:rsidRDefault="00761EDD" w:rsidP="00D73A17">
      <w:pPr>
        <w:pStyle w:val="Prrafodelista"/>
        <w:numPr>
          <w:ilvl w:val="0"/>
          <w:numId w:val="31"/>
        </w:numPr>
        <w:ind w:left="567" w:firstLine="0"/>
        <w:jc w:val="both"/>
        <w:rPr>
          <w:rFonts w:ascii="Bookman Old Style" w:hAnsi="Bookman Old Style" w:cs="Arial"/>
          <w:b/>
          <w:i/>
          <w:sz w:val="22"/>
          <w:szCs w:val="22"/>
        </w:rPr>
      </w:pPr>
      <w:r w:rsidRPr="006875CB">
        <w:rPr>
          <w:rFonts w:ascii="Bookman Old Style" w:hAnsi="Bookman Old Style" w:cs="Arial"/>
          <w:b/>
          <w:i/>
          <w:sz w:val="22"/>
          <w:szCs w:val="22"/>
        </w:rPr>
        <w:t>Ajuste de precios por inflación:</w:t>
      </w:r>
      <w:r w:rsidR="00220D15" w:rsidRPr="006875CB">
        <w:rPr>
          <w:rFonts w:ascii="Bookman Old Style" w:hAnsi="Bookman Old Style" w:cs="Arial"/>
          <w:b/>
          <w:i/>
          <w:sz w:val="22"/>
          <w:szCs w:val="22"/>
        </w:rPr>
        <w:t xml:space="preserve"> </w:t>
      </w:r>
      <w:r w:rsidRPr="006875CB">
        <w:rPr>
          <w:rFonts w:ascii="Bookman Old Style" w:hAnsi="Bookman Old Style" w:cs="Arial"/>
          <w:i/>
          <w:sz w:val="22"/>
          <w:szCs w:val="22"/>
        </w:rPr>
        <w:t>… Se ajustaron los costos unitarios del presupuesto del proyecto con base en el incremento del IPC en los años 2010, 2011, 2012 y un IPC supuesto para 2013 del 3% considerando que la construcción se llevaría a cabo en 2014.</w:t>
      </w:r>
    </w:p>
    <w:p w:rsidR="00761EDD" w:rsidRPr="006875CB" w:rsidRDefault="00761EDD" w:rsidP="003567D1">
      <w:pPr>
        <w:jc w:val="center"/>
        <w:rPr>
          <w:rFonts w:ascii="Bookman Old Style" w:hAnsi="Bookman Old Style" w:cs="Arial"/>
          <w:b/>
          <w:i/>
          <w:sz w:val="22"/>
          <w:szCs w:val="22"/>
        </w:rPr>
      </w:pPr>
    </w:p>
    <w:p w:rsidR="00761EDD" w:rsidRPr="006875CB" w:rsidRDefault="00761EDD" w:rsidP="003567D1">
      <w:pPr>
        <w:pStyle w:val="Prrafodelista"/>
        <w:ind w:left="567"/>
        <w:jc w:val="center"/>
        <w:rPr>
          <w:rFonts w:ascii="Bookman Old Style" w:hAnsi="Bookman Old Style" w:cs="Arial"/>
          <w:b/>
          <w:i/>
          <w:sz w:val="22"/>
          <w:szCs w:val="22"/>
        </w:rPr>
      </w:pPr>
      <w:r w:rsidRPr="006875CB">
        <w:rPr>
          <w:rFonts w:ascii="Bookman Old Style" w:hAnsi="Bookman Old Style" w:cs="Arial"/>
          <w:b/>
          <w:i/>
          <w:noProof/>
          <w:sz w:val="22"/>
          <w:szCs w:val="22"/>
          <w:lang w:eastAsia="es-CO"/>
        </w:rPr>
        <w:drawing>
          <wp:inline distT="0" distB="0" distL="0" distR="0">
            <wp:extent cx="4664710" cy="462915"/>
            <wp:effectExtent l="0" t="0" r="889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4710" cy="462915"/>
                    </a:xfrm>
                    <a:prstGeom prst="rect">
                      <a:avLst/>
                    </a:prstGeom>
                    <a:noFill/>
                    <a:ln>
                      <a:noFill/>
                    </a:ln>
                  </pic:spPr>
                </pic:pic>
              </a:graphicData>
            </a:graphic>
          </wp:inline>
        </w:drawing>
      </w:r>
    </w:p>
    <w:p w:rsidR="00761EDD" w:rsidRPr="006875CB" w:rsidRDefault="00761EDD" w:rsidP="003567D1">
      <w:pPr>
        <w:jc w:val="center"/>
        <w:rPr>
          <w:rFonts w:ascii="Bookman Old Style" w:hAnsi="Bookman Old Style" w:cs="Arial"/>
          <w:b/>
          <w:i/>
          <w:sz w:val="22"/>
          <w:szCs w:val="22"/>
        </w:rPr>
      </w:pPr>
    </w:p>
    <w:p w:rsidR="00761EDD" w:rsidRPr="006875CB" w:rsidRDefault="00761EDD" w:rsidP="00D73A17">
      <w:pPr>
        <w:pStyle w:val="Prrafodelista"/>
        <w:numPr>
          <w:ilvl w:val="0"/>
          <w:numId w:val="31"/>
        </w:numPr>
        <w:ind w:left="567" w:firstLine="0"/>
        <w:jc w:val="both"/>
        <w:rPr>
          <w:rFonts w:ascii="Bookman Old Style" w:hAnsi="Bookman Old Style" w:cs="Arial"/>
          <w:i/>
          <w:sz w:val="22"/>
          <w:szCs w:val="22"/>
        </w:rPr>
      </w:pPr>
      <w:r w:rsidRPr="006875CB">
        <w:rPr>
          <w:rFonts w:ascii="Bookman Old Style" w:hAnsi="Bookman Old Style" w:cs="Arial"/>
          <w:b/>
          <w:i/>
          <w:sz w:val="22"/>
          <w:szCs w:val="22"/>
        </w:rPr>
        <w:t xml:space="preserve">Precio de la tubería: </w:t>
      </w:r>
      <w:r w:rsidRPr="006875CB">
        <w:rPr>
          <w:rFonts w:ascii="Bookman Old Style" w:hAnsi="Bookman Old Style" w:cs="Arial"/>
          <w:i/>
          <w:sz w:val="22"/>
          <w:szCs w:val="22"/>
        </w:rPr>
        <w:t>Los precios de la tubería de acero al carbón necesaria para la construcción de este proyecto actualmente tienen un menor costo que el presupuestado en el 2010, lo cual se debe principalmente a los efectos de la cr</w:t>
      </w:r>
      <w:r w:rsidR="0026544D">
        <w:rPr>
          <w:rFonts w:ascii="Bookman Old Style" w:hAnsi="Bookman Old Style" w:cs="Arial"/>
          <w:i/>
          <w:sz w:val="22"/>
          <w:szCs w:val="22"/>
        </w:rPr>
        <w:t>i</w:t>
      </w:r>
      <w:r w:rsidRPr="006875CB">
        <w:rPr>
          <w:rFonts w:ascii="Bookman Old Style" w:hAnsi="Bookman Old Style" w:cs="Arial"/>
          <w:i/>
          <w:sz w:val="22"/>
          <w:szCs w:val="22"/>
        </w:rPr>
        <w:t>s</w:t>
      </w:r>
      <w:r w:rsidR="0026544D">
        <w:rPr>
          <w:rFonts w:ascii="Bookman Old Style" w:hAnsi="Bookman Old Style" w:cs="Arial"/>
          <w:i/>
          <w:sz w:val="22"/>
          <w:szCs w:val="22"/>
        </w:rPr>
        <w:t>i</w:t>
      </w:r>
      <w:r w:rsidRPr="006875CB">
        <w:rPr>
          <w:rFonts w:ascii="Bookman Old Style" w:hAnsi="Bookman Old Style" w:cs="Arial"/>
          <w:i/>
          <w:sz w:val="22"/>
          <w:szCs w:val="22"/>
        </w:rPr>
        <w:t xml:space="preserve">s económica de los países desarrollados. Con la disminisción en el costo de la </w:t>
      </w:r>
      <w:r w:rsidRPr="006875CB">
        <w:rPr>
          <w:rFonts w:ascii="Bookman Old Style" w:hAnsi="Bookman Old Style" w:cs="Arial"/>
          <w:i/>
          <w:sz w:val="22"/>
          <w:szCs w:val="22"/>
        </w:rPr>
        <w:lastRenderedPageBreak/>
        <w:t>tubería y el aumento considerable de</w:t>
      </w:r>
      <w:r w:rsidR="0026544D">
        <w:rPr>
          <w:rFonts w:ascii="Bookman Old Style" w:hAnsi="Bookman Old Style" w:cs="Arial"/>
          <w:i/>
          <w:sz w:val="22"/>
          <w:szCs w:val="22"/>
        </w:rPr>
        <w:t xml:space="preserve"> </w:t>
      </w:r>
      <w:r w:rsidRPr="006875CB">
        <w:rPr>
          <w:rFonts w:ascii="Bookman Old Style" w:hAnsi="Bookman Old Style" w:cs="Arial"/>
          <w:i/>
          <w:sz w:val="22"/>
          <w:szCs w:val="22"/>
        </w:rPr>
        <w:t>los aspectos ya mencionados del proyecto, este ítem pasó de representar aproximadamente el 16% del costo total del proyecto en el 2010 a cerca del 7% en la actualidad.</w:t>
      </w:r>
    </w:p>
    <w:p w:rsidR="00761EDD" w:rsidRPr="006875CB" w:rsidRDefault="00761EDD" w:rsidP="00D73A17">
      <w:pPr>
        <w:jc w:val="both"/>
        <w:rPr>
          <w:rFonts w:ascii="Bookman Old Style" w:hAnsi="Bookman Old Style" w:cs="Arial"/>
          <w:i/>
          <w:sz w:val="22"/>
          <w:szCs w:val="22"/>
        </w:rPr>
      </w:pPr>
    </w:p>
    <w:p w:rsidR="003E70E0" w:rsidRDefault="00844C07" w:rsidP="00D73A17">
      <w:pPr>
        <w:jc w:val="both"/>
        <w:rPr>
          <w:rFonts w:ascii="Bookman Old Style" w:hAnsi="Bookman Old Style" w:cs="Arial"/>
          <w:i/>
          <w:sz w:val="22"/>
          <w:szCs w:val="22"/>
        </w:rPr>
      </w:pPr>
      <w:r w:rsidRPr="006875CB">
        <w:rPr>
          <w:rFonts w:ascii="Bookman Old Style" w:hAnsi="Bookman Old Style" w:cs="Arial"/>
          <w:i/>
          <w:sz w:val="22"/>
          <w:szCs w:val="22"/>
        </w:rPr>
        <w:t>Debido a las variables descritas anteriormente, el costo total presupuestado del proyecto pasó a ser de USD 11.735.000 (utilizando TRM de 31/Dic/2010), lo cual representa un aumento de aproximadamente 56% con respecto al inicialmente calculado en el 2010</w:t>
      </w:r>
      <w:r w:rsidR="003E70E0">
        <w:rPr>
          <w:rFonts w:ascii="Bookman Old Style" w:hAnsi="Bookman Old Style" w:cs="Arial"/>
          <w:i/>
          <w:sz w:val="22"/>
          <w:szCs w:val="22"/>
        </w:rPr>
        <w:t>.</w:t>
      </w:r>
    </w:p>
    <w:p w:rsidR="003E70E0" w:rsidRDefault="003E70E0" w:rsidP="00D73A17">
      <w:pPr>
        <w:jc w:val="both"/>
        <w:rPr>
          <w:rFonts w:ascii="Bookman Old Style" w:hAnsi="Bookman Old Style" w:cs="Arial"/>
          <w:i/>
          <w:sz w:val="22"/>
          <w:szCs w:val="22"/>
        </w:rPr>
      </w:pPr>
    </w:p>
    <w:p w:rsidR="00761EDD" w:rsidRPr="006875CB" w:rsidRDefault="00844C07" w:rsidP="00D73A17">
      <w:pPr>
        <w:jc w:val="both"/>
        <w:rPr>
          <w:rFonts w:ascii="Bookman Old Style" w:hAnsi="Bookman Old Style" w:cs="Arial"/>
          <w:i/>
          <w:sz w:val="22"/>
          <w:szCs w:val="22"/>
        </w:rPr>
      </w:pPr>
      <w:r w:rsidRPr="006875CB">
        <w:rPr>
          <w:rFonts w:ascii="Bookman Old Style" w:hAnsi="Bookman Old Style" w:cs="Arial"/>
          <w:i/>
          <w:sz w:val="22"/>
          <w:szCs w:val="22"/>
        </w:rPr>
        <w:t>(…)”.</w:t>
      </w:r>
    </w:p>
    <w:p w:rsidR="00CC5CE1" w:rsidRPr="006875CB" w:rsidRDefault="00CC5CE1" w:rsidP="00ED68C4">
      <w:pPr>
        <w:ind w:left="0"/>
        <w:jc w:val="both"/>
        <w:rPr>
          <w:rFonts w:ascii="Bookman Old Style" w:hAnsi="Bookman Old Style" w:cs="Arial"/>
          <w:b/>
        </w:rPr>
      </w:pPr>
    </w:p>
    <w:p w:rsidR="002F4B5A" w:rsidRPr="006875CB" w:rsidRDefault="00522E32" w:rsidP="00ED68C4">
      <w:pPr>
        <w:ind w:left="0"/>
        <w:jc w:val="both"/>
        <w:rPr>
          <w:rFonts w:ascii="Bookman Old Style" w:hAnsi="Bookman Old Style"/>
        </w:rPr>
      </w:pPr>
      <w:r w:rsidRPr="006875CB">
        <w:rPr>
          <w:rFonts w:ascii="Bookman Old Style" w:hAnsi="Bookman Old Style" w:cs="Arial"/>
        </w:rPr>
        <w:t xml:space="preserve">Como primer punto </w:t>
      </w:r>
      <w:r w:rsidR="002F4B5A" w:rsidRPr="006875CB">
        <w:rPr>
          <w:rFonts w:ascii="Bookman Old Style" w:hAnsi="Bookman Old Style" w:cs="Arial"/>
        </w:rPr>
        <w:t>se advierte</w:t>
      </w:r>
      <w:r w:rsidRPr="006875CB">
        <w:rPr>
          <w:rFonts w:ascii="Bookman Old Style" w:hAnsi="Bookman Old Style" w:cs="Arial"/>
        </w:rPr>
        <w:t xml:space="preserve"> que es obligación de la CREG, en virtud del principio de eficacia</w:t>
      </w:r>
      <w:r w:rsidR="00B1579A" w:rsidRPr="006875CB">
        <w:rPr>
          <w:rFonts w:ascii="Bookman Old Style" w:hAnsi="Bookman Old Style" w:cs="Arial"/>
        </w:rPr>
        <w:t xml:space="preserve"> administrativa</w:t>
      </w:r>
      <w:r w:rsidRPr="006875CB">
        <w:rPr>
          <w:rFonts w:ascii="Bookman Old Style" w:hAnsi="Bookman Old Style" w:cs="Arial"/>
        </w:rPr>
        <w:t xml:space="preserve">, </w:t>
      </w:r>
      <w:r w:rsidR="00B1579A" w:rsidRPr="006875CB">
        <w:rPr>
          <w:rFonts w:ascii="Bookman Old Style" w:hAnsi="Bookman Old Style" w:cs="Arial"/>
        </w:rPr>
        <w:t>asegurarse de que sus actuaciones y procedimientos logren su finalidad, de tal forma que haya una efectiva realización de los derechos de los particulares. En el presente caso, la finalidad de la actuación administrativa que dio lugar a la expedición de la Resolución CREG 140 de 2012 fue la de determinar los cargos regulados de transporte de gas natural para</w:t>
      </w:r>
      <w:r w:rsidR="00B1579A" w:rsidRPr="006875CB">
        <w:rPr>
          <w:rFonts w:ascii="Bookman Old Style" w:hAnsi="Bookman Old Style"/>
        </w:rPr>
        <w:t xml:space="preserve"> el sistema regional de transporte Boyacá Central, según la solicitud que hiciera TGI, de confo</w:t>
      </w:r>
      <w:r w:rsidR="002F4B5A" w:rsidRPr="006875CB">
        <w:rPr>
          <w:rFonts w:ascii="Bookman Old Style" w:hAnsi="Bookman Old Style"/>
        </w:rPr>
        <w:t>r</w:t>
      </w:r>
      <w:r w:rsidR="00B1579A" w:rsidRPr="006875CB">
        <w:rPr>
          <w:rFonts w:ascii="Bookman Old Style" w:hAnsi="Bookman Old Style"/>
        </w:rPr>
        <w:t xml:space="preserve">midad </w:t>
      </w:r>
      <w:r w:rsidR="00F44C2D" w:rsidRPr="006875CB">
        <w:rPr>
          <w:rFonts w:ascii="Bookman Old Style" w:hAnsi="Bookman Old Style"/>
        </w:rPr>
        <w:t xml:space="preserve">con </w:t>
      </w:r>
      <w:r w:rsidR="002F4B5A" w:rsidRPr="006875CB">
        <w:rPr>
          <w:rFonts w:ascii="Bookman Old Style" w:hAnsi="Bookman Old Style"/>
        </w:rPr>
        <w:t>lo dispuesto en</w:t>
      </w:r>
      <w:r w:rsidR="00B1579A" w:rsidRPr="006875CB">
        <w:rPr>
          <w:rFonts w:ascii="Bookman Old Style" w:hAnsi="Bookman Old Style"/>
        </w:rPr>
        <w:t xml:space="preserve"> la Resolución CREG 126 de 2010</w:t>
      </w:r>
      <w:r w:rsidR="002F4B5A" w:rsidRPr="006875CB">
        <w:rPr>
          <w:rFonts w:ascii="Bookman Old Style" w:hAnsi="Bookman Old Style"/>
        </w:rPr>
        <w:t xml:space="preserve"> para redes Tipo II</w:t>
      </w:r>
      <w:r w:rsidR="00B1579A" w:rsidRPr="006875CB">
        <w:rPr>
          <w:rFonts w:ascii="Bookman Old Style" w:hAnsi="Bookman Old Style"/>
        </w:rPr>
        <w:t xml:space="preserve">. </w:t>
      </w:r>
    </w:p>
    <w:p w:rsidR="002F4B5A" w:rsidRPr="006875CB" w:rsidRDefault="002F4B5A" w:rsidP="00ED68C4">
      <w:pPr>
        <w:ind w:left="0"/>
        <w:jc w:val="both"/>
        <w:rPr>
          <w:rFonts w:ascii="Bookman Old Style" w:hAnsi="Bookman Old Style"/>
        </w:rPr>
      </w:pPr>
    </w:p>
    <w:p w:rsidR="002F4B5A" w:rsidRPr="006875CB" w:rsidRDefault="002F4B5A" w:rsidP="00ED68C4">
      <w:pPr>
        <w:ind w:left="0"/>
        <w:jc w:val="both"/>
        <w:rPr>
          <w:rFonts w:ascii="Bookman Old Style" w:hAnsi="Bookman Old Style"/>
        </w:rPr>
      </w:pPr>
      <w:r w:rsidRPr="006875CB">
        <w:rPr>
          <w:rFonts w:ascii="Bookman Old Style" w:hAnsi="Bookman Old Style"/>
        </w:rPr>
        <w:t xml:space="preserve">Para ello, la CREG debió </w:t>
      </w:r>
      <w:r w:rsidR="0067726F" w:rsidRPr="006875CB">
        <w:rPr>
          <w:rFonts w:ascii="Bookman Old Style" w:hAnsi="Bookman Old Style"/>
        </w:rPr>
        <w:t>observar las normas contenidas en</w:t>
      </w:r>
      <w:r w:rsidRPr="006875CB">
        <w:rPr>
          <w:rFonts w:ascii="Bookman Old Style" w:hAnsi="Bookman Old Style"/>
        </w:rPr>
        <w:t xml:space="preserve"> la </w:t>
      </w:r>
      <w:r w:rsidRPr="006875CB">
        <w:rPr>
          <w:rFonts w:ascii="Bookman Old Style" w:hAnsi="Bookman Old Style"/>
          <w:i/>
        </w:rPr>
        <w:t>metodología</w:t>
      </w:r>
      <w:r w:rsidRPr="006875CB">
        <w:rPr>
          <w:rFonts w:ascii="Bookman Old Style" w:hAnsi="Bookman Old Style"/>
        </w:rPr>
        <w:t xml:space="preserve"> establecida en la Resolución CREG 126 mencionada</w:t>
      </w:r>
      <w:r w:rsidR="0067726F" w:rsidRPr="006875CB">
        <w:rPr>
          <w:rFonts w:ascii="Bookman Old Style" w:hAnsi="Bookman Old Style"/>
        </w:rPr>
        <w:t xml:space="preserve"> y, entre otras disposiciones, por expreso mandato de sus artículos 24 y 25,</w:t>
      </w:r>
      <w:r w:rsidRPr="006875CB">
        <w:rPr>
          <w:rFonts w:ascii="Bookman Old Style" w:hAnsi="Bookman Old Style"/>
        </w:rPr>
        <w:t xml:space="preserve"> </w:t>
      </w:r>
      <w:r w:rsidR="0067726F" w:rsidRPr="006875CB">
        <w:rPr>
          <w:rFonts w:ascii="Bookman Old Style" w:hAnsi="Bookman Old Style"/>
        </w:rPr>
        <w:t>dar aplica</w:t>
      </w:r>
      <w:r w:rsidR="00E563FA" w:rsidRPr="006875CB">
        <w:rPr>
          <w:rFonts w:ascii="Bookman Old Style" w:hAnsi="Bookman Old Style"/>
        </w:rPr>
        <w:t>ción al Anexo 1 de la misma que</w:t>
      </w:r>
      <w:r w:rsidR="00F44C2D" w:rsidRPr="006875CB">
        <w:rPr>
          <w:rFonts w:ascii="Bookman Old Style" w:hAnsi="Bookman Old Style"/>
        </w:rPr>
        <w:t>,</w:t>
      </w:r>
      <w:r w:rsidR="0067726F" w:rsidRPr="006875CB">
        <w:rPr>
          <w:rFonts w:ascii="Bookman Old Style" w:hAnsi="Bookman Old Style"/>
        </w:rPr>
        <w:t xml:space="preserve"> como se ha dicho, establece los criterios </w:t>
      </w:r>
      <w:r w:rsidR="0067726F" w:rsidRPr="006875CB">
        <w:rPr>
          <w:rFonts w:ascii="Bookman Old Style" w:hAnsi="Bookman Old Style"/>
          <w:color w:val="000000"/>
        </w:rPr>
        <w:t>aplicables a la valoración de inversiones por comparación</w:t>
      </w:r>
      <w:r w:rsidR="0067726F" w:rsidRPr="006875CB">
        <w:rPr>
          <w:rFonts w:ascii="Bookman Old Style" w:hAnsi="Bookman Old Style"/>
        </w:rPr>
        <w:t>.</w:t>
      </w:r>
    </w:p>
    <w:p w:rsidR="002F4B5A" w:rsidRPr="006875CB" w:rsidRDefault="002F4B5A" w:rsidP="00ED68C4">
      <w:pPr>
        <w:ind w:left="0"/>
        <w:jc w:val="both"/>
        <w:rPr>
          <w:rFonts w:ascii="Bookman Old Style" w:hAnsi="Bookman Old Style"/>
        </w:rPr>
      </w:pPr>
    </w:p>
    <w:p w:rsidR="00490DEF" w:rsidRDefault="0067726F" w:rsidP="00ED68C4">
      <w:pPr>
        <w:ind w:left="0"/>
        <w:jc w:val="both"/>
        <w:rPr>
          <w:rFonts w:ascii="Bookman Old Style" w:hAnsi="Bookman Old Style"/>
        </w:rPr>
      </w:pPr>
      <w:r w:rsidRPr="006875CB">
        <w:rPr>
          <w:rFonts w:ascii="Bookman Old Style" w:hAnsi="Bookman Old Style"/>
        </w:rPr>
        <w:t>Ahora bien, e</w:t>
      </w:r>
      <w:r w:rsidR="002F4B5A" w:rsidRPr="006875CB">
        <w:rPr>
          <w:rFonts w:ascii="Bookman Old Style" w:hAnsi="Bookman Old Style"/>
        </w:rPr>
        <w:t xml:space="preserve">s preciso resaltar el hecho según el cual, al mismo tiempo que TGI presentó la solitud aludida, y </w:t>
      </w:r>
      <w:r w:rsidR="00EA464D">
        <w:rPr>
          <w:rFonts w:ascii="Bookman Old Style" w:hAnsi="Bookman Old Style"/>
        </w:rPr>
        <w:t>se adelantaba el procedimiento establecido para su trámite</w:t>
      </w:r>
      <w:r w:rsidR="002F4B5A" w:rsidRPr="006875CB">
        <w:rPr>
          <w:rFonts w:ascii="Bookman Old Style" w:hAnsi="Bookman Old Style"/>
        </w:rPr>
        <w:t>, la empresa también presentó recurso de reposición contra la Resolución CREG 110 de 2011, señalando serios desacuerdos con la forma en que la Comisión había aplicado el Anexo 1 de la Resoluc</w:t>
      </w:r>
      <w:r w:rsidRPr="006875CB">
        <w:rPr>
          <w:rFonts w:ascii="Bookman Old Style" w:hAnsi="Bookman Old Style"/>
        </w:rPr>
        <w:t xml:space="preserve">ión CREG 126 de 2010, y planteando </w:t>
      </w:r>
      <w:r w:rsidRPr="00EA464D">
        <w:rPr>
          <w:rFonts w:ascii="Bookman Old Style" w:hAnsi="Bookman Old Style"/>
          <w:szCs w:val="22"/>
        </w:rPr>
        <w:t>cuestionamientos de fondo que la Comisión debía resolver dentro del trámite de dicho recurso</w:t>
      </w:r>
      <w:r w:rsidR="00EA464D">
        <w:rPr>
          <w:rFonts w:ascii="Bookman Old Style" w:hAnsi="Bookman Old Style"/>
          <w:szCs w:val="22"/>
        </w:rPr>
        <w:t>, solicitando además la práctica de pruebas periciales al respecto</w:t>
      </w:r>
      <w:r w:rsidR="006401EE" w:rsidRPr="00EA464D">
        <w:rPr>
          <w:rFonts w:ascii="Bookman Old Style" w:hAnsi="Bookman Old Style"/>
          <w:szCs w:val="22"/>
        </w:rPr>
        <w:t>.</w:t>
      </w:r>
      <w:r w:rsidR="0008081B" w:rsidRPr="00EA464D">
        <w:rPr>
          <w:rFonts w:ascii="Bookman Old Style" w:hAnsi="Bookman Old Style"/>
          <w:szCs w:val="22"/>
        </w:rPr>
        <w:t xml:space="preserve"> </w:t>
      </w:r>
    </w:p>
    <w:p w:rsidR="00490DEF" w:rsidRDefault="00490DEF" w:rsidP="00ED68C4">
      <w:pPr>
        <w:ind w:left="0"/>
        <w:jc w:val="both"/>
        <w:rPr>
          <w:rFonts w:ascii="Bookman Old Style" w:hAnsi="Bookman Old Style"/>
        </w:rPr>
      </w:pPr>
    </w:p>
    <w:p w:rsidR="00EA464D" w:rsidRDefault="00490DEF" w:rsidP="00ED68C4">
      <w:pPr>
        <w:ind w:left="0"/>
        <w:jc w:val="both"/>
        <w:rPr>
          <w:rFonts w:ascii="Bookman Old Style" w:hAnsi="Bookman Old Style"/>
          <w:szCs w:val="22"/>
        </w:rPr>
      </w:pPr>
      <w:r>
        <w:rPr>
          <w:rFonts w:ascii="Bookman Old Style" w:hAnsi="Bookman Old Style"/>
        </w:rPr>
        <w:t>La CREG fue cuidadosa en analizar los reparos de TGI a la aplicación de dicho Anexo; decretó, entre otras, las pruebas periciales solicitadas por la empresa</w:t>
      </w:r>
      <w:r w:rsidRPr="006875CB">
        <w:rPr>
          <w:rFonts w:ascii="Bookman Old Style" w:hAnsi="Bookman Old Style"/>
        </w:rPr>
        <w:t>, a partir de las cuales se ajustó el modelo utilizado de comparación incluyendo criterios adicionales, ampliando la muestra de ductos y determinando multiplicadores para su comparación</w:t>
      </w:r>
      <w:r>
        <w:rPr>
          <w:rFonts w:ascii="Bookman Old Style" w:hAnsi="Bookman Old Style"/>
        </w:rPr>
        <w:t>.</w:t>
      </w:r>
    </w:p>
    <w:p w:rsidR="00EA464D" w:rsidRDefault="00EA464D" w:rsidP="00ED68C4">
      <w:pPr>
        <w:ind w:left="0"/>
        <w:jc w:val="both"/>
        <w:rPr>
          <w:rFonts w:ascii="Bookman Old Style" w:hAnsi="Bookman Old Style"/>
          <w:szCs w:val="22"/>
        </w:rPr>
      </w:pPr>
    </w:p>
    <w:p w:rsidR="006401EE" w:rsidRPr="00EA464D" w:rsidRDefault="006401EE" w:rsidP="00ED68C4">
      <w:pPr>
        <w:ind w:left="0"/>
        <w:jc w:val="both"/>
        <w:rPr>
          <w:rFonts w:ascii="Bookman Old Style" w:hAnsi="Bookman Old Style"/>
          <w:szCs w:val="22"/>
        </w:rPr>
      </w:pPr>
      <w:r w:rsidRPr="00EA464D">
        <w:rPr>
          <w:rFonts w:ascii="Bookman Old Style" w:hAnsi="Bookman Old Style"/>
          <w:szCs w:val="22"/>
        </w:rPr>
        <w:t>Para</w:t>
      </w:r>
      <w:r w:rsidR="0008081B" w:rsidRPr="00EA464D">
        <w:rPr>
          <w:rFonts w:ascii="Bookman Old Style" w:hAnsi="Bookman Old Style"/>
          <w:szCs w:val="22"/>
        </w:rPr>
        <w:t xml:space="preserve"> ilustrar de manera clara la coherencia en la actuación de la Comisión</w:t>
      </w:r>
      <w:r w:rsidRPr="00EA464D">
        <w:rPr>
          <w:rFonts w:ascii="Bookman Old Style" w:hAnsi="Bookman Old Style"/>
          <w:szCs w:val="22"/>
        </w:rPr>
        <w:t>, se relacionan las fechas y las comunicaciones pertinentes:</w:t>
      </w:r>
    </w:p>
    <w:p w:rsidR="006401EE" w:rsidRPr="00CA6E86" w:rsidRDefault="006401EE" w:rsidP="00ED68C4">
      <w:pPr>
        <w:ind w:left="0"/>
        <w:jc w:val="both"/>
        <w:rPr>
          <w:rFonts w:ascii="Bookman Old Style" w:hAnsi="Bookman Old Style"/>
          <w:szCs w:val="22"/>
        </w:rPr>
      </w:pPr>
    </w:p>
    <w:p w:rsidR="006401EE" w:rsidRPr="002446FD" w:rsidRDefault="006401EE" w:rsidP="002446FD">
      <w:pPr>
        <w:pStyle w:val="Prrafodelista"/>
        <w:numPr>
          <w:ilvl w:val="0"/>
          <w:numId w:val="32"/>
        </w:numPr>
        <w:jc w:val="both"/>
        <w:rPr>
          <w:rFonts w:ascii="Bookman Old Style" w:hAnsi="Bookman Old Style"/>
          <w:szCs w:val="22"/>
        </w:rPr>
      </w:pPr>
      <w:r w:rsidRPr="002446FD">
        <w:rPr>
          <w:rFonts w:ascii="Bookman Old Style" w:hAnsi="Bookman Old Style"/>
          <w:sz w:val="24"/>
          <w:szCs w:val="22"/>
          <w:lang w:val="es-ES"/>
        </w:rPr>
        <w:t xml:space="preserve">Mediante comunicación de fecha 27 de julio de 2011 radicada en la Comisión bajo el número E-2011-007114, TGI solicitó la aprobación de cargos regulados de transporte de gas, de acuerdo con el procedimiento establecido en la </w:t>
      </w:r>
      <w:r w:rsidRPr="002446FD">
        <w:rPr>
          <w:rFonts w:ascii="Bookman Old Style" w:hAnsi="Bookman Old Style"/>
          <w:i/>
          <w:sz w:val="24"/>
          <w:szCs w:val="22"/>
          <w:lang w:val="es-ES"/>
        </w:rPr>
        <w:t>metodología.</w:t>
      </w:r>
      <w:r w:rsidR="0008081B" w:rsidRPr="002446FD">
        <w:rPr>
          <w:rFonts w:ascii="Bookman Old Style" w:hAnsi="Bookman Old Style"/>
          <w:i/>
          <w:sz w:val="24"/>
          <w:szCs w:val="22"/>
          <w:lang w:val="es-ES"/>
        </w:rPr>
        <w:t xml:space="preserve"> </w:t>
      </w:r>
      <w:r w:rsidR="0008081B" w:rsidRPr="002446FD">
        <w:rPr>
          <w:rFonts w:ascii="Bookman Old Style" w:hAnsi="Bookman Old Style"/>
          <w:sz w:val="24"/>
          <w:szCs w:val="22"/>
          <w:lang w:val="es-ES"/>
        </w:rPr>
        <w:t xml:space="preserve">La Comisión procedió a dar aplicación al artículo 24 de la Resolución CREG 126 de 2010, </w:t>
      </w:r>
      <w:r w:rsidR="00EA464D" w:rsidRPr="002446FD">
        <w:rPr>
          <w:rFonts w:ascii="Bookman Old Style" w:hAnsi="Bookman Old Style"/>
          <w:sz w:val="24"/>
          <w:szCs w:val="22"/>
          <w:lang w:val="es-ES"/>
        </w:rPr>
        <w:t xml:space="preserve">publicando la </w:t>
      </w:r>
      <w:r w:rsidR="00EA464D" w:rsidRPr="002446FD">
        <w:rPr>
          <w:rFonts w:ascii="Bookman Old Style" w:hAnsi="Bookman Old Style"/>
          <w:sz w:val="24"/>
          <w:szCs w:val="22"/>
          <w:lang w:val="es-ES"/>
        </w:rPr>
        <w:lastRenderedPageBreak/>
        <w:t>información que indica el literal b) de la mencionada norma por un término de tres (3) meses.</w:t>
      </w:r>
    </w:p>
    <w:p w:rsidR="006401EE" w:rsidRPr="002446FD" w:rsidRDefault="0008081B" w:rsidP="002446FD">
      <w:pPr>
        <w:pStyle w:val="Prrafodelista"/>
        <w:numPr>
          <w:ilvl w:val="0"/>
          <w:numId w:val="32"/>
        </w:numPr>
        <w:jc w:val="both"/>
        <w:rPr>
          <w:rFonts w:ascii="Bookman Old Style" w:hAnsi="Bookman Old Style"/>
          <w:sz w:val="24"/>
          <w:szCs w:val="22"/>
        </w:rPr>
      </w:pPr>
      <w:r w:rsidRPr="002446FD">
        <w:rPr>
          <w:rFonts w:ascii="Bookman Old Style" w:hAnsi="Bookman Old Style"/>
          <w:sz w:val="24"/>
          <w:szCs w:val="22"/>
        </w:rPr>
        <w:t xml:space="preserve">La Resolución CREG 110 de 2011 </w:t>
      </w:r>
      <w:r w:rsidRPr="002446FD">
        <w:rPr>
          <w:rFonts w:ascii="Bookman Old Style" w:hAnsi="Bookman Old Style"/>
          <w:i/>
          <w:sz w:val="24"/>
          <w:szCs w:val="22"/>
        </w:rPr>
        <w:t>“</w:t>
      </w:r>
      <w:r w:rsidRPr="002446FD">
        <w:rPr>
          <w:rFonts w:ascii="Bookman Old Style" w:hAnsi="Bookman Old Style" w:cs="Arial"/>
          <w:i/>
          <w:sz w:val="24"/>
          <w:szCs w:val="22"/>
        </w:rPr>
        <w:t xml:space="preserve">por la cual se establecieron los cargos regulados para el sistema de transporte de la Transportadora de Gas Internacional S.A. E.S.P., TGI S.A. E.S.P” </w:t>
      </w:r>
      <w:r w:rsidRPr="002446FD">
        <w:rPr>
          <w:rFonts w:ascii="Bookman Old Style" w:hAnsi="Bookman Old Style" w:cs="Arial"/>
          <w:sz w:val="24"/>
          <w:szCs w:val="22"/>
        </w:rPr>
        <w:t xml:space="preserve">fue expedida un mes después, el día 25 de agosto de 2011. </w:t>
      </w:r>
    </w:p>
    <w:p w:rsidR="0008081B" w:rsidRPr="00CA6E86" w:rsidRDefault="0008081B" w:rsidP="002446FD">
      <w:pPr>
        <w:pStyle w:val="Prrafodelista"/>
        <w:numPr>
          <w:ilvl w:val="0"/>
          <w:numId w:val="32"/>
        </w:numPr>
        <w:jc w:val="both"/>
        <w:rPr>
          <w:rFonts w:ascii="Bookman Old Style" w:hAnsi="Bookman Old Style"/>
          <w:szCs w:val="22"/>
        </w:rPr>
      </w:pPr>
      <w:r w:rsidRPr="002446FD">
        <w:rPr>
          <w:rFonts w:ascii="Bookman Old Style" w:hAnsi="Bookman Old Style"/>
          <w:sz w:val="24"/>
          <w:szCs w:val="22"/>
        </w:rPr>
        <w:t xml:space="preserve">Una vez notificada personalmente al representante legal de TGI, dicha empresa interpueso el recurso de reposición mencionado contra la Resolución CREG 110 de 2011, mediante </w:t>
      </w:r>
      <w:r w:rsidRPr="002446FD">
        <w:rPr>
          <w:rFonts w:ascii="Bookman Old Style" w:hAnsi="Bookman Old Style"/>
          <w:sz w:val="24"/>
          <w:szCs w:val="22"/>
          <w:lang w:val="es-ES"/>
        </w:rPr>
        <w:t>comunicaciones número E-2011-008895 y E-2011-008898 recibidas el 20 de septiembre de 2011 y radicadas el 21 del mismo mes y año.</w:t>
      </w:r>
    </w:p>
    <w:p w:rsidR="0008081B" w:rsidRDefault="00EA464D" w:rsidP="002446FD">
      <w:pPr>
        <w:pStyle w:val="Prrafodelista"/>
        <w:numPr>
          <w:ilvl w:val="0"/>
          <w:numId w:val="32"/>
        </w:numPr>
        <w:jc w:val="both"/>
        <w:rPr>
          <w:rFonts w:ascii="Bookman Old Style" w:hAnsi="Bookman Old Style"/>
          <w:szCs w:val="22"/>
        </w:rPr>
      </w:pPr>
      <w:r w:rsidRPr="002446FD">
        <w:rPr>
          <w:rFonts w:ascii="Bookman Old Style" w:hAnsi="Bookman Old Style"/>
          <w:sz w:val="24"/>
          <w:szCs w:val="22"/>
        </w:rPr>
        <w:t>De conformidad con el literal e) del artículo 24 de la Resolución CREG 126 de 2010, la CREG procedió a abrir la urna en acto público</w:t>
      </w:r>
      <w:r>
        <w:rPr>
          <w:rFonts w:ascii="Bookman Old Style" w:hAnsi="Bookman Old Style"/>
          <w:sz w:val="24"/>
          <w:szCs w:val="22"/>
        </w:rPr>
        <w:t xml:space="preserve"> el día </w:t>
      </w:r>
      <w:r w:rsidR="0026544D" w:rsidRPr="00FF7B95">
        <w:rPr>
          <w:rFonts w:ascii="Bookman Old Style" w:hAnsi="Bookman Old Style"/>
          <w:sz w:val="24"/>
          <w:szCs w:val="22"/>
        </w:rPr>
        <w:t>12 de diciembre de 2011, a las 2:00 p.m.</w:t>
      </w:r>
      <w:r w:rsidRPr="002446FD">
        <w:rPr>
          <w:rFonts w:ascii="Bookman Old Style" w:hAnsi="Bookman Old Style"/>
          <w:sz w:val="24"/>
          <w:szCs w:val="22"/>
        </w:rPr>
        <w:t>, constatando que la única solicitud para el gasoducto Tipo II que aquí se analiza, era la de TGI.</w:t>
      </w:r>
    </w:p>
    <w:p w:rsidR="00EA464D" w:rsidRPr="002446FD" w:rsidRDefault="00EA464D" w:rsidP="002446FD">
      <w:pPr>
        <w:pStyle w:val="Prrafodelista"/>
        <w:numPr>
          <w:ilvl w:val="0"/>
          <w:numId w:val="32"/>
        </w:numPr>
        <w:jc w:val="both"/>
        <w:rPr>
          <w:rFonts w:ascii="Bookman Old Style" w:hAnsi="Bookman Old Style"/>
        </w:rPr>
      </w:pPr>
      <w:r w:rsidRPr="002446FD">
        <w:rPr>
          <w:rFonts w:ascii="Bookman Old Style" w:hAnsi="Bookman Old Style"/>
          <w:sz w:val="24"/>
          <w:szCs w:val="24"/>
        </w:rPr>
        <w:t xml:space="preserve">Así las cosas, se procedió a dar aplicación al literal e) del mismo artículo 24, el cual dispone que </w:t>
      </w:r>
      <w:r w:rsidRPr="002446FD">
        <w:rPr>
          <w:rFonts w:ascii="Bookman Old Style" w:hAnsi="Bookman Old Style"/>
          <w:i/>
          <w:sz w:val="24"/>
          <w:szCs w:val="24"/>
        </w:rPr>
        <w:t>“</w:t>
      </w:r>
      <w:r w:rsidRPr="002446FD">
        <w:rPr>
          <w:rFonts w:ascii="Bookman Old Style" w:hAnsi="Bookman Old Style" w:cs="Arial"/>
          <w:i/>
          <w:color w:val="000000"/>
          <w:sz w:val="24"/>
          <w:szCs w:val="24"/>
        </w:rPr>
        <w:t xml:space="preserve">Si dentro de este procedimiento sólo se presenta una solicitud tarifaria o sólo se reciben solicitudes de transportadores que tienen interés económico entre sí, la CREG evaluará la solicitud del agente que presentó los tres sobres de conformidad con el literal a) de este artículo. Este procedimiento se llevará a cabo de acuerdo con lo establecido en el </w:t>
      </w:r>
      <w:r w:rsidRPr="002446FD">
        <w:rPr>
          <w:rFonts w:ascii="Bookman Old Style" w:hAnsi="Bookman Old Style"/>
          <w:i/>
          <w:sz w:val="24"/>
          <w:szCs w:val="24"/>
        </w:rPr>
        <w:t>Anexo 1</w:t>
      </w:r>
      <w:r w:rsidRPr="002446FD">
        <w:rPr>
          <w:rFonts w:ascii="Bookman Old Style" w:hAnsi="Bookman Old Style" w:cs="Arial"/>
          <w:i/>
          <w:color w:val="000000"/>
          <w:sz w:val="24"/>
          <w:szCs w:val="24"/>
        </w:rPr>
        <w:t xml:space="preserve"> de la presente Resolución</w:t>
      </w:r>
      <w:r w:rsidRPr="002446FD">
        <w:rPr>
          <w:rFonts w:ascii="Bookman Old Style" w:hAnsi="Bookman Old Style"/>
          <w:i/>
          <w:sz w:val="24"/>
          <w:szCs w:val="24"/>
        </w:rPr>
        <w:t>”.</w:t>
      </w:r>
    </w:p>
    <w:p w:rsidR="006401EE" w:rsidRPr="00EA464D" w:rsidRDefault="006401EE" w:rsidP="00ED68C4">
      <w:pPr>
        <w:ind w:left="0"/>
        <w:jc w:val="both"/>
        <w:rPr>
          <w:rFonts w:ascii="Bookman Old Style" w:hAnsi="Bookman Old Style"/>
          <w:szCs w:val="22"/>
        </w:rPr>
      </w:pPr>
    </w:p>
    <w:p w:rsidR="00490DEF" w:rsidRPr="006875CB" w:rsidRDefault="00490DEF" w:rsidP="00490DEF">
      <w:pPr>
        <w:ind w:left="0"/>
        <w:jc w:val="both"/>
        <w:rPr>
          <w:rFonts w:ascii="Bookman Old Style" w:hAnsi="Bookman Old Style"/>
        </w:rPr>
      </w:pPr>
      <w:r w:rsidRPr="006875CB">
        <w:rPr>
          <w:rFonts w:ascii="Bookman Old Style" w:hAnsi="Bookman Old Style"/>
        </w:rPr>
        <w:t>Así las cosas, mal habría actuado la CREG en determinar los cargos regulados de transporte de gas natural para el sistema regional Boyacá Central utilizando las mismas variables y bajo los mismo</w:t>
      </w:r>
      <w:r>
        <w:rPr>
          <w:rFonts w:ascii="Bookman Old Style" w:hAnsi="Bookman Old Style"/>
        </w:rPr>
        <w:t>s</w:t>
      </w:r>
      <w:r w:rsidRPr="006875CB">
        <w:rPr>
          <w:rFonts w:ascii="Bookman Old Style" w:hAnsi="Bookman Old Style"/>
        </w:rPr>
        <w:t xml:space="preserve"> criterios de comparación que TGI estaba cuestionando. Dicho de otra forma, la determinación apresurada de los cargos de transporte para el sistema regional Boyacá Centr</w:t>
      </w:r>
      <w:r w:rsidR="006F7C8F">
        <w:rPr>
          <w:rFonts w:ascii="Bookman Old Style" w:hAnsi="Bookman Old Style"/>
        </w:rPr>
        <w:t>al, aplicando el Anexo 1 de la R</w:t>
      </w:r>
      <w:r w:rsidRPr="006875CB">
        <w:rPr>
          <w:rFonts w:ascii="Bookman Old Style" w:hAnsi="Bookman Old Style"/>
        </w:rPr>
        <w:t>esolución CREG 126 de 2010 con las mismas variables y criterios con los que se expidió la Resolución CREG 110 de 2011, habría contrariado de manera flagrante el principio de eficacia administrativa, toda vez que saltaba a la vista el desacuerdo de TGI con el mismo. De haber actuado así, la CREG estaría lejos de lograr la finalidad del procedimiento, y de realizar el derecho de TGI a tener cargos que remuneren de manera eficiente sus inversiones.</w:t>
      </w:r>
    </w:p>
    <w:p w:rsidR="002F4B5A" w:rsidRPr="006875CB" w:rsidRDefault="002F4B5A" w:rsidP="00ED68C4">
      <w:pPr>
        <w:ind w:left="0"/>
        <w:jc w:val="both"/>
        <w:rPr>
          <w:rFonts w:ascii="Bookman Old Style" w:hAnsi="Bookman Old Style"/>
        </w:rPr>
      </w:pPr>
    </w:p>
    <w:p w:rsidR="008F3DE4" w:rsidRDefault="00490DEF" w:rsidP="008F3DE4">
      <w:pPr>
        <w:ind w:left="0"/>
        <w:jc w:val="both"/>
        <w:rPr>
          <w:rFonts w:ascii="Bookman Old Style" w:hAnsi="Bookman Old Style"/>
        </w:rPr>
      </w:pPr>
      <w:r>
        <w:rPr>
          <w:rFonts w:ascii="Bookman Old Style" w:hAnsi="Bookman Old Style"/>
        </w:rPr>
        <w:t>En efecto, l</w:t>
      </w:r>
      <w:r w:rsidR="008F3DE4" w:rsidRPr="006875CB">
        <w:rPr>
          <w:rFonts w:ascii="Bookman Old Style" w:hAnsi="Bookman Old Style"/>
        </w:rPr>
        <w:t>a Corte Constitucional ha establecido el alcance del principio de eficacia en la función administrativa, consagrado en los artículos 2 y 209 de la Constitución Política, así como en el artículo 3 del Código Contencioso Administrativo. Al respecto ha dicho lo siguiente:</w:t>
      </w:r>
    </w:p>
    <w:p w:rsidR="00B9084B" w:rsidRPr="006875CB" w:rsidRDefault="00B9084B" w:rsidP="008F3DE4">
      <w:pPr>
        <w:ind w:left="0"/>
        <w:jc w:val="both"/>
        <w:rPr>
          <w:rFonts w:ascii="Bookman Old Style" w:hAnsi="Bookman Old Style"/>
        </w:rPr>
      </w:pPr>
    </w:p>
    <w:p w:rsidR="008F3DE4" w:rsidRPr="006875CB" w:rsidRDefault="008F3DE4" w:rsidP="005966A9">
      <w:pPr>
        <w:jc w:val="both"/>
        <w:rPr>
          <w:rFonts w:ascii="Bookman Old Style" w:hAnsi="Bookman Old Style"/>
          <w:i/>
          <w:sz w:val="22"/>
          <w:szCs w:val="22"/>
          <w:lang w:val="es-ES_tradnl"/>
        </w:rPr>
      </w:pPr>
      <w:r w:rsidRPr="006875CB">
        <w:rPr>
          <w:rFonts w:ascii="Bookman Old Style" w:hAnsi="Bookman Old Style"/>
          <w:i/>
          <w:sz w:val="22"/>
          <w:szCs w:val="22"/>
          <w:lang w:val="es-CO"/>
        </w:rPr>
        <w:t>“Este sistema de integración en materia de procedimientos administrativos es aún más importante si se trata de dar aplicación a reglas de procedimiento directamente relacionadas con los principios que rigen la función administrativa, cuya vinculación a todo tipo de actuaciones administrativas se deriva directamente del Artículo 209 de la Constitución Política. En la medida que mediante el procedimiento administrativo se logra el cumplimiento de las funciones administrativas del Estado, su desarrollo está presidido por una doble categoría de principios rectores de rango constitucional: </w:t>
      </w:r>
      <w:r w:rsidRPr="006875CB">
        <w:rPr>
          <w:rFonts w:ascii="Bookman Old Style" w:hAnsi="Bookman Old Style"/>
          <w:i/>
          <w:iCs/>
          <w:sz w:val="22"/>
          <w:szCs w:val="22"/>
          <w:lang w:val="es-CO"/>
        </w:rPr>
        <w:t xml:space="preserve">“de un lado el principio del debido </w:t>
      </w:r>
      <w:r w:rsidRPr="006875CB">
        <w:rPr>
          <w:rFonts w:ascii="Bookman Old Style" w:hAnsi="Bookman Old Style"/>
          <w:i/>
          <w:iCs/>
          <w:sz w:val="22"/>
          <w:szCs w:val="22"/>
          <w:lang w:val="es-CO"/>
        </w:rPr>
        <w:lastRenderedPageBreak/>
        <w:t>proceso con todas las garantías que de él se derivan y de otro los que se refieren al recto ejercicio de la función pública”</w:t>
      </w:r>
      <w:r w:rsidRPr="006875CB">
        <w:rPr>
          <w:rStyle w:val="Refdenotaalpie"/>
          <w:rFonts w:ascii="Bookman Old Style" w:hAnsi="Bookman Old Style"/>
          <w:i/>
          <w:iCs/>
          <w:sz w:val="22"/>
          <w:szCs w:val="22"/>
          <w:lang w:val="es-CO"/>
        </w:rPr>
        <w:footnoteReference w:id="6"/>
      </w:r>
      <w:r w:rsidR="0026544D">
        <w:rPr>
          <w:rFonts w:ascii="Bookman Old Style" w:hAnsi="Bookman Old Style"/>
          <w:i/>
          <w:iCs/>
          <w:sz w:val="22"/>
          <w:szCs w:val="22"/>
          <w:lang w:val="es-CO"/>
        </w:rPr>
        <w:t>.</w:t>
      </w:r>
    </w:p>
    <w:p w:rsidR="008F3DE4" w:rsidRPr="006875CB" w:rsidRDefault="008F3DE4" w:rsidP="005966A9">
      <w:pPr>
        <w:jc w:val="both"/>
        <w:rPr>
          <w:rFonts w:ascii="Bookman Old Style" w:hAnsi="Bookman Old Style"/>
          <w:i/>
          <w:sz w:val="22"/>
          <w:szCs w:val="22"/>
          <w:lang w:val="es-ES_tradnl"/>
        </w:rPr>
      </w:pPr>
      <w:r w:rsidRPr="006875CB">
        <w:rPr>
          <w:rFonts w:ascii="Bookman Old Style" w:hAnsi="Bookman Old Style"/>
          <w:i/>
          <w:sz w:val="22"/>
          <w:szCs w:val="22"/>
          <w:lang w:val="es-CO"/>
        </w:rPr>
        <w:t> </w:t>
      </w:r>
    </w:p>
    <w:p w:rsidR="008F3DE4" w:rsidRPr="006875CB" w:rsidRDefault="008F3DE4" w:rsidP="005966A9">
      <w:pPr>
        <w:jc w:val="both"/>
        <w:rPr>
          <w:rFonts w:ascii="Bookman Old Style" w:hAnsi="Bookman Old Style"/>
          <w:i/>
          <w:sz w:val="22"/>
          <w:szCs w:val="22"/>
          <w:lang w:val="es-ES_tradnl"/>
        </w:rPr>
      </w:pPr>
      <w:r w:rsidRPr="006875CB">
        <w:rPr>
          <w:rFonts w:ascii="Bookman Old Style" w:hAnsi="Bookman Old Style"/>
          <w:i/>
          <w:sz w:val="22"/>
          <w:szCs w:val="22"/>
          <w:lang w:val="es-CO"/>
        </w:rPr>
        <w:t>Dentro de estos principios, aparece un mandato expreso de </w:t>
      </w:r>
      <w:r w:rsidRPr="006875CB">
        <w:rPr>
          <w:rFonts w:ascii="Bookman Old Style" w:hAnsi="Bookman Old Style"/>
          <w:b/>
          <w:bCs/>
          <w:i/>
          <w:sz w:val="22"/>
          <w:szCs w:val="22"/>
          <w:lang w:val="es-CO"/>
        </w:rPr>
        <w:t>eficacia</w:t>
      </w:r>
      <w:r w:rsidRPr="006875CB">
        <w:rPr>
          <w:rFonts w:ascii="Bookman Old Style" w:hAnsi="Bookman Old Style"/>
          <w:i/>
          <w:sz w:val="22"/>
          <w:szCs w:val="22"/>
          <w:lang w:val="es-CO"/>
        </w:rPr>
        <w:t xml:space="preserve">, en virtud del cual </w:t>
      </w:r>
      <w:r w:rsidR="0026544D">
        <w:rPr>
          <w:rFonts w:ascii="Bookman Old Style" w:hAnsi="Bookman Old Style"/>
          <w:i/>
          <w:sz w:val="22"/>
          <w:szCs w:val="22"/>
          <w:lang w:val="es-CO"/>
        </w:rPr>
        <w:t>‘</w:t>
      </w:r>
      <w:r w:rsidRPr="006875CB">
        <w:rPr>
          <w:rFonts w:ascii="Bookman Old Style" w:hAnsi="Bookman Old Style"/>
          <w:i/>
          <w:iCs/>
          <w:sz w:val="22"/>
          <w:szCs w:val="22"/>
          <w:lang w:val="es-CO"/>
        </w:rPr>
        <w:t>se tendrá en cuenta que los procedimientos deben lograr su finalidad</w:t>
      </w:r>
      <w:r w:rsidR="0026544D">
        <w:rPr>
          <w:rFonts w:ascii="Bookman Old Style" w:hAnsi="Bookman Old Style"/>
          <w:i/>
          <w:iCs/>
          <w:sz w:val="22"/>
          <w:szCs w:val="22"/>
          <w:lang w:val="es-CO"/>
        </w:rPr>
        <w:t>’</w:t>
      </w:r>
      <w:r w:rsidRPr="006875CB">
        <w:rPr>
          <w:rFonts w:ascii="Bookman Old Style" w:hAnsi="Bookman Old Style"/>
          <w:i/>
          <w:sz w:val="22"/>
          <w:szCs w:val="22"/>
          <w:lang w:val="es-CO"/>
        </w:rPr>
        <w:t> y que, por tanto, las autoridades deben remover </w:t>
      </w:r>
      <w:r w:rsidR="0026544D">
        <w:rPr>
          <w:rFonts w:ascii="Bookman Old Style" w:hAnsi="Bookman Old Style"/>
          <w:i/>
          <w:sz w:val="22"/>
          <w:szCs w:val="22"/>
          <w:lang w:val="es-CO"/>
        </w:rPr>
        <w:t>‘</w:t>
      </w:r>
      <w:r w:rsidRPr="006875CB">
        <w:rPr>
          <w:rFonts w:ascii="Bookman Old Style" w:hAnsi="Bookman Old Style"/>
          <w:i/>
          <w:iCs/>
          <w:sz w:val="22"/>
          <w:szCs w:val="22"/>
          <w:lang w:val="es-CO"/>
        </w:rPr>
        <w:t>de oficio los obstáculos puramente formales, evitando decisiones inhibitorias</w:t>
      </w:r>
      <w:r w:rsidR="0026544D">
        <w:rPr>
          <w:rFonts w:ascii="Bookman Old Style" w:hAnsi="Bookman Old Style"/>
          <w:i/>
          <w:iCs/>
          <w:sz w:val="22"/>
          <w:szCs w:val="22"/>
          <w:lang w:val="es-CO"/>
        </w:rPr>
        <w:t>’.</w:t>
      </w:r>
      <w:r w:rsidRPr="006875CB">
        <w:rPr>
          <w:rFonts w:ascii="Bookman Old Style" w:hAnsi="Bookman Old Style"/>
          <w:i/>
          <w:sz w:val="22"/>
          <w:szCs w:val="22"/>
          <w:lang w:val="es-CO"/>
        </w:rPr>
        <w:t xml:space="preserve"> (art. 3 C.C.A.) Así, se ha entendido por esta Corporación que </w:t>
      </w:r>
      <w:r w:rsidR="0026544D">
        <w:rPr>
          <w:rFonts w:ascii="Bookman Old Style" w:hAnsi="Bookman Old Style"/>
          <w:i/>
          <w:sz w:val="22"/>
          <w:szCs w:val="22"/>
          <w:lang w:val="es-CO"/>
        </w:rPr>
        <w:t>‘</w:t>
      </w:r>
      <w:r w:rsidRPr="006875CB">
        <w:rPr>
          <w:rFonts w:ascii="Bookman Old Style" w:hAnsi="Bookman Old Style"/>
          <w:i/>
          <w:iCs/>
          <w:sz w:val="22"/>
          <w:szCs w:val="22"/>
          <w:lang w:val="es-CO"/>
        </w:rPr>
        <w:t>los mandatos contenidos en los artículos 2º y 209 de la Constitución imponen a las autoridades la obligación de atender las necesidades, hacer efectivos los derechos de los administrados y asegurar el cumplimiento de las obligaciones sociales</w:t>
      </w:r>
      <w:r w:rsidR="0026544D">
        <w:rPr>
          <w:rFonts w:ascii="Bookman Old Style" w:hAnsi="Bookman Old Style"/>
          <w:i/>
          <w:iCs/>
          <w:sz w:val="22"/>
          <w:szCs w:val="22"/>
          <w:lang w:val="es-CO"/>
        </w:rPr>
        <w:t>’</w:t>
      </w:r>
      <w:r w:rsidRPr="006875CB">
        <w:rPr>
          <w:rFonts w:ascii="Bookman Old Style" w:hAnsi="Bookman Old Style"/>
          <w:i/>
          <w:sz w:val="22"/>
          <w:szCs w:val="22"/>
          <w:lang w:val="es-CO"/>
        </w:rPr>
        <w:t>, todo lo cual </w:t>
      </w:r>
      <w:r w:rsidR="0026544D">
        <w:rPr>
          <w:rFonts w:ascii="Bookman Old Style" w:hAnsi="Bookman Old Style"/>
          <w:i/>
          <w:sz w:val="22"/>
          <w:szCs w:val="22"/>
          <w:lang w:val="es-CO"/>
        </w:rPr>
        <w:t>‘</w:t>
      </w:r>
      <w:r w:rsidRPr="006875CB">
        <w:rPr>
          <w:rFonts w:ascii="Bookman Old Style" w:hAnsi="Bookman Old Style"/>
          <w:i/>
          <w:iCs/>
          <w:sz w:val="22"/>
          <w:szCs w:val="22"/>
          <w:lang w:val="es-CO"/>
        </w:rPr>
        <w:t>se desarrolla con base en dos cualidades, la eficacia y la eficiencia administrativa</w:t>
      </w:r>
      <w:r w:rsidR="0026544D">
        <w:rPr>
          <w:rFonts w:ascii="Bookman Old Style" w:hAnsi="Bookman Old Style"/>
          <w:i/>
          <w:iCs/>
          <w:sz w:val="22"/>
          <w:szCs w:val="22"/>
          <w:lang w:val="es-CO"/>
        </w:rPr>
        <w:t>’</w:t>
      </w:r>
      <w:bookmarkStart w:id="1" w:name="_ftnref31"/>
      <w:r w:rsidR="0026544D">
        <w:rPr>
          <w:rFonts w:ascii="Bookman Old Style" w:hAnsi="Bookman Old Style"/>
          <w:i/>
          <w:iCs/>
          <w:sz w:val="22"/>
          <w:szCs w:val="22"/>
          <w:lang w:val="es-CO"/>
        </w:rPr>
        <w:t>.</w:t>
      </w:r>
      <w:r w:rsidRPr="006875CB">
        <w:rPr>
          <w:rStyle w:val="Refdenotaalpie"/>
          <w:rFonts w:ascii="Bookman Old Style" w:hAnsi="Bookman Old Style"/>
          <w:i/>
          <w:iCs/>
          <w:sz w:val="22"/>
          <w:szCs w:val="22"/>
          <w:lang w:val="es-CO"/>
        </w:rPr>
        <w:footnoteReference w:id="7"/>
      </w:r>
      <w:bookmarkEnd w:id="1"/>
    </w:p>
    <w:p w:rsidR="008F3DE4" w:rsidRPr="006875CB" w:rsidRDefault="008F3DE4" w:rsidP="005966A9">
      <w:pPr>
        <w:jc w:val="both"/>
        <w:rPr>
          <w:rFonts w:ascii="Bookman Old Style" w:hAnsi="Bookman Old Style"/>
          <w:i/>
          <w:sz w:val="22"/>
          <w:szCs w:val="22"/>
          <w:lang w:val="es-ES_tradnl"/>
        </w:rPr>
      </w:pPr>
      <w:r w:rsidRPr="006875CB">
        <w:rPr>
          <w:rFonts w:ascii="Bookman Old Style" w:hAnsi="Bookman Old Style"/>
          <w:i/>
          <w:sz w:val="22"/>
          <w:szCs w:val="22"/>
          <w:lang w:val="es-CO"/>
        </w:rPr>
        <w:t> </w:t>
      </w:r>
    </w:p>
    <w:p w:rsidR="008F3DE4" w:rsidRPr="006875CB" w:rsidRDefault="008F3DE4" w:rsidP="005966A9">
      <w:pPr>
        <w:jc w:val="both"/>
        <w:rPr>
          <w:rFonts w:ascii="Bookman Old Style" w:hAnsi="Bookman Old Style"/>
          <w:sz w:val="22"/>
          <w:szCs w:val="22"/>
          <w:lang w:val="es-ES_tradnl"/>
        </w:rPr>
      </w:pPr>
      <w:r w:rsidRPr="006875CB">
        <w:rPr>
          <w:rFonts w:ascii="Bookman Old Style" w:hAnsi="Bookman Old Style"/>
          <w:i/>
          <w:sz w:val="22"/>
          <w:szCs w:val="22"/>
          <w:lang w:val="es-CO"/>
        </w:rPr>
        <w:t xml:space="preserve">En este orden de ideas, </w:t>
      </w:r>
      <w:r w:rsidRPr="006875CB">
        <w:rPr>
          <w:rFonts w:ascii="Bookman Old Style" w:hAnsi="Bookman Old Style"/>
          <w:b/>
          <w:i/>
          <w:sz w:val="22"/>
          <w:szCs w:val="22"/>
          <w:u w:val="single"/>
          <w:lang w:val="es-CO"/>
        </w:rPr>
        <w:t>el hecho de que el legislador exija algunas formalidades en la iniciación y tramitación de los procedimientos administrativos, no implica que la Administración quede liberada de dar aplicación a los principios rectores de la función administrativa, así como de garantizar la protección efectiva de los derechos de los administrados (art. 2º C.P.)</w:t>
      </w:r>
      <w:r w:rsidRPr="006875CB">
        <w:rPr>
          <w:rFonts w:ascii="Bookman Old Style" w:hAnsi="Bookman Old Style"/>
          <w:i/>
          <w:sz w:val="22"/>
          <w:szCs w:val="22"/>
          <w:lang w:val="es-CO"/>
        </w:rPr>
        <w:t>, más aún cuando está en discusión la dignidad humana y la integridad física y moral de las personas”</w:t>
      </w:r>
      <w:r w:rsidRPr="006875CB">
        <w:rPr>
          <w:rStyle w:val="Refdenotaalpie"/>
          <w:rFonts w:ascii="Bookman Old Style" w:hAnsi="Bookman Old Style"/>
          <w:i/>
          <w:sz w:val="22"/>
          <w:szCs w:val="22"/>
          <w:lang w:val="es-CO"/>
        </w:rPr>
        <w:footnoteReference w:id="8"/>
      </w:r>
      <w:r w:rsidRPr="006875CB">
        <w:rPr>
          <w:rFonts w:ascii="Bookman Old Style" w:hAnsi="Bookman Old Style"/>
          <w:i/>
          <w:sz w:val="22"/>
          <w:szCs w:val="22"/>
          <w:lang w:val="es-CO"/>
        </w:rPr>
        <w:t xml:space="preserve"> </w:t>
      </w:r>
      <w:r w:rsidRPr="006875CB">
        <w:rPr>
          <w:rFonts w:ascii="Bookman Old Style" w:hAnsi="Bookman Old Style"/>
          <w:sz w:val="22"/>
          <w:szCs w:val="22"/>
          <w:lang w:val="es-CO"/>
        </w:rPr>
        <w:t>(se resalta y subraya).</w:t>
      </w:r>
    </w:p>
    <w:p w:rsidR="008F3DE4" w:rsidRPr="006875CB" w:rsidRDefault="008F3DE4" w:rsidP="00ED68C4">
      <w:pPr>
        <w:ind w:left="0"/>
        <w:jc w:val="both"/>
        <w:rPr>
          <w:rFonts w:ascii="Bookman Old Style" w:hAnsi="Bookman Old Style"/>
        </w:rPr>
      </w:pPr>
    </w:p>
    <w:p w:rsidR="00B379EB" w:rsidRDefault="008F3DE4" w:rsidP="00ED68C4">
      <w:pPr>
        <w:ind w:left="0"/>
        <w:jc w:val="both"/>
        <w:rPr>
          <w:rFonts w:ascii="Bookman Old Style" w:hAnsi="Bookman Old Style"/>
        </w:rPr>
      </w:pPr>
      <w:r w:rsidRPr="006875CB">
        <w:rPr>
          <w:rFonts w:ascii="Bookman Old Style" w:hAnsi="Bookman Old Style"/>
        </w:rPr>
        <w:t xml:space="preserve">Ahora bien, respecto a las “nuevas consideraciones” que TGI solicita que se tengan en cuenta, se indica que la </w:t>
      </w:r>
      <w:r w:rsidRPr="006875CB">
        <w:rPr>
          <w:rFonts w:ascii="Bookman Old Style" w:hAnsi="Bookman Old Style"/>
          <w:i/>
        </w:rPr>
        <w:t xml:space="preserve">metodología </w:t>
      </w:r>
      <w:r w:rsidRPr="006875CB">
        <w:rPr>
          <w:rFonts w:ascii="Bookman Old Style" w:hAnsi="Bookman Old Style"/>
        </w:rPr>
        <w:t>contenida en la Resolución CREG</w:t>
      </w:r>
      <w:r w:rsidR="00E119DD" w:rsidRPr="006875CB">
        <w:rPr>
          <w:rFonts w:ascii="Bookman Old Style" w:hAnsi="Bookman Old Style"/>
        </w:rPr>
        <w:t xml:space="preserve"> 1</w:t>
      </w:r>
      <w:r w:rsidR="00A65EA2" w:rsidRPr="006875CB">
        <w:rPr>
          <w:rFonts w:ascii="Bookman Old Style" w:hAnsi="Bookman Old Style"/>
        </w:rPr>
        <w:t>2</w:t>
      </w:r>
      <w:r w:rsidR="00E119DD" w:rsidRPr="006875CB">
        <w:rPr>
          <w:rFonts w:ascii="Bookman Old Style" w:hAnsi="Bookman Old Style"/>
        </w:rPr>
        <w:t>6</w:t>
      </w:r>
      <w:r w:rsidRPr="006875CB">
        <w:rPr>
          <w:rFonts w:ascii="Bookman Old Style" w:hAnsi="Bookman Old Style"/>
        </w:rPr>
        <w:t xml:space="preserve"> de 2010 tiene la vocación de reconocer los costos que se estiman eficientes</w:t>
      </w:r>
      <w:r w:rsidR="00B379EB">
        <w:rPr>
          <w:rFonts w:ascii="Bookman Old Style" w:hAnsi="Bookman Old Style"/>
        </w:rPr>
        <w:t xml:space="preserve"> al momento de la valoración</w:t>
      </w:r>
      <w:r w:rsidRPr="006875CB">
        <w:rPr>
          <w:rFonts w:ascii="Bookman Old Style" w:hAnsi="Bookman Old Style"/>
        </w:rPr>
        <w:t>, de acuerdo con el análisis por comparación al que se ha hecho referencia,</w:t>
      </w:r>
      <w:r w:rsidR="0074250E" w:rsidRPr="006875CB">
        <w:rPr>
          <w:rFonts w:ascii="Bookman Old Style" w:hAnsi="Bookman Old Style"/>
        </w:rPr>
        <w:t xml:space="preserve"> del cual surge</w:t>
      </w:r>
      <w:r w:rsidRPr="006875CB">
        <w:rPr>
          <w:rFonts w:ascii="Bookman Old Style" w:hAnsi="Bookman Old Style"/>
        </w:rPr>
        <w:t xml:space="preserve"> el </w:t>
      </w:r>
      <w:r w:rsidR="00B379EB">
        <w:rPr>
          <w:rFonts w:ascii="Bookman Old Style" w:hAnsi="Bookman Old Style"/>
        </w:rPr>
        <w:t xml:space="preserve">valor eficiente a considerar para el cálculo tarifario. </w:t>
      </w:r>
      <w:r w:rsidR="005B5D4F">
        <w:rPr>
          <w:rFonts w:ascii="Bookman Old Style" w:hAnsi="Bookman Old Style"/>
        </w:rPr>
        <w:t>Así, sólo se reconocieron los costos reales si los mismos son eficientes.</w:t>
      </w:r>
    </w:p>
    <w:p w:rsidR="00B379EB" w:rsidRDefault="00B379EB" w:rsidP="00ED68C4">
      <w:pPr>
        <w:ind w:left="0"/>
        <w:jc w:val="both"/>
        <w:rPr>
          <w:rFonts w:ascii="Bookman Old Style" w:hAnsi="Bookman Old Style"/>
        </w:rPr>
      </w:pPr>
    </w:p>
    <w:p w:rsidR="00E119DD" w:rsidRDefault="00E119DD" w:rsidP="00ED68C4">
      <w:pPr>
        <w:ind w:left="0"/>
        <w:jc w:val="both"/>
        <w:rPr>
          <w:rFonts w:ascii="Bookman Old Style" w:hAnsi="Bookman Old Style"/>
        </w:rPr>
      </w:pPr>
      <w:r w:rsidRPr="006875CB">
        <w:rPr>
          <w:rFonts w:ascii="Bookman Old Style" w:hAnsi="Bookman Old Style"/>
        </w:rPr>
        <w:t xml:space="preserve">Lo anterior no sólo fue claro al momento de expedir la </w:t>
      </w:r>
      <w:r w:rsidRPr="006875CB">
        <w:rPr>
          <w:rFonts w:ascii="Bookman Old Style" w:hAnsi="Bookman Old Style"/>
          <w:i/>
        </w:rPr>
        <w:t xml:space="preserve">metodología, </w:t>
      </w:r>
      <w:r w:rsidRPr="006875CB">
        <w:rPr>
          <w:rFonts w:ascii="Bookman Old Style" w:hAnsi="Bookman Old Style"/>
        </w:rPr>
        <w:t>sino que ha sido reiterado por la Comisión en anteriores pronunciamientos, referidos a distintos asuntos</w:t>
      </w:r>
      <w:r w:rsidR="00DE054E">
        <w:rPr>
          <w:rFonts w:ascii="Bookman Old Style" w:hAnsi="Bookman Old Style"/>
        </w:rPr>
        <w:t xml:space="preserve"> como se indica a continuación</w:t>
      </w:r>
      <w:r w:rsidRPr="006875CB">
        <w:rPr>
          <w:rFonts w:ascii="Bookman Old Style" w:hAnsi="Bookman Old Style"/>
        </w:rPr>
        <w:t>.</w:t>
      </w:r>
    </w:p>
    <w:p w:rsidR="003E70E0" w:rsidRPr="006875CB" w:rsidRDefault="003E70E0" w:rsidP="00ED68C4">
      <w:pPr>
        <w:ind w:left="0"/>
        <w:jc w:val="both"/>
        <w:rPr>
          <w:rFonts w:ascii="Bookman Old Style" w:hAnsi="Bookman Old Style"/>
        </w:rPr>
      </w:pPr>
    </w:p>
    <w:p w:rsidR="00E119DD" w:rsidRDefault="00E119DD" w:rsidP="00ED68C4">
      <w:pPr>
        <w:ind w:left="0"/>
        <w:jc w:val="both"/>
        <w:rPr>
          <w:rFonts w:ascii="Bookman Old Style" w:hAnsi="Bookman Old Style"/>
        </w:rPr>
      </w:pPr>
      <w:r w:rsidRPr="006875CB">
        <w:rPr>
          <w:rFonts w:ascii="Bookman Old Style" w:hAnsi="Bookman Old Style"/>
        </w:rPr>
        <w:t>En efecto, e</w:t>
      </w:r>
      <w:r w:rsidR="00F10157">
        <w:rPr>
          <w:rFonts w:ascii="Bookman Old Style" w:hAnsi="Bookman Old Style"/>
        </w:rPr>
        <w:t>n la Resolución CREG 121 de 2012, mediante la cual se resolvieron los recursos de reposición interpuestos contra la Resolución CREG 110 de 2011, se</w:t>
      </w:r>
      <w:r w:rsidRPr="006875CB">
        <w:rPr>
          <w:rFonts w:ascii="Bookman Old Style" w:hAnsi="Bookman Old Style"/>
        </w:rPr>
        <w:t xml:space="preserve"> estableció de manera clara lo siguiente:</w:t>
      </w:r>
    </w:p>
    <w:p w:rsidR="00F10157" w:rsidRDefault="00F10157" w:rsidP="00ED68C4">
      <w:pPr>
        <w:ind w:left="0"/>
        <w:jc w:val="both"/>
        <w:rPr>
          <w:rFonts w:ascii="Bookman Old Style" w:hAnsi="Bookman Old Style"/>
        </w:rPr>
      </w:pPr>
    </w:p>
    <w:p w:rsidR="00F10157" w:rsidRPr="00F10157" w:rsidRDefault="00F10157" w:rsidP="00F10157">
      <w:pPr>
        <w:jc w:val="both"/>
        <w:rPr>
          <w:rFonts w:ascii="Bookman Old Style" w:hAnsi="Bookman Old Style"/>
          <w:i/>
          <w:iCs/>
          <w:sz w:val="22"/>
          <w:szCs w:val="22"/>
          <w:lang w:val="es-CO"/>
        </w:rPr>
      </w:pPr>
      <w:r w:rsidRPr="00F10157">
        <w:rPr>
          <w:rFonts w:ascii="Bookman Old Style" w:hAnsi="Bookman Old Style"/>
          <w:i/>
          <w:iCs/>
          <w:sz w:val="22"/>
          <w:szCs w:val="22"/>
          <w:lang w:val="es-CO"/>
        </w:rPr>
        <w:t>“Uno de los preceptos fundamentales de la Ley 142 de 1994, aplicables a los cargos regulados que aprueba la CREG, es el de la eficiencia económica. De acuerdo con el artículo 87.1 de la Ley 142 de 1994, por eficiencia económica se entiende que: i) el régimen de tarifas procurará que éstas se aproximen a lo que serían los precios de un mercado competitivo; ii) las fórmulas tarifarias no pueden trasladar a los usuarios los costos de una gestión ineficiente; y iii) las tarifas deben reflejar tanto el nivel y la estructura de los costos económicos de prestar el servicio.</w:t>
      </w:r>
    </w:p>
    <w:p w:rsidR="00F10157" w:rsidRPr="00F10157" w:rsidRDefault="00F10157" w:rsidP="00F10157">
      <w:pPr>
        <w:jc w:val="both"/>
        <w:rPr>
          <w:rFonts w:ascii="Bookman Old Style" w:hAnsi="Bookman Old Style"/>
          <w:i/>
          <w:iCs/>
          <w:sz w:val="22"/>
          <w:szCs w:val="22"/>
          <w:lang w:val="es-CO"/>
        </w:rPr>
      </w:pPr>
    </w:p>
    <w:p w:rsidR="00F10157" w:rsidRPr="00F10157" w:rsidRDefault="00F10157" w:rsidP="00F10157">
      <w:pPr>
        <w:jc w:val="both"/>
        <w:rPr>
          <w:rFonts w:ascii="Bookman Old Style" w:hAnsi="Bookman Old Style"/>
          <w:i/>
          <w:iCs/>
          <w:sz w:val="22"/>
          <w:szCs w:val="22"/>
          <w:lang w:val="es-CO"/>
        </w:rPr>
      </w:pPr>
      <w:r w:rsidRPr="00F10157">
        <w:rPr>
          <w:rFonts w:ascii="Bookman Old Style" w:hAnsi="Bookman Old Style"/>
          <w:i/>
          <w:iCs/>
          <w:sz w:val="22"/>
          <w:szCs w:val="22"/>
          <w:lang w:val="es-CO"/>
        </w:rPr>
        <w:t xml:space="preserve">De otra parte, en el artículo 92 de la Ley 142 de 1994 se establece, entre otros aspectos, que </w:t>
      </w:r>
      <w:r>
        <w:rPr>
          <w:rFonts w:ascii="Bookman Old Style" w:hAnsi="Bookman Old Style"/>
          <w:i/>
          <w:iCs/>
          <w:sz w:val="22"/>
          <w:szCs w:val="22"/>
          <w:lang w:val="es-CO"/>
        </w:rPr>
        <w:t>‘</w:t>
      </w:r>
      <w:r w:rsidRPr="00F10157">
        <w:rPr>
          <w:rFonts w:ascii="Bookman Old Style" w:hAnsi="Bookman Old Style"/>
          <w:i/>
          <w:iCs/>
          <w:sz w:val="22"/>
          <w:szCs w:val="22"/>
          <w:lang w:val="es-CO"/>
        </w:rPr>
        <w:t xml:space="preserve">al definir las fórmulas tarifarias los costos y gastos típicos de operación de las empresas de servicios públicos, las comisiones utilizarán no solo </w:t>
      </w:r>
      <w:r w:rsidRPr="00F10157">
        <w:rPr>
          <w:rFonts w:ascii="Bookman Old Style" w:hAnsi="Bookman Old Style"/>
          <w:i/>
          <w:iCs/>
          <w:sz w:val="22"/>
          <w:szCs w:val="22"/>
          <w:lang w:val="es-CO"/>
        </w:rPr>
        <w:lastRenderedPageBreak/>
        <w:t>la información propia de la empresa, sino la de otras empresas que operen en condiciones similares; pero que sean más eficientes</w:t>
      </w:r>
      <w:r>
        <w:rPr>
          <w:rFonts w:ascii="Bookman Old Style" w:hAnsi="Bookman Old Style"/>
          <w:i/>
          <w:iCs/>
          <w:sz w:val="22"/>
          <w:szCs w:val="22"/>
          <w:lang w:val="es-CO"/>
        </w:rPr>
        <w:t>’</w:t>
      </w:r>
      <w:r w:rsidRPr="00F10157">
        <w:rPr>
          <w:rFonts w:ascii="Bookman Old Style" w:hAnsi="Bookman Old Style"/>
          <w:i/>
          <w:iCs/>
          <w:sz w:val="22"/>
          <w:szCs w:val="22"/>
          <w:lang w:val="es-CO"/>
        </w:rPr>
        <w:t>.</w:t>
      </w:r>
    </w:p>
    <w:p w:rsidR="00F10157" w:rsidRPr="00F10157" w:rsidRDefault="00F10157" w:rsidP="00F10157">
      <w:pPr>
        <w:jc w:val="both"/>
        <w:rPr>
          <w:rFonts w:ascii="Bookman Old Style" w:hAnsi="Bookman Old Style"/>
          <w:i/>
          <w:iCs/>
          <w:sz w:val="22"/>
          <w:szCs w:val="22"/>
          <w:lang w:val="es-CO"/>
        </w:rPr>
      </w:pPr>
    </w:p>
    <w:p w:rsidR="00F10157" w:rsidRDefault="00B379EB" w:rsidP="00F10157">
      <w:pPr>
        <w:jc w:val="both"/>
        <w:rPr>
          <w:rFonts w:ascii="Bookman Old Style" w:hAnsi="Bookman Old Style"/>
          <w:i/>
          <w:iCs/>
          <w:sz w:val="22"/>
          <w:szCs w:val="22"/>
          <w:lang w:val="es-CO"/>
        </w:rPr>
      </w:pPr>
      <w:r>
        <w:rPr>
          <w:rFonts w:ascii="Bookman Old Style" w:hAnsi="Bookman Old Style"/>
          <w:i/>
          <w:iCs/>
          <w:sz w:val="22"/>
          <w:szCs w:val="22"/>
          <w:lang w:val="es-CO"/>
        </w:rPr>
        <w:t>(…)</w:t>
      </w:r>
    </w:p>
    <w:p w:rsidR="00B379EB" w:rsidRPr="00F10157" w:rsidRDefault="00B379EB" w:rsidP="00F10157">
      <w:pPr>
        <w:jc w:val="both"/>
        <w:rPr>
          <w:rFonts w:ascii="Bookman Old Style" w:hAnsi="Bookman Old Style"/>
          <w:i/>
          <w:iCs/>
          <w:sz w:val="22"/>
          <w:szCs w:val="22"/>
          <w:lang w:val="es-CO"/>
        </w:rPr>
      </w:pPr>
    </w:p>
    <w:p w:rsidR="00F10157" w:rsidRPr="00F10157" w:rsidRDefault="00F10157" w:rsidP="00F10157">
      <w:pPr>
        <w:jc w:val="both"/>
        <w:rPr>
          <w:rFonts w:ascii="Bookman Old Style" w:hAnsi="Bookman Old Style"/>
          <w:i/>
          <w:iCs/>
          <w:sz w:val="22"/>
          <w:szCs w:val="22"/>
          <w:lang w:val="es-CO"/>
        </w:rPr>
      </w:pPr>
      <w:r w:rsidRPr="00F10157">
        <w:rPr>
          <w:rFonts w:ascii="Bookman Old Style" w:hAnsi="Bookman Old Style"/>
          <w:i/>
          <w:iCs/>
          <w:sz w:val="22"/>
          <w:szCs w:val="22"/>
          <w:lang w:val="es-CO"/>
        </w:rPr>
        <w:t xml:space="preserve">se debe anotar que la metodología estipula que </w:t>
      </w:r>
      <w:r w:rsidR="00B379EB">
        <w:rPr>
          <w:rFonts w:ascii="Bookman Old Style" w:hAnsi="Bookman Old Style"/>
          <w:i/>
          <w:iCs/>
          <w:sz w:val="22"/>
          <w:szCs w:val="22"/>
          <w:lang w:val="es-CO"/>
        </w:rPr>
        <w:t>‘</w:t>
      </w:r>
      <w:r w:rsidRPr="00F10157">
        <w:rPr>
          <w:rFonts w:ascii="Bookman Old Style" w:hAnsi="Bookman Old Style"/>
          <w:i/>
          <w:iCs/>
          <w:sz w:val="22"/>
          <w:szCs w:val="22"/>
          <w:lang w:val="es-CO"/>
        </w:rPr>
        <w:t>La CREG establecerá el valor eficiente de estos activos a partir de costos eficientes de otros activos comparables, teniendo en cuenta los criterios establecidos en el Anexo 1 de la presente Resolución, u otros criterios de evaluación de que disponga</w:t>
      </w:r>
      <w:r w:rsidR="00B379EB">
        <w:rPr>
          <w:rFonts w:ascii="Bookman Old Style" w:hAnsi="Bookman Old Style"/>
          <w:i/>
          <w:iCs/>
          <w:sz w:val="22"/>
          <w:szCs w:val="22"/>
          <w:lang w:val="es-CO"/>
        </w:rPr>
        <w:t>’</w:t>
      </w:r>
      <w:r w:rsidRPr="00F10157">
        <w:rPr>
          <w:rFonts w:ascii="Bookman Old Style" w:hAnsi="Bookman Old Style"/>
          <w:i/>
          <w:iCs/>
          <w:sz w:val="22"/>
          <w:szCs w:val="22"/>
          <w:lang w:val="es-CO"/>
        </w:rPr>
        <w:t xml:space="preserve">. Cabe anotar que el concepto de eficiencia es uno de los criterios tarifarios establecidos en el artículo 87 de la Ley 142 de 1994. </w:t>
      </w:r>
    </w:p>
    <w:p w:rsidR="00F10157" w:rsidRDefault="00F10157" w:rsidP="00F10157">
      <w:pPr>
        <w:jc w:val="both"/>
        <w:rPr>
          <w:rFonts w:ascii="Bookman Old Style" w:hAnsi="Bookman Old Style"/>
          <w:i/>
          <w:iCs/>
          <w:sz w:val="22"/>
          <w:szCs w:val="22"/>
          <w:lang w:val="es-CO"/>
        </w:rPr>
      </w:pPr>
    </w:p>
    <w:p w:rsidR="00B379EB" w:rsidRDefault="00B379EB" w:rsidP="00F10157">
      <w:pPr>
        <w:jc w:val="both"/>
        <w:rPr>
          <w:rFonts w:ascii="Bookman Old Style" w:hAnsi="Bookman Old Style"/>
          <w:i/>
          <w:iCs/>
          <w:sz w:val="22"/>
          <w:szCs w:val="22"/>
          <w:lang w:val="es-CO"/>
        </w:rPr>
      </w:pPr>
      <w:r>
        <w:rPr>
          <w:rFonts w:ascii="Bookman Old Style" w:hAnsi="Bookman Old Style"/>
          <w:i/>
          <w:iCs/>
          <w:sz w:val="22"/>
          <w:szCs w:val="22"/>
          <w:lang w:val="es-CO"/>
        </w:rPr>
        <w:t>(…)</w:t>
      </w:r>
    </w:p>
    <w:p w:rsidR="00B379EB" w:rsidRPr="00F10157" w:rsidRDefault="00B379EB" w:rsidP="00F10157">
      <w:pPr>
        <w:jc w:val="both"/>
        <w:rPr>
          <w:rFonts w:ascii="Bookman Old Style" w:hAnsi="Bookman Old Style"/>
          <w:i/>
          <w:iCs/>
          <w:sz w:val="22"/>
          <w:szCs w:val="22"/>
          <w:lang w:val="es-CO"/>
        </w:rPr>
      </w:pPr>
    </w:p>
    <w:p w:rsidR="00F10157" w:rsidRPr="00F10157" w:rsidRDefault="00F10157" w:rsidP="00F10157">
      <w:pPr>
        <w:jc w:val="both"/>
        <w:rPr>
          <w:rFonts w:ascii="Bookman Old Style" w:hAnsi="Bookman Old Style"/>
          <w:i/>
          <w:iCs/>
          <w:sz w:val="22"/>
          <w:szCs w:val="22"/>
          <w:lang w:val="es-CO"/>
        </w:rPr>
      </w:pPr>
      <w:r w:rsidRPr="00F10157">
        <w:rPr>
          <w:rFonts w:ascii="Bookman Old Style" w:hAnsi="Bookman Old Style"/>
          <w:i/>
          <w:iCs/>
          <w:sz w:val="22"/>
          <w:szCs w:val="22"/>
          <w:lang w:val="es-CO"/>
        </w:rPr>
        <w:t xml:space="preserve">También es pertinente anotar que los criterios generales para remunerar la actividad de trasporte, establecidos en la Resolución CREG 126 de 2010, corresponden a una metodología de carácter general, impersonal y abstracto. Esta metodología establece un esquema de cargos máximos fijos y variables por distancia para remunerar la inversión, y cargos fijos para remunerar los gastos de administración, operación y mantenimiento (AOM). En el cálculo de estos cargos máximos se utilizan los valores eficientes de inversión y gastos, y la demanda esperada eficiente sobre el respectivo gasoducto o grupo de gasoductos.      </w:t>
      </w:r>
    </w:p>
    <w:p w:rsidR="00F10157" w:rsidRPr="00F10157" w:rsidRDefault="00F10157" w:rsidP="00F10157">
      <w:pPr>
        <w:jc w:val="both"/>
        <w:rPr>
          <w:rFonts w:ascii="Bookman Old Style" w:hAnsi="Bookman Old Style"/>
          <w:i/>
          <w:iCs/>
          <w:sz w:val="22"/>
          <w:szCs w:val="22"/>
          <w:lang w:val="es-CO"/>
        </w:rPr>
      </w:pPr>
    </w:p>
    <w:p w:rsidR="00F10157" w:rsidRPr="00F10157" w:rsidRDefault="00F10157" w:rsidP="009139A6">
      <w:pPr>
        <w:jc w:val="both"/>
        <w:rPr>
          <w:rFonts w:ascii="Bookman Old Style" w:hAnsi="Bookman Old Style"/>
          <w:i/>
          <w:iCs/>
          <w:sz w:val="22"/>
          <w:szCs w:val="22"/>
          <w:lang w:val="es-CO"/>
        </w:rPr>
      </w:pPr>
      <w:r w:rsidRPr="00F10157">
        <w:rPr>
          <w:rFonts w:ascii="Bookman Old Style" w:hAnsi="Bookman Old Style"/>
          <w:i/>
          <w:iCs/>
          <w:sz w:val="22"/>
          <w:szCs w:val="22"/>
          <w:lang w:val="es-CO"/>
        </w:rPr>
        <w:t>Lo anterior corresponde a una metodología de incentivos, en la cual el transportador se puede considerar como un agente activo en la búsqueda de eficiencia (e.g. reducción de costos y aumento de demanda). Este tipo de metodologías tienen asociado un mayor riesgo para el agente si se compara con metodologías de ingreso regulado o tasa de retorno. Consecuentemente este mayor riesgo se remunera a través una mayor tasa de costo de capital</w:t>
      </w:r>
      <w:r w:rsidRPr="00B379EB">
        <w:rPr>
          <w:rFonts w:ascii="Bookman Old Style" w:hAnsi="Bookman Old Style"/>
          <w:i/>
          <w:iCs/>
          <w:sz w:val="22"/>
          <w:szCs w:val="22"/>
          <w:vertAlign w:val="superscript"/>
          <w:lang w:val="es-CO"/>
        </w:rPr>
        <w:footnoteReference w:id="9"/>
      </w:r>
      <w:r w:rsidRPr="00F10157">
        <w:rPr>
          <w:rFonts w:ascii="Bookman Old Style" w:hAnsi="Bookman Old Style"/>
          <w:i/>
          <w:iCs/>
          <w:sz w:val="22"/>
          <w:szCs w:val="22"/>
          <w:lang w:val="es-CO"/>
        </w:rPr>
        <w:t xml:space="preserve">.     </w:t>
      </w:r>
    </w:p>
    <w:p w:rsidR="00F10157" w:rsidRDefault="00F10157" w:rsidP="00F10157">
      <w:pPr>
        <w:jc w:val="both"/>
        <w:rPr>
          <w:rFonts w:ascii="Bookman Old Style" w:hAnsi="Bookman Old Style"/>
        </w:rPr>
      </w:pPr>
      <w:r w:rsidRPr="00F10157">
        <w:rPr>
          <w:rFonts w:ascii="Bookman Old Style" w:hAnsi="Bookman Old Style"/>
          <w:i/>
          <w:iCs/>
          <w:sz w:val="22"/>
          <w:szCs w:val="22"/>
          <w:lang w:val="es-CO"/>
        </w:rPr>
        <w:t>De conformidad con lo anterior le corresponde a la CREG establecer el valor eficiente de las inversiones, para lo cual, de conformidad con la metodología, se utilizan métodos de comparación. Los valores obtenidos por el transportador en sus procesos de compra y contratación pueden resultar superiores o inferiores a aquellos determinados por el regulador. Esto hace parte del riesgo inherente a la metodología de incentivos</w:t>
      </w:r>
      <w:r w:rsidR="00B379EB">
        <w:rPr>
          <w:rFonts w:ascii="Bookman Old Style" w:hAnsi="Bookman Old Style"/>
          <w:i/>
          <w:iCs/>
          <w:sz w:val="22"/>
          <w:szCs w:val="22"/>
          <w:lang w:val="es-CO"/>
        </w:rPr>
        <w:t>”</w:t>
      </w:r>
      <w:r w:rsidRPr="00F10157">
        <w:rPr>
          <w:rFonts w:ascii="Bookman Old Style" w:hAnsi="Bookman Old Style"/>
          <w:i/>
          <w:iCs/>
          <w:sz w:val="22"/>
          <w:szCs w:val="22"/>
          <w:lang w:val="es-CO"/>
        </w:rPr>
        <w:t>.</w:t>
      </w:r>
    </w:p>
    <w:p w:rsidR="00E119DD" w:rsidRPr="006875CB" w:rsidRDefault="00E119DD" w:rsidP="00FF7B95">
      <w:pPr>
        <w:jc w:val="both"/>
        <w:rPr>
          <w:rFonts w:ascii="Bookman Old Style" w:hAnsi="Bookman Old Style"/>
        </w:rPr>
      </w:pPr>
    </w:p>
    <w:p w:rsidR="0074250E" w:rsidRPr="006875CB" w:rsidRDefault="0074250E" w:rsidP="0074250E">
      <w:pPr>
        <w:ind w:left="0"/>
        <w:jc w:val="both"/>
        <w:rPr>
          <w:rFonts w:ascii="Bookman Old Style" w:eastAsia="Verdana" w:hAnsi="Bookman Old Style"/>
          <w:bCs/>
        </w:rPr>
      </w:pPr>
      <w:r w:rsidRPr="006875CB">
        <w:rPr>
          <w:rFonts w:ascii="Bookman Old Style" w:hAnsi="Bookman Old Style"/>
        </w:rPr>
        <w:t xml:space="preserve">Por otro lado, </w:t>
      </w:r>
      <w:r w:rsidRPr="006875CB">
        <w:rPr>
          <w:rFonts w:ascii="Bookman Old Style" w:eastAsia="Verdana" w:hAnsi="Bookman Old Style"/>
          <w:bCs/>
        </w:rPr>
        <w:t xml:space="preserve">la CREG ya se ha se pronunciado en el pasado en este sentido en situaciones análogas a la que ahora reclama TGI. En la Resolución CREG 132 de </w:t>
      </w:r>
      <w:r w:rsidR="00490DEF">
        <w:rPr>
          <w:rFonts w:ascii="Bookman Old Style" w:eastAsia="Verdana" w:hAnsi="Bookman Old Style"/>
          <w:bCs/>
        </w:rPr>
        <w:t>2008</w:t>
      </w:r>
      <w:r w:rsidRPr="006875CB">
        <w:rPr>
          <w:rFonts w:ascii="Bookman Old Style" w:eastAsia="Verdana" w:hAnsi="Bookman Old Style"/>
          <w:bCs/>
        </w:rPr>
        <w:t>, mediante la cual se resolvió un recurso de reposición interpuesto por Codensa S.A E.S.P., mediante el cual se pretendía la actualización del costo anual de los activos de conexión al STN y el costo anual por el uso de los activos del nivel de tensión 4 por la entrada en operación de la subestación Bacatá y los activos asociados con los costos reales incurridos por la empresa producto de una convocatoria pública internacional, la CREG expuso, entre otros, el siguiente argumento para negar la pretensión:</w:t>
      </w:r>
    </w:p>
    <w:p w:rsidR="0074250E" w:rsidRPr="006875CB" w:rsidRDefault="0074250E" w:rsidP="0074250E">
      <w:pPr>
        <w:tabs>
          <w:tab w:val="left" w:pos="-720"/>
        </w:tabs>
        <w:suppressAutoHyphens/>
        <w:ind w:left="0"/>
        <w:jc w:val="both"/>
        <w:rPr>
          <w:rFonts w:ascii="Bookman Old Style" w:hAnsi="Bookman Old Style"/>
          <w:i/>
        </w:rPr>
      </w:pPr>
    </w:p>
    <w:p w:rsidR="0074250E" w:rsidRPr="00C623F9" w:rsidRDefault="0074250E" w:rsidP="00C623F9">
      <w:pPr>
        <w:tabs>
          <w:tab w:val="left" w:pos="-720"/>
        </w:tabs>
        <w:suppressAutoHyphens/>
        <w:jc w:val="both"/>
        <w:rPr>
          <w:rFonts w:ascii="Bookman Old Style" w:hAnsi="Bookman Old Style"/>
          <w:i/>
          <w:sz w:val="22"/>
          <w:szCs w:val="22"/>
        </w:rPr>
      </w:pPr>
      <w:r w:rsidRPr="00C623F9">
        <w:rPr>
          <w:rFonts w:ascii="Bookman Old Style" w:hAnsi="Bookman Old Style"/>
          <w:i/>
          <w:sz w:val="22"/>
          <w:szCs w:val="22"/>
        </w:rPr>
        <w:t xml:space="preserve">“Es claro entonces que la aplicación de los costos de reposición a nuevo establecidos en el Anexo 3 de la Resolución CREG – 082 de 2002, no está sometida a la discrecional elección del OR. No podría ser de otra forma, porque </w:t>
      </w:r>
      <w:r w:rsidRPr="00C623F9">
        <w:rPr>
          <w:rFonts w:ascii="Bookman Old Style" w:hAnsi="Bookman Old Style"/>
          <w:b/>
          <w:i/>
          <w:sz w:val="22"/>
          <w:szCs w:val="22"/>
          <w:u w:val="single"/>
        </w:rPr>
        <w:t xml:space="preserve">la metodología tarifaria contenida en esta resolución consulta los criterios </w:t>
      </w:r>
      <w:r w:rsidRPr="00C623F9">
        <w:rPr>
          <w:rFonts w:ascii="Bookman Old Style" w:hAnsi="Bookman Old Style"/>
          <w:b/>
          <w:i/>
          <w:sz w:val="22"/>
          <w:szCs w:val="22"/>
          <w:u w:val="single"/>
        </w:rPr>
        <w:lastRenderedPageBreak/>
        <w:t>tarifarios imperativos establecidos por la Leyes 142 y 143 de 1994, que pugnan con la aspiración del agente de que se le reconozcan los costos reales en que incurrió y no los costos eficientes determinados por el regulador</w:t>
      </w:r>
      <w:r w:rsidRPr="00C623F9">
        <w:rPr>
          <w:rFonts w:ascii="Bookman Old Style" w:hAnsi="Bookman Old Style"/>
          <w:i/>
          <w:sz w:val="22"/>
          <w:szCs w:val="22"/>
        </w:rPr>
        <w:t>”</w:t>
      </w:r>
      <w:r w:rsidR="0026544D">
        <w:rPr>
          <w:rFonts w:ascii="Bookman Old Style" w:hAnsi="Bookman Old Style"/>
          <w:i/>
          <w:sz w:val="22"/>
          <w:szCs w:val="22"/>
        </w:rPr>
        <w:t>.</w:t>
      </w:r>
    </w:p>
    <w:p w:rsidR="0074250E" w:rsidRPr="00C623F9" w:rsidRDefault="0074250E" w:rsidP="00C623F9">
      <w:pPr>
        <w:tabs>
          <w:tab w:val="left" w:pos="-720"/>
        </w:tabs>
        <w:suppressAutoHyphens/>
        <w:jc w:val="both"/>
        <w:rPr>
          <w:rFonts w:ascii="Bookman Old Style" w:hAnsi="Bookman Old Style"/>
          <w:i/>
          <w:sz w:val="22"/>
          <w:szCs w:val="22"/>
        </w:rPr>
      </w:pPr>
    </w:p>
    <w:p w:rsidR="0074250E" w:rsidRPr="00C623F9" w:rsidRDefault="0074250E" w:rsidP="00C623F9">
      <w:pPr>
        <w:tabs>
          <w:tab w:val="left" w:pos="-720"/>
        </w:tabs>
        <w:suppressAutoHyphens/>
        <w:jc w:val="both"/>
        <w:rPr>
          <w:rFonts w:ascii="Bookman Old Style" w:hAnsi="Bookman Old Style"/>
          <w:i/>
          <w:sz w:val="22"/>
          <w:szCs w:val="22"/>
        </w:rPr>
      </w:pPr>
      <w:r w:rsidRPr="00C623F9">
        <w:rPr>
          <w:rFonts w:ascii="Bookman Old Style" w:hAnsi="Bookman Old Style"/>
          <w:i/>
          <w:sz w:val="22"/>
          <w:szCs w:val="22"/>
        </w:rPr>
        <w:t xml:space="preserve">“Debe recordarse en este sentido que </w:t>
      </w:r>
      <w:r w:rsidRPr="00C623F9">
        <w:rPr>
          <w:rFonts w:ascii="Bookman Old Style" w:hAnsi="Bookman Old Style"/>
          <w:b/>
          <w:i/>
          <w:sz w:val="22"/>
          <w:szCs w:val="22"/>
          <w:u w:val="single"/>
        </w:rPr>
        <w:t>la función del regulador no se restringe a sumar los costos de una empresa para proceder a reconocérselos</w:t>
      </w:r>
      <w:r w:rsidRPr="00C623F9">
        <w:rPr>
          <w:rFonts w:ascii="Bookman Old Style" w:hAnsi="Bookman Old Style"/>
          <w:i/>
          <w:sz w:val="22"/>
          <w:szCs w:val="22"/>
        </w:rPr>
        <w:t xml:space="preserve">, como pretende el impugnante. Por el contrario, las leyes 142 y 143 de 1994, fijaron, entre otros criterios de obligatorio cumplimiento, los siguientes: </w:t>
      </w:r>
      <w:r w:rsidRPr="00C623F9">
        <w:rPr>
          <w:rFonts w:ascii="Bookman Old Style" w:hAnsi="Bookman Old Style"/>
          <w:b/>
          <w:i/>
          <w:sz w:val="22"/>
          <w:szCs w:val="22"/>
        </w:rPr>
        <w:t>Se debe procurar que las tarifas se aproximen a lo que serían los precios de un mercado competitivo (L.142 Art. 87.1 y 143 Art. 44); que a los usuarios no se le trasladen costos de gestiones ineficientes (L.142 Arts. 87.1 y 90 y 143 Art.39); que al definir los costos y gastos típicos de operación las comisiones utilizarán no solo la información propia de la empresa, sino la de otras empresas que operen en condiciones similares, pero que sean más eficientes (L.142 Art. 92); que dado el deber legal de lograr un adecuado equilibrio entre los principios de eficiencia y suficiencia financiera, no se permitirán alzas destinadas a recuperar pérdidas patrimoniales (L.142 Art. 92); y que las empresas no pueden extraer beneficios de posiciones dominantes o de monopolio (L.142 Art. 87.1 y 90)</w:t>
      </w:r>
      <w:r w:rsidRPr="00C623F9">
        <w:rPr>
          <w:rFonts w:ascii="Bookman Old Style" w:hAnsi="Bookman Old Style"/>
          <w:i/>
          <w:sz w:val="22"/>
          <w:szCs w:val="22"/>
        </w:rPr>
        <w:t>”</w:t>
      </w:r>
      <w:r w:rsidR="0026544D">
        <w:rPr>
          <w:rFonts w:ascii="Bookman Old Style" w:hAnsi="Bookman Old Style"/>
          <w:i/>
          <w:sz w:val="22"/>
          <w:szCs w:val="22"/>
        </w:rPr>
        <w:t>.</w:t>
      </w:r>
    </w:p>
    <w:p w:rsidR="0074250E" w:rsidRPr="00C623F9" w:rsidRDefault="0074250E" w:rsidP="00C623F9">
      <w:pPr>
        <w:jc w:val="both"/>
        <w:rPr>
          <w:rFonts w:ascii="Bookman Old Style" w:hAnsi="Bookman Old Style"/>
          <w:i/>
          <w:sz w:val="22"/>
          <w:szCs w:val="22"/>
        </w:rPr>
      </w:pPr>
    </w:p>
    <w:p w:rsidR="0074250E" w:rsidRPr="00C623F9" w:rsidRDefault="0074250E" w:rsidP="00C623F9">
      <w:pPr>
        <w:jc w:val="both"/>
        <w:rPr>
          <w:rFonts w:ascii="Bookman Old Style" w:hAnsi="Bookman Old Style" w:cs="Arial"/>
          <w:sz w:val="22"/>
          <w:szCs w:val="22"/>
        </w:rPr>
      </w:pPr>
      <w:r w:rsidRPr="00C623F9">
        <w:rPr>
          <w:rFonts w:ascii="Bookman Old Style" w:hAnsi="Bookman Old Style"/>
          <w:i/>
          <w:sz w:val="22"/>
          <w:szCs w:val="22"/>
        </w:rPr>
        <w:t xml:space="preserve">“De acuerdo con estas normas, se concluye que la ley no permite remunerar a los distribuidores cualquier costo que pretendan cobrar por su servicio, sino que debe tratarse de costos regidos, entre otros, por los principios legales de eficiencia económica y suficiencia financiera como son los previstos en el Anexo 3 de la Resolución CREG – 082 de 2002 y aplicados en la resolución recurrida” </w:t>
      </w:r>
      <w:r w:rsidRPr="00C623F9">
        <w:rPr>
          <w:rFonts w:ascii="Bookman Old Style" w:hAnsi="Bookman Old Style" w:cs="Arial"/>
          <w:color w:val="000000"/>
          <w:sz w:val="22"/>
          <w:szCs w:val="22"/>
        </w:rPr>
        <w:t>(Subrayas y negrillas propias)</w:t>
      </w:r>
    </w:p>
    <w:p w:rsidR="0074250E" w:rsidRPr="006875CB" w:rsidRDefault="0074250E" w:rsidP="0074250E">
      <w:pPr>
        <w:ind w:left="0"/>
        <w:jc w:val="both"/>
        <w:rPr>
          <w:rFonts w:ascii="Bookman Old Style" w:hAnsi="Bookman Old Style" w:cs="Arial"/>
          <w:bCs/>
          <w:spacing w:val="-3"/>
        </w:rPr>
      </w:pPr>
    </w:p>
    <w:p w:rsidR="0074250E" w:rsidRPr="006875CB" w:rsidRDefault="0074250E" w:rsidP="0074250E">
      <w:pPr>
        <w:ind w:left="0"/>
        <w:jc w:val="both"/>
        <w:rPr>
          <w:rFonts w:ascii="Bookman Old Style" w:hAnsi="Bookman Old Style" w:cs="Arial"/>
          <w:bCs/>
          <w:spacing w:val="-3"/>
        </w:rPr>
      </w:pPr>
      <w:r w:rsidRPr="006875CB">
        <w:rPr>
          <w:rFonts w:ascii="Bookman Old Style" w:hAnsi="Bookman Old Style" w:cs="Arial"/>
          <w:bCs/>
          <w:spacing w:val="-3"/>
        </w:rPr>
        <w:t>En igual sentido se pronunció la Comisión en la Resolución CREG 087 de 2004, mediante la cual se resolvió un recurso de reposición interpuesto por Empresas Públicas de Medellín E.S.P. contra la Resolución CREG 022 de 2004, específicamente contra sus artículos 5 y 6, en los cuales se señaló el cargo promedio de distribución de gas combustible por red aplicable al mercado relevante atendido por Empresas Públicas de Medellín E.S.P. En aquella oportunidad esa empresa solicitaba modificar la valoración de los activos inherentes a la operación, considerando para ellos los precios reales en que incurrió surgidos de los procesos licitatorios contractuales abiertos a nivel nacional para la construcción de la red, por ser estos procesos, según la recurrente, garantía para obtener mejores precios:</w:t>
      </w:r>
    </w:p>
    <w:p w:rsidR="0074250E" w:rsidRPr="006875CB" w:rsidRDefault="0074250E" w:rsidP="0074250E">
      <w:pPr>
        <w:pStyle w:val="Sangra3detindependiente"/>
        <w:spacing w:after="0"/>
        <w:ind w:left="0"/>
        <w:jc w:val="both"/>
        <w:rPr>
          <w:rFonts w:ascii="Bookman Old Style" w:hAnsi="Bookman Old Style"/>
          <w:i/>
          <w:iCs/>
          <w:sz w:val="24"/>
          <w:szCs w:val="24"/>
        </w:rPr>
      </w:pPr>
    </w:p>
    <w:p w:rsidR="0074250E" w:rsidRPr="00C623F9" w:rsidRDefault="0074250E" w:rsidP="00C623F9">
      <w:pPr>
        <w:pStyle w:val="Sangra3detindependiente"/>
        <w:spacing w:after="0"/>
        <w:ind w:left="567"/>
        <w:jc w:val="both"/>
        <w:rPr>
          <w:rFonts w:ascii="Bookman Old Style" w:hAnsi="Bookman Old Style"/>
          <w:i/>
          <w:iCs/>
          <w:sz w:val="22"/>
          <w:szCs w:val="22"/>
        </w:rPr>
      </w:pPr>
      <w:r w:rsidRPr="00C623F9">
        <w:rPr>
          <w:rFonts w:ascii="Bookman Old Style" w:hAnsi="Bookman Old Style"/>
          <w:i/>
          <w:iCs/>
          <w:sz w:val="22"/>
          <w:szCs w:val="22"/>
        </w:rPr>
        <w:t xml:space="preserve">“Como primera medida es importante resaltar que </w:t>
      </w:r>
      <w:r w:rsidRPr="00C623F9">
        <w:rPr>
          <w:rFonts w:ascii="Bookman Old Style" w:hAnsi="Bookman Old Style"/>
          <w:b/>
          <w:i/>
          <w:iCs/>
          <w:sz w:val="22"/>
          <w:szCs w:val="22"/>
          <w:u w:val="single"/>
        </w:rPr>
        <w:t xml:space="preserve">la metodología para valorar la inversión que la CREG ha adoptado a través de la Resolución CREG 11 de 2003, no pretende reconocer los costos </w:t>
      </w:r>
      <w:r w:rsidR="0026544D">
        <w:rPr>
          <w:rFonts w:ascii="Bookman Old Style" w:hAnsi="Bookman Old Style"/>
          <w:b/>
          <w:i/>
          <w:iCs/>
          <w:sz w:val="22"/>
          <w:szCs w:val="22"/>
          <w:u w:val="single"/>
        </w:rPr>
        <w:t>‘</w:t>
      </w:r>
      <w:r w:rsidRPr="00C623F9">
        <w:rPr>
          <w:rFonts w:ascii="Bookman Old Style" w:hAnsi="Bookman Old Style"/>
          <w:b/>
          <w:i/>
          <w:iCs/>
          <w:sz w:val="22"/>
          <w:szCs w:val="22"/>
          <w:u w:val="single"/>
        </w:rPr>
        <w:t>reales</w:t>
      </w:r>
      <w:r w:rsidR="0026544D">
        <w:rPr>
          <w:rFonts w:ascii="Bookman Old Style" w:hAnsi="Bookman Old Style"/>
          <w:b/>
          <w:i/>
          <w:iCs/>
          <w:sz w:val="22"/>
          <w:szCs w:val="22"/>
          <w:u w:val="single"/>
        </w:rPr>
        <w:t>’</w:t>
      </w:r>
      <w:r w:rsidRPr="00C623F9">
        <w:rPr>
          <w:rFonts w:ascii="Bookman Old Style" w:hAnsi="Bookman Old Style"/>
          <w:i/>
          <w:iCs/>
          <w:sz w:val="22"/>
          <w:szCs w:val="22"/>
        </w:rPr>
        <w:t xml:space="preserve"> que la empresa ha hundido en inversión y lo que aspira en AO&amp;M. </w:t>
      </w:r>
      <w:r w:rsidRPr="00C623F9">
        <w:rPr>
          <w:rFonts w:ascii="Bookman Old Style" w:hAnsi="Bookman Old Style"/>
          <w:b/>
          <w:i/>
          <w:iCs/>
          <w:sz w:val="22"/>
          <w:szCs w:val="22"/>
          <w:u w:val="single"/>
        </w:rPr>
        <w:t>Por otro lado, si la intención de la CREG fuese reconocer ese valor no se adelantarían metodologías de valoración de inversión y AO&amp;M sino que simplemente se le solicitaría a la empresa un reporte de este valor para incluirlo de manera pura y simple en la Resolución individual</w:t>
      </w:r>
      <w:r w:rsidRPr="00C623F9">
        <w:rPr>
          <w:rFonts w:ascii="Bookman Old Style" w:hAnsi="Bookman Old Style"/>
          <w:i/>
          <w:iCs/>
          <w:sz w:val="22"/>
          <w:szCs w:val="22"/>
        </w:rPr>
        <w:t xml:space="preserve">. </w:t>
      </w:r>
      <w:r w:rsidRPr="00C623F9">
        <w:rPr>
          <w:rFonts w:ascii="Bookman Old Style" w:hAnsi="Bookman Old Style"/>
          <w:b/>
          <w:i/>
          <w:iCs/>
          <w:sz w:val="22"/>
          <w:szCs w:val="22"/>
          <w:u w:val="single"/>
        </w:rPr>
        <w:t>Sin embargo la ley le ordena a la CREG fijar las tarifas con criterios de eficiencia, pues el propósito de estas Resoluciones, en términos generales, es conjugar los derechos de todos los sectores con interés en los procesos tarifarios, esto es, la empresa y los usuarios.</w:t>
      </w:r>
      <w:r w:rsidRPr="00C623F9">
        <w:rPr>
          <w:rFonts w:ascii="Bookman Old Style" w:hAnsi="Bookman Old Style"/>
          <w:i/>
          <w:iCs/>
          <w:sz w:val="22"/>
          <w:szCs w:val="22"/>
        </w:rPr>
        <w:t xml:space="preserve"> Así las cosas, por un lado se encuentra la aspiración legítima de la empresa para que se le reconozcan sus inversiones y los costos asociados a la </w:t>
      </w:r>
      <w:r w:rsidRPr="00C623F9">
        <w:rPr>
          <w:rFonts w:ascii="Bookman Old Style" w:hAnsi="Bookman Old Style"/>
          <w:i/>
          <w:iCs/>
          <w:sz w:val="22"/>
          <w:szCs w:val="22"/>
        </w:rPr>
        <w:lastRenderedPageBreak/>
        <w:t xml:space="preserve">misma, y con mayor razón, cuando tales inversiones, según se afirma en los documentos que reposan en el expediente, se realizaron a partir de procesos que buscaban lograr los mejores costos, y por otro lado, se encuentra la posición del usuario que busca que se definan unas tarifas adecuadas. En consecuencia, el objetivo tarifario es lograr que con la eficiencia en la valoración de la inversión y del AO&amp;M se equilibren estas posturas y de esa manera la empresa reciba lo que eficientemente le corresponde por su actividad y el usuario que desee el servicio se vea avocado a sufragarlo. </w:t>
      </w:r>
    </w:p>
    <w:p w:rsidR="0074250E" w:rsidRPr="00C623F9" w:rsidRDefault="0074250E" w:rsidP="00C623F9">
      <w:pPr>
        <w:pStyle w:val="Sangra3detindependiente"/>
        <w:spacing w:after="0"/>
        <w:ind w:left="567"/>
        <w:jc w:val="both"/>
        <w:rPr>
          <w:rFonts w:ascii="Bookman Old Style" w:hAnsi="Bookman Old Style"/>
          <w:b/>
          <w:i/>
          <w:iCs/>
          <w:sz w:val="22"/>
          <w:szCs w:val="22"/>
          <w:u w:val="single"/>
        </w:rPr>
      </w:pPr>
    </w:p>
    <w:p w:rsidR="0074250E" w:rsidRPr="00C623F9" w:rsidRDefault="0074250E" w:rsidP="00C623F9">
      <w:pPr>
        <w:pStyle w:val="Sangra3detindependiente"/>
        <w:spacing w:after="0"/>
        <w:ind w:left="567"/>
        <w:jc w:val="both"/>
        <w:rPr>
          <w:rFonts w:ascii="Bookman Old Style" w:hAnsi="Bookman Old Style"/>
          <w:i/>
          <w:iCs/>
          <w:sz w:val="22"/>
          <w:szCs w:val="22"/>
        </w:rPr>
      </w:pPr>
      <w:r w:rsidRPr="00C623F9">
        <w:rPr>
          <w:rFonts w:ascii="Bookman Old Style" w:hAnsi="Bookman Old Style"/>
          <w:b/>
          <w:i/>
          <w:iCs/>
          <w:sz w:val="22"/>
          <w:szCs w:val="22"/>
          <w:u w:val="single"/>
        </w:rPr>
        <w:t xml:space="preserve">Nótese como la idea central del proceso tarifario no es reconocer un costo </w:t>
      </w:r>
      <w:r w:rsidR="00F10157">
        <w:rPr>
          <w:rFonts w:ascii="Bookman Old Style" w:hAnsi="Bookman Old Style"/>
          <w:b/>
          <w:i/>
          <w:iCs/>
          <w:sz w:val="22"/>
          <w:szCs w:val="22"/>
          <w:u w:val="single"/>
        </w:rPr>
        <w:t>‘</w:t>
      </w:r>
      <w:r w:rsidRPr="00C623F9">
        <w:rPr>
          <w:rFonts w:ascii="Bookman Old Style" w:hAnsi="Bookman Old Style"/>
          <w:b/>
          <w:i/>
          <w:iCs/>
          <w:sz w:val="22"/>
          <w:szCs w:val="22"/>
          <w:u w:val="single"/>
        </w:rPr>
        <w:t>real</w:t>
      </w:r>
      <w:r w:rsidR="00F10157">
        <w:rPr>
          <w:rFonts w:ascii="Bookman Old Style" w:hAnsi="Bookman Old Style"/>
          <w:b/>
          <w:i/>
          <w:iCs/>
          <w:sz w:val="22"/>
          <w:szCs w:val="22"/>
          <w:u w:val="single"/>
        </w:rPr>
        <w:t>’</w:t>
      </w:r>
      <w:r w:rsidRPr="00C623F9">
        <w:rPr>
          <w:rFonts w:ascii="Bookman Old Style" w:hAnsi="Bookman Old Style"/>
          <w:b/>
          <w:i/>
          <w:iCs/>
          <w:sz w:val="22"/>
          <w:szCs w:val="22"/>
          <w:u w:val="single"/>
        </w:rPr>
        <w:t xml:space="preserve"> sino uno eficiente para todas las partes.</w:t>
      </w:r>
      <w:r w:rsidRPr="00C623F9">
        <w:rPr>
          <w:rFonts w:ascii="Bookman Old Style" w:hAnsi="Bookman Old Style"/>
          <w:i/>
          <w:iCs/>
          <w:sz w:val="22"/>
          <w:szCs w:val="22"/>
        </w:rPr>
        <w:t xml:space="preserve"> De esta manera, si algunos costos </w:t>
      </w:r>
      <w:r w:rsidR="00F10157">
        <w:rPr>
          <w:rFonts w:ascii="Bookman Old Style" w:hAnsi="Bookman Old Style"/>
          <w:i/>
          <w:iCs/>
          <w:sz w:val="22"/>
          <w:szCs w:val="22"/>
        </w:rPr>
        <w:t>‘</w:t>
      </w:r>
      <w:r w:rsidRPr="00C623F9">
        <w:rPr>
          <w:rFonts w:ascii="Bookman Old Style" w:hAnsi="Bookman Old Style"/>
          <w:i/>
          <w:iCs/>
          <w:sz w:val="22"/>
          <w:szCs w:val="22"/>
        </w:rPr>
        <w:t>reales</w:t>
      </w:r>
      <w:r w:rsidR="00F10157">
        <w:rPr>
          <w:rFonts w:ascii="Bookman Old Style" w:hAnsi="Bookman Old Style"/>
          <w:i/>
          <w:iCs/>
          <w:sz w:val="22"/>
          <w:szCs w:val="22"/>
        </w:rPr>
        <w:t>’</w:t>
      </w:r>
      <w:r w:rsidRPr="00C623F9">
        <w:rPr>
          <w:rFonts w:ascii="Bookman Old Style" w:hAnsi="Bookman Old Style"/>
          <w:i/>
          <w:iCs/>
          <w:sz w:val="22"/>
          <w:szCs w:val="22"/>
        </w:rPr>
        <w:t xml:space="preserve"> son calificados como ineficientes no es posible reconocerlos vía tarifas, y en el mismo sentido, la tarifa que resulte debe ser asumida por el usuario aún si la considerada muy alta. Se recuerda que la Ley 142 de 1994, en su Artículo 87.1 en virtud de la eficiencia económica prohíbe trasladar vía tarifa los costos de gestión ineficiente. </w:t>
      </w:r>
    </w:p>
    <w:p w:rsidR="0074250E" w:rsidRPr="00C623F9" w:rsidRDefault="0074250E" w:rsidP="00C623F9">
      <w:pPr>
        <w:pStyle w:val="Encabezado"/>
        <w:jc w:val="both"/>
        <w:rPr>
          <w:rFonts w:ascii="Bookman Old Style" w:hAnsi="Bookman Old Style" w:cs="Arial"/>
          <w:iCs/>
          <w:sz w:val="22"/>
          <w:szCs w:val="22"/>
          <w:lang w:val="es-ES_tradnl"/>
        </w:rPr>
      </w:pPr>
    </w:p>
    <w:p w:rsidR="0074250E" w:rsidRPr="00C623F9" w:rsidRDefault="0074250E" w:rsidP="00C623F9">
      <w:pPr>
        <w:pStyle w:val="Encabezado"/>
        <w:jc w:val="both"/>
        <w:rPr>
          <w:rFonts w:ascii="Bookman Old Style" w:hAnsi="Bookman Old Style" w:cs="Arial"/>
          <w:iCs/>
          <w:sz w:val="22"/>
          <w:szCs w:val="22"/>
          <w:lang w:val="es-ES_tradnl"/>
        </w:rPr>
      </w:pPr>
      <w:r w:rsidRPr="00C623F9">
        <w:rPr>
          <w:rFonts w:ascii="Bookman Old Style" w:hAnsi="Bookman Old Style" w:cs="Arial"/>
          <w:i/>
          <w:iCs/>
          <w:sz w:val="22"/>
          <w:szCs w:val="22"/>
          <w:lang w:val="es-ES_tradnl"/>
        </w:rPr>
        <w:t xml:space="preserve">(…)” </w:t>
      </w:r>
      <w:r w:rsidRPr="00C623F9">
        <w:rPr>
          <w:rFonts w:ascii="Bookman Old Style" w:hAnsi="Bookman Old Style" w:cs="Arial"/>
          <w:color w:val="000000"/>
          <w:sz w:val="22"/>
          <w:szCs w:val="22"/>
        </w:rPr>
        <w:t>(Subrayas y negrillas propias)</w:t>
      </w:r>
    </w:p>
    <w:p w:rsidR="00F10157" w:rsidRDefault="00F10157" w:rsidP="00A65EA2">
      <w:pPr>
        <w:ind w:left="0"/>
        <w:jc w:val="both"/>
        <w:rPr>
          <w:rFonts w:ascii="Bookman Old Style" w:hAnsi="Bookman Old Style"/>
        </w:rPr>
      </w:pPr>
    </w:p>
    <w:p w:rsidR="00FB0478" w:rsidRDefault="00A65EA2" w:rsidP="001148DF">
      <w:pPr>
        <w:ind w:left="0"/>
        <w:jc w:val="both"/>
        <w:rPr>
          <w:rFonts w:ascii="Bookman Old Style" w:hAnsi="Bookman Old Style"/>
        </w:rPr>
      </w:pPr>
      <w:r w:rsidRPr="006875CB">
        <w:rPr>
          <w:rFonts w:ascii="Bookman Old Style" w:hAnsi="Bookman Old Style"/>
        </w:rPr>
        <w:t>Se reitera que</w:t>
      </w:r>
      <w:r w:rsidR="00FB0478">
        <w:rPr>
          <w:rFonts w:ascii="Bookman Old Style" w:hAnsi="Bookman Old Style"/>
        </w:rPr>
        <w:t xml:space="preserve">: </w:t>
      </w:r>
    </w:p>
    <w:p w:rsidR="00FB0478" w:rsidRPr="00FB0478" w:rsidRDefault="00FB0478" w:rsidP="001148DF">
      <w:pPr>
        <w:ind w:left="0"/>
        <w:jc w:val="both"/>
        <w:rPr>
          <w:rFonts w:ascii="Bookman Old Style" w:hAnsi="Bookman Old Style"/>
        </w:rPr>
      </w:pPr>
    </w:p>
    <w:p w:rsidR="00F71742" w:rsidRDefault="00FB0478" w:rsidP="00F71742">
      <w:pPr>
        <w:pStyle w:val="Prrafodelista"/>
        <w:numPr>
          <w:ilvl w:val="0"/>
          <w:numId w:val="34"/>
        </w:numPr>
        <w:ind w:left="426" w:hanging="426"/>
        <w:jc w:val="both"/>
        <w:rPr>
          <w:rFonts w:ascii="Bookman Old Style" w:hAnsi="Bookman Old Style"/>
          <w:sz w:val="24"/>
          <w:szCs w:val="24"/>
        </w:rPr>
      </w:pPr>
      <w:r w:rsidRPr="00FB0478">
        <w:rPr>
          <w:rFonts w:ascii="Bookman Old Style" w:hAnsi="Bookman Old Style"/>
          <w:sz w:val="24"/>
          <w:szCs w:val="24"/>
        </w:rPr>
        <w:t>L</w:t>
      </w:r>
      <w:r w:rsidR="00A65EA2" w:rsidRPr="00FB0478">
        <w:rPr>
          <w:rFonts w:ascii="Bookman Old Style" w:hAnsi="Bookman Old Style"/>
          <w:sz w:val="24"/>
          <w:szCs w:val="24"/>
        </w:rPr>
        <w:t xml:space="preserve">a forma en que la CREG estimó el costo eficiente para el caso del sistema regional de transporte de gas natural Boyacá Central se encuentra claramente explicado en el Documento CREG 082 de 2012. Las variables que se enumeran en </w:t>
      </w:r>
      <w:r w:rsidR="00262E20" w:rsidRPr="00FB0478">
        <w:rPr>
          <w:rFonts w:ascii="Bookman Old Style" w:hAnsi="Bookman Old Style"/>
          <w:sz w:val="24"/>
          <w:szCs w:val="24"/>
        </w:rPr>
        <w:t xml:space="preserve">el </w:t>
      </w:r>
      <w:r w:rsidR="00A65EA2" w:rsidRPr="00FB0478">
        <w:rPr>
          <w:rFonts w:ascii="Bookman Old Style" w:hAnsi="Bookman Old Style"/>
          <w:sz w:val="24"/>
          <w:szCs w:val="24"/>
        </w:rPr>
        <w:t xml:space="preserve">Anexo 3 recogen los costos </w:t>
      </w:r>
      <w:r w:rsidR="00F71742" w:rsidRPr="00F97F4C">
        <w:rPr>
          <w:rFonts w:ascii="Bookman Old Style" w:hAnsi="Bookman Old Style"/>
          <w:sz w:val="24"/>
          <w:szCs w:val="24"/>
        </w:rPr>
        <w:t xml:space="preserve">asociados </w:t>
      </w:r>
      <w:r w:rsidR="00F71742">
        <w:rPr>
          <w:rFonts w:ascii="Bookman Old Style" w:hAnsi="Bookman Old Style"/>
          <w:sz w:val="24"/>
          <w:szCs w:val="24"/>
        </w:rPr>
        <w:t>a la construcción de un gasoducto con diferentes características particulares (</w:t>
      </w:r>
      <w:r w:rsidR="00F71742" w:rsidRPr="00FB0478">
        <w:rPr>
          <w:rFonts w:ascii="Bookman Old Style" w:hAnsi="Bookman Old Style"/>
          <w:sz w:val="24"/>
          <w:szCs w:val="24"/>
        </w:rPr>
        <w:t>e.g. topografía, tipo de terreno, cruces subfluviales, etc</w:t>
      </w:r>
      <w:r w:rsidR="00F71742">
        <w:rPr>
          <w:rFonts w:ascii="Bookman Old Style" w:hAnsi="Bookman Old Style"/>
          <w:sz w:val="24"/>
          <w:szCs w:val="24"/>
        </w:rPr>
        <w:t xml:space="preserve">.) con lo que se </w:t>
      </w:r>
      <w:r w:rsidR="00F71742" w:rsidRPr="00D31FE7">
        <w:rPr>
          <w:rFonts w:ascii="Bookman Old Style" w:hAnsi="Bookman Old Style"/>
          <w:sz w:val="24"/>
          <w:szCs w:val="24"/>
        </w:rPr>
        <w:t>determina el valor eficiente de un gasoducto.</w:t>
      </w:r>
      <w:r w:rsidR="001148DF" w:rsidRPr="00FB0478">
        <w:rPr>
          <w:rFonts w:ascii="Bookman Old Style" w:hAnsi="Bookman Old Style"/>
          <w:sz w:val="24"/>
          <w:szCs w:val="24"/>
        </w:rPr>
        <w:t xml:space="preserve"> </w:t>
      </w:r>
    </w:p>
    <w:p w:rsidR="003E70E0" w:rsidRDefault="003E70E0" w:rsidP="003E70E0">
      <w:pPr>
        <w:pStyle w:val="Prrafodelista"/>
        <w:ind w:left="426"/>
        <w:jc w:val="both"/>
        <w:rPr>
          <w:rFonts w:ascii="Bookman Old Style" w:hAnsi="Bookman Old Style"/>
          <w:sz w:val="24"/>
          <w:szCs w:val="24"/>
        </w:rPr>
      </w:pPr>
    </w:p>
    <w:p w:rsidR="00FB0478" w:rsidRPr="00015427" w:rsidRDefault="001148DF" w:rsidP="00015427">
      <w:pPr>
        <w:pStyle w:val="Prrafodelista"/>
        <w:ind w:left="426"/>
        <w:jc w:val="both"/>
        <w:rPr>
          <w:rFonts w:ascii="Bookman Old Style" w:hAnsi="Bookman Old Style"/>
          <w:sz w:val="24"/>
          <w:szCs w:val="24"/>
        </w:rPr>
      </w:pPr>
      <w:r w:rsidRPr="00FB0478">
        <w:rPr>
          <w:rFonts w:ascii="Bookman Old Style" w:hAnsi="Bookman Old Style"/>
          <w:sz w:val="24"/>
          <w:szCs w:val="24"/>
        </w:rPr>
        <w:t>Como se explica en el Anexo 3 mencionado, el modelo de valoración se basa en un método de comparación y considera trece (13) criterios que afectan el valor de construcción de un gasoducto. L</w:t>
      </w:r>
      <w:r w:rsidR="00262E20" w:rsidRPr="00FB0478">
        <w:rPr>
          <w:rFonts w:ascii="Bookman Old Style" w:hAnsi="Bookman Old Style"/>
          <w:sz w:val="24"/>
          <w:szCs w:val="24"/>
        </w:rPr>
        <w:t>os</w:t>
      </w:r>
      <w:r w:rsidRPr="00FB0478">
        <w:rPr>
          <w:rFonts w:ascii="Bookman Old Style" w:hAnsi="Bookman Old Style"/>
          <w:sz w:val="24"/>
          <w:szCs w:val="24"/>
        </w:rPr>
        <w:t xml:space="preserve"> </w:t>
      </w:r>
      <w:r w:rsidR="00262E20" w:rsidRPr="00FB0478">
        <w:rPr>
          <w:rFonts w:ascii="Bookman Old Style" w:hAnsi="Bookman Old Style"/>
          <w:sz w:val="24"/>
          <w:szCs w:val="24"/>
        </w:rPr>
        <w:t xml:space="preserve">criterios </w:t>
      </w:r>
      <w:r w:rsidRPr="00FB0478">
        <w:rPr>
          <w:rFonts w:ascii="Bookman Old Style" w:hAnsi="Bookman Old Style"/>
          <w:sz w:val="24"/>
          <w:szCs w:val="24"/>
        </w:rPr>
        <w:t>utilizad</w:t>
      </w:r>
      <w:r w:rsidR="00262E20" w:rsidRPr="00FB0478">
        <w:rPr>
          <w:rFonts w:ascii="Bookman Old Style" w:hAnsi="Bookman Old Style"/>
          <w:sz w:val="24"/>
          <w:szCs w:val="24"/>
        </w:rPr>
        <w:t>o</w:t>
      </w:r>
      <w:r w:rsidRPr="00FB0478">
        <w:rPr>
          <w:rFonts w:ascii="Bookman Old Style" w:hAnsi="Bookman Old Style"/>
          <w:sz w:val="24"/>
          <w:szCs w:val="24"/>
        </w:rPr>
        <w:t>s</w:t>
      </w:r>
      <w:r w:rsidR="00262E20" w:rsidRPr="00FB0478">
        <w:rPr>
          <w:rFonts w:ascii="Bookman Old Style" w:hAnsi="Bookman Old Style"/>
          <w:sz w:val="24"/>
          <w:szCs w:val="24"/>
        </w:rPr>
        <w:t xml:space="preserve"> consideran información </w:t>
      </w:r>
      <w:r w:rsidR="00F71742">
        <w:rPr>
          <w:rFonts w:ascii="Bookman Old Style" w:hAnsi="Bookman Old Style"/>
          <w:sz w:val="24"/>
          <w:szCs w:val="24"/>
        </w:rPr>
        <w:t xml:space="preserve">reportada por TGI en su momento y </w:t>
      </w:r>
      <w:r w:rsidR="00262E20" w:rsidRPr="00FB0478">
        <w:rPr>
          <w:rFonts w:ascii="Bookman Old Style" w:hAnsi="Bookman Old Style"/>
          <w:sz w:val="24"/>
          <w:szCs w:val="24"/>
        </w:rPr>
        <w:t>precios disponible</w:t>
      </w:r>
      <w:r w:rsidR="00F71742">
        <w:rPr>
          <w:rFonts w:ascii="Bookman Old Style" w:hAnsi="Bookman Old Style"/>
          <w:sz w:val="24"/>
          <w:szCs w:val="24"/>
        </w:rPr>
        <w:t>s</w:t>
      </w:r>
      <w:r w:rsidR="00262E20" w:rsidRPr="00FB0478">
        <w:rPr>
          <w:rFonts w:ascii="Bookman Old Style" w:hAnsi="Bookman Old Style"/>
          <w:sz w:val="24"/>
          <w:szCs w:val="24"/>
        </w:rPr>
        <w:t xml:space="preserve"> a octubre de 2012. </w:t>
      </w:r>
      <w:r w:rsidR="00F71742">
        <w:rPr>
          <w:rFonts w:ascii="Bookman Old Style" w:hAnsi="Bookman Old Style"/>
          <w:sz w:val="24"/>
          <w:szCs w:val="24"/>
        </w:rPr>
        <w:t>Así, l</w:t>
      </w:r>
      <w:r w:rsidR="00262E20" w:rsidRPr="00FB0478">
        <w:rPr>
          <w:rFonts w:ascii="Bookman Old Style" w:hAnsi="Bookman Old Style"/>
          <w:sz w:val="24"/>
          <w:szCs w:val="24"/>
        </w:rPr>
        <w:t>os</w:t>
      </w:r>
      <w:r w:rsidRPr="00FB0478">
        <w:rPr>
          <w:rFonts w:ascii="Bookman Old Style" w:hAnsi="Bookman Old Style"/>
          <w:sz w:val="24"/>
          <w:szCs w:val="24"/>
        </w:rPr>
        <w:t xml:space="preserve"> criterios recogen </w:t>
      </w:r>
      <w:r w:rsidR="00262E20" w:rsidRPr="00FB0478">
        <w:rPr>
          <w:rFonts w:ascii="Bookman Old Style" w:hAnsi="Bookman Old Style"/>
          <w:sz w:val="24"/>
          <w:szCs w:val="24"/>
        </w:rPr>
        <w:t xml:space="preserve">los </w:t>
      </w:r>
      <w:r w:rsidRPr="00FB0478">
        <w:rPr>
          <w:rFonts w:ascii="Bookman Old Style" w:hAnsi="Bookman Old Style"/>
          <w:sz w:val="24"/>
          <w:szCs w:val="24"/>
        </w:rPr>
        <w:t xml:space="preserve">aspectos </w:t>
      </w:r>
      <w:r w:rsidR="00262E20" w:rsidRPr="00FB0478">
        <w:rPr>
          <w:rFonts w:ascii="Bookman Old Style" w:hAnsi="Bookman Old Style"/>
          <w:sz w:val="24"/>
          <w:szCs w:val="24"/>
        </w:rPr>
        <w:t xml:space="preserve">característicos </w:t>
      </w:r>
      <w:r w:rsidR="007E2E1B" w:rsidRPr="00FB0478">
        <w:rPr>
          <w:rFonts w:ascii="Bookman Old Style" w:hAnsi="Bookman Old Style"/>
          <w:sz w:val="24"/>
          <w:szCs w:val="24"/>
        </w:rPr>
        <w:t>de la construcción del sistema regional de transporte Boyacá Central (e.g. topografía, tipo de terreno, cruces subfluviales, etc.) reportados por TGI</w:t>
      </w:r>
      <w:r w:rsidR="00FB0478">
        <w:rPr>
          <w:rFonts w:ascii="Bookman Old Style" w:hAnsi="Bookman Old Style"/>
          <w:sz w:val="24"/>
          <w:szCs w:val="24"/>
        </w:rPr>
        <w:t>,</w:t>
      </w:r>
      <w:r w:rsidR="00FB0478" w:rsidRPr="00FB0478">
        <w:rPr>
          <w:rFonts w:ascii="Bookman Old Style" w:hAnsi="Bookman Old Style"/>
          <w:sz w:val="24"/>
          <w:szCs w:val="24"/>
        </w:rPr>
        <w:t xml:space="preserve"> y los disponibles en el mercado como precios del acero y mano de obra al momento de la valoración (Octubre de 2012). </w:t>
      </w:r>
      <w:r w:rsidR="00D349AB" w:rsidRPr="00FB0478">
        <w:rPr>
          <w:rFonts w:ascii="Bookman Old Style" w:hAnsi="Bookman Old Style"/>
          <w:sz w:val="24"/>
          <w:szCs w:val="24"/>
        </w:rPr>
        <w:t xml:space="preserve"> </w:t>
      </w:r>
      <w:r w:rsidR="007E2E1B" w:rsidRPr="00FB0478">
        <w:rPr>
          <w:rFonts w:ascii="Bookman Old Style" w:hAnsi="Bookman Old Style"/>
          <w:sz w:val="24"/>
          <w:szCs w:val="24"/>
        </w:rPr>
        <w:t xml:space="preserve"> </w:t>
      </w:r>
    </w:p>
    <w:p w:rsidR="001148DF" w:rsidRPr="00FB0478" w:rsidRDefault="00FB0478" w:rsidP="00FB0478">
      <w:pPr>
        <w:pStyle w:val="Prrafodelista"/>
        <w:numPr>
          <w:ilvl w:val="0"/>
          <w:numId w:val="34"/>
        </w:numPr>
        <w:ind w:left="426" w:hanging="426"/>
        <w:jc w:val="both"/>
        <w:rPr>
          <w:rFonts w:ascii="Bookman Old Style" w:hAnsi="Bookman Old Style"/>
          <w:sz w:val="24"/>
          <w:szCs w:val="24"/>
        </w:rPr>
      </w:pPr>
      <w:r>
        <w:rPr>
          <w:rFonts w:ascii="Bookman Old Style" w:hAnsi="Bookman Old Style"/>
          <w:sz w:val="24"/>
          <w:szCs w:val="24"/>
        </w:rPr>
        <w:t xml:space="preserve">Los valores eficientes reconocidos para efectos tarifarios no necesariamente deben coincidir con el valor esperado, o con los costos reales en que incurre el respectivo agente. La </w:t>
      </w:r>
      <w:r w:rsidRPr="00015427">
        <w:rPr>
          <w:rFonts w:ascii="Bookman Old Style" w:hAnsi="Bookman Old Style"/>
          <w:i/>
          <w:sz w:val="24"/>
          <w:szCs w:val="24"/>
        </w:rPr>
        <w:t>metodología</w:t>
      </w:r>
      <w:r>
        <w:rPr>
          <w:rFonts w:ascii="Bookman Old Style" w:hAnsi="Bookman Old Style"/>
          <w:sz w:val="24"/>
          <w:szCs w:val="24"/>
        </w:rPr>
        <w:t xml:space="preserve"> de remuneración es de incentivos y como tal el agente enfrenta riesgos que son debidamente reconocidos en la metodología tarifaria.    </w:t>
      </w:r>
      <w:r w:rsidR="007E2E1B" w:rsidRPr="00FB0478">
        <w:rPr>
          <w:rFonts w:ascii="Bookman Old Style" w:hAnsi="Bookman Old Style"/>
          <w:sz w:val="24"/>
          <w:szCs w:val="24"/>
        </w:rPr>
        <w:t xml:space="preserve"> </w:t>
      </w:r>
    </w:p>
    <w:p w:rsidR="00FB0478" w:rsidRDefault="00FB0478" w:rsidP="00A65EA2">
      <w:pPr>
        <w:ind w:left="0"/>
        <w:jc w:val="both"/>
        <w:rPr>
          <w:rFonts w:ascii="Bookman Old Style" w:hAnsi="Bookman Old Style"/>
        </w:rPr>
      </w:pPr>
    </w:p>
    <w:p w:rsidR="00CC5CE1" w:rsidRPr="006875CB" w:rsidRDefault="00CC5CE1">
      <w:pPr>
        <w:ind w:left="0"/>
        <w:jc w:val="both"/>
        <w:rPr>
          <w:rFonts w:ascii="Bookman Old Style" w:hAnsi="Bookman Old Style" w:cs="Arial"/>
        </w:rPr>
      </w:pPr>
      <w:r w:rsidRPr="006875CB">
        <w:rPr>
          <w:rFonts w:ascii="Bookman Old Style" w:hAnsi="Bookman Old Style" w:cs="Arial"/>
        </w:rPr>
        <w:t xml:space="preserve">La Comisión de Regulación de Energía y Gas discutió la presente Resolución en la sesión N° </w:t>
      </w:r>
      <w:r w:rsidR="00636224">
        <w:rPr>
          <w:rFonts w:ascii="Bookman Old Style" w:hAnsi="Bookman Old Style" w:cs="Arial"/>
        </w:rPr>
        <w:t>551 de fecha 20</w:t>
      </w:r>
      <w:r w:rsidRPr="006875CB">
        <w:rPr>
          <w:rFonts w:ascii="Bookman Old Style" w:hAnsi="Bookman Old Style" w:cs="Arial"/>
        </w:rPr>
        <w:t xml:space="preserve"> de </w:t>
      </w:r>
      <w:r w:rsidR="00636224">
        <w:rPr>
          <w:rFonts w:ascii="Bookman Old Style" w:hAnsi="Bookman Old Style" w:cs="Arial"/>
        </w:rPr>
        <w:t>marzo</w:t>
      </w:r>
      <w:r w:rsidRPr="006875CB">
        <w:rPr>
          <w:rFonts w:ascii="Bookman Old Style" w:hAnsi="Bookman Old Style" w:cs="Arial"/>
        </w:rPr>
        <w:t xml:space="preserve"> de 2013 y aprobó </w:t>
      </w:r>
      <w:r w:rsidR="00437B6A" w:rsidRPr="006875CB">
        <w:rPr>
          <w:rFonts w:ascii="Bookman Old Style" w:hAnsi="Bookman Old Style" w:cs="Arial"/>
        </w:rPr>
        <w:t>resolver el recurso de reposición interpuesto por Transportadora de Gas Internacional S.A. E.S.P. – TGI S.A. E.S.P. contra la Resolución CREG 140 de 2012 “Por la cual se establecen los cargos regulados para el sistema regional de transporte Boyacá Central, según solicitud de la Transportadora de Gas Internacional S.A. E.S.P. – TGI S.A. E.S.P</w:t>
      </w:r>
      <w:r w:rsidRPr="006875CB">
        <w:rPr>
          <w:rFonts w:ascii="Bookman Old Style" w:hAnsi="Bookman Old Style" w:cs="Arial"/>
        </w:rPr>
        <w:t>.</w:t>
      </w:r>
      <w:r w:rsidR="00437B6A" w:rsidRPr="006875CB">
        <w:rPr>
          <w:rFonts w:ascii="Bookman Old Style" w:hAnsi="Bookman Old Style" w:cs="Arial"/>
        </w:rPr>
        <w:t>”.</w:t>
      </w:r>
      <w:r w:rsidRPr="006875CB">
        <w:rPr>
          <w:rFonts w:ascii="Bookman Old Style" w:hAnsi="Bookman Old Style" w:cs="Arial"/>
        </w:rPr>
        <w:t xml:space="preserve"> </w:t>
      </w:r>
    </w:p>
    <w:p w:rsidR="00CC5CE1" w:rsidRPr="009139A6" w:rsidRDefault="00CC5CE1">
      <w:pPr>
        <w:ind w:left="0"/>
        <w:jc w:val="both"/>
        <w:rPr>
          <w:rFonts w:ascii="Bookman Old Style" w:hAnsi="Bookman Old Style" w:cs="Arial"/>
          <w:sz w:val="18"/>
        </w:rPr>
      </w:pPr>
    </w:p>
    <w:p w:rsidR="00CC5CE1" w:rsidRPr="006875CB" w:rsidRDefault="00CC5CE1">
      <w:pPr>
        <w:ind w:left="0"/>
        <w:jc w:val="center"/>
        <w:rPr>
          <w:rFonts w:ascii="Bookman Old Style" w:hAnsi="Bookman Old Style" w:cs="Arial"/>
        </w:rPr>
      </w:pPr>
      <w:r w:rsidRPr="006875CB">
        <w:rPr>
          <w:rFonts w:ascii="Bookman Old Style" w:hAnsi="Bookman Old Style" w:cs="Arial"/>
          <w:b/>
          <w:spacing w:val="80"/>
        </w:rPr>
        <w:t>RESUELVE</w:t>
      </w:r>
      <w:r w:rsidRPr="006875CB">
        <w:rPr>
          <w:rFonts w:ascii="Bookman Old Style" w:hAnsi="Bookman Old Style" w:cs="Arial"/>
        </w:rPr>
        <w:t>:</w:t>
      </w:r>
    </w:p>
    <w:p w:rsidR="00CC5CE1" w:rsidRPr="009139A6" w:rsidRDefault="00CC5CE1">
      <w:pPr>
        <w:ind w:left="0"/>
        <w:jc w:val="both"/>
        <w:rPr>
          <w:rFonts w:ascii="Bookman Old Style" w:hAnsi="Bookman Old Style" w:cs="Arial"/>
          <w:b/>
          <w:spacing w:val="-3"/>
          <w:sz w:val="32"/>
        </w:rPr>
      </w:pPr>
    </w:p>
    <w:p w:rsidR="004920DE" w:rsidRPr="009139A6" w:rsidRDefault="004920DE">
      <w:pPr>
        <w:ind w:left="0"/>
        <w:jc w:val="both"/>
        <w:rPr>
          <w:rFonts w:ascii="Bookman Old Style" w:hAnsi="Bookman Old Style" w:cs="Arial"/>
          <w:b/>
          <w:spacing w:val="-3"/>
          <w:sz w:val="18"/>
        </w:rPr>
      </w:pPr>
    </w:p>
    <w:p w:rsidR="00CC5CE1" w:rsidRPr="006875CB" w:rsidRDefault="00CC5CE1">
      <w:pPr>
        <w:tabs>
          <w:tab w:val="left" w:pos="0"/>
        </w:tabs>
        <w:ind w:left="0"/>
        <w:jc w:val="both"/>
        <w:rPr>
          <w:rFonts w:ascii="Bookman Old Style" w:hAnsi="Bookman Old Style" w:cs="Arial"/>
          <w:spacing w:val="-3"/>
        </w:rPr>
      </w:pPr>
      <w:r w:rsidRPr="006875CB">
        <w:rPr>
          <w:rFonts w:ascii="Bookman Old Style" w:hAnsi="Bookman Old Style" w:cs="Arial"/>
          <w:b/>
          <w:spacing w:val="-3"/>
        </w:rPr>
        <w:t xml:space="preserve">Artículo 1. Decisión. </w:t>
      </w:r>
      <w:r w:rsidRPr="006875CB">
        <w:rPr>
          <w:rFonts w:ascii="Bookman Old Style" w:hAnsi="Bookman Old Style" w:cs="Arial"/>
          <w:spacing w:val="-3"/>
        </w:rPr>
        <w:t>No reponer la Resolución CREG 140 de 2012</w:t>
      </w:r>
      <w:r w:rsidR="00ED68C4" w:rsidRPr="006875CB">
        <w:rPr>
          <w:rFonts w:ascii="Bookman Old Style" w:hAnsi="Bookman Old Style" w:cs="Arial"/>
          <w:spacing w:val="-3"/>
        </w:rPr>
        <w:t>,</w:t>
      </w:r>
      <w:r w:rsidRPr="006875CB">
        <w:rPr>
          <w:rFonts w:ascii="Bookman Old Style" w:hAnsi="Bookman Old Style" w:cs="Arial"/>
          <w:spacing w:val="-3"/>
        </w:rPr>
        <w:t xml:space="preserve"> “Por la cual se establecen los cargos regulados para el sistema regional de transporte Boyacá Central, según solicitud de la Transportadora de Gas Internacional S.A. E.S.P., TGI S.A. E.S.P” por las razones expuestas en la parte motiva.</w:t>
      </w:r>
    </w:p>
    <w:p w:rsidR="00CC5CE1" w:rsidRPr="006875CB" w:rsidRDefault="00CC5CE1">
      <w:pPr>
        <w:tabs>
          <w:tab w:val="left" w:pos="0"/>
        </w:tabs>
        <w:ind w:left="0"/>
        <w:jc w:val="both"/>
        <w:rPr>
          <w:rFonts w:ascii="Bookman Old Style" w:hAnsi="Bookman Old Style" w:cs="Arial"/>
          <w:bCs/>
          <w:spacing w:val="-4"/>
          <w:lang w:val="es-ES_tradnl"/>
        </w:rPr>
      </w:pPr>
    </w:p>
    <w:p w:rsidR="00CC5CE1" w:rsidRPr="006875CB" w:rsidRDefault="00CC5CE1">
      <w:pPr>
        <w:ind w:left="0"/>
        <w:jc w:val="both"/>
        <w:rPr>
          <w:rFonts w:ascii="Bookman Old Style" w:hAnsi="Bookman Old Style" w:cs="Arial"/>
          <w:spacing w:val="-4"/>
        </w:rPr>
      </w:pPr>
      <w:r w:rsidRPr="006875CB">
        <w:rPr>
          <w:rFonts w:ascii="Bookman Old Style" w:hAnsi="Bookman Old Style" w:cs="Arial"/>
          <w:b/>
          <w:bCs/>
          <w:spacing w:val="-4"/>
        </w:rPr>
        <w:t xml:space="preserve">Artículo 2. Notificaciones y Recursos. </w:t>
      </w:r>
      <w:r w:rsidRPr="006875CB">
        <w:rPr>
          <w:rFonts w:ascii="Bookman Old Style" w:hAnsi="Bookman Old Style" w:cs="Arial"/>
          <w:spacing w:val="-4"/>
        </w:rPr>
        <w:t xml:space="preserve">La presente Resolución deberá notificarse a la empresa Transportadora de Gas Internacional TGI S.A. E.S.P., y publicarse en el </w:t>
      </w:r>
      <w:r w:rsidRPr="006875CB">
        <w:rPr>
          <w:rFonts w:ascii="Bookman Old Style" w:hAnsi="Bookman Old Style" w:cs="Arial"/>
          <w:i/>
          <w:spacing w:val="-4"/>
        </w:rPr>
        <w:t>Diario Oficial</w:t>
      </w:r>
      <w:r w:rsidRPr="006875CB">
        <w:rPr>
          <w:rFonts w:ascii="Bookman Old Style" w:hAnsi="Bookman Old Style" w:cs="Arial"/>
          <w:spacing w:val="-4"/>
        </w:rPr>
        <w:t>. Contra lo dispuesto en este acto no procede ningún recurso.</w:t>
      </w:r>
    </w:p>
    <w:p w:rsidR="00CC5CE1" w:rsidRPr="009139A6" w:rsidRDefault="00CC5CE1">
      <w:pPr>
        <w:rPr>
          <w:rFonts w:ascii="Bookman Old Style" w:hAnsi="Bookman Old Style" w:cs="Arial"/>
          <w:spacing w:val="-4"/>
          <w:sz w:val="20"/>
        </w:rPr>
      </w:pPr>
    </w:p>
    <w:p w:rsidR="00CC5CE1" w:rsidRPr="006875CB" w:rsidRDefault="00CC5CE1">
      <w:pPr>
        <w:rPr>
          <w:rFonts w:ascii="Bookman Old Style" w:hAnsi="Bookman Old Style" w:cs="Arial"/>
          <w:spacing w:val="-4"/>
        </w:rPr>
      </w:pPr>
    </w:p>
    <w:p w:rsidR="00CC5CE1" w:rsidRPr="006875CB" w:rsidRDefault="00CC5CE1">
      <w:pPr>
        <w:jc w:val="center"/>
        <w:rPr>
          <w:rFonts w:ascii="Bookman Old Style" w:hAnsi="Bookman Old Style" w:cs="Arial"/>
          <w:b/>
        </w:rPr>
      </w:pPr>
      <w:r w:rsidRPr="006875CB">
        <w:rPr>
          <w:rFonts w:ascii="Bookman Old Style" w:hAnsi="Bookman Old Style" w:cs="Arial"/>
          <w:b/>
        </w:rPr>
        <w:t>NOTIFÍQUESE, PUBLÍQUESE Y CÚMPLASE,</w:t>
      </w:r>
    </w:p>
    <w:p w:rsidR="00CC5CE1" w:rsidRPr="009139A6" w:rsidRDefault="00CC5CE1">
      <w:pPr>
        <w:rPr>
          <w:rFonts w:ascii="Bookman Old Style" w:hAnsi="Bookman Old Style" w:cs="Arial"/>
          <w:sz w:val="28"/>
        </w:rPr>
      </w:pPr>
    </w:p>
    <w:p w:rsidR="00B9084B" w:rsidRDefault="00B9084B">
      <w:pPr>
        <w:ind w:left="0"/>
        <w:rPr>
          <w:rFonts w:ascii="Bookman Old Style" w:hAnsi="Bookman Old Style" w:cs="Arial"/>
        </w:rPr>
      </w:pPr>
    </w:p>
    <w:p w:rsidR="00CC5CE1" w:rsidRPr="006875CB" w:rsidRDefault="00CC5CE1">
      <w:pPr>
        <w:ind w:left="0"/>
        <w:rPr>
          <w:rFonts w:ascii="Bookman Old Style" w:hAnsi="Bookman Old Style" w:cs="Arial"/>
        </w:rPr>
      </w:pPr>
      <w:r w:rsidRPr="006875CB">
        <w:rPr>
          <w:rFonts w:ascii="Bookman Old Style" w:hAnsi="Bookman Old Style" w:cs="Arial"/>
        </w:rPr>
        <w:t>Dada en Bogotá, a los</w:t>
      </w:r>
    </w:p>
    <w:p w:rsidR="00CC5CE1" w:rsidRDefault="00CC5CE1">
      <w:pPr>
        <w:ind w:left="0"/>
        <w:rPr>
          <w:rFonts w:ascii="Bookman Old Style" w:hAnsi="Bookman Old Style"/>
        </w:rPr>
      </w:pPr>
    </w:p>
    <w:p w:rsidR="00C623F9" w:rsidRDefault="00C623F9">
      <w:pPr>
        <w:ind w:left="0"/>
        <w:rPr>
          <w:rFonts w:ascii="Bookman Old Style" w:hAnsi="Bookman Old Style"/>
        </w:rPr>
      </w:pPr>
    </w:p>
    <w:p w:rsidR="0092537B" w:rsidRDefault="0092537B">
      <w:pPr>
        <w:ind w:left="0"/>
        <w:rPr>
          <w:rFonts w:ascii="Bookman Old Style" w:hAnsi="Bookman Old Style"/>
        </w:rPr>
      </w:pPr>
    </w:p>
    <w:p w:rsidR="0092537B" w:rsidRDefault="0092537B">
      <w:pPr>
        <w:ind w:left="0"/>
        <w:rPr>
          <w:rFonts w:ascii="Bookman Old Style" w:hAnsi="Bookman Old Style"/>
        </w:rPr>
      </w:pPr>
    </w:p>
    <w:tbl>
      <w:tblPr>
        <w:tblW w:w="9693" w:type="dxa"/>
        <w:jc w:val="center"/>
        <w:tblInd w:w="-232" w:type="dxa"/>
        <w:tblLayout w:type="fixed"/>
        <w:tblCellMar>
          <w:left w:w="70" w:type="dxa"/>
          <w:right w:w="70" w:type="dxa"/>
        </w:tblCellMar>
        <w:tblLook w:val="04A0" w:firstRow="1" w:lastRow="0" w:firstColumn="1" w:lastColumn="0" w:noHBand="0" w:noVBand="1"/>
      </w:tblPr>
      <w:tblGrid>
        <w:gridCol w:w="4917"/>
        <w:gridCol w:w="4776"/>
      </w:tblGrid>
      <w:tr w:rsidR="00013271" w:rsidTr="0092537B">
        <w:trPr>
          <w:trHeight w:val="329"/>
          <w:jc w:val="center"/>
        </w:trPr>
        <w:tc>
          <w:tcPr>
            <w:tcW w:w="4917" w:type="dxa"/>
            <w:vAlign w:val="center"/>
          </w:tcPr>
          <w:p w:rsidR="00013271" w:rsidRDefault="00013271">
            <w:pPr>
              <w:ind w:left="0"/>
              <w:jc w:val="center"/>
              <w:rPr>
                <w:rFonts w:ascii="Bookman Old Style" w:hAnsi="Bookman Old Style" w:cs="Arial"/>
                <w:b/>
                <w:spacing w:val="-3"/>
              </w:rPr>
            </w:pPr>
          </w:p>
          <w:p w:rsidR="00013271" w:rsidRDefault="00013271">
            <w:pPr>
              <w:ind w:left="0"/>
              <w:jc w:val="center"/>
              <w:rPr>
                <w:rFonts w:ascii="Bookman Old Style" w:hAnsi="Bookman Old Style" w:cs="Arial"/>
                <w:b/>
                <w:spacing w:val="-3"/>
              </w:rPr>
            </w:pPr>
            <w:r>
              <w:rPr>
                <w:rFonts w:ascii="Bookman Old Style" w:hAnsi="Bookman Old Style" w:cs="Arial"/>
                <w:b/>
                <w:spacing w:val="-3"/>
              </w:rPr>
              <w:t>ORLANDO CABRALES SEGOVIA</w:t>
            </w:r>
          </w:p>
        </w:tc>
        <w:tc>
          <w:tcPr>
            <w:tcW w:w="4776" w:type="dxa"/>
            <w:vAlign w:val="center"/>
            <w:hideMark/>
          </w:tcPr>
          <w:p w:rsidR="00013271" w:rsidRDefault="00013271">
            <w:pPr>
              <w:ind w:left="72"/>
              <w:jc w:val="center"/>
              <w:rPr>
                <w:rFonts w:ascii="Bookman Old Style" w:hAnsi="Bookman Old Style" w:cs="Arial"/>
                <w:b/>
                <w:spacing w:val="-3"/>
              </w:rPr>
            </w:pPr>
            <w:r>
              <w:rPr>
                <w:rFonts w:ascii="Bookman Old Style" w:hAnsi="Bookman Old Style" w:cs="Arial"/>
                <w:b/>
                <w:spacing w:val="-3"/>
              </w:rPr>
              <w:t>GERMÁN CASTRO FERREIRA</w:t>
            </w:r>
          </w:p>
        </w:tc>
      </w:tr>
      <w:tr w:rsidR="00013271" w:rsidTr="0092537B">
        <w:trPr>
          <w:jc w:val="center"/>
        </w:trPr>
        <w:tc>
          <w:tcPr>
            <w:tcW w:w="4917" w:type="dxa"/>
            <w:hideMark/>
          </w:tcPr>
          <w:p w:rsidR="00013271" w:rsidRPr="00B9084B" w:rsidRDefault="00013271">
            <w:pPr>
              <w:snapToGrid w:val="0"/>
              <w:ind w:left="27"/>
              <w:jc w:val="center"/>
              <w:rPr>
                <w:rFonts w:ascii="Bookman Old Style" w:hAnsi="Bookman Old Style" w:cs="Arial"/>
                <w:szCs w:val="22"/>
              </w:rPr>
            </w:pPr>
            <w:r w:rsidRPr="00B9084B">
              <w:rPr>
                <w:rFonts w:ascii="Bookman Old Style" w:hAnsi="Bookman Old Style" w:cs="Arial"/>
                <w:szCs w:val="22"/>
              </w:rPr>
              <w:t>Viceministro de Energía</w:t>
            </w:r>
            <w:r w:rsidRPr="00B9084B">
              <w:rPr>
                <w:rFonts w:ascii="Bookman Old Style" w:hAnsi="Bookman Old Style" w:cs="Arial"/>
                <w:szCs w:val="22"/>
              </w:rPr>
              <w:br/>
            </w:r>
            <w:r w:rsidRPr="00B9084B">
              <w:rPr>
                <w:rFonts w:ascii="Bookman Old Style" w:hAnsi="Bookman Old Style" w:cs="Arial"/>
                <w:sz w:val="22"/>
                <w:szCs w:val="22"/>
              </w:rPr>
              <w:t>Delegado del Ministro de Minas y Energía</w:t>
            </w:r>
          </w:p>
        </w:tc>
        <w:tc>
          <w:tcPr>
            <w:tcW w:w="4776" w:type="dxa"/>
            <w:hideMark/>
          </w:tcPr>
          <w:p w:rsidR="00013271" w:rsidRDefault="00013271">
            <w:pPr>
              <w:jc w:val="center"/>
              <w:rPr>
                <w:rFonts w:ascii="Bookman Old Style" w:hAnsi="Bookman Old Style" w:cs="Arial"/>
                <w:spacing w:val="-3"/>
              </w:rPr>
            </w:pPr>
            <w:r>
              <w:rPr>
                <w:rFonts w:ascii="Bookman Old Style" w:hAnsi="Bookman Old Style" w:cs="Arial"/>
                <w:spacing w:val="-3"/>
              </w:rPr>
              <w:t>Director Ejecutivo</w:t>
            </w:r>
          </w:p>
        </w:tc>
      </w:tr>
      <w:tr w:rsidR="00013271" w:rsidTr="0092537B">
        <w:trPr>
          <w:jc w:val="center"/>
        </w:trPr>
        <w:tc>
          <w:tcPr>
            <w:tcW w:w="4917" w:type="dxa"/>
            <w:hideMark/>
          </w:tcPr>
          <w:p w:rsidR="00013271" w:rsidRPr="00B9084B" w:rsidRDefault="00013271">
            <w:pPr>
              <w:snapToGrid w:val="0"/>
              <w:jc w:val="center"/>
              <w:rPr>
                <w:rFonts w:ascii="Bookman Old Style" w:hAnsi="Bookman Old Style" w:cs="Arial"/>
                <w:szCs w:val="22"/>
              </w:rPr>
            </w:pPr>
            <w:r w:rsidRPr="00B9084B">
              <w:rPr>
                <w:rFonts w:ascii="Bookman Old Style" w:hAnsi="Bookman Old Style" w:cs="Arial"/>
                <w:szCs w:val="22"/>
              </w:rPr>
              <w:t>Presidente</w:t>
            </w:r>
          </w:p>
        </w:tc>
        <w:tc>
          <w:tcPr>
            <w:tcW w:w="4776" w:type="dxa"/>
          </w:tcPr>
          <w:p w:rsidR="00013271" w:rsidRDefault="00013271">
            <w:pPr>
              <w:jc w:val="center"/>
              <w:rPr>
                <w:rFonts w:ascii="Bookman Old Style" w:hAnsi="Bookman Old Style" w:cs="Arial"/>
                <w:spacing w:val="-3"/>
                <w:u w:val="single"/>
              </w:rPr>
            </w:pPr>
          </w:p>
        </w:tc>
      </w:tr>
    </w:tbl>
    <w:p w:rsidR="00C623F9" w:rsidRPr="006875CB" w:rsidRDefault="00C623F9">
      <w:pPr>
        <w:ind w:left="0"/>
        <w:rPr>
          <w:rFonts w:ascii="Bookman Old Style" w:hAnsi="Bookman Old Style"/>
        </w:rPr>
      </w:pPr>
    </w:p>
    <w:p w:rsidR="00CC5CE1" w:rsidRPr="009139A6" w:rsidRDefault="00CC5CE1">
      <w:pPr>
        <w:ind w:left="0"/>
        <w:rPr>
          <w:rFonts w:ascii="Bookman Old Style" w:hAnsi="Bookman Old Style"/>
          <w:sz w:val="22"/>
        </w:rPr>
      </w:pPr>
    </w:p>
    <w:tbl>
      <w:tblPr>
        <w:tblW w:w="0" w:type="auto"/>
        <w:jc w:val="center"/>
        <w:tblInd w:w="-679" w:type="dxa"/>
        <w:tblLayout w:type="fixed"/>
        <w:tblCellMar>
          <w:left w:w="70" w:type="dxa"/>
          <w:right w:w="70" w:type="dxa"/>
        </w:tblCellMar>
        <w:tblLook w:val="04A0" w:firstRow="1" w:lastRow="0" w:firstColumn="1" w:lastColumn="0" w:noHBand="0" w:noVBand="1"/>
      </w:tblPr>
      <w:tblGrid>
        <w:gridCol w:w="4624"/>
        <w:gridCol w:w="4624"/>
      </w:tblGrid>
      <w:tr w:rsidR="00CC5CE1" w:rsidRPr="006875CB" w:rsidTr="00220D15">
        <w:trPr>
          <w:jc w:val="center"/>
        </w:trPr>
        <w:tc>
          <w:tcPr>
            <w:tcW w:w="4624" w:type="dxa"/>
            <w:hideMark/>
          </w:tcPr>
          <w:p w:rsidR="00CC5CE1" w:rsidRPr="006875CB" w:rsidRDefault="00CC5CE1" w:rsidP="0092537B">
            <w:pPr>
              <w:ind w:left="0"/>
              <w:rPr>
                <w:rFonts w:ascii="Bookman Old Style" w:hAnsi="Bookman Old Style"/>
              </w:rPr>
            </w:pPr>
          </w:p>
        </w:tc>
        <w:tc>
          <w:tcPr>
            <w:tcW w:w="4624" w:type="dxa"/>
          </w:tcPr>
          <w:p w:rsidR="00CC5CE1" w:rsidRPr="006875CB" w:rsidRDefault="00CC5CE1" w:rsidP="0000183C">
            <w:pPr>
              <w:rPr>
                <w:rFonts w:ascii="Bookman Old Style" w:hAnsi="Bookman Old Style"/>
              </w:rPr>
            </w:pPr>
          </w:p>
        </w:tc>
      </w:tr>
      <w:tr w:rsidR="00CC5CE1" w:rsidRPr="006875CB" w:rsidTr="00220D15">
        <w:trPr>
          <w:jc w:val="center"/>
        </w:trPr>
        <w:tc>
          <w:tcPr>
            <w:tcW w:w="4624" w:type="dxa"/>
            <w:hideMark/>
          </w:tcPr>
          <w:p w:rsidR="00CC5CE1" w:rsidRPr="006875CB" w:rsidRDefault="00CC5CE1" w:rsidP="00F4107D">
            <w:pPr>
              <w:ind w:left="0"/>
              <w:rPr>
                <w:rFonts w:ascii="Bookman Old Style" w:hAnsi="Bookman Old Style"/>
              </w:rPr>
            </w:pPr>
          </w:p>
        </w:tc>
        <w:tc>
          <w:tcPr>
            <w:tcW w:w="4624" w:type="dxa"/>
          </w:tcPr>
          <w:p w:rsidR="00CC5CE1" w:rsidRPr="006875CB" w:rsidRDefault="00CC5CE1" w:rsidP="0000183C">
            <w:pPr>
              <w:rPr>
                <w:rFonts w:ascii="Bookman Old Style" w:hAnsi="Bookman Old Style"/>
              </w:rPr>
            </w:pPr>
          </w:p>
        </w:tc>
      </w:tr>
    </w:tbl>
    <w:p w:rsidR="006B579F" w:rsidRPr="006875CB" w:rsidRDefault="006B579F" w:rsidP="002446FD">
      <w:pPr>
        <w:ind w:left="0"/>
        <w:rPr>
          <w:rFonts w:ascii="Bookman Old Style" w:hAnsi="Bookman Old Style"/>
          <w:b/>
        </w:rPr>
      </w:pPr>
    </w:p>
    <w:sectPr w:rsidR="006B579F" w:rsidRPr="006875CB" w:rsidSect="00ED1181">
      <w:headerReference w:type="default" r:id="rId11"/>
      <w:headerReference w:type="first" r:id="rId12"/>
      <w:type w:val="continuous"/>
      <w:pgSz w:w="12247" w:h="18705" w:code="121"/>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C8F" w:rsidRDefault="006F7C8F">
      <w:r>
        <w:separator/>
      </w:r>
    </w:p>
  </w:endnote>
  <w:endnote w:type="continuationSeparator" w:id="0">
    <w:p w:rsidR="006F7C8F" w:rsidRDefault="006F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C8F" w:rsidRDefault="006F7C8F">
      <w:r>
        <w:separator/>
      </w:r>
    </w:p>
  </w:footnote>
  <w:footnote w:type="continuationSeparator" w:id="0">
    <w:p w:rsidR="006F7C8F" w:rsidRDefault="006F7C8F">
      <w:r>
        <w:continuationSeparator/>
      </w:r>
    </w:p>
  </w:footnote>
  <w:footnote w:id="1">
    <w:p w:rsidR="006F7C8F" w:rsidRPr="00A65EA2" w:rsidRDefault="006F7C8F" w:rsidP="007F03D7">
      <w:pPr>
        <w:pStyle w:val="Textonotapie"/>
        <w:rPr>
          <w:rFonts w:ascii="Bookman Old Style" w:hAnsi="Bookman Old Style"/>
          <w:i/>
          <w:sz w:val="18"/>
        </w:rPr>
      </w:pPr>
      <w:r w:rsidRPr="00A65EA2">
        <w:rPr>
          <w:rStyle w:val="Refdenotaalpie"/>
          <w:rFonts w:ascii="Bookman Old Style" w:hAnsi="Bookman Old Style"/>
          <w:sz w:val="16"/>
        </w:rPr>
        <w:footnoteRef/>
      </w:r>
      <w:r w:rsidRPr="00A65EA2">
        <w:rPr>
          <w:rFonts w:ascii="Bookman Old Style" w:hAnsi="Bookman Old Style"/>
          <w:sz w:val="16"/>
        </w:rPr>
        <w:t xml:space="preserve"> Resolución CREG 110 de 2011 </w:t>
      </w:r>
      <w:r w:rsidRPr="00A65EA2">
        <w:rPr>
          <w:rFonts w:ascii="Bookman Old Style" w:hAnsi="Bookman Old Style"/>
          <w:i/>
          <w:sz w:val="16"/>
        </w:rPr>
        <w:t>“Por la cual se establecen los cargos regulados para el sistema de transporte de la Transportadora de Gas Internacional S.A. ESP., TGI S.A. ESP”</w:t>
      </w:r>
      <w:r w:rsidRPr="00A65EA2">
        <w:rPr>
          <w:rFonts w:ascii="Bookman Old Style" w:hAnsi="Bookman Old Style"/>
          <w:sz w:val="16"/>
        </w:rPr>
        <w:t xml:space="preserve">. Los recursos de reposición interpuestos contra la misma fueron resueltos en la Resolución CREG 121 de 2012 </w:t>
      </w:r>
      <w:r w:rsidRPr="00A65EA2">
        <w:rPr>
          <w:rFonts w:ascii="Bookman Old Style" w:hAnsi="Bookman Old Style"/>
          <w:i/>
          <w:sz w:val="16"/>
        </w:rPr>
        <w:t>“Por la cual se resuelven los recursos de reposición interpuestos contra la Resolución CREG 110 de 2011, por la cual se establecieron los cargos regulados para el sistema de transporte de la Transportadora de Gas Internacional S.A. E.S.P., TGI S.A. E.S.P.”</w:t>
      </w:r>
    </w:p>
  </w:footnote>
  <w:footnote w:id="2">
    <w:p w:rsidR="006F7C8F" w:rsidRPr="00A65EA2" w:rsidRDefault="006F7C8F" w:rsidP="00CC5CE1">
      <w:pPr>
        <w:pStyle w:val="Textonotapie"/>
        <w:ind w:left="86"/>
        <w:rPr>
          <w:rFonts w:ascii="Bookman Old Style" w:hAnsi="Bookman Old Style"/>
          <w:sz w:val="16"/>
          <w:szCs w:val="18"/>
        </w:rPr>
      </w:pPr>
      <w:r w:rsidRPr="00A65EA2">
        <w:rPr>
          <w:rStyle w:val="Refdenotaalpie"/>
          <w:rFonts w:ascii="Bookman Old Style" w:hAnsi="Bookman Old Style"/>
          <w:sz w:val="16"/>
          <w:szCs w:val="18"/>
        </w:rPr>
        <w:footnoteRef/>
      </w:r>
      <w:r w:rsidRPr="00A65EA2">
        <w:rPr>
          <w:rFonts w:ascii="Bookman Old Style" w:hAnsi="Bookman Old Style"/>
          <w:sz w:val="16"/>
          <w:szCs w:val="18"/>
        </w:rPr>
        <w:t xml:space="preserve"> Desarrollada, entre otras, en las sentencias T-464/1992; T-473/1992; T-306/1993; T-605/1996; T-074/1997; T-424/1998; T-842/2002; C-891/2002; C-872/2003; T-527/2005</w:t>
      </w:r>
    </w:p>
  </w:footnote>
  <w:footnote w:id="3">
    <w:p w:rsidR="006F7C8F" w:rsidRPr="00A65EA2" w:rsidRDefault="006F7C8F" w:rsidP="00CC5CE1">
      <w:pPr>
        <w:pStyle w:val="Textonotapie"/>
        <w:ind w:left="86"/>
        <w:rPr>
          <w:rFonts w:ascii="Bookman Old Style" w:hAnsi="Bookman Old Style"/>
          <w:sz w:val="16"/>
          <w:szCs w:val="18"/>
        </w:rPr>
      </w:pPr>
      <w:r w:rsidRPr="006D4B83">
        <w:rPr>
          <w:rFonts w:ascii="Bookman Old Style" w:hAnsi="Bookman Old Style"/>
          <w:sz w:val="14"/>
          <w:szCs w:val="18"/>
        </w:rPr>
        <w:footnoteRef/>
      </w:r>
      <w:r w:rsidRPr="00A65EA2">
        <w:rPr>
          <w:rFonts w:ascii="Bookman Old Style" w:hAnsi="Bookman Old Style"/>
          <w:sz w:val="16"/>
          <w:szCs w:val="18"/>
        </w:rPr>
        <w:t xml:space="preserve"> Sobre la relación entre ambos derechos cfr. sentencias T-462/1992; T-473/1992; T-527/2005, entre otras</w:t>
      </w:r>
    </w:p>
  </w:footnote>
  <w:footnote w:id="4">
    <w:p w:rsidR="006F7C8F" w:rsidRPr="00A65EA2" w:rsidRDefault="006F7C8F" w:rsidP="00CC5CE1">
      <w:pPr>
        <w:pStyle w:val="Textonotapie"/>
        <w:ind w:left="86"/>
        <w:rPr>
          <w:rFonts w:ascii="Bookman Old Style" w:hAnsi="Bookman Old Style"/>
          <w:sz w:val="16"/>
          <w:szCs w:val="18"/>
        </w:rPr>
      </w:pPr>
      <w:r w:rsidRPr="00A65EA2">
        <w:rPr>
          <w:rStyle w:val="Refdenotaalpie"/>
          <w:rFonts w:ascii="Bookman Old Style" w:hAnsi="Bookman Old Style"/>
          <w:sz w:val="16"/>
          <w:szCs w:val="18"/>
        </w:rPr>
        <w:footnoteRef/>
      </w:r>
      <w:r w:rsidRPr="00A65EA2">
        <w:rPr>
          <w:rFonts w:ascii="Bookman Old Style" w:hAnsi="Bookman Old Style"/>
          <w:sz w:val="16"/>
          <w:szCs w:val="18"/>
        </w:rPr>
        <w:t xml:space="preserve"> Al respecto se afirma en la sentencia C-038/1996 que: “(s)</w:t>
      </w:r>
      <w:r w:rsidRPr="00A65EA2">
        <w:rPr>
          <w:rFonts w:ascii="Bookman Old Style" w:hAnsi="Bookman Old Style"/>
          <w:i/>
          <w:iCs/>
          <w:sz w:val="16"/>
          <w:szCs w:val="18"/>
        </w:rPr>
        <w:t xml:space="preserve">i el desempeño del poder, en los distintos ámbitos del Estado, fuera clandestino y secreto, no sería posible que el ciudadano pudiera </w:t>
      </w:r>
      <w:r>
        <w:rPr>
          <w:rFonts w:ascii="Bookman Old Style" w:hAnsi="Bookman Old Style"/>
          <w:i/>
          <w:iCs/>
          <w:sz w:val="16"/>
          <w:szCs w:val="18"/>
        </w:rPr>
        <w:t>‘</w:t>
      </w:r>
      <w:r w:rsidRPr="00A65EA2">
        <w:rPr>
          <w:rFonts w:ascii="Bookman Old Style" w:hAnsi="Bookman Old Style"/>
          <w:i/>
          <w:iCs/>
          <w:sz w:val="16"/>
          <w:szCs w:val="18"/>
        </w:rPr>
        <w:t>participar en la conformación, ejercicio y control del poder político</w:t>
      </w:r>
      <w:r>
        <w:rPr>
          <w:rFonts w:ascii="Bookman Old Style" w:hAnsi="Bookman Old Style"/>
          <w:i/>
          <w:iCs/>
          <w:sz w:val="16"/>
          <w:szCs w:val="18"/>
        </w:rPr>
        <w:t>’</w:t>
      </w:r>
      <w:r w:rsidRPr="00A65EA2">
        <w:rPr>
          <w:rFonts w:ascii="Bookman Old Style" w:hAnsi="Bookman Old Style"/>
          <w:i/>
          <w:iCs/>
          <w:sz w:val="16"/>
          <w:szCs w:val="18"/>
        </w:rPr>
        <w:t xml:space="preserve"> (C.P. art. 40). La publicidad de las funciones públicas (C.P. art. 209), es la condición esencial del funcionamiento adecuado de la democracia y del Estado de derecho; sin ella, sus instituciones mutan de naturaleza y dejan de existir como tales”</w:t>
      </w:r>
      <w:r>
        <w:rPr>
          <w:rFonts w:ascii="Bookman Old Style" w:hAnsi="Bookman Old Style"/>
          <w:i/>
          <w:iCs/>
          <w:sz w:val="16"/>
          <w:szCs w:val="18"/>
        </w:rPr>
        <w:t>.</w:t>
      </w:r>
    </w:p>
  </w:footnote>
  <w:footnote w:id="5">
    <w:p w:rsidR="006F7C8F" w:rsidRPr="00A65EA2" w:rsidRDefault="006F7C8F" w:rsidP="00CC5CE1">
      <w:pPr>
        <w:pStyle w:val="Textonotapie"/>
        <w:ind w:left="86"/>
        <w:rPr>
          <w:rFonts w:ascii="Bookman Old Style" w:hAnsi="Bookman Old Style"/>
          <w:sz w:val="16"/>
          <w:szCs w:val="18"/>
        </w:rPr>
      </w:pPr>
      <w:r w:rsidRPr="00A65EA2">
        <w:rPr>
          <w:rStyle w:val="Refdenotaalpie"/>
          <w:rFonts w:ascii="Bookman Old Style" w:hAnsi="Bookman Old Style"/>
          <w:sz w:val="16"/>
          <w:szCs w:val="18"/>
        </w:rPr>
        <w:footnoteRef/>
      </w:r>
      <w:r w:rsidRPr="00A65EA2">
        <w:rPr>
          <w:rFonts w:ascii="Bookman Old Style" w:hAnsi="Bookman Old Style"/>
          <w:sz w:val="16"/>
          <w:szCs w:val="18"/>
        </w:rPr>
        <w:t xml:space="preserve"> Cfr. sentencia C-872/2003</w:t>
      </w:r>
    </w:p>
    <w:p w:rsidR="006F7C8F" w:rsidRPr="00A65EA2" w:rsidRDefault="006F7C8F" w:rsidP="00CC5CE1">
      <w:pPr>
        <w:pStyle w:val="Textonotapie"/>
        <w:rPr>
          <w:rFonts w:ascii="Bookman Old Style" w:hAnsi="Bookman Old Style"/>
          <w:sz w:val="18"/>
        </w:rPr>
      </w:pPr>
    </w:p>
  </w:footnote>
  <w:footnote w:id="6">
    <w:p w:rsidR="006F7C8F" w:rsidRPr="00A65EA2" w:rsidRDefault="006F7C8F" w:rsidP="008F3DE4">
      <w:pPr>
        <w:pStyle w:val="Textonotapie"/>
        <w:rPr>
          <w:rFonts w:ascii="Bookman Old Style" w:hAnsi="Bookman Old Style"/>
          <w:sz w:val="16"/>
        </w:rPr>
      </w:pPr>
      <w:r w:rsidRPr="00A65EA2">
        <w:rPr>
          <w:rStyle w:val="Refdenotaalpie"/>
          <w:rFonts w:ascii="Bookman Old Style" w:hAnsi="Bookman Old Style"/>
          <w:sz w:val="16"/>
        </w:rPr>
        <w:footnoteRef/>
      </w:r>
      <w:r w:rsidRPr="00A65EA2">
        <w:rPr>
          <w:rFonts w:ascii="Bookman Old Style" w:hAnsi="Bookman Old Style"/>
          <w:sz w:val="16"/>
        </w:rPr>
        <w:t xml:space="preserve"> </w:t>
      </w:r>
      <w:r w:rsidRPr="00A65EA2">
        <w:rPr>
          <w:rFonts w:ascii="Bookman Old Style" w:hAnsi="Bookman Old Style"/>
          <w:sz w:val="16"/>
          <w:lang w:val="es-CO"/>
        </w:rPr>
        <w:t>Sentencia C-640 de 2002. M.P.</w:t>
      </w:r>
      <w:r w:rsidRPr="00A65EA2">
        <w:rPr>
          <w:rFonts w:ascii="Bookman Old Style" w:hAnsi="Bookman Old Style"/>
          <w:sz w:val="16"/>
        </w:rPr>
        <w:t> Marco Gerardo Monroy Cabra.</w:t>
      </w:r>
    </w:p>
  </w:footnote>
  <w:footnote w:id="7">
    <w:p w:rsidR="006F7C8F" w:rsidRPr="00A65EA2" w:rsidRDefault="006F7C8F" w:rsidP="008F3DE4">
      <w:pPr>
        <w:pStyle w:val="Textonotapie"/>
        <w:rPr>
          <w:rFonts w:ascii="Bookman Old Style" w:hAnsi="Bookman Old Style"/>
          <w:sz w:val="16"/>
        </w:rPr>
      </w:pPr>
      <w:r w:rsidRPr="00A65EA2">
        <w:rPr>
          <w:rStyle w:val="Refdenotaalpie"/>
          <w:rFonts w:ascii="Bookman Old Style" w:hAnsi="Bookman Old Style"/>
          <w:sz w:val="16"/>
        </w:rPr>
        <w:footnoteRef/>
      </w:r>
      <w:r w:rsidRPr="00A65EA2">
        <w:rPr>
          <w:rFonts w:ascii="Bookman Old Style" w:hAnsi="Bookman Old Style"/>
          <w:sz w:val="16"/>
        </w:rPr>
        <w:t xml:space="preserve"> Sentencia T-068 de 1998, M.P. Fabio Morón Díaz.</w:t>
      </w:r>
    </w:p>
  </w:footnote>
  <w:footnote w:id="8">
    <w:p w:rsidR="006F7C8F" w:rsidRPr="00A65EA2" w:rsidRDefault="006F7C8F" w:rsidP="008F3DE4">
      <w:pPr>
        <w:pStyle w:val="Textonotapie"/>
        <w:rPr>
          <w:rFonts w:ascii="Bookman Old Style" w:hAnsi="Bookman Old Style"/>
          <w:sz w:val="18"/>
        </w:rPr>
      </w:pPr>
      <w:r w:rsidRPr="00A65EA2">
        <w:rPr>
          <w:rStyle w:val="Refdenotaalpie"/>
          <w:rFonts w:ascii="Bookman Old Style" w:hAnsi="Bookman Old Style"/>
          <w:sz w:val="16"/>
        </w:rPr>
        <w:footnoteRef/>
      </w:r>
      <w:r w:rsidRPr="00A65EA2">
        <w:rPr>
          <w:rFonts w:ascii="Bookman Old Style" w:hAnsi="Bookman Old Style"/>
          <w:sz w:val="16"/>
        </w:rPr>
        <w:t xml:space="preserve"> Corte Constitucional. Sentencia C-282 de 2007. M.P. Álvaro Tafur Galvis.</w:t>
      </w:r>
    </w:p>
  </w:footnote>
  <w:footnote w:id="9">
    <w:p w:rsidR="006F7C8F" w:rsidRPr="00DE054E" w:rsidRDefault="006F7C8F" w:rsidP="00B379EB">
      <w:pPr>
        <w:pStyle w:val="Textonotapie"/>
        <w:rPr>
          <w:rFonts w:ascii="Bookman Old Style" w:hAnsi="Bookman Old Style"/>
          <w:sz w:val="16"/>
          <w:szCs w:val="16"/>
        </w:rPr>
      </w:pPr>
      <w:r w:rsidRPr="00DE054E">
        <w:rPr>
          <w:rStyle w:val="Refdenotaalpie"/>
          <w:rFonts w:ascii="Bookman Old Style" w:hAnsi="Bookman Old Style"/>
          <w:sz w:val="16"/>
          <w:szCs w:val="16"/>
        </w:rPr>
        <w:footnoteRef/>
      </w:r>
      <w:r w:rsidRPr="00B379EB">
        <w:rPr>
          <w:rStyle w:val="Refdenotaalpie"/>
          <w:rFonts w:ascii="Bookman Old Style" w:hAnsi="Bookman Old Style"/>
        </w:rPr>
        <w:t xml:space="preserve"> </w:t>
      </w:r>
      <w:r w:rsidRPr="00DE054E">
        <w:rPr>
          <w:rFonts w:ascii="Bookman Old Style" w:hAnsi="Bookman Old Style"/>
          <w:sz w:val="16"/>
          <w:szCs w:val="16"/>
        </w:rPr>
        <w:t xml:space="preserve">En el artículo 10 de la Resolución CREG 126 de 2010 se establece una tasa de 15,02%, real antes de impuestos, para el cargo fijo y 17,70%, real antes de impuestos, para el cargo variable. En metodologías de ingreso regulado, como la aplicable en la actividad de transmisión de energía eléctrica en Colombia, la tasa es de 11,5% real antes de impuestos.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C8F" w:rsidRDefault="006F7C8F" w:rsidP="00951F79">
    <w:pPr>
      <w:pStyle w:val="Ttulo1"/>
      <w:ind w:right="6"/>
      <w:jc w:val="left"/>
      <w:rPr>
        <w:rFonts w:ascii="Bookman Old Style" w:hAnsi="Bookman Old Style" w:cs="Arial"/>
        <w:b w:val="0"/>
        <w:sz w:val="22"/>
        <w:szCs w:val="22"/>
      </w:rPr>
    </w:pPr>
  </w:p>
  <w:p w:rsidR="006F7C8F" w:rsidRPr="00951F79" w:rsidRDefault="006F7C8F"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5A2DE2">
      <w:rPr>
        <w:rFonts w:ascii="Bookman Old Style" w:hAnsi="Bookman Old Style" w:cs="Arial"/>
        <w:b w:val="0"/>
        <w:noProof/>
        <w:sz w:val="22"/>
        <w:szCs w:val="22"/>
      </w:rPr>
      <w:t>16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5A2DE2" w:rsidRPr="005A2DE2">
        <w:rPr>
          <w:rFonts w:ascii="Bookman Old Style" w:hAnsi="Bookman Old Style" w:cs="Arial"/>
          <w:b w:val="0"/>
          <w:noProof/>
          <w:sz w:val="22"/>
          <w:szCs w:val="22"/>
        </w:rPr>
        <w:t>16</w:t>
      </w:r>
    </w:fldSimple>
  </w:p>
  <w:p w:rsidR="006F7C8F" w:rsidRDefault="005A2DE2"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-174625</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75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" filled="f" strokeweight="1.5pt"/>
          </w:pict>
        </mc:Fallback>
      </mc:AlternateContent>
    </w:r>
  </w:p>
  <w:p w:rsidR="00B9084B" w:rsidRPr="00B9084B" w:rsidRDefault="00B9084B" w:rsidP="00B9084B">
    <w:pPr>
      <w:ind w:left="0"/>
      <w:jc w:val="both"/>
      <w:rPr>
        <w:rFonts w:ascii="Bookman Old Style" w:hAnsi="Bookman Old Style"/>
        <w:sz w:val="22"/>
        <w:szCs w:val="22"/>
      </w:rPr>
    </w:pPr>
    <w:r w:rsidRPr="00B9084B">
      <w:rPr>
        <w:rFonts w:ascii="Bookman Old Style" w:hAnsi="Bookman Old Style"/>
        <w:sz w:val="22"/>
        <w:szCs w:val="22"/>
      </w:rPr>
      <w:t>Por la cual se resuelve el recurso de reposición interpuesto contra la Resolución CREG 140 de 2012, “Por la cual se establecen los cargos regulados para el sistema regional de transporte Boyacá Central, según solicitud de la Transportadora de Gas Internacional S.A. E.S.P., TGI S.A. E.S.P.”</w:t>
    </w:r>
  </w:p>
  <w:p w:rsidR="006F7C8F" w:rsidRPr="00B9084B" w:rsidRDefault="006F7C8F" w:rsidP="00B9084B">
    <w:pPr>
      <w:pBdr>
        <w:bottom w:val="single" w:sz="4" w:space="11" w:color="auto"/>
      </w:pBdr>
      <w:ind w:left="142" w:right="147"/>
      <w:jc w:val="both"/>
      <w:rPr>
        <w:rFonts w:ascii="Bookman Old Style" w:hAnsi="Bookman Old Style" w:cs="Arial"/>
        <w:i/>
        <w:color w:val="000000" w:themeColor="text1"/>
        <w:sz w:val="6"/>
        <w:szCs w:val="22"/>
        <w:lang w:eastAsia="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C8F" w:rsidRDefault="006F7C8F" w:rsidP="002A677D">
    <w:pPr>
      <w:pStyle w:val="Encabezado"/>
      <w:jc w:val="both"/>
      <w:rPr>
        <w:rFonts w:ascii="Arial" w:hAnsi="Arial" w:cs="Arial"/>
        <w:spacing w:val="20"/>
        <w:sz w:val="20"/>
      </w:rPr>
    </w:pPr>
    <w:r>
      <w:rPr>
        <w:rFonts w:ascii="Arial" w:hAnsi="Arial" w:cs="Arial"/>
        <w:spacing w:val="20"/>
        <w:sz w:val="20"/>
      </w:rPr>
      <w:t xml:space="preserve">                                   República de Colombia</w:t>
    </w:r>
  </w:p>
  <w:p w:rsidR="006F7C8F" w:rsidRDefault="006F7C8F">
    <w:pPr>
      <w:pStyle w:val="Encabezado"/>
      <w:jc w:val="center"/>
      <w:rPr>
        <w:rFonts w:ascii="Arial" w:hAnsi="Arial" w:cs="Arial"/>
        <w:spacing w:val="20"/>
        <w:sz w:val="20"/>
      </w:rPr>
    </w:pPr>
  </w:p>
  <w:p w:rsidR="006F7C8F" w:rsidRDefault="005A2DE2" w:rsidP="00CA77FB">
    <w:pPr>
      <w:pStyle w:val="Encabezado"/>
      <w:jc w:val="center"/>
    </w:pPr>
    <w:r>
      <w:rPr>
        <w:noProof/>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multilevel"/>
    <w:tmpl w:val="D16E102A"/>
    <w:lvl w:ilvl="0">
      <w:start w:val="1"/>
      <w:numFmt w:val="decimal"/>
      <w:pStyle w:val="Estilo2"/>
      <w:lvlText w:val="Artículo %1."/>
      <w:lvlJc w:val="left"/>
      <w:pPr>
        <w:tabs>
          <w:tab w:val="num" w:pos="5126"/>
        </w:tabs>
        <w:ind w:left="3686" w:firstLine="0"/>
      </w:pPr>
      <w:rPr>
        <w:rFonts w:hint="default"/>
        <w:b/>
        <w:i w:val="0"/>
      </w:rPr>
    </w:lvl>
    <w:lvl w:ilvl="1">
      <w:start w:val="1"/>
      <w:numFmt w:val="lowerLetter"/>
      <w:lvlText w:val="%2)"/>
      <w:lvlJc w:val="left"/>
      <w:pPr>
        <w:ind w:left="1455" w:hanging="375"/>
      </w:pPr>
      <w:rPr>
        <w:rFont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86E1FF9"/>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nsid w:val="0B1C5795"/>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0CB11DAB"/>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nsid w:val="0E017D7A"/>
    <w:multiLevelType w:val="hybridMultilevel"/>
    <w:tmpl w:val="2EB40D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EE2331E"/>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nsid w:val="11CE4180"/>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15F6250D"/>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1C2740DC"/>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nsid w:val="1DB30709"/>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21D05B0C"/>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nsid w:val="21EC0501"/>
    <w:multiLevelType w:val="hybridMultilevel"/>
    <w:tmpl w:val="3F68C982"/>
    <w:lvl w:ilvl="0" w:tplc="62B6354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447747A"/>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nsid w:val="28CA1AC6"/>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nsid w:val="2A083A58"/>
    <w:multiLevelType w:val="hybridMultilevel"/>
    <w:tmpl w:val="8ADED7EE"/>
    <w:lvl w:ilvl="0" w:tplc="5DDAE2DA">
      <w:start w:val="1"/>
      <w:numFmt w:val="lowerRoman"/>
      <w:lvlText w:val="%1)"/>
      <w:lvlJc w:val="left"/>
      <w:pPr>
        <w:ind w:left="1080" w:hanging="720"/>
      </w:pPr>
      <w:rPr>
        <w:rFonts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F2F6827"/>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nsid w:val="301E2343"/>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nsid w:val="3213303F"/>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nsid w:val="40BF1C67"/>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nsid w:val="422D6B82"/>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nsid w:val="42DA5DEE"/>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1">
    <w:nsid w:val="463F3243"/>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nsid w:val="46C95E1B"/>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nsid w:val="475D0741"/>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nsid w:val="5D99076B"/>
    <w:multiLevelType w:val="hybridMultilevel"/>
    <w:tmpl w:val="55D2E8FE"/>
    <w:lvl w:ilvl="0" w:tplc="B5B80C96">
      <w:start w:val="1"/>
      <w:numFmt w:val="decimal"/>
      <w:pStyle w:val="Comentarios"/>
      <w:lvlText w:val="Comentario %1."/>
      <w:lvlJc w:val="left"/>
      <w:pPr>
        <w:tabs>
          <w:tab w:val="num" w:pos="1800"/>
        </w:tabs>
        <w:ind w:left="0" w:firstLine="0"/>
      </w:pPr>
      <w:rPr>
        <w:rFonts w:ascii="Arial" w:hAnsi="Arial"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63D820DC"/>
    <w:multiLevelType w:val="hybridMultilevel"/>
    <w:tmpl w:val="127A1A24"/>
    <w:lvl w:ilvl="0" w:tplc="0ED8C4B0">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6">
    <w:nsid w:val="684142E0"/>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nsid w:val="6A7A0E04"/>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8">
    <w:nsid w:val="6CE27A40"/>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nsid w:val="6FB65618"/>
    <w:multiLevelType w:val="hybridMultilevel"/>
    <w:tmpl w:val="6D749118"/>
    <w:lvl w:ilvl="0" w:tplc="76AC2FD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3432BD8"/>
    <w:multiLevelType w:val="hybridMultilevel"/>
    <w:tmpl w:val="FFFCEB46"/>
    <w:lvl w:ilvl="0" w:tplc="6E4CF9B8">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CO"/>
        <w:specVanish w:val="0"/>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31">
    <w:nsid w:val="75D94929"/>
    <w:multiLevelType w:val="hybridMultilevel"/>
    <w:tmpl w:val="1AFEDE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79436B9"/>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3">
    <w:nsid w:val="7D3E74E3"/>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30"/>
  </w:num>
  <w:num w:numId="2">
    <w:abstractNumId w:val="24"/>
  </w:num>
  <w:num w:numId="3">
    <w:abstractNumId w:val="0"/>
  </w:num>
  <w:num w:numId="4">
    <w:abstractNumId w:val="16"/>
  </w:num>
  <w:num w:numId="5">
    <w:abstractNumId w:val="9"/>
  </w:num>
  <w:num w:numId="6">
    <w:abstractNumId w:val="19"/>
  </w:num>
  <w:num w:numId="7">
    <w:abstractNumId w:val="8"/>
  </w:num>
  <w:num w:numId="8">
    <w:abstractNumId w:val="20"/>
  </w:num>
  <w:num w:numId="9">
    <w:abstractNumId w:val="32"/>
  </w:num>
  <w:num w:numId="10">
    <w:abstractNumId w:val="23"/>
  </w:num>
  <w:num w:numId="11">
    <w:abstractNumId w:val="15"/>
  </w:num>
  <w:num w:numId="12">
    <w:abstractNumId w:val="3"/>
  </w:num>
  <w:num w:numId="13">
    <w:abstractNumId w:val="10"/>
  </w:num>
  <w:num w:numId="14">
    <w:abstractNumId w:val="6"/>
  </w:num>
  <w:num w:numId="15">
    <w:abstractNumId w:val="2"/>
  </w:num>
  <w:num w:numId="16">
    <w:abstractNumId w:val="33"/>
  </w:num>
  <w:num w:numId="17">
    <w:abstractNumId w:val="26"/>
  </w:num>
  <w:num w:numId="18">
    <w:abstractNumId w:val="17"/>
  </w:num>
  <w:num w:numId="19">
    <w:abstractNumId w:val="13"/>
  </w:num>
  <w:num w:numId="20">
    <w:abstractNumId w:val="5"/>
  </w:num>
  <w:num w:numId="21">
    <w:abstractNumId w:val="7"/>
  </w:num>
  <w:num w:numId="22">
    <w:abstractNumId w:val="12"/>
  </w:num>
  <w:num w:numId="23">
    <w:abstractNumId w:val="21"/>
  </w:num>
  <w:num w:numId="24">
    <w:abstractNumId w:val="28"/>
  </w:num>
  <w:num w:numId="25">
    <w:abstractNumId w:val="1"/>
  </w:num>
  <w:num w:numId="26">
    <w:abstractNumId w:val="27"/>
  </w:num>
  <w:num w:numId="27">
    <w:abstractNumId w:val="22"/>
  </w:num>
  <w:num w:numId="28">
    <w:abstractNumId w:val="18"/>
  </w:num>
  <w:num w:numId="29">
    <w:abstractNumId w:val="11"/>
  </w:num>
  <w:num w:numId="30">
    <w:abstractNumId w:val="31"/>
  </w:num>
  <w:num w:numId="31">
    <w:abstractNumId w:val="29"/>
  </w:num>
  <w:num w:numId="32">
    <w:abstractNumId w:val="4"/>
  </w:num>
  <w:num w:numId="33">
    <w:abstractNumId w:val="25"/>
  </w:num>
  <w:num w:numId="34">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0850"/>
    <w:rsid w:val="00000CF9"/>
    <w:rsid w:val="00000FCB"/>
    <w:rsid w:val="0000183C"/>
    <w:rsid w:val="00001A61"/>
    <w:rsid w:val="000034E8"/>
    <w:rsid w:val="000037CF"/>
    <w:rsid w:val="00004D83"/>
    <w:rsid w:val="00006AE2"/>
    <w:rsid w:val="00006E06"/>
    <w:rsid w:val="00006F95"/>
    <w:rsid w:val="000076A1"/>
    <w:rsid w:val="00007F69"/>
    <w:rsid w:val="00010B1D"/>
    <w:rsid w:val="00012259"/>
    <w:rsid w:val="00013271"/>
    <w:rsid w:val="00013DEA"/>
    <w:rsid w:val="00015427"/>
    <w:rsid w:val="0001551B"/>
    <w:rsid w:val="00015752"/>
    <w:rsid w:val="00015C89"/>
    <w:rsid w:val="0001631E"/>
    <w:rsid w:val="00016A46"/>
    <w:rsid w:val="00017983"/>
    <w:rsid w:val="00023A14"/>
    <w:rsid w:val="000252D3"/>
    <w:rsid w:val="00025383"/>
    <w:rsid w:val="00025E09"/>
    <w:rsid w:val="00025F94"/>
    <w:rsid w:val="0003016E"/>
    <w:rsid w:val="00030595"/>
    <w:rsid w:val="00030C8A"/>
    <w:rsid w:val="00033795"/>
    <w:rsid w:val="00035268"/>
    <w:rsid w:val="00035CE1"/>
    <w:rsid w:val="00036072"/>
    <w:rsid w:val="00037BB4"/>
    <w:rsid w:val="00037F75"/>
    <w:rsid w:val="00043BFB"/>
    <w:rsid w:val="00044247"/>
    <w:rsid w:val="00044C64"/>
    <w:rsid w:val="0004566B"/>
    <w:rsid w:val="00046E7F"/>
    <w:rsid w:val="0004777C"/>
    <w:rsid w:val="00047D40"/>
    <w:rsid w:val="000500E1"/>
    <w:rsid w:val="00052267"/>
    <w:rsid w:val="00053EBD"/>
    <w:rsid w:val="0005424A"/>
    <w:rsid w:val="00054833"/>
    <w:rsid w:val="00054F7D"/>
    <w:rsid w:val="00055386"/>
    <w:rsid w:val="000572D1"/>
    <w:rsid w:val="000579E3"/>
    <w:rsid w:val="00057DD5"/>
    <w:rsid w:val="0006018C"/>
    <w:rsid w:val="00063657"/>
    <w:rsid w:val="00063E0C"/>
    <w:rsid w:val="00064B58"/>
    <w:rsid w:val="00065424"/>
    <w:rsid w:val="00065CA6"/>
    <w:rsid w:val="00067207"/>
    <w:rsid w:val="00067583"/>
    <w:rsid w:val="00067F10"/>
    <w:rsid w:val="0007035C"/>
    <w:rsid w:val="00071928"/>
    <w:rsid w:val="00074F03"/>
    <w:rsid w:val="0007624F"/>
    <w:rsid w:val="00076407"/>
    <w:rsid w:val="00076680"/>
    <w:rsid w:val="00076A1D"/>
    <w:rsid w:val="00077437"/>
    <w:rsid w:val="000804FD"/>
    <w:rsid w:val="0008073E"/>
    <w:rsid w:val="0008081B"/>
    <w:rsid w:val="00081ECC"/>
    <w:rsid w:val="000820DE"/>
    <w:rsid w:val="00082535"/>
    <w:rsid w:val="00082B44"/>
    <w:rsid w:val="00082BCD"/>
    <w:rsid w:val="0008407A"/>
    <w:rsid w:val="0008576E"/>
    <w:rsid w:val="00087095"/>
    <w:rsid w:val="00087591"/>
    <w:rsid w:val="00090F11"/>
    <w:rsid w:val="00091592"/>
    <w:rsid w:val="00091CDB"/>
    <w:rsid w:val="00091FFE"/>
    <w:rsid w:val="000924E9"/>
    <w:rsid w:val="00092660"/>
    <w:rsid w:val="0009270C"/>
    <w:rsid w:val="000928B4"/>
    <w:rsid w:val="000937B4"/>
    <w:rsid w:val="00096E65"/>
    <w:rsid w:val="0009746D"/>
    <w:rsid w:val="000A19AC"/>
    <w:rsid w:val="000A21C6"/>
    <w:rsid w:val="000A2253"/>
    <w:rsid w:val="000A2261"/>
    <w:rsid w:val="000A3461"/>
    <w:rsid w:val="000A3583"/>
    <w:rsid w:val="000A3BBE"/>
    <w:rsid w:val="000A4DC1"/>
    <w:rsid w:val="000A6122"/>
    <w:rsid w:val="000A61D3"/>
    <w:rsid w:val="000A734C"/>
    <w:rsid w:val="000A77BF"/>
    <w:rsid w:val="000A7BEE"/>
    <w:rsid w:val="000B0415"/>
    <w:rsid w:val="000B0674"/>
    <w:rsid w:val="000B082C"/>
    <w:rsid w:val="000B1E7A"/>
    <w:rsid w:val="000B2053"/>
    <w:rsid w:val="000B3169"/>
    <w:rsid w:val="000B6E6F"/>
    <w:rsid w:val="000C06F6"/>
    <w:rsid w:val="000C0F6A"/>
    <w:rsid w:val="000C2F8E"/>
    <w:rsid w:val="000C317C"/>
    <w:rsid w:val="000C34C1"/>
    <w:rsid w:val="000C3A94"/>
    <w:rsid w:val="000C4489"/>
    <w:rsid w:val="000C488E"/>
    <w:rsid w:val="000C5A83"/>
    <w:rsid w:val="000C6851"/>
    <w:rsid w:val="000C6FA5"/>
    <w:rsid w:val="000C7280"/>
    <w:rsid w:val="000C7621"/>
    <w:rsid w:val="000C76A4"/>
    <w:rsid w:val="000D1456"/>
    <w:rsid w:val="000D166D"/>
    <w:rsid w:val="000D26F8"/>
    <w:rsid w:val="000D2EF2"/>
    <w:rsid w:val="000D2FC3"/>
    <w:rsid w:val="000D3209"/>
    <w:rsid w:val="000D3633"/>
    <w:rsid w:val="000D44B7"/>
    <w:rsid w:val="000D45B1"/>
    <w:rsid w:val="000D52BA"/>
    <w:rsid w:val="000D5B92"/>
    <w:rsid w:val="000D63C3"/>
    <w:rsid w:val="000D70C6"/>
    <w:rsid w:val="000D77FA"/>
    <w:rsid w:val="000E008F"/>
    <w:rsid w:val="000E0A0E"/>
    <w:rsid w:val="000E0DA4"/>
    <w:rsid w:val="000E1B71"/>
    <w:rsid w:val="000E1DD8"/>
    <w:rsid w:val="000E28C9"/>
    <w:rsid w:val="000E47D5"/>
    <w:rsid w:val="000E4990"/>
    <w:rsid w:val="000E5806"/>
    <w:rsid w:val="000E78C7"/>
    <w:rsid w:val="000F1A7E"/>
    <w:rsid w:val="000F1E21"/>
    <w:rsid w:val="000F2EB3"/>
    <w:rsid w:val="000F40D6"/>
    <w:rsid w:val="000F706A"/>
    <w:rsid w:val="000F7938"/>
    <w:rsid w:val="00103232"/>
    <w:rsid w:val="0010373E"/>
    <w:rsid w:val="00104E62"/>
    <w:rsid w:val="00105093"/>
    <w:rsid w:val="0010546E"/>
    <w:rsid w:val="00106B1A"/>
    <w:rsid w:val="00107A62"/>
    <w:rsid w:val="0011064E"/>
    <w:rsid w:val="0011089E"/>
    <w:rsid w:val="00112B37"/>
    <w:rsid w:val="00114704"/>
    <w:rsid w:val="001148DF"/>
    <w:rsid w:val="001151F3"/>
    <w:rsid w:val="001159F1"/>
    <w:rsid w:val="00116126"/>
    <w:rsid w:val="00116BF8"/>
    <w:rsid w:val="00116C33"/>
    <w:rsid w:val="001170D2"/>
    <w:rsid w:val="00121211"/>
    <w:rsid w:val="0012269D"/>
    <w:rsid w:val="00123B5C"/>
    <w:rsid w:val="00124F81"/>
    <w:rsid w:val="00125218"/>
    <w:rsid w:val="00125731"/>
    <w:rsid w:val="00126C83"/>
    <w:rsid w:val="001324AB"/>
    <w:rsid w:val="001324B1"/>
    <w:rsid w:val="001354D9"/>
    <w:rsid w:val="00135CA0"/>
    <w:rsid w:val="00136108"/>
    <w:rsid w:val="00136D5A"/>
    <w:rsid w:val="00137A4C"/>
    <w:rsid w:val="001405C6"/>
    <w:rsid w:val="00140832"/>
    <w:rsid w:val="00141013"/>
    <w:rsid w:val="00141A71"/>
    <w:rsid w:val="00145B0F"/>
    <w:rsid w:val="00146CC4"/>
    <w:rsid w:val="001473CE"/>
    <w:rsid w:val="00147C22"/>
    <w:rsid w:val="00150D46"/>
    <w:rsid w:val="001549CA"/>
    <w:rsid w:val="00154D0F"/>
    <w:rsid w:val="00160FB1"/>
    <w:rsid w:val="0016196C"/>
    <w:rsid w:val="00161F54"/>
    <w:rsid w:val="0016207A"/>
    <w:rsid w:val="00162362"/>
    <w:rsid w:val="00162D48"/>
    <w:rsid w:val="00163363"/>
    <w:rsid w:val="00163747"/>
    <w:rsid w:val="00163CB1"/>
    <w:rsid w:val="0016484E"/>
    <w:rsid w:val="0016562D"/>
    <w:rsid w:val="00167871"/>
    <w:rsid w:val="0017065F"/>
    <w:rsid w:val="0017302C"/>
    <w:rsid w:val="001731FA"/>
    <w:rsid w:val="001732D9"/>
    <w:rsid w:val="001733E9"/>
    <w:rsid w:val="0017392D"/>
    <w:rsid w:val="00173ADC"/>
    <w:rsid w:val="001743A6"/>
    <w:rsid w:val="00174DC5"/>
    <w:rsid w:val="00175E65"/>
    <w:rsid w:val="001776E2"/>
    <w:rsid w:val="00180432"/>
    <w:rsid w:val="00180DD5"/>
    <w:rsid w:val="00182B14"/>
    <w:rsid w:val="00183DA2"/>
    <w:rsid w:val="00184E7C"/>
    <w:rsid w:val="00185B11"/>
    <w:rsid w:val="00185C24"/>
    <w:rsid w:val="0018733B"/>
    <w:rsid w:val="00187C0F"/>
    <w:rsid w:val="0019085C"/>
    <w:rsid w:val="0019169B"/>
    <w:rsid w:val="0019256B"/>
    <w:rsid w:val="001927F6"/>
    <w:rsid w:val="00192CBF"/>
    <w:rsid w:val="00192FF1"/>
    <w:rsid w:val="00194044"/>
    <w:rsid w:val="001947F7"/>
    <w:rsid w:val="00194FD4"/>
    <w:rsid w:val="00195A39"/>
    <w:rsid w:val="0019740A"/>
    <w:rsid w:val="00197D44"/>
    <w:rsid w:val="001A1359"/>
    <w:rsid w:val="001A1AF4"/>
    <w:rsid w:val="001A3997"/>
    <w:rsid w:val="001A5B11"/>
    <w:rsid w:val="001A5F1B"/>
    <w:rsid w:val="001A71EE"/>
    <w:rsid w:val="001A754C"/>
    <w:rsid w:val="001A7EE0"/>
    <w:rsid w:val="001B124E"/>
    <w:rsid w:val="001B1C22"/>
    <w:rsid w:val="001B31DC"/>
    <w:rsid w:val="001B32F6"/>
    <w:rsid w:val="001B34C6"/>
    <w:rsid w:val="001B45E5"/>
    <w:rsid w:val="001B7C29"/>
    <w:rsid w:val="001B7C41"/>
    <w:rsid w:val="001C0466"/>
    <w:rsid w:val="001C321E"/>
    <w:rsid w:val="001C333A"/>
    <w:rsid w:val="001C42E6"/>
    <w:rsid w:val="001C4452"/>
    <w:rsid w:val="001C534F"/>
    <w:rsid w:val="001C6764"/>
    <w:rsid w:val="001C6B76"/>
    <w:rsid w:val="001C6C45"/>
    <w:rsid w:val="001C7346"/>
    <w:rsid w:val="001C76D5"/>
    <w:rsid w:val="001D026A"/>
    <w:rsid w:val="001D0277"/>
    <w:rsid w:val="001D142C"/>
    <w:rsid w:val="001D1DBE"/>
    <w:rsid w:val="001D3786"/>
    <w:rsid w:val="001D3CE4"/>
    <w:rsid w:val="001D40AF"/>
    <w:rsid w:val="001D5629"/>
    <w:rsid w:val="001D5678"/>
    <w:rsid w:val="001D7832"/>
    <w:rsid w:val="001D7AA6"/>
    <w:rsid w:val="001E0967"/>
    <w:rsid w:val="001E2064"/>
    <w:rsid w:val="001E229D"/>
    <w:rsid w:val="001E4863"/>
    <w:rsid w:val="001E4CD1"/>
    <w:rsid w:val="001E4CE7"/>
    <w:rsid w:val="001E5BAA"/>
    <w:rsid w:val="001E644F"/>
    <w:rsid w:val="001E6826"/>
    <w:rsid w:val="001F0A15"/>
    <w:rsid w:val="001F0EB9"/>
    <w:rsid w:val="001F262B"/>
    <w:rsid w:val="001F3511"/>
    <w:rsid w:val="001F4930"/>
    <w:rsid w:val="001F5450"/>
    <w:rsid w:val="001F5941"/>
    <w:rsid w:val="001F733A"/>
    <w:rsid w:val="0020089E"/>
    <w:rsid w:val="00200A20"/>
    <w:rsid w:val="00200E30"/>
    <w:rsid w:val="00200EDD"/>
    <w:rsid w:val="00204634"/>
    <w:rsid w:val="00205253"/>
    <w:rsid w:val="0021000F"/>
    <w:rsid w:val="002109F1"/>
    <w:rsid w:val="00211D34"/>
    <w:rsid w:val="0021209C"/>
    <w:rsid w:val="002124A3"/>
    <w:rsid w:val="00212CEF"/>
    <w:rsid w:val="002138E4"/>
    <w:rsid w:val="00214116"/>
    <w:rsid w:val="0021438D"/>
    <w:rsid w:val="002145F3"/>
    <w:rsid w:val="002149EB"/>
    <w:rsid w:val="00214DAF"/>
    <w:rsid w:val="00214F04"/>
    <w:rsid w:val="00216F2F"/>
    <w:rsid w:val="002203BC"/>
    <w:rsid w:val="00220892"/>
    <w:rsid w:val="00220957"/>
    <w:rsid w:val="00220D15"/>
    <w:rsid w:val="002210A7"/>
    <w:rsid w:val="00221447"/>
    <w:rsid w:val="00221515"/>
    <w:rsid w:val="00221EEE"/>
    <w:rsid w:val="00222D03"/>
    <w:rsid w:val="00223247"/>
    <w:rsid w:val="0022583F"/>
    <w:rsid w:val="002318B6"/>
    <w:rsid w:val="002358B9"/>
    <w:rsid w:val="00235B05"/>
    <w:rsid w:val="00236264"/>
    <w:rsid w:val="00236C85"/>
    <w:rsid w:val="002375C3"/>
    <w:rsid w:val="00237650"/>
    <w:rsid w:val="00237D8B"/>
    <w:rsid w:val="00241CA1"/>
    <w:rsid w:val="00241D77"/>
    <w:rsid w:val="002425C3"/>
    <w:rsid w:val="00243C1C"/>
    <w:rsid w:val="002446FD"/>
    <w:rsid w:val="00244761"/>
    <w:rsid w:val="00244B7E"/>
    <w:rsid w:val="00244EA3"/>
    <w:rsid w:val="00245E18"/>
    <w:rsid w:val="002465C1"/>
    <w:rsid w:val="002510FC"/>
    <w:rsid w:val="00251C06"/>
    <w:rsid w:val="002536BB"/>
    <w:rsid w:val="00253985"/>
    <w:rsid w:val="00254057"/>
    <w:rsid w:val="002541A2"/>
    <w:rsid w:val="002542EF"/>
    <w:rsid w:val="002550A4"/>
    <w:rsid w:val="002557A1"/>
    <w:rsid w:val="002606E5"/>
    <w:rsid w:val="00260C6C"/>
    <w:rsid w:val="00260FA2"/>
    <w:rsid w:val="002615BC"/>
    <w:rsid w:val="00261A49"/>
    <w:rsid w:val="0026238B"/>
    <w:rsid w:val="00262E20"/>
    <w:rsid w:val="0026301C"/>
    <w:rsid w:val="00263A62"/>
    <w:rsid w:val="0026544D"/>
    <w:rsid w:val="00266696"/>
    <w:rsid w:val="00266CD6"/>
    <w:rsid w:val="00267F1F"/>
    <w:rsid w:val="002705BE"/>
    <w:rsid w:val="0027094B"/>
    <w:rsid w:val="00272E35"/>
    <w:rsid w:val="00274195"/>
    <w:rsid w:val="00274ABB"/>
    <w:rsid w:val="00275234"/>
    <w:rsid w:val="00275844"/>
    <w:rsid w:val="00275DAB"/>
    <w:rsid w:val="00277007"/>
    <w:rsid w:val="00280439"/>
    <w:rsid w:val="00280809"/>
    <w:rsid w:val="00280C5A"/>
    <w:rsid w:val="00280C96"/>
    <w:rsid w:val="00285AB7"/>
    <w:rsid w:val="00286C43"/>
    <w:rsid w:val="002870CA"/>
    <w:rsid w:val="0028750E"/>
    <w:rsid w:val="00287F5C"/>
    <w:rsid w:val="00290209"/>
    <w:rsid w:val="00290DF9"/>
    <w:rsid w:val="00291DC7"/>
    <w:rsid w:val="002927A1"/>
    <w:rsid w:val="0029542F"/>
    <w:rsid w:val="002A355B"/>
    <w:rsid w:val="002A677D"/>
    <w:rsid w:val="002A782A"/>
    <w:rsid w:val="002A7A47"/>
    <w:rsid w:val="002B1063"/>
    <w:rsid w:val="002B10AF"/>
    <w:rsid w:val="002B11E2"/>
    <w:rsid w:val="002B231D"/>
    <w:rsid w:val="002B24B8"/>
    <w:rsid w:val="002B272E"/>
    <w:rsid w:val="002B31C3"/>
    <w:rsid w:val="002B356B"/>
    <w:rsid w:val="002B4647"/>
    <w:rsid w:val="002B6178"/>
    <w:rsid w:val="002C12E1"/>
    <w:rsid w:val="002C1C94"/>
    <w:rsid w:val="002C1F64"/>
    <w:rsid w:val="002C2043"/>
    <w:rsid w:val="002C3ADF"/>
    <w:rsid w:val="002C41EA"/>
    <w:rsid w:val="002C4918"/>
    <w:rsid w:val="002C4C14"/>
    <w:rsid w:val="002C61FB"/>
    <w:rsid w:val="002C6D5B"/>
    <w:rsid w:val="002D14D6"/>
    <w:rsid w:val="002D2900"/>
    <w:rsid w:val="002D3936"/>
    <w:rsid w:val="002D3AE9"/>
    <w:rsid w:val="002D4510"/>
    <w:rsid w:val="002D5983"/>
    <w:rsid w:val="002D5F5F"/>
    <w:rsid w:val="002D694E"/>
    <w:rsid w:val="002D7417"/>
    <w:rsid w:val="002E0B6A"/>
    <w:rsid w:val="002E0D69"/>
    <w:rsid w:val="002E13D6"/>
    <w:rsid w:val="002E2200"/>
    <w:rsid w:val="002E3BE2"/>
    <w:rsid w:val="002E3F34"/>
    <w:rsid w:val="002E45FB"/>
    <w:rsid w:val="002E4A7B"/>
    <w:rsid w:val="002E52A2"/>
    <w:rsid w:val="002E7161"/>
    <w:rsid w:val="002E7392"/>
    <w:rsid w:val="002E7C97"/>
    <w:rsid w:val="002F0734"/>
    <w:rsid w:val="002F1C15"/>
    <w:rsid w:val="002F1F22"/>
    <w:rsid w:val="002F2230"/>
    <w:rsid w:val="002F2CAE"/>
    <w:rsid w:val="002F38C7"/>
    <w:rsid w:val="002F46E7"/>
    <w:rsid w:val="002F4B5A"/>
    <w:rsid w:val="002F598F"/>
    <w:rsid w:val="002F5DE0"/>
    <w:rsid w:val="002F69E2"/>
    <w:rsid w:val="002F6B2D"/>
    <w:rsid w:val="002F6FA4"/>
    <w:rsid w:val="003002CF"/>
    <w:rsid w:val="00300658"/>
    <w:rsid w:val="00303680"/>
    <w:rsid w:val="00303B0C"/>
    <w:rsid w:val="003050F2"/>
    <w:rsid w:val="00306892"/>
    <w:rsid w:val="0030740A"/>
    <w:rsid w:val="00307E78"/>
    <w:rsid w:val="003101DA"/>
    <w:rsid w:val="003104E6"/>
    <w:rsid w:val="003112F3"/>
    <w:rsid w:val="00311727"/>
    <w:rsid w:val="003140F6"/>
    <w:rsid w:val="00314757"/>
    <w:rsid w:val="00315CB2"/>
    <w:rsid w:val="00315D1E"/>
    <w:rsid w:val="00315D7A"/>
    <w:rsid w:val="00316494"/>
    <w:rsid w:val="003167A7"/>
    <w:rsid w:val="0031692B"/>
    <w:rsid w:val="003172F2"/>
    <w:rsid w:val="00317AAB"/>
    <w:rsid w:val="00321005"/>
    <w:rsid w:val="003211CE"/>
    <w:rsid w:val="00321514"/>
    <w:rsid w:val="00321A5C"/>
    <w:rsid w:val="003225CF"/>
    <w:rsid w:val="00322725"/>
    <w:rsid w:val="00325DC9"/>
    <w:rsid w:val="00326EC9"/>
    <w:rsid w:val="003277CA"/>
    <w:rsid w:val="00330664"/>
    <w:rsid w:val="00330F48"/>
    <w:rsid w:val="00330FC7"/>
    <w:rsid w:val="00331519"/>
    <w:rsid w:val="00331776"/>
    <w:rsid w:val="00332889"/>
    <w:rsid w:val="003339A3"/>
    <w:rsid w:val="0033586A"/>
    <w:rsid w:val="00336511"/>
    <w:rsid w:val="003368B9"/>
    <w:rsid w:val="00340036"/>
    <w:rsid w:val="003405EE"/>
    <w:rsid w:val="0034339A"/>
    <w:rsid w:val="00343AAF"/>
    <w:rsid w:val="00344A2D"/>
    <w:rsid w:val="003457B0"/>
    <w:rsid w:val="003458C2"/>
    <w:rsid w:val="003458D5"/>
    <w:rsid w:val="00345F9C"/>
    <w:rsid w:val="0034634C"/>
    <w:rsid w:val="00346ACD"/>
    <w:rsid w:val="003510EA"/>
    <w:rsid w:val="0035131F"/>
    <w:rsid w:val="003514BA"/>
    <w:rsid w:val="003522D8"/>
    <w:rsid w:val="003532CD"/>
    <w:rsid w:val="0035403A"/>
    <w:rsid w:val="00354CB2"/>
    <w:rsid w:val="00355BB8"/>
    <w:rsid w:val="00355CFA"/>
    <w:rsid w:val="00355F9C"/>
    <w:rsid w:val="003567D1"/>
    <w:rsid w:val="00356A4F"/>
    <w:rsid w:val="00360266"/>
    <w:rsid w:val="003615C0"/>
    <w:rsid w:val="0036296C"/>
    <w:rsid w:val="0036394B"/>
    <w:rsid w:val="00363FEF"/>
    <w:rsid w:val="00365054"/>
    <w:rsid w:val="00366163"/>
    <w:rsid w:val="003662EC"/>
    <w:rsid w:val="003666DE"/>
    <w:rsid w:val="00367EDD"/>
    <w:rsid w:val="0037046B"/>
    <w:rsid w:val="003709B5"/>
    <w:rsid w:val="00371444"/>
    <w:rsid w:val="00371FF1"/>
    <w:rsid w:val="00372B00"/>
    <w:rsid w:val="00373972"/>
    <w:rsid w:val="00374459"/>
    <w:rsid w:val="003759C2"/>
    <w:rsid w:val="00377FBE"/>
    <w:rsid w:val="00380469"/>
    <w:rsid w:val="0038159C"/>
    <w:rsid w:val="00382819"/>
    <w:rsid w:val="00383743"/>
    <w:rsid w:val="00384598"/>
    <w:rsid w:val="00385074"/>
    <w:rsid w:val="00385747"/>
    <w:rsid w:val="00385B46"/>
    <w:rsid w:val="00386762"/>
    <w:rsid w:val="00386DCA"/>
    <w:rsid w:val="00390AA6"/>
    <w:rsid w:val="00391305"/>
    <w:rsid w:val="00391695"/>
    <w:rsid w:val="00391F2E"/>
    <w:rsid w:val="00392134"/>
    <w:rsid w:val="003921C5"/>
    <w:rsid w:val="00392839"/>
    <w:rsid w:val="003932A0"/>
    <w:rsid w:val="00394758"/>
    <w:rsid w:val="00395F15"/>
    <w:rsid w:val="0039633E"/>
    <w:rsid w:val="00397365"/>
    <w:rsid w:val="003A026A"/>
    <w:rsid w:val="003A0442"/>
    <w:rsid w:val="003A0A73"/>
    <w:rsid w:val="003A122D"/>
    <w:rsid w:val="003A2012"/>
    <w:rsid w:val="003A2364"/>
    <w:rsid w:val="003A2585"/>
    <w:rsid w:val="003A2ECD"/>
    <w:rsid w:val="003A31F6"/>
    <w:rsid w:val="003A433A"/>
    <w:rsid w:val="003A4A5A"/>
    <w:rsid w:val="003A6E0A"/>
    <w:rsid w:val="003B0249"/>
    <w:rsid w:val="003B0F4A"/>
    <w:rsid w:val="003B42E3"/>
    <w:rsid w:val="003B59D6"/>
    <w:rsid w:val="003B5BC2"/>
    <w:rsid w:val="003B610A"/>
    <w:rsid w:val="003C0A0E"/>
    <w:rsid w:val="003C1345"/>
    <w:rsid w:val="003C2BEF"/>
    <w:rsid w:val="003C3447"/>
    <w:rsid w:val="003C4444"/>
    <w:rsid w:val="003C484E"/>
    <w:rsid w:val="003C7827"/>
    <w:rsid w:val="003C7F70"/>
    <w:rsid w:val="003D076C"/>
    <w:rsid w:val="003D0B4F"/>
    <w:rsid w:val="003D11F9"/>
    <w:rsid w:val="003D220A"/>
    <w:rsid w:val="003D23A3"/>
    <w:rsid w:val="003D3478"/>
    <w:rsid w:val="003D3B96"/>
    <w:rsid w:val="003D5179"/>
    <w:rsid w:val="003D73DE"/>
    <w:rsid w:val="003D7C1A"/>
    <w:rsid w:val="003E03A5"/>
    <w:rsid w:val="003E368A"/>
    <w:rsid w:val="003E3723"/>
    <w:rsid w:val="003E609F"/>
    <w:rsid w:val="003E6C86"/>
    <w:rsid w:val="003E70E0"/>
    <w:rsid w:val="003E78B5"/>
    <w:rsid w:val="003F2C68"/>
    <w:rsid w:val="003F42F5"/>
    <w:rsid w:val="003F47D3"/>
    <w:rsid w:val="003F537E"/>
    <w:rsid w:val="003F5F69"/>
    <w:rsid w:val="003F67F8"/>
    <w:rsid w:val="003F6C56"/>
    <w:rsid w:val="003F6CB9"/>
    <w:rsid w:val="003F6D82"/>
    <w:rsid w:val="003F759E"/>
    <w:rsid w:val="00401931"/>
    <w:rsid w:val="004021C1"/>
    <w:rsid w:val="004030B3"/>
    <w:rsid w:val="0040453C"/>
    <w:rsid w:val="00404AD5"/>
    <w:rsid w:val="00406786"/>
    <w:rsid w:val="0040689E"/>
    <w:rsid w:val="004104BA"/>
    <w:rsid w:val="0041140D"/>
    <w:rsid w:val="00411EB4"/>
    <w:rsid w:val="00412818"/>
    <w:rsid w:val="00412A46"/>
    <w:rsid w:val="00412C33"/>
    <w:rsid w:val="00413231"/>
    <w:rsid w:val="004137A7"/>
    <w:rsid w:val="00415BAB"/>
    <w:rsid w:val="00415ED2"/>
    <w:rsid w:val="004161D2"/>
    <w:rsid w:val="0041726A"/>
    <w:rsid w:val="0041751A"/>
    <w:rsid w:val="004177BD"/>
    <w:rsid w:val="0042068C"/>
    <w:rsid w:val="0042108D"/>
    <w:rsid w:val="004219C2"/>
    <w:rsid w:val="00423178"/>
    <w:rsid w:val="004232B6"/>
    <w:rsid w:val="00424B00"/>
    <w:rsid w:val="00425439"/>
    <w:rsid w:val="00425B71"/>
    <w:rsid w:val="004265AD"/>
    <w:rsid w:val="00430421"/>
    <w:rsid w:val="00430F5F"/>
    <w:rsid w:val="00432929"/>
    <w:rsid w:val="004340D7"/>
    <w:rsid w:val="004346F8"/>
    <w:rsid w:val="00434814"/>
    <w:rsid w:val="00434F58"/>
    <w:rsid w:val="0043597F"/>
    <w:rsid w:val="0043700A"/>
    <w:rsid w:val="00437B6A"/>
    <w:rsid w:val="00437E09"/>
    <w:rsid w:val="00442775"/>
    <w:rsid w:val="00442B7B"/>
    <w:rsid w:val="00442F78"/>
    <w:rsid w:val="00443358"/>
    <w:rsid w:val="00443830"/>
    <w:rsid w:val="00443CCC"/>
    <w:rsid w:val="0044462D"/>
    <w:rsid w:val="0044478B"/>
    <w:rsid w:val="0044547A"/>
    <w:rsid w:val="00445BC0"/>
    <w:rsid w:val="00446E47"/>
    <w:rsid w:val="00447904"/>
    <w:rsid w:val="00452703"/>
    <w:rsid w:val="004542CA"/>
    <w:rsid w:val="00454F05"/>
    <w:rsid w:val="004558D0"/>
    <w:rsid w:val="004574D4"/>
    <w:rsid w:val="00457EFA"/>
    <w:rsid w:val="00460B88"/>
    <w:rsid w:val="004623ED"/>
    <w:rsid w:val="00462CA2"/>
    <w:rsid w:val="00463F64"/>
    <w:rsid w:val="00464B25"/>
    <w:rsid w:val="00464F48"/>
    <w:rsid w:val="00465D4A"/>
    <w:rsid w:val="00466375"/>
    <w:rsid w:val="00467598"/>
    <w:rsid w:val="0047122B"/>
    <w:rsid w:val="0047177D"/>
    <w:rsid w:val="0047247B"/>
    <w:rsid w:val="00473AE4"/>
    <w:rsid w:val="00473B7A"/>
    <w:rsid w:val="004740A6"/>
    <w:rsid w:val="004747F8"/>
    <w:rsid w:val="00477940"/>
    <w:rsid w:val="00477FA8"/>
    <w:rsid w:val="004804DB"/>
    <w:rsid w:val="00483216"/>
    <w:rsid w:val="00483379"/>
    <w:rsid w:val="00483902"/>
    <w:rsid w:val="00486073"/>
    <w:rsid w:val="0048630F"/>
    <w:rsid w:val="004875EF"/>
    <w:rsid w:val="004902C7"/>
    <w:rsid w:val="00490DEF"/>
    <w:rsid w:val="004912F0"/>
    <w:rsid w:val="00491E4D"/>
    <w:rsid w:val="004920DE"/>
    <w:rsid w:val="00493A87"/>
    <w:rsid w:val="00494A95"/>
    <w:rsid w:val="00494E3F"/>
    <w:rsid w:val="00495379"/>
    <w:rsid w:val="004960E9"/>
    <w:rsid w:val="00496414"/>
    <w:rsid w:val="004971D3"/>
    <w:rsid w:val="0049798C"/>
    <w:rsid w:val="004A0449"/>
    <w:rsid w:val="004A0A85"/>
    <w:rsid w:val="004A0DC6"/>
    <w:rsid w:val="004A0FD2"/>
    <w:rsid w:val="004A1269"/>
    <w:rsid w:val="004A17C1"/>
    <w:rsid w:val="004A2856"/>
    <w:rsid w:val="004A2D00"/>
    <w:rsid w:val="004A2E88"/>
    <w:rsid w:val="004A326A"/>
    <w:rsid w:val="004A33B8"/>
    <w:rsid w:val="004A4B23"/>
    <w:rsid w:val="004A51E0"/>
    <w:rsid w:val="004A5305"/>
    <w:rsid w:val="004A57FA"/>
    <w:rsid w:val="004B0FC4"/>
    <w:rsid w:val="004B1676"/>
    <w:rsid w:val="004B25B0"/>
    <w:rsid w:val="004B2EB0"/>
    <w:rsid w:val="004B47B2"/>
    <w:rsid w:val="004B5442"/>
    <w:rsid w:val="004B5F87"/>
    <w:rsid w:val="004B620E"/>
    <w:rsid w:val="004B7529"/>
    <w:rsid w:val="004C1D1A"/>
    <w:rsid w:val="004C2B06"/>
    <w:rsid w:val="004C2E60"/>
    <w:rsid w:val="004C3DBD"/>
    <w:rsid w:val="004C5987"/>
    <w:rsid w:val="004C7024"/>
    <w:rsid w:val="004D31B3"/>
    <w:rsid w:val="004D3EB6"/>
    <w:rsid w:val="004D49E3"/>
    <w:rsid w:val="004D4FB5"/>
    <w:rsid w:val="004D5600"/>
    <w:rsid w:val="004D7634"/>
    <w:rsid w:val="004E210A"/>
    <w:rsid w:val="004E21B3"/>
    <w:rsid w:val="004E2CC2"/>
    <w:rsid w:val="004E3275"/>
    <w:rsid w:val="004E4982"/>
    <w:rsid w:val="004E5893"/>
    <w:rsid w:val="004E5EDD"/>
    <w:rsid w:val="004E74C8"/>
    <w:rsid w:val="004E74DF"/>
    <w:rsid w:val="004F19FB"/>
    <w:rsid w:val="004F569D"/>
    <w:rsid w:val="004F5DD3"/>
    <w:rsid w:val="004F6419"/>
    <w:rsid w:val="004F68C4"/>
    <w:rsid w:val="00500A28"/>
    <w:rsid w:val="00501C96"/>
    <w:rsid w:val="0050269F"/>
    <w:rsid w:val="00503BA2"/>
    <w:rsid w:val="00504DE2"/>
    <w:rsid w:val="005056C1"/>
    <w:rsid w:val="00507C8B"/>
    <w:rsid w:val="00510831"/>
    <w:rsid w:val="005110AB"/>
    <w:rsid w:val="00511E92"/>
    <w:rsid w:val="005132E1"/>
    <w:rsid w:val="00513F86"/>
    <w:rsid w:val="0051435F"/>
    <w:rsid w:val="00515246"/>
    <w:rsid w:val="00515C6C"/>
    <w:rsid w:val="00515F11"/>
    <w:rsid w:val="0051737B"/>
    <w:rsid w:val="00517DBC"/>
    <w:rsid w:val="00517E73"/>
    <w:rsid w:val="005206E2"/>
    <w:rsid w:val="00521378"/>
    <w:rsid w:val="00522E32"/>
    <w:rsid w:val="005236DB"/>
    <w:rsid w:val="00524EFD"/>
    <w:rsid w:val="005276CE"/>
    <w:rsid w:val="005300B2"/>
    <w:rsid w:val="005300D3"/>
    <w:rsid w:val="00530569"/>
    <w:rsid w:val="005307C3"/>
    <w:rsid w:val="00530A8E"/>
    <w:rsid w:val="0053131E"/>
    <w:rsid w:val="00532FD2"/>
    <w:rsid w:val="00533B44"/>
    <w:rsid w:val="00533B5B"/>
    <w:rsid w:val="00535622"/>
    <w:rsid w:val="00535BE9"/>
    <w:rsid w:val="0053648C"/>
    <w:rsid w:val="005367E5"/>
    <w:rsid w:val="005371C5"/>
    <w:rsid w:val="00537674"/>
    <w:rsid w:val="00537735"/>
    <w:rsid w:val="0054060C"/>
    <w:rsid w:val="0054090B"/>
    <w:rsid w:val="00541222"/>
    <w:rsid w:val="00541724"/>
    <w:rsid w:val="00544019"/>
    <w:rsid w:val="00544F82"/>
    <w:rsid w:val="00545484"/>
    <w:rsid w:val="00546550"/>
    <w:rsid w:val="00547653"/>
    <w:rsid w:val="0055024D"/>
    <w:rsid w:val="005539CD"/>
    <w:rsid w:val="00554536"/>
    <w:rsid w:val="00554BC1"/>
    <w:rsid w:val="00554E0F"/>
    <w:rsid w:val="005575A4"/>
    <w:rsid w:val="005626E0"/>
    <w:rsid w:val="005638B0"/>
    <w:rsid w:val="00564527"/>
    <w:rsid w:val="005672F4"/>
    <w:rsid w:val="0057046A"/>
    <w:rsid w:val="0057063C"/>
    <w:rsid w:val="005745EF"/>
    <w:rsid w:val="0057472E"/>
    <w:rsid w:val="00574FB3"/>
    <w:rsid w:val="005758E2"/>
    <w:rsid w:val="00576862"/>
    <w:rsid w:val="00577EC1"/>
    <w:rsid w:val="00581C4D"/>
    <w:rsid w:val="005820C6"/>
    <w:rsid w:val="00582420"/>
    <w:rsid w:val="00582B8C"/>
    <w:rsid w:val="005841EE"/>
    <w:rsid w:val="00584F27"/>
    <w:rsid w:val="00586538"/>
    <w:rsid w:val="005879B0"/>
    <w:rsid w:val="00591425"/>
    <w:rsid w:val="0059207B"/>
    <w:rsid w:val="00592F45"/>
    <w:rsid w:val="0059314A"/>
    <w:rsid w:val="00593853"/>
    <w:rsid w:val="00593C4F"/>
    <w:rsid w:val="005946A8"/>
    <w:rsid w:val="005959BB"/>
    <w:rsid w:val="005966A9"/>
    <w:rsid w:val="005967AC"/>
    <w:rsid w:val="00596C97"/>
    <w:rsid w:val="005973CE"/>
    <w:rsid w:val="005A0536"/>
    <w:rsid w:val="005A158B"/>
    <w:rsid w:val="005A1AD2"/>
    <w:rsid w:val="005A2829"/>
    <w:rsid w:val="005A2DE2"/>
    <w:rsid w:val="005A38F3"/>
    <w:rsid w:val="005A3B54"/>
    <w:rsid w:val="005A4114"/>
    <w:rsid w:val="005A4191"/>
    <w:rsid w:val="005A4407"/>
    <w:rsid w:val="005A59EF"/>
    <w:rsid w:val="005A5C18"/>
    <w:rsid w:val="005A5DD8"/>
    <w:rsid w:val="005A624E"/>
    <w:rsid w:val="005A7139"/>
    <w:rsid w:val="005A7891"/>
    <w:rsid w:val="005B0AEB"/>
    <w:rsid w:val="005B0E4C"/>
    <w:rsid w:val="005B2A18"/>
    <w:rsid w:val="005B2B95"/>
    <w:rsid w:val="005B3B6C"/>
    <w:rsid w:val="005B424B"/>
    <w:rsid w:val="005B5D4F"/>
    <w:rsid w:val="005C0F04"/>
    <w:rsid w:val="005C14B4"/>
    <w:rsid w:val="005C2383"/>
    <w:rsid w:val="005C35D1"/>
    <w:rsid w:val="005C63A8"/>
    <w:rsid w:val="005D0DED"/>
    <w:rsid w:val="005D215E"/>
    <w:rsid w:val="005D3739"/>
    <w:rsid w:val="005D4A9B"/>
    <w:rsid w:val="005D51E4"/>
    <w:rsid w:val="005D539E"/>
    <w:rsid w:val="005D6910"/>
    <w:rsid w:val="005D790C"/>
    <w:rsid w:val="005D7D9B"/>
    <w:rsid w:val="005E189C"/>
    <w:rsid w:val="005E20A3"/>
    <w:rsid w:val="005E3CAA"/>
    <w:rsid w:val="005E438D"/>
    <w:rsid w:val="005E4D01"/>
    <w:rsid w:val="005E54E9"/>
    <w:rsid w:val="005E5705"/>
    <w:rsid w:val="005E654A"/>
    <w:rsid w:val="005E6D07"/>
    <w:rsid w:val="005E7111"/>
    <w:rsid w:val="005E7908"/>
    <w:rsid w:val="005E7991"/>
    <w:rsid w:val="005F1F82"/>
    <w:rsid w:val="005F26F3"/>
    <w:rsid w:val="005F3318"/>
    <w:rsid w:val="005F3710"/>
    <w:rsid w:val="005F562F"/>
    <w:rsid w:val="005F65B1"/>
    <w:rsid w:val="005F6F41"/>
    <w:rsid w:val="005F7A7E"/>
    <w:rsid w:val="00600176"/>
    <w:rsid w:val="006015FB"/>
    <w:rsid w:val="00602A51"/>
    <w:rsid w:val="00602D64"/>
    <w:rsid w:val="006038CC"/>
    <w:rsid w:val="00603AF2"/>
    <w:rsid w:val="006043B8"/>
    <w:rsid w:val="00604D50"/>
    <w:rsid w:val="0060659D"/>
    <w:rsid w:val="00606DB2"/>
    <w:rsid w:val="00606F6A"/>
    <w:rsid w:val="00610258"/>
    <w:rsid w:val="0061061E"/>
    <w:rsid w:val="006110B0"/>
    <w:rsid w:val="00611BAF"/>
    <w:rsid w:val="006132E4"/>
    <w:rsid w:val="006173C7"/>
    <w:rsid w:val="0061769C"/>
    <w:rsid w:val="006205BB"/>
    <w:rsid w:val="00621520"/>
    <w:rsid w:val="006218F4"/>
    <w:rsid w:val="00621A12"/>
    <w:rsid w:val="00621ABE"/>
    <w:rsid w:val="006229FA"/>
    <w:rsid w:val="0062342E"/>
    <w:rsid w:val="006235E2"/>
    <w:rsid w:val="00624952"/>
    <w:rsid w:val="00624C1E"/>
    <w:rsid w:val="00625B59"/>
    <w:rsid w:val="00625DC6"/>
    <w:rsid w:val="0063084B"/>
    <w:rsid w:val="00631181"/>
    <w:rsid w:val="006328E6"/>
    <w:rsid w:val="00632C3D"/>
    <w:rsid w:val="0063353C"/>
    <w:rsid w:val="00635A91"/>
    <w:rsid w:val="00636224"/>
    <w:rsid w:val="006363D0"/>
    <w:rsid w:val="006401EE"/>
    <w:rsid w:val="0064117E"/>
    <w:rsid w:val="0064391D"/>
    <w:rsid w:val="006444D4"/>
    <w:rsid w:val="00644D44"/>
    <w:rsid w:val="00645C15"/>
    <w:rsid w:val="00646040"/>
    <w:rsid w:val="006460B4"/>
    <w:rsid w:val="00646950"/>
    <w:rsid w:val="00647C1D"/>
    <w:rsid w:val="006500A8"/>
    <w:rsid w:val="00651821"/>
    <w:rsid w:val="00652548"/>
    <w:rsid w:val="00652DB2"/>
    <w:rsid w:val="0065393F"/>
    <w:rsid w:val="00653C26"/>
    <w:rsid w:val="00654117"/>
    <w:rsid w:val="00654384"/>
    <w:rsid w:val="00654B37"/>
    <w:rsid w:val="00654F3E"/>
    <w:rsid w:val="00654FC6"/>
    <w:rsid w:val="00655782"/>
    <w:rsid w:val="00656E22"/>
    <w:rsid w:val="00657695"/>
    <w:rsid w:val="00661234"/>
    <w:rsid w:val="0066454F"/>
    <w:rsid w:val="00666FC9"/>
    <w:rsid w:val="00667020"/>
    <w:rsid w:val="006675CD"/>
    <w:rsid w:val="00667F2A"/>
    <w:rsid w:val="006706EF"/>
    <w:rsid w:val="006725A2"/>
    <w:rsid w:val="00672A65"/>
    <w:rsid w:val="00672AA9"/>
    <w:rsid w:val="0067366A"/>
    <w:rsid w:val="00674C62"/>
    <w:rsid w:val="00674D4E"/>
    <w:rsid w:val="0067726F"/>
    <w:rsid w:val="00684C9E"/>
    <w:rsid w:val="00684D9B"/>
    <w:rsid w:val="006861EF"/>
    <w:rsid w:val="00686C91"/>
    <w:rsid w:val="006875CB"/>
    <w:rsid w:val="00690AC9"/>
    <w:rsid w:val="00690AFD"/>
    <w:rsid w:val="00690FA7"/>
    <w:rsid w:val="00691C0E"/>
    <w:rsid w:val="00691D21"/>
    <w:rsid w:val="00691EFE"/>
    <w:rsid w:val="00692D63"/>
    <w:rsid w:val="0069352A"/>
    <w:rsid w:val="00693EDB"/>
    <w:rsid w:val="00694885"/>
    <w:rsid w:val="00696592"/>
    <w:rsid w:val="00696CF4"/>
    <w:rsid w:val="006970CF"/>
    <w:rsid w:val="00697556"/>
    <w:rsid w:val="006A0671"/>
    <w:rsid w:val="006A14B5"/>
    <w:rsid w:val="006A2161"/>
    <w:rsid w:val="006A42F9"/>
    <w:rsid w:val="006A4DA4"/>
    <w:rsid w:val="006A5BD7"/>
    <w:rsid w:val="006A71B1"/>
    <w:rsid w:val="006A7392"/>
    <w:rsid w:val="006A79DE"/>
    <w:rsid w:val="006A7A16"/>
    <w:rsid w:val="006B12CB"/>
    <w:rsid w:val="006B23A9"/>
    <w:rsid w:val="006B2C70"/>
    <w:rsid w:val="006B2CA2"/>
    <w:rsid w:val="006B3540"/>
    <w:rsid w:val="006B438E"/>
    <w:rsid w:val="006B4647"/>
    <w:rsid w:val="006B481B"/>
    <w:rsid w:val="006B491B"/>
    <w:rsid w:val="006B4C2B"/>
    <w:rsid w:val="006B579F"/>
    <w:rsid w:val="006B6D47"/>
    <w:rsid w:val="006B7101"/>
    <w:rsid w:val="006C0ED5"/>
    <w:rsid w:val="006C4E7C"/>
    <w:rsid w:val="006C51CA"/>
    <w:rsid w:val="006C5AFE"/>
    <w:rsid w:val="006C643B"/>
    <w:rsid w:val="006D0453"/>
    <w:rsid w:val="006D0550"/>
    <w:rsid w:val="006D0E7F"/>
    <w:rsid w:val="006D203D"/>
    <w:rsid w:val="006D2557"/>
    <w:rsid w:val="006D2817"/>
    <w:rsid w:val="006D4B83"/>
    <w:rsid w:val="006D4C16"/>
    <w:rsid w:val="006D643D"/>
    <w:rsid w:val="006D757F"/>
    <w:rsid w:val="006D7EF7"/>
    <w:rsid w:val="006E033E"/>
    <w:rsid w:val="006E22B6"/>
    <w:rsid w:val="006E24AF"/>
    <w:rsid w:val="006E3238"/>
    <w:rsid w:val="006E36D6"/>
    <w:rsid w:val="006E42CE"/>
    <w:rsid w:val="006F2052"/>
    <w:rsid w:val="006F2F91"/>
    <w:rsid w:val="006F55A6"/>
    <w:rsid w:val="006F56A9"/>
    <w:rsid w:val="006F60E8"/>
    <w:rsid w:val="006F65EE"/>
    <w:rsid w:val="006F6D95"/>
    <w:rsid w:val="006F7B4F"/>
    <w:rsid w:val="006F7C8F"/>
    <w:rsid w:val="006F7EA2"/>
    <w:rsid w:val="0070130A"/>
    <w:rsid w:val="0070131F"/>
    <w:rsid w:val="0070157F"/>
    <w:rsid w:val="00701F4A"/>
    <w:rsid w:val="00701FB5"/>
    <w:rsid w:val="00702CC9"/>
    <w:rsid w:val="00702DFD"/>
    <w:rsid w:val="00703123"/>
    <w:rsid w:val="0070524E"/>
    <w:rsid w:val="00706048"/>
    <w:rsid w:val="00706F13"/>
    <w:rsid w:val="00706FFA"/>
    <w:rsid w:val="007072E8"/>
    <w:rsid w:val="0071081E"/>
    <w:rsid w:val="00711C30"/>
    <w:rsid w:val="00711C67"/>
    <w:rsid w:val="00714EB2"/>
    <w:rsid w:val="0071552A"/>
    <w:rsid w:val="0071618D"/>
    <w:rsid w:val="0072154E"/>
    <w:rsid w:val="00722204"/>
    <w:rsid w:val="00722463"/>
    <w:rsid w:val="007234AF"/>
    <w:rsid w:val="00723806"/>
    <w:rsid w:val="007242D4"/>
    <w:rsid w:val="0072447A"/>
    <w:rsid w:val="00725FA4"/>
    <w:rsid w:val="00726EEB"/>
    <w:rsid w:val="0072749E"/>
    <w:rsid w:val="00730845"/>
    <w:rsid w:val="007313E8"/>
    <w:rsid w:val="00734856"/>
    <w:rsid w:val="007356C0"/>
    <w:rsid w:val="00736377"/>
    <w:rsid w:val="00736F10"/>
    <w:rsid w:val="00737268"/>
    <w:rsid w:val="00740446"/>
    <w:rsid w:val="00741712"/>
    <w:rsid w:val="00742030"/>
    <w:rsid w:val="0074250E"/>
    <w:rsid w:val="00743809"/>
    <w:rsid w:val="007438A9"/>
    <w:rsid w:val="0074491E"/>
    <w:rsid w:val="00745971"/>
    <w:rsid w:val="00746D28"/>
    <w:rsid w:val="00751970"/>
    <w:rsid w:val="00751E8F"/>
    <w:rsid w:val="00753C4B"/>
    <w:rsid w:val="007546D0"/>
    <w:rsid w:val="00754AE0"/>
    <w:rsid w:val="007552B9"/>
    <w:rsid w:val="00757341"/>
    <w:rsid w:val="00760160"/>
    <w:rsid w:val="007616CD"/>
    <w:rsid w:val="00761A28"/>
    <w:rsid w:val="00761D50"/>
    <w:rsid w:val="00761EDD"/>
    <w:rsid w:val="0076247A"/>
    <w:rsid w:val="007624BB"/>
    <w:rsid w:val="00762E7E"/>
    <w:rsid w:val="00763136"/>
    <w:rsid w:val="007636CA"/>
    <w:rsid w:val="00763E5B"/>
    <w:rsid w:val="00764FC5"/>
    <w:rsid w:val="007667A8"/>
    <w:rsid w:val="00770391"/>
    <w:rsid w:val="00770ED9"/>
    <w:rsid w:val="00772CB0"/>
    <w:rsid w:val="00772D54"/>
    <w:rsid w:val="00773386"/>
    <w:rsid w:val="00775609"/>
    <w:rsid w:val="00775964"/>
    <w:rsid w:val="00775C47"/>
    <w:rsid w:val="007765FE"/>
    <w:rsid w:val="00776775"/>
    <w:rsid w:val="00776BD0"/>
    <w:rsid w:val="007818F2"/>
    <w:rsid w:val="00782BA7"/>
    <w:rsid w:val="007838D1"/>
    <w:rsid w:val="00785D0B"/>
    <w:rsid w:val="00786458"/>
    <w:rsid w:val="00787219"/>
    <w:rsid w:val="00787FFA"/>
    <w:rsid w:val="00790034"/>
    <w:rsid w:val="0079027D"/>
    <w:rsid w:val="007905F7"/>
    <w:rsid w:val="0079070B"/>
    <w:rsid w:val="00792487"/>
    <w:rsid w:val="007951A8"/>
    <w:rsid w:val="00795BFB"/>
    <w:rsid w:val="00797934"/>
    <w:rsid w:val="007A0CF3"/>
    <w:rsid w:val="007A10D6"/>
    <w:rsid w:val="007A299D"/>
    <w:rsid w:val="007A59A0"/>
    <w:rsid w:val="007A5A0A"/>
    <w:rsid w:val="007A6139"/>
    <w:rsid w:val="007A6F7F"/>
    <w:rsid w:val="007B0989"/>
    <w:rsid w:val="007B2424"/>
    <w:rsid w:val="007B2760"/>
    <w:rsid w:val="007B361C"/>
    <w:rsid w:val="007B4F3D"/>
    <w:rsid w:val="007B5E9A"/>
    <w:rsid w:val="007B6A62"/>
    <w:rsid w:val="007B71A2"/>
    <w:rsid w:val="007B796D"/>
    <w:rsid w:val="007C0FAE"/>
    <w:rsid w:val="007C3D92"/>
    <w:rsid w:val="007C5866"/>
    <w:rsid w:val="007C6311"/>
    <w:rsid w:val="007D0F59"/>
    <w:rsid w:val="007D15B2"/>
    <w:rsid w:val="007D2144"/>
    <w:rsid w:val="007D29C2"/>
    <w:rsid w:val="007D2BF0"/>
    <w:rsid w:val="007D32FC"/>
    <w:rsid w:val="007D39F7"/>
    <w:rsid w:val="007D400B"/>
    <w:rsid w:val="007D5B60"/>
    <w:rsid w:val="007D793F"/>
    <w:rsid w:val="007E015A"/>
    <w:rsid w:val="007E13C5"/>
    <w:rsid w:val="007E2E1B"/>
    <w:rsid w:val="007E34CC"/>
    <w:rsid w:val="007E3914"/>
    <w:rsid w:val="007E4A18"/>
    <w:rsid w:val="007E4A19"/>
    <w:rsid w:val="007E6094"/>
    <w:rsid w:val="007E6E4C"/>
    <w:rsid w:val="007F03D7"/>
    <w:rsid w:val="007F0C9C"/>
    <w:rsid w:val="007F0D30"/>
    <w:rsid w:val="007F1029"/>
    <w:rsid w:val="007F1234"/>
    <w:rsid w:val="007F18A8"/>
    <w:rsid w:val="007F20DF"/>
    <w:rsid w:val="007F3306"/>
    <w:rsid w:val="007F4EDE"/>
    <w:rsid w:val="007F657D"/>
    <w:rsid w:val="007F7E38"/>
    <w:rsid w:val="0080016A"/>
    <w:rsid w:val="0080025F"/>
    <w:rsid w:val="00800BD9"/>
    <w:rsid w:val="00800E64"/>
    <w:rsid w:val="008024FC"/>
    <w:rsid w:val="0080425C"/>
    <w:rsid w:val="00805874"/>
    <w:rsid w:val="00806C01"/>
    <w:rsid w:val="0081041F"/>
    <w:rsid w:val="00810BE0"/>
    <w:rsid w:val="00813839"/>
    <w:rsid w:val="00813908"/>
    <w:rsid w:val="00813C04"/>
    <w:rsid w:val="008148CC"/>
    <w:rsid w:val="00814EE0"/>
    <w:rsid w:val="0081630D"/>
    <w:rsid w:val="00820794"/>
    <w:rsid w:val="008211A4"/>
    <w:rsid w:val="00821A08"/>
    <w:rsid w:val="00822BE6"/>
    <w:rsid w:val="00822D51"/>
    <w:rsid w:val="0082340B"/>
    <w:rsid w:val="0082417E"/>
    <w:rsid w:val="00827893"/>
    <w:rsid w:val="00830DFB"/>
    <w:rsid w:val="00831BF5"/>
    <w:rsid w:val="0083274D"/>
    <w:rsid w:val="008334AE"/>
    <w:rsid w:val="00835290"/>
    <w:rsid w:val="008364D5"/>
    <w:rsid w:val="00836609"/>
    <w:rsid w:val="00836977"/>
    <w:rsid w:val="00836AEB"/>
    <w:rsid w:val="00836C7B"/>
    <w:rsid w:val="0083734E"/>
    <w:rsid w:val="00840029"/>
    <w:rsid w:val="00841436"/>
    <w:rsid w:val="00844C07"/>
    <w:rsid w:val="00846011"/>
    <w:rsid w:val="00846EBD"/>
    <w:rsid w:val="0084730E"/>
    <w:rsid w:val="008479FF"/>
    <w:rsid w:val="00847B74"/>
    <w:rsid w:val="00851C34"/>
    <w:rsid w:val="0085317C"/>
    <w:rsid w:val="00853915"/>
    <w:rsid w:val="00854910"/>
    <w:rsid w:val="00854A95"/>
    <w:rsid w:val="00855971"/>
    <w:rsid w:val="008570D6"/>
    <w:rsid w:val="0086092D"/>
    <w:rsid w:val="00862C82"/>
    <w:rsid w:val="00863B7D"/>
    <w:rsid w:val="008657E9"/>
    <w:rsid w:val="00865C81"/>
    <w:rsid w:val="00865F1E"/>
    <w:rsid w:val="0087054E"/>
    <w:rsid w:val="0087071F"/>
    <w:rsid w:val="0087105D"/>
    <w:rsid w:val="00871127"/>
    <w:rsid w:val="00871381"/>
    <w:rsid w:val="00871538"/>
    <w:rsid w:val="008720ED"/>
    <w:rsid w:val="00872A86"/>
    <w:rsid w:val="00873150"/>
    <w:rsid w:val="00874ADA"/>
    <w:rsid w:val="00874E4A"/>
    <w:rsid w:val="0087657D"/>
    <w:rsid w:val="00876CC1"/>
    <w:rsid w:val="008803F3"/>
    <w:rsid w:val="008804F7"/>
    <w:rsid w:val="008807D5"/>
    <w:rsid w:val="00880832"/>
    <w:rsid w:val="008817DA"/>
    <w:rsid w:val="00881968"/>
    <w:rsid w:val="008820F2"/>
    <w:rsid w:val="00884344"/>
    <w:rsid w:val="008864AA"/>
    <w:rsid w:val="008864FF"/>
    <w:rsid w:val="00886EE1"/>
    <w:rsid w:val="0088727D"/>
    <w:rsid w:val="00892933"/>
    <w:rsid w:val="00892FBA"/>
    <w:rsid w:val="00892FE7"/>
    <w:rsid w:val="0089375B"/>
    <w:rsid w:val="00896DC1"/>
    <w:rsid w:val="00896FA9"/>
    <w:rsid w:val="008970D2"/>
    <w:rsid w:val="00897C0B"/>
    <w:rsid w:val="00897C75"/>
    <w:rsid w:val="008A0B31"/>
    <w:rsid w:val="008A0E92"/>
    <w:rsid w:val="008A3215"/>
    <w:rsid w:val="008A43AC"/>
    <w:rsid w:val="008A4F0C"/>
    <w:rsid w:val="008A58C5"/>
    <w:rsid w:val="008B016A"/>
    <w:rsid w:val="008B0C20"/>
    <w:rsid w:val="008B1543"/>
    <w:rsid w:val="008B1B22"/>
    <w:rsid w:val="008B2589"/>
    <w:rsid w:val="008B2885"/>
    <w:rsid w:val="008B370B"/>
    <w:rsid w:val="008B374A"/>
    <w:rsid w:val="008B385E"/>
    <w:rsid w:val="008B3B03"/>
    <w:rsid w:val="008B4844"/>
    <w:rsid w:val="008B49A0"/>
    <w:rsid w:val="008B4BAD"/>
    <w:rsid w:val="008B79DB"/>
    <w:rsid w:val="008B7F2D"/>
    <w:rsid w:val="008C0852"/>
    <w:rsid w:val="008C1130"/>
    <w:rsid w:val="008C4BAE"/>
    <w:rsid w:val="008C571F"/>
    <w:rsid w:val="008C66ED"/>
    <w:rsid w:val="008C7804"/>
    <w:rsid w:val="008D037A"/>
    <w:rsid w:val="008D09B3"/>
    <w:rsid w:val="008D18E6"/>
    <w:rsid w:val="008D1CA0"/>
    <w:rsid w:val="008D1F6B"/>
    <w:rsid w:val="008D2F15"/>
    <w:rsid w:val="008D31DE"/>
    <w:rsid w:val="008D34C6"/>
    <w:rsid w:val="008D4513"/>
    <w:rsid w:val="008D462E"/>
    <w:rsid w:val="008D4BCA"/>
    <w:rsid w:val="008D6A65"/>
    <w:rsid w:val="008D7A9B"/>
    <w:rsid w:val="008E1654"/>
    <w:rsid w:val="008E1C05"/>
    <w:rsid w:val="008E20F4"/>
    <w:rsid w:val="008E2F4A"/>
    <w:rsid w:val="008E64DD"/>
    <w:rsid w:val="008E70DD"/>
    <w:rsid w:val="008E76AC"/>
    <w:rsid w:val="008F057E"/>
    <w:rsid w:val="008F18D2"/>
    <w:rsid w:val="008F1B6C"/>
    <w:rsid w:val="008F209A"/>
    <w:rsid w:val="008F20FD"/>
    <w:rsid w:val="008F21F6"/>
    <w:rsid w:val="008F2823"/>
    <w:rsid w:val="008F3DE4"/>
    <w:rsid w:val="008F493C"/>
    <w:rsid w:val="008F4D05"/>
    <w:rsid w:val="008F52C3"/>
    <w:rsid w:val="008F53A4"/>
    <w:rsid w:val="008F59D8"/>
    <w:rsid w:val="008F6C16"/>
    <w:rsid w:val="008F7434"/>
    <w:rsid w:val="008F7F7E"/>
    <w:rsid w:val="009000A9"/>
    <w:rsid w:val="00900FAF"/>
    <w:rsid w:val="00901E63"/>
    <w:rsid w:val="009033FA"/>
    <w:rsid w:val="00903CE0"/>
    <w:rsid w:val="00903E1A"/>
    <w:rsid w:val="00904021"/>
    <w:rsid w:val="009042EB"/>
    <w:rsid w:val="0090471A"/>
    <w:rsid w:val="00904F1D"/>
    <w:rsid w:val="00905366"/>
    <w:rsid w:val="00906938"/>
    <w:rsid w:val="00906E99"/>
    <w:rsid w:val="009115EE"/>
    <w:rsid w:val="00912537"/>
    <w:rsid w:val="00912E33"/>
    <w:rsid w:val="009139A6"/>
    <w:rsid w:val="009148E0"/>
    <w:rsid w:val="009153B5"/>
    <w:rsid w:val="00915A63"/>
    <w:rsid w:val="00916365"/>
    <w:rsid w:val="009164EC"/>
    <w:rsid w:val="00916751"/>
    <w:rsid w:val="0091743C"/>
    <w:rsid w:val="00917A4B"/>
    <w:rsid w:val="009202E4"/>
    <w:rsid w:val="00920E83"/>
    <w:rsid w:val="00922328"/>
    <w:rsid w:val="00922A42"/>
    <w:rsid w:val="0092537B"/>
    <w:rsid w:val="009253DC"/>
    <w:rsid w:val="0092653C"/>
    <w:rsid w:val="00926D0E"/>
    <w:rsid w:val="009306AF"/>
    <w:rsid w:val="00930A65"/>
    <w:rsid w:val="009311FB"/>
    <w:rsid w:val="009312B2"/>
    <w:rsid w:val="009317D5"/>
    <w:rsid w:val="0093195E"/>
    <w:rsid w:val="00931FC2"/>
    <w:rsid w:val="00935BDA"/>
    <w:rsid w:val="009369C1"/>
    <w:rsid w:val="00940779"/>
    <w:rsid w:val="0094240E"/>
    <w:rsid w:val="009424E6"/>
    <w:rsid w:val="00942862"/>
    <w:rsid w:val="0094293E"/>
    <w:rsid w:val="0094390A"/>
    <w:rsid w:val="00943A49"/>
    <w:rsid w:val="00943C28"/>
    <w:rsid w:val="009443B2"/>
    <w:rsid w:val="009451AE"/>
    <w:rsid w:val="00947A45"/>
    <w:rsid w:val="00947E01"/>
    <w:rsid w:val="009500B9"/>
    <w:rsid w:val="00951F79"/>
    <w:rsid w:val="00952DC9"/>
    <w:rsid w:val="00952E6F"/>
    <w:rsid w:val="00953D94"/>
    <w:rsid w:val="009548BF"/>
    <w:rsid w:val="009556A3"/>
    <w:rsid w:val="00955E1B"/>
    <w:rsid w:val="009608BF"/>
    <w:rsid w:val="009617BA"/>
    <w:rsid w:val="00961E52"/>
    <w:rsid w:val="00962F94"/>
    <w:rsid w:val="009630CB"/>
    <w:rsid w:val="00963AB5"/>
    <w:rsid w:val="00964837"/>
    <w:rsid w:val="00966AE3"/>
    <w:rsid w:val="00967714"/>
    <w:rsid w:val="00967818"/>
    <w:rsid w:val="00970AB5"/>
    <w:rsid w:val="00974AB5"/>
    <w:rsid w:val="00974CCA"/>
    <w:rsid w:val="00975304"/>
    <w:rsid w:val="00975668"/>
    <w:rsid w:val="00975FE2"/>
    <w:rsid w:val="009770B8"/>
    <w:rsid w:val="0097762F"/>
    <w:rsid w:val="00977B56"/>
    <w:rsid w:val="00982133"/>
    <w:rsid w:val="009838BB"/>
    <w:rsid w:val="009840B9"/>
    <w:rsid w:val="009849DF"/>
    <w:rsid w:val="009856DC"/>
    <w:rsid w:val="00985E0A"/>
    <w:rsid w:val="009868C9"/>
    <w:rsid w:val="00986914"/>
    <w:rsid w:val="0098706D"/>
    <w:rsid w:val="00987A78"/>
    <w:rsid w:val="009906B3"/>
    <w:rsid w:val="00991A8F"/>
    <w:rsid w:val="00993101"/>
    <w:rsid w:val="009935FB"/>
    <w:rsid w:val="0099455C"/>
    <w:rsid w:val="009962F5"/>
    <w:rsid w:val="009967EA"/>
    <w:rsid w:val="00996FBB"/>
    <w:rsid w:val="009A0BE3"/>
    <w:rsid w:val="009A118F"/>
    <w:rsid w:val="009A1546"/>
    <w:rsid w:val="009A40CB"/>
    <w:rsid w:val="009A4937"/>
    <w:rsid w:val="009A718C"/>
    <w:rsid w:val="009B0DB1"/>
    <w:rsid w:val="009B2AE1"/>
    <w:rsid w:val="009B2CD0"/>
    <w:rsid w:val="009B2E29"/>
    <w:rsid w:val="009B5BF0"/>
    <w:rsid w:val="009B7A1D"/>
    <w:rsid w:val="009C1D00"/>
    <w:rsid w:val="009C1F98"/>
    <w:rsid w:val="009C29E0"/>
    <w:rsid w:val="009C2CDC"/>
    <w:rsid w:val="009C2FE7"/>
    <w:rsid w:val="009C39E9"/>
    <w:rsid w:val="009C4611"/>
    <w:rsid w:val="009C4E15"/>
    <w:rsid w:val="009C5638"/>
    <w:rsid w:val="009C6336"/>
    <w:rsid w:val="009C6D1B"/>
    <w:rsid w:val="009C726E"/>
    <w:rsid w:val="009C7377"/>
    <w:rsid w:val="009C7834"/>
    <w:rsid w:val="009C7C72"/>
    <w:rsid w:val="009D228A"/>
    <w:rsid w:val="009D26E4"/>
    <w:rsid w:val="009D2CAD"/>
    <w:rsid w:val="009D3F90"/>
    <w:rsid w:val="009D53AA"/>
    <w:rsid w:val="009E01CC"/>
    <w:rsid w:val="009E040C"/>
    <w:rsid w:val="009E2358"/>
    <w:rsid w:val="009E2C2B"/>
    <w:rsid w:val="009E3519"/>
    <w:rsid w:val="009E5FE5"/>
    <w:rsid w:val="009E66DF"/>
    <w:rsid w:val="009E6F76"/>
    <w:rsid w:val="009E7833"/>
    <w:rsid w:val="009F00F4"/>
    <w:rsid w:val="009F03EC"/>
    <w:rsid w:val="009F0EA9"/>
    <w:rsid w:val="009F1067"/>
    <w:rsid w:val="009F2008"/>
    <w:rsid w:val="009F27EF"/>
    <w:rsid w:val="009F3502"/>
    <w:rsid w:val="009F4A54"/>
    <w:rsid w:val="009F4BEC"/>
    <w:rsid w:val="009F4F9A"/>
    <w:rsid w:val="009F575B"/>
    <w:rsid w:val="009F5E1A"/>
    <w:rsid w:val="009F629E"/>
    <w:rsid w:val="00A00412"/>
    <w:rsid w:val="00A035D1"/>
    <w:rsid w:val="00A0383E"/>
    <w:rsid w:val="00A03E5C"/>
    <w:rsid w:val="00A04891"/>
    <w:rsid w:val="00A05E91"/>
    <w:rsid w:val="00A06524"/>
    <w:rsid w:val="00A0773B"/>
    <w:rsid w:val="00A10266"/>
    <w:rsid w:val="00A1092F"/>
    <w:rsid w:val="00A1129E"/>
    <w:rsid w:val="00A12BEB"/>
    <w:rsid w:val="00A16111"/>
    <w:rsid w:val="00A169CF"/>
    <w:rsid w:val="00A22055"/>
    <w:rsid w:val="00A253A8"/>
    <w:rsid w:val="00A25FD7"/>
    <w:rsid w:val="00A271CB"/>
    <w:rsid w:val="00A27E9B"/>
    <w:rsid w:val="00A30253"/>
    <w:rsid w:val="00A303C8"/>
    <w:rsid w:val="00A30956"/>
    <w:rsid w:val="00A31C48"/>
    <w:rsid w:val="00A32F10"/>
    <w:rsid w:val="00A33A56"/>
    <w:rsid w:val="00A351C4"/>
    <w:rsid w:val="00A3581D"/>
    <w:rsid w:val="00A361EC"/>
    <w:rsid w:val="00A36D39"/>
    <w:rsid w:val="00A377D8"/>
    <w:rsid w:val="00A4385A"/>
    <w:rsid w:val="00A43AFF"/>
    <w:rsid w:val="00A44AEF"/>
    <w:rsid w:val="00A46251"/>
    <w:rsid w:val="00A508EB"/>
    <w:rsid w:val="00A54264"/>
    <w:rsid w:val="00A56BB3"/>
    <w:rsid w:val="00A5745F"/>
    <w:rsid w:val="00A60AF5"/>
    <w:rsid w:val="00A62E4D"/>
    <w:rsid w:val="00A631F2"/>
    <w:rsid w:val="00A63753"/>
    <w:rsid w:val="00A63850"/>
    <w:rsid w:val="00A656DE"/>
    <w:rsid w:val="00A65EA2"/>
    <w:rsid w:val="00A65FC4"/>
    <w:rsid w:val="00A6732D"/>
    <w:rsid w:val="00A7005F"/>
    <w:rsid w:val="00A70A1B"/>
    <w:rsid w:val="00A70ED0"/>
    <w:rsid w:val="00A712C5"/>
    <w:rsid w:val="00A71ACE"/>
    <w:rsid w:val="00A72250"/>
    <w:rsid w:val="00A743FA"/>
    <w:rsid w:val="00A74774"/>
    <w:rsid w:val="00A75927"/>
    <w:rsid w:val="00A76208"/>
    <w:rsid w:val="00A76EA1"/>
    <w:rsid w:val="00A77088"/>
    <w:rsid w:val="00A77273"/>
    <w:rsid w:val="00A77664"/>
    <w:rsid w:val="00A7793A"/>
    <w:rsid w:val="00A77FB0"/>
    <w:rsid w:val="00A838A1"/>
    <w:rsid w:val="00A8433E"/>
    <w:rsid w:val="00A84444"/>
    <w:rsid w:val="00A84A77"/>
    <w:rsid w:val="00A8593A"/>
    <w:rsid w:val="00A86003"/>
    <w:rsid w:val="00A873D0"/>
    <w:rsid w:val="00A9028D"/>
    <w:rsid w:val="00A909B9"/>
    <w:rsid w:val="00A91068"/>
    <w:rsid w:val="00A91462"/>
    <w:rsid w:val="00A918EB"/>
    <w:rsid w:val="00A94166"/>
    <w:rsid w:val="00A94392"/>
    <w:rsid w:val="00A94D54"/>
    <w:rsid w:val="00A963D2"/>
    <w:rsid w:val="00AA0A5C"/>
    <w:rsid w:val="00AA1657"/>
    <w:rsid w:val="00AA1F72"/>
    <w:rsid w:val="00AA2E87"/>
    <w:rsid w:val="00AA36FA"/>
    <w:rsid w:val="00AA4CC7"/>
    <w:rsid w:val="00AA555B"/>
    <w:rsid w:val="00AA5B59"/>
    <w:rsid w:val="00AA5BDF"/>
    <w:rsid w:val="00AA5E8E"/>
    <w:rsid w:val="00AA6264"/>
    <w:rsid w:val="00AA678B"/>
    <w:rsid w:val="00AB07C8"/>
    <w:rsid w:val="00AB103D"/>
    <w:rsid w:val="00AB6147"/>
    <w:rsid w:val="00AB6CA7"/>
    <w:rsid w:val="00AB6CE4"/>
    <w:rsid w:val="00AB7666"/>
    <w:rsid w:val="00AC2065"/>
    <w:rsid w:val="00AC2827"/>
    <w:rsid w:val="00AC2CDE"/>
    <w:rsid w:val="00AC3500"/>
    <w:rsid w:val="00AC4338"/>
    <w:rsid w:val="00AC5633"/>
    <w:rsid w:val="00AC756E"/>
    <w:rsid w:val="00AC7C41"/>
    <w:rsid w:val="00AD01E4"/>
    <w:rsid w:val="00AD0858"/>
    <w:rsid w:val="00AD0CBB"/>
    <w:rsid w:val="00AD0D6E"/>
    <w:rsid w:val="00AD1077"/>
    <w:rsid w:val="00AD14A1"/>
    <w:rsid w:val="00AD17DB"/>
    <w:rsid w:val="00AD1A5B"/>
    <w:rsid w:val="00AD4E76"/>
    <w:rsid w:val="00AD4F16"/>
    <w:rsid w:val="00AD50FF"/>
    <w:rsid w:val="00AD6AEC"/>
    <w:rsid w:val="00AD7DE6"/>
    <w:rsid w:val="00AE0FB8"/>
    <w:rsid w:val="00AE1487"/>
    <w:rsid w:val="00AE1FDC"/>
    <w:rsid w:val="00AE33EC"/>
    <w:rsid w:val="00AE6237"/>
    <w:rsid w:val="00AE6E4A"/>
    <w:rsid w:val="00AE71B0"/>
    <w:rsid w:val="00AE7340"/>
    <w:rsid w:val="00AF15E2"/>
    <w:rsid w:val="00AF1B7C"/>
    <w:rsid w:val="00AF1BBD"/>
    <w:rsid w:val="00AF3067"/>
    <w:rsid w:val="00AF4340"/>
    <w:rsid w:val="00B00376"/>
    <w:rsid w:val="00B006A8"/>
    <w:rsid w:val="00B00BF0"/>
    <w:rsid w:val="00B00EAC"/>
    <w:rsid w:val="00B0289C"/>
    <w:rsid w:val="00B0295C"/>
    <w:rsid w:val="00B04E55"/>
    <w:rsid w:val="00B05BEA"/>
    <w:rsid w:val="00B06798"/>
    <w:rsid w:val="00B07649"/>
    <w:rsid w:val="00B07E5C"/>
    <w:rsid w:val="00B07E93"/>
    <w:rsid w:val="00B10207"/>
    <w:rsid w:val="00B107E0"/>
    <w:rsid w:val="00B10CE6"/>
    <w:rsid w:val="00B10DCE"/>
    <w:rsid w:val="00B11CE0"/>
    <w:rsid w:val="00B141E7"/>
    <w:rsid w:val="00B150B9"/>
    <w:rsid w:val="00B1579A"/>
    <w:rsid w:val="00B21DAA"/>
    <w:rsid w:val="00B32E54"/>
    <w:rsid w:val="00B33AEF"/>
    <w:rsid w:val="00B351B4"/>
    <w:rsid w:val="00B3577F"/>
    <w:rsid w:val="00B362BF"/>
    <w:rsid w:val="00B36D51"/>
    <w:rsid w:val="00B37429"/>
    <w:rsid w:val="00B379EB"/>
    <w:rsid w:val="00B420A5"/>
    <w:rsid w:val="00B4395A"/>
    <w:rsid w:val="00B4418C"/>
    <w:rsid w:val="00B45095"/>
    <w:rsid w:val="00B467FA"/>
    <w:rsid w:val="00B468A3"/>
    <w:rsid w:val="00B46BCA"/>
    <w:rsid w:val="00B50591"/>
    <w:rsid w:val="00B510DE"/>
    <w:rsid w:val="00B51F50"/>
    <w:rsid w:val="00B52B6B"/>
    <w:rsid w:val="00B52E04"/>
    <w:rsid w:val="00B558BB"/>
    <w:rsid w:val="00B572A0"/>
    <w:rsid w:val="00B579BE"/>
    <w:rsid w:val="00B61182"/>
    <w:rsid w:val="00B6175D"/>
    <w:rsid w:val="00B64135"/>
    <w:rsid w:val="00B65917"/>
    <w:rsid w:val="00B661C6"/>
    <w:rsid w:val="00B67D38"/>
    <w:rsid w:val="00B7004F"/>
    <w:rsid w:val="00B70231"/>
    <w:rsid w:val="00B72B46"/>
    <w:rsid w:val="00B73524"/>
    <w:rsid w:val="00B7387A"/>
    <w:rsid w:val="00B74422"/>
    <w:rsid w:val="00B744B4"/>
    <w:rsid w:val="00B74C9B"/>
    <w:rsid w:val="00B7731B"/>
    <w:rsid w:val="00B80A7F"/>
    <w:rsid w:val="00B8164C"/>
    <w:rsid w:val="00B82452"/>
    <w:rsid w:val="00B837CE"/>
    <w:rsid w:val="00B84135"/>
    <w:rsid w:val="00B86736"/>
    <w:rsid w:val="00B87266"/>
    <w:rsid w:val="00B87806"/>
    <w:rsid w:val="00B87BC1"/>
    <w:rsid w:val="00B87EC9"/>
    <w:rsid w:val="00B9084B"/>
    <w:rsid w:val="00B9156A"/>
    <w:rsid w:val="00B9176F"/>
    <w:rsid w:val="00B92352"/>
    <w:rsid w:val="00B93CCC"/>
    <w:rsid w:val="00B94475"/>
    <w:rsid w:val="00B94A56"/>
    <w:rsid w:val="00B94A92"/>
    <w:rsid w:val="00B94D02"/>
    <w:rsid w:val="00B94F9D"/>
    <w:rsid w:val="00B955E9"/>
    <w:rsid w:val="00B96A5E"/>
    <w:rsid w:val="00B970F9"/>
    <w:rsid w:val="00B97F91"/>
    <w:rsid w:val="00B97FD3"/>
    <w:rsid w:val="00BA06FD"/>
    <w:rsid w:val="00BA1CF6"/>
    <w:rsid w:val="00BA657B"/>
    <w:rsid w:val="00BA6B17"/>
    <w:rsid w:val="00BB07F3"/>
    <w:rsid w:val="00BB0D0D"/>
    <w:rsid w:val="00BB2AF2"/>
    <w:rsid w:val="00BC1012"/>
    <w:rsid w:val="00BC38FD"/>
    <w:rsid w:val="00BC42B7"/>
    <w:rsid w:val="00BC5C8E"/>
    <w:rsid w:val="00BC789D"/>
    <w:rsid w:val="00BD10CF"/>
    <w:rsid w:val="00BD17B8"/>
    <w:rsid w:val="00BD2615"/>
    <w:rsid w:val="00BD368F"/>
    <w:rsid w:val="00BD5E99"/>
    <w:rsid w:val="00BD692E"/>
    <w:rsid w:val="00BD736A"/>
    <w:rsid w:val="00BE10E0"/>
    <w:rsid w:val="00BE1884"/>
    <w:rsid w:val="00BE2258"/>
    <w:rsid w:val="00BE22ED"/>
    <w:rsid w:val="00BE312F"/>
    <w:rsid w:val="00BE3F19"/>
    <w:rsid w:val="00BE5F03"/>
    <w:rsid w:val="00BF1BA3"/>
    <w:rsid w:val="00BF1CC0"/>
    <w:rsid w:val="00BF413D"/>
    <w:rsid w:val="00BF47E9"/>
    <w:rsid w:val="00BF4A84"/>
    <w:rsid w:val="00BF4AF3"/>
    <w:rsid w:val="00BF4CA5"/>
    <w:rsid w:val="00BF4E81"/>
    <w:rsid w:val="00BF5537"/>
    <w:rsid w:val="00BF691B"/>
    <w:rsid w:val="00BF7154"/>
    <w:rsid w:val="00BF7A6A"/>
    <w:rsid w:val="00C005D9"/>
    <w:rsid w:val="00C01296"/>
    <w:rsid w:val="00C0176C"/>
    <w:rsid w:val="00C01A8E"/>
    <w:rsid w:val="00C02E99"/>
    <w:rsid w:val="00C034CB"/>
    <w:rsid w:val="00C05140"/>
    <w:rsid w:val="00C051A8"/>
    <w:rsid w:val="00C05360"/>
    <w:rsid w:val="00C054BC"/>
    <w:rsid w:val="00C067D9"/>
    <w:rsid w:val="00C068B4"/>
    <w:rsid w:val="00C072D4"/>
    <w:rsid w:val="00C104A6"/>
    <w:rsid w:val="00C10580"/>
    <w:rsid w:val="00C10AEA"/>
    <w:rsid w:val="00C114C5"/>
    <w:rsid w:val="00C12451"/>
    <w:rsid w:val="00C13329"/>
    <w:rsid w:val="00C14081"/>
    <w:rsid w:val="00C15AD7"/>
    <w:rsid w:val="00C17185"/>
    <w:rsid w:val="00C17208"/>
    <w:rsid w:val="00C17897"/>
    <w:rsid w:val="00C20575"/>
    <w:rsid w:val="00C24F09"/>
    <w:rsid w:val="00C25325"/>
    <w:rsid w:val="00C25425"/>
    <w:rsid w:val="00C255BD"/>
    <w:rsid w:val="00C30416"/>
    <w:rsid w:val="00C320BC"/>
    <w:rsid w:val="00C328B9"/>
    <w:rsid w:val="00C3321F"/>
    <w:rsid w:val="00C335F6"/>
    <w:rsid w:val="00C340A7"/>
    <w:rsid w:val="00C3532F"/>
    <w:rsid w:val="00C35531"/>
    <w:rsid w:val="00C35FD7"/>
    <w:rsid w:val="00C36437"/>
    <w:rsid w:val="00C36AC7"/>
    <w:rsid w:val="00C409D5"/>
    <w:rsid w:val="00C42308"/>
    <w:rsid w:val="00C43538"/>
    <w:rsid w:val="00C435C3"/>
    <w:rsid w:val="00C43E46"/>
    <w:rsid w:val="00C4564A"/>
    <w:rsid w:val="00C45C07"/>
    <w:rsid w:val="00C461F9"/>
    <w:rsid w:val="00C46D70"/>
    <w:rsid w:val="00C47AAC"/>
    <w:rsid w:val="00C47E68"/>
    <w:rsid w:val="00C503C9"/>
    <w:rsid w:val="00C505AE"/>
    <w:rsid w:val="00C50C61"/>
    <w:rsid w:val="00C50CB6"/>
    <w:rsid w:val="00C511A0"/>
    <w:rsid w:val="00C529A0"/>
    <w:rsid w:val="00C53ACA"/>
    <w:rsid w:val="00C5513B"/>
    <w:rsid w:val="00C56C13"/>
    <w:rsid w:val="00C57329"/>
    <w:rsid w:val="00C57545"/>
    <w:rsid w:val="00C61B39"/>
    <w:rsid w:val="00C621EA"/>
    <w:rsid w:val="00C6234B"/>
    <w:rsid w:val="00C623F9"/>
    <w:rsid w:val="00C63295"/>
    <w:rsid w:val="00C63EAE"/>
    <w:rsid w:val="00C64A05"/>
    <w:rsid w:val="00C64EBD"/>
    <w:rsid w:val="00C65BC7"/>
    <w:rsid w:val="00C66288"/>
    <w:rsid w:val="00C669A5"/>
    <w:rsid w:val="00C671B3"/>
    <w:rsid w:val="00C67449"/>
    <w:rsid w:val="00C70CED"/>
    <w:rsid w:val="00C7177D"/>
    <w:rsid w:val="00C71918"/>
    <w:rsid w:val="00C722B7"/>
    <w:rsid w:val="00C738B6"/>
    <w:rsid w:val="00C74BCD"/>
    <w:rsid w:val="00C74CD6"/>
    <w:rsid w:val="00C756B3"/>
    <w:rsid w:val="00C7593E"/>
    <w:rsid w:val="00C75964"/>
    <w:rsid w:val="00C75DB5"/>
    <w:rsid w:val="00C7629F"/>
    <w:rsid w:val="00C76C96"/>
    <w:rsid w:val="00C7740C"/>
    <w:rsid w:val="00C77B4F"/>
    <w:rsid w:val="00C77E93"/>
    <w:rsid w:val="00C80EC1"/>
    <w:rsid w:val="00C834FD"/>
    <w:rsid w:val="00C856C4"/>
    <w:rsid w:val="00C857FB"/>
    <w:rsid w:val="00C865D4"/>
    <w:rsid w:val="00C8661B"/>
    <w:rsid w:val="00C878A7"/>
    <w:rsid w:val="00C900C6"/>
    <w:rsid w:val="00C9275E"/>
    <w:rsid w:val="00C9430C"/>
    <w:rsid w:val="00C966FA"/>
    <w:rsid w:val="00CA0C9B"/>
    <w:rsid w:val="00CA139A"/>
    <w:rsid w:val="00CA256C"/>
    <w:rsid w:val="00CA2899"/>
    <w:rsid w:val="00CA3A3D"/>
    <w:rsid w:val="00CA3A49"/>
    <w:rsid w:val="00CA3CBA"/>
    <w:rsid w:val="00CA3D0F"/>
    <w:rsid w:val="00CA4AD9"/>
    <w:rsid w:val="00CA572E"/>
    <w:rsid w:val="00CA58B9"/>
    <w:rsid w:val="00CA5EF6"/>
    <w:rsid w:val="00CA6E86"/>
    <w:rsid w:val="00CA70C6"/>
    <w:rsid w:val="00CA77FB"/>
    <w:rsid w:val="00CB0726"/>
    <w:rsid w:val="00CB090E"/>
    <w:rsid w:val="00CB1869"/>
    <w:rsid w:val="00CB1903"/>
    <w:rsid w:val="00CB2566"/>
    <w:rsid w:val="00CB2692"/>
    <w:rsid w:val="00CB2BDB"/>
    <w:rsid w:val="00CB2C9C"/>
    <w:rsid w:val="00CB379B"/>
    <w:rsid w:val="00CB5964"/>
    <w:rsid w:val="00CB5DD0"/>
    <w:rsid w:val="00CB680C"/>
    <w:rsid w:val="00CB6B77"/>
    <w:rsid w:val="00CB6E0E"/>
    <w:rsid w:val="00CB73DF"/>
    <w:rsid w:val="00CC2747"/>
    <w:rsid w:val="00CC31F9"/>
    <w:rsid w:val="00CC457E"/>
    <w:rsid w:val="00CC497B"/>
    <w:rsid w:val="00CC51D4"/>
    <w:rsid w:val="00CC5275"/>
    <w:rsid w:val="00CC598E"/>
    <w:rsid w:val="00CC5CE1"/>
    <w:rsid w:val="00CC6296"/>
    <w:rsid w:val="00CC65DA"/>
    <w:rsid w:val="00CC6DF7"/>
    <w:rsid w:val="00CC735A"/>
    <w:rsid w:val="00CD16F9"/>
    <w:rsid w:val="00CD1C22"/>
    <w:rsid w:val="00CD237A"/>
    <w:rsid w:val="00CD36CE"/>
    <w:rsid w:val="00CD403F"/>
    <w:rsid w:val="00CD449F"/>
    <w:rsid w:val="00CD5508"/>
    <w:rsid w:val="00CD5DB7"/>
    <w:rsid w:val="00CD5F81"/>
    <w:rsid w:val="00CD6E3D"/>
    <w:rsid w:val="00CD7C1A"/>
    <w:rsid w:val="00CE11D2"/>
    <w:rsid w:val="00CE2499"/>
    <w:rsid w:val="00CE40A5"/>
    <w:rsid w:val="00CE4778"/>
    <w:rsid w:val="00CE4F14"/>
    <w:rsid w:val="00CE5BA5"/>
    <w:rsid w:val="00CE60AC"/>
    <w:rsid w:val="00CE6AA8"/>
    <w:rsid w:val="00CF006B"/>
    <w:rsid w:val="00CF0C8D"/>
    <w:rsid w:val="00CF0D12"/>
    <w:rsid w:val="00CF0FA6"/>
    <w:rsid w:val="00CF1707"/>
    <w:rsid w:val="00CF1CB1"/>
    <w:rsid w:val="00CF21B9"/>
    <w:rsid w:val="00CF2F4F"/>
    <w:rsid w:val="00CF37F6"/>
    <w:rsid w:val="00CF4843"/>
    <w:rsid w:val="00CF5E27"/>
    <w:rsid w:val="00CF6BF9"/>
    <w:rsid w:val="00D0106E"/>
    <w:rsid w:val="00D03800"/>
    <w:rsid w:val="00D0404E"/>
    <w:rsid w:val="00D041E4"/>
    <w:rsid w:val="00D050C7"/>
    <w:rsid w:val="00D05197"/>
    <w:rsid w:val="00D06264"/>
    <w:rsid w:val="00D065D3"/>
    <w:rsid w:val="00D10A6F"/>
    <w:rsid w:val="00D10EB1"/>
    <w:rsid w:val="00D117B2"/>
    <w:rsid w:val="00D13F0F"/>
    <w:rsid w:val="00D14249"/>
    <w:rsid w:val="00D14C94"/>
    <w:rsid w:val="00D150D8"/>
    <w:rsid w:val="00D15B8D"/>
    <w:rsid w:val="00D17099"/>
    <w:rsid w:val="00D20EBA"/>
    <w:rsid w:val="00D21AA4"/>
    <w:rsid w:val="00D224D3"/>
    <w:rsid w:val="00D23CEA"/>
    <w:rsid w:val="00D26388"/>
    <w:rsid w:val="00D267C4"/>
    <w:rsid w:val="00D30136"/>
    <w:rsid w:val="00D312DE"/>
    <w:rsid w:val="00D31ACF"/>
    <w:rsid w:val="00D31CDE"/>
    <w:rsid w:val="00D31E37"/>
    <w:rsid w:val="00D330CC"/>
    <w:rsid w:val="00D330DB"/>
    <w:rsid w:val="00D33FEE"/>
    <w:rsid w:val="00D342A6"/>
    <w:rsid w:val="00D34465"/>
    <w:rsid w:val="00D349AB"/>
    <w:rsid w:val="00D34B67"/>
    <w:rsid w:val="00D352C5"/>
    <w:rsid w:val="00D36E76"/>
    <w:rsid w:val="00D3759C"/>
    <w:rsid w:val="00D37CBB"/>
    <w:rsid w:val="00D40739"/>
    <w:rsid w:val="00D40804"/>
    <w:rsid w:val="00D418EA"/>
    <w:rsid w:val="00D435DF"/>
    <w:rsid w:val="00D4363E"/>
    <w:rsid w:val="00D45783"/>
    <w:rsid w:val="00D464BF"/>
    <w:rsid w:val="00D47B51"/>
    <w:rsid w:val="00D47F76"/>
    <w:rsid w:val="00D50480"/>
    <w:rsid w:val="00D50999"/>
    <w:rsid w:val="00D5176D"/>
    <w:rsid w:val="00D524A1"/>
    <w:rsid w:val="00D52C8C"/>
    <w:rsid w:val="00D538BA"/>
    <w:rsid w:val="00D53E26"/>
    <w:rsid w:val="00D56179"/>
    <w:rsid w:val="00D56E81"/>
    <w:rsid w:val="00D57BB1"/>
    <w:rsid w:val="00D57C3F"/>
    <w:rsid w:val="00D60731"/>
    <w:rsid w:val="00D60852"/>
    <w:rsid w:val="00D60BB1"/>
    <w:rsid w:val="00D6109E"/>
    <w:rsid w:val="00D62287"/>
    <w:rsid w:val="00D628EA"/>
    <w:rsid w:val="00D62AC6"/>
    <w:rsid w:val="00D631A6"/>
    <w:rsid w:val="00D63932"/>
    <w:rsid w:val="00D63F85"/>
    <w:rsid w:val="00D6623E"/>
    <w:rsid w:val="00D665AD"/>
    <w:rsid w:val="00D67482"/>
    <w:rsid w:val="00D678A0"/>
    <w:rsid w:val="00D67E4F"/>
    <w:rsid w:val="00D7178C"/>
    <w:rsid w:val="00D727AA"/>
    <w:rsid w:val="00D7393B"/>
    <w:rsid w:val="00D73A17"/>
    <w:rsid w:val="00D74FEF"/>
    <w:rsid w:val="00D76739"/>
    <w:rsid w:val="00D771CC"/>
    <w:rsid w:val="00D775D8"/>
    <w:rsid w:val="00D777B8"/>
    <w:rsid w:val="00D77923"/>
    <w:rsid w:val="00D77FA6"/>
    <w:rsid w:val="00D8105C"/>
    <w:rsid w:val="00D85ED7"/>
    <w:rsid w:val="00D86518"/>
    <w:rsid w:val="00D86DCD"/>
    <w:rsid w:val="00D90648"/>
    <w:rsid w:val="00D9070A"/>
    <w:rsid w:val="00D914DE"/>
    <w:rsid w:val="00D9368D"/>
    <w:rsid w:val="00D93788"/>
    <w:rsid w:val="00D969CA"/>
    <w:rsid w:val="00D96E4B"/>
    <w:rsid w:val="00D979BA"/>
    <w:rsid w:val="00DA051D"/>
    <w:rsid w:val="00DA2C4C"/>
    <w:rsid w:val="00DA3295"/>
    <w:rsid w:val="00DA3A60"/>
    <w:rsid w:val="00DA3F6D"/>
    <w:rsid w:val="00DA4157"/>
    <w:rsid w:val="00DA4359"/>
    <w:rsid w:val="00DA466C"/>
    <w:rsid w:val="00DA4DD7"/>
    <w:rsid w:val="00DA52BD"/>
    <w:rsid w:val="00DB065C"/>
    <w:rsid w:val="00DB41A2"/>
    <w:rsid w:val="00DB4B10"/>
    <w:rsid w:val="00DB612E"/>
    <w:rsid w:val="00DB6789"/>
    <w:rsid w:val="00DB73EC"/>
    <w:rsid w:val="00DC1438"/>
    <w:rsid w:val="00DC180F"/>
    <w:rsid w:val="00DC2181"/>
    <w:rsid w:val="00DC353F"/>
    <w:rsid w:val="00DC364A"/>
    <w:rsid w:val="00DC383C"/>
    <w:rsid w:val="00DC5C29"/>
    <w:rsid w:val="00DC6B5C"/>
    <w:rsid w:val="00DD13E0"/>
    <w:rsid w:val="00DD1471"/>
    <w:rsid w:val="00DD3BC4"/>
    <w:rsid w:val="00DD486D"/>
    <w:rsid w:val="00DD4BFF"/>
    <w:rsid w:val="00DD4C3C"/>
    <w:rsid w:val="00DD4F0E"/>
    <w:rsid w:val="00DD6D1E"/>
    <w:rsid w:val="00DE037D"/>
    <w:rsid w:val="00DE054E"/>
    <w:rsid w:val="00DE07E0"/>
    <w:rsid w:val="00DE596A"/>
    <w:rsid w:val="00DF04E3"/>
    <w:rsid w:val="00DF05F1"/>
    <w:rsid w:val="00DF0BF0"/>
    <w:rsid w:val="00DF1B36"/>
    <w:rsid w:val="00DF1FED"/>
    <w:rsid w:val="00DF22C2"/>
    <w:rsid w:val="00DF27EA"/>
    <w:rsid w:val="00DF378F"/>
    <w:rsid w:val="00DF39E6"/>
    <w:rsid w:val="00DF5684"/>
    <w:rsid w:val="00DF5FAD"/>
    <w:rsid w:val="00DF6033"/>
    <w:rsid w:val="00E00A9E"/>
    <w:rsid w:val="00E00C50"/>
    <w:rsid w:val="00E01408"/>
    <w:rsid w:val="00E01F0B"/>
    <w:rsid w:val="00E027AA"/>
    <w:rsid w:val="00E036D9"/>
    <w:rsid w:val="00E03F73"/>
    <w:rsid w:val="00E05B53"/>
    <w:rsid w:val="00E05E0A"/>
    <w:rsid w:val="00E05FB4"/>
    <w:rsid w:val="00E0680F"/>
    <w:rsid w:val="00E119DD"/>
    <w:rsid w:val="00E12083"/>
    <w:rsid w:val="00E13B60"/>
    <w:rsid w:val="00E15284"/>
    <w:rsid w:val="00E15FD8"/>
    <w:rsid w:val="00E164E4"/>
    <w:rsid w:val="00E17B31"/>
    <w:rsid w:val="00E2018B"/>
    <w:rsid w:val="00E20BDC"/>
    <w:rsid w:val="00E21EBB"/>
    <w:rsid w:val="00E221A2"/>
    <w:rsid w:val="00E22328"/>
    <w:rsid w:val="00E238B4"/>
    <w:rsid w:val="00E23BEE"/>
    <w:rsid w:val="00E3085D"/>
    <w:rsid w:val="00E31305"/>
    <w:rsid w:val="00E32E51"/>
    <w:rsid w:val="00E3507C"/>
    <w:rsid w:val="00E35D5A"/>
    <w:rsid w:val="00E40F00"/>
    <w:rsid w:val="00E41ADE"/>
    <w:rsid w:val="00E41C43"/>
    <w:rsid w:val="00E42B55"/>
    <w:rsid w:val="00E42CB6"/>
    <w:rsid w:val="00E43DFB"/>
    <w:rsid w:val="00E447F8"/>
    <w:rsid w:val="00E4644E"/>
    <w:rsid w:val="00E467DC"/>
    <w:rsid w:val="00E479F5"/>
    <w:rsid w:val="00E507B9"/>
    <w:rsid w:val="00E511C1"/>
    <w:rsid w:val="00E516BB"/>
    <w:rsid w:val="00E534CF"/>
    <w:rsid w:val="00E53B82"/>
    <w:rsid w:val="00E53C15"/>
    <w:rsid w:val="00E55041"/>
    <w:rsid w:val="00E562AA"/>
    <w:rsid w:val="00E563FA"/>
    <w:rsid w:val="00E57D92"/>
    <w:rsid w:val="00E618AC"/>
    <w:rsid w:val="00E6234C"/>
    <w:rsid w:val="00E63061"/>
    <w:rsid w:val="00E635AC"/>
    <w:rsid w:val="00E637F6"/>
    <w:rsid w:val="00E63CB9"/>
    <w:rsid w:val="00E66C3E"/>
    <w:rsid w:val="00E711DB"/>
    <w:rsid w:val="00E71E5C"/>
    <w:rsid w:val="00E71EB4"/>
    <w:rsid w:val="00E7258C"/>
    <w:rsid w:val="00E72F46"/>
    <w:rsid w:val="00E73114"/>
    <w:rsid w:val="00E73633"/>
    <w:rsid w:val="00E7424A"/>
    <w:rsid w:val="00E74844"/>
    <w:rsid w:val="00E7509E"/>
    <w:rsid w:val="00E75220"/>
    <w:rsid w:val="00E7538E"/>
    <w:rsid w:val="00E75463"/>
    <w:rsid w:val="00E76CDC"/>
    <w:rsid w:val="00E80927"/>
    <w:rsid w:val="00E81CB4"/>
    <w:rsid w:val="00E83B86"/>
    <w:rsid w:val="00E851AD"/>
    <w:rsid w:val="00E85679"/>
    <w:rsid w:val="00E8585B"/>
    <w:rsid w:val="00E85E59"/>
    <w:rsid w:val="00E915CA"/>
    <w:rsid w:val="00E91880"/>
    <w:rsid w:val="00E9264A"/>
    <w:rsid w:val="00E93A08"/>
    <w:rsid w:val="00E93EB3"/>
    <w:rsid w:val="00E95C1F"/>
    <w:rsid w:val="00E95F5C"/>
    <w:rsid w:val="00E96874"/>
    <w:rsid w:val="00E97CB0"/>
    <w:rsid w:val="00EA0E44"/>
    <w:rsid w:val="00EA12C2"/>
    <w:rsid w:val="00EA30EB"/>
    <w:rsid w:val="00EA372B"/>
    <w:rsid w:val="00EA3F15"/>
    <w:rsid w:val="00EA3F81"/>
    <w:rsid w:val="00EA464D"/>
    <w:rsid w:val="00EA4DDB"/>
    <w:rsid w:val="00EA5FBC"/>
    <w:rsid w:val="00EA6384"/>
    <w:rsid w:val="00EA6385"/>
    <w:rsid w:val="00EA7847"/>
    <w:rsid w:val="00EA7FB7"/>
    <w:rsid w:val="00EB0F2E"/>
    <w:rsid w:val="00EB180D"/>
    <w:rsid w:val="00EB2359"/>
    <w:rsid w:val="00EB2884"/>
    <w:rsid w:val="00EB2F1D"/>
    <w:rsid w:val="00EB449D"/>
    <w:rsid w:val="00EB5904"/>
    <w:rsid w:val="00EB623F"/>
    <w:rsid w:val="00EB6B3E"/>
    <w:rsid w:val="00EB6EC3"/>
    <w:rsid w:val="00EB7237"/>
    <w:rsid w:val="00EC0893"/>
    <w:rsid w:val="00EC0D38"/>
    <w:rsid w:val="00EC2796"/>
    <w:rsid w:val="00EC3714"/>
    <w:rsid w:val="00EC4B96"/>
    <w:rsid w:val="00EC7775"/>
    <w:rsid w:val="00ED1181"/>
    <w:rsid w:val="00ED1ABF"/>
    <w:rsid w:val="00ED1DFF"/>
    <w:rsid w:val="00ED2A1C"/>
    <w:rsid w:val="00ED4147"/>
    <w:rsid w:val="00ED45AC"/>
    <w:rsid w:val="00ED4874"/>
    <w:rsid w:val="00ED68C4"/>
    <w:rsid w:val="00EE014D"/>
    <w:rsid w:val="00EE0E6E"/>
    <w:rsid w:val="00EE1002"/>
    <w:rsid w:val="00EE2E6D"/>
    <w:rsid w:val="00EE2E6E"/>
    <w:rsid w:val="00EE2F3A"/>
    <w:rsid w:val="00EE3B42"/>
    <w:rsid w:val="00EE3EA2"/>
    <w:rsid w:val="00EE3F32"/>
    <w:rsid w:val="00EE5298"/>
    <w:rsid w:val="00EE5994"/>
    <w:rsid w:val="00EE5AB7"/>
    <w:rsid w:val="00EE5CB9"/>
    <w:rsid w:val="00EE5F7D"/>
    <w:rsid w:val="00EE64A6"/>
    <w:rsid w:val="00EE6C8A"/>
    <w:rsid w:val="00EE71CE"/>
    <w:rsid w:val="00EE7AC9"/>
    <w:rsid w:val="00EE7BF4"/>
    <w:rsid w:val="00EE7DD3"/>
    <w:rsid w:val="00EF00C3"/>
    <w:rsid w:val="00EF0E52"/>
    <w:rsid w:val="00EF2031"/>
    <w:rsid w:val="00EF2A9E"/>
    <w:rsid w:val="00EF2BFF"/>
    <w:rsid w:val="00EF3038"/>
    <w:rsid w:val="00EF32C0"/>
    <w:rsid w:val="00EF3921"/>
    <w:rsid w:val="00EF486A"/>
    <w:rsid w:val="00EF4B93"/>
    <w:rsid w:val="00EF63CE"/>
    <w:rsid w:val="00EF6D4B"/>
    <w:rsid w:val="00EF7019"/>
    <w:rsid w:val="00EF773E"/>
    <w:rsid w:val="00EF785A"/>
    <w:rsid w:val="00F01068"/>
    <w:rsid w:val="00F01806"/>
    <w:rsid w:val="00F01B61"/>
    <w:rsid w:val="00F044EB"/>
    <w:rsid w:val="00F0501D"/>
    <w:rsid w:val="00F0631F"/>
    <w:rsid w:val="00F066E9"/>
    <w:rsid w:val="00F0759E"/>
    <w:rsid w:val="00F07E4D"/>
    <w:rsid w:val="00F10157"/>
    <w:rsid w:val="00F10644"/>
    <w:rsid w:val="00F10B17"/>
    <w:rsid w:val="00F13554"/>
    <w:rsid w:val="00F13B94"/>
    <w:rsid w:val="00F13EB6"/>
    <w:rsid w:val="00F14C6D"/>
    <w:rsid w:val="00F158EE"/>
    <w:rsid w:val="00F158F4"/>
    <w:rsid w:val="00F1649D"/>
    <w:rsid w:val="00F16E1A"/>
    <w:rsid w:val="00F1720B"/>
    <w:rsid w:val="00F2103E"/>
    <w:rsid w:val="00F221BC"/>
    <w:rsid w:val="00F22540"/>
    <w:rsid w:val="00F2274A"/>
    <w:rsid w:val="00F23351"/>
    <w:rsid w:val="00F263F8"/>
    <w:rsid w:val="00F27665"/>
    <w:rsid w:val="00F27F24"/>
    <w:rsid w:val="00F306A1"/>
    <w:rsid w:val="00F30B18"/>
    <w:rsid w:val="00F31642"/>
    <w:rsid w:val="00F31679"/>
    <w:rsid w:val="00F33430"/>
    <w:rsid w:val="00F337D9"/>
    <w:rsid w:val="00F34E34"/>
    <w:rsid w:val="00F358D1"/>
    <w:rsid w:val="00F37B32"/>
    <w:rsid w:val="00F4050A"/>
    <w:rsid w:val="00F4107D"/>
    <w:rsid w:val="00F41373"/>
    <w:rsid w:val="00F42CBD"/>
    <w:rsid w:val="00F432E6"/>
    <w:rsid w:val="00F43CA8"/>
    <w:rsid w:val="00F44C2D"/>
    <w:rsid w:val="00F4540C"/>
    <w:rsid w:val="00F479D3"/>
    <w:rsid w:val="00F50683"/>
    <w:rsid w:val="00F50FAE"/>
    <w:rsid w:val="00F51E2E"/>
    <w:rsid w:val="00F52009"/>
    <w:rsid w:val="00F53D77"/>
    <w:rsid w:val="00F55DA9"/>
    <w:rsid w:val="00F5619A"/>
    <w:rsid w:val="00F569FD"/>
    <w:rsid w:val="00F56EE9"/>
    <w:rsid w:val="00F571D2"/>
    <w:rsid w:val="00F57245"/>
    <w:rsid w:val="00F572C5"/>
    <w:rsid w:val="00F62105"/>
    <w:rsid w:val="00F62459"/>
    <w:rsid w:val="00F6286A"/>
    <w:rsid w:val="00F634AC"/>
    <w:rsid w:val="00F652B9"/>
    <w:rsid w:val="00F66696"/>
    <w:rsid w:val="00F669AB"/>
    <w:rsid w:val="00F66B49"/>
    <w:rsid w:val="00F712A7"/>
    <w:rsid w:val="00F71742"/>
    <w:rsid w:val="00F71CBA"/>
    <w:rsid w:val="00F71E33"/>
    <w:rsid w:val="00F72311"/>
    <w:rsid w:val="00F72BA7"/>
    <w:rsid w:val="00F736B6"/>
    <w:rsid w:val="00F76D02"/>
    <w:rsid w:val="00F76F67"/>
    <w:rsid w:val="00F778C7"/>
    <w:rsid w:val="00F77BED"/>
    <w:rsid w:val="00F8145D"/>
    <w:rsid w:val="00F81D80"/>
    <w:rsid w:val="00F821A3"/>
    <w:rsid w:val="00F84267"/>
    <w:rsid w:val="00F84401"/>
    <w:rsid w:val="00F84898"/>
    <w:rsid w:val="00F854E0"/>
    <w:rsid w:val="00F85DD5"/>
    <w:rsid w:val="00F865FC"/>
    <w:rsid w:val="00F86627"/>
    <w:rsid w:val="00F913DF"/>
    <w:rsid w:val="00F9256E"/>
    <w:rsid w:val="00F9314A"/>
    <w:rsid w:val="00F93221"/>
    <w:rsid w:val="00F95F39"/>
    <w:rsid w:val="00F97F25"/>
    <w:rsid w:val="00FA0D14"/>
    <w:rsid w:val="00FA15A0"/>
    <w:rsid w:val="00FA1676"/>
    <w:rsid w:val="00FA31C4"/>
    <w:rsid w:val="00FA7A83"/>
    <w:rsid w:val="00FB0478"/>
    <w:rsid w:val="00FB0C1A"/>
    <w:rsid w:val="00FB0EE9"/>
    <w:rsid w:val="00FB1546"/>
    <w:rsid w:val="00FB2E67"/>
    <w:rsid w:val="00FB4BD0"/>
    <w:rsid w:val="00FB4C16"/>
    <w:rsid w:val="00FB5666"/>
    <w:rsid w:val="00FB57F3"/>
    <w:rsid w:val="00FB5F17"/>
    <w:rsid w:val="00FB605E"/>
    <w:rsid w:val="00FB63CC"/>
    <w:rsid w:val="00FC04C8"/>
    <w:rsid w:val="00FC1AB3"/>
    <w:rsid w:val="00FC1ED8"/>
    <w:rsid w:val="00FC2B2B"/>
    <w:rsid w:val="00FC33A7"/>
    <w:rsid w:val="00FC3985"/>
    <w:rsid w:val="00FC3B66"/>
    <w:rsid w:val="00FC58EF"/>
    <w:rsid w:val="00FC6B86"/>
    <w:rsid w:val="00FC7F4F"/>
    <w:rsid w:val="00FD0766"/>
    <w:rsid w:val="00FD1C22"/>
    <w:rsid w:val="00FD2E7C"/>
    <w:rsid w:val="00FD2F55"/>
    <w:rsid w:val="00FD33DF"/>
    <w:rsid w:val="00FD4319"/>
    <w:rsid w:val="00FD43AF"/>
    <w:rsid w:val="00FD4644"/>
    <w:rsid w:val="00FD4BD8"/>
    <w:rsid w:val="00FD5B78"/>
    <w:rsid w:val="00FD68B0"/>
    <w:rsid w:val="00FD6FD5"/>
    <w:rsid w:val="00FE0DC5"/>
    <w:rsid w:val="00FE1FE5"/>
    <w:rsid w:val="00FE277E"/>
    <w:rsid w:val="00FE2A63"/>
    <w:rsid w:val="00FE39D7"/>
    <w:rsid w:val="00FE3C9C"/>
    <w:rsid w:val="00FE42DA"/>
    <w:rsid w:val="00FE467A"/>
    <w:rsid w:val="00FE48A9"/>
    <w:rsid w:val="00FE5037"/>
    <w:rsid w:val="00FE59E2"/>
    <w:rsid w:val="00FE657B"/>
    <w:rsid w:val="00FE6E46"/>
    <w:rsid w:val="00FF03A0"/>
    <w:rsid w:val="00FF158F"/>
    <w:rsid w:val="00FF19B6"/>
    <w:rsid w:val="00FF3651"/>
    <w:rsid w:val="00FF3EAD"/>
    <w:rsid w:val="00FF4C7F"/>
    <w:rsid w:val="00FF4F3F"/>
    <w:rsid w:val="00FF6855"/>
    <w:rsid w:val="00FF795D"/>
    <w:rsid w:val="00FF7B95"/>
    <w:rsid w:val="00FF7F3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185"/>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eastAsia="x-none"/>
    </w:rPr>
  </w:style>
  <w:style w:type="paragraph" w:styleId="Ttulo4">
    <w:name w:val="heading 4"/>
    <w:aliases w:val="TBG Heading 4,o"/>
    <w:basedOn w:val="Normal"/>
    <w:next w:val="Normal"/>
    <w:link w:val="Ttulo4Car"/>
    <w:qFormat/>
    <w:rsid w:val="003101DA"/>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3101DA"/>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eastAsia="x-none"/>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b/>
      <w:bCs/>
      <w:lang w:val="x-none" w:eastAsia="x-none"/>
    </w:rPr>
  </w:style>
  <w:style w:type="paragraph" w:styleId="Textoindependiente3">
    <w:name w:val="Body Text 3"/>
    <w:basedOn w:val="Normal"/>
    <w:link w:val="Textoindependiente3Car"/>
    <w:semiHidden/>
    <w:rsid w:val="003101DA"/>
    <w:pPr>
      <w:jc w:val="center"/>
      <w:outlineLvl w:val="0"/>
    </w:pPr>
    <w:rPr>
      <w:rFonts w:ascii="Arial" w:hAnsi="Arial"/>
      <w:b/>
      <w:bCs/>
      <w:spacing w:val="-3"/>
      <w:lang w:val="x-none" w:eastAsia="x-none"/>
    </w:rPr>
  </w:style>
  <w:style w:type="paragraph" w:styleId="Textodeglobo">
    <w:name w:val="Balloon Text"/>
    <w:basedOn w:val="Normal"/>
    <w:link w:val="TextodegloboCar"/>
    <w:uiPriority w:val="99"/>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rPr>
      <w:lang w:val="x-none" w:eastAsia="x-none"/>
    </w:rPr>
  </w:style>
  <w:style w:type="character" w:customStyle="1" w:styleId="Textoindependiente2Car">
    <w:name w:val="Texto independiente 2 Ca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lang w:val="x-none" w:eastAsia="x-none"/>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character" w:customStyle="1" w:styleId="PiedepginaCar">
    <w:name w:val="Pie de página Car"/>
    <w:link w:val="Piedepgina"/>
    <w:uiPriority w:val="99"/>
    <w:rsid w:val="00CD5DB7"/>
    <w:rPr>
      <w:sz w:val="24"/>
      <w:szCs w:val="24"/>
      <w:lang w:val="es-ES" w:eastAsia="es-ES"/>
    </w:rPr>
  </w:style>
  <w:style w:type="character" w:styleId="Refdecomentario">
    <w:name w:val="annotation reference"/>
    <w:uiPriority w:val="99"/>
    <w:semiHidden/>
    <w:rsid w:val="00CD5DB7"/>
    <w:rPr>
      <w:sz w:val="16"/>
      <w:szCs w:val="16"/>
    </w:rPr>
  </w:style>
  <w:style w:type="paragraph" w:styleId="Textocomentario">
    <w:name w:val="annotation text"/>
    <w:basedOn w:val="Normal"/>
    <w:link w:val="TextocomentarioCar"/>
    <w:uiPriority w:val="99"/>
    <w:rsid w:val="00CD5DB7"/>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uiPriority w:val="99"/>
    <w:rsid w:val="00CD5DB7"/>
    <w:rPr>
      <w:lang w:val="es-ES" w:eastAsia="es-ES"/>
    </w:rPr>
  </w:style>
  <w:style w:type="paragraph" w:customStyle="1" w:styleId="ARTICULOS">
    <w:name w:val="ARTICULOS"/>
    <w:basedOn w:val="Normal"/>
    <w:link w:val="ARTICULOSCar"/>
    <w:qFormat/>
    <w:rsid w:val="00CD5DB7"/>
    <w:pPr>
      <w:widowControl w:val="0"/>
      <w:numPr>
        <w:numId w:val="1"/>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CD5DB7"/>
    <w:rPr>
      <w:rFonts w:ascii="Bookman Old Style" w:hAnsi="Bookman Old Style"/>
      <w:bCs/>
      <w:sz w:val="24"/>
      <w:szCs w:val="24"/>
      <w:lang w:val="x-none" w:eastAsia="x-none"/>
    </w:rPr>
  </w:style>
  <w:style w:type="paragraph" w:customStyle="1" w:styleId="Default">
    <w:name w:val="Default"/>
    <w:rsid w:val="00CD5DB7"/>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CD5DB7"/>
    <w:pPr>
      <w:spacing w:line="240" w:lineRule="auto"/>
    </w:pPr>
    <w:rPr>
      <w:b/>
      <w:bCs/>
    </w:rPr>
  </w:style>
  <w:style w:type="character" w:customStyle="1" w:styleId="AsuntodelcomentarioCar">
    <w:name w:val="Asunto del comentario Car"/>
    <w:link w:val="Asuntodelcomentario"/>
    <w:uiPriority w:val="99"/>
    <w:semiHidden/>
    <w:rsid w:val="00CD5DB7"/>
    <w:rPr>
      <w:b/>
      <w:bCs/>
      <w:lang w:val="es-ES" w:eastAsia="es-ES"/>
    </w:rPr>
  </w:style>
  <w:style w:type="paragraph" w:styleId="TDC3">
    <w:name w:val="toc 3"/>
    <w:basedOn w:val="Normal"/>
    <w:next w:val="Normal"/>
    <w:autoRedefine/>
    <w:semiHidden/>
    <w:rsid w:val="00CD5DB7"/>
    <w:pPr>
      <w:ind w:left="480"/>
    </w:pPr>
  </w:style>
  <w:style w:type="paragraph" w:styleId="Sangradetextonormal">
    <w:name w:val="Body Text Indent"/>
    <w:basedOn w:val="Normal"/>
    <w:link w:val="SangradetextonormalCar"/>
    <w:uiPriority w:val="99"/>
    <w:semiHidden/>
    <w:unhideWhenUsed/>
    <w:rsid w:val="00CD5DB7"/>
    <w:pPr>
      <w:widowControl w:val="0"/>
      <w:adjustRightInd w:val="0"/>
      <w:spacing w:after="120" w:line="360" w:lineRule="atLeast"/>
      <w:ind w:left="283"/>
      <w:jc w:val="both"/>
      <w:textAlignment w:val="baseline"/>
    </w:pPr>
  </w:style>
  <w:style w:type="character" w:customStyle="1" w:styleId="SangradetextonormalCar">
    <w:name w:val="Sangría de texto normal Car"/>
    <w:link w:val="Sangradetextonormal"/>
    <w:uiPriority w:val="99"/>
    <w:semiHidden/>
    <w:rsid w:val="00CD5DB7"/>
    <w:rPr>
      <w:sz w:val="24"/>
      <w:szCs w:val="24"/>
      <w:lang w:val="es-ES" w:eastAsia="es-ES"/>
    </w:rPr>
  </w:style>
  <w:style w:type="paragraph" w:customStyle="1" w:styleId="xl28">
    <w:name w:val="xl28"/>
    <w:basedOn w:val="Normal"/>
    <w:rsid w:val="00CD5DB7"/>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CD5DB7"/>
    <w:pPr>
      <w:pBdr>
        <w:left w:val="single" w:sz="4" w:space="0" w:color="auto"/>
        <w:right w:val="single" w:sz="4" w:space="0" w:color="auto"/>
      </w:pBdr>
      <w:spacing w:before="100" w:after="100"/>
      <w:ind w:left="0"/>
      <w:jc w:val="center"/>
    </w:pPr>
    <w:rPr>
      <w:rFonts w:ascii="Arial" w:hAnsi="Arial"/>
      <w:sz w:val="22"/>
      <w:szCs w:val="20"/>
      <w:lang w:eastAsia="es-MX"/>
    </w:rPr>
  </w:style>
  <w:style w:type="paragraph" w:customStyle="1" w:styleId="TableHeading">
    <w:name w:val="Table Heading"/>
    <w:basedOn w:val="Normal"/>
    <w:rsid w:val="00CD5DB7"/>
    <w:pPr>
      <w:suppressLineNumbers/>
      <w:suppressAutoHyphens/>
      <w:ind w:left="0"/>
      <w:jc w:val="center"/>
    </w:pPr>
    <w:rPr>
      <w:rFonts w:ascii="Arial" w:hAnsi="Arial"/>
      <w:b/>
      <w:bCs/>
      <w:sz w:val="22"/>
      <w:lang w:val="es-CO" w:eastAsia="ar-SA"/>
    </w:rPr>
  </w:style>
  <w:style w:type="character" w:styleId="Textodelmarcadordeposicin">
    <w:name w:val="Placeholder Text"/>
    <w:uiPriority w:val="99"/>
    <w:semiHidden/>
    <w:rsid w:val="00CD5DB7"/>
    <w:rPr>
      <w:color w:val="808080"/>
    </w:rPr>
  </w:style>
  <w:style w:type="paragraph" w:styleId="Revisin">
    <w:name w:val="Revision"/>
    <w:hidden/>
    <w:uiPriority w:val="99"/>
    <w:semiHidden/>
    <w:rsid w:val="00CD5DB7"/>
    <w:rPr>
      <w:sz w:val="24"/>
      <w:szCs w:val="24"/>
      <w:lang w:val="es-ES" w:eastAsia="es-ES"/>
    </w:rPr>
  </w:style>
  <w:style w:type="paragraph" w:customStyle="1" w:styleId="Comentarios">
    <w:name w:val="Comentarios"/>
    <w:basedOn w:val="Textoindependiente"/>
    <w:rsid w:val="00CD5DB7"/>
    <w:pPr>
      <w:numPr>
        <w:numId w:val="2"/>
      </w:numPr>
      <w:jc w:val="both"/>
    </w:pPr>
    <w:rPr>
      <w:b w:val="0"/>
      <w:bCs w:val="0"/>
      <w:sz w:val="22"/>
      <w:szCs w:val="20"/>
    </w:rPr>
  </w:style>
  <w:style w:type="paragraph" w:styleId="Textonotaalfinal">
    <w:name w:val="endnote text"/>
    <w:basedOn w:val="Normal"/>
    <w:link w:val="TextonotaalfinalCar"/>
    <w:uiPriority w:val="99"/>
    <w:semiHidden/>
    <w:unhideWhenUsed/>
    <w:rsid w:val="00CD5DB7"/>
    <w:pPr>
      <w:widowControl w:val="0"/>
      <w:adjustRightInd w:val="0"/>
      <w:ind w:left="0"/>
      <w:jc w:val="both"/>
      <w:textAlignment w:val="baseline"/>
    </w:pPr>
    <w:rPr>
      <w:sz w:val="20"/>
      <w:szCs w:val="20"/>
    </w:rPr>
  </w:style>
  <w:style w:type="character" w:customStyle="1" w:styleId="TextonotaalfinalCar">
    <w:name w:val="Texto nota al final Car"/>
    <w:link w:val="Textonotaalfinal"/>
    <w:uiPriority w:val="99"/>
    <w:semiHidden/>
    <w:rsid w:val="00CD5DB7"/>
    <w:rPr>
      <w:lang w:val="es-ES" w:eastAsia="es-ES"/>
    </w:rPr>
  </w:style>
  <w:style w:type="character" w:styleId="Refdenotaalfinal">
    <w:name w:val="endnote reference"/>
    <w:uiPriority w:val="99"/>
    <w:semiHidden/>
    <w:unhideWhenUsed/>
    <w:rsid w:val="00CD5DB7"/>
    <w:rPr>
      <w:vertAlign w:val="superscript"/>
    </w:rPr>
  </w:style>
  <w:style w:type="paragraph" w:styleId="Textonotapie">
    <w:name w:val="footnote text"/>
    <w:aliases w:val="fn,footnote text,Footnote Text Char Char Char Char Char,Footnote Text Char Char Char Char,Footnote reference,FA Fu,Footnote Text Cha,Footnote Text Char Char Char,FA Fußnotentext,FA Fuﬂnotentext,Footnote Text Char Char,texto de nota al p"/>
    <w:basedOn w:val="Normal"/>
    <w:link w:val="TextonotapieCar"/>
    <w:rsid w:val="00C505AE"/>
    <w:pPr>
      <w:ind w:left="0"/>
      <w:jc w:val="both"/>
    </w:pPr>
    <w:rPr>
      <w:rFonts w:ascii="Arial" w:hAnsi="Arial"/>
      <w:sz w:val="20"/>
      <w:szCs w:val="20"/>
      <w:lang w:val="es-ES_tradnl" w:eastAsia="x-none"/>
    </w:rPr>
  </w:style>
  <w:style w:type="character" w:customStyle="1" w:styleId="TextonotapieCar">
    <w:name w:val="Texto nota pie Car"/>
    <w:aliases w:val="fn Car,footnote text Car,Footnote Text Char Char Char Char Char Car,Footnote Text Char Char Char Char Car,Footnote reference Car,FA Fu Car,Footnote Text Cha Car,Footnote Text Char Char Char Car,FA Fußnotentext Car,FA Fuﬂnotentext Car"/>
    <w:link w:val="Textonotapie"/>
    <w:rsid w:val="00C505AE"/>
    <w:rPr>
      <w:rFonts w:ascii="Arial" w:hAnsi="Arial"/>
      <w:lang w:val="es-ES_tradnl"/>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C505AE"/>
    <w:rPr>
      <w:vertAlign w:val="superscript"/>
    </w:rPr>
  </w:style>
  <w:style w:type="character" w:styleId="Hipervnculo">
    <w:name w:val="Hyperlink"/>
    <w:uiPriority w:val="99"/>
    <w:unhideWhenUsed/>
    <w:rsid w:val="002149EB"/>
    <w:rPr>
      <w:color w:val="0000FF"/>
      <w:u w:val="single"/>
    </w:rPr>
  </w:style>
  <w:style w:type="character" w:styleId="Hipervnculovisitado">
    <w:name w:val="FollowedHyperlink"/>
    <w:uiPriority w:val="99"/>
    <w:semiHidden/>
    <w:unhideWhenUsed/>
    <w:rsid w:val="00023A14"/>
    <w:rPr>
      <w:color w:val="800080"/>
      <w:u w:val="single"/>
    </w:rPr>
  </w:style>
  <w:style w:type="paragraph" w:customStyle="1" w:styleId="Textoindependiente21">
    <w:name w:val="Texto independiente 21"/>
    <w:basedOn w:val="Normal"/>
    <w:rsid w:val="00DC5C29"/>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D352C5"/>
    <w:pPr>
      <w:keepNext/>
      <w:widowControl w:val="0"/>
      <w:numPr>
        <w:numId w:val="3"/>
      </w:numPr>
      <w:shd w:val="clear" w:color="auto" w:fill="auto"/>
      <w:adjustRightInd w:val="0"/>
      <w:jc w:val="both"/>
      <w:textAlignment w:val="baseline"/>
      <w:outlineLvl w:val="0"/>
    </w:pPr>
    <w:rPr>
      <w:rFonts w:ascii="Bookman Old Style" w:hAnsi="Bookman Old Style"/>
      <w:b/>
      <w:bCs/>
      <w:color w:val="auto"/>
      <w:sz w:val="24"/>
      <w:szCs w:val="24"/>
      <w:lang w:eastAsia="ar-SA"/>
    </w:rPr>
  </w:style>
  <w:style w:type="character" w:customStyle="1" w:styleId="Estilo2Car">
    <w:name w:val="Estilo2 Car"/>
    <w:link w:val="Estilo2"/>
    <w:rsid w:val="00D352C5"/>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D352C5"/>
    <w:rPr>
      <w:rFonts w:ascii="Tahoma" w:hAnsi="Tahoma"/>
      <w:sz w:val="16"/>
      <w:szCs w:val="16"/>
    </w:rPr>
  </w:style>
  <w:style w:type="character" w:customStyle="1" w:styleId="MapadeldocumentoCar">
    <w:name w:val="Mapa del documento Car"/>
    <w:link w:val="Mapadeldocumento"/>
    <w:uiPriority w:val="99"/>
    <w:semiHidden/>
    <w:rsid w:val="00D352C5"/>
    <w:rPr>
      <w:rFonts w:ascii="Tahoma" w:hAnsi="Tahoma"/>
      <w:sz w:val="16"/>
      <w:szCs w:val="16"/>
      <w:lang w:val="es-ES" w:eastAsia="es-ES"/>
    </w:rPr>
  </w:style>
  <w:style w:type="character" w:customStyle="1" w:styleId="TextocomentarioCar1">
    <w:name w:val="Texto comentario Car1"/>
    <w:uiPriority w:val="99"/>
    <w:semiHidden/>
    <w:rsid w:val="00F5619A"/>
    <w:rPr>
      <w:rFonts w:ascii="Arial" w:hAnsi="Arial"/>
      <w:lang w:val="es-ES_tradnl"/>
    </w:rPr>
  </w:style>
  <w:style w:type="character" w:customStyle="1" w:styleId="Ttulo1Car">
    <w:name w:val="Título 1 Car"/>
    <w:basedOn w:val="Fuentedeprrafopredeter"/>
    <w:link w:val="Ttulo1"/>
    <w:rsid w:val="001159F1"/>
    <w:rPr>
      <w:rFonts w:ascii="CG Times" w:hAnsi="CG Times"/>
      <w:b/>
      <w:sz w:val="24"/>
      <w:lang w:eastAsia="es-ES"/>
    </w:rPr>
  </w:style>
  <w:style w:type="paragraph" w:customStyle="1" w:styleId="CM29">
    <w:name w:val="CM29"/>
    <w:basedOn w:val="Default"/>
    <w:next w:val="Default"/>
    <w:uiPriority w:val="99"/>
    <w:rsid w:val="00DC6B5C"/>
    <w:rPr>
      <w:rFonts w:ascii="Arial" w:eastAsia="Times New Roman" w:hAnsi="Arial" w:cs="Arial"/>
      <w:color w:val="auto"/>
      <w:lang w:eastAsia="es-CO"/>
    </w:rPr>
  </w:style>
  <w:style w:type="character" w:customStyle="1" w:styleId="textonavy1">
    <w:name w:val="texto_navy1"/>
    <w:basedOn w:val="Fuentedeprrafopredeter"/>
    <w:rsid w:val="00D10A6F"/>
    <w:rPr>
      <w:color w:val="000080"/>
    </w:rPr>
  </w:style>
  <w:style w:type="paragraph" w:styleId="NormalWeb">
    <w:name w:val="Normal (Web)"/>
    <w:basedOn w:val="Normal"/>
    <w:rsid w:val="00FA7A83"/>
    <w:pPr>
      <w:spacing w:before="100" w:beforeAutospacing="1" w:after="100" w:afterAutospacing="1"/>
      <w:ind w:left="0"/>
    </w:pPr>
    <w:rPr>
      <w:rFonts w:ascii="Arial Unicode MS" w:hAnsi="Arial Unicode MS"/>
      <w:lang w:val="it-IT" w:eastAsia="it-IT"/>
    </w:rPr>
  </w:style>
  <w:style w:type="paragraph" w:styleId="Sangra3detindependiente">
    <w:name w:val="Body Text Indent 3"/>
    <w:basedOn w:val="Normal"/>
    <w:link w:val="Sangra3detindependienteCar"/>
    <w:uiPriority w:val="99"/>
    <w:semiHidden/>
    <w:unhideWhenUsed/>
    <w:rsid w:val="0074250E"/>
    <w:pPr>
      <w:spacing w:after="120"/>
      <w:ind w:left="360"/>
    </w:pPr>
    <w:rPr>
      <w:sz w:val="16"/>
      <w:szCs w:val="16"/>
    </w:rPr>
  </w:style>
  <w:style w:type="character" w:customStyle="1" w:styleId="Sangra3detindependienteCar">
    <w:name w:val="Sangría 3 de t. independiente Car"/>
    <w:basedOn w:val="Fuentedeprrafopredeter"/>
    <w:link w:val="Sangra3detindependiente"/>
    <w:uiPriority w:val="99"/>
    <w:semiHidden/>
    <w:rsid w:val="0074250E"/>
    <w:rPr>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185"/>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eastAsia="x-none"/>
    </w:rPr>
  </w:style>
  <w:style w:type="paragraph" w:styleId="Ttulo4">
    <w:name w:val="heading 4"/>
    <w:aliases w:val="TBG Heading 4,o"/>
    <w:basedOn w:val="Normal"/>
    <w:next w:val="Normal"/>
    <w:link w:val="Ttulo4Car"/>
    <w:qFormat/>
    <w:rsid w:val="003101DA"/>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3101DA"/>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eastAsia="x-none"/>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b/>
      <w:bCs/>
      <w:lang w:val="x-none" w:eastAsia="x-none"/>
    </w:rPr>
  </w:style>
  <w:style w:type="paragraph" w:styleId="Textoindependiente3">
    <w:name w:val="Body Text 3"/>
    <w:basedOn w:val="Normal"/>
    <w:link w:val="Textoindependiente3Car"/>
    <w:semiHidden/>
    <w:rsid w:val="003101DA"/>
    <w:pPr>
      <w:jc w:val="center"/>
      <w:outlineLvl w:val="0"/>
    </w:pPr>
    <w:rPr>
      <w:rFonts w:ascii="Arial" w:hAnsi="Arial"/>
      <w:b/>
      <w:bCs/>
      <w:spacing w:val="-3"/>
      <w:lang w:val="x-none" w:eastAsia="x-none"/>
    </w:rPr>
  </w:style>
  <w:style w:type="paragraph" w:styleId="Textodeglobo">
    <w:name w:val="Balloon Text"/>
    <w:basedOn w:val="Normal"/>
    <w:link w:val="TextodegloboCar"/>
    <w:uiPriority w:val="99"/>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rPr>
      <w:lang w:val="x-none" w:eastAsia="x-none"/>
    </w:rPr>
  </w:style>
  <w:style w:type="character" w:customStyle="1" w:styleId="Textoindependiente2Car">
    <w:name w:val="Texto independiente 2 Ca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lang w:val="x-none" w:eastAsia="x-none"/>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character" w:customStyle="1" w:styleId="PiedepginaCar">
    <w:name w:val="Pie de página Car"/>
    <w:link w:val="Piedepgina"/>
    <w:uiPriority w:val="99"/>
    <w:rsid w:val="00CD5DB7"/>
    <w:rPr>
      <w:sz w:val="24"/>
      <w:szCs w:val="24"/>
      <w:lang w:val="es-ES" w:eastAsia="es-ES"/>
    </w:rPr>
  </w:style>
  <w:style w:type="character" w:styleId="Refdecomentario">
    <w:name w:val="annotation reference"/>
    <w:uiPriority w:val="99"/>
    <w:semiHidden/>
    <w:rsid w:val="00CD5DB7"/>
    <w:rPr>
      <w:sz w:val="16"/>
      <w:szCs w:val="16"/>
    </w:rPr>
  </w:style>
  <w:style w:type="paragraph" w:styleId="Textocomentario">
    <w:name w:val="annotation text"/>
    <w:basedOn w:val="Normal"/>
    <w:link w:val="TextocomentarioCar"/>
    <w:uiPriority w:val="99"/>
    <w:rsid w:val="00CD5DB7"/>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uiPriority w:val="99"/>
    <w:rsid w:val="00CD5DB7"/>
    <w:rPr>
      <w:lang w:val="es-ES" w:eastAsia="es-ES"/>
    </w:rPr>
  </w:style>
  <w:style w:type="paragraph" w:customStyle="1" w:styleId="ARTICULOS">
    <w:name w:val="ARTICULOS"/>
    <w:basedOn w:val="Normal"/>
    <w:link w:val="ARTICULOSCar"/>
    <w:qFormat/>
    <w:rsid w:val="00CD5DB7"/>
    <w:pPr>
      <w:widowControl w:val="0"/>
      <w:numPr>
        <w:numId w:val="1"/>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CD5DB7"/>
    <w:rPr>
      <w:rFonts w:ascii="Bookman Old Style" w:hAnsi="Bookman Old Style"/>
      <w:bCs/>
      <w:sz w:val="24"/>
      <w:szCs w:val="24"/>
      <w:lang w:val="x-none" w:eastAsia="x-none"/>
    </w:rPr>
  </w:style>
  <w:style w:type="paragraph" w:customStyle="1" w:styleId="Default">
    <w:name w:val="Default"/>
    <w:rsid w:val="00CD5DB7"/>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CD5DB7"/>
    <w:pPr>
      <w:spacing w:line="240" w:lineRule="auto"/>
    </w:pPr>
    <w:rPr>
      <w:b/>
      <w:bCs/>
    </w:rPr>
  </w:style>
  <w:style w:type="character" w:customStyle="1" w:styleId="AsuntodelcomentarioCar">
    <w:name w:val="Asunto del comentario Car"/>
    <w:link w:val="Asuntodelcomentario"/>
    <w:uiPriority w:val="99"/>
    <w:semiHidden/>
    <w:rsid w:val="00CD5DB7"/>
    <w:rPr>
      <w:b/>
      <w:bCs/>
      <w:lang w:val="es-ES" w:eastAsia="es-ES"/>
    </w:rPr>
  </w:style>
  <w:style w:type="paragraph" w:styleId="TDC3">
    <w:name w:val="toc 3"/>
    <w:basedOn w:val="Normal"/>
    <w:next w:val="Normal"/>
    <w:autoRedefine/>
    <w:semiHidden/>
    <w:rsid w:val="00CD5DB7"/>
    <w:pPr>
      <w:ind w:left="480"/>
    </w:pPr>
  </w:style>
  <w:style w:type="paragraph" w:styleId="Sangradetextonormal">
    <w:name w:val="Body Text Indent"/>
    <w:basedOn w:val="Normal"/>
    <w:link w:val="SangradetextonormalCar"/>
    <w:uiPriority w:val="99"/>
    <w:semiHidden/>
    <w:unhideWhenUsed/>
    <w:rsid w:val="00CD5DB7"/>
    <w:pPr>
      <w:widowControl w:val="0"/>
      <w:adjustRightInd w:val="0"/>
      <w:spacing w:after="120" w:line="360" w:lineRule="atLeast"/>
      <w:ind w:left="283"/>
      <w:jc w:val="both"/>
      <w:textAlignment w:val="baseline"/>
    </w:pPr>
  </w:style>
  <w:style w:type="character" w:customStyle="1" w:styleId="SangradetextonormalCar">
    <w:name w:val="Sangría de texto normal Car"/>
    <w:link w:val="Sangradetextonormal"/>
    <w:uiPriority w:val="99"/>
    <w:semiHidden/>
    <w:rsid w:val="00CD5DB7"/>
    <w:rPr>
      <w:sz w:val="24"/>
      <w:szCs w:val="24"/>
      <w:lang w:val="es-ES" w:eastAsia="es-ES"/>
    </w:rPr>
  </w:style>
  <w:style w:type="paragraph" w:customStyle="1" w:styleId="xl28">
    <w:name w:val="xl28"/>
    <w:basedOn w:val="Normal"/>
    <w:rsid w:val="00CD5DB7"/>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CD5DB7"/>
    <w:pPr>
      <w:pBdr>
        <w:left w:val="single" w:sz="4" w:space="0" w:color="auto"/>
        <w:right w:val="single" w:sz="4" w:space="0" w:color="auto"/>
      </w:pBdr>
      <w:spacing w:before="100" w:after="100"/>
      <w:ind w:left="0"/>
      <w:jc w:val="center"/>
    </w:pPr>
    <w:rPr>
      <w:rFonts w:ascii="Arial" w:hAnsi="Arial"/>
      <w:sz w:val="22"/>
      <w:szCs w:val="20"/>
      <w:lang w:eastAsia="es-MX"/>
    </w:rPr>
  </w:style>
  <w:style w:type="paragraph" w:customStyle="1" w:styleId="TableHeading">
    <w:name w:val="Table Heading"/>
    <w:basedOn w:val="Normal"/>
    <w:rsid w:val="00CD5DB7"/>
    <w:pPr>
      <w:suppressLineNumbers/>
      <w:suppressAutoHyphens/>
      <w:ind w:left="0"/>
      <w:jc w:val="center"/>
    </w:pPr>
    <w:rPr>
      <w:rFonts w:ascii="Arial" w:hAnsi="Arial"/>
      <w:b/>
      <w:bCs/>
      <w:sz w:val="22"/>
      <w:lang w:val="es-CO" w:eastAsia="ar-SA"/>
    </w:rPr>
  </w:style>
  <w:style w:type="character" w:styleId="Textodelmarcadordeposicin">
    <w:name w:val="Placeholder Text"/>
    <w:uiPriority w:val="99"/>
    <w:semiHidden/>
    <w:rsid w:val="00CD5DB7"/>
    <w:rPr>
      <w:color w:val="808080"/>
    </w:rPr>
  </w:style>
  <w:style w:type="paragraph" w:styleId="Revisin">
    <w:name w:val="Revision"/>
    <w:hidden/>
    <w:uiPriority w:val="99"/>
    <w:semiHidden/>
    <w:rsid w:val="00CD5DB7"/>
    <w:rPr>
      <w:sz w:val="24"/>
      <w:szCs w:val="24"/>
      <w:lang w:val="es-ES" w:eastAsia="es-ES"/>
    </w:rPr>
  </w:style>
  <w:style w:type="paragraph" w:customStyle="1" w:styleId="Comentarios">
    <w:name w:val="Comentarios"/>
    <w:basedOn w:val="Textoindependiente"/>
    <w:rsid w:val="00CD5DB7"/>
    <w:pPr>
      <w:numPr>
        <w:numId w:val="2"/>
      </w:numPr>
      <w:jc w:val="both"/>
    </w:pPr>
    <w:rPr>
      <w:b w:val="0"/>
      <w:bCs w:val="0"/>
      <w:sz w:val="22"/>
      <w:szCs w:val="20"/>
    </w:rPr>
  </w:style>
  <w:style w:type="paragraph" w:styleId="Textonotaalfinal">
    <w:name w:val="endnote text"/>
    <w:basedOn w:val="Normal"/>
    <w:link w:val="TextonotaalfinalCar"/>
    <w:uiPriority w:val="99"/>
    <w:semiHidden/>
    <w:unhideWhenUsed/>
    <w:rsid w:val="00CD5DB7"/>
    <w:pPr>
      <w:widowControl w:val="0"/>
      <w:adjustRightInd w:val="0"/>
      <w:ind w:left="0"/>
      <w:jc w:val="both"/>
      <w:textAlignment w:val="baseline"/>
    </w:pPr>
    <w:rPr>
      <w:sz w:val="20"/>
      <w:szCs w:val="20"/>
    </w:rPr>
  </w:style>
  <w:style w:type="character" w:customStyle="1" w:styleId="TextonotaalfinalCar">
    <w:name w:val="Texto nota al final Car"/>
    <w:link w:val="Textonotaalfinal"/>
    <w:uiPriority w:val="99"/>
    <w:semiHidden/>
    <w:rsid w:val="00CD5DB7"/>
    <w:rPr>
      <w:lang w:val="es-ES" w:eastAsia="es-ES"/>
    </w:rPr>
  </w:style>
  <w:style w:type="character" w:styleId="Refdenotaalfinal">
    <w:name w:val="endnote reference"/>
    <w:uiPriority w:val="99"/>
    <w:semiHidden/>
    <w:unhideWhenUsed/>
    <w:rsid w:val="00CD5DB7"/>
    <w:rPr>
      <w:vertAlign w:val="superscript"/>
    </w:rPr>
  </w:style>
  <w:style w:type="paragraph" w:styleId="Textonotapie">
    <w:name w:val="footnote text"/>
    <w:aliases w:val="fn,footnote text,Footnote Text Char Char Char Char Char,Footnote Text Char Char Char Char,Footnote reference,FA Fu,Footnote Text Cha,Footnote Text Char Char Char,FA Fußnotentext,FA Fuﬂnotentext,Footnote Text Char Char,texto de nota al p"/>
    <w:basedOn w:val="Normal"/>
    <w:link w:val="TextonotapieCar"/>
    <w:rsid w:val="00C505AE"/>
    <w:pPr>
      <w:ind w:left="0"/>
      <w:jc w:val="both"/>
    </w:pPr>
    <w:rPr>
      <w:rFonts w:ascii="Arial" w:hAnsi="Arial"/>
      <w:sz w:val="20"/>
      <w:szCs w:val="20"/>
      <w:lang w:val="es-ES_tradnl" w:eastAsia="x-none"/>
    </w:rPr>
  </w:style>
  <w:style w:type="character" w:customStyle="1" w:styleId="TextonotapieCar">
    <w:name w:val="Texto nota pie Car"/>
    <w:aliases w:val="fn Car,footnote text Car,Footnote Text Char Char Char Char Char Car,Footnote Text Char Char Char Char Car,Footnote reference Car,FA Fu Car,Footnote Text Cha Car,Footnote Text Char Char Char Car,FA Fußnotentext Car,FA Fuﬂnotentext Car"/>
    <w:link w:val="Textonotapie"/>
    <w:rsid w:val="00C505AE"/>
    <w:rPr>
      <w:rFonts w:ascii="Arial" w:hAnsi="Arial"/>
      <w:lang w:val="es-ES_tradnl"/>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C505AE"/>
    <w:rPr>
      <w:vertAlign w:val="superscript"/>
    </w:rPr>
  </w:style>
  <w:style w:type="character" w:styleId="Hipervnculo">
    <w:name w:val="Hyperlink"/>
    <w:uiPriority w:val="99"/>
    <w:unhideWhenUsed/>
    <w:rsid w:val="002149EB"/>
    <w:rPr>
      <w:color w:val="0000FF"/>
      <w:u w:val="single"/>
    </w:rPr>
  </w:style>
  <w:style w:type="character" w:styleId="Hipervnculovisitado">
    <w:name w:val="FollowedHyperlink"/>
    <w:uiPriority w:val="99"/>
    <w:semiHidden/>
    <w:unhideWhenUsed/>
    <w:rsid w:val="00023A14"/>
    <w:rPr>
      <w:color w:val="800080"/>
      <w:u w:val="single"/>
    </w:rPr>
  </w:style>
  <w:style w:type="paragraph" w:customStyle="1" w:styleId="Textoindependiente21">
    <w:name w:val="Texto independiente 21"/>
    <w:basedOn w:val="Normal"/>
    <w:rsid w:val="00DC5C29"/>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D352C5"/>
    <w:pPr>
      <w:keepNext/>
      <w:widowControl w:val="0"/>
      <w:numPr>
        <w:numId w:val="3"/>
      </w:numPr>
      <w:shd w:val="clear" w:color="auto" w:fill="auto"/>
      <w:adjustRightInd w:val="0"/>
      <w:jc w:val="both"/>
      <w:textAlignment w:val="baseline"/>
      <w:outlineLvl w:val="0"/>
    </w:pPr>
    <w:rPr>
      <w:rFonts w:ascii="Bookman Old Style" w:hAnsi="Bookman Old Style"/>
      <w:b/>
      <w:bCs/>
      <w:color w:val="auto"/>
      <w:sz w:val="24"/>
      <w:szCs w:val="24"/>
      <w:lang w:eastAsia="ar-SA"/>
    </w:rPr>
  </w:style>
  <w:style w:type="character" w:customStyle="1" w:styleId="Estilo2Car">
    <w:name w:val="Estilo2 Car"/>
    <w:link w:val="Estilo2"/>
    <w:rsid w:val="00D352C5"/>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D352C5"/>
    <w:rPr>
      <w:rFonts w:ascii="Tahoma" w:hAnsi="Tahoma"/>
      <w:sz w:val="16"/>
      <w:szCs w:val="16"/>
    </w:rPr>
  </w:style>
  <w:style w:type="character" w:customStyle="1" w:styleId="MapadeldocumentoCar">
    <w:name w:val="Mapa del documento Car"/>
    <w:link w:val="Mapadeldocumento"/>
    <w:uiPriority w:val="99"/>
    <w:semiHidden/>
    <w:rsid w:val="00D352C5"/>
    <w:rPr>
      <w:rFonts w:ascii="Tahoma" w:hAnsi="Tahoma"/>
      <w:sz w:val="16"/>
      <w:szCs w:val="16"/>
      <w:lang w:val="es-ES" w:eastAsia="es-ES"/>
    </w:rPr>
  </w:style>
  <w:style w:type="character" w:customStyle="1" w:styleId="TextocomentarioCar1">
    <w:name w:val="Texto comentario Car1"/>
    <w:uiPriority w:val="99"/>
    <w:semiHidden/>
    <w:rsid w:val="00F5619A"/>
    <w:rPr>
      <w:rFonts w:ascii="Arial" w:hAnsi="Arial"/>
      <w:lang w:val="es-ES_tradnl"/>
    </w:rPr>
  </w:style>
  <w:style w:type="character" w:customStyle="1" w:styleId="Ttulo1Car">
    <w:name w:val="Título 1 Car"/>
    <w:basedOn w:val="Fuentedeprrafopredeter"/>
    <w:link w:val="Ttulo1"/>
    <w:rsid w:val="001159F1"/>
    <w:rPr>
      <w:rFonts w:ascii="CG Times" w:hAnsi="CG Times"/>
      <w:b/>
      <w:sz w:val="24"/>
      <w:lang w:eastAsia="es-ES"/>
    </w:rPr>
  </w:style>
  <w:style w:type="paragraph" w:customStyle="1" w:styleId="CM29">
    <w:name w:val="CM29"/>
    <w:basedOn w:val="Default"/>
    <w:next w:val="Default"/>
    <w:uiPriority w:val="99"/>
    <w:rsid w:val="00DC6B5C"/>
    <w:rPr>
      <w:rFonts w:ascii="Arial" w:eastAsia="Times New Roman" w:hAnsi="Arial" w:cs="Arial"/>
      <w:color w:val="auto"/>
      <w:lang w:eastAsia="es-CO"/>
    </w:rPr>
  </w:style>
  <w:style w:type="character" w:customStyle="1" w:styleId="textonavy1">
    <w:name w:val="texto_navy1"/>
    <w:basedOn w:val="Fuentedeprrafopredeter"/>
    <w:rsid w:val="00D10A6F"/>
    <w:rPr>
      <w:color w:val="000080"/>
    </w:rPr>
  </w:style>
  <w:style w:type="paragraph" w:styleId="NormalWeb">
    <w:name w:val="Normal (Web)"/>
    <w:basedOn w:val="Normal"/>
    <w:rsid w:val="00FA7A83"/>
    <w:pPr>
      <w:spacing w:before="100" w:beforeAutospacing="1" w:after="100" w:afterAutospacing="1"/>
      <w:ind w:left="0"/>
    </w:pPr>
    <w:rPr>
      <w:rFonts w:ascii="Arial Unicode MS" w:hAnsi="Arial Unicode MS"/>
      <w:lang w:val="it-IT" w:eastAsia="it-IT"/>
    </w:rPr>
  </w:style>
  <w:style w:type="paragraph" w:styleId="Sangra3detindependiente">
    <w:name w:val="Body Text Indent 3"/>
    <w:basedOn w:val="Normal"/>
    <w:link w:val="Sangra3detindependienteCar"/>
    <w:uiPriority w:val="99"/>
    <w:semiHidden/>
    <w:unhideWhenUsed/>
    <w:rsid w:val="0074250E"/>
    <w:pPr>
      <w:spacing w:after="120"/>
      <w:ind w:left="360"/>
    </w:pPr>
    <w:rPr>
      <w:sz w:val="16"/>
      <w:szCs w:val="16"/>
    </w:rPr>
  </w:style>
  <w:style w:type="character" w:customStyle="1" w:styleId="Sangra3detindependienteCar">
    <w:name w:val="Sangría 3 de t. independiente Car"/>
    <w:basedOn w:val="Fuentedeprrafopredeter"/>
    <w:link w:val="Sangra3detindependiente"/>
    <w:uiPriority w:val="99"/>
    <w:semiHidden/>
    <w:rsid w:val="0074250E"/>
    <w:rPr>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786">
      <w:bodyDiv w:val="1"/>
      <w:marLeft w:val="0"/>
      <w:marRight w:val="0"/>
      <w:marTop w:val="0"/>
      <w:marBottom w:val="0"/>
      <w:divBdr>
        <w:top w:val="none" w:sz="0" w:space="0" w:color="auto"/>
        <w:left w:val="none" w:sz="0" w:space="0" w:color="auto"/>
        <w:bottom w:val="none" w:sz="0" w:space="0" w:color="auto"/>
        <w:right w:val="none" w:sz="0" w:space="0" w:color="auto"/>
      </w:divBdr>
    </w:div>
    <w:div w:id="72435222">
      <w:bodyDiv w:val="1"/>
      <w:marLeft w:val="0"/>
      <w:marRight w:val="0"/>
      <w:marTop w:val="0"/>
      <w:marBottom w:val="0"/>
      <w:divBdr>
        <w:top w:val="none" w:sz="0" w:space="0" w:color="auto"/>
        <w:left w:val="none" w:sz="0" w:space="0" w:color="auto"/>
        <w:bottom w:val="none" w:sz="0" w:space="0" w:color="auto"/>
        <w:right w:val="none" w:sz="0" w:space="0" w:color="auto"/>
      </w:divBdr>
    </w:div>
    <w:div w:id="123624735">
      <w:bodyDiv w:val="1"/>
      <w:marLeft w:val="0"/>
      <w:marRight w:val="0"/>
      <w:marTop w:val="0"/>
      <w:marBottom w:val="0"/>
      <w:divBdr>
        <w:top w:val="none" w:sz="0" w:space="0" w:color="auto"/>
        <w:left w:val="none" w:sz="0" w:space="0" w:color="auto"/>
        <w:bottom w:val="none" w:sz="0" w:space="0" w:color="auto"/>
        <w:right w:val="none" w:sz="0" w:space="0" w:color="auto"/>
      </w:divBdr>
    </w:div>
    <w:div w:id="16359017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2574">
          <w:marLeft w:val="0"/>
          <w:marRight w:val="0"/>
          <w:marTop w:val="0"/>
          <w:marBottom w:val="0"/>
          <w:divBdr>
            <w:top w:val="none" w:sz="0" w:space="0" w:color="auto"/>
            <w:left w:val="none" w:sz="0" w:space="0" w:color="auto"/>
            <w:bottom w:val="none" w:sz="0" w:space="0" w:color="auto"/>
            <w:right w:val="none" w:sz="0" w:space="0" w:color="auto"/>
          </w:divBdr>
        </w:div>
        <w:div w:id="646544565">
          <w:marLeft w:val="0"/>
          <w:marRight w:val="0"/>
          <w:marTop w:val="0"/>
          <w:marBottom w:val="0"/>
          <w:divBdr>
            <w:top w:val="none" w:sz="0" w:space="0" w:color="auto"/>
            <w:left w:val="none" w:sz="0" w:space="0" w:color="auto"/>
            <w:bottom w:val="none" w:sz="0" w:space="0" w:color="auto"/>
            <w:right w:val="none" w:sz="0" w:space="0" w:color="auto"/>
          </w:divBdr>
        </w:div>
        <w:div w:id="1769346128">
          <w:marLeft w:val="0"/>
          <w:marRight w:val="0"/>
          <w:marTop w:val="0"/>
          <w:marBottom w:val="0"/>
          <w:divBdr>
            <w:top w:val="none" w:sz="0" w:space="0" w:color="auto"/>
            <w:left w:val="none" w:sz="0" w:space="0" w:color="auto"/>
            <w:bottom w:val="none" w:sz="0" w:space="0" w:color="auto"/>
            <w:right w:val="none" w:sz="0" w:space="0" w:color="auto"/>
          </w:divBdr>
        </w:div>
      </w:divsChild>
    </w:div>
    <w:div w:id="18483483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30482826">
          <w:marLeft w:val="0"/>
          <w:marRight w:val="0"/>
          <w:marTop w:val="0"/>
          <w:marBottom w:val="0"/>
          <w:divBdr>
            <w:top w:val="none" w:sz="0" w:space="0" w:color="auto"/>
            <w:left w:val="none" w:sz="0" w:space="0" w:color="auto"/>
            <w:bottom w:val="none" w:sz="0" w:space="0" w:color="auto"/>
            <w:right w:val="none" w:sz="0" w:space="0" w:color="auto"/>
          </w:divBdr>
        </w:div>
        <w:div w:id="1390767639">
          <w:marLeft w:val="0"/>
          <w:marRight w:val="0"/>
          <w:marTop w:val="0"/>
          <w:marBottom w:val="0"/>
          <w:divBdr>
            <w:top w:val="none" w:sz="0" w:space="0" w:color="auto"/>
            <w:left w:val="none" w:sz="0" w:space="0" w:color="auto"/>
            <w:bottom w:val="none" w:sz="0" w:space="0" w:color="auto"/>
            <w:right w:val="none" w:sz="0" w:space="0" w:color="auto"/>
          </w:divBdr>
        </w:div>
      </w:divsChild>
    </w:div>
    <w:div w:id="297994726">
      <w:bodyDiv w:val="1"/>
      <w:marLeft w:val="0"/>
      <w:marRight w:val="0"/>
      <w:marTop w:val="0"/>
      <w:marBottom w:val="0"/>
      <w:divBdr>
        <w:top w:val="none" w:sz="0" w:space="0" w:color="auto"/>
        <w:left w:val="none" w:sz="0" w:space="0" w:color="auto"/>
        <w:bottom w:val="none" w:sz="0" w:space="0" w:color="auto"/>
        <w:right w:val="none" w:sz="0" w:space="0" w:color="auto"/>
      </w:divBdr>
    </w:div>
    <w:div w:id="308361449">
      <w:bodyDiv w:val="1"/>
      <w:marLeft w:val="0"/>
      <w:marRight w:val="0"/>
      <w:marTop w:val="0"/>
      <w:marBottom w:val="0"/>
      <w:divBdr>
        <w:top w:val="none" w:sz="0" w:space="0" w:color="auto"/>
        <w:left w:val="none" w:sz="0" w:space="0" w:color="auto"/>
        <w:bottom w:val="none" w:sz="0" w:space="0" w:color="auto"/>
        <w:right w:val="none" w:sz="0" w:space="0" w:color="auto"/>
      </w:divBdr>
    </w:div>
    <w:div w:id="402995217">
      <w:bodyDiv w:val="1"/>
      <w:marLeft w:val="0"/>
      <w:marRight w:val="0"/>
      <w:marTop w:val="0"/>
      <w:marBottom w:val="0"/>
      <w:divBdr>
        <w:top w:val="none" w:sz="0" w:space="0" w:color="auto"/>
        <w:left w:val="none" w:sz="0" w:space="0" w:color="auto"/>
        <w:bottom w:val="none" w:sz="0" w:space="0" w:color="auto"/>
        <w:right w:val="none" w:sz="0" w:space="0" w:color="auto"/>
      </w:divBdr>
    </w:div>
    <w:div w:id="443812568">
      <w:bodyDiv w:val="1"/>
      <w:marLeft w:val="0"/>
      <w:marRight w:val="0"/>
      <w:marTop w:val="0"/>
      <w:marBottom w:val="0"/>
      <w:divBdr>
        <w:top w:val="none" w:sz="0" w:space="0" w:color="auto"/>
        <w:left w:val="none" w:sz="0" w:space="0" w:color="auto"/>
        <w:bottom w:val="none" w:sz="0" w:space="0" w:color="auto"/>
        <w:right w:val="none" w:sz="0" w:space="0" w:color="auto"/>
      </w:divBdr>
    </w:div>
    <w:div w:id="484012671">
      <w:bodyDiv w:val="1"/>
      <w:marLeft w:val="0"/>
      <w:marRight w:val="0"/>
      <w:marTop w:val="0"/>
      <w:marBottom w:val="0"/>
      <w:divBdr>
        <w:top w:val="none" w:sz="0" w:space="0" w:color="auto"/>
        <w:left w:val="none" w:sz="0" w:space="0" w:color="auto"/>
        <w:bottom w:val="none" w:sz="0" w:space="0" w:color="auto"/>
        <w:right w:val="none" w:sz="0" w:space="0" w:color="auto"/>
      </w:divBdr>
    </w:div>
    <w:div w:id="653680236">
      <w:bodyDiv w:val="1"/>
      <w:marLeft w:val="0"/>
      <w:marRight w:val="0"/>
      <w:marTop w:val="0"/>
      <w:marBottom w:val="0"/>
      <w:divBdr>
        <w:top w:val="none" w:sz="0" w:space="0" w:color="auto"/>
        <w:left w:val="none" w:sz="0" w:space="0" w:color="auto"/>
        <w:bottom w:val="none" w:sz="0" w:space="0" w:color="auto"/>
        <w:right w:val="none" w:sz="0" w:space="0" w:color="auto"/>
      </w:divBdr>
    </w:div>
    <w:div w:id="755369227">
      <w:bodyDiv w:val="1"/>
      <w:marLeft w:val="0"/>
      <w:marRight w:val="0"/>
      <w:marTop w:val="0"/>
      <w:marBottom w:val="0"/>
      <w:divBdr>
        <w:top w:val="none" w:sz="0" w:space="0" w:color="auto"/>
        <w:left w:val="none" w:sz="0" w:space="0" w:color="auto"/>
        <w:bottom w:val="none" w:sz="0" w:space="0" w:color="auto"/>
        <w:right w:val="none" w:sz="0" w:space="0" w:color="auto"/>
      </w:divBdr>
    </w:div>
    <w:div w:id="1061635169">
      <w:bodyDiv w:val="1"/>
      <w:marLeft w:val="0"/>
      <w:marRight w:val="0"/>
      <w:marTop w:val="0"/>
      <w:marBottom w:val="0"/>
      <w:divBdr>
        <w:top w:val="none" w:sz="0" w:space="0" w:color="auto"/>
        <w:left w:val="none" w:sz="0" w:space="0" w:color="auto"/>
        <w:bottom w:val="none" w:sz="0" w:space="0" w:color="auto"/>
        <w:right w:val="none" w:sz="0" w:space="0" w:color="auto"/>
      </w:divBdr>
    </w:div>
    <w:div w:id="1085762812">
      <w:bodyDiv w:val="1"/>
      <w:marLeft w:val="0"/>
      <w:marRight w:val="0"/>
      <w:marTop w:val="0"/>
      <w:marBottom w:val="0"/>
      <w:divBdr>
        <w:top w:val="none" w:sz="0" w:space="0" w:color="auto"/>
        <w:left w:val="none" w:sz="0" w:space="0" w:color="auto"/>
        <w:bottom w:val="none" w:sz="0" w:space="0" w:color="auto"/>
        <w:right w:val="none" w:sz="0" w:space="0" w:color="auto"/>
      </w:divBdr>
    </w:div>
    <w:div w:id="1210075443">
      <w:bodyDiv w:val="1"/>
      <w:marLeft w:val="0"/>
      <w:marRight w:val="0"/>
      <w:marTop w:val="0"/>
      <w:marBottom w:val="0"/>
      <w:divBdr>
        <w:top w:val="none" w:sz="0" w:space="0" w:color="auto"/>
        <w:left w:val="none" w:sz="0" w:space="0" w:color="auto"/>
        <w:bottom w:val="none" w:sz="0" w:space="0" w:color="auto"/>
        <w:right w:val="none" w:sz="0" w:space="0" w:color="auto"/>
      </w:divBdr>
    </w:div>
    <w:div w:id="1311903377">
      <w:bodyDiv w:val="1"/>
      <w:marLeft w:val="0"/>
      <w:marRight w:val="0"/>
      <w:marTop w:val="0"/>
      <w:marBottom w:val="0"/>
      <w:divBdr>
        <w:top w:val="none" w:sz="0" w:space="0" w:color="auto"/>
        <w:left w:val="none" w:sz="0" w:space="0" w:color="auto"/>
        <w:bottom w:val="none" w:sz="0" w:space="0" w:color="auto"/>
        <w:right w:val="none" w:sz="0" w:space="0" w:color="auto"/>
      </w:divBdr>
    </w:div>
    <w:div w:id="1410729380">
      <w:bodyDiv w:val="1"/>
      <w:marLeft w:val="0"/>
      <w:marRight w:val="0"/>
      <w:marTop w:val="0"/>
      <w:marBottom w:val="0"/>
      <w:divBdr>
        <w:top w:val="none" w:sz="0" w:space="0" w:color="auto"/>
        <w:left w:val="none" w:sz="0" w:space="0" w:color="auto"/>
        <w:bottom w:val="none" w:sz="0" w:space="0" w:color="auto"/>
        <w:right w:val="none" w:sz="0" w:space="0" w:color="auto"/>
      </w:divBdr>
    </w:div>
    <w:div w:id="1484928138">
      <w:bodyDiv w:val="1"/>
      <w:marLeft w:val="0"/>
      <w:marRight w:val="0"/>
      <w:marTop w:val="0"/>
      <w:marBottom w:val="0"/>
      <w:divBdr>
        <w:top w:val="none" w:sz="0" w:space="0" w:color="auto"/>
        <w:left w:val="none" w:sz="0" w:space="0" w:color="auto"/>
        <w:bottom w:val="none" w:sz="0" w:space="0" w:color="auto"/>
        <w:right w:val="none" w:sz="0" w:space="0" w:color="auto"/>
      </w:divBdr>
    </w:div>
    <w:div w:id="1504129833">
      <w:bodyDiv w:val="1"/>
      <w:marLeft w:val="0"/>
      <w:marRight w:val="0"/>
      <w:marTop w:val="0"/>
      <w:marBottom w:val="0"/>
      <w:divBdr>
        <w:top w:val="none" w:sz="0" w:space="0" w:color="auto"/>
        <w:left w:val="none" w:sz="0" w:space="0" w:color="auto"/>
        <w:bottom w:val="none" w:sz="0" w:space="0" w:color="auto"/>
        <w:right w:val="none" w:sz="0" w:space="0" w:color="auto"/>
      </w:divBdr>
    </w:div>
    <w:div w:id="1560900185">
      <w:bodyDiv w:val="1"/>
      <w:marLeft w:val="0"/>
      <w:marRight w:val="0"/>
      <w:marTop w:val="0"/>
      <w:marBottom w:val="0"/>
      <w:divBdr>
        <w:top w:val="none" w:sz="0" w:space="0" w:color="auto"/>
        <w:left w:val="none" w:sz="0" w:space="0" w:color="auto"/>
        <w:bottom w:val="none" w:sz="0" w:space="0" w:color="auto"/>
        <w:right w:val="none" w:sz="0" w:space="0" w:color="auto"/>
      </w:divBdr>
    </w:div>
    <w:div w:id="1808082276">
      <w:bodyDiv w:val="1"/>
      <w:marLeft w:val="0"/>
      <w:marRight w:val="0"/>
      <w:marTop w:val="0"/>
      <w:marBottom w:val="0"/>
      <w:divBdr>
        <w:top w:val="none" w:sz="0" w:space="0" w:color="auto"/>
        <w:left w:val="none" w:sz="0" w:space="0" w:color="auto"/>
        <w:bottom w:val="none" w:sz="0" w:space="0" w:color="auto"/>
        <w:right w:val="none" w:sz="0" w:space="0" w:color="auto"/>
      </w:divBdr>
    </w:div>
    <w:div w:id="1831822020">
      <w:bodyDiv w:val="1"/>
      <w:marLeft w:val="0"/>
      <w:marRight w:val="0"/>
      <w:marTop w:val="0"/>
      <w:marBottom w:val="0"/>
      <w:divBdr>
        <w:top w:val="none" w:sz="0" w:space="0" w:color="auto"/>
        <w:left w:val="none" w:sz="0" w:space="0" w:color="auto"/>
        <w:bottom w:val="none" w:sz="0" w:space="0" w:color="auto"/>
        <w:right w:val="none" w:sz="0" w:space="0" w:color="auto"/>
      </w:divBdr>
    </w:div>
    <w:div w:id="1861431806">
      <w:bodyDiv w:val="1"/>
      <w:marLeft w:val="0"/>
      <w:marRight w:val="0"/>
      <w:marTop w:val="0"/>
      <w:marBottom w:val="0"/>
      <w:divBdr>
        <w:top w:val="none" w:sz="0" w:space="0" w:color="auto"/>
        <w:left w:val="none" w:sz="0" w:space="0" w:color="auto"/>
        <w:bottom w:val="none" w:sz="0" w:space="0" w:color="auto"/>
        <w:right w:val="none" w:sz="0" w:space="0" w:color="auto"/>
      </w:divBdr>
    </w:div>
    <w:div w:id="1899975495">
      <w:bodyDiv w:val="1"/>
      <w:marLeft w:val="0"/>
      <w:marRight w:val="0"/>
      <w:marTop w:val="0"/>
      <w:marBottom w:val="0"/>
      <w:divBdr>
        <w:top w:val="none" w:sz="0" w:space="0" w:color="auto"/>
        <w:left w:val="none" w:sz="0" w:space="0" w:color="auto"/>
        <w:bottom w:val="none" w:sz="0" w:space="0" w:color="auto"/>
        <w:right w:val="none" w:sz="0" w:space="0" w:color="auto"/>
      </w:divBdr>
      <w:divsChild>
        <w:div w:id="2112966397">
          <w:marLeft w:val="0"/>
          <w:marRight w:val="0"/>
          <w:marTop w:val="0"/>
          <w:marBottom w:val="0"/>
          <w:divBdr>
            <w:top w:val="none" w:sz="0" w:space="0" w:color="auto"/>
            <w:left w:val="none" w:sz="0" w:space="0" w:color="auto"/>
            <w:bottom w:val="none" w:sz="0" w:space="0" w:color="auto"/>
            <w:right w:val="none" w:sz="0" w:space="0" w:color="auto"/>
          </w:divBdr>
          <w:divsChild>
            <w:div w:id="1323461663">
              <w:marLeft w:val="0"/>
              <w:marRight w:val="0"/>
              <w:marTop w:val="0"/>
              <w:marBottom w:val="0"/>
              <w:divBdr>
                <w:top w:val="none" w:sz="0" w:space="0" w:color="auto"/>
                <w:left w:val="none" w:sz="0" w:space="0" w:color="auto"/>
                <w:bottom w:val="none" w:sz="0" w:space="0" w:color="auto"/>
                <w:right w:val="none" w:sz="0" w:space="0" w:color="auto"/>
              </w:divBdr>
              <w:divsChild>
                <w:div w:id="1891767563">
                  <w:marLeft w:val="0"/>
                  <w:marRight w:val="0"/>
                  <w:marTop w:val="0"/>
                  <w:marBottom w:val="0"/>
                  <w:divBdr>
                    <w:top w:val="none" w:sz="0" w:space="0" w:color="auto"/>
                    <w:left w:val="none" w:sz="0" w:space="0" w:color="auto"/>
                    <w:bottom w:val="none" w:sz="0" w:space="0" w:color="auto"/>
                    <w:right w:val="none" w:sz="0" w:space="0" w:color="auto"/>
                  </w:divBdr>
                  <w:divsChild>
                    <w:div w:id="2071612828">
                      <w:marLeft w:val="0"/>
                      <w:marRight w:val="0"/>
                      <w:marTop w:val="0"/>
                      <w:marBottom w:val="0"/>
                      <w:divBdr>
                        <w:top w:val="none" w:sz="0" w:space="0" w:color="auto"/>
                        <w:left w:val="none" w:sz="0" w:space="0" w:color="auto"/>
                        <w:bottom w:val="none" w:sz="0" w:space="0" w:color="auto"/>
                        <w:right w:val="none" w:sz="0" w:space="0" w:color="auto"/>
                      </w:divBdr>
                      <w:divsChild>
                        <w:div w:id="456532420">
                          <w:marLeft w:val="0"/>
                          <w:marRight w:val="0"/>
                          <w:marTop w:val="0"/>
                          <w:marBottom w:val="0"/>
                          <w:divBdr>
                            <w:top w:val="none" w:sz="0" w:space="0" w:color="auto"/>
                            <w:left w:val="none" w:sz="0" w:space="0" w:color="auto"/>
                            <w:bottom w:val="none" w:sz="0" w:space="0" w:color="auto"/>
                            <w:right w:val="none" w:sz="0" w:space="0" w:color="auto"/>
                          </w:divBdr>
                          <w:divsChild>
                            <w:div w:id="2107118457">
                              <w:marLeft w:val="0"/>
                              <w:marRight w:val="0"/>
                              <w:marTop w:val="0"/>
                              <w:marBottom w:val="0"/>
                              <w:divBdr>
                                <w:top w:val="none" w:sz="0" w:space="0" w:color="auto"/>
                                <w:left w:val="none" w:sz="0" w:space="0" w:color="auto"/>
                                <w:bottom w:val="none" w:sz="0" w:space="0" w:color="auto"/>
                                <w:right w:val="none" w:sz="0" w:space="0" w:color="auto"/>
                              </w:divBdr>
                              <w:divsChild>
                                <w:div w:id="1650598387">
                                  <w:marLeft w:val="0"/>
                                  <w:marRight w:val="0"/>
                                  <w:marTop w:val="0"/>
                                  <w:marBottom w:val="0"/>
                                  <w:divBdr>
                                    <w:top w:val="none" w:sz="0" w:space="0" w:color="auto"/>
                                    <w:left w:val="none" w:sz="0" w:space="0" w:color="auto"/>
                                    <w:bottom w:val="none" w:sz="0" w:space="0" w:color="auto"/>
                                    <w:right w:val="none" w:sz="0" w:space="0" w:color="auto"/>
                                  </w:divBdr>
                                  <w:divsChild>
                                    <w:div w:id="614795040">
                                      <w:marLeft w:val="0"/>
                                      <w:marRight w:val="0"/>
                                      <w:marTop w:val="0"/>
                                      <w:marBottom w:val="0"/>
                                      <w:divBdr>
                                        <w:top w:val="none" w:sz="0" w:space="0" w:color="auto"/>
                                        <w:left w:val="none" w:sz="0" w:space="0" w:color="auto"/>
                                        <w:bottom w:val="none" w:sz="0" w:space="0" w:color="auto"/>
                                        <w:right w:val="none" w:sz="0" w:space="0" w:color="auto"/>
                                      </w:divBdr>
                                      <w:divsChild>
                                        <w:div w:id="1484152432">
                                          <w:marLeft w:val="0"/>
                                          <w:marRight w:val="0"/>
                                          <w:marTop w:val="0"/>
                                          <w:marBottom w:val="0"/>
                                          <w:divBdr>
                                            <w:top w:val="none" w:sz="0" w:space="0" w:color="auto"/>
                                            <w:left w:val="none" w:sz="0" w:space="0" w:color="auto"/>
                                            <w:bottom w:val="none" w:sz="0" w:space="0" w:color="auto"/>
                                            <w:right w:val="none" w:sz="0" w:space="0" w:color="auto"/>
                                          </w:divBdr>
                                          <w:divsChild>
                                            <w:div w:id="268778282">
                                              <w:marLeft w:val="0"/>
                                              <w:marRight w:val="0"/>
                                              <w:marTop w:val="0"/>
                                              <w:marBottom w:val="0"/>
                                              <w:divBdr>
                                                <w:top w:val="none" w:sz="0" w:space="0" w:color="auto"/>
                                                <w:left w:val="none" w:sz="0" w:space="0" w:color="auto"/>
                                                <w:bottom w:val="none" w:sz="0" w:space="0" w:color="auto"/>
                                                <w:right w:val="none" w:sz="0" w:space="0" w:color="auto"/>
                                              </w:divBdr>
                                              <w:divsChild>
                                                <w:div w:id="2087847430">
                                                  <w:marLeft w:val="0"/>
                                                  <w:marRight w:val="0"/>
                                                  <w:marTop w:val="0"/>
                                                  <w:marBottom w:val="0"/>
                                                  <w:divBdr>
                                                    <w:top w:val="none" w:sz="0" w:space="0" w:color="auto"/>
                                                    <w:left w:val="none" w:sz="0" w:space="0" w:color="auto"/>
                                                    <w:bottom w:val="none" w:sz="0" w:space="0" w:color="auto"/>
                                                    <w:right w:val="none" w:sz="0" w:space="0" w:color="auto"/>
                                                  </w:divBdr>
                                                  <w:divsChild>
                                                    <w:div w:id="1419055348">
                                                      <w:marLeft w:val="0"/>
                                                      <w:marRight w:val="0"/>
                                                      <w:marTop w:val="0"/>
                                                      <w:marBottom w:val="0"/>
                                                      <w:divBdr>
                                                        <w:top w:val="none" w:sz="0" w:space="0" w:color="auto"/>
                                                        <w:left w:val="none" w:sz="0" w:space="0" w:color="auto"/>
                                                        <w:bottom w:val="none" w:sz="0" w:space="0" w:color="auto"/>
                                                        <w:right w:val="none" w:sz="0" w:space="0" w:color="auto"/>
                                                      </w:divBdr>
                                                      <w:divsChild>
                                                        <w:div w:id="1106848316">
                                                          <w:marLeft w:val="0"/>
                                                          <w:marRight w:val="0"/>
                                                          <w:marTop w:val="0"/>
                                                          <w:marBottom w:val="0"/>
                                                          <w:divBdr>
                                                            <w:top w:val="none" w:sz="0" w:space="0" w:color="auto"/>
                                                            <w:left w:val="none" w:sz="0" w:space="0" w:color="auto"/>
                                                            <w:bottom w:val="none" w:sz="0" w:space="0" w:color="auto"/>
                                                            <w:right w:val="none" w:sz="0" w:space="0" w:color="auto"/>
                                                          </w:divBdr>
                                                          <w:divsChild>
                                                            <w:div w:id="1223177725">
                                                              <w:marLeft w:val="0"/>
                                                              <w:marRight w:val="0"/>
                                                              <w:marTop w:val="0"/>
                                                              <w:marBottom w:val="0"/>
                                                              <w:divBdr>
                                                                <w:top w:val="none" w:sz="0" w:space="0" w:color="auto"/>
                                                                <w:left w:val="none" w:sz="0" w:space="0" w:color="auto"/>
                                                                <w:bottom w:val="none" w:sz="0" w:space="0" w:color="auto"/>
                                                                <w:right w:val="none" w:sz="0" w:space="0" w:color="auto"/>
                                                              </w:divBdr>
                                                              <w:divsChild>
                                                                <w:div w:id="1668287797">
                                                                  <w:marLeft w:val="0"/>
                                                                  <w:marRight w:val="0"/>
                                                                  <w:marTop w:val="0"/>
                                                                  <w:marBottom w:val="0"/>
                                                                  <w:divBdr>
                                                                    <w:top w:val="none" w:sz="0" w:space="0" w:color="auto"/>
                                                                    <w:left w:val="none" w:sz="0" w:space="0" w:color="auto"/>
                                                                    <w:bottom w:val="none" w:sz="0" w:space="0" w:color="auto"/>
                                                                    <w:right w:val="none" w:sz="0" w:space="0" w:color="auto"/>
                                                                  </w:divBdr>
                                                                  <w:divsChild>
                                                                    <w:div w:id="1532957590">
                                                                      <w:marLeft w:val="0"/>
                                                                      <w:marRight w:val="0"/>
                                                                      <w:marTop w:val="0"/>
                                                                      <w:marBottom w:val="0"/>
                                                                      <w:divBdr>
                                                                        <w:top w:val="none" w:sz="0" w:space="0" w:color="auto"/>
                                                                        <w:left w:val="none" w:sz="0" w:space="0" w:color="auto"/>
                                                                        <w:bottom w:val="none" w:sz="0" w:space="0" w:color="auto"/>
                                                                        <w:right w:val="none" w:sz="0" w:space="0" w:color="auto"/>
                                                                      </w:divBdr>
                                                                      <w:divsChild>
                                                                        <w:div w:id="1693610515">
                                                                          <w:marLeft w:val="0"/>
                                                                          <w:marRight w:val="0"/>
                                                                          <w:marTop w:val="0"/>
                                                                          <w:marBottom w:val="0"/>
                                                                          <w:divBdr>
                                                                            <w:top w:val="none" w:sz="0" w:space="0" w:color="auto"/>
                                                                            <w:left w:val="none" w:sz="0" w:space="0" w:color="auto"/>
                                                                            <w:bottom w:val="none" w:sz="0" w:space="0" w:color="auto"/>
                                                                            <w:right w:val="none" w:sz="0" w:space="0" w:color="auto"/>
                                                                          </w:divBdr>
                                                                          <w:divsChild>
                                                                            <w:div w:id="2049259660">
                                                                              <w:marLeft w:val="0"/>
                                                                              <w:marRight w:val="0"/>
                                                                              <w:marTop w:val="0"/>
                                                                              <w:marBottom w:val="0"/>
                                                                              <w:divBdr>
                                                                                <w:top w:val="none" w:sz="0" w:space="0" w:color="auto"/>
                                                                                <w:left w:val="none" w:sz="0" w:space="0" w:color="auto"/>
                                                                                <w:bottom w:val="none" w:sz="0" w:space="0" w:color="auto"/>
                                                                                <w:right w:val="none" w:sz="0" w:space="0" w:color="auto"/>
                                                                              </w:divBdr>
                                                                              <w:divsChild>
                                                                                <w:div w:id="467864290">
                                                                                  <w:marLeft w:val="0"/>
                                                                                  <w:marRight w:val="0"/>
                                                                                  <w:marTop w:val="0"/>
                                                                                  <w:marBottom w:val="0"/>
                                                                                  <w:divBdr>
                                                                                    <w:top w:val="none" w:sz="0" w:space="0" w:color="auto"/>
                                                                                    <w:left w:val="none" w:sz="0" w:space="0" w:color="auto"/>
                                                                                    <w:bottom w:val="none" w:sz="0" w:space="0" w:color="auto"/>
                                                                                    <w:right w:val="none" w:sz="0" w:space="0" w:color="auto"/>
                                                                                  </w:divBdr>
                                                                                  <w:divsChild>
                                                                                    <w:div w:id="1052853777">
                                                                                      <w:marLeft w:val="0"/>
                                                                                      <w:marRight w:val="0"/>
                                                                                      <w:marTop w:val="0"/>
                                                                                      <w:marBottom w:val="0"/>
                                                                                      <w:divBdr>
                                                                                        <w:top w:val="none" w:sz="0" w:space="0" w:color="auto"/>
                                                                                        <w:left w:val="none" w:sz="0" w:space="0" w:color="auto"/>
                                                                                        <w:bottom w:val="none" w:sz="0" w:space="0" w:color="auto"/>
                                                                                        <w:right w:val="none" w:sz="0" w:space="0" w:color="auto"/>
                                                                                      </w:divBdr>
                                                                                      <w:divsChild>
                                                                                        <w:div w:id="905408738">
                                                                                          <w:marLeft w:val="0"/>
                                                                                          <w:marRight w:val="0"/>
                                                                                          <w:marTop w:val="0"/>
                                                                                          <w:marBottom w:val="0"/>
                                                                                          <w:divBdr>
                                                                                            <w:top w:val="none" w:sz="0" w:space="0" w:color="auto"/>
                                                                                            <w:left w:val="none" w:sz="0" w:space="0" w:color="auto"/>
                                                                                            <w:bottom w:val="none" w:sz="0" w:space="0" w:color="auto"/>
                                                                                            <w:right w:val="none" w:sz="0" w:space="0" w:color="auto"/>
                                                                                          </w:divBdr>
                                                                                          <w:divsChild>
                                                                                            <w:div w:id="347291510">
                                                                                              <w:marLeft w:val="0"/>
                                                                                              <w:marRight w:val="0"/>
                                                                                              <w:marTop w:val="0"/>
                                                                                              <w:marBottom w:val="0"/>
                                                                                              <w:divBdr>
                                                                                                <w:top w:val="none" w:sz="0" w:space="0" w:color="auto"/>
                                                                                                <w:left w:val="none" w:sz="0" w:space="0" w:color="auto"/>
                                                                                                <w:bottom w:val="none" w:sz="0" w:space="0" w:color="auto"/>
                                                                                                <w:right w:val="none" w:sz="0" w:space="0" w:color="auto"/>
                                                                                              </w:divBdr>
                                                                                              <w:divsChild>
                                                                                                <w:div w:id="687414691">
                                                                                                  <w:marLeft w:val="0"/>
                                                                                                  <w:marRight w:val="0"/>
                                                                                                  <w:marTop w:val="0"/>
                                                                                                  <w:marBottom w:val="0"/>
                                                                                                  <w:divBdr>
                                                                                                    <w:top w:val="none" w:sz="0" w:space="0" w:color="auto"/>
                                                                                                    <w:left w:val="none" w:sz="0" w:space="0" w:color="auto"/>
                                                                                                    <w:bottom w:val="none" w:sz="0" w:space="0" w:color="auto"/>
                                                                                                    <w:right w:val="none" w:sz="0" w:space="0" w:color="auto"/>
                                                                                                  </w:divBdr>
                                                                                                  <w:divsChild>
                                                                                                    <w:div w:id="1018193631">
                                                                                                      <w:marLeft w:val="0"/>
                                                                                                      <w:marRight w:val="0"/>
                                                                                                      <w:marTop w:val="0"/>
                                                                                                      <w:marBottom w:val="0"/>
                                                                                                      <w:divBdr>
                                                                                                        <w:top w:val="none" w:sz="0" w:space="0" w:color="auto"/>
                                                                                                        <w:left w:val="none" w:sz="0" w:space="0" w:color="auto"/>
                                                                                                        <w:bottom w:val="none" w:sz="0" w:space="0" w:color="auto"/>
                                                                                                        <w:right w:val="none" w:sz="0" w:space="0" w:color="auto"/>
                                                                                                      </w:divBdr>
                                                                                                      <w:divsChild>
                                                                                                        <w:div w:id="1432162153">
                                                                                                          <w:marLeft w:val="0"/>
                                                                                                          <w:marRight w:val="0"/>
                                                                                                          <w:marTop w:val="0"/>
                                                                                                          <w:marBottom w:val="0"/>
                                                                                                          <w:divBdr>
                                                                                                            <w:top w:val="none" w:sz="0" w:space="0" w:color="auto"/>
                                                                                                            <w:left w:val="none" w:sz="0" w:space="0" w:color="auto"/>
                                                                                                            <w:bottom w:val="none" w:sz="0" w:space="0" w:color="auto"/>
                                                                                                            <w:right w:val="none" w:sz="0" w:space="0" w:color="auto"/>
                                                                                                          </w:divBdr>
                                                                                                          <w:divsChild>
                                                                                                            <w:div w:id="1123571206">
                                                                                                              <w:marLeft w:val="0"/>
                                                                                                              <w:marRight w:val="0"/>
                                                                                                              <w:marTop w:val="0"/>
                                                                                                              <w:marBottom w:val="0"/>
                                                                                                              <w:divBdr>
                                                                                                                <w:top w:val="none" w:sz="0" w:space="0" w:color="auto"/>
                                                                                                                <w:left w:val="none" w:sz="0" w:space="0" w:color="auto"/>
                                                                                                                <w:bottom w:val="none" w:sz="0" w:space="0" w:color="auto"/>
                                                                                                                <w:right w:val="none" w:sz="0" w:space="0" w:color="auto"/>
                                                                                                              </w:divBdr>
                                                                                                              <w:divsChild>
                                                                                                                <w:div w:id="545063467">
                                                                                                                  <w:marLeft w:val="0"/>
                                                                                                                  <w:marRight w:val="0"/>
                                                                                                                  <w:marTop w:val="0"/>
                                                                                                                  <w:marBottom w:val="0"/>
                                                                                                                  <w:divBdr>
                                                                                                                    <w:top w:val="none" w:sz="0" w:space="0" w:color="auto"/>
                                                                                                                    <w:left w:val="none" w:sz="0" w:space="0" w:color="auto"/>
                                                                                                                    <w:bottom w:val="none" w:sz="0" w:space="0" w:color="auto"/>
                                                                                                                    <w:right w:val="none" w:sz="0" w:space="0" w:color="auto"/>
                                                                                                                  </w:divBdr>
                                                                                                                  <w:divsChild>
                                                                                                                    <w:div w:id="1611935221">
                                                                                                                      <w:marLeft w:val="0"/>
                                                                                                                      <w:marRight w:val="0"/>
                                                                                                                      <w:marTop w:val="0"/>
                                                                                                                      <w:marBottom w:val="0"/>
                                                                                                                      <w:divBdr>
                                                                                                                        <w:top w:val="none" w:sz="0" w:space="0" w:color="auto"/>
                                                                                                                        <w:left w:val="none" w:sz="0" w:space="0" w:color="auto"/>
                                                                                                                        <w:bottom w:val="none" w:sz="0" w:space="0" w:color="auto"/>
                                                                                                                        <w:right w:val="none" w:sz="0" w:space="0" w:color="auto"/>
                                                                                                                      </w:divBdr>
                                                                                                                      <w:divsChild>
                                                                                                                        <w:div w:id="1371952123">
                                                                                                                          <w:marLeft w:val="0"/>
                                                                                                                          <w:marRight w:val="0"/>
                                                                                                                          <w:marTop w:val="0"/>
                                                                                                                          <w:marBottom w:val="0"/>
                                                                                                                          <w:divBdr>
                                                                                                                            <w:top w:val="none" w:sz="0" w:space="0" w:color="auto"/>
                                                                                                                            <w:left w:val="none" w:sz="0" w:space="0" w:color="auto"/>
                                                                                                                            <w:bottom w:val="none" w:sz="0" w:space="0" w:color="auto"/>
                                                                                                                            <w:right w:val="none" w:sz="0" w:space="0" w:color="auto"/>
                                                                                                                          </w:divBdr>
                                                                                                                          <w:divsChild>
                                                                                                                            <w:div w:id="955991093">
                                                                                                                              <w:marLeft w:val="0"/>
                                                                                                                              <w:marRight w:val="0"/>
                                                                                                                              <w:marTop w:val="0"/>
                                                                                                                              <w:marBottom w:val="0"/>
                                                                                                                              <w:divBdr>
                                                                                                                                <w:top w:val="none" w:sz="0" w:space="0" w:color="auto"/>
                                                                                                                                <w:left w:val="none" w:sz="0" w:space="0" w:color="auto"/>
                                                                                                                                <w:bottom w:val="none" w:sz="0" w:space="0" w:color="auto"/>
                                                                                                                                <w:right w:val="none" w:sz="0" w:space="0" w:color="auto"/>
                                                                                                                              </w:divBdr>
                                                                                                                              <w:divsChild>
                                                                                                                                <w:div w:id="1547258863">
                                                                                                                                  <w:marLeft w:val="0"/>
                                                                                                                                  <w:marRight w:val="0"/>
                                                                                                                                  <w:marTop w:val="0"/>
                                                                                                                                  <w:marBottom w:val="0"/>
                                                                                                                                  <w:divBdr>
                                                                                                                                    <w:top w:val="none" w:sz="0" w:space="0" w:color="auto"/>
                                                                                                                                    <w:left w:val="none" w:sz="0" w:space="0" w:color="auto"/>
                                                                                                                                    <w:bottom w:val="none" w:sz="0" w:space="0" w:color="auto"/>
                                                                                                                                    <w:right w:val="none" w:sz="0" w:space="0" w:color="auto"/>
                                                                                                                                  </w:divBdr>
                                                                                                                                  <w:divsChild>
                                                                                                                                    <w:div w:id="2002655506">
                                                                                                                                      <w:marLeft w:val="0"/>
                                                                                                                                      <w:marRight w:val="0"/>
                                                                                                                                      <w:marTop w:val="0"/>
                                                                                                                                      <w:marBottom w:val="0"/>
                                                                                                                                      <w:divBdr>
                                                                                                                                        <w:top w:val="none" w:sz="0" w:space="0" w:color="auto"/>
                                                                                                                                        <w:left w:val="none" w:sz="0" w:space="0" w:color="auto"/>
                                                                                                                                        <w:bottom w:val="none" w:sz="0" w:space="0" w:color="auto"/>
                                                                                                                                        <w:right w:val="none" w:sz="0" w:space="0" w:color="auto"/>
                                                                                                                                      </w:divBdr>
                                                                                                                                      <w:divsChild>
                                                                                                                                        <w:div w:id="725108601">
                                                                                                                                          <w:marLeft w:val="0"/>
                                                                                                                                          <w:marRight w:val="0"/>
                                                                                                                                          <w:marTop w:val="0"/>
                                                                                                                                          <w:marBottom w:val="0"/>
                                                                                                                                          <w:divBdr>
                                                                                                                                            <w:top w:val="none" w:sz="0" w:space="0" w:color="auto"/>
                                                                                                                                            <w:left w:val="none" w:sz="0" w:space="0" w:color="auto"/>
                                                                                                                                            <w:bottom w:val="none" w:sz="0" w:space="0" w:color="auto"/>
                                                                                                                                            <w:right w:val="none" w:sz="0" w:space="0" w:color="auto"/>
                                                                                                                                          </w:divBdr>
                                                                                                                                          <w:divsChild>
                                                                                                                                            <w:div w:id="1920745324">
                                                                                                                                              <w:marLeft w:val="0"/>
                                                                                                                                              <w:marRight w:val="0"/>
                                                                                                                                              <w:marTop w:val="0"/>
                                                                                                                                              <w:marBottom w:val="0"/>
                                                                                                                                              <w:divBdr>
                                                                                                                                                <w:top w:val="none" w:sz="0" w:space="0" w:color="auto"/>
                                                                                                                                                <w:left w:val="none" w:sz="0" w:space="0" w:color="auto"/>
                                                                                                                                                <w:bottom w:val="none" w:sz="0" w:space="0" w:color="auto"/>
                                                                                                                                                <w:right w:val="none" w:sz="0" w:space="0" w:color="auto"/>
                                                                                                                                              </w:divBdr>
                                                                                                                                              <w:divsChild>
                                                                                                                                                <w:div w:id="807749346">
                                                                                                                                                  <w:marLeft w:val="0"/>
                                                                                                                                                  <w:marRight w:val="0"/>
                                                                                                                                                  <w:marTop w:val="0"/>
                                                                                                                                                  <w:marBottom w:val="0"/>
                                                                                                                                                  <w:divBdr>
                                                                                                                                                    <w:top w:val="none" w:sz="0" w:space="0" w:color="auto"/>
                                                                                                                                                    <w:left w:val="none" w:sz="0" w:space="0" w:color="auto"/>
                                                                                                                                                    <w:bottom w:val="none" w:sz="0" w:space="0" w:color="auto"/>
                                                                                                                                                    <w:right w:val="none" w:sz="0" w:space="0" w:color="auto"/>
                                                                                                                                                  </w:divBdr>
                                                                                                                                                  <w:divsChild>
                                                                                                                                                    <w:div w:id="685862450">
                                                                                                                                                      <w:marLeft w:val="0"/>
                                                                                                                                                      <w:marRight w:val="0"/>
                                                                                                                                                      <w:marTop w:val="0"/>
                                                                                                                                                      <w:marBottom w:val="0"/>
                                                                                                                                                      <w:divBdr>
                                                                                                                                                        <w:top w:val="none" w:sz="0" w:space="0" w:color="auto"/>
                                                                                                                                                        <w:left w:val="none" w:sz="0" w:space="0" w:color="auto"/>
                                                                                                                                                        <w:bottom w:val="none" w:sz="0" w:space="0" w:color="auto"/>
                                                                                                                                                        <w:right w:val="none" w:sz="0" w:space="0" w:color="auto"/>
                                                                                                                                                      </w:divBdr>
                                                                                                                                                      <w:divsChild>
                                                                                                                                                        <w:div w:id="103691902">
                                                                                                                                                          <w:marLeft w:val="0"/>
                                                                                                                                                          <w:marRight w:val="0"/>
                                                                                                                                                          <w:marTop w:val="0"/>
                                                                                                                                                          <w:marBottom w:val="0"/>
                                                                                                                                                          <w:divBdr>
                                                                                                                                                            <w:top w:val="none" w:sz="0" w:space="0" w:color="auto"/>
                                                                                                                                                            <w:left w:val="none" w:sz="0" w:space="0" w:color="auto"/>
                                                                                                                                                            <w:bottom w:val="none" w:sz="0" w:space="0" w:color="auto"/>
                                                                                                                                                            <w:right w:val="none" w:sz="0" w:space="0" w:color="auto"/>
                                                                                                                                                          </w:divBdr>
                                                                                                                                                          <w:divsChild>
                                                                                                                                                            <w:div w:id="2050296459">
                                                                                                                                                              <w:marLeft w:val="0"/>
                                                                                                                                                              <w:marRight w:val="0"/>
                                                                                                                                                              <w:marTop w:val="0"/>
                                                                                                                                                              <w:marBottom w:val="0"/>
                                                                                                                                                              <w:divBdr>
                                                                                                                                                                <w:top w:val="none" w:sz="0" w:space="0" w:color="auto"/>
                                                                                                                                                                <w:left w:val="none" w:sz="0" w:space="0" w:color="auto"/>
                                                                                                                                                                <w:bottom w:val="none" w:sz="0" w:space="0" w:color="auto"/>
                                                                                                                                                                <w:right w:val="none" w:sz="0" w:space="0" w:color="auto"/>
                                                                                                                                                              </w:divBdr>
                                                                                                                                                              <w:divsChild>
                                                                                                                                                                <w:div w:id="39091752">
                                                                                                                                                                  <w:marLeft w:val="0"/>
                                                                                                                                                                  <w:marRight w:val="0"/>
                                                                                                                                                                  <w:marTop w:val="0"/>
                                                                                                                                                                  <w:marBottom w:val="0"/>
                                                                                                                                                                  <w:divBdr>
                                                                                                                                                                    <w:top w:val="none" w:sz="0" w:space="0" w:color="auto"/>
                                                                                                                                                                    <w:left w:val="none" w:sz="0" w:space="0" w:color="auto"/>
                                                                                                                                                                    <w:bottom w:val="none" w:sz="0" w:space="0" w:color="auto"/>
                                                                                                                                                                    <w:right w:val="none" w:sz="0" w:space="0" w:color="auto"/>
                                                                                                                                                                  </w:divBdr>
                                                                                                                                                                  <w:divsChild>
                                                                                                                                                                    <w:div w:id="432360370">
                                                                                                                                                                      <w:marLeft w:val="0"/>
                                                                                                                                                                      <w:marRight w:val="0"/>
                                                                                                                                                                      <w:marTop w:val="0"/>
                                                                                                                                                                      <w:marBottom w:val="0"/>
                                                                                                                                                                      <w:divBdr>
                                                                                                                                                                        <w:top w:val="none" w:sz="0" w:space="0" w:color="auto"/>
                                                                                                                                                                        <w:left w:val="none" w:sz="0" w:space="0" w:color="auto"/>
                                                                                                                                                                        <w:bottom w:val="none" w:sz="0" w:space="0" w:color="auto"/>
                                                                                                                                                                        <w:right w:val="none" w:sz="0" w:space="0" w:color="auto"/>
                                                                                                                                                                      </w:divBdr>
                                                                                                                                                                      <w:divsChild>
                                                                                                                                                                        <w:div w:id="130485953">
                                                                                                                                                                          <w:marLeft w:val="567"/>
                                                                                                                                                                          <w:marRight w:val="0"/>
                                                                                                                                                                          <w:marTop w:val="0"/>
                                                                                                                                                                          <w:marBottom w:val="0"/>
                                                                                                                                                                          <w:divBdr>
                                                                                                                                                                            <w:top w:val="none" w:sz="0" w:space="0" w:color="auto"/>
                                                                                                                                                                            <w:left w:val="none" w:sz="0" w:space="0" w:color="auto"/>
                                                                                                                                                                            <w:bottom w:val="none" w:sz="0" w:space="0" w:color="auto"/>
                                                                                                                                                                            <w:right w:val="none" w:sz="0" w:space="0" w:color="auto"/>
                                                                                                                                                                          </w:divBdr>
                                                                                                                                                                        </w:div>
                                                                                                                                                                        <w:div w:id="245724213">
                                                                                                                                                                          <w:marLeft w:val="0"/>
                                                                                                                                                                          <w:marRight w:val="0"/>
                                                                                                                                                                          <w:marTop w:val="0"/>
                                                                                                                                                                          <w:marBottom w:val="0"/>
                                                                                                                                                                          <w:divBdr>
                                                                                                                                                                            <w:top w:val="none" w:sz="0" w:space="0" w:color="auto"/>
                                                                                                                                                                            <w:left w:val="none" w:sz="0" w:space="0" w:color="auto"/>
                                                                                                                                                                            <w:bottom w:val="none" w:sz="0" w:space="0" w:color="auto"/>
                                                                                                                                                                            <w:right w:val="none" w:sz="0" w:space="0" w:color="auto"/>
                                                                                                                                                                          </w:divBdr>
                                                                                                                                                                        </w:div>
                                                                                                                                                                        <w:div w:id="308750697">
                                                                                                                                                                          <w:marLeft w:val="567"/>
                                                                                                                                                                          <w:marRight w:val="0"/>
                                                                                                                                                                          <w:marTop w:val="0"/>
                                                                                                                                                                          <w:marBottom w:val="0"/>
                                                                                                                                                                          <w:divBdr>
                                                                                                                                                                            <w:top w:val="none" w:sz="0" w:space="0" w:color="auto"/>
                                                                                                                                                                            <w:left w:val="none" w:sz="0" w:space="0" w:color="auto"/>
                                                                                                                                                                            <w:bottom w:val="none" w:sz="0" w:space="0" w:color="auto"/>
                                                                                                                                                                            <w:right w:val="none" w:sz="0" w:space="0" w:color="auto"/>
                                                                                                                                                                          </w:divBdr>
                                                                                                                                                                        </w:div>
                                                                                                                                                                        <w:div w:id="439033549">
                                                                                                                                                                          <w:marLeft w:val="567"/>
                                                                                                                                                                          <w:marRight w:val="0"/>
                                                                                                                                                                          <w:marTop w:val="0"/>
                                                                                                                                                                          <w:marBottom w:val="0"/>
                                                                                                                                                                          <w:divBdr>
                                                                                                                                                                            <w:top w:val="none" w:sz="0" w:space="0" w:color="auto"/>
                                                                                                                                                                            <w:left w:val="none" w:sz="0" w:space="0" w:color="auto"/>
                                                                                                                                                                            <w:bottom w:val="none" w:sz="0" w:space="0" w:color="auto"/>
                                                                                                                                                                            <w:right w:val="none" w:sz="0" w:space="0" w:color="auto"/>
                                                                                                                                                                          </w:divBdr>
                                                                                                                                                                        </w:div>
                                                                                                                                                                        <w:div w:id="486166411">
                                                                                                                                                                          <w:marLeft w:val="720"/>
                                                                                                                                                                          <w:marRight w:val="0"/>
                                                                                                                                                                          <w:marTop w:val="0"/>
                                                                                                                                                                          <w:marBottom w:val="0"/>
                                                                                                                                                                          <w:divBdr>
                                                                                                                                                                            <w:top w:val="none" w:sz="0" w:space="0" w:color="auto"/>
                                                                                                                                                                            <w:left w:val="none" w:sz="0" w:space="0" w:color="auto"/>
                                                                                                                                                                            <w:bottom w:val="none" w:sz="0" w:space="0" w:color="auto"/>
                                                                                                                                                                            <w:right w:val="none" w:sz="0" w:space="0" w:color="auto"/>
                                                                                                                                                                          </w:divBdr>
                                                                                                                                                                        </w:div>
                                                                                                                                                                        <w:div w:id="576475855">
                                                                                                                                                                          <w:marLeft w:val="567"/>
                                                                                                                                                                          <w:marRight w:val="0"/>
                                                                                                                                                                          <w:marTop w:val="0"/>
                                                                                                                                                                          <w:marBottom w:val="0"/>
                                                                                                                                                                          <w:divBdr>
                                                                                                                                                                            <w:top w:val="none" w:sz="0" w:space="0" w:color="auto"/>
                                                                                                                                                                            <w:left w:val="none" w:sz="0" w:space="0" w:color="auto"/>
                                                                                                                                                                            <w:bottom w:val="none" w:sz="0" w:space="0" w:color="auto"/>
                                                                                                                                                                            <w:right w:val="none" w:sz="0" w:space="0" w:color="auto"/>
                                                                                                                                                                          </w:divBdr>
                                                                                                                                                                        </w:div>
                                                                                                                                                                        <w:div w:id="613750131">
                                                                                                                                                                          <w:marLeft w:val="567"/>
                                                                                                                                                                          <w:marRight w:val="0"/>
                                                                                                                                                                          <w:marTop w:val="0"/>
                                                                                                                                                                          <w:marBottom w:val="0"/>
                                                                                                                                                                          <w:divBdr>
                                                                                                                                                                            <w:top w:val="none" w:sz="0" w:space="0" w:color="auto"/>
                                                                                                                                                                            <w:left w:val="none" w:sz="0" w:space="0" w:color="auto"/>
                                                                                                                                                                            <w:bottom w:val="none" w:sz="0" w:space="0" w:color="auto"/>
                                                                                                                                                                            <w:right w:val="none" w:sz="0" w:space="0" w:color="auto"/>
                                                                                                                                                                          </w:divBdr>
                                                                                                                                                                        </w:div>
                                                                                                                                                                        <w:div w:id="831531223">
                                                                                                                                                                          <w:marLeft w:val="720"/>
                                                                                                                                                                          <w:marRight w:val="0"/>
                                                                                                                                                                          <w:marTop w:val="0"/>
                                                                                                                                                                          <w:marBottom w:val="0"/>
                                                                                                                                                                          <w:divBdr>
                                                                                                                                                                            <w:top w:val="none" w:sz="0" w:space="0" w:color="auto"/>
                                                                                                                                                                            <w:left w:val="none" w:sz="0" w:space="0" w:color="auto"/>
                                                                                                                                                                            <w:bottom w:val="none" w:sz="0" w:space="0" w:color="auto"/>
                                                                                                                                                                            <w:right w:val="none" w:sz="0" w:space="0" w:color="auto"/>
                                                                                                                                                                          </w:divBdr>
                                                                                                                                                                        </w:div>
                                                                                                                                                                        <w:div w:id="1091469180">
                                                                                                                                                                          <w:marLeft w:val="0"/>
                                                                                                                                                                          <w:marRight w:val="0"/>
                                                                                                                                                                          <w:marTop w:val="0"/>
                                                                                                                                                                          <w:marBottom w:val="0"/>
                                                                                                                                                                          <w:divBdr>
                                                                                                                                                                            <w:top w:val="none" w:sz="0" w:space="0" w:color="auto"/>
                                                                                                                                                                            <w:left w:val="none" w:sz="0" w:space="0" w:color="auto"/>
                                                                                                                                                                            <w:bottom w:val="none" w:sz="0" w:space="0" w:color="auto"/>
                                                                                                                                                                            <w:right w:val="none" w:sz="0" w:space="0" w:color="auto"/>
                                                                                                                                                                          </w:divBdr>
                                                                                                                                                                        </w:div>
                                                                                                                                                                        <w:div w:id="1110932392">
                                                                                                                                                                          <w:marLeft w:val="567"/>
                                                                                                                                                                          <w:marRight w:val="0"/>
                                                                                                                                                                          <w:marTop w:val="0"/>
                                                                                                                                                                          <w:marBottom w:val="0"/>
                                                                                                                                                                          <w:divBdr>
                                                                                                                                                                            <w:top w:val="none" w:sz="0" w:space="0" w:color="auto"/>
                                                                                                                                                                            <w:left w:val="none" w:sz="0" w:space="0" w:color="auto"/>
                                                                                                                                                                            <w:bottom w:val="none" w:sz="0" w:space="0" w:color="auto"/>
                                                                                                                                                                            <w:right w:val="none" w:sz="0" w:space="0" w:color="auto"/>
                                                                                                                                                                          </w:divBdr>
                                                                                                                                                                        </w:div>
                                                                                                                                                                        <w:div w:id="1294947871">
                                                                                                                                                                          <w:marLeft w:val="567"/>
                                                                                                                                                                          <w:marRight w:val="0"/>
                                                                                                                                                                          <w:marTop w:val="0"/>
                                                                                                                                                                          <w:marBottom w:val="0"/>
                                                                                                                                                                          <w:divBdr>
                                                                                                                                                                            <w:top w:val="none" w:sz="0" w:space="0" w:color="auto"/>
                                                                                                                                                                            <w:left w:val="none" w:sz="0" w:space="0" w:color="auto"/>
                                                                                                                                                                            <w:bottom w:val="none" w:sz="0" w:space="0" w:color="auto"/>
                                                                                                                                                                            <w:right w:val="none" w:sz="0" w:space="0" w:color="auto"/>
                                                                                                                                                                          </w:divBdr>
                                                                                                                                                                        </w:div>
                                                                                                                                                                        <w:div w:id="1621839111">
                                                                                                                                                                          <w:marLeft w:val="0"/>
                                                                                                                                                                          <w:marRight w:val="0"/>
                                                                                                                                                                          <w:marTop w:val="0"/>
                                                                                                                                                                          <w:marBottom w:val="0"/>
                                                                                                                                                                          <w:divBdr>
                                                                                                                                                                            <w:top w:val="none" w:sz="0" w:space="0" w:color="auto"/>
                                                                                                                                                                            <w:left w:val="none" w:sz="0" w:space="0" w:color="auto"/>
                                                                                                                                                                            <w:bottom w:val="none" w:sz="0" w:space="0" w:color="auto"/>
                                                                                                                                                                            <w:right w:val="none" w:sz="0" w:space="0" w:color="auto"/>
                                                                                                                                                                          </w:divBdr>
                                                                                                                                                                        </w:div>
                                                                                                                                                                        <w:div w:id="1644701322">
                                                                                                                                                                          <w:marLeft w:val="0"/>
                                                                                                                                                                          <w:marRight w:val="0"/>
                                                                                                                                                                          <w:marTop w:val="0"/>
                                                                                                                                                                          <w:marBottom w:val="0"/>
                                                                                                                                                                          <w:divBdr>
                                                                                                                                                                            <w:top w:val="none" w:sz="0" w:space="0" w:color="auto"/>
                                                                                                                                                                            <w:left w:val="none" w:sz="0" w:space="0" w:color="auto"/>
                                                                                                                                                                            <w:bottom w:val="none" w:sz="0" w:space="0" w:color="auto"/>
                                                                                                                                                                            <w:right w:val="none" w:sz="0" w:space="0" w:color="auto"/>
                                                                                                                                                                          </w:divBdr>
                                                                                                                                                                        </w:div>
                                                                                                                                                                        <w:div w:id="1844513028">
                                                                                                                                                                          <w:marLeft w:val="567"/>
                                                                                                                                                                          <w:marRight w:val="0"/>
                                                                                                                                                                          <w:marTop w:val="0"/>
                                                                                                                                                                          <w:marBottom w:val="0"/>
                                                                                                                                                                          <w:divBdr>
                                                                                                                                                                            <w:top w:val="none" w:sz="0" w:space="0" w:color="auto"/>
                                                                                                                                                                            <w:left w:val="none" w:sz="0" w:space="0" w:color="auto"/>
                                                                                                                                                                            <w:bottom w:val="none" w:sz="0" w:space="0" w:color="auto"/>
                                                                                                                                                                            <w:right w:val="none" w:sz="0" w:space="0" w:color="auto"/>
                                                                                                                                                                          </w:divBdr>
                                                                                                                                                                        </w:div>
                                                                                                                                                                        <w:div w:id="1897737359">
                                                                                                                                                                          <w:marLeft w:val="567"/>
                                                                                                                                                                          <w:marRight w:val="0"/>
                                                                                                                                                                          <w:marTop w:val="0"/>
                                                                                                                                                                          <w:marBottom w:val="0"/>
                                                                                                                                                                          <w:divBdr>
                                                                                                                                                                            <w:top w:val="none" w:sz="0" w:space="0" w:color="auto"/>
                                                                                                                                                                            <w:left w:val="none" w:sz="0" w:space="0" w:color="auto"/>
                                                                                                                                                                            <w:bottom w:val="none" w:sz="0" w:space="0" w:color="auto"/>
                                                                                                                                                                            <w:right w:val="none" w:sz="0" w:space="0" w:color="auto"/>
                                                                                                                                                                          </w:divBdr>
                                                                                                                                                                        </w:div>
                                                                                                                                                                        <w:div w:id="2060129783">
                                                                                                                                                                          <w:marLeft w:val="567"/>
                                                                                                                                                                          <w:marRight w:val="0"/>
                                                                                                                                                                          <w:marTop w:val="0"/>
                                                                                                                                                                          <w:marBottom w:val="0"/>
                                                                                                                                                                          <w:divBdr>
                                                                                                                                                                            <w:top w:val="none" w:sz="0" w:space="0" w:color="auto"/>
                                                                                                                                                                            <w:left w:val="none" w:sz="0" w:space="0" w:color="auto"/>
                                                                                                                                                                            <w:bottom w:val="none" w:sz="0" w:space="0" w:color="auto"/>
                                                                                                                                                                            <w:right w:val="none" w:sz="0" w:space="0" w:color="auto"/>
                                                                                                                                                                          </w:divBdr>
                                                                                                                                                                        </w:div>
                                                                                                                                                                        <w:div w:id="2135175755">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5993058">
      <w:bodyDiv w:val="1"/>
      <w:marLeft w:val="0"/>
      <w:marRight w:val="0"/>
      <w:marTop w:val="0"/>
      <w:marBottom w:val="0"/>
      <w:divBdr>
        <w:top w:val="none" w:sz="0" w:space="0" w:color="auto"/>
        <w:left w:val="none" w:sz="0" w:space="0" w:color="auto"/>
        <w:bottom w:val="none" w:sz="0" w:space="0" w:color="auto"/>
        <w:right w:val="none" w:sz="0" w:space="0" w:color="auto"/>
      </w:divBdr>
    </w:div>
    <w:div w:id="1958027150">
      <w:bodyDiv w:val="1"/>
      <w:marLeft w:val="0"/>
      <w:marRight w:val="0"/>
      <w:marTop w:val="0"/>
      <w:marBottom w:val="0"/>
      <w:divBdr>
        <w:top w:val="none" w:sz="0" w:space="0" w:color="auto"/>
        <w:left w:val="none" w:sz="0" w:space="0" w:color="auto"/>
        <w:bottom w:val="none" w:sz="0" w:space="0" w:color="auto"/>
        <w:right w:val="none" w:sz="0" w:space="0" w:color="auto"/>
      </w:divBdr>
    </w:div>
    <w:div w:id="200357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24D4F-3D42-4188-8708-1CA8D6FE2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16</Pages>
  <Words>6832</Words>
  <Characters>37579</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44323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2013-03-22T16:03:00Z</cp:lastPrinted>
  <dcterms:created xsi:type="dcterms:W3CDTF">2013-05-06T15:03:00Z</dcterms:created>
  <dcterms:modified xsi:type="dcterms:W3CDTF">2013-05-06T15:03:00Z</dcterms:modified>
</cp:coreProperties>
</file>