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866579"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4093"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Pr="000E6A56">
        <w:rPr>
          <w:rFonts w:ascii="Bookman Old Style" w:eastAsia="Times New Roman" w:hAnsi="Bookman Old Style" w:cs="Times New Roman"/>
          <w:sz w:val="24"/>
          <w:szCs w:val="24"/>
          <w:lang w:val="es-ES" w:eastAsia="es-ES"/>
        </w:rPr>
        <w:t>Lidagas S.A. E.S.P.</w:t>
      </w:r>
      <w:r w:rsidRPr="00A33677">
        <w:rPr>
          <w:rFonts w:ascii="Bookman Old Style" w:eastAsia="Times New Roman" w:hAnsi="Bookman Old Style" w:cs="Times New Roman"/>
          <w:sz w:val="24"/>
          <w:szCs w:val="24"/>
          <w:lang w:val="es-ES" w:eastAsia="es-ES"/>
        </w:rPr>
        <w:t xml:space="preserve"> contra la Resolución C</w:t>
      </w:r>
      <w:r>
        <w:rPr>
          <w:rFonts w:ascii="Bookman Old Style" w:eastAsia="Times New Roman" w:hAnsi="Bookman Old Style" w:cs="Times New Roman"/>
          <w:sz w:val="24"/>
          <w:szCs w:val="24"/>
          <w:lang w:val="es-ES" w:eastAsia="es-ES"/>
        </w:rPr>
        <w:t>REG 048 de 2019</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866579"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866579"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866579"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866579"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866579"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866579"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w:t>
      </w:r>
      <w:r w:rsidRPr="00FB2E5A">
        <w:rPr>
          <w:rFonts w:ascii="Bookman Old Style" w:hAnsi="Bookman Old Style" w:cs="Arial"/>
          <w:spacing w:val="-5"/>
        </w:rPr>
        <w:lastRenderedPageBreak/>
        <w:t>-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w:t>
      </w:r>
      <w:r w:rsidR="009C1497">
        <w:rPr>
          <w:rFonts w:ascii="Bookman Old Style" w:hAnsi="Bookman Old Style" w:cs="Arial"/>
          <w:spacing w:val="-5"/>
        </w:rPr>
        <w:t xml:space="preserve"> de 2011</w:t>
      </w:r>
      <w:r w:rsidRPr="00FB2E5A">
        <w:rPr>
          <w:rFonts w:ascii="Bookman Old Style" w:hAnsi="Bookman Old Style" w:cs="Arial"/>
          <w:spacing w:val="-5"/>
        </w:rPr>
        <w:t xml:space="preserve">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 xml:space="preserve">11 </w:t>
      </w:r>
      <w:r w:rsidR="009C1497">
        <w:rPr>
          <w:rFonts w:ascii="Bookman Old Style" w:hAnsi="Bookman Old Style" w:cs="Arial"/>
          <w:spacing w:val="-5"/>
        </w:rPr>
        <w:t>de la Resolución CREG 023 de 2008,</w:t>
      </w:r>
      <w:r>
        <w:rPr>
          <w:rFonts w:ascii="Bookman Old Style" w:hAnsi="Bookman Old Style" w:cs="Arial"/>
          <w:spacing w:val="-5"/>
        </w:rPr>
        <w:t xml:space="preserve"> reglamento de distribución y comercialización minorista de GLP</w:t>
      </w:r>
      <w:r w:rsidR="009C1497">
        <w:rPr>
          <w:rFonts w:ascii="Bookman Old Style" w:hAnsi="Bookman Old Style" w:cs="Arial"/>
          <w:spacing w:val="-5"/>
        </w:rPr>
        <w:t>, señalan</w:t>
      </w:r>
      <w:r>
        <w:rPr>
          <w:rFonts w:ascii="Bookman Old Style" w:hAnsi="Bookman Old Style" w:cs="Arial"/>
          <w:spacing w:val="-5"/>
        </w:rPr>
        <w:t xml:space="preserve"> 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9C149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Así las cosas</w:t>
      </w:r>
      <w:r w:rsidR="00DE5054" w:rsidRPr="00A33677">
        <w:rPr>
          <w:rFonts w:ascii="Bookman Old Style" w:hAnsi="Bookman Old Style" w:cs="Arial"/>
          <w:spacing w:val="-5"/>
        </w:rPr>
        <w:t>,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w:t>
      </w:r>
      <w:r w:rsidRPr="00A33677">
        <w:rPr>
          <w:rFonts w:ascii="Bookman Old Style" w:hAnsi="Bookman Old Style" w:cs="Arial"/>
          <w:spacing w:val="-5"/>
        </w:rPr>
        <w:lastRenderedPageBreak/>
        <w:t xml:space="preserve">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I-201</w:t>
      </w:r>
      <w:r w:rsidR="006E3CAF" w:rsidRPr="00A33677">
        <w:rPr>
          <w:rFonts w:ascii="Bookman Old Style" w:hAnsi="Bookman Old Style" w:cs="Arial"/>
          <w:spacing w:val="-5"/>
        </w:rPr>
        <w:t>9-002387, I-2019-002506,</w:t>
      </w:r>
      <w:r w:rsidR="00F46EA4" w:rsidRPr="00A33677">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w:t>
      </w:r>
      <w:r w:rsidR="009C1497" w:rsidRPr="00A33677">
        <w:rPr>
          <w:rFonts w:ascii="Bookman Old Style" w:hAnsi="Bookman Old Style" w:cs="Arial"/>
          <w:spacing w:val="-5"/>
        </w:rPr>
        <w:t>201</w:t>
      </w:r>
      <w:r w:rsidR="009C1497">
        <w:rPr>
          <w:rFonts w:ascii="Bookman Old Style" w:hAnsi="Bookman Old Style" w:cs="Arial"/>
          <w:spacing w:val="-5"/>
        </w:rPr>
        <w:t>6</w:t>
      </w:r>
      <w:r w:rsidR="009C1497" w:rsidRPr="00A33677">
        <w:rPr>
          <w:rFonts w:ascii="Bookman Old Style" w:hAnsi="Bookman Old Style" w:cs="Arial"/>
          <w:spacing w:val="-5"/>
        </w:rPr>
        <w:t xml:space="preserve"> </w:t>
      </w:r>
      <w:r w:rsidRPr="00A33677">
        <w:rPr>
          <w:rFonts w:ascii="Bookman Old Style" w:hAnsi="Bookman Old Style" w:cs="Arial"/>
          <w:spacing w:val="-5"/>
        </w:rPr>
        <w:t xml:space="preserve">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lastRenderedPageBreak/>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0E6A56"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0E6A56"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0E6A56"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7B5BC4">
            <w:pPr>
              <w:spacing w:line="259" w:lineRule="auto"/>
              <w:ind w:left="53"/>
              <w:rPr>
                <w:rFonts w:ascii="Bookman Old Style" w:hAnsi="Bookman Old Style"/>
                <w:sz w:val="20"/>
                <w:szCs w:val="20"/>
              </w:rPr>
            </w:pPr>
            <w:r w:rsidRPr="00572628">
              <w:rPr>
                <w:rFonts w:ascii="Bookman Old Style" w:hAnsi="Bookman Old Style"/>
                <w:sz w:val="20"/>
                <w:szCs w:val="20"/>
              </w:rPr>
              <w:t>COMBUSTIBLES L</w:t>
            </w:r>
            <w:r w:rsidR="007B5BC4">
              <w:rPr>
                <w:rFonts w:ascii="Bookman Old Style" w:hAnsi="Bookman Old Style"/>
                <w:sz w:val="20"/>
                <w:szCs w:val="20"/>
              </w:rPr>
              <w:t>Í</w:t>
            </w:r>
            <w:r w:rsidRPr="00572628">
              <w:rPr>
                <w:rFonts w:ascii="Bookman Old Style" w:hAnsi="Bookman Old Style"/>
                <w:sz w:val="20"/>
                <w:szCs w:val="20"/>
              </w:rPr>
              <w:t>QU</w:t>
            </w:r>
            <w:r w:rsidR="007B5BC4">
              <w:rPr>
                <w:rFonts w:ascii="Bookman Old Style" w:hAnsi="Bookman Old Style"/>
                <w:sz w:val="20"/>
                <w:szCs w:val="20"/>
              </w:rPr>
              <w:t>I</w:t>
            </w:r>
            <w:r w:rsidRPr="00572628">
              <w:rPr>
                <w:rFonts w:ascii="Bookman Old Style" w:hAnsi="Bookman Old Style"/>
                <w:sz w:val="20"/>
                <w:szCs w:val="20"/>
              </w:rPr>
              <w:t>DOS DE COLOMBIA S.A. E.S.P.</w:t>
            </w:r>
          </w:p>
        </w:tc>
      </w:tr>
    </w:tbl>
    <w:p w:rsidR="00BE5DEF" w:rsidRPr="00BE5DEF" w:rsidRDefault="00BE5DEF" w:rsidP="00EB2D23">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SUI/Administraci</w:t>
      </w:r>
      <w:r w:rsidR="007B5BC4">
        <w:rPr>
          <w:rFonts w:ascii="Bookman Old Style" w:hAnsi="Bookman Old Style"/>
          <w:i/>
          <w:sz w:val="22"/>
          <w:szCs w:val="22"/>
        </w:rPr>
        <w:t>ó</w:t>
      </w:r>
      <w:r w:rsidRPr="00BE5DEF">
        <w:rPr>
          <w:rFonts w:ascii="Bookman Old Style" w:hAnsi="Bookman Old Style"/>
          <w:i/>
          <w:sz w:val="22"/>
          <w:szCs w:val="22"/>
        </w:rPr>
        <w:t>n/Estado de reporte de Informaci</w:t>
      </w:r>
      <w:r w:rsidR="007B5BC4">
        <w:rPr>
          <w:rFonts w:ascii="Bookman Old Style" w:hAnsi="Bookman Old Style"/>
          <w:i/>
          <w:sz w:val="22"/>
          <w:szCs w:val="22"/>
        </w:rPr>
        <w:t>ó</w:t>
      </w:r>
      <w:r w:rsidRPr="00BE5DEF">
        <w:rPr>
          <w:rFonts w:ascii="Bookman Old Style" w:hAnsi="Bookman Old Style"/>
          <w:i/>
          <w:sz w:val="22"/>
          <w:szCs w:val="22"/>
        </w:rPr>
        <w:t>n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BE5DEF" w:rsidP="007F3FC2">
      <w:pPr>
        <w:pStyle w:val="Textoindependiente2"/>
        <w:spacing w:after="0" w:line="240" w:lineRule="auto"/>
        <w:ind w:left="0"/>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Pr="00BE5DEF" w:rsidRDefault="00BE5DEF" w:rsidP="007F3FC2">
      <w:pPr>
        <w:pStyle w:val="Textoindependiente2"/>
        <w:spacing w:after="0" w:line="240" w:lineRule="auto"/>
        <w:ind w:left="851"/>
        <w:jc w:val="both"/>
        <w:rPr>
          <w:rFonts w:ascii="Bookman Old Style" w:hAnsi="Bookman Old Style"/>
          <w:i/>
          <w:sz w:val="22"/>
          <w:szCs w:val="22"/>
        </w:rPr>
      </w:pPr>
      <w:r w:rsidRPr="00BE5DEF">
        <w:rPr>
          <w:rFonts w:ascii="Bookman Old Style" w:hAnsi="Bookman Old Style"/>
          <w:i/>
          <w:sz w:val="22"/>
          <w:szCs w:val="22"/>
        </w:rPr>
        <w:t>Reporte: SUI/Administraci</w:t>
      </w:r>
      <w:r w:rsidR="007B5BC4">
        <w:rPr>
          <w:rFonts w:ascii="Bookman Old Style" w:hAnsi="Bookman Old Style"/>
          <w:i/>
          <w:sz w:val="22"/>
          <w:szCs w:val="22"/>
        </w:rPr>
        <w:t>ó</w:t>
      </w:r>
      <w:r w:rsidRPr="00BE5DEF">
        <w:rPr>
          <w:rFonts w:ascii="Bookman Old Style" w:hAnsi="Bookman Old Style"/>
          <w:i/>
          <w:sz w:val="22"/>
          <w:szCs w:val="22"/>
        </w:rPr>
        <w:t>n</w:t>
      </w:r>
      <w:r w:rsidR="007B5BC4">
        <w:rPr>
          <w:rFonts w:ascii="Bookman Old Style" w:hAnsi="Bookman Old Style"/>
          <w:i/>
          <w:sz w:val="22"/>
          <w:szCs w:val="22"/>
        </w:rPr>
        <w:t>/Estado de reporte de Informació</w:t>
      </w:r>
      <w:r w:rsidRPr="00BE5DEF">
        <w:rPr>
          <w:rFonts w:ascii="Bookman Old Style" w:hAnsi="Bookman Old Style"/>
          <w:i/>
          <w:sz w:val="22"/>
          <w:szCs w:val="22"/>
        </w:rPr>
        <w:t>n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CREG </w:t>
      </w:r>
      <w:r w:rsidR="00005DA0">
        <w:rPr>
          <w:rFonts w:ascii="Bookman Old Style" w:hAnsi="Bookman Old Style" w:cs="Arial"/>
          <w:spacing w:val="-5"/>
        </w:rPr>
        <w:t>048 de 2019</w:t>
      </w:r>
      <w:r w:rsidRPr="00A33677">
        <w:rPr>
          <w:rFonts w:ascii="Bookman Old Style" w:hAnsi="Bookman Old Style" w:cs="Arial"/>
          <w:spacing w:val="-5"/>
        </w:rPr>
        <w:t xml:space="preserve">, aplicable para el </w:t>
      </w:r>
      <w:r w:rsidR="00005DA0">
        <w:rPr>
          <w:rFonts w:ascii="Bookman Old Style" w:hAnsi="Bookman Old Style" w:cs="Arial"/>
          <w:spacing w:val="-5"/>
        </w:rPr>
        <w:t>sexto</w:t>
      </w:r>
      <w:r w:rsidRPr="00A33677">
        <w:rPr>
          <w:rFonts w:ascii="Bookman Old Style" w:hAnsi="Bookman Old Style" w:cs="Arial"/>
          <w:spacing w:val="-5"/>
        </w:rPr>
        <w:t xml:space="preserve"> período de compra. Los cálculos </w:t>
      </w:r>
      <w:r w:rsidRPr="00A33677">
        <w:rPr>
          <w:rFonts w:ascii="Bookman Old Style" w:hAnsi="Bookman Old Style" w:cs="Arial"/>
          <w:spacing w:val="-5"/>
        </w:rPr>
        <w:lastRenderedPageBreak/>
        <w:t>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A33677" w:rsidRPr="00A33677" w:rsidTr="00A33677">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 xml:space="preserve">Capacidad de compra </w:t>
            </w:r>
            <m:oMath>
              <m:r>
                <m:rPr>
                  <m:sty m:val="bi"/>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
                      <w:iCs/>
                      <w:color w:val="000000"/>
                      <w:lang w:eastAsia="es-CO"/>
                    </w:rPr>
                  </m:ctrlPr>
                </m:sSubPr>
                <m:e>
                  <m:r>
                    <m:rPr>
                      <m:sty m:val="bi"/>
                    </m:rPr>
                    <w:rPr>
                      <w:rFonts w:ascii="Cambria Math" w:eastAsia="Times New Roman" w:hAnsi="Cambria Math" w:cs="Times New Roman"/>
                      <w:color w:val="000000"/>
                      <w:lang w:eastAsia="es-CO"/>
                    </w:rPr>
                    <m:t>C</m:t>
                  </m:r>
                </m:e>
                <m:sub>
                  <m:r>
                    <m:rPr>
                      <m:sty m:val="bi"/>
                    </m:rPr>
                    <w:rPr>
                      <w:rFonts w:ascii="Cambria Math" w:eastAsia="Times New Roman" w:hAnsi="Cambria Math" w:cs="Times New Roman"/>
                      <w:color w:val="000000"/>
                      <w:lang w:eastAsia="es-CO"/>
                    </w:rPr>
                    <m:t>i,t</m:t>
                  </m:r>
                </m:sub>
              </m:sSub>
            </m:oMath>
          </w:p>
        </w:tc>
      </w:tr>
      <w:tr w:rsidR="00A33677" w:rsidRPr="00A33677" w:rsidTr="00F359EE">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A33677" w:rsidRDefault="00A33677" w:rsidP="00F359EE">
            <w:pPr>
              <w:spacing w:after="0"/>
              <w:jc w:val="center"/>
              <w:rPr>
                <w:rFonts w:ascii="Bookman Old Style" w:hAnsi="Bookman Old Style"/>
                <w:i/>
              </w:rPr>
            </w:pPr>
            <w:r w:rsidRPr="00A33677">
              <w:rPr>
                <w:rFonts w:ascii="Bookman Old Style" w:hAnsi="Bookman Old Style"/>
                <w:i/>
              </w:rPr>
              <w:t>1854</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F359EE">
            <w:pPr>
              <w:spacing w:after="0"/>
              <w:rPr>
                <w:rFonts w:ascii="Bookman Old Style" w:hAnsi="Bookman Old Style"/>
                <w:i/>
              </w:rPr>
            </w:pPr>
            <w:r w:rsidRPr="00A33677">
              <w:rPr>
                <w:rFonts w:ascii="Bookman Old Style" w:hAnsi="Bookman Old Style"/>
                <w:i/>
              </w:rPr>
              <w:t>Lidagas S.A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F359EE">
            <w:pPr>
              <w:spacing w:after="0"/>
              <w:jc w:val="center"/>
              <w:rPr>
                <w:rFonts w:ascii="Bookman Old Style" w:hAnsi="Bookman Old Style"/>
                <w:i/>
              </w:rPr>
            </w:pPr>
            <w:r w:rsidRPr="00A33677">
              <w:rPr>
                <w:rFonts w:ascii="Bookman Old Style" w:hAnsi="Bookman Old Style"/>
                <w:i/>
              </w:rPr>
              <w:t>3,907,640</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5536D4">
        <w:rPr>
          <w:rFonts w:ascii="Bookman Old Style" w:eastAsia="Times New Roman" w:hAnsi="Bookman Old Style" w:cs="Arial"/>
          <w:spacing w:val="-5"/>
          <w:sz w:val="24"/>
          <w:szCs w:val="24"/>
        </w:rPr>
        <w:t>omisión a través de comunicaciones</w:t>
      </w:r>
      <w:r w:rsidRPr="00A33677">
        <w:rPr>
          <w:rFonts w:ascii="Bookman Old Style" w:eastAsia="Times New Roman" w:hAnsi="Bookman Old Style" w:cs="Arial"/>
          <w:spacing w:val="-5"/>
          <w:sz w:val="24"/>
          <w:szCs w:val="24"/>
        </w:rPr>
        <w:t xml:space="preserve"> remitida</w:t>
      </w:r>
      <w:r w:rsidR="005536D4">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con radicado</w:t>
      </w:r>
      <w:r w:rsidR="005536D4">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número</w:t>
      </w:r>
      <w:r w:rsidR="005536D4">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w:t>
      </w:r>
      <w:r>
        <w:rPr>
          <w:rFonts w:ascii="Bookman Old Style" w:eastAsia="Times New Roman" w:hAnsi="Bookman Old Style" w:cs="Arial"/>
          <w:spacing w:val="-5"/>
          <w:sz w:val="24"/>
          <w:szCs w:val="24"/>
        </w:rPr>
        <w:t xml:space="preserve">E-2019-005602 </w:t>
      </w:r>
      <w:r w:rsidRPr="00A33677">
        <w:rPr>
          <w:rFonts w:ascii="Bookman Old Style" w:eastAsia="Times New Roman" w:hAnsi="Bookman Old Style" w:cs="Arial"/>
          <w:spacing w:val="-5"/>
          <w:sz w:val="24"/>
          <w:szCs w:val="24"/>
        </w:rPr>
        <w:t xml:space="preserve">de </w:t>
      </w:r>
      <w:r>
        <w:rPr>
          <w:rFonts w:ascii="Bookman Old Style" w:eastAsia="Times New Roman" w:hAnsi="Bookman Old Style" w:cs="Arial"/>
          <w:spacing w:val="-5"/>
          <w:sz w:val="24"/>
          <w:szCs w:val="24"/>
        </w:rPr>
        <w:t>17</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005536D4">
        <w:rPr>
          <w:rFonts w:ascii="Bookman Old Style" w:eastAsia="Times New Roman" w:hAnsi="Bookman Old Style" w:cs="Arial"/>
          <w:spacing w:val="-5"/>
          <w:sz w:val="24"/>
          <w:szCs w:val="24"/>
        </w:rPr>
        <w:t xml:space="preserve"> y E-2017-005645</w:t>
      </w:r>
      <w:r w:rsidR="00A876CA">
        <w:rPr>
          <w:rFonts w:ascii="Bookman Old Style" w:eastAsia="Times New Roman" w:hAnsi="Bookman Old Style" w:cs="Arial"/>
          <w:spacing w:val="-5"/>
          <w:sz w:val="24"/>
          <w:szCs w:val="24"/>
        </w:rPr>
        <w:t xml:space="preserve"> </w:t>
      </w:r>
      <w:r w:rsidR="005536D4">
        <w:rPr>
          <w:rFonts w:ascii="Bookman Old Style" w:eastAsia="Times New Roman" w:hAnsi="Bookman Old Style" w:cs="Arial"/>
          <w:spacing w:val="-5"/>
          <w:sz w:val="24"/>
          <w:szCs w:val="24"/>
        </w:rPr>
        <w:t>de 20 de mayo de 2019</w:t>
      </w:r>
      <w:r w:rsidRPr="00A33677">
        <w:rPr>
          <w:rFonts w:ascii="Bookman Old Style" w:eastAsia="Times New Roman" w:hAnsi="Bookman Old Style" w:cs="Arial"/>
          <w:spacing w:val="-5"/>
          <w:sz w:val="24"/>
          <w:szCs w:val="24"/>
        </w:rPr>
        <w:t xml:space="preserve">, el representante legal de la empresa </w:t>
      </w:r>
      <w:r>
        <w:rPr>
          <w:rFonts w:ascii="Bookman Old Style" w:eastAsia="Times New Roman" w:hAnsi="Bookman Old Style" w:cs="Arial"/>
          <w:spacing w:val="-5"/>
          <w:sz w:val="24"/>
          <w:szCs w:val="24"/>
        </w:rPr>
        <w:t>Lidagas</w:t>
      </w:r>
      <w:r w:rsidRPr="00A33677">
        <w:rPr>
          <w:rFonts w:ascii="Bookman Old Style" w:eastAsia="Times New Roman" w:hAnsi="Bookman Old Style" w:cs="Arial"/>
          <w:spacing w:val="-5"/>
          <w:sz w:val="24"/>
          <w:szCs w:val="24"/>
        </w:rPr>
        <w:t xml:space="preserve"> S.A. E.S.P. 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Pr="00A33677">
        <w:rPr>
          <w:rFonts w:ascii="Bookman Old Style" w:eastAsia="MS Mincho" w:hAnsi="Bookman Old Style" w:cs="Arial"/>
          <w:i/>
          <w:lang w:val="es-ES"/>
        </w:rPr>
        <w:t xml:space="preserve">Solicito a la Comisión de Regulación de Energía y Gas, de la manera más respetuosa, la modificación de la Resolución CREG 048-19 de fecha 09/05/2019 por el cual se nos </w:t>
      </w:r>
      <w:r w:rsidRPr="007F3FC2">
        <w:rPr>
          <w:rFonts w:ascii="Bookman Old Style" w:eastAsia="Times New Roman" w:hAnsi="Bookman Old Style" w:cs="Arial"/>
          <w:i/>
          <w:lang w:val="es-ES" w:eastAsia="es-ES"/>
        </w:rPr>
        <w:t>asigna</w:t>
      </w:r>
      <w:r w:rsidRPr="00A33677">
        <w:rPr>
          <w:rFonts w:ascii="Bookman Old Style" w:eastAsia="MS Mincho" w:hAnsi="Bookman Old Style" w:cs="Arial"/>
          <w:i/>
          <w:lang w:val="es-ES"/>
        </w:rPr>
        <w:t xml:space="preserve"> la capacidad de compra para el periodo julio - diciembre de 2.019 para que a la sociedad que represento le sea reconocidos en el cálculo de la capacidad de compra los tanques estacionarios que históricamente ha mantenido y aún mantiene.</w:t>
      </w:r>
      <w:r>
        <w:rPr>
          <w:rFonts w:ascii="Bookman Old Style" w:eastAsia="MS Mincho" w:hAnsi="Bookman Old Style" w:cs="Arial"/>
          <w:i/>
          <w:lang w:val="es-ES"/>
        </w:rPr>
        <w:t>”</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fue notificada a empresa la empresa </w:t>
      </w:r>
      <w:r>
        <w:rPr>
          <w:rFonts w:ascii="Bookman Old Style" w:eastAsia="Times New Roman" w:hAnsi="Bookman Old Style" w:cs="Arial"/>
          <w:spacing w:val="-5"/>
          <w:sz w:val="24"/>
          <w:szCs w:val="24"/>
        </w:rPr>
        <w:t>Lidagas</w:t>
      </w:r>
      <w:r w:rsidR="00A876CA">
        <w:rPr>
          <w:rFonts w:ascii="Bookman Old Style" w:eastAsia="Times New Roman" w:hAnsi="Bookman Old Style" w:cs="Arial"/>
          <w:spacing w:val="-5"/>
          <w:sz w:val="24"/>
          <w:szCs w:val="24"/>
        </w:rPr>
        <w:t xml:space="preserve"> S.A. E.S.P.</w:t>
      </w:r>
      <w:r w:rsidR="007B5BC4">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mediante notificación personal</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I-2018-</w:t>
      </w:r>
      <w:r>
        <w:rPr>
          <w:rFonts w:ascii="Bookman Old Style" w:eastAsia="Times New Roman" w:hAnsi="Bookman Old Style" w:cs="Arial"/>
          <w:spacing w:val="-5"/>
          <w:sz w:val="24"/>
          <w:szCs w:val="24"/>
        </w:rPr>
        <w:t>003124</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15 de mayo de 2019</w:t>
      </w:r>
      <w:r w:rsidRPr="00A33677">
        <w:rPr>
          <w:rFonts w:ascii="Bookman Old Style" w:eastAsia="Times New Roman" w:hAnsi="Bookman Old Style" w:cs="Arial"/>
          <w:spacing w:val="-5"/>
          <w:sz w:val="24"/>
          <w:szCs w:val="24"/>
        </w:rPr>
        <w:t xml:space="preserve"> atendiendo lo dispuesto en el artículo 67</w:t>
      </w:r>
      <w:r w:rsidRPr="00A33677">
        <w:rPr>
          <w:rFonts w:ascii="Bookman Old Style" w:eastAsia="Times New Roman" w:hAnsi="Bookman Old Style" w:cs="Arial"/>
          <w:spacing w:val="-5"/>
          <w:sz w:val="24"/>
          <w:szCs w:val="24"/>
          <w:vertAlign w:val="superscript"/>
        </w:rPr>
        <w:footnoteReference w:id="4"/>
      </w:r>
      <w:r w:rsidRPr="00A33677">
        <w:rPr>
          <w:rFonts w:ascii="Bookman Old Style" w:eastAsia="Times New Roman" w:hAnsi="Bookman Old Style" w:cs="Arial"/>
          <w:spacing w:val="-5"/>
          <w:sz w:val="24"/>
          <w:szCs w:val="24"/>
        </w:rPr>
        <w:t xml:space="preserve"> de la Ley 1437 de 2011. </w:t>
      </w: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Una vez establecida la fecha de notificación y verificada la fecha de interposición del recurso, se establece que el recurso de reposición fue interpuesto en tiempo, toda vez que el plazo máximo vencía el día </w:t>
      </w:r>
      <w:r w:rsidR="007F3FC2">
        <w:rPr>
          <w:rFonts w:ascii="Bookman Old Style" w:eastAsia="Times New Roman" w:hAnsi="Bookman Old Style" w:cs="Arial"/>
          <w:spacing w:val="-5"/>
          <w:sz w:val="24"/>
          <w:szCs w:val="24"/>
        </w:rPr>
        <w:t>22</w:t>
      </w:r>
      <w:r w:rsidRPr="00A33677">
        <w:rPr>
          <w:rFonts w:ascii="Bookman Old Style" w:eastAsia="Times New Roman" w:hAnsi="Bookman Old Style" w:cs="Arial"/>
          <w:spacing w:val="-5"/>
          <w:sz w:val="24"/>
          <w:szCs w:val="24"/>
        </w:rPr>
        <w:t xml:space="preserve"> de </w:t>
      </w:r>
      <w:r w:rsidR="007F3FC2">
        <w:rPr>
          <w:rFonts w:ascii="Bookman Old Style" w:eastAsia="Times New Roman" w:hAnsi="Bookman Old Style" w:cs="Arial"/>
          <w:spacing w:val="-5"/>
          <w:sz w:val="24"/>
          <w:szCs w:val="24"/>
        </w:rPr>
        <w:t>mayo del 2019</w:t>
      </w:r>
      <w:r w:rsidRPr="00A33677">
        <w:rPr>
          <w:rFonts w:ascii="Bookman Old Style" w:eastAsia="Times New Roman" w:hAnsi="Bookman Old Style" w:cs="Arial"/>
          <w:spacing w:val="-5"/>
          <w:sz w:val="24"/>
          <w:szCs w:val="24"/>
        </w:rPr>
        <w:t xml:space="preserve">.  </w:t>
      </w: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p>
    <w:p w:rsidR="007B5BC4" w:rsidRDefault="007B5BC4"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005DA0">
        <w:rPr>
          <w:rFonts w:ascii="Bookman Old Style" w:eastAsia="Times New Roman" w:hAnsi="Bookman Old Style" w:cs="Times New Roman"/>
          <w:sz w:val="24"/>
          <w:szCs w:val="24"/>
          <w:lang w:val="es-ES" w:eastAsia="es-ES"/>
        </w:rPr>
        <w:t>Lidagas</w:t>
      </w:r>
      <w:r w:rsidR="00A876CA">
        <w:rPr>
          <w:rFonts w:ascii="Bookman Old Style" w:eastAsia="Times New Roman" w:hAnsi="Bookman Old Style" w:cs="Times New Roman"/>
          <w:sz w:val="24"/>
          <w:szCs w:val="24"/>
          <w:lang w:val="es-ES" w:eastAsia="es-ES"/>
        </w:rPr>
        <w:t xml:space="preserve"> S.A. E.S.P.</w:t>
      </w:r>
      <w:r w:rsidRPr="00A33677">
        <w:rPr>
          <w:rFonts w:ascii="Bookman Old Style" w:eastAsia="Times New Roman" w:hAnsi="Bookman Old Style" w:cs="Times New Roman"/>
          <w:sz w:val="24"/>
          <w:szCs w:val="24"/>
          <w:lang w:val="es-ES" w:eastAsia="es-ES"/>
        </w:rPr>
        <w:t xml:space="preserve"> hacen referencia a lo siguiente:</w:t>
      </w:r>
    </w:p>
    <w:p w:rsidR="007F3FC2" w:rsidRDefault="007F3FC2"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Pr>
          <w:rFonts w:ascii="Bookman Old Style" w:eastAsia="Times New Roman" w:hAnsi="Bookman Old Style" w:cs="Times New Roman"/>
          <w:i/>
          <w:lang w:val="es-ES" w:eastAsia="es-ES"/>
        </w:rPr>
        <w:t>“1</w:t>
      </w:r>
      <w:r w:rsidRPr="007F3FC2">
        <w:rPr>
          <w:rFonts w:ascii="Bookman Old Style" w:eastAsia="Times New Roman" w:hAnsi="Bookman Old Style" w:cs="Arial"/>
          <w:i/>
          <w:lang w:val="es-ES" w:eastAsia="es-ES"/>
        </w:rPr>
        <w:t>. LIDAGAS ha tenido de manera histórica y constante ventas de GLP a granel y ha realizado cuantiosas inversiones en tanques estacionarios tal como le consta a esa entidad. Copia de los registros correspondientes se anexan al presente recurso y además pueden verificarse en los propios documentos que reposan en la CREG de tiempo atrás.</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2. Las ventas históricas de la compañía están conformadas en un 24% por ventas a granel y un 76% ventas en cilindros. Esto es de conocimiento de la CREG por los reportes presentados mediante el SUI y por la información que la propia CREG nos ha solicitado directamente.</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3. En el semestre de julio a diciembre de 2018, LIDAGAS vendió GLP a granel a los clientes que tienen los tanques estacionarios registrados por la empresa tal como consta en la certificación del contador y del revisor fiscal que se anexa al presente recurso. Estas ventas se realizaron porque la empresa dispone de tanques estacionarios de su propiedad, prueba de lo cual son las anteriores asignaciones de GLP y la capacidad de compra definida por la CREG en anteriores periodos. Prueba de lo anterior reposa en esa entidad.</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4. De acuerdo con lo anterior, en el semestre de julio a diciembre de 2018 LIDAGAS vendió 639.751 kg de GLP en el periodo mencionado en los tanques estacionarios de la compañía.</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5. En concordancia con lo anterior, en el cuarto trimestre de 2017 LIDAGAS disponía de una capacidad total de 3.268.213 kg de GLP en tanques estacionarios y en cilindros 10.430.209 kg. después de cálculos quedó un total 4.556.826 kg.</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6. LIDAGAS no ha vendido ninguno de sus tanques estacionarios durante el pasado semestre. Anexo certificación del contador y del revisor fiscal en la que consta que la compañía no ha vendido ni ha dado de baja ningún tanque estacionario durante el semestre pasado. Así mismo, LIDAGAS ha cumplido estrictamente con las normas de la resolución 053 de 2011 en cuanto a los contratos de suministro con los usuarios y ha cumplido con la continuidad del servicio.</w:t>
      </w:r>
    </w:p>
    <w:p w:rsidR="007B5BC4" w:rsidRDefault="007B5BC4"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B5BC4" w:rsidRDefault="007B5BC4"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7. Como es de conocimiento de la CREG, LIDAGAS ha cumplido con todas las normas regulatorias expedidas por la CREG y especialmente ha realizado las cuantiosas inversiones en cilindros y tanques estacionarios que la regulación exigió cuando se instauró el esquema de marca. De este hecho la CREG tiene amplio conocimiento.</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8. De acuerdo con los puntos anteriores, LIDAGAS ha cumplido con todas las normas para garantizar el adecuado suministro a los usuarios y ha garantizado a los usuarios que la prestación del servicio mediante el cumplimiento pleno de los requisitos. Tan es así que la propia CREG ha incluido los tanques estacionarios de LIDAGAS en los cálculos de su capacidad de compra en las anteriores ocasiones. Es decir, la existencia de los tanques estacionarios de propiedad de LIDAGAS es un hecho cierto, conocido y reconocido por la CREG en distintos actos administrativos anteriores.</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9. En los considerandos de la resolución 048 de mayo de 2019 resalta que el SUI tiene como propósito “apoyar las funciones de las Comisiones de Regulación". Es decir, la información del SUI, según la propia CREG tiene una función de apoyo y no de definición única o fuente única. Tan es así que en diversas ocasiones la CREG ha solicitado información sobre los cilindros, los tanques y las ventas de manera directa a los distribuidores, para efecto de los cálculos de la capacidad de compra.</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10. Dejar por fuera de la capacidad de compra de LIDAGAS implicaría desconocer la existencia del cumplimiento de las normas y de la realización de cuantiosas inversiones de los tanques estacionarios, que le constan a la CREG. Así mismo impediría a LIDAGAS atender más de la mitad de nuestros clientes, a pesar de contar con la infraestructura correspondiente. (…)</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2A67FB">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13. Según lo dispuesto por la resolución 063 de 2016 la Creg debía haber tomado el reporte de información disponible del SUI hasta el día 16 del mes de abril y no el de enero 15 de 2019 como se afirma en la resolución 048 de 2019.</w:t>
      </w:r>
      <w:r w:rsidR="002A67FB">
        <w:rPr>
          <w:rFonts w:ascii="Bookman Old Style" w:eastAsia="Times New Roman" w:hAnsi="Bookman Old Style" w:cs="Arial"/>
          <w:i/>
          <w:lang w:val="es-ES" w:eastAsia="es-ES"/>
        </w:rPr>
        <w:t xml:space="preserve"> </w:t>
      </w:r>
      <w:r w:rsidRPr="007F3FC2">
        <w:rPr>
          <w:rFonts w:ascii="Bookman Old Style" w:eastAsia="Times New Roman" w:hAnsi="Bookman Old Style" w:cs="Arial"/>
          <w:i/>
          <w:lang w:val="es-ES" w:eastAsia="es-ES"/>
        </w:rPr>
        <w:t>LIDAGAS certifico el formato C10 el día 26/03/2019, por fallas humanas y técnicos.</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14. La CREG y la Superintendencia de Servicios públicos expidieron la circular conjunta 001 de junio de 2017 mediante la cual se determinó que el reporte de tanques estacionarios debía realizarse dentro de los 15 días siguientes a la terminación de cada trimestre, cambiando así el reporte anual a un reporte trimestral. Lo que nos generó confusión en el registro oportuno de los tanques.</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15. Es evidente que existe una disparidad entre la regulación de la resolución 063 de 2016 y la circular conjunta 001 de 2017, pues se establecen periodos de tiempo diferentes para el reporte de la información. Este elemento sin duda pudo haber causado una interpretación diferente para LIDAGAS quien, a pesar de haber enviado la información en el mes de enero, esta no fue cargada al sistema por eventuales fallas técnicas o humanas.</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16. Adicionalmente la resolución 048 de 2017 en sus considerandos se fundamente en la circular conjunta 001 de 2004 (pg. 7, párrafo 2) pero no en la resolución 001 de 2017 que es la vigente, lo cual generó aun más confusión, pues desde Julio del año 2017 el reporte es trimestral.</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17. No sobra advertir que, de no tomarse el reporte del último trimestre, es decir de octubre a diciembre, reportado en el SUI el 26/03/2019, una empresa perdería </w:t>
      </w:r>
      <w:r w:rsidRPr="007F3FC2">
        <w:rPr>
          <w:rFonts w:ascii="Bookman Old Style" w:eastAsia="Times New Roman" w:hAnsi="Bookman Old Style" w:cs="Arial"/>
          <w:i/>
          <w:lang w:val="es-ES" w:eastAsia="es-ES"/>
        </w:rPr>
        <w:lastRenderedPageBreak/>
        <w:t>la posibilidad de incluir nuevas inversiones para ser tenidas en cuenta en la nueva capacidad de compra. Esto resultaría contrario al espíritu mismo de la resolución 063 de 2016 y en especial de su artículo</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18. Por otra parte en el caso de LIDAGAS los formatos C (C1 hasta el C12) fueron certificados del 25 al 28 de enero de 2.019 como se puede verificar en la página del SUI. Sin embargo, el formato C10 no fue certificado por fallas humanas Y técnicas; una posible razón pudo ser el cambio a la circular SSPD- CREG no.- 001 de 2.017, no se evidenció en su momento la certificación del archivo C10.</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19. Esta situación generó la no asignación de GLP a granel, debido a que el sistema SUI borra el reporte histórico de tanques, asimilando el comienzo de una nueva operación en granel</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20. Con la capacidad de compra definida mediante la resolución 948 de 2919, en la cual se desconoce la existencia de las inversiones en tanques estacionarios, la empresa no podría dar continuidad a la operación, menos tener proyectos que permitan nuestro crecimiento y el del sector como es política del gobierno nacional.</w:t>
      </w: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21. Desconocer la historia y la existencia probada de los tanques estacionarios de LIOACAS sería contrario a la filosofía de la resolución 048 de 2019 mediante la cual se busca fortalecer las medidas contra la ilegalidad y asignar el GLP mediante un sistema que de segundada los usuarios.”</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lang w:val="es-CO"/>
        </w:rPr>
      </w:pPr>
    </w:p>
    <w:p w:rsidR="007F3FC2" w:rsidRDefault="007F3FC2"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Para sustentar estos argumentos Lidagas adjuntó los siguientes soportes:</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left="708"/>
        <w:jc w:val="both"/>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“1 - </w:t>
      </w:r>
      <w:r w:rsidRPr="007F3FC2">
        <w:rPr>
          <w:rFonts w:ascii="Bookman Old Style" w:eastAsia="Times New Roman" w:hAnsi="Bookman Old Style" w:cs="Times New Roman"/>
          <w:i/>
          <w:lang w:val="es-ES" w:eastAsia="es-ES"/>
        </w:rPr>
        <w:t>Reporte Sui formato C10 certific</w:t>
      </w:r>
      <w:r>
        <w:rPr>
          <w:rFonts w:ascii="Bookman Old Style" w:eastAsia="Times New Roman" w:hAnsi="Bookman Old Style" w:cs="Times New Roman"/>
          <w:i/>
          <w:lang w:val="es-ES" w:eastAsia="es-ES"/>
        </w:rPr>
        <w:t>ados para el cuatro trimestre 2</w:t>
      </w:r>
      <w:r w:rsidRPr="007F3FC2">
        <w:rPr>
          <w:rFonts w:ascii="Bookman Old Style" w:eastAsia="Times New Roman" w:hAnsi="Bookman Old Style" w:cs="Times New Roman"/>
          <w:i/>
          <w:lang w:val="es-ES" w:eastAsia="es-ES"/>
        </w:rPr>
        <w:t>018.</w:t>
      </w:r>
    </w:p>
    <w:p w:rsidR="007F3FC2" w:rsidRPr="007F3FC2" w:rsidRDefault="007F3FC2" w:rsidP="007F3FC2">
      <w:pPr>
        <w:spacing w:after="0" w:line="240" w:lineRule="auto"/>
        <w:ind w:left="708"/>
        <w:jc w:val="both"/>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2- </w:t>
      </w:r>
      <w:r w:rsidRPr="007F3FC2">
        <w:rPr>
          <w:rFonts w:ascii="Bookman Old Style" w:eastAsia="Times New Roman" w:hAnsi="Bookman Old Style" w:cs="Times New Roman"/>
          <w:i/>
          <w:lang w:val="es-ES" w:eastAsia="es-ES"/>
        </w:rPr>
        <w:t>Ventas históricas de Lidagas ultimo año.</w:t>
      </w:r>
    </w:p>
    <w:p w:rsidR="007F3FC2" w:rsidRPr="007F3FC2" w:rsidRDefault="007F3FC2" w:rsidP="007F3FC2">
      <w:pPr>
        <w:spacing w:after="0" w:line="240" w:lineRule="auto"/>
        <w:ind w:left="708"/>
        <w:jc w:val="both"/>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3- </w:t>
      </w:r>
      <w:r w:rsidRPr="007F3FC2">
        <w:rPr>
          <w:rFonts w:ascii="Bookman Old Style" w:eastAsia="Times New Roman" w:hAnsi="Bookman Old Style" w:cs="Times New Roman"/>
          <w:i/>
          <w:lang w:val="es-ES" w:eastAsia="es-ES"/>
        </w:rPr>
        <w:t>Fecha certificación formatos C.</w:t>
      </w:r>
    </w:p>
    <w:p w:rsidR="007F3FC2" w:rsidRPr="007F3FC2" w:rsidRDefault="007F3FC2" w:rsidP="007F3FC2">
      <w:pPr>
        <w:spacing w:after="0" w:line="240" w:lineRule="auto"/>
        <w:ind w:left="708"/>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4-</w:t>
      </w:r>
      <w:r>
        <w:rPr>
          <w:rFonts w:ascii="Bookman Old Style" w:eastAsia="Times New Roman" w:hAnsi="Bookman Old Style" w:cs="Times New Roman"/>
          <w:i/>
          <w:lang w:val="es-ES" w:eastAsia="es-ES"/>
        </w:rPr>
        <w:t xml:space="preserve"> </w:t>
      </w:r>
      <w:r w:rsidRPr="007F3FC2">
        <w:rPr>
          <w:rFonts w:ascii="Bookman Old Style" w:eastAsia="Times New Roman" w:hAnsi="Bookman Old Style" w:cs="Times New Roman"/>
          <w:i/>
          <w:lang w:val="es-ES" w:eastAsia="es-ES"/>
        </w:rPr>
        <w:t>Certificación del Contador y del revisor fiscal sobre la existencia de los tanques</w:t>
      </w:r>
      <w:r w:rsidRPr="007F3FC2">
        <w:rPr>
          <w:rFonts w:ascii="Bookman Old Style" w:eastAsia="Times New Roman" w:hAnsi="Bookman Old Style" w:cs="Times New Roman"/>
          <w:i/>
          <w:lang w:val="es-ES" w:eastAsia="es-ES"/>
        </w:rPr>
        <w:tab/>
        <w:t>estacionarios</w:t>
      </w:r>
    </w:p>
    <w:p w:rsidR="007F3FC2" w:rsidRPr="007F3FC2" w:rsidRDefault="007F3FC2" w:rsidP="007F3FC2">
      <w:pPr>
        <w:spacing w:after="0" w:line="240" w:lineRule="auto"/>
        <w:ind w:left="708"/>
        <w:jc w:val="both"/>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5- </w:t>
      </w:r>
      <w:r w:rsidRPr="007F3FC2">
        <w:rPr>
          <w:rFonts w:ascii="Bookman Old Style" w:eastAsia="Times New Roman" w:hAnsi="Bookman Old Style" w:cs="Times New Roman"/>
          <w:i/>
          <w:lang w:val="es-ES" w:eastAsia="es-ES"/>
        </w:rPr>
        <w:t>Certificación del revisor fiscal y del contador sobre las vent</w:t>
      </w:r>
      <w:r>
        <w:rPr>
          <w:rFonts w:ascii="Bookman Old Style" w:eastAsia="Times New Roman" w:hAnsi="Bookman Old Style" w:cs="Times New Roman"/>
          <w:i/>
          <w:lang w:val="es-ES" w:eastAsia="es-ES"/>
        </w:rPr>
        <w:t>as a granel</w:t>
      </w:r>
      <w:r>
        <w:rPr>
          <w:rFonts w:ascii="Bookman Old Style" w:eastAsia="Times New Roman" w:hAnsi="Bookman Old Style" w:cs="Times New Roman"/>
          <w:i/>
          <w:lang w:val="es-ES" w:eastAsia="es-ES"/>
        </w:rPr>
        <w:tab/>
        <w:t xml:space="preserve">del periodo julio a </w:t>
      </w:r>
      <w:r w:rsidRPr="007F3FC2">
        <w:rPr>
          <w:rFonts w:ascii="Bookman Old Style" w:eastAsia="Times New Roman" w:hAnsi="Bookman Old Style" w:cs="Times New Roman"/>
          <w:i/>
          <w:lang w:val="es-ES" w:eastAsia="es-ES"/>
        </w:rPr>
        <w:t>diciembre de 2018.</w:t>
      </w:r>
      <w:r>
        <w:rPr>
          <w:rFonts w:ascii="Bookman Old Style" w:eastAsia="Times New Roman" w:hAnsi="Bookman Old Style" w:cs="Times New Roman"/>
          <w:i/>
          <w:lang w:val="es-ES" w:eastAsia="es-ES"/>
        </w:rPr>
        <w:t>”</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Teniendo en cuenta que dentro de los argumentos expuestos por la empresa a efectos de sustentar su recurso de reposición se encontraban elementos relacionados con una posible diferencia de información del Sistema Único de Información – SUI remitida por la Superintendencia de Servicios Públicos Domiciliarios a efectos de definir la capacidad de compra por la existencia de  un cargue de información de activos</w:t>
      </w:r>
      <w:r>
        <w:rPr>
          <w:rFonts w:ascii="Bookman Old Style" w:eastAsia="Times New Roman" w:hAnsi="Bookman Old Style" w:cs="Times New Roman"/>
          <w:sz w:val="24"/>
          <w:szCs w:val="24"/>
          <w:lang w:val="es-ES" w:eastAsia="es-ES"/>
        </w:rPr>
        <w:t xml:space="preserve"> en materia de </w:t>
      </w:r>
      <w:r w:rsidR="00252FBF">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adjuntando los soportes correspondientes; esta Comisión de acuerdo con las facultades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 xml:space="preserve">a lo cual expidió el </w:t>
      </w:r>
      <w:r w:rsidRPr="000E6A56">
        <w:rPr>
          <w:rFonts w:ascii="Bookman Old Style" w:eastAsia="Times New Roman" w:hAnsi="Bookman Old Style" w:cs="Times New Roman"/>
          <w:sz w:val="24"/>
          <w:szCs w:val="24"/>
          <w:lang w:val="es-ES" w:eastAsia="es-ES"/>
        </w:rPr>
        <w:t>Auto I-2019-0</w:t>
      </w:r>
      <w:r w:rsidR="00F359EE" w:rsidRPr="000E6A56">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Oficiar a la Superintendencia de Servicios Públicos Domiciliarios para que en el término de hasta (5) días calendario siguientes al recibo de la presente auto </w:t>
      </w:r>
      <w:r w:rsidRPr="007F3FC2">
        <w:rPr>
          <w:rFonts w:ascii="Bookman Old Style" w:eastAsia="Times New Roman" w:hAnsi="Bookman Old Style" w:cs="Arial"/>
          <w:bCs/>
          <w:i/>
          <w:lang w:eastAsia="es-ES"/>
        </w:rPr>
        <w:lastRenderedPageBreak/>
        <w:t>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Superintendencia de Servicios Públicos 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005DA0">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252FBF">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a efectos de que esta Comisión revise la definición de la capacidad de compra para la empresa </w:t>
      </w:r>
      <w:r w:rsidR="00252FBF">
        <w:rPr>
          <w:rFonts w:ascii="Bookman Old Style" w:eastAsia="Times New Roman" w:hAnsi="Bookman Old Style" w:cs="Times New Roman"/>
          <w:sz w:val="24"/>
          <w:szCs w:val="24"/>
          <w:lang w:val="es-ES" w:eastAsia="es-ES"/>
        </w:rPr>
        <w:t>Lidagas</w:t>
      </w:r>
      <w:r w:rsidR="009C1497">
        <w:rPr>
          <w:rFonts w:ascii="Bookman Old Style" w:eastAsia="Times New Roman" w:hAnsi="Bookman Old Style" w:cs="Times New Roman"/>
          <w:sz w:val="24"/>
          <w:szCs w:val="24"/>
          <w:lang w:val="es-ES" w:eastAsia="es-ES"/>
        </w:rPr>
        <w:t xml:space="preserve"> S.A. E.S.P. </w:t>
      </w:r>
      <w:r w:rsidRPr="007F3FC2">
        <w:rPr>
          <w:rFonts w:ascii="Bookman Old Style" w:eastAsia="Times New Roman" w:hAnsi="Bookman Old Style" w:cs="Times New Roman"/>
          <w:sz w:val="24"/>
          <w:szCs w:val="24"/>
          <w:lang w:val="es-ES" w:eastAsia="es-ES"/>
        </w:rPr>
        <w:t xml:space="preserve">, toda vez que considera que existen diferencias en la información a nivel de tanques estacionarios reportados en el SUI que fueron tenidos en cuenta por la CREG para realizar dicho cálculo.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En este sentido, los argumentos de la empresa buscan justificar que la definición de la capacidad de compra debe llevarse a cabo con el reporte de tanques estacionarios realizado por esta empresa de acuerdo con los soportes anexados en el recurso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w:t>
      </w:r>
      <w:r w:rsidRPr="007F3FC2">
        <w:rPr>
          <w:rFonts w:ascii="Bookman Old Style" w:eastAsia="Times New Roman" w:hAnsi="Bookman Old Style" w:cs="Times New Roman"/>
          <w:sz w:val="24"/>
          <w:szCs w:val="24"/>
          <w:lang w:val="es-ES" w:eastAsia="es-ES"/>
        </w:rPr>
        <w:lastRenderedPageBreak/>
        <w:t xml:space="preserve">del Sistema Único de Información – SUI remitida a la Comisión por parte de la Superintendencia de Servicios Públicos Domiciliarios, así como atendiendo el procedimiento previsto en el artículo 8 de la Resolución CREG 063 de 2016, lo cual se refleja en la Resolución CREG </w:t>
      </w:r>
      <w:r w:rsidR="00F359EE">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y su anexo.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auto de pruebas mediante comunicación </w:t>
      </w:r>
      <w:r w:rsidR="00B76CEF">
        <w:rPr>
          <w:rFonts w:ascii="Bookman Old Style" w:eastAsia="Times New Roman" w:hAnsi="Bookman Old Style" w:cs="Times New Roman"/>
          <w:sz w:val="24"/>
          <w:szCs w:val="24"/>
          <w:lang w:val="es-ES" w:eastAsia="es-ES"/>
        </w:rPr>
        <w:t>20192300451581</w:t>
      </w:r>
      <w:r w:rsidRPr="007F3FC2">
        <w:rPr>
          <w:rFonts w:ascii="Bookman Old Style" w:eastAsia="Times New Roman" w:hAnsi="Bookman Old Style" w:cs="Times New Roman"/>
          <w:sz w:val="24"/>
          <w:szCs w:val="24"/>
          <w:lang w:val="es-ES" w:eastAsia="es-ES"/>
        </w:rPr>
        <w:t xml:space="preserve"> radicado CREG </w:t>
      </w:r>
      <w:r w:rsidR="00005DA0">
        <w:rPr>
          <w:rFonts w:ascii="Bookman Old Style" w:eastAsia="Times New Roman" w:hAnsi="Bookman Old Style" w:cs="Times New Roman"/>
          <w:sz w:val="24"/>
          <w:szCs w:val="24"/>
          <w:lang w:val="es-ES" w:eastAsia="es-ES"/>
        </w:rPr>
        <w:t>E-2019-006677</w:t>
      </w:r>
      <w:r w:rsidRPr="007F3FC2">
        <w:rPr>
          <w:rFonts w:ascii="Bookman Old Style" w:eastAsia="Times New Roman" w:hAnsi="Bookman Old Style" w:cs="Times New Roman"/>
          <w:sz w:val="24"/>
          <w:szCs w:val="24"/>
          <w:lang w:val="es-ES" w:eastAsia="es-ES"/>
        </w:rPr>
        <w:t>, la Superintendencia de Servicios Públicos Domici</w:t>
      </w:r>
      <w:r w:rsidR="00B76CEF">
        <w:rPr>
          <w:rFonts w:ascii="Bookman Old Style" w:eastAsia="Times New Roman" w:hAnsi="Bookman Old Style" w:cs="Times New Roman"/>
          <w:sz w:val="24"/>
          <w:szCs w:val="24"/>
          <w:lang w:val="es-ES" w:eastAsia="es-ES"/>
        </w:rPr>
        <w:t>liarios expuso lo siguiente par</w:t>
      </w:r>
      <w:r w:rsidRPr="007F3FC2">
        <w:rPr>
          <w:rFonts w:ascii="Bookman Old Style" w:eastAsia="Times New Roman" w:hAnsi="Bookman Old Style" w:cs="Times New Roman"/>
          <w:sz w:val="24"/>
          <w:szCs w:val="24"/>
          <w:lang w:val="es-ES" w:eastAsia="es-ES"/>
        </w:rPr>
        <w:t xml:space="preserve">a el caso de la empresa </w:t>
      </w:r>
      <w:r w:rsidR="00252FBF">
        <w:rPr>
          <w:rFonts w:ascii="Bookman Old Style" w:eastAsia="Times New Roman" w:hAnsi="Bookman Old Style" w:cs="Times New Roman"/>
          <w:sz w:val="24"/>
          <w:szCs w:val="24"/>
          <w:lang w:val="es-ES" w:eastAsia="es-ES"/>
        </w:rPr>
        <w:t>Lidagas</w:t>
      </w:r>
      <w:r w:rsidR="009C1497">
        <w:rPr>
          <w:rFonts w:ascii="Bookman Old Style" w:eastAsia="Times New Roman" w:hAnsi="Bookman Old Style" w:cs="Times New Roman"/>
          <w:sz w:val="24"/>
          <w:szCs w:val="24"/>
          <w:lang w:val="es-ES" w:eastAsia="es-ES"/>
        </w:rPr>
        <w:t xml:space="preserve"> S.A. E.S.P.</w:t>
      </w:r>
      <w:r w:rsidRPr="007F3FC2">
        <w:rPr>
          <w:rFonts w:ascii="Bookman Old Style" w:eastAsia="Times New Roman" w:hAnsi="Bookman Old Style" w:cs="Times New Roman"/>
          <w:sz w:val="24"/>
          <w:szCs w:val="24"/>
          <w:lang w:val="es-ES" w:eastAsia="es-ES"/>
        </w:rPr>
        <w:t>:</w:t>
      </w: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B76CEF" w:rsidP="00B76CEF">
      <w:pPr>
        <w:spacing w:after="0" w:line="240" w:lineRule="auto"/>
        <w:ind w:left="-142" w:right="-142"/>
        <w:jc w:val="center"/>
        <w:rPr>
          <w:rFonts w:ascii="Bookman Old Style" w:eastAsia="Times New Roman" w:hAnsi="Bookman Old Style" w:cs="Times New Roman"/>
          <w:sz w:val="24"/>
          <w:szCs w:val="24"/>
          <w:lang w:val="es-ES" w:eastAsia="es-ES"/>
        </w:rPr>
      </w:pPr>
      <w:r w:rsidRPr="00B76CEF">
        <w:rPr>
          <w:rFonts w:ascii="Bookman Old Style" w:eastAsia="Times New Roman" w:hAnsi="Bookman Old Style" w:cs="Times New Roman"/>
          <w:noProof/>
          <w:sz w:val="24"/>
          <w:szCs w:val="24"/>
          <w:lang w:eastAsia="es-CO"/>
        </w:rPr>
        <w:drawing>
          <wp:inline distT="0" distB="0" distL="0" distR="0">
            <wp:extent cx="5516880" cy="1737234"/>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739" cy="1739709"/>
                    </a:xfrm>
                    <a:prstGeom prst="rect">
                      <a:avLst/>
                    </a:prstGeom>
                    <a:noFill/>
                    <a:ln>
                      <a:noFill/>
                    </a:ln>
                  </pic:spPr>
                </pic:pic>
              </a:graphicData>
            </a:graphic>
          </wp:inline>
        </w:drawing>
      </w:r>
    </w:p>
    <w:p w:rsidR="00B76CEF" w:rsidRDefault="00B76CEF" w:rsidP="00B76CEF">
      <w:pPr>
        <w:spacing w:after="0" w:line="240" w:lineRule="auto"/>
        <w:ind w:right="-142"/>
        <w:jc w:val="center"/>
        <w:rPr>
          <w:rFonts w:ascii="Bookman Old Style" w:eastAsia="Times New Roman" w:hAnsi="Bookman Old Style" w:cs="Times New Roman"/>
          <w:sz w:val="24"/>
          <w:szCs w:val="24"/>
          <w:lang w:val="es-ES" w:eastAsia="es-ES"/>
        </w:rPr>
      </w:pPr>
      <w:r w:rsidRPr="00B76CEF">
        <w:rPr>
          <w:rFonts w:ascii="Bookman Old Style" w:eastAsia="Times New Roman" w:hAnsi="Bookman Old Style" w:cs="Times New Roman"/>
          <w:noProof/>
          <w:sz w:val="24"/>
          <w:szCs w:val="24"/>
          <w:lang w:eastAsia="es-CO"/>
        </w:rPr>
        <w:drawing>
          <wp:inline distT="0" distB="0" distL="0" distR="0">
            <wp:extent cx="5158740" cy="569976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8740" cy="5699760"/>
                    </a:xfrm>
                    <a:prstGeom prst="rect">
                      <a:avLst/>
                    </a:prstGeom>
                    <a:noFill/>
                    <a:ln>
                      <a:noFill/>
                    </a:ln>
                  </pic:spPr>
                </pic:pic>
              </a:graphicData>
            </a:graphic>
          </wp:inline>
        </w:drawing>
      </w:r>
    </w:p>
    <w:p w:rsidR="00B76CEF" w:rsidRDefault="00B76CEF" w:rsidP="007F3FC2">
      <w:pPr>
        <w:spacing w:after="0" w:line="240" w:lineRule="auto"/>
        <w:ind w:right="-142"/>
        <w:jc w:val="both"/>
        <w:rPr>
          <w:rFonts w:ascii="Bookman Old Style" w:eastAsia="Times New Roman" w:hAnsi="Bookman Old Style" w:cs="Times New Roman"/>
          <w:sz w:val="24"/>
          <w:szCs w:val="24"/>
          <w:lang w:val="es-ES" w:eastAsia="es-ES"/>
        </w:rPr>
      </w:pPr>
    </w:p>
    <w:p w:rsidR="00B76CEF" w:rsidRDefault="00B76CEF" w:rsidP="007F3FC2">
      <w:pPr>
        <w:spacing w:after="0" w:line="240" w:lineRule="auto"/>
        <w:ind w:right="-142"/>
        <w:jc w:val="both"/>
        <w:rPr>
          <w:rFonts w:ascii="Bookman Old Style" w:eastAsia="Times New Roman" w:hAnsi="Bookman Old Style" w:cs="Times New Roman"/>
          <w:sz w:val="24"/>
          <w:szCs w:val="24"/>
          <w:lang w:val="es-ES" w:eastAsia="es-ES"/>
        </w:rPr>
      </w:pPr>
    </w:p>
    <w:p w:rsidR="00B76CEF" w:rsidRDefault="00B76CEF" w:rsidP="00B76CEF">
      <w:pPr>
        <w:spacing w:after="0" w:line="240" w:lineRule="auto"/>
        <w:ind w:right="-142"/>
        <w:jc w:val="center"/>
        <w:rPr>
          <w:rFonts w:ascii="Bookman Old Style" w:eastAsia="Times New Roman" w:hAnsi="Bookman Old Style" w:cs="Times New Roman"/>
          <w:sz w:val="24"/>
          <w:szCs w:val="24"/>
          <w:lang w:val="es-ES" w:eastAsia="es-ES"/>
        </w:rPr>
      </w:pPr>
      <w:r w:rsidRPr="00B76CEF">
        <w:rPr>
          <w:rFonts w:ascii="Bookman Old Style" w:eastAsia="Times New Roman" w:hAnsi="Bookman Old Style" w:cs="Times New Roman"/>
          <w:noProof/>
          <w:sz w:val="24"/>
          <w:szCs w:val="24"/>
          <w:lang w:eastAsia="es-CO"/>
        </w:rPr>
        <w:drawing>
          <wp:inline distT="0" distB="0" distL="0" distR="0">
            <wp:extent cx="5166360" cy="9220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6360" cy="922020"/>
                    </a:xfrm>
                    <a:prstGeom prst="rect">
                      <a:avLst/>
                    </a:prstGeom>
                    <a:noFill/>
                    <a:ln>
                      <a:noFill/>
                    </a:ln>
                  </pic:spPr>
                </pic:pic>
              </a:graphicData>
            </a:graphic>
          </wp:inline>
        </w:drawing>
      </w:r>
    </w:p>
    <w:p w:rsidR="00B76CEF" w:rsidRDefault="00B76CEF" w:rsidP="00B76CEF">
      <w:pPr>
        <w:spacing w:after="0" w:line="240" w:lineRule="auto"/>
        <w:ind w:right="-142"/>
        <w:jc w:val="center"/>
        <w:rPr>
          <w:rFonts w:ascii="Bookman Old Style" w:eastAsia="Times New Roman" w:hAnsi="Bookman Old Style" w:cs="Times New Roman"/>
          <w:sz w:val="24"/>
          <w:szCs w:val="24"/>
          <w:lang w:val="es-ES" w:eastAsia="es-ES"/>
        </w:rPr>
      </w:pPr>
      <w:r w:rsidRPr="00B76CEF">
        <w:rPr>
          <w:rFonts w:ascii="Bookman Old Style" w:eastAsia="Times New Roman" w:hAnsi="Bookman Old Style" w:cs="Times New Roman"/>
          <w:noProof/>
          <w:sz w:val="24"/>
          <w:szCs w:val="24"/>
          <w:lang w:eastAsia="es-CO"/>
        </w:rPr>
        <w:drawing>
          <wp:inline distT="0" distB="0" distL="0" distR="0">
            <wp:extent cx="4518660" cy="4800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8660" cy="480060"/>
                    </a:xfrm>
                    <a:prstGeom prst="rect">
                      <a:avLst/>
                    </a:prstGeom>
                    <a:noFill/>
                    <a:ln>
                      <a:noFill/>
                    </a:ln>
                  </pic:spPr>
                </pic:pic>
              </a:graphicData>
            </a:graphic>
          </wp:inline>
        </w:drawing>
      </w:r>
    </w:p>
    <w:p w:rsidR="00B76CEF" w:rsidRPr="00D85312"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048 de 2019 en relación con la definición de la capacidad de compra para la empresa </w:t>
      </w:r>
      <w:r>
        <w:rPr>
          <w:rFonts w:ascii="Bookman Old Style" w:eastAsia="Times New Roman" w:hAnsi="Bookman Old Style" w:cs="Times New Roman"/>
          <w:sz w:val="24"/>
          <w:szCs w:val="24"/>
          <w:lang w:val="es-ES" w:eastAsia="es-ES"/>
        </w:rPr>
        <w:t>Lidagas</w:t>
      </w:r>
      <w:r w:rsidRPr="00D85312">
        <w:rPr>
          <w:rFonts w:ascii="Bookman Old Style" w:eastAsia="Times New Roman" w:hAnsi="Bookman Old Style" w:cs="Times New Roman"/>
          <w:sz w:val="24"/>
          <w:szCs w:val="24"/>
          <w:lang w:val="es-ES" w:eastAsia="es-ES"/>
        </w:rPr>
        <w:t xml:space="preserve"> S.</w:t>
      </w:r>
      <w:r>
        <w:rPr>
          <w:rFonts w:ascii="Bookman Old Style" w:eastAsia="Times New Roman" w:hAnsi="Bookman Old Style" w:cs="Times New Roman"/>
          <w:sz w:val="24"/>
          <w:szCs w:val="24"/>
          <w:lang w:val="es-ES" w:eastAsia="es-ES"/>
        </w:rPr>
        <w:t>A.</w:t>
      </w:r>
      <w:r w:rsidRPr="00D85312">
        <w:rPr>
          <w:rFonts w:ascii="Bookman Old Style" w:eastAsia="Times New Roman" w:hAnsi="Bookman Old Style" w:cs="Times New Roman"/>
          <w:sz w:val="24"/>
          <w:szCs w:val="24"/>
          <w:lang w:val="es-ES" w:eastAsia="es-ES"/>
        </w:rPr>
        <w:t xml:space="preserve"> E.S.P. </w:t>
      </w:r>
    </w:p>
    <w:p w:rsidR="00B76CEF" w:rsidRPr="00D85312" w:rsidRDefault="00B76CEF" w:rsidP="00B76CEF">
      <w:pPr>
        <w:spacing w:after="0" w:line="240" w:lineRule="auto"/>
        <w:ind w:right="-142"/>
        <w:jc w:val="both"/>
        <w:rPr>
          <w:rFonts w:ascii="Bookman Old Style" w:eastAsia="Times New Roman" w:hAnsi="Bookman Old Style" w:cs="Times New Roman"/>
          <w:sz w:val="24"/>
          <w:szCs w:val="24"/>
          <w:lang w:val="es-ES" w:eastAsia="es-ES"/>
        </w:rPr>
      </w:pPr>
    </w:p>
    <w:p w:rsidR="00B76CEF" w:rsidRPr="00D85312"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F359EE">
        <w:rPr>
          <w:rFonts w:ascii="Bookman Old Style" w:eastAsia="Times New Roman" w:hAnsi="Bookman Old Style" w:cs="Times New Roman"/>
          <w:sz w:val="24"/>
          <w:szCs w:val="24"/>
          <w:lang w:val="es-ES" w:eastAsia="es-ES"/>
        </w:rPr>
        <w:t xml:space="preserve">La Comisión de Regulación de Energía y Gas, en su sesión </w:t>
      </w:r>
      <w:r w:rsidRPr="007B5BC4">
        <w:rPr>
          <w:rFonts w:ascii="Bookman Old Style" w:eastAsia="Times New Roman" w:hAnsi="Bookman Old Style" w:cs="Times New Roman"/>
          <w:sz w:val="24"/>
          <w:szCs w:val="24"/>
          <w:lang w:val="es-ES" w:eastAsia="es-ES"/>
        </w:rPr>
        <w:t>No.</w:t>
      </w:r>
      <w:r w:rsidR="007B5BC4">
        <w:rPr>
          <w:rFonts w:ascii="Bookman Old Style" w:eastAsia="Times New Roman" w:hAnsi="Bookman Old Style" w:cs="Times New Roman"/>
          <w:sz w:val="24"/>
          <w:szCs w:val="24"/>
          <w:lang w:val="es-ES" w:eastAsia="es-ES"/>
        </w:rPr>
        <w:t>927</w:t>
      </w:r>
      <w:r w:rsidRPr="007B5BC4">
        <w:rPr>
          <w:rFonts w:ascii="Bookman Old Style" w:eastAsia="Times New Roman" w:hAnsi="Bookman Old Style" w:cs="Times New Roman"/>
          <w:sz w:val="24"/>
          <w:szCs w:val="24"/>
          <w:lang w:val="es-ES" w:eastAsia="es-ES"/>
        </w:rPr>
        <w:t xml:space="preserve"> del </w:t>
      </w:r>
      <w:r w:rsidR="007B5BC4">
        <w:rPr>
          <w:rFonts w:ascii="Bookman Old Style" w:eastAsia="Times New Roman" w:hAnsi="Bookman Old Style" w:cs="Times New Roman"/>
          <w:sz w:val="24"/>
          <w:szCs w:val="24"/>
          <w:lang w:val="es-ES" w:eastAsia="es-ES"/>
        </w:rPr>
        <w:t>25</w:t>
      </w:r>
      <w:r w:rsidRPr="007B5BC4">
        <w:rPr>
          <w:rFonts w:ascii="Bookman Old Style" w:eastAsia="Times New Roman" w:hAnsi="Bookman Old Style" w:cs="Times New Roman"/>
          <w:sz w:val="24"/>
          <w:szCs w:val="24"/>
          <w:lang w:val="es-ES" w:eastAsia="es-ES"/>
        </w:rPr>
        <w:t xml:space="preserve"> de </w:t>
      </w:r>
      <w:r w:rsidR="007B5BC4">
        <w:rPr>
          <w:rFonts w:ascii="Bookman Old Style" w:eastAsia="Times New Roman" w:hAnsi="Bookman Old Style" w:cs="Times New Roman"/>
          <w:sz w:val="24"/>
          <w:szCs w:val="24"/>
          <w:lang w:val="es-ES" w:eastAsia="es-ES"/>
        </w:rPr>
        <w:t>j</w:t>
      </w:r>
      <w:r w:rsidRPr="007B5BC4">
        <w:rPr>
          <w:rFonts w:ascii="Bookman Old Style" w:eastAsia="Times New Roman" w:hAnsi="Bookman Old Style" w:cs="Times New Roman"/>
          <w:sz w:val="24"/>
          <w:szCs w:val="24"/>
          <w:lang w:val="es-ES" w:eastAsia="es-ES"/>
        </w:rPr>
        <w:t>unio de 2019, acordó expedir la presente resolución.</w:t>
      </w:r>
    </w:p>
    <w:p w:rsidR="00B76CEF" w:rsidRPr="00D85312" w:rsidRDefault="00B76CEF" w:rsidP="00B76CEF">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rsidR="00B76CEF" w:rsidRPr="00F359EE" w:rsidRDefault="00B76CEF" w:rsidP="00B76CEF">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F359EE">
        <w:rPr>
          <w:rFonts w:ascii="Bookman Old Style" w:eastAsia="Times New Roman" w:hAnsi="Bookman Old Style" w:cs="Arial"/>
          <w:b/>
          <w:spacing w:val="80"/>
          <w:sz w:val="24"/>
          <w:szCs w:val="24"/>
          <w:lang w:val="es-ES" w:eastAsia="es-ES"/>
        </w:rPr>
        <w:t>RESUELVE</w:t>
      </w:r>
      <w:r w:rsidRPr="00F359EE">
        <w:rPr>
          <w:rFonts w:ascii="Bookman Old Style" w:eastAsia="Times New Roman" w:hAnsi="Bookman Old Style" w:cs="Arial"/>
          <w:sz w:val="24"/>
          <w:szCs w:val="24"/>
          <w:lang w:val="es-ES" w:eastAsia="es-ES"/>
        </w:rPr>
        <w:t>:</w:t>
      </w:r>
    </w:p>
    <w:p w:rsidR="00B76CEF" w:rsidRPr="00F359EE" w:rsidRDefault="00B76CEF" w:rsidP="00B76CEF">
      <w:pPr>
        <w:spacing w:after="0" w:line="240" w:lineRule="auto"/>
        <w:ind w:right="-142"/>
        <w:jc w:val="both"/>
        <w:rPr>
          <w:rFonts w:ascii="Bookman Old Style" w:eastAsia="Times New Roman" w:hAnsi="Bookman Old Style" w:cs="Times New Roman"/>
          <w:sz w:val="24"/>
          <w:szCs w:val="24"/>
          <w:lang w:val="es-ES" w:eastAsia="es-ES"/>
        </w:rPr>
      </w:pPr>
    </w:p>
    <w:p w:rsidR="00B76CEF" w:rsidRPr="00F359EE"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F359EE">
        <w:rPr>
          <w:rFonts w:ascii="Bookman Old Style" w:eastAsia="Times New Roman" w:hAnsi="Bookman Old Style" w:cs="Times New Roman"/>
          <w:b/>
          <w:sz w:val="24"/>
          <w:szCs w:val="24"/>
          <w:lang w:val="es-ES" w:eastAsia="es-ES"/>
        </w:rPr>
        <w:t>Artículo 1.</w:t>
      </w:r>
      <w:r w:rsidRPr="00F359EE">
        <w:rPr>
          <w:rFonts w:ascii="Bookman Old Style" w:eastAsia="Times New Roman" w:hAnsi="Bookman Old Style" w:cs="Times New Roman"/>
          <w:sz w:val="24"/>
          <w:szCs w:val="24"/>
          <w:lang w:val="es-ES" w:eastAsia="es-ES"/>
        </w:rPr>
        <w:t xml:space="preserve"> Modificar el artículo 1 de la Resolución CREG 048 de 2019 de la siguiente forma:</w:t>
      </w:r>
    </w:p>
    <w:p w:rsidR="00B76CEF" w:rsidRPr="00F359EE" w:rsidRDefault="00B76CEF" w:rsidP="00B76CEF">
      <w:pPr>
        <w:spacing w:after="0" w:line="240" w:lineRule="auto"/>
        <w:ind w:right="-142"/>
        <w:jc w:val="both"/>
        <w:rPr>
          <w:rFonts w:ascii="Bookman Old Style" w:eastAsia="Times New Roman" w:hAnsi="Bookman Old Style" w:cs="Times New Roman"/>
          <w:sz w:val="24"/>
          <w:szCs w:val="24"/>
          <w:lang w:val="es-ES" w:eastAsia="es-ES"/>
        </w:rPr>
      </w:pPr>
    </w:p>
    <w:p w:rsidR="00B76CEF" w:rsidRDefault="004B32A1" w:rsidP="00192C03">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La siguiente corresponde a la Capacidad de Compra para </w:t>
      </w:r>
      <w:r>
        <w:rPr>
          <w:rFonts w:ascii="Bookman Old Style" w:eastAsia="Times New Roman" w:hAnsi="Bookman Old Style" w:cs="Times New Roman"/>
          <w:sz w:val="24"/>
          <w:szCs w:val="24"/>
          <w:lang w:val="es-ES" w:eastAsia="es-ES"/>
        </w:rPr>
        <w:t>Lidagas S.A E.S.P</w:t>
      </w:r>
      <w:r w:rsidR="00B76CEF" w:rsidRPr="00F359EE">
        <w:rPr>
          <w:rFonts w:ascii="Bookman Old Style" w:eastAsia="Times New Roman" w:hAnsi="Bookman Old Style" w:cs="Times New Roman"/>
          <w:sz w:val="24"/>
          <w:szCs w:val="24"/>
          <w:lang w:val="es-ES" w:eastAsia="es-ES"/>
        </w:rPr>
        <w:t>:</w:t>
      </w:r>
    </w:p>
    <w:p w:rsidR="00192C03" w:rsidRDefault="00192C03" w:rsidP="00192C03">
      <w:pPr>
        <w:spacing w:after="0" w:line="240" w:lineRule="auto"/>
        <w:ind w:left="-142" w:right="-142"/>
        <w:jc w:val="both"/>
        <w:rPr>
          <w:rFonts w:ascii="Bookman Old Style" w:eastAsia="Times New Roman" w:hAnsi="Bookman Old Style" w:cs="Times New Roman"/>
          <w:sz w:val="24"/>
          <w:szCs w:val="24"/>
          <w:lang w:val="es-ES" w:eastAsia="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CA75E7" w:rsidRPr="00A33677" w:rsidTr="009C1497">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5E7" w:rsidRPr="00CA75E7" w:rsidRDefault="00CA75E7" w:rsidP="009C1497">
            <w:pPr>
              <w:spacing w:after="0" w:line="240" w:lineRule="auto"/>
              <w:jc w:val="center"/>
              <w:rPr>
                <w:rFonts w:ascii="Bookman Old Style" w:eastAsia="Times New Roman" w:hAnsi="Bookman Old Style" w:cs="Times New Roman"/>
                <w:b/>
                <w:bCs/>
                <w:color w:val="000000"/>
                <w:lang w:eastAsia="es-CO"/>
              </w:rPr>
            </w:pPr>
            <w:r w:rsidRPr="00CA75E7">
              <w:rPr>
                <w:rFonts w:ascii="Bookman Old Style" w:eastAsia="Times New Roman" w:hAnsi="Bookman Old Style" w:cs="Times New Roman"/>
                <w:b/>
                <w:bCs/>
                <w:color w:val="00000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A75E7" w:rsidRPr="00CA75E7" w:rsidRDefault="00CA75E7" w:rsidP="009C1497">
            <w:pPr>
              <w:spacing w:after="0" w:line="240" w:lineRule="auto"/>
              <w:jc w:val="center"/>
              <w:rPr>
                <w:rFonts w:ascii="Bookman Old Style" w:eastAsia="Times New Roman" w:hAnsi="Bookman Old Style" w:cs="Times New Roman"/>
                <w:b/>
                <w:bCs/>
                <w:color w:val="000000"/>
                <w:lang w:eastAsia="es-CO"/>
              </w:rPr>
            </w:pPr>
            <w:r w:rsidRPr="00CA75E7">
              <w:rPr>
                <w:rFonts w:ascii="Bookman Old Style" w:eastAsia="Times New Roman" w:hAnsi="Bookman Old Style" w:cs="Times New Roman"/>
                <w:b/>
                <w:bCs/>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CA75E7" w:rsidRPr="00CA75E7" w:rsidRDefault="00CA75E7" w:rsidP="009C1497">
            <w:pPr>
              <w:spacing w:after="0" w:line="240" w:lineRule="auto"/>
              <w:jc w:val="center"/>
              <w:rPr>
                <w:rFonts w:ascii="Bookman Old Style" w:eastAsia="Times New Roman" w:hAnsi="Bookman Old Style" w:cs="Times New Roman"/>
                <w:b/>
                <w:bCs/>
                <w:color w:val="000000"/>
                <w:lang w:eastAsia="es-CO"/>
              </w:rPr>
            </w:pPr>
            <w:r w:rsidRPr="00CA75E7">
              <w:rPr>
                <w:rFonts w:ascii="Bookman Old Style" w:eastAsia="Times New Roman" w:hAnsi="Bookman Old Style" w:cs="Times New Roman"/>
                <w:b/>
                <w:bCs/>
                <w:color w:val="000000"/>
                <w:lang w:eastAsia="es-CO"/>
              </w:rPr>
              <w:t xml:space="preserve">Capacidad de compra </w:t>
            </w:r>
            <m:oMath>
              <m:r>
                <m:rPr>
                  <m:sty m:val="b"/>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Cs/>
                      <w:color w:val="000000"/>
                      <w:lang w:eastAsia="es-CO"/>
                    </w:rPr>
                  </m:ctrlPr>
                </m:sSubPr>
                <m:e>
                  <m:r>
                    <m:rPr>
                      <m:sty m:val="b"/>
                    </m:rPr>
                    <w:rPr>
                      <w:rFonts w:ascii="Cambria Math" w:eastAsia="Times New Roman" w:hAnsi="Cambria Math" w:cs="Times New Roman"/>
                      <w:color w:val="000000"/>
                      <w:lang w:eastAsia="es-CO"/>
                    </w:rPr>
                    <m:t>C</m:t>
                  </m:r>
                </m:e>
                <m:sub>
                  <m:r>
                    <m:rPr>
                      <m:sty m:val="b"/>
                    </m:rPr>
                    <w:rPr>
                      <w:rFonts w:ascii="Cambria Math" w:eastAsia="Times New Roman" w:hAnsi="Cambria Math" w:cs="Times New Roman"/>
                      <w:color w:val="000000"/>
                      <w:lang w:eastAsia="es-CO"/>
                    </w:rPr>
                    <m:t>i,t</m:t>
                  </m:r>
                </m:sub>
              </m:sSub>
            </m:oMath>
          </w:p>
        </w:tc>
      </w:tr>
      <w:tr w:rsidR="00CA75E7" w:rsidRPr="00A33677" w:rsidTr="009C1497">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5E7" w:rsidRPr="000E6A56" w:rsidRDefault="00CA75E7" w:rsidP="009C1497">
            <w:pPr>
              <w:spacing w:after="0"/>
              <w:jc w:val="center"/>
              <w:rPr>
                <w:rFonts w:ascii="Bookman Old Style" w:hAnsi="Bookman Old Style"/>
              </w:rPr>
            </w:pPr>
            <w:r w:rsidRPr="000E6A56">
              <w:rPr>
                <w:rFonts w:ascii="Bookman Old Style" w:hAnsi="Bookman Old Style"/>
              </w:rPr>
              <w:t>1854</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A75E7" w:rsidRPr="000E6A56" w:rsidRDefault="00CA75E7" w:rsidP="009C1497">
            <w:pPr>
              <w:spacing w:after="0"/>
              <w:rPr>
                <w:rFonts w:ascii="Bookman Old Style" w:hAnsi="Bookman Old Style"/>
              </w:rPr>
            </w:pPr>
            <w:r w:rsidRPr="000E6A56">
              <w:rPr>
                <w:rFonts w:ascii="Bookman Old Style" w:hAnsi="Bookman Old Style"/>
              </w:rPr>
              <w:t>Lidagas S.A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CA75E7" w:rsidRPr="000E6A56" w:rsidRDefault="00CA75E7" w:rsidP="00CA75E7">
            <w:pPr>
              <w:spacing w:after="0"/>
              <w:jc w:val="center"/>
              <w:rPr>
                <w:rFonts w:ascii="Bookman Old Style" w:hAnsi="Bookman Old Style"/>
              </w:rPr>
            </w:pPr>
            <w:r w:rsidRPr="000E6A56">
              <w:rPr>
                <w:rFonts w:ascii="Bookman Old Style" w:hAnsi="Bookman Old Style"/>
              </w:rPr>
              <w:t>4,866,044</w:t>
            </w:r>
          </w:p>
        </w:tc>
      </w:tr>
    </w:tbl>
    <w:p w:rsidR="00CA75E7" w:rsidRPr="00CA75E7" w:rsidRDefault="00CA75E7" w:rsidP="00B76CEF">
      <w:pPr>
        <w:spacing w:after="0" w:line="240" w:lineRule="auto"/>
        <w:ind w:left="-142" w:right="-142"/>
        <w:jc w:val="both"/>
        <w:rPr>
          <w:rFonts w:ascii="Bookman Old Style" w:eastAsia="Times New Roman" w:hAnsi="Bookman Old Style" w:cs="Times New Roman"/>
          <w:b/>
          <w:sz w:val="24"/>
          <w:szCs w:val="24"/>
          <w:lang w:val="es-ES" w:eastAsia="es-ES"/>
        </w:rPr>
      </w:pP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CA75E7">
        <w:rPr>
          <w:rFonts w:ascii="Bookman Old Style" w:eastAsia="Times New Roman" w:hAnsi="Bookman Old Style" w:cs="Times New Roman"/>
          <w:b/>
          <w:sz w:val="24"/>
          <w:szCs w:val="24"/>
          <w:lang w:val="es-ES" w:eastAsia="es-ES"/>
        </w:rPr>
        <w:t>Artículo 2.</w:t>
      </w:r>
      <w:r w:rsidRPr="00CA75E7">
        <w:rPr>
          <w:rFonts w:ascii="Bookman Old Style" w:eastAsia="Times New Roman" w:hAnsi="Bookman Old Style" w:cs="Times New Roman"/>
          <w:sz w:val="24"/>
          <w:szCs w:val="24"/>
          <w:lang w:val="es-ES" w:eastAsia="es-ES"/>
        </w:rPr>
        <w:t xml:space="preserve"> Modificar el Anexo de la Resolución CREG </w:t>
      </w:r>
      <w:r w:rsidR="00F359EE" w:rsidRPr="00CA75E7">
        <w:rPr>
          <w:rFonts w:ascii="Bookman Old Style" w:eastAsia="Times New Roman" w:hAnsi="Bookman Old Style" w:cs="Times New Roman"/>
          <w:sz w:val="24"/>
          <w:szCs w:val="24"/>
          <w:lang w:val="es-ES" w:eastAsia="es-ES"/>
        </w:rPr>
        <w:t>048 de 2019</w:t>
      </w:r>
      <w:r w:rsidRPr="00CA75E7">
        <w:rPr>
          <w:rFonts w:ascii="Bookman Old Style" w:eastAsia="Times New Roman" w:hAnsi="Bookman Old Style" w:cs="Times New Roman"/>
          <w:sz w:val="24"/>
          <w:szCs w:val="24"/>
          <w:lang w:val="es-ES" w:eastAsia="es-ES"/>
        </w:rPr>
        <w:t xml:space="preserve"> de la siguiente forma:</w:t>
      </w: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B76CEF" w:rsidRPr="00CA75E7" w:rsidRDefault="00B76CEF" w:rsidP="00B76CEF">
      <w:pPr>
        <w:spacing w:after="0" w:line="240" w:lineRule="auto"/>
        <w:ind w:left="567" w:right="-93"/>
        <w:jc w:val="center"/>
        <w:rPr>
          <w:rFonts w:ascii="Bookman Old Style" w:eastAsia="MS Mincho" w:hAnsi="Bookman Old Style" w:cs="Arial"/>
          <w:b/>
          <w:sz w:val="24"/>
          <w:szCs w:val="24"/>
          <w:lang w:val="es-ES" w:eastAsia="es-ES"/>
        </w:rPr>
      </w:pPr>
      <w:r w:rsidRPr="00CA75E7">
        <w:rPr>
          <w:rFonts w:ascii="Bookman Old Style" w:eastAsia="MS Mincho" w:hAnsi="Bookman Old Style" w:cs="Arial"/>
          <w:b/>
          <w:sz w:val="24"/>
          <w:szCs w:val="24"/>
          <w:lang w:val="es-ES" w:eastAsia="es-ES"/>
        </w:rPr>
        <w:t>CAPACIDAD DE COMPRA</w:t>
      </w:r>
    </w:p>
    <w:p w:rsidR="00B76CEF"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CA75E7">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CA75E7">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A75E7">
        <w:rPr>
          <w:rFonts w:ascii="Bookman Old Style" w:eastAsia="Times New Roman" w:hAnsi="Bookman Old Style" w:cs="Times New Roman"/>
          <w:sz w:val="24"/>
          <w:szCs w:val="24"/>
          <w:lang w:val="es-ES" w:eastAsia="es-ES"/>
        </w:rPr>
        <w:t xml:space="preserve">, </w:t>
      </w:r>
      <w:r w:rsidR="004B32A1" w:rsidRPr="00C15323">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4B32A1">
        <w:rPr>
          <w:rFonts w:ascii="Bookman Old Style" w:eastAsia="Times New Roman" w:hAnsi="Bookman Old Style" w:cs="Times New Roman"/>
          <w:sz w:val="24"/>
          <w:szCs w:val="24"/>
          <w:lang w:val="es-ES" w:eastAsia="es-ES"/>
        </w:rPr>
        <w:t>Lidagas S.A E.S.P</w:t>
      </w:r>
      <w:r w:rsidR="008033D3">
        <w:rPr>
          <w:rFonts w:ascii="Bookman Old Style" w:eastAsia="Times New Roman" w:hAnsi="Bookman Old Style" w:cs="Times New Roman"/>
          <w:sz w:val="24"/>
          <w:szCs w:val="24"/>
          <w:lang w:val="es-ES" w:eastAsia="es-ES"/>
        </w:rPr>
        <w:t>:</w:t>
      </w:r>
    </w:p>
    <w:p w:rsidR="00B76CEF" w:rsidRPr="00D85312" w:rsidRDefault="00B76CEF" w:rsidP="00CA75E7">
      <w:pPr>
        <w:contextualSpacing/>
        <w:jc w:val="both"/>
        <w:rPr>
          <w:rFonts w:ascii="Bookman Old Style" w:hAnsi="Bookman Old Style"/>
          <w:highlight w:val="yellow"/>
        </w:rPr>
      </w:pPr>
    </w:p>
    <w:tbl>
      <w:tblPr>
        <w:tblStyle w:val="Tablaconcuadrcula5"/>
        <w:tblW w:w="9677" w:type="dxa"/>
        <w:jc w:val="center"/>
        <w:tblLook w:val="04A0" w:firstRow="1" w:lastRow="0" w:firstColumn="1" w:lastColumn="0" w:noHBand="0" w:noVBand="1"/>
      </w:tblPr>
      <w:tblGrid>
        <w:gridCol w:w="1021"/>
        <w:gridCol w:w="810"/>
        <w:gridCol w:w="810"/>
        <w:gridCol w:w="810"/>
        <w:gridCol w:w="810"/>
        <w:gridCol w:w="810"/>
        <w:gridCol w:w="844"/>
        <w:gridCol w:w="810"/>
        <w:gridCol w:w="810"/>
        <w:gridCol w:w="891"/>
        <w:gridCol w:w="1251"/>
      </w:tblGrid>
      <w:tr w:rsidR="00CA75E7" w:rsidRPr="00D85312" w:rsidTr="00CA75E7">
        <w:trPr>
          <w:trHeight w:val="325"/>
          <w:tblHeader/>
          <w:jc w:val="center"/>
        </w:trPr>
        <w:tc>
          <w:tcPr>
            <w:tcW w:w="1021"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 Lb</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15 Lb</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20 Lb</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24 Lb</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30 Lb</w:t>
            </w:r>
          </w:p>
        </w:tc>
        <w:tc>
          <w:tcPr>
            <w:tcW w:w="844"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40 Lb</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80 Lb</w:t>
            </w:r>
          </w:p>
        </w:tc>
        <w:tc>
          <w:tcPr>
            <w:tcW w:w="810"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100 Lb</w:t>
            </w:r>
          </w:p>
        </w:tc>
        <w:tc>
          <w:tcPr>
            <w:tcW w:w="891"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251"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Cap.1</w:t>
            </w:r>
            <w:r w:rsidRPr="002C2E32">
              <w:rPr>
                <w:rFonts w:ascii="Bookman Old Style" w:hAnsi="Bookman Old Style"/>
                <w:b/>
                <w:bCs/>
                <w:i/>
                <w:color w:val="000000"/>
                <w:sz w:val="16"/>
                <w:szCs w:val="16"/>
                <w:vertAlign w:val="subscript"/>
              </w:rPr>
              <w:t>i,t</w:t>
            </w:r>
          </w:p>
        </w:tc>
      </w:tr>
      <w:tr w:rsidR="00CA75E7" w:rsidRPr="00CA75E7" w:rsidTr="00CA75E7">
        <w:tblPrEx>
          <w:jc w:val="left"/>
        </w:tblPrEx>
        <w:trPr>
          <w:trHeight w:val="332"/>
        </w:trPr>
        <w:tc>
          <w:tcPr>
            <w:tcW w:w="1021"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1854</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NR*</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NR*</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3,995</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NR*</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12,603</w:t>
            </w:r>
          </w:p>
        </w:tc>
        <w:tc>
          <w:tcPr>
            <w:tcW w:w="844"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56,164</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NR*</w:t>
            </w:r>
          </w:p>
        </w:tc>
        <w:tc>
          <w:tcPr>
            <w:tcW w:w="810"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1,777</w:t>
            </w:r>
          </w:p>
        </w:tc>
        <w:tc>
          <w:tcPr>
            <w:tcW w:w="891"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74,539</w:t>
            </w:r>
          </w:p>
        </w:tc>
        <w:tc>
          <w:tcPr>
            <w:tcW w:w="1251" w:type="dxa"/>
            <w:noWrap/>
            <w:vAlign w:val="center"/>
          </w:tcPr>
          <w:p w:rsidR="00CA75E7" w:rsidRPr="00CA75E7" w:rsidRDefault="00CA75E7" w:rsidP="00CA75E7">
            <w:pPr>
              <w:jc w:val="center"/>
              <w:rPr>
                <w:rFonts w:ascii="Bookman Old Style" w:hAnsi="Bookman Old Style"/>
                <w:color w:val="000000"/>
                <w:sz w:val="16"/>
                <w:szCs w:val="16"/>
              </w:rPr>
            </w:pPr>
            <w:r w:rsidRPr="00CA75E7">
              <w:rPr>
                <w:rFonts w:ascii="Bookman Old Style" w:hAnsi="Bookman Old Style"/>
                <w:color w:val="000000"/>
                <w:sz w:val="16"/>
                <w:szCs w:val="16"/>
              </w:rPr>
              <w:t>7,954,241</w:t>
            </w:r>
          </w:p>
        </w:tc>
      </w:tr>
    </w:tbl>
    <w:p w:rsidR="00B76CEF" w:rsidRDefault="00B76CEF" w:rsidP="00B76CEF">
      <w:pPr>
        <w:spacing w:after="0" w:line="240" w:lineRule="auto"/>
        <w:ind w:left="-142" w:right="-142"/>
        <w:jc w:val="both"/>
        <w:rPr>
          <w:rFonts w:ascii="Bookman Old Style" w:eastAsia="Times New Roman" w:hAnsi="Bookman Old Style" w:cs="Times New Roman"/>
          <w:sz w:val="16"/>
          <w:szCs w:val="16"/>
          <w:lang w:val="es-ES" w:eastAsia="es-ES"/>
        </w:rPr>
      </w:pPr>
      <w:r w:rsidRPr="00CA75E7">
        <w:rPr>
          <w:rFonts w:ascii="Bookman Old Style" w:hAnsi="Bookman Old Style" w:cs="Arial"/>
          <w:color w:val="000000" w:themeColor="text1"/>
          <w:sz w:val="16"/>
          <w:szCs w:val="16"/>
        </w:rPr>
        <w:t xml:space="preserve">NR*: No presenta registro de información en el SUI, de acuerdo con la </w:t>
      </w:r>
      <w:r w:rsidRPr="00CA75E7">
        <w:rPr>
          <w:rFonts w:ascii="Bookman Old Style" w:eastAsia="Times New Roman" w:hAnsi="Bookman Old Style" w:cs="Times New Roman"/>
          <w:sz w:val="16"/>
          <w:szCs w:val="16"/>
          <w:lang w:val="es-ES" w:eastAsia="es-ES"/>
        </w:rPr>
        <w:t>información registrada al SUI, por AIC proyectos, desde 2008 hasta 2012.</w:t>
      </w:r>
    </w:p>
    <w:p w:rsidR="007B5BC4" w:rsidRPr="00CA75E7" w:rsidRDefault="007B5BC4" w:rsidP="00B76CEF">
      <w:pPr>
        <w:spacing w:after="0" w:line="240" w:lineRule="auto"/>
        <w:ind w:left="-142" w:right="-142"/>
        <w:jc w:val="both"/>
        <w:rPr>
          <w:rFonts w:ascii="Bookman Old Style" w:eastAsia="Times New Roman" w:hAnsi="Bookman Old Style" w:cs="Times New Roman"/>
          <w:sz w:val="16"/>
          <w:szCs w:val="16"/>
          <w:lang w:val="es-ES" w:eastAsia="es-ES"/>
        </w:rPr>
      </w:pP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CA75E7">
        <w:rPr>
          <w:rFonts w:ascii="Bookman Old Style" w:eastAsia="Times New Roman" w:hAnsi="Bookman Old Style" w:cs="Times New Roman"/>
          <w:sz w:val="24"/>
          <w:szCs w:val="24"/>
          <w:lang w:val="es-ES" w:eastAsia="es-ES"/>
        </w:rPr>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A75E7">
        <w:rPr>
          <w:rFonts w:ascii="Bookman Old Style" w:eastAsia="Times New Roman" w:hAnsi="Bookman Old Style" w:cs="Times New Roman"/>
          <w:sz w:val="24"/>
          <w:szCs w:val="24"/>
          <w:lang w:val="es-ES" w:eastAsia="es-ES"/>
        </w:rPr>
        <w:t xml:space="preserve">, </w:t>
      </w:r>
      <w:r w:rsidR="004B32A1" w:rsidRPr="00EA390B">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4B32A1">
        <w:rPr>
          <w:rFonts w:ascii="Bookman Old Style" w:eastAsia="Times New Roman" w:hAnsi="Bookman Old Style" w:cs="Times New Roman"/>
          <w:sz w:val="24"/>
          <w:szCs w:val="24"/>
          <w:lang w:val="es-ES" w:eastAsia="es-ES"/>
        </w:rPr>
        <w:t>Lidagas S.A E.S.P</w:t>
      </w:r>
      <w:r w:rsidR="008033D3">
        <w:rPr>
          <w:rFonts w:ascii="Bookman Old Style" w:eastAsia="Times New Roman" w:hAnsi="Bookman Old Style" w:cs="Times New Roman"/>
          <w:sz w:val="24"/>
          <w:szCs w:val="24"/>
          <w:lang w:val="es-ES" w:eastAsia="es-ES"/>
        </w:rPr>
        <w:t>:</w:t>
      </w:r>
    </w:p>
    <w:p w:rsidR="00B76CEF" w:rsidRPr="00D85312" w:rsidRDefault="00B76CEF" w:rsidP="00B76CEF">
      <w:pPr>
        <w:ind w:left="720"/>
        <w:contextualSpacing/>
        <w:jc w:val="both"/>
        <w:rPr>
          <w:rFonts w:ascii="Bookman Old Style" w:hAnsi="Bookman Old Style"/>
          <w:highlight w:val="yellow"/>
        </w:rPr>
      </w:pPr>
    </w:p>
    <w:tbl>
      <w:tblPr>
        <w:tblStyle w:val="Tablaconcuadrcula5"/>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CA75E7" w:rsidRPr="00D85312" w:rsidTr="00CA75E7">
        <w:trPr>
          <w:tblHeader/>
          <w:jc w:val="center"/>
        </w:trPr>
        <w:tc>
          <w:tcPr>
            <w:tcW w:w="846"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04"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4 kg</w:t>
            </w:r>
          </w:p>
        </w:tc>
        <w:tc>
          <w:tcPr>
            <w:tcW w:w="805"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5 kg</w:t>
            </w:r>
          </w:p>
        </w:tc>
        <w:tc>
          <w:tcPr>
            <w:tcW w:w="805"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7 kg</w:t>
            </w:r>
          </w:p>
        </w:tc>
        <w:tc>
          <w:tcPr>
            <w:tcW w:w="764"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9 kg</w:t>
            </w:r>
          </w:p>
        </w:tc>
        <w:tc>
          <w:tcPr>
            <w:tcW w:w="863"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15 kg</w:t>
            </w:r>
          </w:p>
        </w:tc>
        <w:tc>
          <w:tcPr>
            <w:tcW w:w="911"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18 kg</w:t>
            </w:r>
          </w:p>
        </w:tc>
        <w:tc>
          <w:tcPr>
            <w:tcW w:w="778"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805"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911" w:type="dxa"/>
            <w:vAlign w:val="center"/>
          </w:tcPr>
          <w:p w:rsidR="00CA75E7" w:rsidRPr="00444733" w:rsidRDefault="00CA75E7" w:rsidP="00CA75E7">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059" w:type="dxa"/>
            <w:vAlign w:val="center"/>
          </w:tcPr>
          <w:p w:rsidR="00CA75E7" w:rsidRPr="00444733" w:rsidRDefault="00CA75E7" w:rsidP="00CA75E7">
            <w:pPr>
              <w:jc w:val="center"/>
              <w:rPr>
                <w:rFonts w:ascii="Bookman Old Style" w:hAnsi="Bookman Old Style"/>
                <w:b/>
                <w:bCs/>
                <w:color w:val="000000"/>
                <w:sz w:val="16"/>
                <w:szCs w:val="16"/>
              </w:rPr>
            </w:pPr>
            <w:r>
              <w:rPr>
                <w:rFonts w:ascii="Bookman Old Style" w:hAnsi="Bookman Old Style"/>
                <w:b/>
                <w:bCs/>
                <w:color w:val="000000"/>
                <w:sz w:val="16"/>
                <w:szCs w:val="16"/>
              </w:rPr>
              <w:t>Cap.2</w:t>
            </w:r>
            <w:r w:rsidRPr="002C2E32">
              <w:rPr>
                <w:rFonts w:ascii="Bookman Old Style" w:hAnsi="Bookman Old Style"/>
                <w:b/>
                <w:bCs/>
                <w:i/>
                <w:color w:val="000000"/>
                <w:sz w:val="16"/>
                <w:szCs w:val="16"/>
                <w:vertAlign w:val="subscript"/>
              </w:rPr>
              <w:t>i,t</w:t>
            </w:r>
          </w:p>
        </w:tc>
      </w:tr>
      <w:tr w:rsidR="00CA75E7" w:rsidRPr="00D85312" w:rsidTr="00192C03">
        <w:tblPrEx>
          <w:jc w:val="left"/>
        </w:tblPrEx>
        <w:trPr>
          <w:trHeight w:val="405"/>
        </w:trPr>
        <w:tc>
          <w:tcPr>
            <w:tcW w:w="846"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1854</w:t>
            </w:r>
          </w:p>
        </w:tc>
        <w:tc>
          <w:tcPr>
            <w:tcW w:w="804" w:type="dxa"/>
            <w:noWrap/>
            <w:vAlign w:val="center"/>
          </w:tcPr>
          <w:p w:rsidR="00CA75E7" w:rsidRPr="008F0823" w:rsidRDefault="00CA75E7" w:rsidP="00CA75E7">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2,045</w:t>
            </w:r>
          </w:p>
        </w:tc>
        <w:tc>
          <w:tcPr>
            <w:tcW w:w="805" w:type="dxa"/>
            <w:noWrap/>
            <w:vAlign w:val="center"/>
          </w:tcPr>
          <w:p w:rsidR="00CA75E7" w:rsidRPr="008F0823" w:rsidRDefault="00CA75E7" w:rsidP="00CA75E7">
            <w:pPr>
              <w:jc w:val="center"/>
              <w:rPr>
                <w:rFonts w:ascii="Bookman Old Style" w:hAnsi="Bookman Old Style"/>
                <w:color w:val="000000"/>
                <w:sz w:val="16"/>
                <w:szCs w:val="16"/>
              </w:rPr>
            </w:pPr>
            <w:r>
              <w:rPr>
                <w:rFonts w:ascii="Bookman Old Style" w:hAnsi="Bookman Old Style"/>
                <w:color w:val="000000"/>
                <w:sz w:val="16"/>
                <w:szCs w:val="16"/>
              </w:rPr>
              <w:t>NR*</w:t>
            </w:r>
          </w:p>
        </w:tc>
        <w:tc>
          <w:tcPr>
            <w:tcW w:w="764"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4,750</w:t>
            </w:r>
          </w:p>
        </w:tc>
        <w:tc>
          <w:tcPr>
            <w:tcW w:w="863"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1,761</w:t>
            </w:r>
          </w:p>
        </w:tc>
        <w:tc>
          <w:tcPr>
            <w:tcW w:w="911"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25,814</w:t>
            </w:r>
          </w:p>
        </w:tc>
        <w:tc>
          <w:tcPr>
            <w:tcW w:w="778" w:type="dxa"/>
            <w:noWrap/>
            <w:vAlign w:val="center"/>
          </w:tcPr>
          <w:p w:rsidR="00CA75E7" w:rsidRPr="008F0823" w:rsidRDefault="00CA75E7" w:rsidP="00CA75E7">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400</w:t>
            </w:r>
          </w:p>
        </w:tc>
        <w:tc>
          <w:tcPr>
            <w:tcW w:w="911"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34,770</w:t>
            </w:r>
          </w:p>
        </w:tc>
        <w:tc>
          <w:tcPr>
            <w:tcW w:w="1059" w:type="dxa"/>
            <w:noWrap/>
            <w:vAlign w:val="center"/>
          </w:tcPr>
          <w:p w:rsidR="00CA75E7" w:rsidRPr="008F0823" w:rsidRDefault="00CA75E7" w:rsidP="00CA75E7">
            <w:pPr>
              <w:jc w:val="center"/>
              <w:rPr>
                <w:rFonts w:ascii="Bookman Old Style" w:hAnsi="Bookman Old Style"/>
                <w:color w:val="000000"/>
                <w:sz w:val="16"/>
                <w:szCs w:val="16"/>
              </w:rPr>
            </w:pPr>
            <w:r w:rsidRPr="008F0823">
              <w:rPr>
                <w:rFonts w:ascii="Bookman Old Style" w:hAnsi="Bookman Old Style"/>
                <w:color w:val="000000"/>
                <w:sz w:val="16"/>
                <w:szCs w:val="16"/>
              </w:rPr>
              <w:t>3,372,252</w:t>
            </w:r>
          </w:p>
        </w:tc>
      </w:tr>
    </w:tbl>
    <w:p w:rsidR="00B76CEF" w:rsidRPr="00CA75E7" w:rsidRDefault="00B76CEF" w:rsidP="00B76CEF">
      <w:pPr>
        <w:spacing w:after="0" w:line="240" w:lineRule="auto"/>
        <w:ind w:left="-142" w:right="-142"/>
        <w:jc w:val="both"/>
        <w:rPr>
          <w:rFonts w:ascii="Bookman Old Style" w:hAnsi="Bookman Old Style" w:cs="Arial"/>
          <w:color w:val="000000" w:themeColor="text1"/>
          <w:sz w:val="16"/>
          <w:szCs w:val="16"/>
        </w:rPr>
      </w:pPr>
      <w:r w:rsidRPr="00CA75E7">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4B32A1" w:rsidRDefault="00B76CEF" w:rsidP="000E6A56">
      <w:pPr>
        <w:spacing w:after="0" w:line="240" w:lineRule="auto"/>
        <w:ind w:right="-142"/>
        <w:jc w:val="both"/>
        <w:rPr>
          <w:rFonts w:ascii="Bookman Old Style" w:eastAsia="Times New Roman" w:hAnsi="Bookman Old Style" w:cs="Times New Roman"/>
          <w:sz w:val="24"/>
          <w:szCs w:val="24"/>
          <w:lang w:val="es-ES" w:eastAsia="es-ES"/>
        </w:rPr>
      </w:pPr>
      <w:r w:rsidRPr="00CA75E7">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A75E7">
        <w:rPr>
          <w:rFonts w:ascii="Bookman Old Style" w:eastAsia="Times New Roman" w:hAnsi="Bookman Old Style" w:cs="Times New Roman"/>
          <w:sz w:val="24"/>
          <w:szCs w:val="24"/>
          <w:lang w:val="es-ES" w:eastAsia="es-ES"/>
        </w:rPr>
        <w:t xml:space="preserve">, </w:t>
      </w:r>
      <w:r w:rsidR="004B32A1" w:rsidRPr="00C27D6D">
        <w:rPr>
          <w:rFonts w:ascii="Bookman Old Style" w:eastAsia="Times New Roman" w:hAnsi="Bookman Old Style" w:cs="Times New Roman"/>
          <w:sz w:val="24"/>
          <w:szCs w:val="24"/>
          <w:lang w:val="es-ES" w:eastAsia="es-ES"/>
        </w:rPr>
        <w:t xml:space="preserve">a continuación se muestra el </w:t>
      </w:r>
      <w:r w:rsidR="004B32A1">
        <w:rPr>
          <w:rFonts w:ascii="Bookman Old Style" w:eastAsia="Times New Roman" w:hAnsi="Bookman Old Style" w:cs="Times New Roman"/>
          <w:sz w:val="24"/>
          <w:szCs w:val="24"/>
          <w:lang w:val="es-ES" w:eastAsia="es-ES"/>
        </w:rPr>
        <w:t>valor</w:t>
      </w:r>
      <w:r w:rsidR="004B32A1" w:rsidRPr="00C27D6D">
        <w:rPr>
          <w:rFonts w:ascii="Bookman Old Style" w:eastAsia="Times New Roman" w:hAnsi="Bookman Old Style" w:cs="Times New Roman"/>
          <w:sz w:val="24"/>
          <w:szCs w:val="24"/>
          <w:lang w:val="es-ES" w:eastAsia="es-ES"/>
        </w:rPr>
        <w:t xml:space="preserve"> para </w:t>
      </w:r>
      <w:r w:rsidR="004B32A1">
        <w:rPr>
          <w:rFonts w:ascii="Bookman Old Style" w:eastAsia="Times New Roman" w:hAnsi="Bookman Old Style" w:cs="Times New Roman"/>
          <w:sz w:val="24"/>
          <w:szCs w:val="24"/>
          <w:lang w:val="es-ES" w:eastAsia="es-ES"/>
        </w:rPr>
        <w:t>Lidagas S.A E.S.P</w:t>
      </w:r>
      <w:r w:rsidR="008033D3">
        <w:rPr>
          <w:rFonts w:ascii="Bookman Old Style" w:eastAsia="Times New Roman" w:hAnsi="Bookman Old Style" w:cs="Times New Roman"/>
          <w:sz w:val="24"/>
          <w:szCs w:val="24"/>
          <w:lang w:val="es-ES" w:eastAsia="es-ES"/>
        </w:rPr>
        <w:t>:</w:t>
      </w:r>
    </w:p>
    <w:p w:rsidR="00CA75E7" w:rsidRPr="00CA75E7" w:rsidRDefault="00CA75E7">
      <w:pPr>
        <w:spacing w:after="0" w:line="240" w:lineRule="auto"/>
        <w:ind w:left="-142" w:right="-142"/>
        <w:jc w:val="both"/>
        <w:rPr>
          <w:rFonts w:ascii="Bookman Old Style" w:eastAsia="Times New Roman" w:hAnsi="Bookman Old Style" w:cs="Times New Roman"/>
          <w:sz w:val="24"/>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CA75E7" w:rsidRPr="00D85312" w:rsidTr="00192C03">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5E7" w:rsidRPr="00131DB0" w:rsidRDefault="00CA75E7" w:rsidP="00CA75E7">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eastAsia="Times New Roman" w:hAnsi="Bookman Old Style" w:cs="Times New Roman"/>
                <w:b/>
                <w:bCs/>
                <w:color w:val="000000"/>
                <w:sz w:val="20"/>
                <w:szCs w:val="20"/>
                <w:lang w:eastAsia="es-CO"/>
              </w:rPr>
              <w:t>Código</w:t>
            </w:r>
            <w:r w:rsidR="004B32A1">
              <w:rPr>
                <w:rFonts w:ascii="Bookman Old Style" w:eastAsia="Times New Roman" w:hAnsi="Bookman Old Style" w:cs="Times New Roman"/>
                <w:b/>
                <w:bCs/>
                <w:color w:val="000000"/>
                <w:sz w:val="20"/>
                <w:szCs w:val="20"/>
                <w:lang w:eastAsia="es-CO"/>
              </w:rPr>
              <w:t xml:space="preserve"> </w:t>
            </w:r>
            <w:r w:rsidRPr="00131DB0">
              <w:rPr>
                <w:rFonts w:ascii="Bookman Old Style" w:eastAsia="Times New Roman" w:hAnsi="Bookman Old Style" w:cs="Times New Roman"/>
                <w:b/>
                <w:bCs/>
                <w:color w:val="000000"/>
                <w:sz w:val="20"/>
                <w:szCs w:val="20"/>
                <w:lang w:eastAsia="es-CO"/>
              </w:rPr>
              <w:t>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A75E7" w:rsidRPr="00131DB0" w:rsidRDefault="00CA75E7" w:rsidP="00CA75E7">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Cap.1</w:t>
            </w:r>
            <w:r w:rsidRPr="00131DB0">
              <w:rPr>
                <w:rFonts w:ascii="Bookman Old Style" w:hAnsi="Bookman Old Style"/>
                <w:b/>
                <w:bCs/>
                <w:i/>
                <w:color w:val="000000"/>
                <w:sz w:val="20"/>
                <w:szCs w:val="20"/>
                <w:vertAlign w:val="subscript"/>
              </w:rPr>
              <w:t>i,t</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A75E7" w:rsidRPr="00131DB0" w:rsidRDefault="00CA75E7" w:rsidP="00CA75E7">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Cap.2</w:t>
            </w:r>
            <w:r w:rsidRPr="00131DB0">
              <w:rPr>
                <w:rFonts w:ascii="Bookman Old Style" w:hAnsi="Bookman Old Style"/>
                <w:b/>
                <w:bCs/>
                <w:i/>
                <w:color w:val="000000"/>
                <w:sz w:val="20"/>
                <w:szCs w:val="20"/>
                <w:vertAlign w:val="subscript"/>
              </w:rPr>
              <w:t>i,t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A75E7" w:rsidRPr="00131DB0" w:rsidRDefault="00CA75E7" w:rsidP="00CA75E7">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
        </w:tc>
      </w:tr>
      <w:tr w:rsidR="00CA75E7" w:rsidRPr="00D85312" w:rsidTr="00192C03">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CA75E7" w:rsidRPr="00C3243A" w:rsidRDefault="00CA75E7" w:rsidP="00CA75E7">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1854</w:t>
            </w:r>
          </w:p>
        </w:tc>
        <w:tc>
          <w:tcPr>
            <w:tcW w:w="1716" w:type="dxa"/>
            <w:tcBorders>
              <w:top w:val="nil"/>
              <w:left w:val="nil"/>
              <w:bottom w:val="single" w:sz="4" w:space="0" w:color="auto"/>
              <w:right w:val="single" w:sz="4" w:space="0" w:color="auto"/>
            </w:tcBorders>
            <w:shd w:val="clear" w:color="auto" w:fill="auto"/>
            <w:noWrap/>
            <w:vAlign w:val="center"/>
          </w:tcPr>
          <w:p w:rsidR="00CA75E7" w:rsidRPr="00C3243A" w:rsidRDefault="00CA75E7" w:rsidP="00CA75E7">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7,954,241</w:t>
            </w:r>
          </w:p>
        </w:tc>
        <w:tc>
          <w:tcPr>
            <w:tcW w:w="1716" w:type="dxa"/>
            <w:tcBorders>
              <w:top w:val="nil"/>
              <w:left w:val="nil"/>
              <w:bottom w:val="single" w:sz="4" w:space="0" w:color="auto"/>
              <w:right w:val="single" w:sz="4" w:space="0" w:color="auto"/>
            </w:tcBorders>
            <w:shd w:val="clear" w:color="auto" w:fill="auto"/>
            <w:noWrap/>
            <w:vAlign w:val="center"/>
          </w:tcPr>
          <w:p w:rsidR="00CA75E7" w:rsidRPr="00C3243A" w:rsidRDefault="00CA75E7" w:rsidP="00CA75E7">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3,372,252</w:t>
            </w:r>
          </w:p>
        </w:tc>
        <w:tc>
          <w:tcPr>
            <w:tcW w:w="1720" w:type="dxa"/>
            <w:tcBorders>
              <w:top w:val="nil"/>
              <w:left w:val="nil"/>
              <w:bottom w:val="single" w:sz="4" w:space="0" w:color="auto"/>
              <w:right w:val="single" w:sz="4" w:space="0" w:color="auto"/>
            </w:tcBorders>
            <w:shd w:val="clear" w:color="auto" w:fill="auto"/>
            <w:noWrap/>
            <w:vAlign w:val="center"/>
          </w:tcPr>
          <w:p w:rsidR="00CA75E7" w:rsidRPr="00C3243A" w:rsidRDefault="00CA75E7" w:rsidP="00CA75E7">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11,326,493</w:t>
            </w:r>
          </w:p>
        </w:tc>
      </w:tr>
    </w:tbl>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B76CEF" w:rsidRPr="00CA75E7"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CA75E7">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A75E7">
        <w:rPr>
          <w:rFonts w:ascii="Bookman Old Style" w:eastAsia="Times New Roman" w:hAnsi="Bookman Old Style" w:cs="Times New Roman"/>
          <w:sz w:val="24"/>
          <w:szCs w:val="24"/>
          <w:lang w:val="es-ES" w:eastAsia="es-ES"/>
        </w:rPr>
        <w:t xml:space="preserve">, </w:t>
      </w:r>
      <w:r w:rsidR="004B32A1">
        <w:rPr>
          <w:rFonts w:ascii="Bookman Old Style" w:eastAsia="Times New Roman" w:hAnsi="Bookman Old Style" w:cs="Times New Roman"/>
          <w:sz w:val="24"/>
          <w:szCs w:val="24"/>
          <w:lang w:val="es-ES" w:eastAsia="es-ES"/>
        </w:rPr>
        <w:t>donde los resultados obtenidos para Lidagas S.A E.S.P</w:t>
      </w:r>
      <w:r w:rsidR="004B32A1" w:rsidRPr="00EA390B">
        <w:rPr>
          <w:rFonts w:ascii="Bookman Old Style" w:eastAsia="Times New Roman" w:hAnsi="Bookman Old Style" w:cs="Times New Roman"/>
          <w:sz w:val="24"/>
          <w:szCs w:val="24"/>
          <w:lang w:val="es-ES" w:eastAsia="es-ES"/>
        </w:rPr>
        <w:t>.</w:t>
      </w:r>
      <w:r w:rsidR="004B32A1">
        <w:rPr>
          <w:rFonts w:ascii="Bookman Old Style" w:eastAsia="Times New Roman" w:hAnsi="Bookman Old Style" w:cs="Times New Roman"/>
          <w:sz w:val="24"/>
          <w:szCs w:val="24"/>
          <w:lang w:val="es-ES" w:eastAsia="es-ES"/>
        </w:rPr>
        <w:t xml:space="preserve"> son los siguientes</w:t>
      </w:r>
      <w:r w:rsidR="008033D3">
        <w:rPr>
          <w:rFonts w:ascii="Bookman Old Style" w:eastAsia="Times New Roman" w:hAnsi="Bookman Old Style" w:cs="Times New Roman"/>
          <w:sz w:val="24"/>
          <w:szCs w:val="24"/>
          <w:lang w:val="es-ES" w:eastAsia="es-ES"/>
        </w:rPr>
        <w:t>:</w:t>
      </w:r>
    </w:p>
    <w:p w:rsidR="00B76CEF" w:rsidRPr="00CA75E7" w:rsidRDefault="00B76CEF" w:rsidP="00B76CEF">
      <w:pPr>
        <w:ind w:left="357"/>
        <w:contextualSpacing/>
        <w:jc w:val="both"/>
        <w:rPr>
          <w:rFonts w:ascii="Bookman Old Style" w:hAnsi="Bookman Old Style"/>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B76CEF" w:rsidRPr="008D2AA3" w:rsidTr="00CA75E7">
        <w:trPr>
          <w:trHeight w:val="891"/>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CEF" w:rsidRPr="008D2AA3" w:rsidRDefault="00B76CEF" w:rsidP="000E6A56">
            <w:pPr>
              <w:spacing w:after="0"/>
              <w:ind w:left="67"/>
              <w:jc w:val="center"/>
              <w:rPr>
                <w:rFonts w:ascii="Bookman Old Style" w:hAnsi="Bookman Old Style"/>
                <w:b/>
                <w:bCs/>
                <w:color w:val="000000"/>
                <w:sz w:val="20"/>
                <w:szCs w:val="20"/>
                <w:lang w:eastAsia="es-CO"/>
              </w:rPr>
            </w:pPr>
            <w:r w:rsidRPr="008D2AA3">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B76CEF" w:rsidRPr="008D2AA3" w:rsidRDefault="00B76CEF" w:rsidP="000E6A56">
            <w:pPr>
              <w:spacing w:after="0"/>
              <w:ind w:left="67"/>
              <w:jc w:val="center"/>
              <w:rPr>
                <w:rFonts w:ascii="Bookman Old Style" w:hAnsi="Bookman Old Style"/>
                <w:b/>
                <w:bCs/>
                <w:color w:val="000000"/>
                <w:sz w:val="20"/>
                <w:szCs w:val="20"/>
                <w:lang w:eastAsia="es-CO"/>
              </w:rPr>
            </w:pPr>
            <w:r w:rsidRPr="008D2AA3">
              <w:rPr>
                <w:rFonts w:ascii="Bookman Old Style" w:hAnsi="Bookman Old Style"/>
                <w:b/>
                <w:bCs/>
                <w:color w:val="000000" w:themeColor="text1"/>
                <w:sz w:val="20"/>
                <w:szCs w:val="20"/>
                <w:lang w:eastAsia="es-CO"/>
              </w:rPr>
              <w:t>Capacidad total (gl)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8D2AA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B76CEF" w:rsidRPr="008D2AA3" w:rsidRDefault="00B76CEF" w:rsidP="000E6A56">
            <w:pPr>
              <w:spacing w:after="0"/>
              <w:ind w:left="67"/>
              <w:jc w:val="center"/>
              <w:rPr>
                <w:rFonts w:ascii="Bookman Old Style" w:hAnsi="Bookman Old Style"/>
                <w:b/>
                <w:bCs/>
                <w:color w:val="000000"/>
                <w:sz w:val="20"/>
                <w:szCs w:val="20"/>
                <w:lang w:eastAsia="es-CO"/>
              </w:rPr>
            </w:pPr>
            <w:r w:rsidRPr="008D2AA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8D2AA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B76CEF" w:rsidRPr="008D2AA3" w:rsidRDefault="00CA75E7" w:rsidP="000E6A56">
            <w:pPr>
              <w:spacing w:after="0"/>
              <w:ind w:left="38"/>
              <w:jc w:val="center"/>
              <w:rPr>
                <w:rFonts w:ascii="Bookman Old Style" w:hAnsi="Bookman Old Style"/>
                <w:b/>
                <w:bCs/>
                <w:color w:val="000000"/>
                <w:sz w:val="20"/>
                <w:szCs w:val="20"/>
                <w:lang w:eastAsia="es-CO"/>
              </w:rPr>
            </w:pPr>
            <w:r w:rsidRPr="008D2AA3">
              <w:rPr>
                <w:rFonts w:ascii="Bookman Old Style" w:hAnsi="Bookman Old Style"/>
                <w:b/>
                <w:bCs/>
                <w:color w:val="000000"/>
                <w:sz w:val="20"/>
                <w:szCs w:val="20"/>
              </w:rPr>
              <w:t>Cap.TE</w:t>
            </w:r>
            <w:r w:rsidRPr="008D2AA3">
              <w:rPr>
                <w:rFonts w:ascii="Bookman Old Style" w:hAnsi="Bookman Old Style"/>
                <w:b/>
                <w:bCs/>
                <w:i/>
                <w:color w:val="000000"/>
                <w:sz w:val="20"/>
                <w:szCs w:val="20"/>
                <w:vertAlign w:val="subscript"/>
              </w:rPr>
              <w:t>i,t</w:t>
            </w:r>
          </w:p>
        </w:tc>
      </w:tr>
      <w:tr w:rsidR="00B76CEF" w:rsidRPr="00D85312" w:rsidTr="00192C03">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B76CEF" w:rsidRPr="008D2AA3" w:rsidRDefault="00CA75E7" w:rsidP="008D2AA3">
            <w:pPr>
              <w:spacing w:after="0"/>
              <w:jc w:val="center"/>
              <w:rPr>
                <w:rFonts w:ascii="Bookman Old Style" w:hAnsi="Bookman Old Style"/>
                <w:color w:val="000000"/>
                <w:lang w:eastAsia="es-CO"/>
              </w:rPr>
            </w:pPr>
            <w:r w:rsidRPr="008D2AA3">
              <w:rPr>
                <w:rFonts w:ascii="Bookman Old Style" w:eastAsia="Times New Roman" w:hAnsi="Bookman Old Style" w:cs="Times New Roman"/>
                <w:color w:val="000000"/>
                <w:sz w:val="20"/>
                <w:szCs w:val="20"/>
                <w:lang w:eastAsia="es-CO"/>
              </w:rPr>
              <w:t>1854</w:t>
            </w:r>
          </w:p>
        </w:tc>
        <w:tc>
          <w:tcPr>
            <w:tcW w:w="1776" w:type="dxa"/>
            <w:tcBorders>
              <w:top w:val="nil"/>
              <w:left w:val="nil"/>
              <w:bottom w:val="single" w:sz="4" w:space="0" w:color="auto"/>
              <w:right w:val="single" w:sz="4" w:space="0" w:color="auto"/>
            </w:tcBorders>
            <w:shd w:val="clear" w:color="auto" w:fill="auto"/>
            <w:noWrap/>
            <w:vAlign w:val="center"/>
          </w:tcPr>
          <w:p w:rsidR="00B76CEF" w:rsidRPr="008D2AA3" w:rsidRDefault="008D2AA3" w:rsidP="008D2AA3">
            <w:pPr>
              <w:spacing w:after="0"/>
              <w:jc w:val="center"/>
              <w:rPr>
                <w:rFonts w:ascii="Bookman Old Style" w:eastAsia="Times New Roman" w:hAnsi="Bookman Old Style" w:cs="Times New Roman"/>
                <w:color w:val="000000"/>
                <w:sz w:val="20"/>
                <w:szCs w:val="20"/>
                <w:lang w:eastAsia="es-CO"/>
              </w:rPr>
            </w:pPr>
            <w:r w:rsidRPr="008D2AA3">
              <w:rPr>
                <w:rFonts w:ascii="Bookman Old Style" w:eastAsia="Times New Roman" w:hAnsi="Bookman Old Style" w:cs="Times New Roman"/>
                <w:color w:val="000000"/>
                <w:sz w:val="20"/>
                <w:szCs w:val="20"/>
                <w:lang w:eastAsia="es-CO"/>
              </w:rPr>
              <w:t>259,382</w:t>
            </w:r>
          </w:p>
        </w:tc>
        <w:tc>
          <w:tcPr>
            <w:tcW w:w="2092" w:type="dxa"/>
            <w:tcBorders>
              <w:top w:val="nil"/>
              <w:left w:val="nil"/>
              <w:bottom w:val="single" w:sz="4" w:space="0" w:color="auto"/>
              <w:right w:val="single" w:sz="4" w:space="0" w:color="auto"/>
            </w:tcBorders>
            <w:shd w:val="clear" w:color="auto" w:fill="auto"/>
            <w:noWrap/>
            <w:vAlign w:val="center"/>
          </w:tcPr>
          <w:p w:rsidR="00B76CEF" w:rsidRPr="008D2AA3" w:rsidRDefault="008D2AA3" w:rsidP="008D2AA3">
            <w:pPr>
              <w:spacing w:after="0"/>
              <w:jc w:val="center"/>
              <w:rPr>
                <w:rFonts w:ascii="Bookman Old Style" w:eastAsia="Times New Roman" w:hAnsi="Bookman Old Style" w:cs="Times New Roman"/>
                <w:color w:val="000000"/>
                <w:sz w:val="20"/>
                <w:szCs w:val="20"/>
                <w:lang w:eastAsia="es-CO"/>
              </w:rPr>
            </w:pPr>
            <w:r w:rsidRPr="008D2AA3">
              <w:rPr>
                <w:rFonts w:ascii="Bookman Old Style" w:eastAsia="Times New Roman" w:hAnsi="Bookman Old Style" w:cs="Times New Roman"/>
                <w:color w:val="000000"/>
                <w:sz w:val="20"/>
                <w:szCs w:val="20"/>
                <w:lang w:eastAsia="es-CO"/>
              </w:rPr>
              <w:t>170</w:t>
            </w:r>
          </w:p>
        </w:tc>
        <w:tc>
          <w:tcPr>
            <w:tcW w:w="1800" w:type="dxa"/>
            <w:tcBorders>
              <w:top w:val="nil"/>
              <w:left w:val="nil"/>
              <w:bottom w:val="single" w:sz="4" w:space="0" w:color="auto"/>
              <w:right w:val="single" w:sz="4" w:space="0" w:color="auto"/>
            </w:tcBorders>
            <w:shd w:val="clear" w:color="auto" w:fill="auto"/>
            <w:noWrap/>
            <w:vAlign w:val="center"/>
          </w:tcPr>
          <w:p w:rsidR="00B76CEF" w:rsidRPr="008D2AA3" w:rsidRDefault="008D2AA3" w:rsidP="008D2AA3">
            <w:pPr>
              <w:spacing w:after="0"/>
              <w:jc w:val="center"/>
              <w:rPr>
                <w:rFonts w:ascii="Bookman Old Style" w:eastAsia="Times New Roman" w:hAnsi="Bookman Old Style" w:cs="Times New Roman"/>
                <w:color w:val="000000"/>
                <w:sz w:val="20"/>
                <w:szCs w:val="20"/>
                <w:lang w:eastAsia="es-CO"/>
              </w:rPr>
            </w:pPr>
            <w:r w:rsidRPr="008D2AA3">
              <w:rPr>
                <w:rFonts w:ascii="Bookman Old Style" w:eastAsia="Times New Roman" w:hAnsi="Bookman Old Style" w:cs="Times New Roman"/>
                <w:color w:val="000000"/>
                <w:sz w:val="20"/>
                <w:szCs w:val="20"/>
                <w:lang w:eastAsia="es-CO"/>
              </w:rPr>
              <w:t>3,268,213</w:t>
            </w:r>
          </w:p>
        </w:tc>
      </w:tr>
    </w:tbl>
    <w:p w:rsidR="00B76CEF" w:rsidRPr="008D2AA3"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B76CEF" w:rsidRPr="008D2AA3"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8D2AA3">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8D2AA3">
        <w:rPr>
          <w:rFonts w:ascii="Bookman Old Style" w:eastAsia="Times New Roman" w:hAnsi="Bookman Old Style" w:cs="Times New Roman"/>
          <w:sz w:val="24"/>
          <w:szCs w:val="24"/>
          <w:lang w:val="es-ES" w:eastAsia="es-ES"/>
        </w:rPr>
        <w:t xml:space="preserve">, </w:t>
      </w:r>
      <w:r w:rsidR="004B32A1">
        <w:rPr>
          <w:rFonts w:ascii="Bookman Old Style" w:eastAsia="Times New Roman" w:hAnsi="Bookman Old Style" w:cs="Times New Roman"/>
          <w:sz w:val="24"/>
          <w:szCs w:val="24"/>
          <w:lang w:val="es-ES" w:eastAsia="es-ES"/>
        </w:rPr>
        <w:t>donde la capacidad de compra para Lidagas S.A E.S.P</w:t>
      </w:r>
      <w:r w:rsidR="004B32A1" w:rsidRPr="00EA390B">
        <w:rPr>
          <w:rFonts w:ascii="Bookman Old Style" w:eastAsia="Times New Roman" w:hAnsi="Bookman Old Style" w:cs="Times New Roman"/>
          <w:sz w:val="24"/>
          <w:szCs w:val="24"/>
          <w:lang w:val="es-ES" w:eastAsia="es-ES"/>
        </w:rPr>
        <w:t>.</w:t>
      </w:r>
      <w:r w:rsidR="004B32A1">
        <w:rPr>
          <w:rFonts w:ascii="Bookman Old Style" w:eastAsia="Times New Roman" w:hAnsi="Bookman Old Style" w:cs="Times New Roman"/>
          <w:sz w:val="24"/>
          <w:szCs w:val="24"/>
          <w:lang w:val="es-ES" w:eastAsia="es-ES"/>
        </w:rPr>
        <w:t xml:space="preserve"> corresponde a</w:t>
      </w:r>
      <w:r w:rsidR="008033D3">
        <w:rPr>
          <w:rFonts w:ascii="Bookman Old Style" w:eastAsia="Times New Roman" w:hAnsi="Bookman Old Style" w:cs="Times New Roman"/>
          <w:sz w:val="24"/>
          <w:szCs w:val="24"/>
          <w:lang w:val="es-ES" w:eastAsia="es-ES"/>
        </w:rPr>
        <w:t>:</w:t>
      </w:r>
    </w:p>
    <w:p w:rsidR="00B76CEF" w:rsidRPr="00D85312" w:rsidRDefault="00B76CEF" w:rsidP="00B76CEF">
      <w:pPr>
        <w:ind w:left="357"/>
        <w:contextualSpacing/>
        <w:jc w:val="both"/>
        <w:rPr>
          <w:rFonts w:ascii="Bookman Old Style" w:hAnsi="Bookman Old Style"/>
          <w:highlight w:val="yellow"/>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FC597A" w:rsidRPr="00D85312" w:rsidTr="00FC597A">
        <w:trPr>
          <w:trHeight w:val="435"/>
          <w:tblHeader/>
          <w:jc w:val="center"/>
        </w:trPr>
        <w:tc>
          <w:tcPr>
            <w:tcW w:w="1420" w:type="dxa"/>
            <w:shd w:val="clear" w:color="auto" w:fill="auto"/>
            <w:noWrap/>
            <w:vAlign w:val="center"/>
            <w:hideMark/>
          </w:tcPr>
          <w:p w:rsidR="00FC597A" w:rsidRPr="000F619F" w:rsidRDefault="00FC597A" w:rsidP="00FC597A">
            <w:pPr>
              <w:spacing w:after="0" w:line="240" w:lineRule="auto"/>
              <w:jc w:val="center"/>
              <w:rPr>
                <w:rFonts w:ascii="Bookman Old Style" w:eastAsia="Times New Roman" w:hAnsi="Bookman Old Style" w:cs="Times New Roman"/>
                <w:b/>
                <w:bCs/>
                <w:color w:val="000000"/>
                <w:sz w:val="20"/>
                <w:szCs w:val="20"/>
                <w:lang w:eastAsia="es-CO"/>
              </w:rPr>
            </w:pPr>
            <w:r w:rsidRPr="000F619F">
              <w:rPr>
                <w:rFonts w:ascii="Bookman Old Style" w:eastAsia="Times New Roman" w:hAnsi="Bookman Old Style" w:cs="Times New Roman"/>
                <w:b/>
                <w:bCs/>
                <w:color w:val="000000"/>
                <w:sz w:val="20"/>
                <w:szCs w:val="20"/>
                <w:lang w:eastAsia="es-CO"/>
              </w:rPr>
              <w:t>Código</w:t>
            </w:r>
            <w:r>
              <w:rPr>
                <w:rFonts w:ascii="Bookman Old Style" w:eastAsia="Times New Roman" w:hAnsi="Bookman Old Style" w:cs="Times New Roman"/>
                <w:b/>
                <w:bCs/>
                <w:color w:val="000000"/>
                <w:sz w:val="20"/>
                <w:szCs w:val="20"/>
                <w:lang w:eastAsia="es-CO"/>
              </w:rPr>
              <w:t xml:space="preserve"> </w:t>
            </w:r>
            <w:r w:rsidRPr="000F619F">
              <w:rPr>
                <w:rFonts w:ascii="Bookman Old Style" w:eastAsia="Times New Roman" w:hAnsi="Bookman Old Style" w:cs="Times New Roman"/>
                <w:b/>
                <w:bCs/>
                <w:color w:val="000000"/>
                <w:sz w:val="20"/>
                <w:szCs w:val="20"/>
                <w:lang w:eastAsia="es-CO"/>
              </w:rPr>
              <w:t>SUI</w:t>
            </w:r>
          </w:p>
        </w:tc>
        <w:tc>
          <w:tcPr>
            <w:tcW w:w="1828" w:type="dxa"/>
            <w:shd w:val="clear" w:color="auto" w:fill="auto"/>
            <w:noWrap/>
            <w:vAlign w:val="center"/>
            <w:hideMark/>
          </w:tcPr>
          <w:p w:rsidR="00FC597A" w:rsidRPr="000F619F" w:rsidRDefault="00FC597A" w:rsidP="00FC597A">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
        </w:tc>
        <w:tc>
          <w:tcPr>
            <w:tcW w:w="1704" w:type="dxa"/>
            <w:shd w:val="clear" w:color="auto" w:fill="auto"/>
            <w:noWrap/>
            <w:vAlign w:val="center"/>
            <w:hideMark/>
          </w:tcPr>
          <w:p w:rsidR="00FC597A" w:rsidRPr="00131DB0" w:rsidRDefault="00FC597A" w:rsidP="00FC597A">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
        </w:tc>
        <w:tc>
          <w:tcPr>
            <w:tcW w:w="1828" w:type="dxa"/>
            <w:shd w:val="clear" w:color="auto" w:fill="auto"/>
            <w:noWrap/>
            <w:vAlign w:val="center"/>
            <w:hideMark/>
          </w:tcPr>
          <w:p w:rsidR="00FC597A" w:rsidRPr="000F619F" w:rsidRDefault="00FC597A" w:rsidP="00FC597A">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w:t>
            </w:r>
            <w:r>
              <w:rPr>
                <w:rFonts w:ascii="Bookman Old Style" w:hAnsi="Bookman Old Style"/>
                <w:b/>
                <w:bCs/>
                <w:color w:val="000000"/>
                <w:sz w:val="20"/>
                <w:szCs w:val="20"/>
              </w:rPr>
              <w:t>C</w:t>
            </w:r>
            <w:r w:rsidRPr="00131DB0">
              <w:rPr>
                <w:rFonts w:ascii="Bookman Old Style" w:hAnsi="Bookman Old Style"/>
                <w:b/>
                <w:bCs/>
                <w:i/>
                <w:color w:val="000000"/>
                <w:sz w:val="20"/>
                <w:szCs w:val="20"/>
                <w:vertAlign w:val="subscript"/>
              </w:rPr>
              <w:t>i,t</w:t>
            </w:r>
          </w:p>
        </w:tc>
      </w:tr>
      <w:tr w:rsidR="00FC597A" w:rsidRPr="00D85312" w:rsidTr="00192C03">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97A" w:rsidRPr="000F619F" w:rsidRDefault="00FC597A" w:rsidP="00FC597A">
            <w:pPr>
              <w:spacing w:after="0" w:line="240" w:lineRule="auto"/>
              <w:jc w:val="center"/>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1854</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97A" w:rsidRPr="000F619F" w:rsidRDefault="00FC597A" w:rsidP="00FC597A">
            <w:pPr>
              <w:spacing w:after="0" w:line="240" w:lineRule="auto"/>
              <w:jc w:val="center"/>
              <w:rPr>
                <w:rFonts w:ascii="Bookman Old Style" w:eastAsia="Times New Roman" w:hAnsi="Bookman Old Style" w:cs="Times New Roman"/>
                <w:color w:val="000000"/>
                <w:sz w:val="20"/>
                <w:szCs w:val="20"/>
                <w:lang w:eastAsia="es-CO"/>
              </w:rPr>
            </w:pPr>
            <w:r w:rsidRPr="000F619F">
              <w:rPr>
                <w:rFonts w:ascii="Bookman Old Style" w:eastAsia="Times New Roman" w:hAnsi="Bookman Old Style" w:cs="Times New Roman"/>
                <w:color w:val="000000"/>
                <w:sz w:val="20"/>
                <w:szCs w:val="20"/>
                <w:lang w:eastAsia="es-CO"/>
              </w:rPr>
              <w:t>11,326,493</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97A" w:rsidRPr="00FC597A" w:rsidRDefault="00FC597A" w:rsidP="00FC597A">
            <w:pPr>
              <w:spacing w:after="0"/>
              <w:ind w:left="73"/>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3</w:t>
            </w:r>
            <w:r w:rsidRPr="000F619F">
              <w:rPr>
                <w:rFonts w:ascii="Bookman Old Style" w:eastAsia="Times New Roman" w:hAnsi="Bookman Old Style" w:cs="Times New Roman"/>
                <w:color w:val="000000"/>
                <w:sz w:val="20"/>
                <w:szCs w:val="20"/>
                <w:lang w:eastAsia="es-CO"/>
              </w:rPr>
              <w:t>,</w:t>
            </w:r>
            <w:r>
              <w:rPr>
                <w:rFonts w:ascii="Bookman Old Style" w:eastAsia="Times New Roman" w:hAnsi="Bookman Old Style" w:cs="Times New Roman"/>
                <w:color w:val="000000"/>
                <w:sz w:val="20"/>
                <w:szCs w:val="20"/>
                <w:lang w:eastAsia="es-CO"/>
              </w:rPr>
              <w:t>268</w:t>
            </w:r>
            <w:r w:rsidRPr="000F619F">
              <w:rPr>
                <w:rFonts w:ascii="Bookman Old Style" w:eastAsia="Times New Roman" w:hAnsi="Bookman Old Style" w:cs="Times New Roman"/>
                <w:color w:val="000000"/>
                <w:sz w:val="20"/>
                <w:szCs w:val="20"/>
                <w:lang w:eastAsia="es-CO"/>
              </w:rPr>
              <w:t>,</w:t>
            </w:r>
            <w:r>
              <w:rPr>
                <w:rFonts w:ascii="Bookman Old Style" w:eastAsia="Times New Roman" w:hAnsi="Bookman Old Style" w:cs="Times New Roman"/>
                <w:color w:val="000000"/>
                <w:sz w:val="20"/>
                <w:szCs w:val="20"/>
                <w:lang w:eastAsia="es-CO"/>
              </w:rPr>
              <w:t>213</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97A" w:rsidRPr="00FC597A" w:rsidRDefault="00FC597A" w:rsidP="00FC597A">
            <w:pPr>
              <w:spacing w:after="0"/>
              <w:jc w:val="center"/>
              <w:rPr>
                <w:rFonts w:ascii="Bookman Old Style" w:eastAsia="Times New Roman" w:hAnsi="Bookman Old Style" w:cs="Times New Roman"/>
                <w:color w:val="000000"/>
                <w:sz w:val="20"/>
                <w:szCs w:val="20"/>
                <w:lang w:eastAsia="es-CO"/>
              </w:rPr>
            </w:pPr>
            <w:r w:rsidRPr="00FC597A">
              <w:rPr>
                <w:rFonts w:ascii="Bookman Old Style" w:eastAsia="Times New Roman" w:hAnsi="Bookman Old Style" w:cs="Times New Roman"/>
                <w:color w:val="000000"/>
                <w:sz w:val="20"/>
                <w:szCs w:val="20"/>
                <w:lang w:eastAsia="es-CO"/>
              </w:rPr>
              <w:t>4,866,044</w:t>
            </w:r>
          </w:p>
        </w:tc>
      </w:tr>
    </w:tbl>
    <w:p w:rsidR="00B76CEF" w:rsidRPr="00FC597A"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p>
    <w:p w:rsidR="00B76CEF" w:rsidRPr="00D85312" w:rsidRDefault="00B76CEF" w:rsidP="00B76CEF">
      <w:pPr>
        <w:spacing w:after="0" w:line="240" w:lineRule="auto"/>
        <w:ind w:left="-142" w:right="-142"/>
        <w:jc w:val="both"/>
        <w:rPr>
          <w:rFonts w:ascii="Bookman Old Style" w:eastAsia="Times New Roman" w:hAnsi="Bookman Old Style" w:cs="Times New Roman"/>
          <w:sz w:val="24"/>
          <w:szCs w:val="24"/>
          <w:lang w:val="es-ES" w:eastAsia="es-ES"/>
        </w:rPr>
      </w:pPr>
      <w:r w:rsidRPr="00FC597A">
        <w:rPr>
          <w:rFonts w:ascii="Bookman Old Style" w:eastAsia="Times New Roman" w:hAnsi="Bookman Old Style" w:cs="Times New Roman"/>
          <w:b/>
          <w:sz w:val="24"/>
          <w:szCs w:val="24"/>
          <w:lang w:val="es-ES" w:eastAsia="es-ES"/>
        </w:rPr>
        <w:t>Artículo 3.</w:t>
      </w:r>
      <w:r w:rsidRPr="00FC597A">
        <w:rPr>
          <w:rFonts w:ascii="Bookman Old Style" w:eastAsia="Times New Roman" w:hAnsi="Bookman Old Style" w:cs="Times New Roman"/>
          <w:sz w:val="24"/>
          <w:szCs w:val="24"/>
          <w:lang w:val="es-ES" w:eastAsia="es-ES"/>
        </w:rPr>
        <w:t xml:space="preserve"> La presente resolución deberá notificarse a la empresa Lidagas S.A. </w:t>
      </w:r>
      <w:r w:rsidR="00FC597A" w:rsidRPr="00FC597A">
        <w:rPr>
          <w:rFonts w:ascii="Bookman Old Style" w:eastAsia="Times New Roman" w:hAnsi="Bookman Old Style" w:cs="Times New Roman"/>
          <w:sz w:val="24"/>
          <w:szCs w:val="24"/>
          <w:lang w:val="es-ES" w:eastAsia="es-ES"/>
        </w:rPr>
        <w:t>E.S.P. c</w:t>
      </w:r>
      <w:r w:rsidRPr="00FC597A">
        <w:rPr>
          <w:rFonts w:ascii="Bookman Old Style" w:eastAsia="Times New Roman" w:hAnsi="Bookman Old Style" w:cs="Times New Roman"/>
          <w:sz w:val="24"/>
          <w:szCs w:val="24"/>
          <w:lang w:val="es-ES" w:eastAsia="es-ES"/>
        </w:rPr>
        <w:t>ontra lo aquí dispuesto no procede recurso alguno por haber finalizado la actuación administrativa correspondiente a la presentación de recursos previsto en la Ley.</w:t>
      </w:r>
    </w:p>
    <w:p w:rsidR="00B76CEF" w:rsidRPr="00D85312" w:rsidRDefault="00B76CEF" w:rsidP="00B76CEF">
      <w:pPr>
        <w:spacing w:after="0" w:line="240" w:lineRule="auto"/>
        <w:ind w:left="567" w:right="-93"/>
        <w:jc w:val="center"/>
        <w:rPr>
          <w:rFonts w:ascii="Bookman Old Style" w:eastAsia="MS Mincho" w:hAnsi="Bookman Old Style" w:cs="Arial"/>
          <w:b/>
          <w:sz w:val="24"/>
          <w:szCs w:val="24"/>
          <w:lang w:val="es-ES" w:eastAsia="es-ES"/>
        </w:rPr>
      </w:pPr>
    </w:p>
    <w:p w:rsidR="00B76CEF" w:rsidRPr="00D85312" w:rsidRDefault="00B76CEF" w:rsidP="00B76CEF">
      <w:pPr>
        <w:spacing w:after="0" w:line="240" w:lineRule="auto"/>
        <w:contextualSpacing/>
        <w:jc w:val="center"/>
        <w:rPr>
          <w:rFonts w:ascii="Bookman Old Style" w:eastAsia="Times New Roman" w:hAnsi="Bookman Old Style" w:cs="Times New Roman"/>
          <w:b/>
          <w:sz w:val="24"/>
          <w:szCs w:val="24"/>
          <w:lang w:val="es-ES" w:eastAsia="es-ES"/>
        </w:rPr>
      </w:pPr>
      <w:r w:rsidRPr="00D85312">
        <w:rPr>
          <w:rFonts w:ascii="Bookman Old Style" w:eastAsia="Times New Roman" w:hAnsi="Bookman Old Style" w:cs="Times New Roman"/>
          <w:b/>
          <w:sz w:val="24"/>
          <w:szCs w:val="24"/>
          <w:lang w:val="es-ES" w:eastAsia="es-ES"/>
        </w:rPr>
        <w:t>NOTIFÍQUESE Y CÚMPLASE</w:t>
      </w:r>
    </w:p>
    <w:p w:rsidR="00B76CEF" w:rsidRPr="00D85312" w:rsidRDefault="00B76CEF" w:rsidP="00B76CEF">
      <w:pPr>
        <w:spacing w:after="0" w:line="240" w:lineRule="auto"/>
        <w:contextualSpacing/>
        <w:rPr>
          <w:rFonts w:ascii="Bookman Old Style" w:eastAsia="Times New Roman" w:hAnsi="Bookman Old Style" w:cs="Times New Roman"/>
          <w:sz w:val="24"/>
          <w:szCs w:val="24"/>
          <w:lang w:val="es-ES" w:eastAsia="es-ES"/>
        </w:rPr>
      </w:pPr>
    </w:p>
    <w:p w:rsidR="00B76CEF" w:rsidRPr="00D85312" w:rsidRDefault="00B76CEF" w:rsidP="00B76CEF">
      <w:pPr>
        <w:spacing w:after="0" w:line="240" w:lineRule="auto"/>
        <w:contextualSpacing/>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Dada en Bogotá, D.C. a,</w:t>
      </w:r>
    </w:p>
    <w:p w:rsidR="00B76CEF" w:rsidRPr="00D85312" w:rsidRDefault="00B76CEF" w:rsidP="00B76CEF">
      <w:pPr>
        <w:spacing w:after="0" w:line="240" w:lineRule="auto"/>
        <w:contextualSpacing/>
        <w:rPr>
          <w:rFonts w:ascii="Bookman Old Style" w:eastAsia="Times New Roman" w:hAnsi="Bookman Old Style" w:cs="Times New Roman"/>
          <w:sz w:val="20"/>
          <w:szCs w:val="24"/>
          <w:lang w:val="es-ES" w:eastAsia="es-ES"/>
        </w:rPr>
      </w:pPr>
    </w:p>
    <w:p w:rsidR="00B76CEF" w:rsidRPr="00D85312" w:rsidRDefault="00B76CEF" w:rsidP="00B76CEF">
      <w:pPr>
        <w:spacing w:after="0" w:line="240" w:lineRule="auto"/>
        <w:contextualSpacing/>
        <w:rPr>
          <w:rFonts w:ascii="Bookman Old Style" w:eastAsia="Times New Roman" w:hAnsi="Bookman Old Style" w:cs="Times New Roman"/>
          <w:sz w:val="20"/>
          <w:szCs w:val="24"/>
          <w:lang w:val="es-ES" w:eastAsia="es-ES"/>
        </w:rPr>
      </w:pPr>
    </w:p>
    <w:p w:rsidR="00B76CEF" w:rsidRPr="00D85312" w:rsidRDefault="00B76CEF" w:rsidP="00B76CEF">
      <w:pPr>
        <w:spacing w:after="0" w:line="240" w:lineRule="auto"/>
        <w:contextualSpacing/>
        <w:rPr>
          <w:rFonts w:ascii="Bookman Old Style" w:eastAsia="Times New Roman" w:hAnsi="Bookman Old Style" w:cs="Times New Roman"/>
          <w:sz w:val="24"/>
          <w:szCs w:val="24"/>
          <w:lang w:val="es-ES" w:eastAsia="es-ES"/>
        </w:rPr>
      </w:pPr>
    </w:p>
    <w:p w:rsidR="00B76CEF" w:rsidRPr="00D85312" w:rsidRDefault="00B76CEF" w:rsidP="00B76CEF">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B76CEF" w:rsidRPr="00D85312" w:rsidTr="00192C03">
        <w:tc>
          <w:tcPr>
            <w:tcW w:w="4964" w:type="dxa"/>
            <w:hideMark/>
          </w:tcPr>
          <w:p w:rsidR="00B76CEF" w:rsidRPr="00D85312" w:rsidRDefault="004B32A1" w:rsidP="00192C03">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B76CEF" w:rsidRPr="00D85312" w:rsidRDefault="00B76CEF" w:rsidP="00192C03">
            <w:pPr>
              <w:snapToGrid w:val="0"/>
              <w:spacing w:after="0" w:line="240" w:lineRule="auto"/>
              <w:ind w:left="141"/>
              <w:jc w:val="center"/>
              <w:rPr>
                <w:rFonts w:ascii="Bookman Old Style" w:eastAsia="Times New Roman" w:hAnsi="Bookman Old Style" w:cs="Arial"/>
                <w:b/>
                <w:bCs/>
                <w:sz w:val="24"/>
                <w:szCs w:val="24"/>
                <w:lang w:val="es-ES" w:eastAsia="es-ES"/>
              </w:rPr>
            </w:pPr>
            <w:r w:rsidRPr="00D85312">
              <w:rPr>
                <w:rFonts w:ascii="Bookman Old Style" w:eastAsia="Times New Roman" w:hAnsi="Bookman Old Style" w:cs="Arial"/>
                <w:b/>
                <w:bCs/>
                <w:sz w:val="24"/>
                <w:szCs w:val="24"/>
                <w:lang w:val="es-ES" w:eastAsia="es-ES"/>
              </w:rPr>
              <w:t>CHRISTIAN JARAMILLO HERRERA</w:t>
            </w:r>
          </w:p>
        </w:tc>
      </w:tr>
      <w:tr w:rsidR="00B76CEF" w:rsidRPr="00D85312" w:rsidTr="00192C03">
        <w:tc>
          <w:tcPr>
            <w:tcW w:w="4964" w:type="dxa"/>
            <w:hideMark/>
          </w:tcPr>
          <w:p w:rsidR="00B76CEF" w:rsidRDefault="004B32A1" w:rsidP="00192C03">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Pr="00082D81">
              <w:rPr>
                <w:rFonts w:ascii="Bookman Old Style" w:eastAsia="Times New Roman" w:hAnsi="Bookman Old Style" w:cs="Arial"/>
                <w:sz w:val="24"/>
                <w:szCs w:val="24"/>
                <w:lang w:val="es-ES" w:eastAsia="es-ES"/>
              </w:rPr>
              <w:t xml:space="preserve"> Energía</w:t>
            </w:r>
          </w:p>
          <w:p w:rsidR="007B5BC4" w:rsidRPr="007B5BC4" w:rsidRDefault="007B5BC4" w:rsidP="00192C03">
            <w:pPr>
              <w:snapToGrid w:val="0"/>
              <w:spacing w:after="0" w:line="240" w:lineRule="auto"/>
              <w:jc w:val="center"/>
              <w:rPr>
                <w:rFonts w:ascii="Bookman Old Style" w:eastAsia="Times New Roman" w:hAnsi="Bookman Old Style" w:cs="Arial"/>
                <w:sz w:val="24"/>
                <w:szCs w:val="24"/>
                <w:lang w:val="es-ES" w:eastAsia="es-ES"/>
              </w:rPr>
            </w:pPr>
            <w:r w:rsidRPr="007B5BC4">
              <w:rPr>
                <w:rFonts w:ascii="Bookman Old Style" w:hAnsi="Bookman Old Style" w:cs="Arial"/>
                <w:spacing w:val="-3"/>
                <w:sz w:val="24"/>
                <w:szCs w:val="24"/>
              </w:rPr>
              <w:t>Delegado de la Ministra de Minas y Energía</w:t>
            </w:r>
          </w:p>
          <w:p w:rsidR="00B76CEF" w:rsidRPr="00D85312" w:rsidRDefault="00B76CEF" w:rsidP="00192C03">
            <w:pPr>
              <w:snapToGrid w:val="0"/>
              <w:spacing w:after="0" w:line="240" w:lineRule="auto"/>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Presidente</w:t>
            </w:r>
          </w:p>
        </w:tc>
        <w:tc>
          <w:tcPr>
            <w:tcW w:w="4534" w:type="dxa"/>
            <w:hideMark/>
          </w:tcPr>
          <w:p w:rsidR="00B76CEF" w:rsidRPr="00D85312" w:rsidRDefault="00B76CEF" w:rsidP="00192C03">
            <w:pPr>
              <w:snapToGrid w:val="0"/>
              <w:spacing w:after="0" w:line="240" w:lineRule="auto"/>
              <w:ind w:left="567"/>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Director Ejecutivo</w:t>
            </w:r>
          </w:p>
        </w:tc>
      </w:tr>
    </w:tbl>
    <w:p w:rsidR="00B76CEF" w:rsidRPr="007F3FC2" w:rsidRDefault="00B76CEF" w:rsidP="00B76CEF">
      <w:pPr>
        <w:spacing w:after="0" w:line="240" w:lineRule="auto"/>
        <w:ind w:right="-142"/>
        <w:jc w:val="center"/>
        <w:rPr>
          <w:rFonts w:ascii="Bookman Old Style" w:eastAsia="Times New Roman" w:hAnsi="Bookman Old Style" w:cs="Times New Roman"/>
          <w:sz w:val="24"/>
          <w:szCs w:val="24"/>
          <w:lang w:val="es-ES" w:eastAsia="es-ES"/>
        </w:rPr>
      </w:pPr>
    </w:p>
    <w:sectPr w:rsidR="00B76CEF" w:rsidRPr="007F3FC2" w:rsidSect="005C1BCA">
      <w:headerReference w:type="default" r:id="rId14"/>
      <w:head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C9" w:rsidRDefault="002111C9" w:rsidP="005C1BCA">
      <w:pPr>
        <w:spacing w:after="0" w:line="240" w:lineRule="auto"/>
      </w:pPr>
      <w:r>
        <w:separator/>
      </w:r>
    </w:p>
  </w:endnote>
  <w:endnote w:type="continuationSeparator" w:id="0">
    <w:p w:rsidR="002111C9" w:rsidRDefault="002111C9"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C9" w:rsidRDefault="002111C9" w:rsidP="005C1BCA">
      <w:pPr>
        <w:spacing w:after="0" w:line="240" w:lineRule="auto"/>
      </w:pPr>
      <w:r>
        <w:separator/>
      </w:r>
    </w:p>
  </w:footnote>
  <w:footnote w:type="continuationSeparator" w:id="0">
    <w:p w:rsidR="002111C9" w:rsidRDefault="002111C9" w:rsidP="005C1BCA">
      <w:pPr>
        <w:spacing w:after="0" w:line="240" w:lineRule="auto"/>
      </w:pPr>
      <w:r>
        <w:continuationSeparator/>
      </w:r>
    </w:p>
  </w:footnote>
  <w:footnote w:id="1">
    <w:p w:rsidR="004B32A1" w:rsidRPr="005C1BCA" w:rsidRDefault="004B32A1"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B32A1" w:rsidRPr="00FD101E" w:rsidRDefault="004B32A1"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4B32A1" w:rsidRPr="00FD101E" w:rsidRDefault="004B32A1"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4B32A1" w:rsidRPr="00FD101E" w:rsidRDefault="004B32A1"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4B32A1" w:rsidRPr="00FD101E" w:rsidRDefault="004B32A1"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4B32A1" w:rsidRPr="00FD101E" w:rsidRDefault="004B32A1"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4B32A1" w:rsidRPr="00FD101E" w:rsidRDefault="004B32A1"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4B32A1" w:rsidRPr="00575874" w:rsidRDefault="004B32A1" w:rsidP="00DE5054">
      <w:pPr>
        <w:pStyle w:val="Textonotapie"/>
      </w:pPr>
    </w:p>
  </w:footnote>
  <w:footnote w:id="3">
    <w:p w:rsidR="004B32A1" w:rsidRPr="005B07AE" w:rsidRDefault="004B32A1"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4B32A1" w:rsidRPr="005527BE" w:rsidRDefault="004B32A1" w:rsidP="00A33677">
      <w:pPr>
        <w:pStyle w:val="Textonotapie"/>
        <w:ind w:left="0"/>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“Artículo</w:t>
      </w:r>
      <w:r w:rsidRPr="005527BE">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4B32A1" w:rsidRPr="005527BE" w:rsidRDefault="004B32A1" w:rsidP="00A33677">
      <w:pPr>
        <w:pStyle w:val="Textonotapie"/>
        <w:jc w:val="both"/>
        <w:rPr>
          <w:rFonts w:ascii="Bookman Old Style" w:hAnsi="Bookman Old Style" w:cs="Arial"/>
          <w:sz w:val="16"/>
          <w:szCs w:val="16"/>
        </w:rPr>
      </w:pPr>
    </w:p>
    <w:p w:rsidR="004B32A1" w:rsidRPr="00CD67E2" w:rsidRDefault="004B32A1" w:rsidP="00A33677">
      <w:pPr>
        <w:pStyle w:val="Textonotapie"/>
        <w:ind w:left="0"/>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4B32A1" w:rsidRPr="00FA7CDB" w:rsidRDefault="004B32A1" w:rsidP="00A33677">
      <w:pPr>
        <w:pStyle w:val="Textonotapie"/>
        <w:jc w:val="both"/>
        <w:rPr>
          <w:rFonts w:ascii="Bookman Old Style" w:hAnsi="Bookman Old Style" w:cs="Arial"/>
          <w:sz w:val="16"/>
          <w:szCs w:val="16"/>
        </w:rPr>
      </w:pPr>
    </w:p>
    <w:p w:rsidR="004B32A1" w:rsidRPr="00FA7CDB" w:rsidRDefault="004B32A1"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4B32A1" w:rsidRPr="00FA7CDB" w:rsidRDefault="004B32A1"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4B32A1" w:rsidRPr="00FA7CDB" w:rsidRDefault="004B32A1"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4B32A1" w:rsidRPr="00FA7CDB" w:rsidRDefault="004B32A1"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4B32A1" w:rsidRDefault="004B32A1"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2A1" w:rsidRDefault="004B32A1" w:rsidP="001F2B83">
    <w:pPr>
      <w:pStyle w:val="Ttulo1"/>
      <w:ind w:right="6"/>
      <w:jc w:val="left"/>
      <w:rPr>
        <w:rFonts w:ascii="Bookman Old Style" w:hAnsi="Bookman Old Style" w:cs="Arial"/>
        <w:b w:val="0"/>
        <w:sz w:val="22"/>
        <w:szCs w:val="22"/>
      </w:rPr>
    </w:pPr>
  </w:p>
  <w:p w:rsidR="004B32A1" w:rsidRPr="00951F79" w:rsidRDefault="004B32A1"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66579">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66579">
      <w:fldChar w:fldCharType="begin"/>
    </w:r>
    <w:r w:rsidR="00866579">
      <w:instrText xml:space="preserve"> NUMPAGES  \* MERGEFORMAT </w:instrText>
    </w:r>
    <w:r w:rsidR="00866579">
      <w:fldChar w:fldCharType="separate"/>
    </w:r>
    <w:r w:rsidR="00866579" w:rsidRPr="00866579">
      <w:rPr>
        <w:rFonts w:ascii="Bookman Old Style" w:hAnsi="Bookman Old Style" w:cs="Arial"/>
        <w:b w:val="0"/>
        <w:noProof/>
        <w:sz w:val="22"/>
        <w:szCs w:val="22"/>
      </w:rPr>
      <w:t>18</w:t>
    </w:r>
    <w:r w:rsidR="00866579">
      <w:rPr>
        <w:rFonts w:ascii="Bookman Old Style" w:hAnsi="Bookman Old Style" w:cs="Arial"/>
        <w:b w:val="0"/>
        <w:noProof/>
        <w:sz w:val="22"/>
        <w:szCs w:val="22"/>
      </w:rPr>
      <w:fldChar w:fldCharType="end"/>
    </w:r>
  </w:p>
  <w:p w:rsidR="004B32A1" w:rsidRDefault="004B32A1"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033D3" w:rsidRDefault="004B32A1"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Por la cual se resuelve el recurso de reposición interpuesto por Lidagas S.A. E.S.P. contra la Resolución CREG 048 de 2019</w:t>
    </w:r>
  </w:p>
  <w:p w:rsidR="004B32A1" w:rsidRPr="007F66B9" w:rsidRDefault="004B32A1"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2A1" w:rsidRDefault="004B32A1"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4B32A1" w:rsidRDefault="004B32A1">
    <w:pPr>
      <w:pStyle w:val="Encabezado"/>
      <w:jc w:val="center"/>
      <w:rPr>
        <w:rFonts w:ascii="Arial" w:hAnsi="Arial" w:cs="Arial"/>
        <w:spacing w:val="20"/>
        <w:sz w:val="20"/>
      </w:rPr>
    </w:pPr>
  </w:p>
  <w:p w:rsidR="004B32A1" w:rsidRDefault="004B32A1"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7"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6"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2"/>
  </w:num>
  <w:num w:numId="2">
    <w:abstractNumId w:val="20"/>
  </w:num>
  <w:num w:numId="3">
    <w:abstractNumId w:val="11"/>
  </w:num>
  <w:num w:numId="4">
    <w:abstractNumId w:val="19"/>
  </w:num>
  <w:num w:numId="5">
    <w:abstractNumId w:val="12"/>
  </w:num>
  <w:num w:numId="6">
    <w:abstractNumId w:val="7"/>
  </w:num>
  <w:num w:numId="7">
    <w:abstractNumId w:val="14"/>
  </w:num>
  <w:num w:numId="8">
    <w:abstractNumId w:val="3"/>
  </w:num>
  <w:num w:numId="9">
    <w:abstractNumId w:val="8"/>
  </w:num>
  <w:num w:numId="10">
    <w:abstractNumId w:val="6"/>
  </w:num>
  <w:num w:numId="11">
    <w:abstractNumId w:val="16"/>
  </w:num>
  <w:num w:numId="12">
    <w:abstractNumId w:val="13"/>
  </w:num>
  <w:num w:numId="13">
    <w:abstractNumId w:val="17"/>
  </w:num>
  <w:num w:numId="14">
    <w:abstractNumId w:val="5"/>
  </w:num>
  <w:num w:numId="15">
    <w:abstractNumId w:val="18"/>
  </w:num>
  <w:num w:numId="16">
    <w:abstractNumId w:val="9"/>
  </w:num>
  <w:num w:numId="17">
    <w:abstractNumId w:val="4"/>
  </w:num>
  <w:num w:numId="18">
    <w:abstractNumId w:val="10"/>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5DA0"/>
    <w:rsid w:val="000068F0"/>
    <w:rsid w:val="0001493D"/>
    <w:rsid w:val="0003079D"/>
    <w:rsid w:val="000372E9"/>
    <w:rsid w:val="00037534"/>
    <w:rsid w:val="00051E42"/>
    <w:rsid w:val="000651C3"/>
    <w:rsid w:val="00074962"/>
    <w:rsid w:val="000768E2"/>
    <w:rsid w:val="00086996"/>
    <w:rsid w:val="00096487"/>
    <w:rsid w:val="000B2CF1"/>
    <w:rsid w:val="000D4D20"/>
    <w:rsid w:val="000D77B1"/>
    <w:rsid w:val="000E43B1"/>
    <w:rsid w:val="000E6A56"/>
    <w:rsid w:val="000E7FC0"/>
    <w:rsid w:val="000F619F"/>
    <w:rsid w:val="001030F9"/>
    <w:rsid w:val="001079AA"/>
    <w:rsid w:val="00110447"/>
    <w:rsid w:val="001164AC"/>
    <w:rsid w:val="001301F7"/>
    <w:rsid w:val="00131DB0"/>
    <w:rsid w:val="001544B0"/>
    <w:rsid w:val="00161159"/>
    <w:rsid w:val="00167E49"/>
    <w:rsid w:val="001851C6"/>
    <w:rsid w:val="00185CE7"/>
    <w:rsid w:val="00192C03"/>
    <w:rsid w:val="00193AF1"/>
    <w:rsid w:val="001976B3"/>
    <w:rsid w:val="001A1203"/>
    <w:rsid w:val="001B0BF6"/>
    <w:rsid w:val="001B4CCB"/>
    <w:rsid w:val="001B534B"/>
    <w:rsid w:val="001B6721"/>
    <w:rsid w:val="001C513B"/>
    <w:rsid w:val="001C606A"/>
    <w:rsid w:val="001D2917"/>
    <w:rsid w:val="001D7DC9"/>
    <w:rsid w:val="001E04A9"/>
    <w:rsid w:val="001E531D"/>
    <w:rsid w:val="001E5EF3"/>
    <w:rsid w:val="001F1817"/>
    <w:rsid w:val="001F2B83"/>
    <w:rsid w:val="00201D11"/>
    <w:rsid w:val="0020666C"/>
    <w:rsid w:val="002071F1"/>
    <w:rsid w:val="002111C9"/>
    <w:rsid w:val="002168B9"/>
    <w:rsid w:val="002360EA"/>
    <w:rsid w:val="00246BDD"/>
    <w:rsid w:val="00250C34"/>
    <w:rsid w:val="00252FBF"/>
    <w:rsid w:val="0025381F"/>
    <w:rsid w:val="00253CDE"/>
    <w:rsid w:val="00257891"/>
    <w:rsid w:val="002A3000"/>
    <w:rsid w:val="002A3B53"/>
    <w:rsid w:val="002A67FB"/>
    <w:rsid w:val="002C2E32"/>
    <w:rsid w:val="002C2F59"/>
    <w:rsid w:val="002C38BA"/>
    <w:rsid w:val="002D0502"/>
    <w:rsid w:val="002E47EE"/>
    <w:rsid w:val="002E48FC"/>
    <w:rsid w:val="002E789E"/>
    <w:rsid w:val="002F68A3"/>
    <w:rsid w:val="002F6C3C"/>
    <w:rsid w:val="003164D9"/>
    <w:rsid w:val="0032228A"/>
    <w:rsid w:val="00322645"/>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B50DF"/>
    <w:rsid w:val="003C1360"/>
    <w:rsid w:val="003D171F"/>
    <w:rsid w:val="003D682B"/>
    <w:rsid w:val="003F59E4"/>
    <w:rsid w:val="00403E9A"/>
    <w:rsid w:val="004276D1"/>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32A1"/>
    <w:rsid w:val="004B5708"/>
    <w:rsid w:val="004B65F7"/>
    <w:rsid w:val="004C299E"/>
    <w:rsid w:val="004C5347"/>
    <w:rsid w:val="004F21D4"/>
    <w:rsid w:val="00505CEA"/>
    <w:rsid w:val="00506375"/>
    <w:rsid w:val="00513B41"/>
    <w:rsid w:val="00516A8F"/>
    <w:rsid w:val="005237A7"/>
    <w:rsid w:val="00535ADB"/>
    <w:rsid w:val="00547070"/>
    <w:rsid w:val="005536D4"/>
    <w:rsid w:val="0055674D"/>
    <w:rsid w:val="00560437"/>
    <w:rsid w:val="00560FC4"/>
    <w:rsid w:val="0056639C"/>
    <w:rsid w:val="00572628"/>
    <w:rsid w:val="00575874"/>
    <w:rsid w:val="00590C88"/>
    <w:rsid w:val="0059208B"/>
    <w:rsid w:val="005A0389"/>
    <w:rsid w:val="005C1BCA"/>
    <w:rsid w:val="005E6508"/>
    <w:rsid w:val="005F1C68"/>
    <w:rsid w:val="005F3F22"/>
    <w:rsid w:val="0060008A"/>
    <w:rsid w:val="00612755"/>
    <w:rsid w:val="006441EA"/>
    <w:rsid w:val="0065138A"/>
    <w:rsid w:val="0065201F"/>
    <w:rsid w:val="00656706"/>
    <w:rsid w:val="006673C7"/>
    <w:rsid w:val="00671E24"/>
    <w:rsid w:val="0067294D"/>
    <w:rsid w:val="00677ABF"/>
    <w:rsid w:val="006948D9"/>
    <w:rsid w:val="00696941"/>
    <w:rsid w:val="006A5495"/>
    <w:rsid w:val="006B2543"/>
    <w:rsid w:val="006B68C9"/>
    <w:rsid w:val="006D6420"/>
    <w:rsid w:val="006E3CAF"/>
    <w:rsid w:val="006E4CFF"/>
    <w:rsid w:val="006F4984"/>
    <w:rsid w:val="006F6F8A"/>
    <w:rsid w:val="00701265"/>
    <w:rsid w:val="00720524"/>
    <w:rsid w:val="00723A63"/>
    <w:rsid w:val="007254EE"/>
    <w:rsid w:val="00735D6F"/>
    <w:rsid w:val="0073600E"/>
    <w:rsid w:val="00744B35"/>
    <w:rsid w:val="00760851"/>
    <w:rsid w:val="0078006D"/>
    <w:rsid w:val="007832BC"/>
    <w:rsid w:val="00784E27"/>
    <w:rsid w:val="00785E5C"/>
    <w:rsid w:val="007860F7"/>
    <w:rsid w:val="007917F3"/>
    <w:rsid w:val="007B5BC4"/>
    <w:rsid w:val="007B77DB"/>
    <w:rsid w:val="007B79E1"/>
    <w:rsid w:val="007D4A88"/>
    <w:rsid w:val="007F3B34"/>
    <w:rsid w:val="007F3FC2"/>
    <w:rsid w:val="007F45BD"/>
    <w:rsid w:val="007F66B9"/>
    <w:rsid w:val="007F6CF0"/>
    <w:rsid w:val="0080052E"/>
    <w:rsid w:val="008033D3"/>
    <w:rsid w:val="00812471"/>
    <w:rsid w:val="008315F2"/>
    <w:rsid w:val="008347D1"/>
    <w:rsid w:val="00844EAB"/>
    <w:rsid w:val="00846CC8"/>
    <w:rsid w:val="00866579"/>
    <w:rsid w:val="0087487D"/>
    <w:rsid w:val="0087723A"/>
    <w:rsid w:val="00892686"/>
    <w:rsid w:val="008932C5"/>
    <w:rsid w:val="0089470C"/>
    <w:rsid w:val="0089512B"/>
    <w:rsid w:val="008A5019"/>
    <w:rsid w:val="008C7C6D"/>
    <w:rsid w:val="008D2AA3"/>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A06E3"/>
    <w:rsid w:val="009A682D"/>
    <w:rsid w:val="009B05E8"/>
    <w:rsid w:val="009C0053"/>
    <w:rsid w:val="009C1497"/>
    <w:rsid w:val="009C7403"/>
    <w:rsid w:val="009D53E5"/>
    <w:rsid w:val="009D7D18"/>
    <w:rsid w:val="009E166A"/>
    <w:rsid w:val="009E2BA7"/>
    <w:rsid w:val="00A10640"/>
    <w:rsid w:val="00A220CA"/>
    <w:rsid w:val="00A33677"/>
    <w:rsid w:val="00A35B73"/>
    <w:rsid w:val="00A35D46"/>
    <w:rsid w:val="00A371B3"/>
    <w:rsid w:val="00A42417"/>
    <w:rsid w:val="00A44FAD"/>
    <w:rsid w:val="00A464A9"/>
    <w:rsid w:val="00A55137"/>
    <w:rsid w:val="00A6381B"/>
    <w:rsid w:val="00A66E25"/>
    <w:rsid w:val="00A705BC"/>
    <w:rsid w:val="00A84D12"/>
    <w:rsid w:val="00A876CA"/>
    <w:rsid w:val="00AC44B0"/>
    <w:rsid w:val="00AC7523"/>
    <w:rsid w:val="00AC7D9C"/>
    <w:rsid w:val="00AD168D"/>
    <w:rsid w:val="00AE4E4C"/>
    <w:rsid w:val="00AE5D16"/>
    <w:rsid w:val="00AF279C"/>
    <w:rsid w:val="00B05FD2"/>
    <w:rsid w:val="00B17697"/>
    <w:rsid w:val="00B467DB"/>
    <w:rsid w:val="00B53FFF"/>
    <w:rsid w:val="00B57AF6"/>
    <w:rsid w:val="00B76CEF"/>
    <w:rsid w:val="00B8540F"/>
    <w:rsid w:val="00B87342"/>
    <w:rsid w:val="00B91B9E"/>
    <w:rsid w:val="00BA57DB"/>
    <w:rsid w:val="00BC35AA"/>
    <w:rsid w:val="00BC74BC"/>
    <w:rsid w:val="00BE5DEF"/>
    <w:rsid w:val="00C139AB"/>
    <w:rsid w:val="00C149F3"/>
    <w:rsid w:val="00C31FCA"/>
    <w:rsid w:val="00C3243A"/>
    <w:rsid w:val="00C345DC"/>
    <w:rsid w:val="00C53D56"/>
    <w:rsid w:val="00C54EB1"/>
    <w:rsid w:val="00C60EB5"/>
    <w:rsid w:val="00C7096A"/>
    <w:rsid w:val="00C8557A"/>
    <w:rsid w:val="00CA077E"/>
    <w:rsid w:val="00CA4C24"/>
    <w:rsid w:val="00CA75E7"/>
    <w:rsid w:val="00CC2C25"/>
    <w:rsid w:val="00CC6E45"/>
    <w:rsid w:val="00CD60B6"/>
    <w:rsid w:val="00CD6EF8"/>
    <w:rsid w:val="00CD74B5"/>
    <w:rsid w:val="00CF3DBF"/>
    <w:rsid w:val="00CF4873"/>
    <w:rsid w:val="00CF5BA8"/>
    <w:rsid w:val="00D07C49"/>
    <w:rsid w:val="00D11EFA"/>
    <w:rsid w:val="00D21ABE"/>
    <w:rsid w:val="00D316EC"/>
    <w:rsid w:val="00D41337"/>
    <w:rsid w:val="00D51504"/>
    <w:rsid w:val="00D56596"/>
    <w:rsid w:val="00D65730"/>
    <w:rsid w:val="00D7068D"/>
    <w:rsid w:val="00D76C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12213"/>
    <w:rsid w:val="00E132CB"/>
    <w:rsid w:val="00E16F57"/>
    <w:rsid w:val="00E411EE"/>
    <w:rsid w:val="00E51B9C"/>
    <w:rsid w:val="00E91A96"/>
    <w:rsid w:val="00EA23A0"/>
    <w:rsid w:val="00EB023A"/>
    <w:rsid w:val="00EB1577"/>
    <w:rsid w:val="00EB2D23"/>
    <w:rsid w:val="00EB559D"/>
    <w:rsid w:val="00EC705E"/>
    <w:rsid w:val="00EF5680"/>
    <w:rsid w:val="00F064F7"/>
    <w:rsid w:val="00F1179A"/>
    <w:rsid w:val="00F11960"/>
    <w:rsid w:val="00F12CFE"/>
    <w:rsid w:val="00F30553"/>
    <w:rsid w:val="00F313E0"/>
    <w:rsid w:val="00F33A33"/>
    <w:rsid w:val="00F359EE"/>
    <w:rsid w:val="00F4478E"/>
    <w:rsid w:val="00F46EA4"/>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597A"/>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B76CEF"/>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2560880">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E03A-BD86-43A2-B5FC-992B660B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6861</Words>
  <Characters>37736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2019-04-24T00:02:00Z</cp:lastPrinted>
  <dcterms:created xsi:type="dcterms:W3CDTF">2019-07-08T23:02:00Z</dcterms:created>
  <dcterms:modified xsi:type="dcterms:W3CDTF">2019-07-08T23:02:00Z</dcterms:modified>
</cp:coreProperties>
</file>