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E071AA"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0332869"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AE3816">
        <w:rPr>
          <w:rFonts w:ascii="Bookman Old Style" w:hAnsi="Bookman Old Style"/>
          <w:sz w:val="24"/>
          <w:szCs w:val="24"/>
        </w:rPr>
        <w:t>9</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045D3D" w:rsidRDefault="008E10C2" w:rsidP="008E10C2">
      <w:pPr>
        <w:ind w:left="142" w:right="51"/>
        <w:jc w:val="both"/>
        <w:rPr>
          <w:rFonts w:ascii="Bookman Old Style" w:hAnsi="Bookman Old Style"/>
        </w:rPr>
      </w:pPr>
      <w:bookmarkStart w:id="0" w:name="_GoBack"/>
      <w:r w:rsidRPr="008E10C2">
        <w:rPr>
          <w:rFonts w:ascii="Bookman Old Style" w:hAnsi="Bookman Old Style"/>
        </w:rPr>
        <w:t xml:space="preserve">Por la cual se decide la actuación administrativa adelantada para </w:t>
      </w:r>
      <w:r w:rsidR="00EB0EE6">
        <w:rPr>
          <w:rFonts w:ascii="Bookman Old Style" w:hAnsi="Bookman Old Style"/>
        </w:rPr>
        <w:t xml:space="preserve">establecer plenamente la existencia del </w:t>
      </w:r>
      <w:r w:rsidRPr="008E10C2">
        <w:rPr>
          <w:rFonts w:ascii="Bookman Old Style" w:hAnsi="Bookman Old Style"/>
        </w:rPr>
        <w:t xml:space="preserve">  incumplimiento grave e insalvable en la puesta en operación del Proyecto Hidroeléctrico Ituango, </w:t>
      </w:r>
      <w:r w:rsidR="00EB0EE6">
        <w:rPr>
          <w:rFonts w:ascii="Bookman Old Style" w:hAnsi="Bookman Old Style"/>
        </w:rPr>
        <w:t xml:space="preserve">determinar sus consecuencias y garantizar el derecho de defensa de </w:t>
      </w:r>
      <w:r w:rsidRPr="008E10C2">
        <w:rPr>
          <w:rFonts w:ascii="Bookman Old Style" w:hAnsi="Bookman Old Style"/>
        </w:rPr>
        <w:t>Empresas Públicas de Medellín, EPM ESP.</w:t>
      </w:r>
    </w:p>
    <w:bookmarkEnd w:id="0"/>
    <w:p w:rsidR="008E10C2" w:rsidRDefault="008E10C2" w:rsidP="00045D3D">
      <w:pPr>
        <w:ind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rsidR="00045D3D" w:rsidRPr="00C435C3" w:rsidRDefault="00045D3D" w:rsidP="00045D3D">
      <w:pPr>
        <w:ind w:left="0" w:right="51"/>
        <w:rPr>
          <w:rFonts w:ascii="Bookman Old Style" w:hAnsi="Bookman Old Style"/>
        </w:rPr>
      </w:pPr>
    </w:p>
    <w:p w:rsidR="00045D3D" w:rsidRPr="00C435C3" w:rsidRDefault="00045D3D" w:rsidP="00045D3D">
      <w:pPr>
        <w:ind w:left="0" w:right="51"/>
        <w:rPr>
          <w:rFonts w:ascii="Bookman Old Style" w:hAnsi="Bookman Old Style"/>
        </w:rPr>
      </w:pPr>
    </w:p>
    <w:p w:rsidR="00045D3D" w:rsidRDefault="008E10C2" w:rsidP="008E10C2">
      <w:pPr>
        <w:ind w:right="51"/>
        <w:jc w:val="center"/>
        <w:rPr>
          <w:rFonts w:ascii="Bookman Old Style" w:hAnsi="Bookman Old Style"/>
        </w:rPr>
      </w:pPr>
      <w:r w:rsidRPr="008E10C2">
        <w:rPr>
          <w:rFonts w:ascii="Bookman Old Style" w:hAnsi="Bookman Old Style" w:cs="Arial"/>
          <w:bCs/>
          <w:spacing w:val="-3"/>
        </w:rPr>
        <w:t>En ejercicio de las atribuciones legales, en especial las conferidas por las Leyes 142 y 143 de 1994, y en desarrollo de los Decretos 1524 de 1994 y 1260 de 2013 y</w:t>
      </w:r>
    </w:p>
    <w:p w:rsidR="00045D3D" w:rsidRDefault="00045D3D" w:rsidP="00045D3D">
      <w:pPr>
        <w:ind w:right="51"/>
        <w:rPr>
          <w:rFonts w:ascii="Bookman Old Style" w:hAnsi="Bookman Old Style"/>
        </w:rPr>
      </w:pPr>
    </w:p>
    <w:p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045D3D" w:rsidRPr="00C435C3" w:rsidRDefault="00045D3D" w:rsidP="00045D3D">
      <w:pPr>
        <w:ind w:right="51"/>
        <w:jc w:val="center"/>
        <w:rPr>
          <w:rFonts w:ascii="Bookman Old Style" w:hAnsi="Bookman Old Style"/>
          <w:b/>
        </w:rPr>
      </w:pPr>
    </w:p>
    <w:p w:rsidR="00045D3D" w:rsidRDefault="00045D3D" w:rsidP="008E10C2">
      <w:pPr>
        <w:ind w:left="0"/>
        <w:rPr>
          <w:rFonts w:ascii="Bookman Old Style" w:hAnsi="Bookman Old Style"/>
          <w:b/>
        </w:rPr>
      </w:pPr>
    </w:p>
    <w:p w:rsidR="008E10C2" w:rsidRPr="00496B75" w:rsidRDefault="008E10C2" w:rsidP="008E10C2">
      <w:pPr>
        <w:numPr>
          <w:ilvl w:val="0"/>
          <w:numId w:val="24"/>
        </w:numPr>
        <w:rPr>
          <w:rFonts w:ascii="Bookman Old Style" w:hAnsi="Bookman Old Style"/>
          <w:b/>
        </w:rPr>
      </w:pPr>
      <w:r w:rsidRPr="00496B75">
        <w:rPr>
          <w:rFonts w:ascii="Bookman Old Style" w:hAnsi="Bookman Old Style"/>
          <w:b/>
        </w:rPr>
        <w:t xml:space="preserve">ANTECEDENTES </w:t>
      </w:r>
    </w:p>
    <w:p w:rsidR="008E10C2" w:rsidRDefault="008E10C2" w:rsidP="008E10C2">
      <w:pPr>
        <w:rPr>
          <w:rFonts w:ascii="Bookman Old Style" w:hAnsi="Bookman Old Style"/>
        </w:rPr>
      </w:pPr>
    </w:p>
    <w:p w:rsidR="008E10C2" w:rsidRPr="00386A4D" w:rsidRDefault="008E10C2" w:rsidP="008E10C2">
      <w:pPr>
        <w:tabs>
          <w:tab w:val="left" w:pos="720"/>
        </w:tabs>
        <w:ind w:left="0"/>
        <w:jc w:val="both"/>
        <w:rPr>
          <w:rFonts w:ascii="Bookman Old Style" w:hAnsi="Bookman Old Style" w:cs="Arial"/>
        </w:rPr>
      </w:pPr>
      <w:r>
        <w:rPr>
          <w:rFonts w:ascii="Bookman Old Style" w:hAnsi="Bookman Old Style" w:cs="Arial"/>
        </w:rPr>
        <w:t>L</w:t>
      </w:r>
      <w:r w:rsidRPr="00386A4D">
        <w:rPr>
          <w:rFonts w:ascii="Bookman Old Style" w:hAnsi="Bookman Old Style" w:cs="Arial"/>
        </w:rPr>
        <w:t>a Ley 143 de 1994 definió c</w:t>
      </w:r>
      <w:r>
        <w:rPr>
          <w:rFonts w:ascii="Bookman Old Style" w:hAnsi="Bookman Old Style" w:cs="Arial"/>
        </w:rPr>
        <w:t>omo objetivo fundamental de la r</w:t>
      </w:r>
      <w:r w:rsidRPr="00386A4D">
        <w:rPr>
          <w:rFonts w:ascii="Bookman Old Style" w:hAnsi="Bookman Old Style" w:cs="Arial"/>
        </w:rPr>
        <w:t>egulación asegurar una adecuada prestación del servicio mediante el aprovechamiento eficiente de los diferentes recursos energéticos, en beneficio del usuario en términos de calidad, oportunidad y costo del servicio</w:t>
      </w:r>
      <w:r>
        <w:rPr>
          <w:rFonts w:ascii="Bookman Old Style" w:hAnsi="Bookman Old Style" w:cs="Arial"/>
        </w:rPr>
        <w:t xml:space="preserve">.  Así mismo, la ley estableció como función del regulador </w:t>
      </w:r>
      <w:r w:rsidR="00060035">
        <w:rPr>
          <w:rFonts w:ascii="Bookman Old Style" w:hAnsi="Bookman Old Style" w:cs="Arial"/>
        </w:rPr>
        <w:t>la de</w:t>
      </w:r>
      <w:r>
        <w:rPr>
          <w:rFonts w:ascii="Bookman Old Style" w:hAnsi="Bookman Old Style" w:cs="Arial"/>
        </w:rPr>
        <w:t xml:space="preserve"> v</w:t>
      </w:r>
      <w:r w:rsidRPr="00386A4D">
        <w:rPr>
          <w:rFonts w:ascii="Bookman Old Style" w:hAnsi="Bookman Old Style" w:cs="Arial"/>
        </w:rPr>
        <w:t>alorar la capacidad de generación de respaldo de la oferta eficiente</w:t>
      </w:r>
      <w:r>
        <w:rPr>
          <w:rFonts w:ascii="Bookman Old Style" w:hAnsi="Bookman Old Style" w:cs="Arial"/>
        </w:rPr>
        <w:t>.</w:t>
      </w:r>
    </w:p>
    <w:p w:rsidR="008E10C2" w:rsidRDefault="008E10C2" w:rsidP="008E10C2">
      <w:pPr>
        <w:ind w:left="0"/>
        <w:rPr>
          <w:rFonts w:ascii="Bookman Old Style" w:hAnsi="Bookman Old Style"/>
        </w:rPr>
      </w:pPr>
    </w:p>
    <w:p w:rsidR="008E10C2" w:rsidRDefault="008E10C2" w:rsidP="008E10C2">
      <w:pPr>
        <w:ind w:left="0"/>
        <w:jc w:val="both"/>
        <w:rPr>
          <w:rFonts w:ascii="Bookman Old Style" w:hAnsi="Bookman Old Style"/>
          <w:lang w:val="es-CO"/>
        </w:rPr>
      </w:pPr>
      <w:r>
        <w:rPr>
          <w:rFonts w:ascii="Bookman Old Style" w:hAnsi="Bookman Old Style" w:cs="Arial"/>
        </w:rPr>
        <w:t>En desarrollo de los precitados mandatos legales, la Comisión de Regulación de Energía y Gas</w:t>
      </w:r>
      <w:r w:rsidR="00060035">
        <w:rPr>
          <w:rFonts w:ascii="Bookman Old Style" w:hAnsi="Bookman Old Style" w:cs="Arial"/>
        </w:rPr>
        <w:t>,</w:t>
      </w:r>
      <w:r>
        <w:rPr>
          <w:rFonts w:ascii="Bookman Old Style" w:hAnsi="Bookman Old Style" w:cs="Arial"/>
        </w:rPr>
        <w:t xml:space="preserve"> mediante Resolución CREG 071 de 2006, adoptó el mecanismo del Cargo por Confiabilidad.   En la </w:t>
      </w:r>
      <w:r w:rsidRPr="000074D5">
        <w:rPr>
          <w:rFonts w:ascii="Bookman Old Style" w:hAnsi="Bookman Old Style"/>
          <w:lang w:val="es-CO"/>
        </w:rPr>
        <w:t>Resolución CREG 061 de 2007</w:t>
      </w:r>
      <w:r>
        <w:rPr>
          <w:rFonts w:ascii="Bookman Old Style" w:hAnsi="Bookman Old Style"/>
          <w:lang w:val="es-CO"/>
        </w:rPr>
        <w:t xml:space="preserve"> se hicieron ajustes a la resolución mencionada y se adoptó el reglamento aplicable a las </w:t>
      </w:r>
      <w:r w:rsidRPr="000074D5">
        <w:rPr>
          <w:rFonts w:ascii="Bookman Old Style" w:hAnsi="Bookman Old Style"/>
          <w:lang w:val="es-CO"/>
        </w:rPr>
        <w:t xml:space="preserve">garantías que deben ser otorgadas </w:t>
      </w:r>
      <w:r>
        <w:rPr>
          <w:rFonts w:ascii="Bookman Old Style" w:hAnsi="Bookman Old Style"/>
          <w:lang w:val="es-CO"/>
        </w:rPr>
        <w:t>por quienes participen en el esquema, entre ellas la que respalda</w:t>
      </w:r>
      <w:r w:rsidRPr="000074D5">
        <w:rPr>
          <w:rFonts w:ascii="Bookman Old Style" w:hAnsi="Bookman Old Style"/>
          <w:lang w:val="es-CO"/>
        </w:rPr>
        <w:t xml:space="preserve"> la ejecución de los proyectos de generación de energía eléctrica.</w:t>
      </w:r>
      <w:r>
        <w:rPr>
          <w:rFonts w:ascii="Bookman Old Style" w:hAnsi="Bookman Old Style"/>
          <w:lang w:val="es-CO"/>
        </w:rPr>
        <w:t xml:space="preserve">  La regulación define el alcance de las obligaciones que adquieren quienes obtienen asignaciones de obligaciones de energía firme, OEF</w:t>
      </w:r>
      <w:r w:rsidR="00E1475D">
        <w:rPr>
          <w:rFonts w:ascii="Bookman Old Style" w:hAnsi="Bookman Old Style"/>
          <w:lang w:val="es-CO"/>
        </w:rPr>
        <w:t>;</w:t>
      </w:r>
      <w:r>
        <w:rPr>
          <w:rFonts w:ascii="Bookman Old Style" w:hAnsi="Bookman Old Style"/>
          <w:lang w:val="es-CO"/>
        </w:rPr>
        <w:t xml:space="preserve"> el esquema de seguimiento mediante auditorías a las plantas nuevas</w:t>
      </w:r>
      <w:r w:rsidR="00E1475D">
        <w:rPr>
          <w:rFonts w:ascii="Bookman Old Style" w:hAnsi="Bookman Old Style"/>
          <w:lang w:val="es-CO"/>
        </w:rPr>
        <w:t>;</w:t>
      </w:r>
      <w:r>
        <w:rPr>
          <w:rFonts w:ascii="Bookman Old Style" w:hAnsi="Bookman Old Style"/>
          <w:lang w:val="es-CO"/>
        </w:rPr>
        <w:t xml:space="preserve"> los eventos que se consideran incumplimiento y las consecuencias que se derivan del mismo. </w:t>
      </w:r>
    </w:p>
    <w:p w:rsidR="008E10C2" w:rsidRDefault="008E10C2" w:rsidP="008E10C2">
      <w:pPr>
        <w:ind w:left="0"/>
        <w:jc w:val="both"/>
        <w:rPr>
          <w:rFonts w:ascii="Bookman Old Style" w:hAnsi="Bookman Old Style"/>
          <w:lang w:val="es-CO"/>
        </w:rPr>
      </w:pPr>
    </w:p>
    <w:p w:rsidR="008E10C2" w:rsidRPr="000074D5" w:rsidRDefault="008E10C2" w:rsidP="008E10C2">
      <w:pPr>
        <w:ind w:left="0"/>
        <w:jc w:val="both"/>
        <w:rPr>
          <w:rFonts w:ascii="Bookman Old Style" w:hAnsi="Bookman Old Style" w:cs="Arial"/>
          <w:bCs/>
          <w:color w:val="000000"/>
          <w:lang w:val="es-CO" w:eastAsia="es-CO"/>
        </w:rPr>
      </w:pPr>
      <w:r>
        <w:rPr>
          <w:rFonts w:ascii="Bookman Old Style" w:hAnsi="Bookman Old Style"/>
          <w:lang w:val="es-CO"/>
        </w:rPr>
        <w:t xml:space="preserve">Específicamente el </w:t>
      </w:r>
      <w:r w:rsidRPr="000074D5">
        <w:rPr>
          <w:rFonts w:ascii="Bookman Old Style" w:hAnsi="Bookman Old Style" w:cs="Arial"/>
          <w:bCs/>
          <w:color w:val="000000"/>
          <w:lang w:val="es-CO" w:eastAsia="es-CO"/>
        </w:rPr>
        <w:t>parágrafo del artículo 9 de la Resolución CREG 071 de 2006</w:t>
      </w:r>
      <w:r>
        <w:rPr>
          <w:rFonts w:ascii="Bookman Old Style" w:hAnsi="Bookman Old Style" w:cs="Arial"/>
          <w:bCs/>
          <w:color w:val="000000"/>
          <w:lang w:val="es-CO" w:eastAsia="es-CO"/>
        </w:rPr>
        <w:t>,</w:t>
      </w:r>
      <w:r w:rsidRPr="000074D5">
        <w:rPr>
          <w:rFonts w:ascii="Bookman Old Style" w:hAnsi="Bookman Old Style" w:cs="Arial"/>
          <w:bCs/>
          <w:color w:val="000000"/>
          <w:lang w:val="es-CO" w:eastAsia="es-CO"/>
        </w:rPr>
        <w:t xml:space="preserve"> </w:t>
      </w:r>
      <w:r w:rsidRPr="000074D5">
        <w:rPr>
          <w:rFonts w:ascii="Bookman Old Style" w:hAnsi="Bookman Old Style" w:cs="Arial"/>
          <w:bCs/>
          <w:lang w:val="es-CO"/>
        </w:rPr>
        <w:t>modificado por el artículo 13 de la Resolución CREG 061 de 2007</w:t>
      </w:r>
      <w:r w:rsidRPr="000074D5">
        <w:rPr>
          <w:rFonts w:ascii="Bookman Old Style" w:hAnsi="Bookman Old Style" w:cs="Arial"/>
          <w:bCs/>
          <w:color w:val="000000"/>
          <w:lang w:val="es-CO" w:eastAsia="es-CO"/>
        </w:rPr>
        <w:t>, establece:</w:t>
      </w:r>
    </w:p>
    <w:p w:rsidR="008E10C2" w:rsidRPr="000074D5" w:rsidRDefault="008E10C2" w:rsidP="008E10C2">
      <w:pPr>
        <w:jc w:val="both"/>
        <w:rPr>
          <w:rFonts w:ascii="Bookman Old Style" w:hAnsi="Bookman Old Style" w:cs="Arial"/>
          <w:i/>
          <w:color w:val="000000"/>
          <w:lang w:val="es-CO" w:eastAsia="es-CO"/>
        </w:rPr>
      </w:pPr>
    </w:p>
    <w:p w:rsidR="008E10C2" w:rsidRPr="000074D5" w:rsidRDefault="008E10C2" w:rsidP="008E10C2">
      <w:pPr>
        <w:ind w:left="708"/>
        <w:jc w:val="both"/>
        <w:rPr>
          <w:rFonts w:ascii="Bookman Old Style" w:hAnsi="Bookman Old Style" w:cs="Arial"/>
          <w:bCs/>
        </w:rPr>
      </w:pPr>
      <w:r>
        <w:rPr>
          <w:rFonts w:ascii="Bookman Old Style" w:hAnsi="Bookman Old Style" w:cs="Arial"/>
          <w:i/>
          <w:color w:val="000000"/>
          <w:lang w:val="es-CO" w:eastAsia="es-CO"/>
        </w:rPr>
        <w:lastRenderedPageBreak/>
        <w:t>“</w:t>
      </w:r>
      <w:r w:rsidRPr="001E4105">
        <w:rPr>
          <w:rFonts w:ascii="Bookman Old Style" w:hAnsi="Bookman Old Style" w:cs="Arial"/>
          <w:i/>
          <w:color w:val="000000"/>
          <w:lang w:val="es-CO" w:eastAsia="es-CO"/>
        </w:rPr>
        <w:t>Parágrafo. En el caso del incumplimiento grave e insalvable que se determina cuando el informe del auditor indica que la puesta en operación de la planta o unidad de generación tendrá un atraso mayor a un año, contado a partir de la fecha de inicio del Periodo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Pr>
          <w:rFonts w:ascii="Bookman Old Style" w:hAnsi="Bookman Old Style" w:cs="Arial"/>
          <w:i/>
          <w:color w:val="000000"/>
          <w:lang w:val="es-CO" w:eastAsia="es-CO"/>
        </w:rPr>
        <w:t>”</w:t>
      </w:r>
      <w:r>
        <w:rPr>
          <w:rFonts w:ascii="Bookman Old Style" w:hAnsi="Bookman Old Style" w:cs="Arial"/>
          <w:bCs/>
          <w:vanish/>
        </w:rPr>
        <w:t>PORFirme-OEF-s de Energ adquiriTl proyecto respecto de la OEF adquirida en la subasta de 2012.aciademncia de la obligaci</w:t>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bCs/>
        </w:rPr>
      </w:pPr>
      <w:r>
        <w:rPr>
          <w:rFonts w:ascii="Bookman Old Style" w:hAnsi="Bookman Old Style" w:cs="Arial"/>
        </w:rPr>
        <w:t>En aplicación del mecanismo del Cargo por Confiabilidad</w:t>
      </w:r>
      <w:r w:rsidR="00060035">
        <w:rPr>
          <w:rFonts w:ascii="Bookman Old Style" w:hAnsi="Bookman Old Style" w:cs="Arial"/>
        </w:rPr>
        <w:t>,</w:t>
      </w:r>
      <w:r>
        <w:rPr>
          <w:rFonts w:ascii="Bookman Old Style" w:hAnsi="Bookman Old Style" w:cs="Arial"/>
        </w:rPr>
        <w:t xml:space="preserve"> en el año 2008 </w:t>
      </w:r>
      <w:r w:rsidR="00060035">
        <w:rPr>
          <w:rFonts w:ascii="Bookman Old Style" w:hAnsi="Bookman Old Style" w:cs="Arial"/>
        </w:rPr>
        <w:t>la Comisión convocó</w:t>
      </w:r>
      <w:r>
        <w:rPr>
          <w:rFonts w:ascii="Bookman Old Style" w:hAnsi="Bookman Old Style" w:cs="Arial"/>
        </w:rPr>
        <w:t xml:space="preserve"> una subasta para </w:t>
      </w:r>
      <w:r w:rsidR="00060035">
        <w:rPr>
          <w:rFonts w:ascii="Bookman Old Style" w:hAnsi="Bookman Old Style" w:cs="Arial"/>
        </w:rPr>
        <w:t xml:space="preserve">asignación de obligaciones de energía firme a </w:t>
      </w:r>
      <w:r>
        <w:rPr>
          <w:rFonts w:ascii="Bookman Old Style" w:hAnsi="Bookman Old Style" w:cs="Arial"/>
        </w:rPr>
        <w:t xml:space="preserve">plantas </w:t>
      </w:r>
      <w:r w:rsidR="00060035">
        <w:rPr>
          <w:rFonts w:ascii="Bookman Old Style" w:hAnsi="Bookman Old Style" w:cs="Arial"/>
        </w:rPr>
        <w:t>con periodo de construcción superior al periodo de plan</w:t>
      </w:r>
      <w:r w:rsidR="004D015A">
        <w:rPr>
          <w:rFonts w:ascii="Bookman Old Style" w:hAnsi="Bookman Old Style" w:cs="Arial"/>
        </w:rPr>
        <w:t>e</w:t>
      </w:r>
      <w:r w:rsidR="00060035">
        <w:rPr>
          <w:rFonts w:ascii="Bookman Old Style" w:hAnsi="Bookman Old Style" w:cs="Arial"/>
        </w:rPr>
        <w:t xml:space="preserve">ación, </w:t>
      </w:r>
      <w:r>
        <w:rPr>
          <w:rFonts w:ascii="Bookman Old Style" w:hAnsi="Bookman Old Style" w:cs="Arial"/>
        </w:rPr>
        <w:t>GPPS</w:t>
      </w:r>
      <w:r w:rsidR="00060035">
        <w:rPr>
          <w:rFonts w:ascii="Bookman Old Style" w:hAnsi="Bookman Old Style" w:cs="Arial"/>
        </w:rPr>
        <w:t>,</w:t>
      </w:r>
      <w:r>
        <w:rPr>
          <w:rFonts w:ascii="Bookman Old Style" w:hAnsi="Bookman Old Style" w:cs="Arial"/>
        </w:rPr>
        <w:t xml:space="preserve"> </w:t>
      </w:r>
      <w:r w:rsidR="00060035">
        <w:rPr>
          <w:rFonts w:ascii="Bookman Old Style" w:hAnsi="Bookman Old Style" w:cs="Arial"/>
        </w:rPr>
        <w:t>la cual fue administrada por la empresa XM SA ESP, como lo ordena la Resol</w:t>
      </w:r>
      <w:r w:rsidR="004D015A">
        <w:rPr>
          <w:rFonts w:ascii="Bookman Old Style" w:hAnsi="Bookman Old Style" w:cs="Arial"/>
        </w:rPr>
        <w:t>u</w:t>
      </w:r>
      <w:r w:rsidR="00060035">
        <w:rPr>
          <w:rFonts w:ascii="Bookman Old Style" w:hAnsi="Bookman Old Style" w:cs="Arial"/>
        </w:rPr>
        <w:t>ción 071 de 2006. En esta subasta</w:t>
      </w:r>
      <w:r>
        <w:rPr>
          <w:rFonts w:ascii="Bookman Old Style" w:hAnsi="Bookman Old Style" w:cs="Arial"/>
        </w:rPr>
        <w:t xml:space="preserve"> participó el proyecto </w:t>
      </w:r>
      <w:r>
        <w:rPr>
          <w:rFonts w:ascii="Bookman Old Style" w:hAnsi="Bookman Old Style" w:cs="Arial"/>
          <w:bCs/>
        </w:rPr>
        <w:t>Hidroeléctrico Pescadero-Ituango</w:t>
      </w:r>
      <w:r w:rsidRPr="000074D5">
        <w:rPr>
          <w:rFonts w:ascii="Bookman Old Style" w:hAnsi="Bookman Old Style" w:cs="Arial"/>
          <w:bCs/>
        </w:rPr>
        <w:t>,</w:t>
      </w:r>
      <w:r>
        <w:rPr>
          <w:rFonts w:ascii="Bookman Old Style" w:hAnsi="Bookman Old Style" w:cs="Arial"/>
          <w:bCs/>
        </w:rPr>
        <w:t xml:space="preserve"> para lo cual declaró los </w:t>
      </w:r>
      <w:r w:rsidR="00B807C6">
        <w:rPr>
          <w:rFonts w:ascii="Bookman Old Style" w:hAnsi="Bookman Old Style" w:cs="Arial"/>
          <w:bCs/>
        </w:rPr>
        <w:t xml:space="preserve">siguientes </w:t>
      </w:r>
      <w:r>
        <w:rPr>
          <w:rFonts w:ascii="Bookman Old Style" w:hAnsi="Bookman Old Style" w:cs="Arial"/>
          <w:bCs/>
        </w:rPr>
        <w:t>parámetros: la topología de la planta, el IHF, la eficiencia, capacidad efectiva neta de 1.200MW, caudal medio mensual, embalse, capacidad máxima del arco generación.  Así mismo</w:t>
      </w:r>
      <w:r w:rsidR="004D015A">
        <w:rPr>
          <w:rFonts w:ascii="Bookman Old Style" w:hAnsi="Bookman Old Style" w:cs="Arial"/>
          <w:bCs/>
        </w:rPr>
        <w:t>,</w:t>
      </w:r>
      <w:r>
        <w:rPr>
          <w:rFonts w:ascii="Bookman Old Style" w:hAnsi="Bookman Old Style" w:cs="Arial"/>
          <w:bCs/>
        </w:rPr>
        <w:t xml:space="preserve"> el proyecto declaró y se le verificó una ENFICC de </w:t>
      </w:r>
      <w:r w:rsidRPr="003A19E2">
        <w:rPr>
          <w:rFonts w:ascii="Bookman Old Style" w:hAnsi="Bookman Old Style" w:cs="Arial"/>
          <w:bCs/>
        </w:rPr>
        <w:t>23</w:t>
      </w:r>
      <w:r>
        <w:rPr>
          <w:rFonts w:ascii="Bookman Old Style" w:hAnsi="Bookman Old Style" w:cs="Arial"/>
          <w:bCs/>
        </w:rPr>
        <w:t>.</w:t>
      </w:r>
      <w:r w:rsidRPr="003A19E2">
        <w:rPr>
          <w:rFonts w:ascii="Bookman Old Style" w:hAnsi="Bookman Old Style" w:cs="Arial"/>
          <w:bCs/>
        </w:rPr>
        <w:t>459</w:t>
      </w:r>
      <w:r>
        <w:rPr>
          <w:rFonts w:ascii="Bookman Old Style" w:hAnsi="Bookman Old Style" w:cs="Arial"/>
          <w:bCs/>
        </w:rPr>
        <w:t>.</w:t>
      </w:r>
      <w:r w:rsidRPr="003A19E2">
        <w:rPr>
          <w:rFonts w:ascii="Bookman Old Style" w:hAnsi="Bookman Old Style" w:cs="Arial"/>
          <w:bCs/>
        </w:rPr>
        <w:t>253</w:t>
      </w:r>
      <w:r>
        <w:rPr>
          <w:rFonts w:ascii="Bookman Old Style" w:hAnsi="Bookman Old Style" w:cs="Arial"/>
          <w:bCs/>
        </w:rPr>
        <w:t xml:space="preserve"> kWh/día.</w:t>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bCs/>
        </w:rPr>
      </w:pPr>
      <w:r>
        <w:rPr>
          <w:rFonts w:ascii="Bookman Old Style" w:hAnsi="Bookman Old Style" w:cs="Arial"/>
          <w:bCs/>
        </w:rPr>
        <w:t>Como resultado de la subasta</w:t>
      </w:r>
      <w:r w:rsidR="00C307CA">
        <w:rPr>
          <w:rFonts w:ascii="Bookman Old Style" w:hAnsi="Bookman Old Style" w:cs="Arial"/>
          <w:bCs/>
        </w:rPr>
        <w:t>,</w:t>
      </w:r>
      <w:r>
        <w:rPr>
          <w:rFonts w:ascii="Bookman Old Style" w:hAnsi="Bookman Old Style" w:cs="Arial"/>
          <w:bCs/>
        </w:rPr>
        <w:t xml:space="preserve"> el proyecto </w:t>
      </w:r>
      <w:r w:rsidR="004D015A">
        <w:rPr>
          <w:rFonts w:ascii="Bookman Old Style" w:hAnsi="Bookman Old Style" w:cs="Arial"/>
          <w:bCs/>
        </w:rPr>
        <w:t xml:space="preserve">Pescadero Ituango </w:t>
      </w:r>
      <w:r>
        <w:rPr>
          <w:rFonts w:ascii="Bookman Old Style" w:hAnsi="Bookman Old Style" w:cs="Arial"/>
          <w:bCs/>
        </w:rPr>
        <w:t xml:space="preserve">obtuvo asignaciones de Obligaciones de Energía Firme, OEF, por 1.085 GWh/año con inicio de periodo de vigencia de la obligación, IPVO, 1 de diciembre de 2018 y terminación </w:t>
      </w:r>
      <w:r w:rsidR="004D015A">
        <w:rPr>
          <w:rFonts w:ascii="Bookman Old Style" w:hAnsi="Bookman Old Style" w:cs="Arial"/>
          <w:bCs/>
        </w:rPr>
        <w:t xml:space="preserve">de dicho periodo </w:t>
      </w:r>
      <w:r>
        <w:rPr>
          <w:rFonts w:ascii="Bookman Old Style" w:hAnsi="Bookman Old Style" w:cs="Arial"/>
          <w:bCs/>
        </w:rPr>
        <w:t>en el año 2038</w:t>
      </w:r>
      <w:r w:rsidR="009F436C">
        <w:rPr>
          <w:rFonts w:ascii="Bookman Old Style" w:hAnsi="Bookman Old Style" w:cs="Arial"/>
          <w:bCs/>
        </w:rPr>
        <w:t xml:space="preserve"> y Cargo por Confiabilidad de </w:t>
      </w:r>
      <w:r w:rsidR="009F436C" w:rsidRPr="009F436C">
        <w:rPr>
          <w:rFonts w:ascii="Bookman Old Style" w:hAnsi="Bookman Old Style" w:cs="Arial"/>
          <w:bCs/>
        </w:rPr>
        <w:t>13</w:t>
      </w:r>
      <w:r w:rsidR="00E1475D">
        <w:rPr>
          <w:rFonts w:ascii="Bookman Old Style" w:hAnsi="Bookman Old Style" w:cs="Arial"/>
          <w:bCs/>
        </w:rPr>
        <w:t>,</w:t>
      </w:r>
      <w:r w:rsidR="009F436C" w:rsidRPr="009F436C">
        <w:rPr>
          <w:rFonts w:ascii="Bookman Old Style" w:hAnsi="Bookman Old Style" w:cs="Arial"/>
          <w:bCs/>
        </w:rPr>
        <w:t>998 USD/MWh</w:t>
      </w:r>
      <w:r>
        <w:rPr>
          <w:rFonts w:ascii="Bookman Old Style" w:hAnsi="Bookman Old Style" w:cs="Arial"/>
          <w:bCs/>
        </w:rPr>
        <w:t>.</w:t>
      </w:r>
    </w:p>
    <w:p w:rsidR="008E10C2" w:rsidRDefault="008E10C2" w:rsidP="008E10C2">
      <w:pPr>
        <w:ind w:left="0"/>
        <w:jc w:val="both"/>
        <w:rPr>
          <w:rFonts w:ascii="Bookman Old Style" w:hAnsi="Bookman Old Style" w:cs="Arial"/>
          <w:bCs/>
        </w:rPr>
      </w:pPr>
    </w:p>
    <w:p w:rsidR="009F436C" w:rsidRDefault="008E10C2" w:rsidP="009F436C">
      <w:pPr>
        <w:ind w:left="0"/>
        <w:jc w:val="both"/>
        <w:rPr>
          <w:rFonts w:ascii="Bookman Old Style" w:hAnsi="Bookman Old Style" w:cs="Arial"/>
          <w:bCs/>
        </w:rPr>
      </w:pPr>
      <w:r>
        <w:rPr>
          <w:rFonts w:ascii="Bookman Old Style" w:hAnsi="Bookman Old Style" w:cs="Arial"/>
          <w:bCs/>
        </w:rPr>
        <w:t>En el 2012</w:t>
      </w:r>
      <w:r w:rsidR="004D015A">
        <w:rPr>
          <w:rFonts w:ascii="Bookman Old Style" w:hAnsi="Bookman Old Style" w:cs="Arial"/>
          <w:bCs/>
        </w:rPr>
        <w:t xml:space="preserve">, </w:t>
      </w:r>
      <w:r w:rsidR="004D015A" w:rsidRPr="004D015A">
        <w:rPr>
          <w:rFonts w:ascii="Bookman Old Style" w:hAnsi="Bookman Old Style" w:cs="Arial"/>
          <w:bCs/>
        </w:rPr>
        <w:t>la Comisión convocó una subasta para asignación de obligaciones de energía firme a plantas con periodo de construcción superior al periodo de planeación, GPPS</w:t>
      </w:r>
      <w:r w:rsidR="004D015A">
        <w:rPr>
          <w:rFonts w:ascii="Bookman Old Style" w:hAnsi="Bookman Old Style" w:cs="Arial"/>
          <w:bCs/>
        </w:rPr>
        <w:t xml:space="preserve">, para el periodo 2021-2022, </w:t>
      </w:r>
      <w:r>
        <w:rPr>
          <w:rFonts w:ascii="Bookman Old Style" w:hAnsi="Bookman Old Style" w:cs="Arial"/>
          <w:bCs/>
        </w:rPr>
        <w:t xml:space="preserve">en la </w:t>
      </w:r>
      <w:r w:rsidR="004D015A">
        <w:rPr>
          <w:rFonts w:ascii="Bookman Old Style" w:hAnsi="Bookman Old Style" w:cs="Arial"/>
          <w:bCs/>
        </w:rPr>
        <w:t>cual</w:t>
      </w:r>
      <w:r>
        <w:rPr>
          <w:rFonts w:ascii="Bookman Old Style" w:hAnsi="Bookman Old Style" w:cs="Arial"/>
          <w:bCs/>
        </w:rPr>
        <w:t xml:space="preserve"> el proyecto </w:t>
      </w:r>
      <w:r w:rsidR="004D015A">
        <w:rPr>
          <w:rFonts w:ascii="Bookman Old Style" w:hAnsi="Bookman Old Style" w:cs="Arial"/>
          <w:bCs/>
        </w:rPr>
        <w:t>Pe</w:t>
      </w:r>
      <w:r w:rsidR="00774074">
        <w:rPr>
          <w:rFonts w:ascii="Bookman Old Style" w:hAnsi="Bookman Old Style" w:cs="Arial"/>
          <w:bCs/>
        </w:rPr>
        <w:t>s</w:t>
      </w:r>
      <w:r w:rsidR="004D015A">
        <w:rPr>
          <w:rFonts w:ascii="Bookman Old Style" w:hAnsi="Bookman Old Style" w:cs="Arial"/>
          <w:bCs/>
        </w:rPr>
        <w:t xml:space="preserve">cadero Ituango </w:t>
      </w:r>
      <w:r>
        <w:rPr>
          <w:rFonts w:ascii="Bookman Old Style" w:hAnsi="Bookman Old Style" w:cs="Arial"/>
          <w:bCs/>
        </w:rPr>
        <w:t xml:space="preserve">obtuvo OEF por 3.482 GWh/año con inicio de periodo de vigencia de la Obligación, IPVO, 1 de diciembre de 2021 y terminación </w:t>
      </w:r>
      <w:r w:rsidR="004D015A">
        <w:rPr>
          <w:rFonts w:ascii="Bookman Old Style" w:hAnsi="Bookman Old Style" w:cs="Arial"/>
          <w:bCs/>
        </w:rPr>
        <w:t xml:space="preserve">de dicho periodo </w:t>
      </w:r>
      <w:r>
        <w:rPr>
          <w:rFonts w:ascii="Bookman Old Style" w:hAnsi="Bookman Old Style" w:cs="Arial"/>
          <w:bCs/>
        </w:rPr>
        <w:t>en el año 2038</w:t>
      </w:r>
      <w:r w:rsidR="009F436C">
        <w:rPr>
          <w:rFonts w:ascii="Bookman Old Style" w:hAnsi="Bookman Old Style" w:cs="Arial"/>
          <w:bCs/>
        </w:rPr>
        <w:t xml:space="preserve"> Cargo por Confiabilidad de </w:t>
      </w:r>
      <w:r w:rsidR="009F436C" w:rsidRPr="009F436C">
        <w:rPr>
          <w:rFonts w:ascii="Bookman Old Style" w:hAnsi="Bookman Old Style" w:cs="Arial"/>
          <w:bCs/>
        </w:rPr>
        <w:t>1</w:t>
      </w:r>
      <w:r w:rsidR="009F436C">
        <w:rPr>
          <w:rFonts w:ascii="Bookman Old Style" w:hAnsi="Bookman Old Style" w:cs="Arial"/>
          <w:bCs/>
        </w:rPr>
        <w:t>7</w:t>
      </w:r>
      <w:r w:rsidR="00E1475D">
        <w:rPr>
          <w:rFonts w:ascii="Bookman Old Style" w:hAnsi="Bookman Old Style" w:cs="Arial"/>
          <w:bCs/>
        </w:rPr>
        <w:t>,</w:t>
      </w:r>
      <w:r w:rsidR="009F436C">
        <w:rPr>
          <w:rFonts w:ascii="Bookman Old Style" w:hAnsi="Bookman Old Style" w:cs="Arial"/>
          <w:bCs/>
        </w:rPr>
        <w:t>70</w:t>
      </w:r>
      <w:r w:rsidR="009F436C" w:rsidRPr="009F436C">
        <w:rPr>
          <w:rFonts w:ascii="Bookman Old Style" w:hAnsi="Bookman Old Style" w:cs="Arial"/>
          <w:bCs/>
        </w:rPr>
        <w:t xml:space="preserve"> USD/MWh</w:t>
      </w:r>
      <w:r w:rsidR="009F436C">
        <w:rPr>
          <w:rFonts w:ascii="Bookman Old Style" w:hAnsi="Bookman Old Style" w:cs="Arial"/>
          <w:bCs/>
        </w:rPr>
        <w:t>.</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 xml:space="preserve">En el año 2013, la construcción, operación y mantenimiento de la planta y las asignaciones de OEF </w:t>
      </w:r>
      <w:r w:rsidR="004D015A">
        <w:rPr>
          <w:rFonts w:ascii="Bookman Old Style" w:hAnsi="Bookman Old Style" w:cs="Arial"/>
          <w:bCs/>
        </w:rPr>
        <w:t>asignadas al proyecto Pescadero Ituango</w:t>
      </w:r>
      <w:r>
        <w:rPr>
          <w:rFonts w:ascii="Bookman Old Style" w:hAnsi="Bookman Old Style" w:cs="Arial"/>
          <w:bCs/>
        </w:rPr>
        <w:t xml:space="preserve"> en las subastas </w:t>
      </w:r>
      <w:r>
        <w:rPr>
          <w:rFonts w:ascii="Bookman Old Style" w:hAnsi="Bookman Old Style" w:cs="Arial"/>
        </w:rPr>
        <w:t xml:space="preserve">para plantas GPPS </w:t>
      </w:r>
      <w:r>
        <w:rPr>
          <w:rFonts w:ascii="Bookman Old Style" w:hAnsi="Bookman Old Style" w:cs="Arial"/>
          <w:bCs/>
        </w:rPr>
        <w:t>del 2008 y del 2012 fueron cedidas a Empresas Públicas de Medellín E.S.P. por quien hasta el momento era el responsable del proyecto</w:t>
      </w:r>
      <w:r w:rsidR="006F744F">
        <w:rPr>
          <w:rFonts w:ascii="Bookman Old Style" w:hAnsi="Bookman Old Style" w:cs="Arial"/>
          <w:bCs/>
        </w:rPr>
        <w:t>:</w:t>
      </w:r>
      <w:r>
        <w:rPr>
          <w:rFonts w:ascii="Bookman Old Style" w:hAnsi="Bookman Old Style" w:cs="Arial"/>
          <w:bCs/>
        </w:rPr>
        <w:t xml:space="preserve"> EPM ITUANGO S.A. E.S.P.</w:t>
      </w:r>
    </w:p>
    <w:p w:rsidR="008E10C2" w:rsidRDefault="008E10C2" w:rsidP="008E10C2">
      <w:pPr>
        <w:ind w:left="0"/>
        <w:jc w:val="both"/>
        <w:rPr>
          <w:rFonts w:ascii="Bookman Old Style" w:hAnsi="Bookman Old Style" w:cs="Arial"/>
          <w:bCs/>
        </w:rPr>
      </w:pPr>
    </w:p>
    <w:p w:rsidR="008E10C2" w:rsidRDefault="00E73B4A" w:rsidP="008E10C2">
      <w:pPr>
        <w:ind w:left="0"/>
        <w:jc w:val="both"/>
        <w:rPr>
          <w:rFonts w:ascii="Bookman Old Style" w:hAnsi="Bookman Old Style" w:cs="Arial"/>
          <w:bCs/>
        </w:rPr>
      </w:pPr>
      <w:r>
        <w:rPr>
          <w:rFonts w:ascii="Bookman Old Style" w:hAnsi="Bookman Old Style" w:cs="Arial"/>
          <w:bCs/>
        </w:rPr>
        <w:t xml:space="preserve">Conforme a lo definido en el artículo 8 y el Anexo 1 de la Resolución CREG 071 de 2006 el ASIC contrató a la firma Deloitte para hacer la verificación del cumplimiento de las obligaciones de construcción y puesta en operación.  </w:t>
      </w:r>
      <w:r w:rsidR="008E10C2" w:rsidRPr="00B23A76">
        <w:rPr>
          <w:rFonts w:ascii="Bookman Old Style" w:hAnsi="Bookman Old Style" w:cs="Arial"/>
          <w:bCs/>
        </w:rPr>
        <w:t>El 22 de octubre de 2018, la CREG recib</w:t>
      </w:r>
      <w:r w:rsidR="008E10C2">
        <w:rPr>
          <w:rFonts w:ascii="Bookman Old Style" w:hAnsi="Bookman Old Style" w:cs="Arial"/>
          <w:bCs/>
        </w:rPr>
        <w:t>ió</w:t>
      </w:r>
      <w:r w:rsidR="008E10C2" w:rsidRPr="00B23A76">
        <w:rPr>
          <w:rFonts w:ascii="Bookman Old Style" w:hAnsi="Bookman Old Style" w:cs="Arial"/>
          <w:bCs/>
        </w:rPr>
        <w:t xml:space="preserve"> el informe </w:t>
      </w:r>
      <w:r w:rsidR="008E10C2">
        <w:rPr>
          <w:rFonts w:ascii="Bookman Old Style" w:hAnsi="Bookman Old Style" w:cs="Arial"/>
          <w:bCs/>
        </w:rPr>
        <w:t>final correspondiente al primer semestre del año 2018</w:t>
      </w:r>
      <w:r w:rsidR="006F744F">
        <w:rPr>
          <w:rFonts w:ascii="Bookman Old Style" w:hAnsi="Bookman Old Style" w:cs="Arial"/>
          <w:bCs/>
        </w:rPr>
        <w:t>,</w:t>
      </w:r>
      <w:r w:rsidR="008E10C2">
        <w:rPr>
          <w:rFonts w:ascii="Bookman Old Style" w:hAnsi="Bookman Old Style" w:cs="Arial"/>
          <w:bCs/>
        </w:rPr>
        <w:t xml:space="preserve"> emitido por </w:t>
      </w:r>
      <w:r w:rsidR="008E10C2" w:rsidRPr="00B23A76">
        <w:rPr>
          <w:rFonts w:ascii="Bookman Old Style" w:hAnsi="Bookman Old Style" w:cs="Arial"/>
          <w:bCs/>
        </w:rPr>
        <w:t>el auditor del proyecto</w:t>
      </w:r>
      <w:r w:rsidR="008E10C2">
        <w:rPr>
          <w:rFonts w:ascii="Bookman Old Style" w:hAnsi="Bookman Old Style" w:cs="Arial"/>
          <w:bCs/>
        </w:rPr>
        <w:t xml:space="preserve">, la firma </w:t>
      </w:r>
      <w:r w:rsidR="008E10C2" w:rsidRPr="00B23A76">
        <w:rPr>
          <w:rFonts w:ascii="Bookman Old Style" w:hAnsi="Bookman Old Style" w:cs="Arial"/>
          <w:bCs/>
        </w:rPr>
        <w:t>Deloitte</w:t>
      </w:r>
      <w:r w:rsidR="008E10C2">
        <w:rPr>
          <w:rFonts w:ascii="Bookman Old Style" w:hAnsi="Bookman Old Style" w:cs="Arial"/>
          <w:bCs/>
        </w:rPr>
        <w:t>.  En el informe, después de presentar unos antecedentes</w:t>
      </w:r>
      <w:r w:rsidR="006F744F">
        <w:rPr>
          <w:rFonts w:ascii="Bookman Old Style" w:hAnsi="Bookman Old Style" w:cs="Arial"/>
          <w:bCs/>
        </w:rPr>
        <w:t>,</w:t>
      </w:r>
      <w:r w:rsidR="008E10C2">
        <w:rPr>
          <w:rFonts w:ascii="Bookman Old Style" w:hAnsi="Bookman Old Style" w:cs="Arial"/>
          <w:bCs/>
        </w:rPr>
        <w:t xml:space="preserve"> el auditor hace un recuento de las actividades desarrolladas en el proceso de verificación, destaca los </w:t>
      </w:r>
      <w:r w:rsidR="008E10C2">
        <w:rPr>
          <w:rFonts w:ascii="Bookman Old Style" w:hAnsi="Bookman Old Style" w:cs="Arial"/>
          <w:bCs/>
        </w:rPr>
        <w:lastRenderedPageBreak/>
        <w:t>elementos de información que fueron requeridos y no fueron entregados por parte de EPM y hace referencia a los comentarios formulados por EPM frente al informe preliminar.  Finalmente, el auditor presenta la siguiente conclusión</w:t>
      </w:r>
      <w:r w:rsidR="008E10C2" w:rsidRPr="00B23A76">
        <w:rPr>
          <w:rFonts w:ascii="Bookman Old Style" w:hAnsi="Bookman Old Style" w:cs="Arial"/>
          <w:bCs/>
        </w:rPr>
        <w:t xml:space="preserve">: </w:t>
      </w:r>
      <w:r w:rsidR="008E10C2" w:rsidRPr="00AF4C74">
        <w:rPr>
          <w:rFonts w:ascii="Bookman Old Style" w:hAnsi="Bookman Old Style" w:cs="Arial"/>
          <w:bCs/>
          <w:i/>
        </w:rPr>
        <w:t>“</w:t>
      </w:r>
      <w:r w:rsidR="008E10C2">
        <w:rPr>
          <w:rFonts w:ascii="Bookman Old Style" w:hAnsi="Bookman Old Style" w:cs="Arial"/>
          <w:bCs/>
          <w:i/>
        </w:rPr>
        <w:t>T</w:t>
      </w:r>
      <w:r w:rsidR="008E10C2" w:rsidRPr="00AF4C74">
        <w:rPr>
          <w:rFonts w:ascii="Bookman Old Style" w:hAnsi="Bookman Old Style" w:cs="Arial"/>
          <w:bCs/>
          <w:i/>
        </w:rPr>
        <w:t>eniendo en cuenta lo anterior</w:t>
      </w:r>
      <w:r w:rsidR="008E10C2">
        <w:rPr>
          <w:rFonts w:ascii="Bookman Old Style" w:hAnsi="Bookman Old Style" w:cs="Arial"/>
          <w:bCs/>
          <w:i/>
        </w:rPr>
        <w:t>,</w:t>
      </w:r>
      <w:r w:rsidR="008E10C2" w:rsidRPr="00AF4C74">
        <w:rPr>
          <w:rFonts w:ascii="Bookman Old Style" w:hAnsi="Bookman Old Style" w:cs="Arial"/>
          <w:bCs/>
          <w:i/>
        </w:rPr>
        <w:t xml:space="preserve"> a partir del </w:t>
      </w:r>
      <w:r w:rsidR="008E10C2">
        <w:rPr>
          <w:rFonts w:ascii="Bookman Old Style" w:hAnsi="Bookman Old Style" w:cs="Arial"/>
          <w:bCs/>
          <w:i/>
        </w:rPr>
        <w:t xml:space="preserve">resultado del </w:t>
      </w:r>
      <w:r w:rsidR="008E10C2" w:rsidRPr="00AF4C74">
        <w:rPr>
          <w:rFonts w:ascii="Bookman Old Style" w:hAnsi="Bookman Old Style" w:cs="Arial"/>
          <w:bCs/>
          <w:i/>
        </w:rPr>
        <w:t xml:space="preserve">procedimiento alterno de auditoria de confirmación y en ese sentido las manifestaciones del gestor del </w:t>
      </w:r>
      <w:r w:rsidR="008E10C2">
        <w:rPr>
          <w:rFonts w:ascii="Bookman Old Style" w:hAnsi="Bookman Old Style" w:cs="Arial"/>
          <w:bCs/>
          <w:i/>
        </w:rPr>
        <w:t>p</w:t>
      </w:r>
      <w:r w:rsidR="008E10C2" w:rsidRPr="00AF4C74">
        <w:rPr>
          <w:rFonts w:ascii="Bookman Old Style" w:hAnsi="Bookman Old Style" w:cs="Arial"/>
          <w:bCs/>
          <w:i/>
        </w:rPr>
        <w:t>royecto, conforme con lo indicado en el artículo 17 de la Resolución CREG 061 de 2007</w:t>
      </w:r>
      <w:r w:rsidR="008E10C2">
        <w:rPr>
          <w:rFonts w:ascii="Bookman Old Style" w:hAnsi="Bookman Old Style" w:cs="Arial"/>
          <w:bCs/>
          <w:i/>
        </w:rPr>
        <w:t xml:space="preserve"> </w:t>
      </w:r>
      <w:r w:rsidR="008E10C2" w:rsidRPr="00AF4C74">
        <w:rPr>
          <w:rFonts w:ascii="Bookman Old Style" w:hAnsi="Bookman Old Style" w:cs="Arial"/>
          <w:bCs/>
          <w:i/>
        </w:rPr>
        <w:t>(que modifica la Resolución CREG 071 de 2006), se presenta un atraso importante frente a la fecha del Inicio del Periodo de vi</w:t>
      </w:r>
      <w:r w:rsidR="008E10C2">
        <w:rPr>
          <w:rFonts w:ascii="Bookman Old Style" w:hAnsi="Bookman Old Style" w:cs="Arial"/>
          <w:bCs/>
          <w:i/>
        </w:rPr>
        <w:t>gencia de la Obligación-IPVO- (</w:t>
      </w:r>
      <w:r w:rsidR="008E10C2" w:rsidRPr="00AF4C74">
        <w:rPr>
          <w:rFonts w:ascii="Bookman Old Style" w:hAnsi="Bookman Old Style" w:cs="Arial"/>
          <w:bCs/>
          <w:i/>
        </w:rPr>
        <w:t>1 de diciembre de 2018), lo cual, conforme a la regulación aplicable, constituye incumplimiento grave e insalvable.</w:t>
      </w:r>
      <w:r w:rsidR="008E10C2">
        <w:rPr>
          <w:rFonts w:ascii="Bookman Old Style" w:hAnsi="Bookman Old Style" w:cs="Arial"/>
          <w:bCs/>
          <w:i/>
        </w:rPr>
        <w:t>”</w:t>
      </w:r>
    </w:p>
    <w:p w:rsidR="008E10C2" w:rsidRDefault="008E10C2" w:rsidP="008E10C2">
      <w:pPr>
        <w:ind w:left="0"/>
        <w:rPr>
          <w:rFonts w:ascii="Bookman Old Style" w:hAnsi="Bookman Old Style"/>
          <w:b/>
        </w:rPr>
      </w:pPr>
    </w:p>
    <w:p w:rsidR="008E10C2" w:rsidRDefault="008E10C2" w:rsidP="008E10C2">
      <w:pPr>
        <w:ind w:left="0"/>
        <w:rPr>
          <w:rFonts w:ascii="Bookman Old Style" w:hAnsi="Bookman Old Style"/>
          <w:b/>
        </w:rPr>
      </w:pPr>
    </w:p>
    <w:p w:rsidR="008E10C2" w:rsidRDefault="008E10C2" w:rsidP="008E10C2">
      <w:pPr>
        <w:ind w:left="0"/>
        <w:rPr>
          <w:rFonts w:ascii="Bookman Old Style" w:hAnsi="Bookman Old Style"/>
          <w:b/>
        </w:rPr>
      </w:pPr>
    </w:p>
    <w:p w:rsidR="008E10C2" w:rsidRDefault="008E10C2" w:rsidP="008E10C2">
      <w:pPr>
        <w:numPr>
          <w:ilvl w:val="0"/>
          <w:numId w:val="24"/>
        </w:numPr>
        <w:rPr>
          <w:rFonts w:ascii="Bookman Old Style" w:hAnsi="Bookman Old Style"/>
          <w:b/>
        </w:rPr>
      </w:pPr>
      <w:r>
        <w:rPr>
          <w:rFonts w:ascii="Bookman Old Style" w:hAnsi="Bookman Old Style"/>
          <w:b/>
        </w:rPr>
        <w:t xml:space="preserve">ACTUACIÓN ADMINISTRATIVA </w:t>
      </w:r>
    </w:p>
    <w:p w:rsidR="008E10C2" w:rsidRPr="00496B75" w:rsidRDefault="008E10C2" w:rsidP="008E10C2">
      <w:pPr>
        <w:rPr>
          <w:rFonts w:ascii="Bookman Old Style" w:hAnsi="Bookman Old Style"/>
          <w:b/>
        </w:rPr>
      </w:pPr>
    </w:p>
    <w:p w:rsidR="008E10C2" w:rsidRPr="00286CAF" w:rsidRDefault="008E10C2" w:rsidP="008E10C2">
      <w:pPr>
        <w:ind w:left="720"/>
        <w:rPr>
          <w:rFonts w:ascii="Bookman Old Style" w:hAnsi="Bookman Old Style"/>
          <w:highlight w:val="yellow"/>
        </w:rPr>
      </w:pPr>
    </w:p>
    <w:p w:rsidR="008E10C2" w:rsidRPr="003D31DD" w:rsidRDefault="008E10C2" w:rsidP="008E10C2">
      <w:pPr>
        <w:numPr>
          <w:ilvl w:val="0"/>
          <w:numId w:val="27"/>
        </w:numPr>
        <w:rPr>
          <w:rFonts w:ascii="Bookman Old Style" w:hAnsi="Bookman Old Style"/>
          <w:b/>
        </w:rPr>
      </w:pPr>
      <w:r w:rsidRPr="003D31DD">
        <w:rPr>
          <w:rFonts w:ascii="Bookman Old Style" w:hAnsi="Bookman Old Style"/>
          <w:b/>
        </w:rPr>
        <w:t xml:space="preserve">Inicio de la actuación administrativa </w:t>
      </w:r>
    </w:p>
    <w:p w:rsidR="008E10C2" w:rsidRDefault="008E10C2" w:rsidP="008E10C2">
      <w:pPr>
        <w:ind w:left="0"/>
        <w:jc w:val="both"/>
        <w:rPr>
          <w:rFonts w:ascii="Bookman Old Style" w:hAnsi="Bookman Old Style" w:cs="Arial"/>
          <w:bCs/>
        </w:rPr>
      </w:pPr>
    </w:p>
    <w:p w:rsidR="008E10C2" w:rsidRPr="00052B5D" w:rsidRDefault="008E10C2" w:rsidP="008E10C2">
      <w:pPr>
        <w:ind w:left="0"/>
        <w:jc w:val="both"/>
        <w:rPr>
          <w:rFonts w:ascii="Bookman Old Style" w:hAnsi="Bookman Old Style"/>
          <w:bCs/>
          <w:lang w:val="es-CO"/>
        </w:rPr>
      </w:pPr>
      <w:r>
        <w:rPr>
          <w:rFonts w:ascii="Bookman Old Style" w:hAnsi="Bookman Old Style" w:cs="Arial"/>
          <w:bCs/>
        </w:rPr>
        <w:t>Recibido el informe del auditor del proyecto, atendiendo a las conclusiones del mismo y a lo previsto en la regulación, mediante auto de 6 de noviembre de 2018 la dirección ejecutiva de la CREG inició una  actuación administrativa “</w:t>
      </w:r>
      <w:r w:rsidRPr="00FE4F73">
        <w:rPr>
          <w:rFonts w:ascii="Bookman Old Style" w:hAnsi="Bookman Old Style" w:cs="Arial"/>
          <w:bCs/>
          <w:i/>
        </w:rPr>
        <w:t xml:space="preserve">con </w:t>
      </w:r>
      <w:r w:rsidRPr="00FE4F73">
        <w:rPr>
          <w:rFonts w:ascii="Bookman Old Style" w:hAnsi="Bookman Old Style"/>
          <w:bCs/>
          <w:i/>
          <w:lang w:val="es-CO"/>
        </w:rPr>
        <w:t xml:space="preserve">el objeto establecer plenamente la existencia </w:t>
      </w:r>
      <w:r w:rsidRPr="009F436C">
        <w:rPr>
          <w:rFonts w:ascii="Bookman Old Style" w:hAnsi="Bookman Old Style"/>
          <w:bCs/>
          <w:i/>
          <w:lang w:val="es-CO"/>
        </w:rPr>
        <w:t>del incumplimiento grave e insalvable del proyecto Hidroeléctrico Ituango, el cual está siendo adelantado por Empresas Públicas de Medellín EPM SA ESP y determinar las consecuencias respecto de las obligaciones de energía firme (OEF) asignadas con inicio de vigencia 2018 y de las obligaciones de energía firme (OEF) asignadas con inicio de vigencia 2021.”</w:t>
      </w:r>
    </w:p>
    <w:p w:rsidR="008E10C2" w:rsidRDefault="008E10C2" w:rsidP="008E10C2">
      <w:pPr>
        <w:ind w:left="0"/>
        <w:jc w:val="both"/>
        <w:rPr>
          <w:rFonts w:ascii="Bookman Old Style" w:hAnsi="Bookman Old Style"/>
          <w:b/>
          <w:bCs/>
          <w:lang w:val="es-CO"/>
        </w:rPr>
      </w:pPr>
    </w:p>
    <w:p w:rsidR="008E10C2" w:rsidRPr="004A05EA" w:rsidRDefault="008E10C2" w:rsidP="008E10C2">
      <w:pPr>
        <w:ind w:left="0"/>
        <w:jc w:val="both"/>
        <w:rPr>
          <w:rFonts w:ascii="Bookman Old Style" w:hAnsi="Bookman Old Style" w:cs="Arial"/>
          <w:bCs/>
          <w:lang w:val="es-CO"/>
        </w:rPr>
      </w:pPr>
      <w:r>
        <w:rPr>
          <w:rFonts w:ascii="Bookman Old Style" w:hAnsi="Bookman Old Style" w:cs="Arial"/>
          <w:bCs/>
          <w:lang w:val="es-CO"/>
        </w:rPr>
        <w:t>E</w:t>
      </w:r>
      <w:r w:rsidRPr="004A05EA">
        <w:rPr>
          <w:rFonts w:ascii="Bookman Old Style" w:hAnsi="Bookman Old Style" w:cs="Arial"/>
          <w:bCs/>
          <w:lang w:val="es-CO"/>
        </w:rPr>
        <w:t>l 7 de noviembre de 2018 se citó al representante legal de Empresas Públicas de Medellín EPM S.A ESP para notificarlo personalmente del inicio de la actuación</w:t>
      </w:r>
      <w:r>
        <w:rPr>
          <w:rFonts w:ascii="Bookman Old Style" w:hAnsi="Bookman Old Style" w:cs="Arial"/>
          <w:bCs/>
          <w:lang w:val="es-CO"/>
        </w:rPr>
        <w:t xml:space="preserve">. En tanto que no fue posible realizar </w:t>
      </w:r>
      <w:r w:rsidR="00C307CA">
        <w:rPr>
          <w:rFonts w:ascii="Bookman Old Style" w:hAnsi="Bookman Old Style" w:cs="Arial"/>
          <w:bCs/>
          <w:lang w:val="es-CO"/>
        </w:rPr>
        <w:t>la</w:t>
      </w:r>
      <w:r>
        <w:rPr>
          <w:rFonts w:ascii="Bookman Old Style" w:hAnsi="Bookman Old Style" w:cs="Arial"/>
          <w:bCs/>
          <w:lang w:val="es-CO"/>
        </w:rPr>
        <w:t xml:space="preserve"> notificación personal esta </w:t>
      </w:r>
      <w:r w:rsidRPr="004A05EA">
        <w:rPr>
          <w:rFonts w:ascii="Bookman Old Style" w:hAnsi="Bookman Old Style" w:cs="Arial"/>
          <w:bCs/>
          <w:lang w:val="es-CO"/>
        </w:rPr>
        <w:t>se realizó por aviso el 5 de diciembre de 2018.</w:t>
      </w:r>
    </w:p>
    <w:p w:rsidR="008E10C2" w:rsidRPr="004A05EA" w:rsidRDefault="008E10C2" w:rsidP="008E10C2">
      <w:pPr>
        <w:ind w:left="0"/>
        <w:jc w:val="both"/>
        <w:rPr>
          <w:rFonts w:ascii="Bookman Old Style" w:hAnsi="Bookman Old Style" w:cs="Arial"/>
          <w:bCs/>
          <w:lang w:val="es-CO"/>
        </w:rPr>
      </w:pPr>
    </w:p>
    <w:p w:rsidR="008E10C2" w:rsidRDefault="008E10C2" w:rsidP="008E10C2">
      <w:pPr>
        <w:ind w:left="0"/>
        <w:jc w:val="both"/>
        <w:rPr>
          <w:rFonts w:ascii="Bookman Old Style" w:hAnsi="Bookman Old Style" w:cs="Arial"/>
          <w:bCs/>
          <w:lang w:val="es-CO"/>
        </w:rPr>
      </w:pPr>
      <w:r>
        <w:rPr>
          <w:rFonts w:ascii="Bookman Old Style" w:hAnsi="Bookman Old Style" w:cs="Arial"/>
          <w:bCs/>
          <w:lang w:val="es-CO"/>
        </w:rPr>
        <w:t>E</w:t>
      </w:r>
      <w:r w:rsidRPr="004A05EA">
        <w:rPr>
          <w:rFonts w:ascii="Bookman Old Style" w:hAnsi="Bookman Old Style" w:cs="Arial"/>
          <w:bCs/>
          <w:lang w:val="es-CO"/>
        </w:rPr>
        <w:t>l 28 de diciembre de 2018 Empresas Públicas de Medellín EPM S.A ESP</w:t>
      </w:r>
      <w:r>
        <w:rPr>
          <w:rFonts w:ascii="Bookman Old Style" w:hAnsi="Bookman Old Style" w:cs="Arial"/>
          <w:bCs/>
          <w:lang w:val="es-CO"/>
        </w:rPr>
        <w:t>,</w:t>
      </w:r>
      <w:r w:rsidRPr="004A05EA">
        <w:rPr>
          <w:rFonts w:ascii="Bookman Old Style" w:hAnsi="Bookman Old Style" w:cs="Arial"/>
          <w:bCs/>
          <w:lang w:val="es-CO"/>
        </w:rPr>
        <w:t xml:space="preserve"> a través de apoderada</w:t>
      </w:r>
      <w:r>
        <w:rPr>
          <w:rFonts w:ascii="Bookman Old Style" w:hAnsi="Bookman Old Style" w:cs="Arial"/>
          <w:bCs/>
          <w:lang w:val="es-CO"/>
        </w:rPr>
        <w:t>,</w:t>
      </w:r>
      <w:r w:rsidRPr="004A05EA">
        <w:rPr>
          <w:rFonts w:ascii="Bookman Old Style" w:hAnsi="Bookman Old Style" w:cs="Arial"/>
          <w:bCs/>
          <w:lang w:val="es-CO"/>
        </w:rPr>
        <w:t xml:space="preserve"> se pronuncia sobre la actuación administrativa, </w:t>
      </w:r>
      <w:r w:rsidR="006F744F">
        <w:rPr>
          <w:rFonts w:ascii="Bookman Old Style" w:hAnsi="Bookman Old Style" w:cs="Arial"/>
          <w:bCs/>
          <w:lang w:val="es-CO"/>
        </w:rPr>
        <w:t>aporta pruebas documentales y un dictamen pericial y solicita la práctica de unos testimonios.</w:t>
      </w:r>
    </w:p>
    <w:p w:rsidR="008E10C2" w:rsidRDefault="008E10C2" w:rsidP="008E10C2">
      <w:pPr>
        <w:ind w:left="0"/>
        <w:jc w:val="both"/>
        <w:rPr>
          <w:rFonts w:ascii="Bookman Old Style" w:hAnsi="Bookman Old Style" w:cs="Arial"/>
          <w:bCs/>
          <w:lang w:val="es-CO"/>
        </w:rPr>
      </w:pPr>
    </w:p>
    <w:p w:rsidR="008E10C2" w:rsidRPr="001D21AA" w:rsidRDefault="008E10C2" w:rsidP="008E10C2">
      <w:pPr>
        <w:numPr>
          <w:ilvl w:val="0"/>
          <w:numId w:val="27"/>
        </w:numPr>
        <w:rPr>
          <w:rFonts w:ascii="Bookman Old Style" w:hAnsi="Bookman Old Style"/>
          <w:b/>
          <w:lang w:val="es-CO"/>
        </w:rPr>
      </w:pPr>
      <w:r>
        <w:rPr>
          <w:rFonts w:ascii="Bookman Old Style" w:hAnsi="Bookman Old Style"/>
          <w:b/>
          <w:lang w:val="es-CO"/>
        </w:rPr>
        <w:t>Argumentos</w:t>
      </w:r>
      <w:r w:rsidRPr="001D21AA">
        <w:rPr>
          <w:rFonts w:ascii="Bookman Old Style" w:hAnsi="Bookman Old Style"/>
          <w:b/>
          <w:lang w:val="es-CO"/>
        </w:rPr>
        <w:t xml:space="preserve"> de EPM </w:t>
      </w:r>
    </w:p>
    <w:p w:rsidR="008E10C2" w:rsidRDefault="008E10C2" w:rsidP="008E10C2">
      <w:pPr>
        <w:ind w:left="0"/>
        <w:rPr>
          <w:rFonts w:ascii="Bookman Old Style" w:hAnsi="Bookman Old Style"/>
          <w:b/>
        </w:rPr>
      </w:pPr>
    </w:p>
    <w:p w:rsidR="008E10C2" w:rsidRDefault="008E10C2" w:rsidP="008E10C2">
      <w:pPr>
        <w:ind w:left="0"/>
        <w:jc w:val="both"/>
        <w:rPr>
          <w:rFonts w:ascii="Bookman Old Style" w:hAnsi="Bookman Old Style"/>
        </w:rPr>
      </w:pPr>
      <w:r>
        <w:rPr>
          <w:rFonts w:ascii="Bookman Old Style" w:hAnsi="Bookman Old Style"/>
        </w:rPr>
        <w:t xml:space="preserve">En aparte I. del documento la apoderada de la empresa presenta los </w:t>
      </w:r>
      <w:r>
        <w:rPr>
          <w:rFonts w:ascii="Bookman Old Style" w:hAnsi="Bookman Old Style"/>
          <w:i/>
        </w:rPr>
        <w:t>“Fundamentos Fácticos”</w:t>
      </w:r>
      <w:r>
        <w:rPr>
          <w:rFonts w:ascii="Bookman Old Style" w:hAnsi="Bookman Old Style"/>
        </w:rPr>
        <w:t xml:space="preserve"> haciendo en primer lugar una descripción del proyecto Hidroeléctrico Ituango en cuanto a su localización, características técnicas y geomorfológicas.  Posteriormente hace referencia al esquema de gestión integral de riesgos y enumera los que se identificaron en la matriz correspondiente al proyecto. En el numeral 3 de este aparte se hace una descripción de la participación del proyecto en el esquema del Cargo por Confiabilidad, de las asignaciones obtenidas en las subastas </w:t>
      </w:r>
      <w:r>
        <w:rPr>
          <w:rFonts w:ascii="Bookman Old Style" w:hAnsi="Bookman Old Style" w:cs="Arial"/>
        </w:rPr>
        <w:t xml:space="preserve">para plantas GPPS </w:t>
      </w:r>
      <w:r>
        <w:rPr>
          <w:rFonts w:ascii="Bookman Old Style" w:hAnsi="Bookman Old Style"/>
        </w:rPr>
        <w:t xml:space="preserve">realizadas en 2008 y en 2012 y hace referencia a lo establecido en los artículos 7 y 9 de la Resolución CREG 071 de 2006.  Finalmente, el documento hace referencia a los eventos de la contingencia ocurrida entre abril y mayo de 2018 que afectó al proyecto y </w:t>
      </w:r>
      <w:r>
        <w:rPr>
          <w:rFonts w:ascii="Bookman Old Style" w:hAnsi="Bookman Old Style"/>
        </w:rPr>
        <w:lastRenderedPageBreak/>
        <w:t>describe las medidas tomadas por la empresa para el control de los riesgos para el proyecto, los aspectos ambientales, sociales y financieros.</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El aparte II del documento presenta los “</w:t>
      </w:r>
      <w:r w:rsidRPr="000B42FF">
        <w:rPr>
          <w:rFonts w:ascii="Bookman Old Style" w:hAnsi="Bookman Old Style"/>
          <w:i/>
        </w:rPr>
        <w:t>Fundamentos Jurídicos y Regulatorios</w:t>
      </w:r>
      <w:r>
        <w:rPr>
          <w:rFonts w:ascii="Bookman Old Style" w:hAnsi="Bookman Old Style"/>
          <w:i/>
        </w:rPr>
        <w:t>”</w:t>
      </w:r>
      <w:r>
        <w:rPr>
          <w:rFonts w:ascii="Bookman Old Style" w:hAnsi="Bookman Old Style"/>
        </w:rPr>
        <w:t xml:space="preserve">.  En el numeral 1.1 de este aparte hace una descripción de la situación del proyecto al momento de la contingencia, indicando que según el informe del auditor con corte diciembre 31 de 2017 el proyecto tenía un estado de avance del 80.98% con un atraso de 263 días.  Señala que a la fecha de la contingencia se habían hecho inversiones por 8.48 billones de pesos, de un total de 11.4 billones que se tenían previstos como costo del proyecto, que el plan de manejo ambiental se encontraba en una etapa avanzada, describe las diferentes líneas de desarrollo del mismo y hace referencia a   la inversión social prevista y ejecutada. </w:t>
      </w:r>
    </w:p>
    <w:p w:rsidR="008E10C2" w:rsidRDefault="008E10C2" w:rsidP="008E10C2">
      <w:pPr>
        <w:ind w:left="0"/>
        <w:jc w:val="both"/>
        <w:rPr>
          <w:rFonts w:ascii="Bookman Old Style" w:hAnsi="Bookman Old Style"/>
        </w:rPr>
      </w:pPr>
      <w:r>
        <w:rPr>
          <w:rFonts w:ascii="Bookman Old Style" w:hAnsi="Bookman Old Style"/>
        </w:rPr>
        <w:t xml:space="preserve"> </w:t>
      </w:r>
    </w:p>
    <w:p w:rsidR="008E10C2" w:rsidRDefault="008E10C2" w:rsidP="008E10C2">
      <w:pPr>
        <w:ind w:left="0"/>
        <w:jc w:val="both"/>
        <w:rPr>
          <w:rFonts w:ascii="Bookman Old Style" w:hAnsi="Bookman Old Style"/>
        </w:rPr>
      </w:pPr>
      <w:r>
        <w:rPr>
          <w:rFonts w:ascii="Bookman Old Style" w:hAnsi="Bookman Old Style"/>
        </w:rPr>
        <w:t xml:space="preserve">Continua el documento en el numeral 1.2 del aparte II, </w:t>
      </w:r>
      <w:r>
        <w:rPr>
          <w:rFonts w:ascii="Bookman Old Style" w:hAnsi="Bookman Old Style"/>
          <w:i/>
        </w:rPr>
        <w:t>Particularidades del Proyecto Hidroeléctrico Ituango que lo configuran como un ca</w:t>
      </w:r>
      <w:r w:rsidR="00DF0427">
        <w:rPr>
          <w:rFonts w:ascii="Bookman Old Style" w:hAnsi="Bookman Old Style"/>
          <w:i/>
        </w:rPr>
        <w:t>so</w:t>
      </w:r>
      <w:r>
        <w:rPr>
          <w:rFonts w:ascii="Bookman Old Style" w:hAnsi="Bookman Old Style"/>
          <w:i/>
        </w:rPr>
        <w:t xml:space="preserve"> especial, presentando</w:t>
      </w:r>
      <w:r>
        <w:rPr>
          <w:rFonts w:ascii="Bookman Old Style" w:hAnsi="Bookman Old Style"/>
        </w:rPr>
        <w:t xml:space="preserve"> una comparación con otros proyectos hidroeléctricos de grandes presas tales como Chivor, El Guavio y Sogamoso.  Para el efecto, después de incluir las fichas técnicas de los 4 proyectos, incluyendo a Ituango, presenta un cuadro en el que los compara en función de las capacidades de generación construida por año, la duración de la construcción, la capacidad de almacenamiento, el área de embalse y la longitud de la cresta.  Con base en esta información plantea un análisis del que concluye: </w:t>
      </w:r>
      <w:r>
        <w:rPr>
          <w:rFonts w:ascii="Bookman Old Style" w:hAnsi="Bookman Old Style"/>
          <w:i/>
        </w:rPr>
        <w:t xml:space="preserve">“Considerando los aspectos mencionados la construcción del proyecto Hidroituango ha tenido mayores exigencias en cuanto a capacidad de generación construida anualmente y características del embalse en un menor tiempo de construcción si se compara con las centrales Chivor y Guavio.” </w:t>
      </w:r>
      <w:r>
        <w:rPr>
          <w:rFonts w:ascii="Bookman Old Style" w:hAnsi="Bookman Old Style"/>
        </w:rPr>
        <w:t xml:space="preserve"> Adicionalmente, después de hacer un recuento de la construcción de los proyectos Chivor, Guavio y Sogamoso señala:  </w:t>
      </w:r>
    </w:p>
    <w:p w:rsidR="008E10C2" w:rsidRDefault="008E10C2" w:rsidP="008E10C2">
      <w:pPr>
        <w:ind w:left="0"/>
        <w:jc w:val="both"/>
        <w:rPr>
          <w:rFonts w:ascii="Bookman Old Style" w:hAnsi="Bookman Old Style"/>
        </w:rPr>
      </w:pPr>
    </w:p>
    <w:p w:rsidR="008E10C2" w:rsidRDefault="008E10C2" w:rsidP="008E10C2">
      <w:pPr>
        <w:ind w:left="708"/>
        <w:jc w:val="both"/>
        <w:rPr>
          <w:rFonts w:ascii="Bookman Old Style" w:hAnsi="Bookman Old Style"/>
          <w:i/>
        </w:rPr>
      </w:pPr>
      <w:r>
        <w:rPr>
          <w:rFonts w:ascii="Bookman Old Style" w:hAnsi="Bookman Old Style"/>
          <w:i/>
        </w:rPr>
        <w:t>“Por tanto, con la información de los proyectos hidroeléctricos d</w:t>
      </w:r>
      <w:r w:rsidR="00867499">
        <w:rPr>
          <w:rFonts w:ascii="Bookman Old Style" w:hAnsi="Bookman Old Style"/>
          <w:i/>
        </w:rPr>
        <w:t>e</w:t>
      </w:r>
      <w:r>
        <w:rPr>
          <w:rFonts w:ascii="Bookman Old Style" w:hAnsi="Bookman Old Style"/>
          <w:i/>
        </w:rPr>
        <w:t xml:space="preserve"> Chivor y el Guavio, en los cuales se registra un tiempo promedio de 82 MW por año, Hidroituango presentaría un indicador de 109 MW año (incluido el atraso presentado por el Auditor en el Informe No. 17 con corte al 31 de diciembre de 2017), o referido de otra forma: para realizar el proyecto Hidroituango, dados los promedios constructivos requeridos en los proyectos Chivor- Guavio (26 años para construir 2150MW), se requerirían 15 años, dentro de los cuales no considera ni la segunda etapa ni el proceso de licenciamiento ambiental; esto implica una reducción de 4 años adicionales al tiempo de ejecución que se hubiera tenido con el atraso indicado en el informe No. 17 del auditor. </w:t>
      </w:r>
    </w:p>
    <w:p w:rsidR="008E10C2" w:rsidRDefault="008E10C2" w:rsidP="008E10C2">
      <w:pPr>
        <w:ind w:left="708"/>
        <w:jc w:val="both"/>
        <w:rPr>
          <w:rFonts w:ascii="Bookman Old Style" w:hAnsi="Bookman Old Style"/>
          <w:i/>
        </w:rPr>
      </w:pPr>
      <w:r>
        <w:rPr>
          <w:rFonts w:ascii="Bookman Old Style" w:hAnsi="Bookman Old Style"/>
          <w:i/>
        </w:rPr>
        <w:t xml:space="preserve">Por tanto, visto así el proyecto Hidroituango, y al compararlo con proyectos de características técnicas similares, es un proyecto que tiene un nivel de exigencia superior frente al cargo por confiabilidad, puesto que el esquema de asignación GPPS incluido en la regulación vigente, considera un horizonte (p+t)máximo de diez años, esto es, para el caso particular de Hidroituango el esquema requeriría un índice de 120MW año, frente a los 82 MW año que han exigido, en promedio, proyectos comparables. Por tanto, y teniendo en cuenta que la regulación actual no contempla este tipo de diferenciación para los proyectos GPPS, entonces si podemos afirmar que el proyecto Hidroituango si es especial.”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lastRenderedPageBreak/>
        <w:t xml:space="preserve">Este numeral termina exponiendo las razones por las cuales el proyecto Hidroituango es una obra de gran importancia para el país:  monto de las inversiones, generación de empleo, aporte de energía limpia, mejoras en vías y demás condiciones que le permitieron clasificar como Proyecto de Interés Nacional y Estratégico, PINES, conforme a los requisitos del Conpes 3762 de 2014. Además, destaca el aporte del proyecto en relación con la confiablidad en la prestación del servicio de energía, en la competitividad del costo de la misma, el cumplimiento de la meta de reducción de emisiones y los aportes y transferencias a los municipios del área de influencia.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i/>
        </w:rPr>
      </w:pPr>
      <w:r>
        <w:rPr>
          <w:rFonts w:ascii="Bookman Old Style" w:hAnsi="Bookman Old Style"/>
        </w:rPr>
        <w:t xml:space="preserve">En el numeral 1.3 del aparte II, </w:t>
      </w:r>
      <w:r>
        <w:rPr>
          <w:rFonts w:ascii="Bookman Old Style" w:hAnsi="Bookman Old Style"/>
          <w:i/>
        </w:rPr>
        <w:t>Independencia de las Obligaciones de Energía Firme adquiridas por el Proyecto Hidroeléctrico Ituango,</w:t>
      </w:r>
      <w:r>
        <w:rPr>
          <w:rFonts w:ascii="Bookman Old Style" w:hAnsi="Bookman Old Style"/>
        </w:rPr>
        <w:t xml:space="preserve"> la apoderada de EPM plantea que el proyecto recibió una primera asignación de OEF por 1.085 GWh-año en la subasta de 2008 y posteriormente una segunda asignación en la subasta de 2012 por 3.482 GWh-año. Señala que se trata de dos asignaciones con vigencias independientes, </w:t>
      </w:r>
      <w:r>
        <w:rPr>
          <w:rFonts w:ascii="Bookman Old Style" w:hAnsi="Bookman Old Style"/>
          <w:i/>
        </w:rPr>
        <w:t xml:space="preserve">“…. siendo estas: 20 años contados a partir del 1 de diciembre de 2018 y 17 años contados a partir del 1 de diciembre de 2021. Por tanto, hablamos de dos Períodos de Vigencia de obligación a partir de la vinculación que el proyecto ha tenido al cumplimiento de dos obligaciones específicas.” </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rPr>
      </w:pPr>
      <w:r>
        <w:rPr>
          <w:rFonts w:ascii="Bookman Old Style" w:hAnsi="Bookman Old Style"/>
        </w:rPr>
        <w:t xml:space="preserve">Continúa argumentando: </w:t>
      </w:r>
    </w:p>
    <w:p w:rsidR="008E10C2" w:rsidRDefault="008E10C2" w:rsidP="008E10C2">
      <w:pPr>
        <w:ind w:left="0"/>
        <w:jc w:val="both"/>
        <w:rPr>
          <w:rFonts w:ascii="Bookman Old Style" w:hAnsi="Bookman Old Style"/>
        </w:rPr>
      </w:pPr>
    </w:p>
    <w:p w:rsidR="008E10C2" w:rsidRDefault="008E10C2" w:rsidP="008E10C2">
      <w:pPr>
        <w:ind w:left="708"/>
        <w:jc w:val="both"/>
        <w:rPr>
          <w:rFonts w:ascii="Bookman Old Style" w:hAnsi="Bookman Old Style"/>
          <w:i/>
        </w:rPr>
      </w:pPr>
      <w:r>
        <w:rPr>
          <w:rFonts w:ascii="Bookman Old Style" w:hAnsi="Bookman Old Style"/>
          <w:i/>
        </w:rPr>
        <w:t>“En consecuencia, el proyecto es requerido en dos momentos del tiempo para cumplir sus obligaciones, condición que se traduce en que para cada inicio de obligación el proyecto queda comprometido con el inicio de su operación comercial en los términos de la Resolución CREG 071-2006, lo que a su vez queda reflejado en el concepto de Período de Planeación que est</w:t>
      </w:r>
      <w:r w:rsidR="00DF0427">
        <w:rPr>
          <w:rFonts w:ascii="Bookman Old Style" w:hAnsi="Bookman Old Style"/>
          <w:i/>
        </w:rPr>
        <w:t>a</w:t>
      </w:r>
      <w:r>
        <w:rPr>
          <w:rFonts w:ascii="Bookman Old Style" w:hAnsi="Bookman Old Style"/>
          <w:i/>
        </w:rPr>
        <w:t xml:space="preserve"> misma resolución define: “Tiempo que transcurre entre la fecha de ejecución de la Subasta o del mecanismo de asignación que haga sus veces y la fecha de inicio del Período de Vigencia de la Obligación asignada en dicha Subasta.”</w:t>
      </w:r>
    </w:p>
    <w:p w:rsidR="008E10C2" w:rsidRPr="003D3250" w:rsidRDefault="008E10C2" w:rsidP="008E10C2">
      <w:pPr>
        <w:ind w:left="708"/>
        <w:jc w:val="both"/>
        <w:rPr>
          <w:rFonts w:ascii="Bookman Old Style" w:hAnsi="Bookman Old Style"/>
          <w:i/>
        </w:rPr>
      </w:pPr>
      <w:r>
        <w:rPr>
          <w:rFonts w:ascii="Bookman Old Style" w:hAnsi="Bookman Old Style"/>
          <w:i/>
        </w:rPr>
        <w:t xml:space="preserve">Con lo anterior, es claro como la regulación precisa en sí dos periodos de planeación, correspondientes al lapso entre la fecha de cada subasta y el inicio de las obligaciones adquiridas, aun cuando se esté hablando de un mismo proyecto. Esto conduce a entender como aun tratándose de una misma planta, el proyecto Ituango queda visto en dos momentos diferentes en el tiempo en función de las obligaciones que de manera independiente ha adquirido cada vez.” </w:t>
      </w:r>
    </w:p>
    <w:p w:rsidR="008E10C2" w:rsidRDefault="008E10C2" w:rsidP="008E10C2">
      <w:pPr>
        <w:ind w:left="0"/>
        <w:rPr>
          <w:rFonts w:ascii="Bookman Old Style" w:hAnsi="Bookman Old Style"/>
          <w:b/>
        </w:rPr>
      </w:pPr>
    </w:p>
    <w:p w:rsidR="008E10C2" w:rsidRDefault="008E10C2" w:rsidP="008E10C2">
      <w:pPr>
        <w:ind w:left="0"/>
        <w:jc w:val="both"/>
        <w:rPr>
          <w:rFonts w:ascii="Bookman Old Style" w:hAnsi="Bookman Old Style"/>
        </w:rPr>
      </w:pPr>
      <w:r>
        <w:rPr>
          <w:rFonts w:ascii="Bookman Old Style" w:hAnsi="Bookman Old Style"/>
        </w:rPr>
        <w:t>Manifiesta además que la diferenciación de las obligaciones incluye el componente económico dado que en cada momento de asignación se ha definido una remuneración diferente por la confiabilidad: 13,998 $USD/MWh para el 2008 y 15,70 $USD/MWh para el 2012.</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 xml:space="preserve">Afirma que para cada bloque de asignaciones hay asociado un inicio de operación comercial sobre el cual se realiza la respectiva auditoría para determinar el cumplimiento de las obligaciones adquiridas.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i/>
        </w:rPr>
      </w:pPr>
      <w:r>
        <w:rPr>
          <w:rFonts w:ascii="Bookman Old Style" w:hAnsi="Bookman Old Style"/>
        </w:rPr>
        <w:t xml:space="preserve">Manifiesta que para una planta nueva la asignación de una OEF conlleva, entre otras, la obligación de poner en operación comercial la planta a más tardar en la fecha de inicio del Período de Vigencia de la Obligación y con la ENFICC asignada en la subasta y cumplir el cronograma de construcción de la planta y la curva S y que </w:t>
      </w:r>
      <w:r>
        <w:rPr>
          <w:rFonts w:ascii="Bookman Old Style" w:hAnsi="Bookman Old Style"/>
          <w:i/>
        </w:rPr>
        <w:t>“Ambas obligaciones están pautadas por la fecha de inicio del período de vigencia de la obligación, periodo asociado más concretamente a las OEF de cada asignación …”.</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i/>
        </w:rPr>
      </w:pPr>
      <w:r>
        <w:rPr>
          <w:rFonts w:ascii="Bookman Old Style" w:hAnsi="Bookman Old Style"/>
        </w:rPr>
        <w:t xml:space="preserve">Después de citar el artículo 11 del reglamento de garantías de la Resolución CREG 061 de 2007 indica: </w:t>
      </w:r>
      <w:r>
        <w:rPr>
          <w:rFonts w:ascii="Bookman Old Style" w:hAnsi="Bookman Old Style"/>
          <w:i/>
        </w:rPr>
        <w:t xml:space="preserve">“Retomando entonces lo que se ha desarrollado sobre los bloques de asignación del proyecto, el artículo citado confiere la obligación de inicio de la operación comercial de la planta para la fecha de inicio del Periodo de Vigencia de la Obligación, cosa tal que al contar con dos períodos de vigencia cada uno ostenta su particular obligación respecto de esta fecha. Quiere decir esto que cada periodo tiene su respectiva obligación de entrada en operación lo que permite ver cada asignación de manera independiente como ya se ha concluido previamente. </w:t>
      </w:r>
    </w:p>
    <w:p w:rsidR="008E10C2" w:rsidRDefault="00A94F04" w:rsidP="008E10C2">
      <w:pPr>
        <w:ind w:left="0"/>
        <w:jc w:val="both"/>
        <w:rPr>
          <w:rFonts w:ascii="Bookman Old Style" w:hAnsi="Bookman Old Style"/>
          <w:i/>
        </w:rPr>
      </w:pPr>
      <w:r>
        <w:rPr>
          <w:rFonts w:ascii="Bookman Old Style" w:hAnsi="Bookman Old Style"/>
          <w:i/>
        </w:rPr>
        <w:t>(</w:t>
      </w:r>
      <w:r w:rsidR="008E10C2">
        <w:rPr>
          <w:rFonts w:ascii="Bookman Old Style" w:hAnsi="Bookman Old Style"/>
          <w:i/>
        </w:rPr>
        <w:t>…</w:t>
      </w:r>
      <w:r>
        <w:rPr>
          <w:rFonts w:ascii="Bookman Old Style" w:hAnsi="Bookman Old Style"/>
          <w:i/>
        </w:rPr>
        <w:t>)</w:t>
      </w:r>
    </w:p>
    <w:p w:rsidR="008E10C2" w:rsidRDefault="008E10C2" w:rsidP="008E10C2">
      <w:pPr>
        <w:ind w:left="0"/>
        <w:jc w:val="both"/>
        <w:rPr>
          <w:rFonts w:ascii="Bookman Old Style" w:hAnsi="Bookman Old Style"/>
          <w:i/>
        </w:rPr>
      </w:pPr>
      <w:r>
        <w:rPr>
          <w:rFonts w:ascii="Bookman Old Style" w:hAnsi="Bookman Old Style"/>
          <w:i/>
        </w:rPr>
        <w:t>Sucede entonces que al recibir la primera obligación por 1.085 GWh-año la fecha de entrada en operación del proyecto queda condicionada por esta obligación, sin embargo, ante una segunda asignación de OEF por 3.482 GWh-año para la planta surge un nuevo periodo de vigencia de obligación, esta vez con inicio el 1 de diciembre de 2021. Este segundo momento, al aplicar nuevamente los artículos citados, le confiere al proyecto una segunda fecha de inicio de la operación comercial.”</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i/>
        </w:rPr>
      </w:pPr>
      <w:r>
        <w:rPr>
          <w:rFonts w:ascii="Bookman Old Style" w:hAnsi="Bookman Old Style"/>
        </w:rPr>
        <w:t xml:space="preserve"> Indica que no obstante configurarse dos fechas independientes de puesta en operación no dio lugar a contar con cronograma y curva S para cada una de ellas por carecer de sentido hacer dos seguimientos independientes </w:t>
      </w:r>
      <w:r>
        <w:rPr>
          <w:rFonts w:ascii="Bookman Old Style" w:hAnsi="Bookman Old Style"/>
          <w:i/>
        </w:rPr>
        <w:t>“… puesto que al tener vigente la primera asignación y cumplir la fecha de entrada en operación respectiva, la segunda fecha de entrada en operación entra a cumplirse en consecuencia.”</w:t>
      </w:r>
    </w:p>
    <w:p w:rsidR="008E10C2" w:rsidRDefault="008E10C2" w:rsidP="008E10C2">
      <w:pPr>
        <w:ind w:left="0"/>
        <w:jc w:val="both"/>
        <w:rPr>
          <w:rFonts w:ascii="Bookman Old Style" w:hAnsi="Bookman Old Style"/>
          <w:i/>
        </w:rPr>
      </w:pPr>
    </w:p>
    <w:p w:rsidR="008E10C2" w:rsidRPr="00462800" w:rsidRDefault="008E10C2" w:rsidP="008E10C2">
      <w:pPr>
        <w:ind w:left="0"/>
        <w:jc w:val="both"/>
        <w:rPr>
          <w:rFonts w:ascii="Bookman Old Style" w:hAnsi="Bookman Old Style"/>
          <w:i/>
        </w:rPr>
      </w:pPr>
      <w:r>
        <w:rPr>
          <w:rFonts w:ascii="Bookman Old Style" w:hAnsi="Bookman Old Style"/>
        </w:rPr>
        <w:t xml:space="preserve">Para respaldar el punto planteado citan el documento emitido por el señor Camilo Quintero, aportado a la actuación por EPM para ser tenido como dictamen pericial, en el cual, a partir de las definiciones de Cargo por Confiabilidad y de obligación de energía firme, el consultor concluye que el generador celebra dos negocios jurídicos con la demanda respaldados con una planta o unidad de generación y afirma: </w:t>
      </w:r>
      <w:r>
        <w:rPr>
          <w:rFonts w:ascii="Bookman Old Style" w:hAnsi="Bookman Old Style"/>
          <w:i/>
        </w:rPr>
        <w:t xml:space="preserve">“De acuerdo con las definiciones transcritas tanto el vínculo obligacional a cargo del agente como la remuneración que se le paga, resultan de una subasta y no de varias subastas, con lo cual, es claro que los vínculos jurídicos originados en cada subasta son independientes y autónomos, por lo cual no resulta acertado extender los efectos de un vínculo jurídico al otro.”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Finalmente, para sustentar la existencia de dos obligaciones independientes, EPM hace referencia a que los dos períodos de vigencia se traducen en dos valores d</w:t>
      </w:r>
      <w:r w:rsidR="009A0B99">
        <w:rPr>
          <w:rFonts w:ascii="Bookman Old Style" w:hAnsi="Bookman Old Style"/>
        </w:rPr>
        <w:t xml:space="preserve">iferentes a garantizar, lo cual argumenta </w:t>
      </w:r>
      <w:r>
        <w:rPr>
          <w:rFonts w:ascii="Bookman Old Style" w:hAnsi="Bookman Old Style"/>
        </w:rPr>
        <w:t>fue precisado por la Comisión en el concepto S-2018-005496.</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 xml:space="preserve">En el numeral 1.4 </w:t>
      </w:r>
      <w:r>
        <w:rPr>
          <w:rFonts w:ascii="Bookman Old Style" w:hAnsi="Bookman Old Style"/>
          <w:i/>
        </w:rPr>
        <w:t>Cumplimiento de OEF mediante anillos de seguridad,</w:t>
      </w:r>
      <w:r>
        <w:rPr>
          <w:rFonts w:ascii="Bookman Old Style" w:hAnsi="Bookman Old Style"/>
        </w:rPr>
        <w:t xml:space="preserve"> EPM manifiesta que </w:t>
      </w:r>
      <w:r>
        <w:rPr>
          <w:rFonts w:ascii="Bookman Old Style" w:hAnsi="Bookman Old Style"/>
          <w:i/>
        </w:rPr>
        <w:t xml:space="preserve">“… desde los orígenes del cargo se tuvo la concepción que era un esquema cuyo propósito fundamental era brindarle la cobertura a la demanda en condiciones críticas, y que para ello el generador se obligaba a entregar la energía requerida cuando dicha condición se diera, pero que para tal propósito no necesariamente la energía tenía que ser procedente de su propia planta sino que podía acudir a una serie de anillos de seguridad que </w:t>
      </w:r>
      <w:r w:rsidR="00D800FB">
        <w:rPr>
          <w:rFonts w:ascii="Bookman Old Style" w:hAnsi="Bookman Old Style"/>
          <w:i/>
        </w:rPr>
        <w:t xml:space="preserve">puso </w:t>
      </w:r>
      <w:r>
        <w:rPr>
          <w:rFonts w:ascii="Bookman Old Style" w:hAnsi="Bookman Old Style"/>
          <w:i/>
        </w:rPr>
        <w:t xml:space="preserve">a su servicio la regulación.” </w:t>
      </w:r>
      <w:r>
        <w:rPr>
          <w:rFonts w:ascii="Bookman Old Style" w:hAnsi="Bookman Old Style"/>
        </w:rPr>
        <w:t xml:space="preserve">  Asegura que al definir el Cargo por Confiabilidad y las OEF se observa cómo el esquema </w:t>
      </w:r>
      <w:r>
        <w:rPr>
          <w:rFonts w:ascii="Bookman Old Style" w:hAnsi="Bookman Old Style"/>
          <w:i/>
        </w:rPr>
        <w:t xml:space="preserve">“… está direccionado por el producto, es decir, por la energía misma antes que por los activos.” </w:t>
      </w:r>
      <w:r>
        <w:rPr>
          <w:rFonts w:ascii="Bookman Old Style" w:hAnsi="Bookman Old Style"/>
        </w:rPr>
        <w:t xml:space="preserve"> y señala que la obligación es energética y la remuneración definida en términos de energía y no de potencia.  Con base en lo anterior concluye que “…</w:t>
      </w:r>
      <w:r w:rsidRPr="00DA0C62">
        <w:rPr>
          <w:rFonts w:ascii="Bookman Old Style" w:hAnsi="Bookman Old Style"/>
          <w:i/>
        </w:rPr>
        <w:t xml:space="preserve">ante el atraso </w:t>
      </w:r>
      <w:r>
        <w:rPr>
          <w:rFonts w:ascii="Bookman Old Style" w:hAnsi="Bookman Old Style"/>
          <w:i/>
        </w:rPr>
        <w:t xml:space="preserve">que presenta el proyecto Ituango respecto a su entrada en operación para cumplir con la asignación del primer bloque de OEF, el hecho de poder honrar dicho compromiso en términos energéticos abre la posibilidad de dar cabida a los anillos de seguridad que precisamente han sido definidos por la propia Resolución CREG 071-2006 para efectos de respaldo.”  </w:t>
      </w:r>
      <w:r>
        <w:rPr>
          <w:rFonts w:ascii="Bookman Old Style" w:hAnsi="Bookman Old Style"/>
        </w:rPr>
        <w:t xml:space="preserve">La conclusión la sustenta en lo manifestado en el documento elaborado por Camilo Quintero el cual a partir de la definición de la resolución de </w:t>
      </w:r>
      <w:r>
        <w:rPr>
          <w:rFonts w:ascii="Bookman Old Style" w:hAnsi="Bookman Old Style"/>
          <w:i/>
        </w:rPr>
        <w:t xml:space="preserve">Planta y/o Unidad de Generación que respalda una Obligación de Energía Firme </w:t>
      </w:r>
      <w:r>
        <w:rPr>
          <w:rFonts w:ascii="Bookman Old Style" w:hAnsi="Bookman Old Style"/>
        </w:rPr>
        <w:t xml:space="preserve"> </w:t>
      </w:r>
      <w:r w:rsidR="00B807C6">
        <w:rPr>
          <w:rFonts w:ascii="Bookman Old Style" w:hAnsi="Bookman Old Style"/>
        </w:rPr>
        <w:t xml:space="preserve">razón por la cual </w:t>
      </w:r>
      <w:r>
        <w:rPr>
          <w:rFonts w:ascii="Bookman Old Style" w:hAnsi="Bookman Old Style"/>
        </w:rPr>
        <w:t>estas obligaciones no tienen que cumplirse inexorablemente con la planta de generación que la respalda sino que la regulación ha previsto mecanismos alternos no solo para que el agente pueda cumplir la obligación sino para cumplir el fin del mecanismo</w:t>
      </w:r>
      <w:r>
        <w:rPr>
          <w:rFonts w:ascii="Bookman Old Style" w:hAnsi="Bookman Old Style"/>
          <w:i/>
        </w:rPr>
        <w:t xml:space="preserve"> </w:t>
      </w:r>
      <w:r>
        <w:rPr>
          <w:rFonts w:ascii="Bookman Old Style" w:hAnsi="Bookman Old Style"/>
        </w:rPr>
        <w:t xml:space="preserve">que es la confiablidad del suministro.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 xml:space="preserve">En el numeral 1.5, </w:t>
      </w:r>
      <w:r>
        <w:rPr>
          <w:rFonts w:ascii="Bookman Old Style" w:hAnsi="Bookman Old Style"/>
          <w:i/>
        </w:rPr>
        <w:t xml:space="preserve">Cumplimiento de OEF a partir de las unidades de generación requeridas, </w:t>
      </w:r>
      <w:r>
        <w:rPr>
          <w:rFonts w:ascii="Bookman Old Style" w:hAnsi="Bookman Old Style"/>
        </w:rPr>
        <w:t xml:space="preserve">argumenta EPM: </w:t>
      </w:r>
    </w:p>
    <w:p w:rsidR="008E10C2" w:rsidRDefault="008E10C2" w:rsidP="008E10C2">
      <w:pPr>
        <w:ind w:left="0"/>
        <w:jc w:val="both"/>
        <w:rPr>
          <w:rFonts w:ascii="Bookman Old Style" w:hAnsi="Bookman Old Style"/>
        </w:rPr>
      </w:pPr>
    </w:p>
    <w:p w:rsidR="008E10C2" w:rsidRDefault="008E10C2" w:rsidP="008E10C2">
      <w:pPr>
        <w:ind w:left="360"/>
        <w:jc w:val="both"/>
        <w:rPr>
          <w:rFonts w:ascii="Bookman Old Style" w:hAnsi="Bookman Old Style"/>
          <w:i/>
        </w:rPr>
      </w:pPr>
      <w:r>
        <w:rPr>
          <w:rFonts w:ascii="Bookman Old Style" w:hAnsi="Bookman Old Style"/>
          <w:i/>
        </w:rPr>
        <w:t xml:space="preserve">“En consonancia con lo desarrollado en el numeral anterior, al ser las OEF un asunto eminentemente energético, no da lugar a observar más allá que la energía comprometida esté cubierta, ya sea a través de respaldos como se ha explicado o también a partir de la energía propia con la que pueda contar el proyecto a partir de las unidades de generación requeridas para tal fin. </w:t>
      </w:r>
    </w:p>
    <w:p w:rsidR="008E10C2" w:rsidRPr="009E7AEB" w:rsidRDefault="008E10C2" w:rsidP="008E10C2">
      <w:pPr>
        <w:ind w:left="360"/>
        <w:jc w:val="both"/>
        <w:rPr>
          <w:rFonts w:ascii="Bookman Old Style" w:hAnsi="Bookman Old Style"/>
          <w:i/>
        </w:rPr>
      </w:pPr>
      <w:r>
        <w:rPr>
          <w:rFonts w:ascii="Bookman Old Style" w:hAnsi="Bookman Old Style"/>
          <w:i/>
        </w:rPr>
        <w:t xml:space="preserve">Es de recordar que uno de los cambios fundamentales que se han dado en la regulación ha sido el cambio de un esquema de capacidad a uno de confiablidad, con lo cual, el producto pasa de ser potencia a energía firme, de manera que pierde relevancia el contar con una planta completa para dar paso a las unidades de generación honrar el compromiso energético, es decir la Obligación de Energía Firme. Y en consecuencia la remuneración está asociada no la potencia instalada (MW) sino a la energía misma representada a través de la OEF, situación que se tiene en cuenta dentro del cálculo de las garantías.” (sic)   </w:t>
      </w:r>
    </w:p>
    <w:p w:rsidR="008E10C2" w:rsidRDefault="008E10C2" w:rsidP="008E10C2">
      <w:pPr>
        <w:ind w:left="0"/>
        <w:rPr>
          <w:rFonts w:ascii="Bookman Old Style" w:hAnsi="Bookman Old Style"/>
          <w:b/>
        </w:rPr>
      </w:pPr>
      <w:r>
        <w:rPr>
          <w:rFonts w:ascii="Bookman Old Style" w:hAnsi="Bookman Old Style"/>
          <w:b/>
        </w:rPr>
        <w:t xml:space="preserve"> </w:t>
      </w:r>
    </w:p>
    <w:p w:rsidR="008E10C2" w:rsidRDefault="008E10C2" w:rsidP="008E10C2">
      <w:pPr>
        <w:ind w:left="0"/>
        <w:rPr>
          <w:rFonts w:ascii="Bookman Old Style" w:hAnsi="Bookman Old Style"/>
          <w:i/>
        </w:rPr>
      </w:pPr>
      <w:r>
        <w:rPr>
          <w:rFonts w:ascii="Bookman Old Style" w:hAnsi="Bookman Old Style"/>
        </w:rPr>
        <w:t xml:space="preserve">Para sustentar el punto nuevamente citan el documento elaborado por Camilo Quintero en el que hace referencia a las consideraciones que tuvo la Comisión al adoptar el esquema del Cargo por Confiabilidad y concluye: </w:t>
      </w:r>
      <w:r>
        <w:rPr>
          <w:rFonts w:ascii="Bookman Old Style" w:hAnsi="Bookman Old Style"/>
          <w:i/>
        </w:rPr>
        <w:t>“Por tanto, si se requiere modificar la capacidad original de una planta, se requeriría demostrar que la nueva capacidad puede garantizar el mismo nivel de OEF, y por tanto se estaría cumpliendo con el compromiso adquirido.”</w:t>
      </w:r>
    </w:p>
    <w:p w:rsidR="008E10C2" w:rsidRDefault="008E10C2" w:rsidP="008E10C2">
      <w:pPr>
        <w:ind w:left="0"/>
        <w:rPr>
          <w:rFonts w:ascii="Bookman Old Style" w:hAnsi="Bookman Old Style"/>
          <w:i/>
        </w:rPr>
      </w:pPr>
    </w:p>
    <w:p w:rsidR="008E10C2" w:rsidRDefault="008E10C2" w:rsidP="008E10C2">
      <w:pPr>
        <w:ind w:left="0"/>
        <w:jc w:val="both"/>
        <w:rPr>
          <w:rFonts w:ascii="Bookman Old Style" w:hAnsi="Bookman Old Style"/>
        </w:rPr>
      </w:pPr>
      <w:r>
        <w:rPr>
          <w:rFonts w:ascii="Bookman Old Style" w:hAnsi="Bookman Old Style"/>
        </w:rPr>
        <w:t xml:space="preserve">Con base en los elementos de los numerales anteriores, en el 1.6 </w:t>
      </w:r>
      <w:r>
        <w:rPr>
          <w:rFonts w:ascii="Bookman Old Style" w:hAnsi="Bookman Old Style"/>
          <w:i/>
        </w:rPr>
        <w:t xml:space="preserve">Propuestas </w:t>
      </w:r>
      <w:r>
        <w:rPr>
          <w:rFonts w:ascii="Bookman Old Style" w:hAnsi="Bookman Old Style"/>
        </w:rPr>
        <w:t xml:space="preserve">EPM plantea: </w:t>
      </w:r>
    </w:p>
    <w:p w:rsidR="008E10C2" w:rsidRDefault="008E10C2" w:rsidP="008E10C2">
      <w:pPr>
        <w:ind w:left="708"/>
        <w:jc w:val="both"/>
        <w:rPr>
          <w:rFonts w:ascii="Bookman Old Style" w:hAnsi="Bookman Old Style"/>
          <w:i/>
        </w:rPr>
      </w:pPr>
    </w:p>
    <w:p w:rsidR="008E10C2" w:rsidRDefault="008E10C2" w:rsidP="008E10C2">
      <w:pPr>
        <w:ind w:left="708"/>
        <w:jc w:val="both"/>
        <w:rPr>
          <w:rFonts w:ascii="Bookman Old Style" w:hAnsi="Bookman Old Style"/>
          <w:i/>
        </w:rPr>
      </w:pPr>
      <w:r>
        <w:rPr>
          <w:rFonts w:ascii="Bookman Old Style" w:hAnsi="Bookman Old Style"/>
          <w:i/>
        </w:rPr>
        <w:t>“Si bien el proyecto hidroeléctrico Ituango tiene un atraso de más de un año con respecto a la fecha en la que debía iniciar su operación comercial, esto es al 1 de diciembre de 2018, (fecha inicio del periodo de vigencia de la obligación), es claro que EPM está comprometida totalmente con la finalización y entrada del proyecto a más tardar el 1 de diciembre de 2021.  En tal sentido, el incumplimiento del proyecto no puede catalogarse como insalvable y en consecuencia, con el objetivo de subsanar la no entrada del mismo en dicha fecha, EPM ofrece la entrega del respaldo necesario para honrar las obligaciones de energía firme adquiridas mediante esta primera asignación, al tiempo que mantiene vigente la respectiva garantía, buscando que la demanda no quede descubierta en una condición crítica, en las cantidades que se consideren necesarias.</w:t>
      </w:r>
    </w:p>
    <w:p w:rsidR="008E10C2" w:rsidRDefault="008E10C2" w:rsidP="008E10C2">
      <w:pPr>
        <w:ind w:left="708"/>
        <w:jc w:val="both"/>
        <w:rPr>
          <w:rFonts w:ascii="Bookman Old Style" w:hAnsi="Bookman Old Style"/>
          <w:i/>
        </w:rPr>
      </w:pPr>
      <w:r>
        <w:rPr>
          <w:rFonts w:ascii="Bookman Old Style" w:hAnsi="Bookman Old Style"/>
          <w:i/>
        </w:rPr>
        <w:t>…</w:t>
      </w:r>
    </w:p>
    <w:p w:rsidR="008E10C2" w:rsidRDefault="008E10C2" w:rsidP="008E10C2">
      <w:pPr>
        <w:ind w:left="708"/>
        <w:jc w:val="both"/>
        <w:rPr>
          <w:rFonts w:ascii="Bookman Old Style" w:hAnsi="Bookman Old Style"/>
          <w:i/>
        </w:rPr>
      </w:pPr>
      <w:r>
        <w:rPr>
          <w:rFonts w:ascii="Bookman Old Style" w:hAnsi="Bookman Old Style"/>
          <w:i/>
        </w:rPr>
        <w:t>Tal como fue desarrollado en los fundamentos jurídicos y regulatorios al analizar lo concerniente a la independencia entre los dos bloques de asignación de EOF con que cuenta el proyecto, el bloque que entra en consideración para efectos de subsanar el atraso presentado por el proyecto, corresponde al del primer período de vigencia de la obligación, es decir, 1 de diciembre de 2018 a 30 de noviembre de 2038, por dos fundamentos específicos.</w:t>
      </w:r>
    </w:p>
    <w:p w:rsidR="008E10C2" w:rsidRDefault="008E10C2" w:rsidP="008E10C2">
      <w:pPr>
        <w:numPr>
          <w:ilvl w:val="0"/>
          <w:numId w:val="25"/>
        </w:numPr>
        <w:jc w:val="both"/>
        <w:rPr>
          <w:rFonts w:ascii="Bookman Old Style" w:hAnsi="Bookman Old Style"/>
          <w:i/>
        </w:rPr>
      </w:pPr>
      <w:r>
        <w:rPr>
          <w:rFonts w:ascii="Bookman Old Style" w:hAnsi="Bookman Old Style"/>
          <w:i/>
        </w:rPr>
        <w:t xml:space="preserve">El proyecto en relación con el segundo bloque de asignación que corresponde a 1 de diciembre de 2021 a 30 de noviembre de 2038 no se encuentra bajo incumplimiento grave e insalvable, dado que su fecha para inicio de operación comercial corresponde al 1 de diciembre de 2021, no siendo por tanto necesario considerar el respaldo de la respectiva OEF. </w:t>
      </w:r>
    </w:p>
    <w:p w:rsidR="008E10C2" w:rsidRDefault="008E10C2" w:rsidP="008E10C2">
      <w:pPr>
        <w:numPr>
          <w:ilvl w:val="0"/>
          <w:numId w:val="25"/>
        </w:numPr>
        <w:jc w:val="both"/>
        <w:rPr>
          <w:rFonts w:ascii="Bookman Old Style" w:hAnsi="Bookman Old Style"/>
          <w:i/>
        </w:rPr>
      </w:pPr>
      <w:r>
        <w:rPr>
          <w:rFonts w:ascii="Bookman Old Style" w:hAnsi="Bookman Old Style"/>
          <w:i/>
        </w:rPr>
        <w:t>El cumplimiento de las OEF es fundamentalmente un tema energético, antes que de incorporación de activos de generación, tal como fue presentado dentro de los fundamentos jurídicos y regulatorios, de manera que a través de un esquema de respaldo mediante Demanda Desconectable Voluntaria se estarían honrando las obligaciones adquiridas, como se desarrolla adelante.”</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rPr>
      </w:pPr>
      <w:r>
        <w:rPr>
          <w:rFonts w:ascii="Bookman Old Style" w:hAnsi="Bookman Old Style"/>
        </w:rPr>
        <w:t xml:space="preserve">Pasa entonces el documento a proponer un esquema de demanda desconectable en el que quienes participen tiene que tener planta de emergencia, conforme a lo exigido en la Resolución CREG 063 de 2010, donde las plantas tienen especificaciones y características técnicas similares a las que se usan en algunas ZNI todo lo cual se refleja en un memorando de entendimiento suscrito con el comercializador que representa la demanda el cual prevé un esquema de auditorías, un portafolio de fronteras con holgura mínima del 60% y un centro de control y operación remota de las plantas de emergencia. </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rPr>
      </w:pPr>
      <w:r>
        <w:rPr>
          <w:rFonts w:ascii="Bookman Old Style" w:hAnsi="Bookman Old Style"/>
        </w:rPr>
        <w:t xml:space="preserve">En el numeral 1.7 del documento, </w:t>
      </w:r>
      <w:r w:rsidRPr="009522CF">
        <w:rPr>
          <w:rFonts w:ascii="Bookman Old Style" w:hAnsi="Bookman Old Style"/>
          <w:i/>
        </w:rPr>
        <w:t>Competencia</w:t>
      </w:r>
      <w:r>
        <w:rPr>
          <w:rFonts w:ascii="Bookman Old Style" w:hAnsi="Bookman Old Style"/>
          <w:i/>
        </w:rPr>
        <w:t xml:space="preserve"> de la CREG en la actuación administrativa, </w:t>
      </w:r>
      <w:r>
        <w:rPr>
          <w:rFonts w:ascii="Bookman Old Style" w:hAnsi="Bookman Old Style"/>
        </w:rPr>
        <w:t>se señala que conforme a la regulación y a las funciones regulatorias de la Comisión (artículo 74 Ley 142 de 1994 y artículo 23 Ley 143 de 1994), en esta actuación administrativa la Comisión no se puede limitar a verificar los días de atraso de la puesta en operación de la planta,</w:t>
      </w:r>
      <w:r>
        <w:rPr>
          <w:rFonts w:ascii="Bookman Old Style" w:hAnsi="Bookman Old Style"/>
          <w:i/>
        </w:rPr>
        <w:t xml:space="preserve"> “sino que debe implicar el despliegue de todas las funciones y facultades de las que legalmente ha sido investida la CREG para cumplir las finalidades de la regulación.”.  </w:t>
      </w:r>
      <w:r>
        <w:rPr>
          <w:rFonts w:ascii="Bookman Old Style" w:hAnsi="Bookman Old Style"/>
        </w:rPr>
        <w:t xml:space="preserve">Para sustentar el planteamiento cita la jurisprudencia del Consejo de Estado sobre el alcance de la facultad regulatoria, lo dispuesto en el artículo 2.2.3.2.1.4 del Decreto 1073 de 2015 y 74 de la Ley 142 de 1994, referente a la facultad de la Comisión para adoptar medidas particulares, y la sentencia C-263 de 2013 de la Corte Constitucional.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 xml:space="preserve">En el numeral 2 del aparte II, </w:t>
      </w:r>
      <w:r>
        <w:rPr>
          <w:rFonts w:ascii="Bookman Old Style" w:hAnsi="Bookman Old Style"/>
          <w:i/>
        </w:rPr>
        <w:t xml:space="preserve">Eventual situación excusable, </w:t>
      </w:r>
      <w:r>
        <w:rPr>
          <w:rFonts w:ascii="Bookman Old Style" w:hAnsi="Bookman Old Style"/>
        </w:rPr>
        <w:t>EPM a través de su apodera</w:t>
      </w:r>
      <w:r w:rsidR="009A0B99">
        <w:rPr>
          <w:rFonts w:ascii="Bookman Old Style" w:hAnsi="Bookman Old Style"/>
        </w:rPr>
        <w:t>da</w:t>
      </w:r>
      <w:r>
        <w:rPr>
          <w:rFonts w:ascii="Bookman Old Style" w:hAnsi="Bookman Old Style"/>
        </w:rPr>
        <w:t xml:space="preserve"> señala que </w:t>
      </w:r>
      <w:r>
        <w:rPr>
          <w:rFonts w:ascii="Bookman Old Style" w:hAnsi="Bookman Old Style"/>
          <w:i/>
        </w:rPr>
        <w:t xml:space="preserve">“… si en el transcurso de la actuación administrativa se acredita un evento excusable, en subsidio de lo expresado los numerales anteriores, deberá considerar que esta actuación administrativa también debe implicar el despliegue de todas las funciones y facultades de las que legalmente ha sido investida la CREG, incluida la posibilidad de reconocer eventos eximentes de responsabilidad en el cumplimiento de obligaciones derivadas del cargo por confiabilidad.” </w:t>
      </w:r>
      <w:r>
        <w:rPr>
          <w:rFonts w:ascii="Bookman Old Style" w:hAnsi="Bookman Old Style"/>
        </w:rPr>
        <w:t xml:space="preserve">Para sustentar su solicitud cita la respuesta dada a un comentario en el Documento CREG 085 de 2006 y pasa a exponer lo que conforme al Código Civil y la jurisprudencia de la Corte Suprema de Justicia y del Consejo de Estado se entiende como fuerza mayor o caso fortuito. </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 xml:space="preserve">En el aparte III del documento presenta la solicitud de pruebas y en el aparte IV formula las </w:t>
      </w:r>
      <w:r>
        <w:rPr>
          <w:rFonts w:ascii="Bookman Old Style" w:hAnsi="Bookman Old Style"/>
          <w:i/>
        </w:rPr>
        <w:t xml:space="preserve">Peticiones, </w:t>
      </w:r>
      <w:r>
        <w:rPr>
          <w:rFonts w:ascii="Bookman Old Style" w:hAnsi="Bookman Old Style"/>
        </w:rPr>
        <w:t xml:space="preserve">así: </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i/>
        </w:rPr>
      </w:pPr>
      <w:r>
        <w:rPr>
          <w:rFonts w:ascii="Bookman Old Style" w:hAnsi="Bookman Old Style"/>
          <w:i/>
        </w:rPr>
        <w:tab/>
        <w:t xml:space="preserve">“Con fundamento en lo anterior, respetuosamente se solicita: </w:t>
      </w:r>
    </w:p>
    <w:p w:rsidR="008E10C2" w:rsidRDefault="008E10C2" w:rsidP="008E10C2">
      <w:pPr>
        <w:numPr>
          <w:ilvl w:val="0"/>
          <w:numId w:val="26"/>
        </w:numPr>
        <w:jc w:val="both"/>
        <w:rPr>
          <w:rFonts w:ascii="Bookman Old Style" w:hAnsi="Bookman Old Style"/>
          <w:i/>
        </w:rPr>
      </w:pPr>
      <w:r>
        <w:rPr>
          <w:rFonts w:ascii="Bookman Old Style" w:hAnsi="Bookman Old Style"/>
          <w:i/>
        </w:rPr>
        <w:t>Declarar que el atraso del Proyecto Hidroeléctrico Ituango no se considera un incumplimiento grave e insalvable.</w:t>
      </w:r>
    </w:p>
    <w:p w:rsidR="008E10C2" w:rsidRDefault="008E10C2" w:rsidP="008E10C2">
      <w:pPr>
        <w:numPr>
          <w:ilvl w:val="0"/>
          <w:numId w:val="26"/>
        </w:numPr>
        <w:jc w:val="both"/>
        <w:rPr>
          <w:rFonts w:ascii="Bookman Old Style" w:hAnsi="Bookman Old Style"/>
          <w:i/>
        </w:rPr>
      </w:pPr>
      <w:r>
        <w:rPr>
          <w:rFonts w:ascii="Bookman Old Style" w:hAnsi="Bookman Old Style"/>
          <w:i/>
        </w:rPr>
        <w:t xml:space="preserve">No ordenar la ejecución de la garantía de construcción y puesta en operación del Proyecto Hidroeléctrico Ituango, número 611-07-18-00918-7, por un valor de USD 15.000.000, así COMO NÚMERO 10090002464, por un valor de USD 27.254.891, ambas emitidas el 11 de septiembre de 2018 y vigentes desde el 6 de octubre de 2018 hasta el 6 de octubre de 2019. </w:t>
      </w:r>
    </w:p>
    <w:p w:rsidR="008E10C2" w:rsidRDefault="008E10C2" w:rsidP="008E10C2">
      <w:pPr>
        <w:numPr>
          <w:ilvl w:val="0"/>
          <w:numId w:val="26"/>
        </w:numPr>
        <w:jc w:val="both"/>
        <w:rPr>
          <w:rFonts w:ascii="Bookman Old Style" w:hAnsi="Bookman Old Style"/>
          <w:i/>
        </w:rPr>
      </w:pPr>
      <w:r>
        <w:rPr>
          <w:rFonts w:ascii="Bookman Old Style" w:hAnsi="Bookman Old Style"/>
          <w:i/>
        </w:rPr>
        <w:t>Declarara que el Proyecto Hidroeléctrico Hidroituango mantiene las asignaciones de Obligaciones de Energía Firme, con vigencia del 1° de diciembre de 2018 al 30 de noviembre de 2038, por 1.085 GWh/año.</w:t>
      </w:r>
    </w:p>
    <w:p w:rsidR="008E10C2" w:rsidRDefault="008E10C2" w:rsidP="008E10C2">
      <w:pPr>
        <w:numPr>
          <w:ilvl w:val="0"/>
          <w:numId w:val="26"/>
        </w:numPr>
        <w:jc w:val="both"/>
        <w:rPr>
          <w:rFonts w:ascii="Bookman Old Style" w:hAnsi="Bookman Old Style"/>
          <w:i/>
        </w:rPr>
      </w:pPr>
      <w:r>
        <w:rPr>
          <w:rFonts w:ascii="Bookman Old Style" w:hAnsi="Bookman Old Style"/>
          <w:i/>
        </w:rPr>
        <w:t xml:space="preserve">Aceptar el respaldo de las Obligaciones de Energía Firme, con vigencia con vigencia del 1° de diciembre de 2018 al 30 de noviembre de 2038, por 1.085 GWh/año, del Proyecto Hidroeléctrico Hidroituango, mediante el anillo de seguridad Demanda Desconectable Voluntaria, a partir del período que se considere necesario. </w:t>
      </w:r>
    </w:p>
    <w:p w:rsidR="008E10C2" w:rsidRDefault="008E10C2" w:rsidP="008E10C2">
      <w:pPr>
        <w:numPr>
          <w:ilvl w:val="0"/>
          <w:numId w:val="26"/>
        </w:numPr>
        <w:jc w:val="both"/>
        <w:rPr>
          <w:rFonts w:ascii="Bookman Old Style" w:hAnsi="Bookman Old Style"/>
          <w:i/>
        </w:rPr>
      </w:pPr>
      <w:r>
        <w:rPr>
          <w:rFonts w:ascii="Bookman Old Style" w:hAnsi="Bookman Old Style"/>
          <w:i/>
        </w:rPr>
        <w:t>Declarar que el Proyecto Hidroeléctrico Hidroituango mantiene las asignaciones de Obligaciones de Energía Firme, para la vigencia del 1° de diciembre de 2021 al 30 de noviembre de 2038, por 3.482 GWh/año.</w:t>
      </w:r>
    </w:p>
    <w:p w:rsidR="008E10C2" w:rsidRDefault="008E10C2" w:rsidP="008E10C2">
      <w:pPr>
        <w:numPr>
          <w:ilvl w:val="0"/>
          <w:numId w:val="26"/>
        </w:numPr>
        <w:jc w:val="both"/>
        <w:rPr>
          <w:rFonts w:ascii="Bookman Old Style" w:hAnsi="Bookman Old Style"/>
          <w:i/>
        </w:rPr>
      </w:pPr>
      <w:r w:rsidRPr="003B22DE">
        <w:rPr>
          <w:rFonts w:ascii="Bookman Old Style" w:hAnsi="Bookman Old Style"/>
          <w:i/>
        </w:rPr>
        <w:t xml:space="preserve">Permitir cumplir las asignaciones de Obligaciones de Energía Firme, para la vigencia del 1° de diciembre de 2021 al 30 de noviembre de 2038, </w:t>
      </w:r>
      <w:r>
        <w:rPr>
          <w:rFonts w:ascii="Bookman Old Style" w:hAnsi="Bookman Old Style"/>
          <w:i/>
        </w:rPr>
        <w:t>con el número de unidades de generación necesarias para producir la energía firme asignada.”</w:t>
      </w:r>
    </w:p>
    <w:p w:rsidR="008E10C2" w:rsidRDefault="008E10C2" w:rsidP="008E10C2">
      <w:pPr>
        <w:ind w:left="0"/>
        <w:jc w:val="both"/>
        <w:rPr>
          <w:rFonts w:ascii="Bookman Old Style" w:hAnsi="Bookman Old Style"/>
        </w:rPr>
      </w:pPr>
    </w:p>
    <w:p w:rsidR="008E10C2" w:rsidRDefault="008E10C2" w:rsidP="008E10C2">
      <w:pPr>
        <w:ind w:left="0"/>
        <w:jc w:val="both"/>
        <w:rPr>
          <w:rFonts w:ascii="Bookman Old Style" w:hAnsi="Bookman Old Style"/>
          <w:i/>
        </w:rPr>
      </w:pPr>
      <w:r>
        <w:rPr>
          <w:rFonts w:ascii="Bookman Old Style" w:hAnsi="Bookman Old Style"/>
        </w:rPr>
        <w:t xml:space="preserve">Mediante comunicación con radicado E-2019-008693 de 14 de agosto de 2019 la apoderada de EPM remitió comunicación dando alcance a la respuesta del 28 de diciembre de 2018 en la cual argumentó que en adición a los argumentos ya planteados, los cambios introducidos a artículo 35 de la Resolución CREG 071 de 2006 por la Resolución CREG 103 de 2018, hacen que </w:t>
      </w:r>
      <w:r>
        <w:rPr>
          <w:rFonts w:ascii="Bookman Old Style" w:hAnsi="Bookman Old Style"/>
          <w:i/>
        </w:rPr>
        <w:t>“… solo sean requeridas tres unidades de generación (900MW), puesto que una cuarta unidad resulta inoperante para fines de aportar energía firme adicional al esquema de confiabilidad.”</w:t>
      </w:r>
    </w:p>
    <w:p w:rsidR="008E10C2" w:rsidRDefault="008E10C2" w:rsidP="008E10C2">
      <w:pPr>
        <w:ind w:left="0"/>
        <w:jc w:val="both"/>
        <w:rPr>
          <w:rFonts w:ascii="Bookman Old Style" w:hAnsi="Bookman Old Style"/>
          <w:i/>
        </w:rPr>
      </w:pPr>
    </w:p>
    <w:p w:rsidR="008E10C2" w:rsidRDefault="008E10C2" w:rsidP="008E10C2">
      <w:pPr>
        <w:ind w:left="0"/>
        <w:jc w:val="both"/>
        <w:rPr>
          <w:rFonts w:ascii="Bookman Old Style" w:hAnsi="Bookman Old Style"/>
          <w:i/>
        </w:rPr>
      </w:pPr>
      <w:r>
        <w:rPr>
          <w:rFonts w:ascii="Bookman Old Style" w:hAnsi="Bookman Old Style"/>
        </w:rPr>
        <w:t>Así mismo en la comunicación formula una petición adicional en relación con el respaldo de las OEF asignadas al proyecto en el sentido de que la CREG considere “</w:t>
      </w:r>
      <w:r>
        <w:rPr>
          <w:rFonts w:ascii="Bookman Old Style" w:hAnsi="Bookman Old Style"/>
          <w:i/>
        </w:rPr>
        <w:t>… un término prudencial que le permita a EPM, en forma profesional y diligente, adelantar y concluir todas las actividades necesarias para registrar el respaldo requerido.”</w:t>
      </w:r>
    </w:p>
    <w:p w:rsidR="008E10C2" w:rsidRDefault="008E10C2" w:rsidP="008E10C2">
      <w:pPr>
        <w:ind w:left="0"/>
        <w:jc w:val="both"/>
        <w:rPr>
          <w:rFonts w:ascii="Bookman Old Style" w:hAnsi="Bookman Old Style"/>
          <w:i/>
        </w:rPr>
      </w:pPr>
    </w:p>
    <w:p w:rsidR="008E10C2" w:rsidRDefault="008E10C2" w:rsidP="008E10C2">
      <w:pPr>
        <w:numPr>
          <w:ilvl w:val="0"/>
          <w:numId w:val="27"/>
        </w:numPr>
        <w:rPr>
          <w:rFonts w:ascii="Bookman Old Style" w:hAnsi="Bookman Old Style"/>
          <w:b/>
        </w:rPr>
      </w:pPr>
      <w:r w:rsidRPr="008E10C2">
        <w:rPr>
          <w:rFonts w:ascii="Bookman Old Style" w:hAnsi="Bookman Old Style"/>
          <w:b/>
          <w:lang w:val="es-CO"/>
        </w:rPr>
        <w:t>Pruebas</w:t>
      </w:r>
      <w:r>
        <w:rPr>
          <w:rFonts w:ascii="Bookman Old Style" w:hAnsi="Bookman Old Style"/>
          <w:b/>
        </w:rPr>
        <w:t xml:space="preserve"> decretadas y practicadas</w:t>
      </w:r>
    </w:p>
    <w:p w:rsidR="008E10C2" w:rsidRDefault="008E10C2" w:rsidP="008E10C2">
      <w:pPr>
        <w:ind w:left="0"/>
        <w:jc w:val="both"/>
        <w:rPr>
          <w:rFonts w:ascii="Bookman Old Style" w:hAnsi="Bookman Old Style"/>
          <w:b/>
        </w:rPr>
      </w:pPr>
    </w:p>
    <w:p w:rsidR="008E10C2" w:rsidRPr="001E7D10" w:rsidRDefault="008E10C2" w:rsidP="008E10C2">
      <w:pPr>
        <w:ind w:left="0"/>
        <w:jc w:val="both"/>
        <w:rPr>
          <w:rFonts w:ascii="Bookman Old Style" w:hAnsi="Bookman Old Style" w:cs="Arial"/>
          <w:bCs/>
          <w:lang w:val="es-CO"/>
        </w:rPr>
      </w:pPr>
      <w:r>
        <w:rPr>
          <w:rFonts w:ascii="Bookman Old Style" w:hAnsi="Bookman Old Style" w:cs="Arial"/>
          <w:bCs/>
          <w:lang w:val="es-CO"/>
        </w:rPr>
        <w:t xml:space="preserve">Conforme a lo señalado en el artículo 109 de la Ley 142 de 1994 y el artículo 42 del Código de Procedimiento Administrativo y de lo Contencioso Administrativo, el 6 de febrero de 2019 el Director Ejecutivo de la CREG ordenó la práctica de las siguientes pruebas solicitadas por </w:t>
      </w:r>
      <w:r w:rsidRPr="004524D3">
        <w:rPr>
          <w:rFonts w:ascii="Bookman Old Style" w:hAnsi="Bookman Old Style" w:cs="Arial"/>
          <w:bCs/>
          <w:lang w:val="es-CO"/>
        </w:rPr>
        <w:t>EPM</w:t>
      </w:r>
      <w:r w:rsidRPr="00A2751C">
        <w:rPr>
          <w:rFonts w:ascii="Bookman Old Style" w:hAnsi="Bookman Old Style" w:cs="Arial"/>
          <w:bCs/>
          <w:lang w:val="es-CO"/>
        </w:rPr>
        <w:t xml:space="preserve"> y</w:t>
      </w:r>
      <w:r w:rsidR="00C307CA">
        <w:rPr>
          <w:rFonts w:ascii="Bookman Old Style" w:hAnsi="Bookman Old Style" w:cs="Arial"/>
          <w:bCs/>
          <w:lang w:val="es-CO"/>
        </w:rPr>
        <w:t>,</w:t>
      </w:r>
      <w:r w:rsidRPr="00A2751C">
        <w:rPr>
          <w:rFonts w:ascii="Bookman Old Style" w:hAnsi="Bookman Old Style" w:cs="Arial"/>
          <w:bCs/>
          <w:lang w:val="es-CO"/>
        </w:rPr>
        <w:t xml:space="preserve"> </w:t>
      </w:r>
      <w:r w:rsidRPr="00E857AF">
        <w:rPr>
          <w:rFonts w:ascii="Bookman Old Style" w:hAnsi="Bookman Old Style" w:cs="Arial"/>
          <w:bCs/>
          <w:lang w:val="es-CO"/>
        </w:rPr>
        <w:t>además</w:t>
      </w:r>
      <w:r w:rsidR="00C307CA">
        <w:rPr>
          <w:rFonts w:ascii="Bookman Old Style" w:hAnsi="Bookman Old Style" w:cs="Arial"/>
          <w:bCs/>
          <w:lang w:val="es-CO"/>
        </w:rPr>
        <w:t>,</w:t>
      </w:r>
      <w:r w:rsidRPr="00E857AF">
        <w:rPr>
          <w:rFonts w:ascii="Bookman Old Style" w:hAnsi="Bookman Old Style" w:cs="Arial"/>
          <w:bCs/>
          <w:lang w:val="es-CO"/>
        </w:rPr>
        <w:t xml:space="preserve"> decret</w:t>
      </w:r>
      <w:r w:rsidRPr="005720A7">
        <w:rPr>
          <w:rFonts w:ascii="Bookman Old Style" w:hAnsi="Bookman Old Style" w:cs="Arial"/>
          <w:bCs/>
          <w:lang w:val="es-CO"/>
        </w:rPr>
        <w:t>ó</w:t>
      </w:r>
      <w:r w:rsidRPr="00B97CF8">
        <w:rPr>
          <w:rFonts w:ascii="Bookman Old Style" w:hAnsi="Bookman Old Style" w:cs="Arial"/>
          <w:bCs/>
          <w:lang w:val="es-CO"/>
        </w:rPr>
        <w:t xml:space="preserve"> otras de oficio.</w:t>
      </w:r>
    </w:p>
    <w:p w:rsidR="008E10C2" w:rsidRPr="001E7D10" w:rsidRDefault="008E10C2" w:rsidP="008E10C2">
      <w:pPr>
        <w:ind w:left="0"/>
        <w:jc w:val="both"/>
        <w:rPr>
          <w:rFonts w:ascii="Bookman Old Style" w:hAnsi="Bookman Old Style" w:cs="Arial"/>
          <w:bCs/>
          <w:lang w:val="es-CO"/>
        </w:rPr>
      </w:pPr>
    </w:p>
    <w:p w:rsidR="008E10C2" w:rsidRPr="00E41518" w:rsidRDefault="008E10C2" w:rsidP="008E10C2">
      <w:pPr>
        <w:ind w:left="0"/>
        <w:jc w:val="both"/>
        <w:rPr>
          <w:rFonts w:ascii="Bookman Old Style" w:hAnsi="Bookman Old Style" w:cs="Arial"/>
          <w:bCs/>
          <w:lang w:val="es-CO"/>
        </w:rPr>
      </w:pPr>
      <w:r w:rsidRPr="00E41518">
        <w:rPr>
          <w:rFonts w:ascii="Bookman Old Style" w:hAnsi="Bookman Old Style" w:cs="Arial"/>
          <w:bCs/>
          <w:lang w:val="es-CO"/>
        </w:rPr>
        <w:t>Testimoniales:</w:t>
      </w:r>
    </w:p>
    <w:p w:rsidR="008E10C2" w:rsidRPr="00E41518"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Camilo Quintero Montaña, solicitada para explicar el documento denominado dictamen pericial por el preparado y aportado por la apoderada de EPM SA ESP.</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Gabriel Fernández Delgado, asesor técnico en geología, integrante del Board de asesores del Proyecto Hidroeléctrico de Ituango.</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Nelson Luis De Sousa Pinto, asesor técnico en diseño construcción de grandes presas hidráulicas integrante del Board de asesores del Proyecto Hidroeléctrico de Ituango.</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Bayardo Mater</w:t>
      </w:r>
      <w:r w:rsidR="00D40ACD" w:rsidRPr="00EB0EE6">
        <w:rPr>
          <w:rFonts w:ascii="Bookman Old Style" w:hAnsi="Bookman Old Style" w:cs="Arial"/>
          <w:bCs/>
          <w:sz w:val="24"/>
          <w:szCs w:val="24"/>
        </w:rPr>
        <w:t>ó</w:t>
      </w:r>
      <w:r w:rsidRPr="00EB0EE6">
        <w:rPr>
          <w:rFonts w:ascii="Bookman Old Style" w:hAnsi="Bookman Old Style" w:cs="Arial"/>
          <w:bCs/>
          <w:sz w:val="24"/>
          <w:szCs w:val="24"/>
        </w:rPr>
        <w:t xml:space="preserve">n </w:t>
      </w:r>
      <w:r w:rsidR="00D40ACD" w:rsidRPr="00EB0EE6">
        <w:rPr>
          <w:rFonts w:ascii="Bookman Old Style" w:hAnsi="Bookman Old Style" w:cs="Arial"/>
          <w:bCs/>
          <w:sz w:val="24"/>
          <w:szCs w:val="24"/>
        </w:rPr>
        <w:t>Narváez</w:t>
      </w:r>
      <w:r w:rsidRPr="00EB0EE6">
        <w:rPr>
          <w:rFonts w:ascii="Bookman Old Style" w:hAnsi="Bookman Old Style" w:cs="Arial"/>
          <w:bCs/>
          <w:sz w:val="24"/>
          <w:szCs w:val="24"/>
        </w:rPr>
        <w:t xml:space="preserve"> integrante del Board de asesores del Proyecto, técnico planeación, diseño y construcción de estructura. </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 xml:space="preserve">Juan David Quintero integrante del Board de asesores del Proyecto Hidroeléctrico de Ituango, asesor técnico en el área ambiental.  </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Carlos Andrés Flórez, Senior Manger Regulatory Advisor de la firma Deloi</w:t>
      </w:r>
      <w:r w:rsidR="00D40ACD" w:rsidRPr="00EB0EE6">
        <w:rPr>
          <w:rFonts w:ascii="Bookman Old Style" w:hAnsi="Bookman Old Style" w:cs="Arial"/>
          <w:bCs/>
          <w:sz w:val="24"/>
          <w:szCs w:val="24"/>
        </w:rPr>
        <w:t>t</w:t>
      </w:r>
      <w:r w:rsidRPr="00EB0EE6">
        <w:rPr>
          <w:rFonts w:ascii="Bookman Old Style" w:hAnsi="Bookman Old Style" w:cs="Arial"/>
          <w:bCs/>
          <w:sz w:val="24"/>
          <w:szCs w:val="24"/>
        </w:rPr>
        <w:t>te.</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Guillermo Acevedo, asesor de la dirección de la Autoridad Nacional de Licencias Ambientales, ANLA.</w:t>
      </w:r>
    </w:p>
    <w:p w:rsidR="008E10C2" w:rsidRPr="00F37643" w:rsidRDefault="008E10C2" w:rsidP="008E10C2">
      <w:pPr>
        <w:ind w:left="0"/>
        <w:jc w:val="both"/>
        <w:rPr>
          <w:rFonts w:ascii="Bookman Old Style" w:hAnsi="Bookman Old Style" w:cs="Arial"/>
          <w:bCs/>
          <w:lang w:val="es-CO"/>
        </w:rPr>
      </w:pPr>
    </w:p>
    <w:p w:rsidR="008E10C2" w:rsidRPr="00EB0EE6" w:rsidRDefault="00D40ACD" w:rsidP="00EB0EE6">
      <w:pPr>
        <w:pStyle w:val="Prrafodelista"/>
        <w:numPr>
          <w:ilvl w:val="0"/>
          <w:numId w:val="31"/>
        </w:numPr>
        <w:jc w:val="both"/>
        <w:rPr>
          <w:rFonts w:ascii="Bookman Old Style" w:hAnsi="Bookman Old Style" w:cs="Arial"/>
          <w:bCs/>
        </w:rPr>
      </w:pPr>
      <w:r w:rsidRPr="00EB0EE6">
        <w:rPr>
          <w:rFonts w:ascii="Bookman Old Style" w:hAnsi="Bookman Old Style" w:cs="Arial"/>
          <w:bCs/>
          <w:sz w:val="24"/>
          <w:szCs w:val="24"/>
        </w:rPr>
        <w:t>Álvaro</w:t>
      </w:r>
      <w:r w:rsidR="008E10C2" w:rsidRPr="00EB0EE6">
        <w:rPr>
          <w:rFonts w:ascii="Bookman Old Style" w:hAnsi="Bookman Old Style" w:cs="Arial"/>
          <w:bCs/>
          <w:sz w:val="24"/>
          <w:szCs w:val="24"/>
        </w:rPr>
        <w:t xml:space="preserve"> Aravi Castro Vásquez, director de la </w:t>
      </w:r>
      <w:r w:rsidRPr="00EB0EE6">
        <w:rPr>
          <w:rFonts w:ascii="Bookman Old Style" w:hAnsi="Bookman Old Style" w:cs="Arial"/>
          <w:bCs/>
          <w:sz w:val="24"/>
          <w:szCs w:val="24"/>
        </w:rPr>
        <w:t>interventoría</w:t>
      </w:r>
      <w:r w:rsidR="008E10C2" w:rsidRPr="00EB0EE6">
        <w:rPr>
          <w:rFonts w:ascii="Bookman Old Style" w:hAnsi="Bookman Old Style" w:cs="Arial"/>
          <w:bCs/>
          <w:sz w:val="24"/>
          <w:szCs w:val="24"/>
        </w:rPr>
        <w:t xml:space="preserve"> del proyecto </w:t>
      </w:r>
      <w:r w:rsidR="00060035" w:rsidRPr="00EB0EE6">
        <w:rPr>
          <w:rFonts w:ascii="Bookman Old Style" w:hAnsi="Bookman Old Style" w:cs="Arial"/>
          <w:bCs/>
          <w:sz w:val="24"/>
          <w:szCs w:val="24"/>
        </w:rPr>
        <w:t>I</w:t>
      </w:r>
      <w:r w:rsidR="008E10C2" w:rsidRPr="00EB0EE6">
        <w:rPr>
          <w:rFonts w:ascii="Bookman Old Style" w:hAnsi="Bookman Old Style" w:cs="Arial"/>
          <w:bCs/>
          <w:sz w:val="24"/>
          <w:szCs w:val="24"/>
        </w:rPr>
        <w:t xml:space="preserve">tuango del Consorcio Ingetec Sedic. </w:t>
      </w:r>
    </w:p>
    <w:p w:rsidR="008E10C2" w:rsidRPr="00E41518" w:rsidRDefault="008E10C2" w:rsidP="008E10C2">
      <w:pPr>
        <w:ind w:left="0"/>
        <w:jc w:val="both"/>
        <w:rPr>
          <w:rFonts w:ascii="Bookman Old Style" w:hAnsi="Bookman Old Style" w:cs="Arial"/>
          <w:bCs/>
          <w:lang w:val="es-CO"/>
        </w:rPr>
      </w:pPr>
    </w:p>
    <w:p w:rsidR="008E10C2" w:rsidRPr="00E41518" w:rsidRDefault="008E10C2" w:rsidP="008E10C2">
      <w:pPr>
        <w:ind w:left="0"/>
        <w:jc w:val="both"/>
        <w:rPr>
          <w:rFonts w:ascii="Bookman Old Style" w:hAnsi="Bookman Old Style" w:cs="Arial"/>
          <w:bCs/>
        </w:rPr>
      </w:pPr>
      <w:r w:rsidRPr="00E41518">
        <w:rPr>
          <w:rFonts w:ascii="Bookman Old Style" w:hAnsi="Bookman Old Style" w:cs="Arial"/>
          <w:bCs/>
        </w:rPr>
        <w:t>Documentales:</w:t>
      </w:r>
    </w:p>
    <w:p w:rsidR="008E10C2" w:rsidRPr="00E41518" w:rsidRDefault="008E10C2" w:rsidP="008E10C2">
      <w:pPr>
        <w:ind w:left="0"/>
        <w:jc w:val="both"/>
        <w:rPr>
          <w:rFonts w:ascii="Bookman Old Style" w:hAnsi="Bookman Old Style" w:cs="Arial"/>
          <w:bC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Informe de Curva S y el cronograma para la construcción y puesta en operación comercial de la Hidroeléctrica Ituango elaborado por el auditor del proyecto Deloitte con corte a 30 de junio de 2018 y recibido en la CREG el 30 de octubre de 2018.</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Matriz de Riesgos a abril de 2018, anexo 1 del pronunciamiento de la apoderada de EPM S.A ESP.</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Descripción cronológica de la contingencia, anexo 2 del pronunciamiento de la apoderada de EPM S.A ESP.</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 xml:space="preserve">Documento denominado Dictamen Pericial preparado por Camilo Quintero, aportado por la </w:t>
      </w:r>
      <w:r w:rsidR="00D40ACD" w:rsidRPr="00EB0EE6">
        <w:rPr>
          <w:rFonts w:ascii="Bookman Old Style" w:hAnsi="Bookman Old Style" w:cs="Arial"/>
          <w:sz w:val="24"/>
          <w:szCs w:val="24"/>
          <w:lang w:eastAsia="en-US"/>
        </w:rPr>
        <w:t>apoderada</w:t>
      </w:r>
      <w:r w:rsidRPr="00EB0EE6">
        <w:rPr>
          <w:rFonts w:ascii="Bookman Old Style" w:hAnsi="Bookman Old Style" w:cs="Arial"/>
          <w:sz w:val="24"/>
          <w:szCs w:val="24"/>
          <w:lang w:eastAsia="en-US"/>
        </w:rPr>
        <w:t xml:space="preserve"> de EPM S.A ESP.</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Declaraciones del Gerente General de Empresas Públicas de Medellín Jorge Londoño de la Cuesta en medios de comunicación sobre el estado del proyecto.</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 xml:space="preserve">Estudio de la causa raíz, realizado por Skava Consulting. </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Presentaciones realizadas en la CREG por parte de EPM sobre la contingencia y el estado del proyecto.</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Comunicaciones aportadas a la CREG por parte de EPM sobre la contingencia y el estado del proyecto.</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Comunicados de prensa emitidos por EPM sobre la contingencia y el estado del proyecto.</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lang w:eastAsia="en-US"/>
        </w:rPr>
      </w:pPr>
      <w:r w:rsidRPr="00EB0EE6">
        <w:rPr>
          <w:rFonts w:ascii="Bookman Old Style" w:hAnsi="Bookman Old Style" w:cs="Arial"/>
          <w:sz w:val="24"/>
          <w:szCs w:val="24"/>
          <w:lang w:eastAsia="en-US"/>
        </w:rPr>
        <w:t>Documento elaborado por EPM sobre las principales actividades a desarrollar para la terminación y entrada en operación del proyecto.</w:t>
      </w:r>
    </w:p>
    <w:p w:rsidR="008E10C2" w:rsidRPr="00F37643" w:rsidRDefault="008E10C2" w:rsidP="008E10C2">
      <w:pPr>
        <w:ind w:left="0"/>
        <w:jc w:val="both"/>
        <w:rPr>
          <w:rFonts w:ascii="Bookman Old Style" w:hAnsi="Bookman Old Style" w:cs="Arial"/>
          <w:lang w:val="es-CO" w:eastAsia="en-US"/>
        </w:rPr>
      </w:pPr>
    </w:p>
    <w:p w:rsidR="008E10C2" w:rsidRPr="00EB0EE6" w:rsidRDefault="008E10C2" w:rsidP="00EB0EE6">
      <w:pPr>
        <w:pStyle w:val="Prrafodelista"/>
        <w:numPr>
          <w:ilvl w:val="0"/>
          <w:numId w:val="32"/>
        </w:numPr>
        <w:jc w:val="both"/>
        <w:rPr>
          <w:rFonts w:ascii="Bookman Old Style" w:hAnsi="Bookman Old Style" w:cs="Arial"/>
          <w:bCs/>
        </w:rPr>
      </w:pPr>
      <w:r w:rsidRPr="00EB0EE6">
        <w:rPr>
          <w:rFonts w:ascii="Bookman Old Style" w:hAnsi="Bookman Old Style" w:cs="Arial"/>
          <w:bCs/>
          <w:sz w:val="24"/>
          <w:szCs w:val="24"/>
        </w:rPr>
        <w:t xml:space="preserve">Estudio de la Universidad Nacional, “Asesoría al Consejo Departamental de Gestión del Riesgo de Desastres, en el marco de la Declaratoria de Calamidad Pública número D20188070001272 de 14 de mayo de 2018, mediante el análisis de la información técnica que reposa en el Proyecto Hidroeléctrico de Ituango. Contrato No 2018-SS26-0001” citado en el Libro Errores Constructivos de Hidroituango de Luis Pérez </w:t>
      </w:r>
      <w:r w:rsidR="00D40ACD" w:rsidRPr="00EB0EE6">
        <w:rPr>
          <w:rFonts w:ascii="Bookman Old Style" w:hAnsi="Bookman Old Style" w:cs="Arial"/>
          <w:bCs/>
          <w:sz w:val="24"/>
          <w:szCs w:val="24"/>
        </w:rPr>
        <w:t>Gutiérrez</w:t>
      </w:r>
      <w:r w:rsidRPr="00EB0EE6">
        <w:rPr>
          <w:rFonts w:ascii="Bookman Old Style" w:hAnsi="Bookman Old Style" w:cs="Arial"/>
          <w:bCs/>
          <w:sz w:val="24"/>
          <w:szCs w:val="24"/>
        </w:rPr>
        <w:t xml:space="preserve">. </w:t>
      </w:r>
    </w:p>
    <w:p w:rsidR="008E10C2" w:rsidRPr="00F37643"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2"/>
        </w:numPr>
        <w:jc w:val="both"/>
        <w:rPr>
          <w:rFonts w:ascii="Bookman Old Style" w:hAnsi="Bookman Old Style"/>
          <w:b/>
          <w:bCs/>
        </w:rPr>
      </w:pPr>
      <w:r w:rsidRPr="00EB0EE6">
        <w:rPr>
          <w:rFonts w:ascii="Bookman Old Style" w:hAnsi="Bookman Old Style" w:cs="Arial"/>
          <w:bCs/>
          <w:sz w:val="24"/>
          <w:szCs w:val="24"/>
        </w:rPr>
        <w:t>C</w:t>
      </w:r>
      <w:r w:rsidRPr="00EB0EE6">
        <w:rPr>
          <w:rFonts w:ascii="Bookman Old Style" w:hAnsi="Bookman Old Style"/>
          <w:bCs/>
          <w:sz w:val="24"/>
          <w:szCs w:val="24"/>
        </w:rPr>
        <w:t>opia auténtica de la</w:t>
      </w:r>
      <w:r w:rsidR="00D40ACD" w:rsidRPr="00EB0EE6">
        <w:rPr>
          <w:rFonts w:ascii="Bookman Old Style" w:hAnsi="Bookman Old Style"/>
          <w:bCs/>
          <w:sz w:val="24"/>
          <w:szCs w:val="24"/>
        </w:rPr>
        <w:t xml:space="preserve"> </w:t>
      </w:r>
      <w:r w:rsidRPr="00EB0EE6">
        <w:rPr>
          <w:rFonts w:ascii="Bookman Old Style" w:hAnsi="Bookman Old Style" w:cs="Arial"/>
          <w:bCs/>
          <w:sz w:val="24"/>
          <w:szCs w:val="24"/>
        </w:rPr>
        <w:t>Resolución ANLA 00820 de 2018 “Por la cual se impone una medida preventiva y se adopta otras determinaciones” y de la comunicación ANLA 2018164366-2-000, de la Autoridad Nacional de Licencias Ambientales.</w:t>
      </w:r>
    </w:p>
    <w:p w:rsidR="008E10C2" w:rsidRPr="00E41518" w:rsidRDefault="008E10C2" w:rsidP="008E10C2">
      <w:pPr>
        <w:ind w:left="0"/>
        <w:jc w:val="both"/>
        <w:rPr>
          <w:rFonts w:ascii="Bookman Old Style" w:hAnsi="Bookman Old Style" w:cs="Arial"/>
          <w:lang w:val="es-CO" w:eastAsia="en-US"/>
        </w:rPr>
      </w:pPr>
    </w:p>
    <w:p w:rsidR="008E10C2" w:rsidRPr="00E41518" w:rsidRDefault="008E10C2" w:rsidP="008E10C2">
      <w:pPr>
        <w:ind w:left="0"/>
        <w:jc w:val="both"/>
        <w:rPr>
          <w:rFonts w:ascii="Bookman Old Style" w:hAnsi="Bookman Old Style" w:cs="Arial"/>
          <w:bCs/>
          <w:lang w:val="es-CO"/>
        </w:rPr>
      </w:pPr>
    </w:p>
    <w:p w:rsidR="008E10C2" w:rsidRPr="00E41518" w:rsidRDefault="008E10C2" w:rsidP="008E10C2">
      <w:pPr>
        <w:ind w:left="0"/>
        <w:jc w:val="both"/>
        <w:rPr>
          <w:rFonts w:ascii="Bookman Old Style" w:hAnsi="Bookman Old Style" w:cs="Arial"/>
          <w:bCs/>
          <w:lang w:val="es-CO"/>
        </w:rPr>
      </w:pPr>
      <w:r w:rsidRPr="00E41518">
        <w:rPr>
          <w:rFonts w:ascii="Bookman Old Style" w:hAnsi="Bookman Old Style" w:cs="Arial"/>
          <w:bCs/>
          <w:lang w:val="es-CO"/>
        </w:rPr>
        <w:t xml:space="preserve">Declaración de Parte: </w:t>
      </w:r>
    </w:p>
    <w:p w:rsidR="008E10C2" w:rsidRPr="00E41518" w:rsidRDefault="008E10C2" w:rsidP="008E10C2">
      <w:pPr>
        <w:ind w:left="0"/>
        <w:jc w:val="both"/>
        <w:rPr>
          <w:rFonts w:ascii="Bookman Old Style" w:hAnsi="Bookman Old Style" w:cs="Arial"/>
          <w:bCs/>
          <w:lang w:val="es-CO"/>
        </w:rPr>
      </w:pPr>
    </w:p>
    <w:p w:rsidR="008E10C2" w:rsidRPr="00EB0EE6" w:rsidRDefault="008E10C2" w:rsidP="00EB0EE6">
      <w:pPr>
        <w:pStyle w:val="Prrafodelista"/>
        <w:numPr>
          <w:ilvl w:val="0"/>
          <w:numId w:val="33"/>
        </w:numPr>
        <w:jc w:val="both"/>
        <w:rPr>
          <w:rFonts w:ascii="Bookman Old Style" w:hAnsi="Bookman Old Style" w:cs="Arial"/>
          <w:bCs/>
        </w:rPr>
      </w:pPr>
      <w:r w:rsidRPr="00EB0EE6">
        <w:rPr>
          <w:rFonts w:ascii="Bookman Old Style" w:hAnsi="Bookman Old Style" w:cs="Arial"/>
          <w:bCs/>
          <w:sz w:val="24"/>
          <w:szCs w:val="24"/>
        </w:rPr>
        <w:t>Informe juramentado del señor Jorge Londoño de la Cuesta, Representante legal de EPM S.A ESP.</w:t>
      </w:r>
    </w:p>
    <w:p w:rsidR="008E10C2" w:rsidRDefault="008E10C2" w:rsidP="008E10C2">
      <w:pPr>
        <w:ind w:left="0"/>
        <w:jc w:val="both"/>
        <w:rPr>
          <w:rFonts w:ascii="Bookman Old Style" w:hAnsi="Bookman Old Style" w:cs="Arial"/>
          <w:bCs/>
        </w:rPr>
      </w:pPr>
    </w:p>
    <w:p w:rsidR="008E10C2" w:rsidRPr="00710164" w:rsidRDefault="008E10C2" w:rsidP="008E10C2">
      <w:pPr>
        <w:ind w:left="0"/>
        <w:jc w:val="both"/>
        <w:rPr>
          <w:rFonts w:ascii="Bookman Old Style" w:hAnsi="Bookman Old Style" w:cs="Arial"/>
          <w:bCs/>
          <w:lang w:val="es-CO"/>
        </w:rPr>
      </w:pPr>
    </w:p>
    <w:p w:rsidR="008E10C2" w:rsidRDefault="008E10C2" w:rsidP="008E10C2">
      <w:pPr>
        <w:ind w:left="0"/>
        <w:jc w:val="both"/>
        <w:rPr>
          <w:rFonts w:ascii="Bookman Old Style" w:hAnsi="Bookman Old Style" w:cs="Arial"/>
          <w:bCs/>
        </w:rPr>
      </w:pPr>
      <w:r>
        <w:rPr>
          <w:rFonts w:ascii="Bookman Old Style" w:hAnsi="Bookman Old Style" w:cs="Arial"/>
          <w:bCs/>
        </w:rPr>
        <w:t>Prueba pericial, así:</w:t>
      </w:r>
    </w:p>
    <w:p w:rsidR="008E10C2" w:rsidRDefault="008E10C2" w:rsidP="008E10C2">
      <w:pPr>
        <w:ind w:left="0"/>
        <w:jc w:val="both"/>
        <w:rPr>
          <w:rFonts w:ascii="Bookman Old Style" w:hAnsi="Bookman Old Style" w:cs="Arial"/>
          <w:bCs/>
        </w:rPr>
      </w:pPr>
    </w:p>
    <w:p w:rsidR="008E10C2" w:rsidRPr="00EB0EE6" w:rsidRDefault="008E10C2" w:rsidP="00EB0EE6">
      <w:pPr>
        <w:pStyle w:val="Prrafodelista"/>
        <w:numPr>
          <w:ilvl w:val="0"/>
          <w:numId w:val="34"/>
        </w:numPr>
        <w:jc w:val="both"/>
        <w:rPr>
          <w:rFonts w:ascii="Bookman Old Style" w:hAnsi="Bookman Old Style" w:cs="Arial"/>
          <w:bCs/>
        </w:rPr>
      </w:pPr>
      <w:r w:rsidRPr="00EB0EE6">
        <w:rPr>
          <w:rFonts w:ascii="Bookman Old Style" w:hAnsi="Bookman Old Style" w:cs="Arial"/>
          <w:bCs/>
          <w:sz w:val="24"/>
          <w:szCs w:val="24"/>
        </w:rPr>
        <w:t>Peritazgo de un experto en geotecnia de grandes presas hidráulicas.</w:t>
      </w:r>
    </w:p>
    <w:p w:rsidR="008E10C2" w:rsidRPr="00EB0EE6" w:rsidRDefault="008E10C2" w:rsidP="00EB0EE6">
      <w:pPr>
        <w:pStyle w:val="Prrafodelista"/>
        <w:numPr>
          <w:ilvl w:val="0"/>
          <w:numId w:val="34"/>
        </w:numPr>
        <w:jc w:val="both"/>
        <w:rPr>
          <w:rFonts w:ascii="Bookman Old Style" w:hAnsi="Bookman Old Style" w:cs="Arial"/>
          <w:bCs/>
        </w:rPr>
      </w:pPr>
      <w:r w:rsidRPr="00EB0EE6">
        <w:rPr>
          <w:rFonts w:ascii="Bookman Old Style" w:hAnsi="Bookman Old Style" w:cs="Arial"/>
          <w:bCs/>
          <w:sz w:val="24"/>
          <w:szCs w:val="24"/>
        </w:rPr>
        <w:t>Peritazgo de un experto en geotecnia</w:t>
      </w:r>
    </w:p>
    <w:p w:rsidR="008E10C2" w:rsidRPr="00EB0EE6" w:rsidRDefault="008E10C2" w:rsidP="00EB0EE6">
      <w:pPr>
        <w:pStyle w:val="Prrafodelista"/>
        <w:numPr>
          <w:ilvl w:val="0"/>
          <w:numId w:val="34"/>
        </w:numPr>
        <w:jc w:val="both"/>
        <w:rPr>
          <w:rFonts w:ascii="Bookman Old Style" w:hAnsi="Bookman Old Style" w:cs="Arial"/>
          <w:bCs/>
        </w:rPr>
      </w:pPr>
      <w:r w:rsidRPr="00EB0EE6">
        <w:rPr>
          <w:rFonts w:ascii="Bookman Old Style" w:hAnsi="Bookman Old Style" w:cs="Arial"/>
          <w:bCs/>
          <w:sz w:val="24"/>
          <w:szCs w:val="24"/>
        </w:rPr>
        <w:t>Peritazgo de un experto en geotecnia y túneles de obra subterránea.</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lang w:val="es-CO"/>
        </w:rPr>
      </w:pPr>
      <w:r>
        <w:rPr>
          <w:rFonts w:ascii="Bookman Old Style" w:hAnsi="Bookman Old Style" w:cs="Arial"/>
          <w:bCs/>
        </w:rPr>
        <w:t xml:space="preserve">Adicionalmente, el 7 de mayo de 2019, se decretó de oficio la práctica de la prueba testimonial de Luis Fernando Restrepo Vélez, gerente de infraestructura de Integral y se solicitó a la ANLA copia de varios autos y resoluciones expedidos por esa entidad relativos al proyecto </w:t>
      </w:r>
      <w:r>
        <w:rPr>
          <w:rFonts w:ascii="Bookman Old Style" w:hAnsi="Bookman Old Style" w:cs="Arial"/>
          <w:bCs/>
          <w:lang w:val="es-CO"/>
        </w:rPr>
        <w:t>Hidroeléctrico Ituango.</w:t>
      </w:r>
    </w:p>
    <w:p w:rsidR="008E10C2" w:rsidRDefault="008E10C2" w:rsidP="008E10C2">
      <w:pPr>
        <w:ind w:left="0"/>
        <w:jc w:val="both"/>
        <w:rPr>
          <w:rFonts w:ascii="Bookman Old Style" w:hAnsi="Bookman Old Style" w:cs="Arial"/>
          <w:bCs/>
          <w:lang w:val="es-CO"/>
        </w:rPr>
      </w:pPr>
    </w:p>
    <w:p w:rsidR="008E10C2" w:rsidRDefault="008E10C2" w:rsidP="008E10C2">
      <w:pPr>
        <w:ind w:left="0"/>
        <w:jc w:val="both"/>
        <w:rPr>
          <w:rFonts w:ascii="Bookman Old Style" w:hAnsi="Bookman Old Style" w:cs="Arial"/>
          <w:bCs/>
          <w:lang w:val="es-CO"/>
        </w:rPr>
      </w:pPr>
      <w:r>
        <w:rPr>
          <w:rFonts w:ascii="Bookman Old Style" w:hAnsi="Bookman Old Style" w:cs="Arial"/>
          <w:bCs/>
          <w:lang w:val="es-CO"/>
        </w:rPr>
        <w:t>Finalmente, mediante auto de julio 22 de 2019, se solicitó a la firma Integral S.A diseñadora del proyecto Hidroeléctrico Ituango, allegar a la actuación administrativa en original o copias: 1) Cronograma de recuperación de casa de máquinas. 2) Cronograma de recuperación y puesta en servicio del túnel de acceso. 3) Cronograma de instalación de las cuatro primeras unidades de generación.</w:t>
      </w:r>
    </w:p>
    <w:p w:rsidR="008E10C2" w:rsidRPr="008E10C2" w:rsidRDefault="008E10C2" w:rsidP="008E10C2">
      <w:pPr>
        <w:ind w:left="0"/>
        <w:jc w:val="both"/>
        <w:rPr>
          <w:rFonts w:ascii="Bookman Old Style" w:hAnsi="Bookman Old Style"/>
          <w:lang w:val="es-CO"/>
        </w:rPr>
      </w:pPr>
    </w:p>
    <w:p w:rsidR="008E10C2" w:rsidRDefault="008E10C2" w:rsidP="008E10C2">
      <w:pPr>
        <w:ind w:left="0"/>
        <w:jc w:val="both"/>
        <w:rPr>
          <w:rFonts w:ascii="Bookman Old Style" w:hAnsi="Bookman Old Style"/>
        </w:rPr>
      </w:pPr>
    </w:p>
    <w:p w:rsidR="008E10C2" w:rsidRDefault="008E10C2" w:rsidP="008E10C2">
      <w:pPr>
        <w:ind w:left="0"/>
        <w:rPr>
          <w:rFonts w:ascii="Bookman Old Style" w:hAnsi="Bookman Old Style"/>
          <w:b/>
        </w:rPr>
      </w:pPr>
    </w:p>
    <w:p w:rsidR="008E10C2" w:rsidRDefault="008E10C2" w:rsidP="008E10C2">
      <w:pPr>
        <w:numPr>
          <w:ilvl w:val="0"/>
          <w:numId w:val="24"/>
        </w:numPr>
        <w:rPr>
          <w:rFonts w:ascii="Bookman Old Style" w:hAnsi="Bookman Old Style"/>
          <w:b/>
        </w:rPr>
      </w:pPr>
      <w:r w:rsidRPr="00496B75">
        <w:rPr>
          <w:rFonts w:ascii="Bookman Old Style" w:hAnsi="Bookman Old Style"/>
          <w:b/>
        </w:rPr>
        <w:t>ANÁLISIS DE LA CREG</w:t>
      </w:r>
    </w:p>
    <w:p w:rsidR="008E10C2" w:rsidRPr="00496B75" w:rsidRDefault="008E10C2" w:rsidP="008E10C2">
      <w:pPr>
        <w:ind w:left="720"/>
        <w:rPr>
          <w:rFonts w:ascii="Bookman Old Style" w:hAnsi="Bookman Old Style"/>
          <w:b/>
        </w:rPr>
      </w:pPr>
    </w:p>
    <w:p w:rsidR="008E10C2" w:rsidRPr="00FC2182" w:rsidRDefault="008E10C2" w:rsidP="008E10C2">
      <w:pPr>
        <w:numPr>
          <w:ilvl w:val="0"/>
          <w:numId w:val="29"/>
        </w:numPr>
        <w:rPr>
          <w:rFonts w:ascii="Bookman Old Style" w:hAnsi="Bookman Old Style"/>
          <w:b/>
        </w:rPr>
      </w:pPr>
      <w:r w:rsidRPr="00FC2182">
        <w:rPr>
          <w:rFonts w:ascii="Bookman Old Style" w:hAnsi="Bookman Old Style"/>
          <w:b/>
        </w:rPr>
        <w:t>Regulación del Cargo por Confiabilidad</w:t>
      </w:r>
    </w:p>
    <w:p w:rsidR="008E10C2" w:rsidRPr="00FC2182" w:rsidRDefault="008E10C2" w:rsidP="008E10C2">
      <w:pPr>
        <w:ind w:left="0"/>
        <w:rPr>
          <w:rFonts w:ascii="Bookman Old Style" w:hAnsi="Bookman Old Style"/>
          <w:b/>
        </w:rPr>
      </w:pPr>
    </w:p>
    <w:p w:rsidR="008E10C2" w:rsidRDefault="008E10C2" w:rsidP="008E10C2">
      <w:pPr>
        <w:ind w:left="0"/>
        <w:rPr>
          <w:rFonts w:ascii="Bookman Old Style" w:hAnsi="Bookman Old Style"/>
        </w:rPr>
      </w:pPr>
      <w:r w:rsidRPr="003B7771">
        <w:rPr>
          <w:rFonts w:ascii="Bookman Old Style" w:hAnsi="Bookman Old Style" w:cs="Arial"/>
          <w:b/>
        </w:rPr>
        <w:t>Antecedentes del esquema regulatorio del cargo por confiabilidad. Fines y objetivos de la regulación y fundamentos legales para su expedición.</w:t>
      </w:r>
    </w:p>
    <w:p w:rsidR="008E10C2" w:rsidRDefault="008E10C2" w:rsidP="008E10C2">
      <w:pPr>
        <w:ind w:left="0"/>
        <w:rPr>
          <w:rFonts w:ascii="Bookman Old Style" w:hAnsi="Bookman Old Style"/>
        </w:rPr>
      </w:pPr>
    </w:p>
    <w:p w:rsidR="008E10C2" w:rsidRPr="003B7771" w:rsidRDefault="008E10C2" w:rsidP="008E10C2">
      <w:pPr>
        <w:ind w:left="0"/>
        <w:jc w:val="both"/>
        <w:rPr>
          <w:rFonts w:ascii="Bookman Old Style" w:eastAsia="Calibri" w:hAnsi="Bookman Old Style" w:cs="Arial"/>
        </w:rPr>
      </w:pPr>
      <w:r>
        <w:rPr>
          <w:rFonts w:ascii="Bookman Old Style" w:eastAsia="Calibri" w:hAnsi="Bookman Old Style" w:cs="Arial"/>
        </w:rPr>
        <w:t>La Ley 143 de 1994 establece en su artículo 4 que el Estado</w:t>
      </w:r>
      <w:r w:rsidRPr="003B7771">
        <w:rPr>
          <w:rFonts w:ascii="Bookman Old Style" w:eastAsia="Calibri" w:hAnsi="Bookman Old Style" w:cs="Arial"/>
        </w:rPr>
        <w:t xml:space="preserve"> en relación </w:t>
      </w:r>
      <w:r>
        <w:rPr>
          <w:rFonts w:ascii="Bookman Old Style" w:eastAsia="Calibri" w:hAnsi="Bookman Old Style" w:cs="Arial"/>
        </w:rPr>
        <w:t>con el servicio de electricidad</w:t>
      </w:r>
      <w:r w:rsidRPr="003B7771">
        <w:rPr>
          <w:rFonts w:ascii="Bookman Old Style" w:eastAsia="Calibri" w:hAnsi="Bookman Old Style" w:cs="Arial"/>
        </w:rPr>
        <w:t xml:space="preserve"> tendrá como objetivos en el cumplimiento de sus funciones, los de abastecer la demanda de electricidad de la comunidad bajo criterios económicos y de viabilidad financiera, asegurando su cubrimiento en un marco de uso racional y eficiente de los diferentes </w:t>
      </w:r>
      <w:r w:rsidRPr="003B7771">
        <w:rPr>
          <w:rFonts w:ascii="Bookman Old Style" w:hAnsi="Bookman Old Style" w:cs="Arial"/>
        </w:rPr>
        <w:t>recursos</w:t>
      </w:r>
      <w:r w:rsidRPr="003B7771">
        <w:rPr>
          <w:rFonts w:ascii="Bookman Old Style" w:eastAsia="Calibri" w:hAnsi="Bookman Old Style" w:cs="Arial"/>
        </w:rPr>
        <w:t xml:space="preserve"> energéticos del país; asegurar una operación eficiente, segura y confiable en las actividades del sector; y mantener los niveles de calidad y seguridad establecidos. El artículo 20 de la misma ley,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 </w:t>
      </w:r>
    </w:p>
    <w:p w:rsidR="008E10C2" w:rsidRPr="003B7771" w:rsidRDefault="008E10C2" w:rsidP="008E10C2">
      <w:pPr>
        <w:ind w:left="720"/>
        <w:contextualSpacing/>
        <w:rPr>
          <w:rFonts w:ascii="Bookman Old Style" w:eastAsia="Calibri" w:hAnsi="Bookman Old Style"/>
        </w:rPr>
      </w:pPr>
    </w:p>
    <w:p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Para el cumplimiento de este objetivo la Ley 143 de 1994, artículo 23 le atribuyó a la Comisión de Regulación de Energía y Gas, entre otras, las siguientes funciones:</w:t>
      </w:r>
    </w:p>
    <w:p w:rsidR="008E10C2" w:rsidRPr="003B7771" w:rsidRDefault="008E10C2" w:rsidP="008E10C2">
      <w:pPr>
        <w:ind w:left="360"/>
        <w:rPr>
          <w:rFonts w:ascii="Bookman Old Style" w:eastAsia="Calibri" w:hAnsi="Bookman Old Style" w:cs="Arial"/>
        </w:rPr>
      </w:pPr>
    </w:p>
    <w:p w:rsidR="008E10C2" w:rsidRPr="003B7771" w:rsidRDefault="008E10C2" w:rsidP="008E10C2">
      <w:pPr>
        <w:numPr>
          <w:ilvl w:val="0"/>
          <w:numId w:val="30"/>
        </w:numPr>
        <w:contextualSpacing/>
        <w:jc w:val="both"/>
        <w:rPr>
          <w:rFonts w:ascii="Bookman Old Style" w:eastAsia="Calibri" w:hAnsi="Bookman Old Style" w:cs="Arial"/>
        </w:rPr>
      </w:pPr>
      <w:r w:rsidRPr="003B7771">
        <w:rPr>
          <w:rFonts w:ascii="Bookman Old Style" w:eastAsia="Calibri" w:hAnsi="Bookman Old Style" w:cs="Arial"/>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8E10C2" w:rsidRPr="003B7771" w:rsidRDefault="008E10C2" w:rsidP="008E10C2">
      <w:pPr>
        <w:numPr>
          <w:ilvl w:val="0"/>
          <w:numId w:val="30"/>
        </w:numPr>
        <w:contextualSpacing/>
        <w:rPr>
          <w:rFonts w:ascii="Bookman Old Style" w:eastAsia="Calibri" w:hAnsi="Bookman Old Style" w:cs="Arial"/>
        </w:rPr>
      </w:pPr>
      <w:r w:rsidRPr="003B7771">
        <w:rPr>
          <w:rFonts w:ascii="Bookman Old Style" w:eastAsia="Calibri" w:hAnsi="Bookman Old Style" w:cs="Arial"/>
        </w:rPr>
        <w:t>Valorar la capacidad de generación de respaldo de la oferta eficiente.</w:t>
      </w:r>
    </w:p>
    <w:p w:rsidR="008E10C2" w:rsidRPr="003B7771" w:rsidRDefault="008E10C2" w:rsidP="008E10C2">
      <w:pPr>
        <w:numPr>
          <w:ilvl w:val="0"/>
          <w:numId w:val="30"/>
        </w:numPr>
        <w:contextualSpacing/>
        <w:jc w:val="both"/>
        <w:rPr>
          <w:rFonts w:ascii="Bookman Old Style" w:eastAsia="Calibri" w:hAnsi="Bookman Old Style" w:cs="Arial"/>
        </w:rPr>
      </w:pPr>
      <w:r w:rsidRPr="003B7771">
        <w:rPr>
          <w:rFonts w:ascii="Bookman Old Style" w:eastAsia="Calibri" w:hAnsi="Bookman Old Style" w:cs="Arial"/>
        </w:rPr>
        <w:t>Definir y hacer operativos los criterios técnicos de calidad, confiabilidad y seguridad del servicio de energía.</w:t>
      </w:r>
    </w:p>
    <w:p w:rsidR="008E10C2" w:rsidRPr="003B7771" w:rsidRDefault="008E10C2" w:rsidP="008E10C2">
      <w:pPr>
        <w:numPr>
          <w:ilvl w:val="0"/>
          <w:numId w:val="30"/>
        </w:numPr>
        <w:contextualSpacing/>
        <w:jc w:val="both"/>
        <w:rPr>
          <w:rFonts w:ascii="Bookman Old Style" w:eastAsia="Calibri" w:hAnsi="Bookman Old Style" w:cs="Arial"/>
        </w:rPr>
      </w:pPr>
      <w:r w:rsidRPr="003B7771">
        <w:rPr>
          <w:rFonts w:ascii="Bookman Old Style" w:eastAsia="Calibri" w:hAnsi="Bookman Old Style" w:cs="Arial"/>
        </w:rPr>
        <w:t>Establecer el Reglamento de Operación para realizar el planeamiento y la coordinación de la operación del Sistema Interconectado Nacional y regular el funcionamiento del mercado mayorista de energía.</w:t>
      </w:r>
    </w:p>
    <w:p w:rsidR="008E10C2" w:rsidRPr="003B7771" w:rsidRDefault="008E10C2" w:rsidP="008E10C2">
      <w:pPr>
        <w:numPr>
          <w:ilvl w:val="0"/>
          <w:numId w:val="30"/>
        </w:numPr>
        <w:contextualSpacing/>
        <w:jc w:val="both"/>
        <w:rPr>
          <w:rFonts w:ascii="Bookman Old Style" w:eastAsia="Calibri" w:hAnsi="Bookman Old Style" w:cs="Arial"/>
        </w:rPr>
      </w:pPr>
      <w:r w:rsidRPr="003B7771">
        <w:rPr>
          <w:rFonts w:ascii="Bookman Old Style" w:eastAsia="Calibri" w:hAnsi="Bookman Old Style" w:cs="Arial"/>
        </w:rPr>
        <w:t>Determinar las condiciones para la liberación gradual del mercado hacia la libre competencia.</w:t>
      </w:r>
    </w:p>
    <w:p w:rsidR="008E10C2" w:rsidRPr="003B7771" w:rsidRDefault="008E10C2" w:rsidP="008E10C2">
      <w:pPr>
        <w:ind w:left="360"/>
        <w:rPr>
          <w:rFonts w:ascii="Bookman Old Style" w:eastAsia="Calibri" w:hAnsi="Bookman Old Style" w:cs="Arial"/>
        </w:rPr>
      </w:pPr>
    </w:p>
    <w:p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Así mismo</w:t>
      </w:r>
      <w:r w:rsidR="00CB52E7">
        <w:rPr>
          <w:rFonts w:ascii="Bookman Old Style" w:eastAsia="Calibri" w:hAnsi="Bookman Old Style" w:cs="Arial"/>
        </w:rPr>
        <w:t>,</w:t>
      </w:r>
      <w:r w:rsidRPr="003B7771">
        <w:rPr>
          <w:rFonts w:ascii="Bookman Old Style" w:eastAsia="Calibri" w:hAnsi="Bookman Old Style" w:cs="Arial"/>
        </w:rPr>
        <w:t xml:space="preserve"> la Ley 142 de 1994, artículo 74, definió como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  </w:t>
      </w:r>
    </w:p>
    <w:p w:rsidR="008E10C2" w:rsidRPr="003B7771" w:rsidRDefault="008E10C2" w:rsidP="008E10C2">
      <w:pPr>
        <w:jc w:val="both"/>
        <w:rPr>
          <w:rFonts w:ascii="Bookman Old Style" w:eastAsia="Calibri" w:hAnsi="Bookman Old Style" w:cs="Arial"/>
        </w:rPr>
      </w:pPr>
    </w:p>
    <w:p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Según las leyes 142 y 143 de 1994, el mercado de energía mayorista se rige, entre otros, por el principio de libertad de entrada y de salida, que supone esencialmente autonomía para que cualquier persona decida la oportunidad para ingresar a dicho mercado y su permanencia o retiro, sin más exigencias que las indispensables para asegurar el cumplimiento de fines legales</w:t>
      </w:r>
      <w:r w:rsidR="00CB52E7">
        <w:rPr>
          <w:rFonts w:ascii="Bookman Old Style" w:eastAsia="Calibri" w:hAnsi="Bookman Old Style" w:cs="Arial"/>
        </w:rPr>
        <w:t>,</w:t>
      </w:r>
      <w:r w:rsidRPr="003B7771">
        <w:rPr>
          <w:rFonts w:ascii="Bookman Old Style" w:eastAsia="Calibri" w:hAnsi="Bookman Old Style" w:cs="Arial"/>
        </w:rPr>
        <w:t xml:space="preserve"> tales como la eficiencia, la seguridad, la libre competencia y el adecuado funcionamiento del mercado.</w:t>
      </w:r>
    </w:p>
    <w:p w:rsidR="008E10C2" w:rsidRPr="003B7771" w:rsidRDefault="008E10C2" w:rsidP="008E10C2">
      <w:pPr>
        <w:jc w:val="both"/>
        <w:rPr>
          <w:rFonts w:ascii="Bookman Old Style" w:eastAsia="Calibri" w:hAnsi="Bookman Old Style" w:cs="Arial"/>
        </w:rPr>
      </w:pPr>
    </w:p>
    <w:p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Ateniendo</w:t>
      </w:r>
      <w:r>
        <w:rPr>
          <w:rFonts w:ascii="Bookman Old Style" w:eastAsia="Calibri" w:hAnsi="Bookman Old Style" w:cs="Arial"/>
        </w:rPr>
        <w:t xml:space="preserve"> a</w:t>
      </w:r>
      <w:r w:rsidRPr="003B7771">
        <w:rPr>
          <w:rFonts w:ascii="Bookman Old Style" w:eastAsia="Calibri" w:hAnsi="Bookman Old Style" w:cs="Arial"/>
        </w:rPr>
        <w:t xml:space="preserve"> los fines y objetivos establecidos por dichas normas, la CREG diseñ</w:t>
      </w:r>
      <w:r>
        <w:rPr>
          <w:rFonts w:ascii="Bookman Old Style" w:eastAsia="Calibri" w:hAnsi="Bookman Old Style" w:cs="Arial"/>
        </w:rPr>
        <w:t>ó</w:t>
      </w:r>
      <w:r w:rsidRPr="003B7771">
        <w:rPr>
          <w:rFonts w:ascii="Bookman Old Style" w:eastAsia="Calibri" w:hAnsi="Bookman Old Style" w:cs="Arial"/>
        </w:rPr>
        <w:t xml:space="preserve"> un esquema de remuneración que permit</w:t>
      </w:r>
      <w:r>
        <w:rPr>
          <w:rFonts w:ascii="Bookman Old Style" w:eastAsia="Calibri" w:hAnsi="Bookman Old Style" w:cs="Arial"/>
        </w:rPr>
        <w:t>e</w:t>
      </w:r>
      <w:r w:rsidRPr="003B7771">
        <w:rPr>
          <w:rFonts w:ascii="Bookman Old Style" w:eastAsia="Calibri" w:hAnsi="Bookman Old Style" w:cs="Arial"/>
        </w:rPr>
        <w:t xml:space="preserve"> hacer viable la inversión en los recursos de generación necesarios </w:t>
      </w:r>
      <w:r w:rsidR="00CB52E7">
        <w:rPr>
          <w:rFonts w:ascii="Bookman Old Style" w:eastAsia="Calibri" w:hAnsi="Bookman Old Style" w:cs="Arial"/>
        </w:rPr>
        <w:t xml:space="preserve">para </w:t>
      </w:r>
      <w:r w:rsidRPr="003B7771">
        <w:rPr>
          <w:rFonts w:ascii="Bookman Old Style" w:eastAsia="Calibri" w:hAnsi="Bookman Old Style" w:cs="Arial"/>
        </w:rPr>
        <w:t xml:space="preserve">atender la demanda de manera eficiente en condiciones críticas de abastecimiento hídrico, a través de la estabilización de los ingresos del generador. </w:t>
      </w:r>
      <w:r>
        <w:rPr>
          <w:rFonts w:ascii="Bookman Old Style" w:eastAsia="Calibri" w:hAnsi="Bookman Old Style" w:cs="Arial"/>
        </w:rPr>
        <w:t xml:space="preserve">El esquema se adoptó mediante </w:t>
      </w:r>
      <w:r w:rsidRPr="003B7771">
        <w:rPr>
          <w:rFonts w:ascii="Bookman Old Style" w:eastAsia="Calibri" w:hAnsi="Bookman Old Style" w:cs="Arial"/>
        </w:rPr>
        <w:t xml:space="preserve">la Resolución CREG 071 de 2006 “Por la cual se adopta la metodología para la remuneración del Cargo por Confiabilidad en el Mercado Mayorista de Energía”.  </w:t>
      </w:r>
    </w:p>
    <w:p w:rsidR="008E10C2" w:rsidRPr="003B7771" w:rsidRDefault="008E10C2" w:rsidP="008E10C2">
      <w:pPr>
        <w:jc w:val="both"/>
        <w:rPr>
          <w:rFonts w:ascii="Bookman Old Style" w:eastAsia="Calibri" w:hAnsi="Bookman Old Style" w:cs="Arial"/>
        </w:rPr>
      </w:pPr>
    </w:p>
    <w:p w:rsidR="008E10C2" w:rsidRPr="003B7771" w:rsidRDefault="008E10C2" w:rsidP="008E10C2">
      <w:pPr>
        <w:ind w:left="0"/>
        <w:jc w:val="both"/>
        <w:rPr>
          <w:rFonts w:ascii="Bookman Old Style" w:eastAsia="Calibri" w:hAnsi="Bookman Old Style" w:cs="Arial"/>
        </w:rPr>
      </w:pPr>
      <w:r w:rsidRPr="003B7771">
        <w:rPr>
          <w:rFonts w:ascii="Bookman Old Style" w:eastAsia="Calibri" w:hAnsi="Bookman Old Style" w:cs="Arial"/>
        </w:rPr>
        <w:t>Uno de los componentes esenciales de</w:t>
      </w:r>
      <w:r>
        <w:rPr>
          <w:rFonts w:ascii="Bookman Old Style" w:eastAsia="Calibri" w:hAnsi="Bookman Old Style" w:cs="Arial"/>
        </w:rPr>
        <w:t>l</w:t>
      </w:r>
      <w:r w:rsidRPr="003B7771">
        <w:rPr>
          <w:rFonts w:ascii="Bookman Old Style" w:eastAsia="Calibri" w:hAnsi="Bookman Old Style" w:cs="Arial"/>
        </w:rPr>
        <w:t xml:space="preserve"> esquema </w:t>
      </w:r>
      <w:r>
        <w:rPr>
          <w:rFonts w:ascii="Bookman Old Style" w:eastAsia="Calibri" w:hAnsi="Bookman Old Style" w:cs="Arial"/>
        </w:rPr>
        <w:t xml:space="preserve">son </w:t>
      </w:r>
      <w:r w:rsidRPr="003B7771">
        <w:rPr>
          <w:rFonts w:ascii="Bookman Old Style" w:eastAsia="Calibri" w:hAnsi="Bookman Old Style" w:cs="Arial"/>
        </w:rPr>
        <w:t>las Obligaciones de Energía Firme (OEF)</w:t>
      </w:r>
      <w:r>
        <w:rPr>
          <w:rFonts w:ascii="Bookman Old Style" w:eastAsia="Calibri" w:hAnsi="Bookman Old Style" w:cs="Arial"/>
        </w:rPr>
        <w:t xml:space="preserve"> que reflejan el </w:t>
      </w:r>
      <w:r w:rsidRPr="003B7771">
        <w:rPr>
          <w:rFonts w:ascii="Bookman Old Style" w:eastAsia="Calibri" w:hAnsi="Bookman Old Style" w:cs="Arial"/>
        </w:rPr>
        <w:t>compromiso que adquieren los generadores</w:t>
      </w:r>
      <w:r w:rsidR="00CB52E7">
        <w:rPr>
          <w:rFonts w:ascii="Bookman Old Style" w:eastAsia="Calibri" w:hAnsi="Bookman Old Style" w:cs="Arial"/>
        </w:rPr>
        <w:t>,</w:t>
      </w:r>
      <w:r w:rsidRPr="003B7771">
        <w:rPr>
          <w:rFonts w:ascii="Bookman Old Style" w:eastAsia="Calibri" w:hAnsi="Bookman Old Style" w:cs="Arial"/>
        </w:rPr>
        <w:t xml:space="preserve"> que voluntariamente participan </w:t>
      </w:r>
      <w:r>
        <w:rPr>
          <w:rFonts w:ascii="Bookman Old Style" w:eastAsia="Calibri" w:hAnsi="Bookman Old Style" w:cs="Arial"/>
        </w:rPr>
        <w:t>en el esquema</w:t>
      </w:r>
      <w:r w:rsidR="00CB52E7">
        <w:rPr>
          <w:rFonts w:ascii="Bookman Old Style" w:eastAsia="Calibri" w:hAnsi="Bookman Old Style" w:cs="Arial"/>
        </w:rPr>
        <w:t>,</w:t>
      </w:r>
      <w:r>
        <w:rPr>
          <w:rFonts w:ascii="Bookman Old Style" w:eastAsia="Calibri" w:hAnsi="Bookman Old Style" w:cs="Arial"/>
        </w:rPr>
        <w:t xml:space="preserve"> de entregar energía al sistema cuando se presente la condición crítica.  Este </w:t>
      </w:r>
      <w:r w:rsidRPr="003B7771">
        <w:rPr>
          <w:rFonts w:ascii="Bookman Old Style" w:eastAsia="Calibri" w:hAnsi="Bookman Old Style" w:cs="Arial"/>
        </w:rPr>
        <w:t xml:space="preserve">compromiso debe estar respaldado por </w:t>
      </w:r>
      <w:r>
        <w:rPr>
          <w:rFonts w:ascii="Bookman Old Style" w:eastAsia="Calibri" w:hAnsi="Bookman Old Style" w:cs="Arial"/>
        </w:rPr>
        <w:t xml:space="preserve">la disponibilidad de </w:t>
      </w:r>
      <w:r w:rsidRPr="003B7771">
        <w:rPr>
          <w:rFonts w:ascii="Bookman Old Style" w:eastAsia="Calibri" w:hAnsi="Bookman Old Style" w:cs="Arial"/>
        </w:rPr>
        <w:t xml:space="preserve">activos de generación capaces de producir </w:t>
      </w:r>
      <w:r>
        <w:rPr>
          <w:rFonts w:ascii="Bookman Old Style" w:eastAsia="Calibri" w:hAnsi="Bookman Old Style" w:cs="Arial"/>
        </w:rPr>
        <w:t>dicha energía</w:t>
      </w:r>
      <w:r w:rsidRPr="003B7771">
        <w:rPr>
          <w:rFonts w:ascii="Bookman Old Style" w:eastAsia="Calibri" w:hAnsi="Bookman Old Style" w:cs="Arial"/>
        </w:rPr>
        <w:t>. Este esquema permite asegurar la confiabilidad en el suministro de energía en el largo plazo a precios eficientes</w:t>
      </w:r>
      <w:r w:rsidR="00403611">
        <w:rPr>
          <w:rFonts w:ascii="Bookman Old Style" w:eastAsia="Calibri" w:hAnsi="Bookman Old Style" w:cs="Arial"/>
        </w:rPr>
        <w:t xml:space="preserve">.  Adicionalmente, el esquema incentiva </w:t>
      </w:r>
      <w:r>
        <w:rPr>
          <w:rFonts w:ascii="Bookman Old Style" w:eastAsia="Calibri" w:hAnsi="Bookman Old Style" w:cs="Arial"/>
        </w:rPr>
        <w:t xml:space="preserve">la instalación de nueva capacidad de generación cuando las proyecciones de demanda </w:t>
      </w:r>
      <w:r w:rsidR="00403611">
        <w:rPr>
          <w:rFonts w:ascii="Bookman Old Style" w:eastAsia="Calibri" w:hAnsi="Bookman Old Style" w:cs="Arial"/>
        </w:rPr>
        <w:t xml:space="preserve">y el balance de energía que hace la CREG evidencian que es necesario ampliar el parque de generación con ENFICC para asegurar el suministro a la demanda. </w:t>
      </w:r>
    </w:p>
    <w:p w:rsidR="008E10C2" w:rsidRPr="003B7771" w:rsidRDefault="008E10C2" w:rsidP="008E10C2">
      <w:pPr>
        <w:jc w:val="both"/>
        <w:rPr>
          <w:rFonts w:ascii="Bookman Old Style" w:eastAsia="Calibri" w:hAnsi="Bookman Old Style" w:cs="Arial"/>
        </w:rPr>
      </w:pPr>
    </w:p>
    <w:p w:rsidR="00CB52E7" w:rsidRDefault="008E10C2" w:rsidP="008E10C2">
      <w:pPr>
        <w:ind w:left="0"/>
        <w:jc w:val="both"/>
        <w:rPr>
          <w:rFonts w:ascii="Bookman Old Style" w:eastAsia="Calibri" w:hAnsi="Bookman Old Style" w:cs="Arial"/>
        </w:rPr>
      </w:pPr>
      <w:r>
        <w:rPr>
          <w:rFonts w:ascii="Bookman Old Style" w:eastAsia="Calibri" w:hAnsi="Bookman Old Style" w:cs="Arial"/>
        </w:rPr>
        <w:t>Con este objetivo</w:t>
      </w:r>
      <w:r w:rsidRPr="003B7771">
        <w:rPr>
          <w:rFonts w:ascii="Bookman Old Style" w:eastAsia="Calibri" w:hAnsi="Bookman Old Style" w:cs="Arial"/>
        </w:rPr>
        <w:t xml:space="preserve">, se </w:t>
      </w:r>
      <w:r>
        <w:rPr>
          <w:rFonts w:ascii="Bookman Old Style" w:eastAsia="Calibri" w:hAnsi="Bookman Old Style" w:cs="Arial"/>
        </w:rPr>
        <w:t>realiza una subasta</w:t>
      </w:r>
      <w:r w:rsidR="00403611">
        <w:rPr>
          <w:rFonts w:ascii="Bookman Old Style" w:eastAsia="Calibri" w:hAnsi="Bookman Old Style" w:cs="Arial"/>
        </w:rPr>
        <w:t>, cuando hay necesidad de expansión del parque,</w:t>
      </w:r>
      <w:r>
        <w:rPr>
          <w:rFonts w:ascii="Bookman Old Style" w:eastAsia="Calibri" w:hAnsi="Bookman Old Style" w:cs="Arial"/>
        </w:rPr>
        <w:t xml:space="preserve"> o se utiliza un mecanismo equivalente para asignar entre </w:t>
      </w:r>
      <w:r w:rsidRPr="003B7771">
        <w:rPr>
          <w:rFonts w:ascii="Bookman Old Style" w:eastAsia="Calibri" w:hAnsi="Bookman Old Style" w:cs="Arial"/>
        </w:rPr>
        <w:t xml:space="preserve">los generadores las OEF que se requieren para cubrir la demanda del Sistema. El generador al que se le asigna una OEF recibe una remuneración conocida y estable durante un plazo determinado, </w:t>
      </w:r>
      <w:r>
        <w:rPr>
          <w:rFonts w:ascii="Bookman Old Style" w:eastAsia="Calibri" w:hAnsi="Bookman Old Style" w:cs="Arial"/>
        </w:rPr>
        <w:t xml:space="preserve">período de vigencia de la obligación, </w:t>
      </w:r>
      <w:r w:rsidR="00CB52E7">
        <w:rPr>
          <w:rFonts w:ascii="Bookman Old Style" w:eastAsia="Calibri" w:hAnsi="Bookman Old Style" w:cs="Arial"/>
        </w:rPr>
        <w:t xml:space="preserve">denominada cargo por confiabilidad </w:t>
      </w:r>
      <w:r w:rsidRPr="003B7771">
        <w:rPr>
          <w:rFonts w:ascii="Bookman Old Style" w:eastAsia="Calibri" w:hAnsi="Bookman Old Style" w:cs="Arial"/>
        </w:rPr>
        <w:t>y</w:t>
      </w:r>
      <w:r w:rsidR="00CB52E7">
        <w:rPr>
          <w:rFonts w:ascii="Bookman Old Style" w:eastAsia="Calibri" w:hAnsi="Bookman Old Style" w:cs="Arial"/>
        </w:rPr>
        <w:t>,</w:t>
      </w:r>
      <w:r w:rsidRPr="003B7771">
        <w:rPr>
          <w:rFonts w:ascii="Bookman Old Style" w:eastAsia="Calibri" w:hAnsi="Bookman Old Style" w:cs="Arial"/>
        </w:rPr>
        <w:t xml:space="preserve"> a cambio</w:t>
      </w:r>
      <w:r w:rsidR="00CB52E7">
        <w:rPr>
          <w:rFonts w:ascii="Bookman Old Style" w:eastAsia="Calibri" w:hAnsi="Bookman Old Style" w:cs="Arial"/>
        </w:rPr>
        <w:t>,</w:t>
      </w:r>
      <w:r w:rsidRPr="003B7771">
        <w:rPr>
          <w:rFonts w:ascii="Bookman Old Style" w:eastAsia="Calibri" w:hAnsi="Bookman Old Style" w:cs="Arial"/>
        </w:rPr>
        <w:t xml:space="preserve"> se compromete </w:t>
      </w:r>
      <w:r w:rsidR="00B807C6">
        <w:rPr>
          <w:rFonts w:ascii="Bookman Old Style" w:eastAsia="Calibri" w:hAnsi="Bookman Old Style" w:cs="Arial"/>
        </w:rPr>
        <w:t xml:space="preserve">a </w:t>
      </w:r>
      <w:r w:rsidR="00B807C6" w:rsidRPr="00B807C6">
        <w:rPr>
          <w:rFonts w:ascii="Bookman Old Style" w:eastAsia="Calibri" w:hAnsi="Bookman Old Style" w:cs="Arial"/>
        </w:rPr>
        <w:t xml:space="preserve">estar disponible en un momento determinado con un activo de generación que permita </w:t>
      </w:r>
      <w:r w:rsidRPr="003B7771">
        <w:rPr>
          <w:rFonts w:ascii="Bookman Old Style" w:eastAsia="Calibri" w:hAnsi="Bookman Old Style" w:cs="Arial"/>
        </w:rPr>
        <w:t>entregar determinada cantidad de energía cuando el precio de bolsa supera un umbral previamente establecido por la CREG</w:t>
      </w:r>
      <w:r>
        <w:rPr>
          <w:rFonts w:ascii="Bookman Old Style" w:eastAsia="Calibri" w:hAnsi="Bookman Old Style" w:cs="Arial"/>
        </w:rPr>
        <w:t xml:space="preserve">, </w:t>
      </w:r>
      <w:r w:rsidRPr="003B7771">
        <w:rPr>
          <w:rFonts w:ascii="Bookman Old Style" w:eastAsia="Calibri" w:hAnsi="Bookman Old Style" w:cs="Arial"/>
        </w:rPr>
        <w:t xml:space="preserve">denominado “Precio </w:t>
      </w:r>
      <w:r>
        <w:rPr>
          <w:rFonts w:ascii="Bookman Old Style" w:eastAsia="Calibri" w:hAnsi="Bookman Old Style" w:cs="Arial"/>
        </w:rPr>
        <w:t xml:space="preserve">Marginal </w:t>
      </w:r>
      <w:r w:rsidRPr="003B7771">
        <w:rPr>
          <w:rFonts w:ascii="Bookman Old Style" w:eastAsia="Calibri" w:hAnsi="Bookman Old Style" w:cs="Arial"/>
        </w:rPr>
        <w:t xml:space="preserve">de Escasez”. </w:t>
      </w:r>
    </w:p>
    <w:p w:rsidR="00CB52E7" w:rsidRDefault="00CB52E7" w:rsidP="008E10C2">
      <w:pPr>
        <w:ind w:left="0"/>
        <w:jc w:val="both"/>
        <w:rPr>
          <w:rFonts w:ascii="Bookman Old Style" w:eastAsia="Calibri" w:hAnsi="Bookman Old Style" w:cs="Arial"/>
        </w:rPr>
      </w:pPr>
    </w:p>
    <w:p w:rsidR="008E10C2" w:rsidRPr="003B7771" w:rsidRDefault="00CB52E7" w:rsidP="008E10C2">
      <w:pPr>
        <w:ind w:left="0"/>
        <w:jc w:val="both"/>
        <w:rPr>
          <w:rFonts w:ascii="Bookman Old Style" w:eastAsia="Calibri" w:hAnsi="Bookman Old Style" w:cs="Arial"/>
        </w:rPr>
      </w:pPr>
      <w:r>
        <w:rPr>
          <w:rFonts w:ascii="Bookman Old Style" w:eastAsia="Calibri" w:hAnsi="Bookman Old Style" w:cs="Arial"/>
        </w:rPr>
        <w:t xml:space="preserve">La remuneración del cargo por confiabilidad </w:t>
      </w:r>
      <w:r w:rsidR="008E10C2" w:rsidRPr="003B7771">
        <w:rPr>
          <w:rFonts w:ascii="Bookman Old Style" w:eastAsia="Calibri" w:hAnsi="Bookman Old Style" w:cs="Arial"/>
        </w:rPr>
        <w:t>es liquidada y recaudada por</w:t>
      </w:r>
      <w:r w:rsidR="008E10C2">
        <w:rPr>
          <w:rFonts w:ascii="Bookman Old Style" w:eastAsia="Calibri" w:hAnsi="Bookman Old Style" w:cs="Arial"/>
        </w:rPr>
        <w:t xml:space="preserve"> la empresa XM S.A. E.S.P</w:t>
      </w:r>
      <w:r>
        <w:rPr>
          <w:rFonts w:ascii="Bookman Old Style" w:eastAsia="Calibri" w:hAnsi="Bookman Old Style" w:cs="Arial"/>
        </w:rPr>
        <w:t>,</w:t>
      </w:r>
      <w:r w:rsidR="008E10C2">
        <w:rPr>
          <w:rFonts w:ascii="Bookman Old Style" w:eastAsia="Calibri" w:hAnsi="Bookman Old Style" w:cs="Arial"/>
        </w:rPr>
        <w:t xml:space="preserve"> quien ejerce las funciones de</w:t>
      </w:r>
      <w:r w:rsidR="008E10C2" w:rsidRPr="003B7771">
        <w:rPr>
          <w:rFonts w:ascii="Bookman Old Style" w:eastAsia="Calibri" w:hAnsi="Bookman Old Style" w:cs="Arial"/>
        </w:rPr>
        <w:t xml:space="preserve"> </w:t>
      </w:r>
      <w:r w:rsidR="008E10C2">
        <w:rPr>
          <w:rFonts w:ascii="Bookman Old Style" w:eastAsia="Calibri" w:hAnsi="Bookman Old Style" w:cs="Arial"/>
        </w:rPr>
        <w:t xml:space="preserve">Administrador del Sistema de Intercambios Comerciales, </w:t>
      </w:r>
      <w:r w:rsidR="008E10C2" w:rsidRPr="003B7771">
        <w:rPr>
          <w:rFonts w:ascii="Bookman Old Style" w:eastAsia="Calibri" w:hAnsi="Bookman Old Style" w:cs="Arial"/>
        </w:rPr>
        <w:t>ASIC</w:t>
      </w:r>
      <w:r w:rsidR="008E10C2">
        <w:rPr>
          <w:rFonts w:ascii="Bookman Old Style" w:eastAsia="Calibri" w:hAnsi="Bookman Old Style" w:cs="Arial"/>
        </w:rPr>
        <w:t>,</w:t>
      </w:r>
      <w:r w:rsidR="008E10C2" w:rsidRPr="003B7771">
        <w:rPr>
          <w:rFonts w:ascii="Bookman Old Style" w:eastAsia="Calibri" w:hAnsi="Bookman Old Style" w:cs="Arial"/>
        </w:rPr>
        <w:t xml:space="preserve"> y </w:t>
      </w:r>
      <w:r>
        <w:rPr>
          <w:rFonts w:ascii="Bookman Old Style" w:eastAsia="Calibri" w:hAnsi="Bookman Old Style" w:cs="Arial"/>
        </w:rPr>
        <w:t xml:space="preserve">es </w:t>
      </w:r>
      <w:r w:rsidR="008E10C2" w:rsidRPr="003B7771">
        <w:rPr>
          <w:rFonts w:ascii="Bookman Old Style" w:eastAsia="Calibri" w:hAnsi="Bookman Old Style" w:cs="Arial"/>
        </w:rPr>
        <w:t xml:space="preserve">pagada por los usuarios del </w:t>
      </w:r>
      <w:r w:rsidR="008E10C2">
        <w:rPr>
          <w:rFonts w:ascii="Bookman Old Style" w:eastAsia="Calibri" w:hAnsi="Bookman Old Style" w:cs="Arial"/>
        </w:rPr>
        <w:t xml:space="preserve">Sistema Interconectado Nacional, </w:t>
      </w:r>
      <w:r w:rsidR="008E10C2" w:rsidRPr="003B7771">
        <w:rPr>
          <w:rFonts w:ascii="Bookman Old Style" w:eastAsia="Calibri" w:hAnsi="Bookman Old Style" w:cs="Arial"/>
        </w:rPr>
        <w:t>SIN, a través de las tarifas que cobran los comercializadores.</w:t>
      </w:r>
    </w:p>
    <w:p w:rsidR="008E10C2" w:rsidRPr="003B7771" w:rsidRDefault="008E10C2" w:rsidP="008E10C2">
      <w:pPr>
        <w:jc w:val="both"/>
        <w:rPr>
          <w:rFonts w:ascii="Bookman Old Style" w:eastAsia="Calibri" w:hAnsi="Bookman Old Style" w:cs="Arial"/>
        </w:rPr>
      </w:pPr>
    </w:p>
    <w:p w:rsidR="008E10C2" w:rsidRPr="003B7771" w:rsidRDefault="008E10C2" w:rsidP="008E10C2">
      <w:pPr>
        <w:ind w:left="0"/>
        <w:jc w:val="both"/>
        <w:rPr>
          <w:rFonts w:ascii="Bookman Old Style" w:eastAsia="Calibri" w:hAnsi="Bookman Old Style" w:cs="Arial"/>
        </w:rPr>
      </w:pPr>
      <w:r>
        <w:rPr>
          <w:rFonts w:ascii="Bookman Old Style" w:eastAsia="Calibri" w:hAnsi="Bookman Old Style" w:cs="Arial"/>
        </w:rPr>
        <w:t xml:space="preserve">El esquema </w:t>
      </w:r>
      <w:r w:rsidRPr="003B7771">
        <w:rPr>
          <w:rFonts w:ascii="Bookman Old Style" w:eastAsia="Calibri" w:hAnsi="Bookman Old Style" w:cs="Arial"/>
        </w:rPr>
        <w:t>permite tanto a generadores como a usuarios del sistema, obtener los beneficios derivados de un mecanismo estable en el largo plazo</w:t>
      </w:r>
      <w:r w:rsidR="00CB52E7">
        <w:rPr>
          <w:rFonts w:ascii="Bookman Old Style" w:eastAsia="Calibri" w:hAnsi="Bookman Old Style" w:cs="Arial"/>
        </w:rPr>
        <w:t>,</w:t>
      </w:r>
      <w:r w:rsidRPr="003B7771">
        <w:rPr>
          <w:rFonts w:ascii="Bookman Old Style" w:eastAsia="Calibri" w:hAnsi="Bookman Old Style" w:cs="Arial"/>
        </w:rPr>
        <w:t xml:space="preserve"> que da señales e incentivos para la inversión en nuevos recursos de generación, garantizando</w:t>
      </w:r>
      <w:r w:rsidR="00CB52E7">
        <w:rPr>
          <w:rFonts w:ascii="Bookman Old Style" w:eastAsia="Calibri" w:hAnsi="Bookman Old Style" w:cs="Arial"/>
        </w:rPr>
        <w:t>,</w:t>
      </w:r>
      <w:r w:rsidRPr="003B7771">
        <w:rPr>
          <w:rFonts w:ascii="Bookman Old Style" w:eastAsia="Calibri" w:hAnsi="Bookman Old Style" w:cs="Arial"/>
        </w:rPr>
        <w:t xml:space="preserve"> de esta forma</w:t>
      </w:r>
      <w:r w:rsidR="00CB52E7">
        <w:rPr>
          <w:rFonts w:ascii="Bookman Old Style" w:eastAsia="Calibri" w:hAnsi="Bookman Old Style" w:cs="Arial"/>
        </w:rPr>
        <w:t>,</w:t>
      </w:r>
      <w:r w:rsidRPr="003B7771">
        <w:rPr>
          <w:rFonts w:ascii="Bookman Old Style" w:eastAsia="Calibri" w:hAnsi="Bookman Old Style" w:cs="Arial"/>
        </w:rPr>
        <w:t xml:space="preserve"> el suministro de energía eléctrica</w:t>
      </w:r>
      <w:r w:rsidR="00CB52E7">
        <w:rPr>
          <w:rFonts w:ascii="Bookman Old Style" w:eastAsia="Calibri" w:hAnsi="Bookman Old Style" w:cs="Arial"/>
        </w:rPr>
        <w:t xml:space="preserve"> de forma continua a todos los usuarios del sistema, aun en condición crítica</w:t>
      </w:r>
      <w:r w:rsidRPr="003B7771">
        <w:rPr>
          <w:rFonts w:ascii="Bookman Old Style" w:eastAsia="Calibri" w:hAnsi="Bookman Old Style" w:cs="Arial"/>
        </w:rPr>
        <w:t>.</w:t>
      </w:r>
    </w:p>
    <w:p w:rsidR="008E10C2" w:rsidRPr="003B7771" w:rsidRDefault="008E10C2" w:rsidP="008E10C2">
      <w:pPr>
        <w:jc w:val="both"/>
        <w:rPr>
          <w:rFonts w:ascii="Bookman Old Style" w:eastAsia="Calibri" w:hAnsi="Bookman Old Style" w:cs="Arial"/>
        </w:rPr>
      </w:pPr>
    </w:p>
    <w:p w:rsidR="008E10C2" w:rsidRPr="003B7771" w:rsidRDefault="00015D1C" w:rsidP="008E10C2">
      <w:pPr>
        <w:ind w:left="0"/>
        <w:jc w:val="both"/>
        <w:rPr>
          <w:rFonts w:ascii="Bookman Old Style" w:eastAsia="Calibri" w:hAnsi="Bookman Old Style" w:cs="Arial"/>
        </w:rPr>
      </w:pPr>
      <w:r>
        <w:rPr>
          <w:rFonts w:ascii="Bookman Old Style" w:eastAsia="Calibri" w:hAnsi="Bookman Old Style" w:cs="Arial"/>
        </w:rPr>
        <w:t xml:space="preserve">La regulación del esquema </w:t>
      </w:r>
      <w:r w:rsidR="008E10C2" w:rsidRPr="003B7771">
        <w:rPr>
          <w:rFonts w:ascii="Bookman Old Style" w:eastAsia="Calibri" w:hAnsi="Bookman Old Style" w:cs="Arial"/>
        </w:rPr>
        <w:t xml:space="preserve">define las Obligaciones de Energía firme, el alcance de </w:t>
      </w:r>
      <w:r>
        <w:rPr>
          <w:rFonts w:ascii="Bookman Old Style" w:eastAsia="Calibri" w:hAnsi="Bookman Old Style" w:cs="Arial"/>
        </w:rPr>
        <w:t xml:space="preserve">estas, y </w:t>
      </w:r>
      <w:r w:rsidR="008E10C2" w:rsidRPr="003B7771">
        <w:rPr>
          <w:rFonts w:ascii="Bookman Old Style" w:eastAsia="Calibri" w:hAnsi="Bookman Old Style" w:cs="Arial"/>
        </w:rPr>
        <w:t xml:space="preserve">la forma de calcular </w:t>
      </w:r>
      <w:r>
        <w:rPr>
          <w:rFonts w:ascii="Bookman Old Style" w:eastAsia="Calibri" w:hAnsi="Bookman Old Style" w:cs="Arial"/>
        </w:rPr>
        <w:t xml:space="preserve">la cantidad de energía objeto de la obligación. La regulación </w:t>
      </w:r>
      <w:r w:rsidR="00243445">
        <w:rPr>
          <w:rFonts w:ascii="Bookman Old Style" w:eastAsia="Calibri" w:hAnsi="Bookman Old Style" w:cs="Arial"/>
        </w:rPr>
        <w:t>también</w:t>
      </w:r>
      <w:r w:rsidR="00243445" w:rsidRPr="003B7771">
        <w:rPr>
          <w:rFonts w:ascii="Bookman Old Style" w:eastAsia="Calibri" w:hAnsi="Bookman Old Style" w:cs="Arial"/>
        </w:rPr>
        <w:t xml:space="preserve"> establece</w:t>
      </w:r>
      <w:r w:rsidR="008E10C2" w:rsidRPr="003B7771">
        <w:rPr>
          <w:rFonts w:ascii="Bookman Old Style" w:eastAsia="Calibri" w:hAnsi="Bookman Old Style" w:cs="Arial"/>
        </w:rPr>
        <w:t xml:space="preserve"> las reglas aplicables a la subasta en la que participan los generadores que desean comprometerse a suministrar la energía en las condiciones antes descritas, a cambio de una remuneración y se establece en qué forma se determina la energía que puede comprometer cada planta, energía firme</w:t>
      </w:r>
      <w:r w:rsidR="008E10C2" w:rsidRPr="003B7771">
        <w:rPr>
          <w:rFonts w:ascii="Bookman Old Style" w:eastAsia="Calibri" w:hAnsi="Bookman Old Style" w:cs="Arial"/>
          <w:vertAlign w:val="superscript"/>
        </w:rPr>
        <w:footnoteReference w:id="1"/>
      </w:r>
      <w:r w:rsidR="008E10C2" w:rsidRPr="003B7771">
        <w:rPr>
          <w:rFonts w:ascii="Bookman Old Style" w:eastAsia="Calibri" w:hAnsi="Bookman Old Style" w:cs="Arial"/>
        </w:rPr>
        <w:t xml:space="preserve">. </w:t>
      </w:r>
    </w:p>
    <w:p w:rsidR="008E10C2" w:rsidRPr="003B7771" w:rsidRDefault="008E10C2" w:rsidP="008E10C2">
      <w:pPr>
        <w:jc w:val="both"/>
        <w:rPr>
          <w:rFonts w:ascii="Bookman Old Style" w:eastAsia="Calibri" w:hAnsi="Bookman Old Style" w:cs="Arial"/>
        </w:rPr>
      </w:pPr>
    </w:p>
    <w:p w:rsidR="00EC7ABD" w:rsidRPr="003B7771" w:rsidRDefault="008E10C2" w:rsidP="00243445">
      <w:pPr>
        <w:ind w:left="0"/>
        <w:jc w:val="both"/>
        <w:rPr>
          <w:rFonts w:ascii="Bookman Old Style" w:eastAsia="Calibri" w:hAnsi="Bookman Old Style" w:cs="Arial"/>
        </w:rPr>
      </w:pPr>
      <w:r>
        <w:rPr>
          <w:rFonts w:ascii="Bookman Old Style" w:eastAsia="Calibri" w:hAnsi="Bookman Old Style" w:cs="Arial"/>
        </w:rPr>
        <w:t>C</w:t>
      </w:r>
      <w:r w:rsidRPr="003B7771">
        <w:rPr>
          <w:rFonts w:ascii="Bookman Old Style" w:eastAsia="Calibri" w:hAnsi="Bookman Old Style" w:cs="Arial"/>
        </w:rPr>
        <w:t xml:space="preserve">on el fin de incentivar la instalación de nueva capacidad de generación, </w:t>
      </w:r>
      <w:r>
        <w:rPr>
          <w:rFonts w:ascii="Bookman Old Style" w:eastAsia="Calibri" w:hAnsi="Bookman Old Style" w:cs="Arial"/>
        </w:rPr>
        <w:t xml:space="preserve">que permita asegurar el suministro, </w:t>
      </w:r>
      <w:r w:rsidRPr="003B7771">
        <w:rPr>
          <w:rFonts w:ascii="Bookman Old Style" w:eastAsia="Calibri" w:hAnsi="Bookman Old Style" w:cs="Arial"/>
        </w:rPr>
        <w:t>la Resolución CREG 071 de 2006 estableció la posibilidad de que generadores con plantas de generación que aún no est</w:t>
      </w:r>
      <w:r>
        <w:rPr>
          <w:rFonts w:ascii="Bookman Old Style" w:eastAsia="Calibri" w:hAnsi="Bookman Old Style" w:cs="Arial"/>
        </w:rPr>
        <w:t>á</w:t>
      </w:r>
      <w:r w:rsidRPr="003B7771">
        <w:rPr>
          <w:rFonts w:ascii="Bookman Old Style" w:eastAsia="Calibri" w:hAnsi="Bookman Old Style" w:cs="Arial"/>
        </w:rPr>
        <w:t>n instaladas y generando energía participen en el esquema de subasta</w:t>
      </w:r>
      <w:r w:rsidR="00243445">
        <w:rPr>
          <w:rFonts w:ascii="Bookman Old Style" w:eastAsia="Calibri" w:hAnsi="Bookman Old Style" w:cs="Arial"/>
        </w:rPr>
        <w:t>, en la cual se define la cantidad de energía firme que se asigna a cada planta o unidad de generación nueva y el valor del cargo por confiabilidad para el periodo de vigencia de la obligación</w:t>
      </w:r>
      <w:r w:rsidR="00EC13D5">
        <w:rPr>
          <w:rFonts w:ascii="Bookman Old Style" w:eastAsia="Calibri" w:hAnsi="Bookman Old Style" w:cs="Arial"/>
        </w:rPr>
        <w:t xml:space="preserve">. </w:t>
      </w:r>
    </w:p>
    <w:p w:rsidR="008E10C2" w:rsidRPr="003B7771" w:rsidRDefault="008E10C2" w:rsidP="008E10C2">
      <w:pPr>
        <w:jc w:val="both"/>
        <w:rPr>
          <w:rFonts w:ascii="Bookman Old Style" w:eastAsia="Calibri" w:hAnsi="Bookman Old Style" w:cs="Arial"/>
        </w:rPr>
      </w:pPr>
    </w:p>
    <w:p w:rsidR="00100637" w:rsidRDefault="00EC13D5" w:rsidP="008E10C2">
      <w:pPr>
        <w:ind w:left="0"/>
        <w:jc w:val="both"/>
        <w:rPr>
          <w:rFonts w:ascii="Bookman Old Style" w:eastAsia="Calibri" w:hAnsi="Bookman Old Style" w:cs="Arial"/>
        </w:rPr>
      </w:pPr>
      <w:r>
        <w:rPr>
          <w:rFonts w:ascii="Bookman Old Style" w:eastAsia="Calibri" w:hAnsi="Bookman Old Style" w:cs="Arial"/>
        </w:rPr>
        <w:t xml:space="preserve">La regulación dispone </w:t>
      </w:r>
      <w:r w:rsidR="008E10C2" w:rsidRPr="003B7771">
        <w:rPr>
          <w:rFonts w:ascii="Bookman Old Style" w:eastAsia="Calibri" w:hAnsi="Bookman Old Style" w:cs="Arial"/>
        </w:rPr>
        <w:t>que el agente que como resultado de la subasta resulte asignado con una OEF</w:t>
      </w:r>
      <w:r w:rsidR="008E10C2">
        <w:rPr>
          <w:rFonts w:ascii="Bookman Old Style" w:eastAsia="Calibri" w:hAnsi="Bookman Old Style" w:cs="Arial"/>
        </w:rPr>
        <w:t>,</w:t>
      </w:r>
      <w:r w:rsidR="008E10C2" w:rsidRPr="003B7771">
        <w:rPr>
          <w:rFonts w:ascii="Bookman Old Style" w:eastAsia="Calibri" w:hAnsi="Bookman Old Style" w:cs="Arial"/>
        </w:rPr>
        <w:t xml:space="preserve"> a ser respaldada con una de estas plantas</w:t>
      </w:r>
      <w:r w:rsidR="008E10C2">
        <w:rPr>
          <w:rFonts w:ascii="Bookman Old Style" w:eastAsia="Calibri" w:hAnsi="Bookman Old Style" w:cs="Arial"/>
        </w:rPr>
        <w:t>,</w:t>
      </w:r>
      <w:r w:rsidR="008E10C2" w:rsidRPr="003B7771">
        <w:rPr>
          <w:rFonts w:ascii="Bookman Old Style" w:eastAsia="Calibri" w:hAnsi="Bookman Old Style" w:cs="Arial"/>
        </w:rPr>
        <w:t xml:space="preserve"> se compromete a realizar la construcción e instalación de la planta</w:t>
      </w:r>
      <w:r w:rsidR="008E10C2">
        <w:rPr>
          <w:rFonts w:ascii="Bookman Old Style" w:eastAsia="Calibri" w:hAnsi="Bookman Old Style" w:cs="Arial"/>
        </w:rPr>
        <w:t xml:space="preserve"> antes de la fecha del inicio del período de vigencia de la obligación, de acuerdo</w:t>
      </w:r>
      <w:r w:rsidR="00B807C6">
        <w:rPr>
          <w:rFonts w:ascii="Bookman Old Style" w:eastAsia="Calibri" w:hAnsi="Bookman Old Style" w:cs="Arial"/>
        </w:rPr>
        <w:t xml:space="preserve"> con</w:t>
      </w:r>
      <w:r w:rsidR="008E10C2">
        <w:rPr>
          <w:rFonts w:ascii="Bookman Old Style" w:eastAsia="Calibri" w:hAnsi="Bookman Old Style" w:cs="Arial"/>
        </w:rPr>
        <w:t xml:space="preserve"> la Curva S y el cronograma que entrega para participar en la asignación</w:t>
      </w:r>
      <w:r w:rsidR="008E10C2" w:rsidRPr="003B7771">
        <w:rPr>
          <w:rFonts w:ascii="Bookman Old Style" w:eastAsia="Calibri" w:hAnsi="Bookman Old Style" w:cs="Arial"/>
        </w:rPr>
        <w:t xml:space="preserve">, </w:t>
      </w:r>
      <w:r w:rsidR="008E10C2">
        <w:rPr>
          <w:rFonts w:ascii="Bookman Old Style" w:eastAsia="Calibri" w:hAnsi="Bookman Old Style" w:cs="Arial"/>
        </w:rPr>
        <w:t>y a q</w:t>
      </w:r>
      <w:r w:rsidR="008E10C2" w:rsidRPr="003B7771">
        <w:rPr>
          <w:rFonts w:ascii="Bookman Old Style" w:eastAsia="Calibri" w:hAnsi="Bookman Old Style" w:cs="Arial"/>
        </w:rPr>
        <w:t xml:space="preserve">ue ésta esté </w:t>
      </w:r>
      <w:r w:rsidR="008E10C2">
        <w:rPr>
          <w:rFonts w:ascii="Bookman Old Style" w:eastAsia="Calibri" w:hAnsi="Bookman Old Style" w:cs="Arial"/>
        </w:rPr>
        <w:t>disponible</w:t>
      </w:r>
      <w:r w:rsidR="008E10C2" w:rsidRPr="003B7771">
        <w:rPr>
          <w:rFonts w:ascii="Bookman Old Style" w:eastAsia="Calibri" w:hAnsi="Bookman Old Style" w:cs="Arial"/>
        </w:rPr>
        <w:t xml:space="preserve"> y en condiciones de entregar la energía durante el período de vigencia de la OEF. </w:t>
      </w:r>
    </w:p>
    <w:p w:rsidR="00100637" w:rsidRDefault="00100637" w:rsidP="008E10C2">
      <w:pPr>
        <w:ind w:left="0"/>
        <w:jc w:val="both"/>
        <w:rPr>
          <w:rFonts w:ascii="Bookman Old Style" w:eastAsia="Calibri" w:hAnsi="Bookman Old Style" w:cs="Arial"/>
        </w:rPr>
      </w:pPr>
    </w:p>
    <w:p w:rsidR="00243445" w:rsidRDefault="008E10C2" w:rsidP="008E10C2">
      <w:pPr>
        <w:ind w:left="0"/>
        <w:jc w:val="both"/>
        <w:rPr>
          <w:rFonts w:ascii="Bookman Old Style" w:eastAsia="Calibri" w:hAnsi="Bookman Old Style" w:cs="Arial"/>
        </w:rPr>
      </w:pPr>
      <w:r w:rsidRPr="003B7771">
        <w:rPr>
          <w:rFonts w:ascii="Bookman Old Style" w:eastAsia="Calibri" w:hAnsi="Bookman Old Style" w:cs="Arial"/>
        </w:rPr>
        <w:t xml:space="preserve">La regulación dispone </w:t>
      </w:r>
      <w:r w:rsidR="00100637">
        <w:rPr>
          <w:rFonts w:ascii="Bookman Old Style" w:eastAsia="Calibri" w:hAnsi="Bookman Old Style" w:cs="Arial"/>
        </w:rPr>
        <w:t xml:space="preserve">que se deben realizar </w:t>
      </w:r>
      <w:r>
        <w:rPr>
          <w:rFonts w:ascii="Bookman Old Style" w:eastAsia="Calibri" w:hAnsi="Bookman Old Style" w:cs="Arial"/>
        </w:rPr>
        <w:t xml:space="preserve">auditorías semestrales </w:t>
      </w:r>
      <w:r w:rsidR="00B807C6">
        <w:rPr>
          <w:rFonts w:ascii="Bookman Old Style" w:eastAsia="Calibri" w:hAnsi="Bookman Old Style" w:cs="Arial"/>
        </w:rPr>
        <w:t xml:space="preserve">y trimestrales </w:t>
      </w:r>
      <w:r>
        <w:rPr>
          <w:rFonts w:ascii="Bookman Old Style" w:eastAsia="Calibri" w:hAnsi="Bookman Old Style" w:cs="Arial"/>
        </w:rPr>
        <w:t xml:space="preserve">del avance </w:t>
      </w:r>
      <w:r w:rsidRPr="003B7771">
        <w:rPr>
          <w:rFonts w:ascii="Bookman Old Style" w:eastAsia="Calibri" w:hAnsi="Bookman Old Style" w:cs="Arial"/>
        </w:rPr>
        <w:t xml:space="preserve">de la ejecución del proyecto </w:t>
      </w:r>
      <w:r>
        <w:rPr>
          <w:rFonts w:ascii="Bookman Old Style" w:eastAsia="Calibri" w:hAnsi="Bookman Old Style" w:cs="Arial"/>
        </w:rPr>
        <w:t xml:space="preserve">y de su entrada en operación </w:t>
      </w:r>
      <w:r w:rsidRPr="003B7771">
        <w:rPr>
          <w:rFonts w:ascii="Bookman Old Style" w:eastAsia="Calibri" w:hAnsi="Bookman Old Style" w:cs="Arial"/>
        </w:rPr>
        <w:t>para verificar el cumplimiento de estas obligaciones y señala expresamente qu</w:t>
      </w:r>
      <w:r>
        <w:rPr>
          <w:rFonts w:ascii="Bookman Old Style" w:eastAsia="Calibri" w:hAnsi="Bookman Old Style" w:cs="Arial"/>
        </w:rPr>
        <w:t>e</w:t>
      </w:r>
      <w:r w:rsidRPr="003B7771">
        <w:rPr>
          <w:rFonts w:ascii="Bookman Old Style" w:eastAsia="Calibri" w:hAnsi="Bookman Old Style" w:cs="Arial"/>
        </w:rPr>
        <w:t xml:space="preserve"> se debe garantizar el cumplimiento de las mismas mediante una garantía que debe cumplir las condiciones previstas en la regulación</w:t>
      </w:r>
      <w:r w:rsidRPr="00C34340">
        <w:rPr>
          <w:rFonts w:ascii="Bookman Old Style" w:eastAsia="Calibri" w:hAnsi="Bookman Old Style" w:cs="Arial"/>
        </w:rPr>
        <w:t xml:space="preserve">.  </w:t>
      </w:r>
      <w:r>
        <w:rPr>
          <w:rFonts w:ascii="Bookman Old Style" w:eastAsia="Calibri" w:hAnsi="Bookman Old Style" w:cs="Arial"/>
        </w:rPr>
        <w:t xml:space="preserve">El reglamento de </w:t>
      </w:r>
      <w:r w:rsidRPr="00C34340">
        <w:rPr>
          <w:rFonts w:ascii="Bookman Old Style" w:eastAsia="Calibri" w:hAnsi="Bookman Old Style" w:cs="Arial"/>
        </w:rPr>
        <w:t xml:space="preserve">garantías para el cargo por confiabilidad se </w:t>
      </w:r>
      <w:r>
        <w:rPr>
          <w:rFonts w:ascii="Bookman Old Style" w:eastAsia="Calibri" w:hAnsi="Bookman Old Style" w:cs="Arial"/>
        </w:rPr>
        <w:t xml:space="preserve">adoptó mediante </w:t>
      </w:r>
      <w:r w:rsidRPr="00C34340">
        <w:rPr>
          <w:rFonts w:ascii="Bookman Old Style" w:eastAsia="Calibri" w:hAnsi="Bookman Old Style" w:cs="Arial"/>
        </w:rPr>
        <w:t>la Resolución CREG 061 de</w:t>
      </w:r>
      <w:r>
        <w:rPr>
          <w:rFonts w:ascii="Bookman Old Style" w:eastAsia="Calibri" w:hAnsi="Bookman Old Style" w:cs="Arial"/>
        </w:rPr>
        <w:t xml:space="preserve"> </w:t>
      </w:r>
      <w:r w:rsidRPr="00C34340">
        <w:rPr>
          <w:rFonts w:ascii="Bookman Old Style" w:eastAsia="Calibri" w:hAnsi="Bookman Old Style" w:cs="Arial"/>
        </w:rPr>
        <w:t>2007.</w:t>
      </w:r>
    </w:p>
    <w:p w:rsidR="00243445" w:rsidRDefault="00243445" w:rsidP="008E10C2">
      <w:pPr>
        <w:ind w:left="0"/>
        <w:jc w:val="both"/>
        <w:rPr>
          <w:rFonts w:ascii="Bookman Old Style" w:eastAsia="Calibri" w:hAnsi="Bookman Old Style" w:cs="Arial"/>
        </w:rPr>
      </w:pPr>
    </w:p>
    <w:p w:rsidR="00243445" w:rsidRDefault="00243445" w:rsidP="00243445">
      <w:pPr>
        <w:ind w:left="0"/>
        <w:jc w:val="both"/>
        <w:rPr>
          <w:rFonts w:ascii="Bookman Old Style" w:eastAsia="Calibri" w:hAnsi="Bookman Old Style" w:cs="Arial"/>
        </w:rPr>
      </w:pPr>
      <w:r>
        <w:rPr>
          <w:rFonts w:ascii="Bookman Old Style" w:eastAsia="Calibri" w:hAnsi="Bookman Old Style" w:cs="Arial"/>
        </w:rPr>
        <w:t xml:space="preserve">Adicionalmente, la citada resolución define una subasta para quienes desarrollen </w:t>
      </w:r>
      <w:r w:rsidRPr="00EC7ABD">
        <w:rPr>
          <w:rFonts w:ascii="Bookman Old Style" w:eastAsia="Calibri" w:hAnsi="Bookman Old Style" w:cs="Arial"/>
        </w:rPr>
        <w:t>plantas o unidades de generación con periodos de construcción superiores al Período de Planeación de las obligaciones de Energía Firme</w:t>
      </w:r>
      <w:r>
        <w:rPr>
          <w:rFonts w:ascii="Bookman Old Style" w:eastAsia="Calibri" w:hAnsi="Bookman Old Style" w:cs="Arial"/>
        </w:rPr>
        <w:t xml:space="preserve">, denominada subasta para </w:t>
      </w:r>
      <w:r>
        <w:rPr>
          <w:rFonts w:ascii="Bookman Old Style" w:hAnsi="Bookman Old Style" w:cs="Arial"/>
        </w:rPr>
        <w:t>plantas GPPS</w:t>
      </w:r>
      <w:r w:rsidRPr="003B7771">
        <w:rPr>
          <w:rFonts w:ascii="Bookman Old Style" w:eastAsia="Calibri" w:hAnsi="Bookman Old Style" w:cs="Arial"/>
        </w:rPr>
        <w:t xml:space="preserve">.  </w:t>
      </w:r>
    </w:p>
    <w:p w:rsidR="00243445" w:rsidRPr="003B7771" w:rsidRDefault="00243445" w:rsidP="00243445">
      <w:pPr>
        <w:ind w:left="0"/>
        <w:jc w:val="both"/>
        <w:rPr>
          <w:rFonts w:ascii="Bookman Old Style" w:eastAsia="Calibri" w:hAnsi="Bookman Old Style" w:cs="Arial"/>
        </w:rPr>
      </w:pPr>
      <w:r>
        <w:rPr>
          <w:rFonts w:ascii="Bookman Old Style" w:eastAsia="Calibri" w:hAnsi="Bookman Old Style" w:cs="Arial"/>
        </w:rPr>
        <w:t xml:space="preserve">Las subastas para plantas GPPS tienen como objetivo agregar al Sistema Interconectado Nacional energía firme adicional a la existente, con plantas o unidades de generación </w:t>
      </w:r>
      <w:r w:rsidR="00797D67">
        <w:rPr>
          <w:rFonts w:ascii="Bookman Old Style" w:eastAsia="Calibri" w:hAnsi="Bookman Old Style" w:cs="Arial"/>
        </w:rPr>
        <w:t xml:space="preserve">nuevas </w:t>
      </w:r>
      <w:r>
        <w:rPr>
          <w:rFonts w:ascii="Bookman Old Style" w:eastAsia="Calibri" w:hAnsi="Bookman Old Style" w:cs="Arial"/>
        </w:rPr>
        <w:t>“con periodos de construcción superiores al Periodo de Planeación de las obligaciones de Energía Firme”, por tanto, quienes participan en dicha subasta adquieren el compromiso de construir y poner en operación comercial la planta declarada en la fecha de inicio del periodo de vigencia de la obligación.</w:t>
      </w:r>
    </w:p>
    <w:p w:rsidR="008E10C2" w:rsidRDefault="008E10C2" w:rsidP="008E10C2">
      <w:pPr>
        <w:jc w:val="both"/>
        <w:rPr>
          <w:rFonts w:ascii="Bookman Old Style" w:eastAsia="Calibri" w:hAnsi="Bookman Old Style" w:cs="Arial"/>
        </w:rPr>
      </w:pPr>
    </w:p>
    <w:p w:rsidR="008E10C2" w:rsidRDefault="008E10C2" w:rsidP="008E10C2">
      <w:pPr>
        <w:ind w:left="0"/>
        <w:jc w:val="both"/>
        <w:rPr>
          <w:rFonts w:ascii="Bookman Old Style" w:hAnsi="Bookman Old Style"/>
        </w:rPr>
      </w:pPr>
      <w:r>
        <w:rPr>
          <w:rFonts w:ascii="Bookman Old Style" w:eastAsia="Calibri" w:hAnsi="Bookman Old Style" w:cs="Arial"/>
        </w:rPr>
        <w:t>Finalmente, si bien dentro de la regulación se encuentran expuestas las condiciones a las cuales se sujetan y someten los agentes que participan en el esquema del cargo por confiabilidad, esta actividad parte de la iniciativa privada y la libertad de los agentes de someterse voluntariamente a estas condiciones, lo cual es concordante con lo dispuesto en el artículo 85 de la Ley 143 de 1994, el cual expone que l</w:t>
      </w:r>
      <w:r w:rsidRPr="009754EE">
        <w:rPr>
          <w:rFonts w:ascii="Bookman Old Style" w:eastAsia="Calibri" w:hAnsi="Bookman Old Style" w:cs="Arial"/>
        </w:rPr>
        <w:t xml:space="preserve">as decisiones de inversión </w:t>
      </w:r>
      <w:r>
        <w:rPr>
          <w:rFonts w:ascii="Bookman Old Style" w:eastAsia="Calibri" w:hAnsi="Bookman Old Style" w:cs="Arial"/>
        </w:rPr>
        <w:t xml:space="preserve">en esta materia </w:t>
      </w:r>
      <w:r w:rsidRPr="009754EE">
        <w:rPr>
          <w:rFonts w:ascii="Bookman Old Style" w:eastAsia="Calibri" w:hAnsi="Bookman Old Style" w:cs="Arial"/>
        </w:rPr>
        <w:t xml:space="preserve">constituyen responsabilidad de aquéllos que las acometan, </w:t>
      </w:r>
      <w:r>
        <w:rPr>
          <w:rFonts w:ascii="Bookman Old Style" w:eastAsia="Calibri" w:hAnsi="Bookman Old Style" w:cs="Arial"/>
        </w:rPr>
        <w:t>por lo tanto son dichos agentes quienes</w:t>
      </w:r>
      <w:r w:rsidRPr="009754EE">
        <w:rPr>
          <w:rFonts w:ascii="Bookman Old Style" w:eastAsia="Calibri" w:hAnsi="Bookman Old Style" w:cs="Arial"/>
        </w:rPr>
        <w:t xml:space="preserve"> asumen en su integridad los riesgos inherentes a la ejecución y explotación de los proyectos.</w:t>
      </w:r>
    </w:p>
    <w:p w:rsidR="008E10C2" w:rsidRDefault="008E10C2" w:rsidP="008E10C2">
      <w:pPr>
        <w:ind w:left="0"/>
        <w:rPr>
          <w:rFonts w:ascii="Bookman Old Style" w:hAnsi="Bookman Old Style"/>
        </w:rPr>
      </w:pPr>
    </w:p>
    <w:p w:rsidR="008E10C2" w:rsidRDefault="008E10C2" w:rsidP="008E10C2">
      <w:pPr>
        <w:ind w:left="0"/>
        <w:rPr>
          <w:rFonts w:ascii="Bookman Old Style" w:hAnsi="Bookman Old Style"/>
        </w:rPr>
      </w:pPr>
    </w:p>
    <w:p w:rsidR="008E10C2" w:rsidRPr="00496B75" w:rsidRDefault="008E10C2" w:rsidP="008E10C2">
      <w:pPr>
        <w:ind w:left="0"/>
        <w:rPr>
          <w:rFonts w:ascii="Bookman Old Style" w:hAnsi="Bookman Old Style"/>
        </w:rPr>
      </w:pPr>
      <w:r w:rsidRPr="00496B75">
        <w:rPr>
          <w:rFonts w:ascii="Bookman Old Style" w:hAnsi="Bookman Old Style"/>
        </w:rPr>
        <w:t xml:space="preserve"> </w:t>
      </w:r>
    </w:p>
    <w:p w:rsidR="008E10C2" w:rsidRDefault="008E10C2" w:rsidP="008E10C2">
      <w:pPr>
        <w:numPr>
          <w:ilvl w:val="0"/>
          <w:numId w:val="29"/>
        </w:numPr>
        <w:rPr>
          <w:rFonts w:ascii="Bookman Old Style" w:hAnsi="Bookman Old Style"/>
          <w:b/>
        </w:rPr>
      </w:pPr>
      <w:r w:rsidRPr="00496B75">
        <w:rPr>
          <w:rFonts w:ascii="Bookman Old Style" w:hAnsi="Bookman Old Style"/>
          <w:b/>
        </w:rPr>
        <w:t>Alcance de la actuación/decisión</w:t>
      </w:r>
    </w:p>
    <w:p w:rsidR="008E10C2" w:rsidRPr="00496B75" w:rsidRDefault="008E10C2" w:rsidP="008E10C2">
      <w:pPr>
        <w:ind w:left="720"/>
        <w:rPr>
          <w:rFonts w:ascii="Bookman Old Style" w:hAnsi="Bookman Old Style"/>
          <w:b/>
        </w:rPr>
      </w:pPr>
    </w:p>
    <w:p w:rsidR="008E10C2" w:rsidRDefault="008E10C2" w:rsidP="008E10C2">
      <w:pPr>
        <w:ind w:left="0"/>
        <w:jc w:val="both"/>
        <w:rPr>
          <w:rFonts w:ascii="Bookman Old Style" w:hAnsi="Bookman Old Style"/>
        </w:rPr>
      </w:pPr>
      <w:r>
        <w:rPr>
          <w:rFonts w:ascii="Bookman Old Style" w:hAnsi="Bookman Old Style"/>
        </w:rPr>
        <w:t>Como se señaló</w:t>
      </w:r>
      <w:r w:rsidR="00100637">
        <w:rPr>
          <w:rFonts w:ascii="Bookman Old Style" w:hAnsi="Bookman Old Style"/>
        </w:rPr>
        <w:t>,</w:t>
      </w:r>
      <w:r>
        <w:rPr>
          <w:rFonts w:ascii="Bookman Old Style" w:hAnsi="Bookman Old Style"/>
        </w:rPr>
        <w:t xml:space="preserve"> el proyecto Hidroeléctrico Ituango participó en las subastas para plantas GPPS realizadas en los años 2008 y 2012</w:t>
      </w:r>
      <w:r w:rsidR="00100637">
        <w:rPr>
          <w:rFonts w:ascii="Bookman Old Style" w:hAnsi="Bookman Old Style"/>
        </w:rPr>
        <w:t>,</w:t>
      </w:r>
      <w:r>
        <w:rPr>
          <w:rFonts w:ascii="Bookman Old Style" w:hAnsi="Bookman Old Style"/>
        </w:rPr>
        <w:t xml:space="preserve"> obteniendo OEF por </w:t>
      </w:r>
      <w:r>
        <w:rPr>
          <w:rFonts w:ascii="Bookman Old Style" w:hAnsi="Bookman Old Style" w:cs="Arial"/>
          <w:bCs/>
        </w:rPr>
        <w:t xml:space="preserve">1.085 GWh/año con IPVO 1 de diciembre de 2018 y por 3.482 GWh/año con IPVO 1 de diciembre de 2021, respectivamente. </w:t>
      </w:r>
    </w:p>
    <w:p w:rsidR="008E10C2" w:rsidRDefault="008E10C2" w:rsidP="008E10C2">
      <w:pPr>
        <w:ind w:left="0"/>
        <w:rPr>
          <w:rFonts w:ascii="Bookman Old Style" w:hAnsi="Bookman Old Style"/>
        </w:rPr>
      </w:pPr>
    </w:p>
    <w:p w:rsidR="008E10C2" w:rsidRPr="00052B5D" w:rsidRDefault="008E10C2" w:rsidP="008E10C2">
      <w:pPr>
        <w:ind w:left="0"/>
        <w:jc w:val="both"/>
        <w:rPr>
          <w:rFonts w:ascii="Bookman Old Style" w:hAnsi="Bookman Old Style"/>
          <w:bCs/>
          <w:lang w:val="es-CO"/>
        </w:rPr>
      </w:pPr>
      <w:r>
        <w:rPr>
          <w:rFonts w:ascii="Bookman Old Style" w:hAnsi="Bookman Old Style" w:cs="Arial"/>
          <w:bCs/>
        </w:rPr>
        <w:t>La actuación administrativa se adelanta “</w:t>
      </w:r>
      <w:r w:rsidRPr="00FE4F73">
        <w:rPr>
          <w:rFonts w:ascii="Bookman Old Style" w:hAnsi="Bookman Old Style" w:cs="Arial"/>
          <w:bCs/>
          <w:i/>
        </w:rPr>
        <w:t xml:space="preserve">con </w:t>
      </w:r>
      <w:r w:rsidRPr="00FE4F73">
        <w:rPr>
          <w:rFonts w:ascii="Bookman Old Style" w:hAnsi="Bookman Old Style"/>
          <w:bCs/>
          <w:i/>
          <w:lang w:val="es-CO"/>
        </w:rPr>
        <w:t>el objeto establecer plenamente la existencia del incumplimiento grave e insalvable del proyecto Hidroeléctrico Ituango, el cual está siendo adelantado por Empresas Públicas de Medellín EPM SA ESP y determinar las consecuencias respecto de las obligaciones de energía firme (OEF) asignadas con inicio de vigencia 2018 y de las obligaciones de energía firme (OEF) asignadas con inicio de vigencia 2021.</w:t>
      </w:r>
      <w:r>
        <w:rPr>
          <w:rFonts w:ascii="Bookman Old Style" w:hAnsi="Bookman Old Style"/>
          <w:bCs/>
          <w:i/>
          <w:lang w:val="es-CO"/>
        </w:rPr>
        <w:t>”</w:t>
      </w:r>
    </w:p>
    <w:p w:rsidR="008E10C2" w:rsidRDefault="008E10C2" w:rsidP="008E10C2">
      <w:pPr>
        <w:ind w:left="0"/>
        <w:rPr>
          <w:rFonts w:ascii="Bookman Old Style" w:hAnsi="Bookman Old Style"/>
          <w:lang w:val="es-CO"/>
        </w:rPr>
      </w:pPr>
    </w:p>
    <w:p w:rsidR="008E10C2" w:rsidRDefault="008E10C2" w:rsidP="008E10C2">
      <w:pPr>
        <w:ind w:left="0"/>
        <w:jc w:val="both"/>
        <w:rPr>
          <w:rFonts w:ascii="Bookman Old Style" w:hAnsi="Bookman Old Style"/>
        </w:rPr>
      </w:pPr>
      <w:r>
        <w:rPr>
          <w:rFonts w:ascii="Bookman Old Style" w:hAnsi="Bookman Old Style"/>
        </w:rPr>
        <w:t xml:space="preserve">Para decidir sobre la actuación debe la Comisión esclarecer la vinculación entre las dos asignaciones recibidas por el proyecto Hidroeléctrico Ituango y establecer plenamente si se presentó incumplimiento de las mismas. </w:t>
      </w:r>
    </w:p>
    <w:p w:rsidR="008E10C2" w:rsidRDefault="008E10C2" w:rsidP="008E10C2">
      <w:pPr>
        <w:ind w:left="0"/>
        <w:rPr>
          <w:rFonts w:ascii="Bookman Old Style" w:hAnsi="Bookman Old Style"/>
        </w:rPr>
      </w:pPr>
    </w:p>
    <w:p w:rsidR="008E10C2" w:rsidRDefault="008E10C2" w:rsidP="008E10C2">
      <w:pPr>
        <w:ind w:left="0"/>
        <w:jc w:val="both"/>
        <w:rPr>
          <w:rFonts w:ascii="Bookman Old Style" w:hAnsi="Bookman Old Style"/>
        </w:rPr>
      </w:pPr>
      <w:r>
        <w:rPr>
          <w:rFonts w:ascii="Bookman Old Style" w:hAnsi="Bookman Old Style"/>
        </w:rPr>
        <w:t xml:space="preserve"> </w:t>
      </w:r>
    </w:p>
    <w:p w:rsidR="008E10C2" w:rsidRPr="00496B75" w:rsidRDefault="008E10C2" w:rsidP="008E10C2">
      <w:pPr>
        <w:ind w:left="0"/>
        <w:rPr>
          <w:rFonts w:ascii="Bookman Old Style" w:hAnsi="Bookman Old Style"/>
        </w:rPr>
      </w:pPr>
    </w:p>
    <w:p w:rsidR="008E10C2" w:rsidRDefault="008E10C2" w:rsidP="008E10C2">
      <w:pPr>
        <w:numPr>
          <w:ilvl w:val="0"/>
          <w:numId w:val="29"/>
        </w:numPr>
        <w:jc w:val="both"/>
        <w:rPr>
          <w:rFonts w:ascii="Bookman Old Style" w:hAnsi="Bookman Old Style"/>
          <w:b/>
        </w:rPr>
      </w:pPr>
      <w:r w:rsidRPr="00496B75">
        <w:rPr>
          <w:rFonts w:ascii="Bookman Old Style" w:hAnsi="Bookman Old Style"/>
          <w:b/>
        </w:rPr>
        <w:t xml:space="preserve">Alcance de las </w:t>
      </w:r>
      <w:r>
        <w:rPr>
          <w:rFonts w:ascii="Bookman Old Style" w:hAnsi="Bookman Old Style"/>
          <w:b/>
        </w:rPr>
        <w:t>asignaciones de Obligaciones de Energía Firme obtenidas por el proyecto Ituango en las subastas para plantas GPPS realizadas en 2008 y 2012.</w:t>
      </w:r>
      <w:r w:rsidRPr="00496B75">
        <w:rPr>
          <w:rFonts w:ascii="Bookman Old Style" w:hAnsi="Bookman Old Style"/>
          <w:b/>
        </w:rPr>
        <w:t xml:space="preserve"> </w:t>
      </w:r>
    </w:p>
    <w:p w:rsidR="008E10C2" w:rsidRDefault="008E10C2" w:rsidP="008E10C2">
      <w:pPr>
        <w:ind w:left="0"/>
        <w:rPr>
          <w:rFonts w:ascii="Bookman Old Style" w:hAnsi="Bookman Old Style"/>
        </w:rPr>
      </w:pPr>
    </w:p>
    <w:p w:rsidR="008E10C2" w:rsidRPr="001266BC" w:rsidRDefault="008E10C2" w:rsidP="008E10C2">
      <w:pPr>
        <w:ind w:left="0"/>
        <w:jc w:val="both"/>
        <w:rPr>
          <w:rFonts w:ascii="Bookman Old Style" w:hAnsi="Bookman Old Style" w:cs="Arial"/>
        </w:rPr>
      </w:pPr>
      <w:r w:rsidRPr="001266BC">
        <w:rPr>
          <w:rFonts w:ascii="Bookman Old Style" w:hAnsi="Bookman Old Style" w:cs="Arial"/>
        </w:rPr>
        <w:t xml:space="preserve">EPM en su comunicación E-2018-01470, </w:t>
      </w:r>
      <w:r>
        <w:rPr>
          <w:rFonts w:ascii="Bookman Old Style" w:hAnsi="Bookman Old Style" w:cs="Arial"/>
        </w:rPr>
        <w:t xml:space="preserve">incluye un aparte que denomina </w:t>
      </w:r>
      <w:r w:rsidRPr="001266BC">
        <w:rPr>
          <w:rFonts w:ascii="Bookman Old Style" w:hAnsi="Bookman Old Style" w:cs="Arial"/>
          <w:i/>
        </w:rPr>
        <w:t>“Independencia de las obligaciones de energía firme adquiridas por el Proyecto Hidroeléctrico Ituango</w:t>
      </w:r>
      <w:r w:rsidRPr="001266BC">
        <w:rPr>
          <w:rFonts w:ascii="Bookman Old Style" w:hAnsi="Bookman Old Style" w:cs="Arial"/>
        </w:rPr>
        <w:t xml:space="preserve">”, </w:t>
      </w:r>
      <w:r>
        <w:rPr>
          <w:rFonts w:ascii="Bookman Old Style" w:hAnsi="Bookman Old Style" w:cs="Arial"/>
        </w:rPr>
        <w:t xml:space="preserve">en el cual expone </w:t>
      </w:r>
      <w:r w:rsidRPr="001266BC">
        <w:rPr>
          <w:rFonts w:ascii="Bookman Old Style" w:hAnsi="Bookman Old Style" w:cs="Arial"/>
        </w:rPr>
        <w:t>lo siguiente:</w:t>
      </w:r>
    </w:p>
    <w:p w:rsidR="008E10C2" w:rsidRDefault="008E10C2" w:rsidP="008E10C2">
      <w:pPr>
        <w:ind w:left="708"/>
        <w:jc w:val="both"/>
        <w:rPr>
          <w:rFonts w:ascii="Bookman Old Style" w:hAnsi="Bookman Old Style" w:cs="Arial"/>
          <w:i/>
        </w:rPr>
      </w:pP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“De esta manera el proyecto ha recibido dos asignaciones de OEF diferenciadas en el tiempo, lo que en sí representa que sus obligaciones se ubican para dos vigencias independientes (…), Por lo tanto, hablamos de dos períodos de vigencia de obligación a partir de la vinculación que el proyecto ha tenido al cumplimiento de dos obligaciones específicas.</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En consecuencia, el proyecto es requerido en dos momentos del tiempo para cumplir sus obligaciones, condición que se traduce en que para cada inicio de la obligación del proyecto queda comprometido con el inicio de su operación comercial en los términos de la Resolución CREG 071 de 2006 (...)”</w:t>
      </w:r>
    </w:p>
    <w:p w:rsidR="008E10C2" w:rsidRDefault="008E10C2" w:rsidP="008E10C2">
      <w:pPr>
        <w:ind w:left="0"/>
        <w:jc w:val="both"/>
        <w:rPr>
          <w:rFonts w:ascii="Bookman Old Style" w:hAnsi="Bookman Old Style" w:cs="Arial"/>
        </w:rPr>
      </w:pPr>
    </w:p>
    <w:p w:rsidR="008E10C2" w:rsidRPr="001266BC" w:rsidRDefault="008E10C2" w:rsidP="008E10C2">
      <w:pPr>
        <w:ind w:left="0"/>
        <w:jc w:val="both"/>
        <w:rPr>
          <w:rFonts w:ascii="Bookman Old Style" w:hAnsi="Bookman Old Style" w:cs="Arial"/>
        </w:rPr>
      </w:pPr>
      <w:r w:rsidRPr="001266BC">
        <w:rPr>
          <w:rFonts w:ascii="Bookman Old Style" w:hAnsi="Bookman Old Style" w:cs="Arial"/>
        </w:rPr>
        <w:t xml:space="preserve">En relación con lo anterior, se identifica por parte de la Comisión la necesidad de precisar dentro del trámite de la presente actuación administrativa cuyo objeto es </w:t>
      </w:r>
      <w:r>
        <w:rPr>
          <w:rFonts w:ascii="Bookman Old Style" w:hAnsi="Bookman Old Style" w:cs="Arial"/>
          <w:i/>
        </w:rPr>
        <w:t>“</w:t>
      </w:r>
      <w:r w:rsidRPr="001266BC">
        <w:rPr>
          <w:rFonts w:ascii="Bookman Old Style" w:hAnsi="Bookman Old Style" w:cs="Arial"/>
          <w:i/>
        </w:rPr>
        <w:t>…establecer plenamente la existencia del incumplimiento grave e insalvable” del proyecto hidroeléctrico Ituango, el cual está siendo adelantado por Empresas Públicas de Medellín EPM SA ESP, y determinar las consecuencias respecto de las obligaciones de energía firme asignadas con inicio de vigencia 2018 y de las obligaciones de energía firme asignadas con inicio de vigencia 2021”</w:t>
      </w:r>
      <w:r w:rsidRPr="001266BC">
        <w:rPr>
          <w:rFonts w:ascii="Bookman Old Style" w:hAnsi="Bookman Old Style" w:cs="Arial"/>
        </w:rPr>
        <w:t xml:space="preserve">, el alcance de lo previsto en la regulación en relación con la existencia de dos </w:t>
      </w:r>
      <w:r>
        <w:rPr>
          <w:rFonts w:ascii="Bookman Old Style" w:hAnsi="Bookman Old Style" w:cs="Arial"/>
        </w:rPr>
        <w:t>asignaciones</w:t>
      </w:r>
      <w:r w:rsidRPr="001266BC">
        <w:rPr>
          <w:rFonts w:ascii="Bookman Old Style" w:hAnsi="Bookman Old Style" w:cs="Arial"/>
        </w:rPr>
        <w:t xml:space="preserve"> de energía en firme</w:t>
      </w:r>
      <w:r>
        <w:rPr>
          <w:rFonts w:ascii="Bookman Old Style" w:hAnsi="Bookman Old Style" w:cs="Arial"/>
        </w:rPr>
        <w:t>,</w:t>
      </w:r>
      <w:r w:rsidRPr="001266BC">
        <w:rPr>
          <w:rFonts w:ascii="Bookman Old Style" w:hAnsi="Bookman Old Style" w:cs="Arial"/>
        </w:rPr>
        <w:t xml:space="preserve"> OEF</w:t>
      </w:r>
      <w:r>
        <w:rPr>
          <w:rFonts w:ascii="Bookman Old Style" w:hAnsi="Bookman Old Style" w:cs="Arial"/>
        </w:rPr>
        <w:t xml:space="preserve">, recibidas por el proyecto en dos subastas diferentes, </w:t>
      </w:r>
      <w:r w:rsidRPr="001266BC">
        <w:rPr>
          <w:rFonts w:ascii="Bookman Old Style" w:hAnsi="Bookman Old Style" w:cs="Arial"/>
        </w:rPr>
        <w:t>que EPM denomina como “independientes”.</w:t>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rPr>
      </w:pPr>
      <w:r>
        <w:rPr>
          <w:rFonts w:ascii="Bookman Old Style" w:hAnsi="Bookman Old Style" w:cs="Arial"/>
        </w:rPr>
        <w:t xml:space="preserve">Para analizar el tema es necesario partir de </w:t>
      </w:r>
      <w:r w:rsidRPr="001266BC">
        <w:rPr>
          <w:rFonts w:ascii="Bookman Old Style" w:hAnsi="Bookman Old Style" w:cs="Arial"/>
        </w:rPr>
        <w:t xml:space="preserve">las disposiciones regulatorias </w:t>
      </w:r>
      <w:r>
        <w:rPr>
          <w:rFonts w:ascii="Bookman Old Style" w:hAnsi="Bookman Old Style" w:cs="Arial"/>
        </w:rPr>
        <w:t xml:space="preserve">pertinentes contenidas en </w:t>
      </w:r>
      <w:r w:rsidRPr="001266BC">
        <w:rPr>
          <w:rFonts w:ascii="Bookman Old Style" w:hAnsi="Bookman Old Style" w:cs="Arial"/>
        </w:rPr>
        <w:t>la</w:t>
      </w:r>
      <w:r>
        <w:rPr>
          <w:rFonts w:ascii="Bookman Old Style" w:hAnsi="Bookman Old Style" w:cs="Arial"/>
        </w:rPr>
        <w:t>s</w:t>
      </w:r>
      <w:r w:rsidRPr="001266BC">
        <w:rPr>
          <w:rFonts w:ascii="Bookman Old Style" w:hAnsi="Bookman Old Style" w:cs="Arial"/>
        </w:rPr>
        <w:t xml:space="preserve"> </w:t>
      </w:r>
      <w:r>
        <w:rPr>
          <w:rFonts w:ascii="Bookman Old Style" w:hAnsi="Bookman Old Style" w:cs="Arial"/>
        </w:rPr>
        <w:t>resoluciones</w:t>
      </w:r>
      <w:r w:rsidRPr="001266BC">
        <w:rPr>
          <w:rFonts w:ascii="Bookman Old Style" w:hAnsi="Bookman Old Style" w:cs="Arial"/>
        </w:rPr>
        <w:t xml:space="preserve"> CREG 071 de 2006</w:t>
      </w:r>
      <w:r>
        <w:rPr>
          <w:rFonts w:ascii="Bookman Old Style" w:hAnsi="Bookman Old Style" w:cs="Arial"/>
        </w:rPr>
        <w:t xml:space="preserve"> y 061 de 2007.</w:t>
      </w:r>
    </w:p>
    <w:p w:rsidR="008E10C2" w:rsidRDefault="008E10C2" w:rsidP="008E10C2">
      <w:pPr>
        <w:ind w:left="0"/>
        <w:jc w:val="both"/>
        <w:rPr>
          <w:rFonts w:ascii="Bookman Old Style" w:hAnsi="Bookman Old Style" w:cs="Arial"/>
        </w:rPr>
      </w:pPr>
    </w:p>
    <w:p w:rsidR="008E10C2" w:rsidRPr="001266BC" w:rsidRDefault="008E10C2" w:rsidP="008E10C2">
      <w:pPr>
        <w:ind w:left="0"/>
        <w:jc w:val="both"/>
        <w:rPr>
          <w:rFonts w:ascii="Bookman Old Style" w:hAnsi="Bookman Old Style" w:cs="Arial"/>
        </w:rPr>
      </w:pPr>
      <w:r>
        <w:rPr>
          <w:rFonts w:ascii="Bookman Old Style" w:hAnsi="Bookman Old Style" w:cs="Arial"/>
        </w:rPr>
        <w:t xml:space="preserve">El artículo 2 de la Resolución CREG 071 de 2006 define los siguientes conceptos: </w:t>
      </w:r>
    </w:p>
    <w:p w:rsidR="008E10C2" w:rsidRDefault="008E10C2" w:rsidP="008E10C2">
      <w:pPr>
        <w:ind w:left="708"/>
        <w:jc w:val="both"/>
        <w:rPr>
          <w:rFonts w:ascii="Bookman Old Style" w:hAnsi="Bookman Old Style" w:cs="Arial"/>
          <w:i/>
        </w:rPr>
      </w:pP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w:t>
      </w:r>
      <w:r w:rsidRPr="001266BC">
        <w:rPr>
          <w:rFonts w:ascii="Bookman Old Style" w:hAnsi="Bookman Old Style" w:cs="Arial"/>
          <w:b/>
          <w:i/>
        </w:rPr>
        <w:t>Cargo por Confiabilidad:</w:t>
      </w:r>
      <w:r w:rsidRPr="001266BC">
        <w:rPr>
          <w:rFonts w:ascii="Bookman Old Style" w:hAnsi="Bookman Old Style" w:cs="Arial"/>
          <w:i/>
        </w:rPr>
        <w:t xml:space="preserve"> Remuneración que se paga a un agente generador por la disponibilidad de </w:t>
      </w:r>
      <w:r w:rsidRPr="001266BC">
        <w:rPr>
          <w:rFonts w:ascii="Bookman Old Style" w:hAnsi="Bookman Old Style" w:cs="Arial"/>
          <w:i/>
          <w:u w:val="single"/>
        </w:rPr>
        <w:t>activos de generación con las características y parámetros declarados para el cálculo de la ENFICC</w:t>
      </w:r>
      <w:r w:rsidRPr="001266BC">
        <w:rPr>
          <w:rFonts w:ascii="Bookman Old Style" w:hAnsi="Bookman Old Style" w:cs="Arial"/>
          <w:i/>
        </w:rPr>
        <w:t xml:space="preserve">, que garantiza el cumplimiento de la Obligación de Energía Firme que le fue asignada en una Subasta para la Asignación de Obligaciones de Energía Firme o en el mecanismo que haga sus veces. Esta energía </w:t>
      </w:r>
      <w:r w:rsidRPr="001266BC">
        <w:rPr>
          <w:rFonts w:ascii="Bookman Old Style" w:hAnsi="Bookman Old Style" w:cs="Arial"/>
          <w:i/>
          <w:u w:val="single"/>
        </w:rPr>
        <w:t>está asociada a la Capacidad de Generación de Respaldo</w:t>
      </w:r>
      <w:r w:rsidRPr="001266BC">
        <w:rPr>
          <w:rFonts w:ascii="Bookman Old Style" w:hAnsi="Bookman Old Style" w:cs="Arial"/>
          <w:i/>
        </w:rPr>
        <w:t xml:space="preserve"> de que trata el artículo 23 de la Ley 143 de 1994 y es la que puede comprometerse para garantizar a los usuarios la confiabilidad en la prestación del servicio de energía eléctrica bajo condiciones críticas.</w:t>
      </w:r>
      <w:r>
        <w:rPr>
          <w:rFonts w:ascii="Bookman Old Style" w:hAnsi="Bookman Old Style" w:cs="Arial"/>
          <w:i/>
        </w:rPr>
        <w:t>”</w:t>
      </w:r>
    </w:p>
    <w:p w:rsidR="008E10C2" w:rsidRDefault="008E10C2" w:rsidP="008E10C2">
      <w:pPr>
        <w:ind w:left="708"/>
        <w:jc w:val="both"/>
        <w:rPr>
          <w:rFonts w:ascii="Bookman Old Style" w:hAnsi="Bookman Old Style" w:cs="Arial"/>
          <w:b/>
          <w:i/>
        </w:rPr>
      </w:pPr>
    </w:p>
    <w:p w:rsidR="008E10C2" w:rsidRPr="001266BC" w:rsidRDefault="008E10C2" w:rsidP="008E10C2">
      <w:pPr>
        <w:ind w:left="708"/>
        <w:jc w:val="both"/>
        <w:rPr>
          <w:rFonts w:ascii="Bookman Old Style" w:hAnsi="Bookman Old Style" w:cs="Arial"/>
          <w:i/>
        </w:rPr>
      </w:pPr>
      <w:r>
        <w:rPr>
          <w:rFonts w:ascii="Bookman Old Style" w:hAnsi="Bookman Old Style" w:cs="Arial"/>
          <w:b/>
          <w:i/>
        </w:rPr>
        <w:t>“</w:t>
      </w:r>
      <w:r w:rsidRPr="001266BC">
        <w:rPr>
          <w:rFonts w:ascii="Bookman Old Style" w:hAnsi="Bookman Old Style" w:cs="Arial"/>
          <w:b/>
          <w:i/>
        </w:rPr>
        <w:t>Obligación de Energía Firme:</w:t>
      </w:r>
      <w:r w:rsidRPr="001266BC">
        <w:rPr>
          <w:rFonts w:ascii="Bookman Old Style" w:hAnsi="Bookman Old Style" w:cs="Arial"/>
          <w:i/>
        </w:rPr>
        <w:t xml:space="preserve"> </w:t>
      </w:r>
      <w:r w:rsidRPr="001266BC">
        <w:rPr>
          <w:rFonts w:ascii="Bookman Old Style" w:hAnsi="Bookman Old Style" w:cs="Arial"/>
          <w:i/>
          <w:u w:val="single"/>
        </w:rPr>
        <w:t>Vínculo resultante de la Subasta</w:t>
      </w:r>
      <w:r w:rsidRPr="001266BC">
        <w:rPr>
          <w:rFonts w:ascii="Bookman Old Style" w:hAnsi="Bookman Old Style" w:cs="Arial"/>
          <w:i/>
        </w:rPr>
        <w:t xml:space="preserve"> o del mecanismo que haga sus veces, que impone a un </w:t>
      </w:r>
      <w:r w:rsidRPr="001266BC">
        <w:rPr>
          <w:rFonts w:ascii="Bookman Old Style" w:hAnsi="Bookman Old Style" w:cs="Arial"/>
          <w:i/>
          <w:u w:val="single"/>
        </w:rPr>
        <w:t>generador el deber de generar</w:t>
      </w:r>
      <w:r w:rsidRPr="001266BC">
        <w:rPr>
          <w:rFonts w:ascii="Bookman Old Style" w:hAnsi="Bookman Old Style" w:cs="Arial"/>
          <w:i/>
        </w:rPr>
        <w:t>, de acuerdo con el Despacho Ideal, una cantidad diaria de energía durante el Período de Vigencia de la Obligación, cuando el Precio de Bolsa supere el Precio de Escasez. Esta cantidad de energía corresponde a la programación de generación horaria resultante del Despacho Ideal hasta una cantidad igual a la asignación hecha en la Subasta, considerando solamente la Demanda Doméstica, calculada de acuerdo con lo definido en esta resolución.</w:t>
      </w:r>
      <w:r>
        <w:rPr>
          <w:rFonts w:ascii="Bookman Old Style" w:hAnsi="Bookman Old Style" w:cs="Arial"/>
          <w:i/>
        </w:rPr>
        <w:t>”</w:t>
      </w:r>
      <w:r w:rsidRPr="001266BC">
        <w:rPr>
          <w:rFonts w:ascii="Bookman Old Style" w:hAnsi="Bookman Old Style" w:cs="Arial"/>
          <w:i/>
        </w:rPr>
        <w:t xml:space="preserve"> </w:t>
      </w:r>
    </w:p>
    <w:p w:rsidR="008E10C2" w:rsidRDefault="008E10C2" w:rsidP="008E10C2">
      <w:pPr>
        <w:ind w:left="708"/>
        <w:jc w:val="both"/>
        <w:rPr>
          <w:rFonts w:ascii="Bookman Old Style" w:hAnsi="Bookman Old Style" w:cs="Arial"/>
          <w:b/>
          <w:i/>
        </w:rPr>
      </w:pPr>
    </w:p>
    <w:p w:rsidR="008E10C2" w:rsidRDefault="008E10C2" w:rsidP="008E10C2">
      <w:pPr>
        <w:ind w:left="708"/>
        <w:jc w:val="both"/>
        <w:rPr>
          <w:rFonts w:ascii="Bookman Old Style" w:hAnsi="Bookman Old Style" w:cs="Arial"/>
          <w:i/>
          <w:u w:val="single"/>
        </w:rPr>
      </w:pPr>
      <w:r>
        <w:rPr>
          <w:rFonts w:ascii="Bookman Old Style" w:hAnsi="Bookman Old Style" w:cs="Arial"/>
          <w:b/>
          <w:i/>
        </w:rPr>
        <w:t>“</w:t>
      </w:r>
      <w:r w:rsidRPr="001266BC">
        <w:rPr>
          <w:rFonts w:ascii="Bookman Old Style" w:hAnsi="Bookman Old Style" w:cs="Arial"/>
          <w:b/>
          <w:i/>
        </w:rPr>
        <w:t>Período de Vigencia de la Obligación:</w:t>
      </w:r>
      <w:r w:rsidRPr="001266BC">
        <w:rPr>
          <w:rFonts w:ascii="Bookman Old Style" w:hAnsi="Bookman Old Style" w:cs="Arial"/>
          <w:i/>
        </w:rPr>
        <w:t xml:space="preserve"> </w:t>
      </w:r>
      <w:r w:rsidRPr="001266BC">
        <w:rPr>
          <w:rFonts w:ascii="Bookman Old Style" w:hAnsi="Bookman Old Style" w:cs="Arial"/>
          <w:i/>
          <w:u w:val="single"/>
        </w:rPr>
        <w:t>Período</w:t>
      </w:r>
      <w:r w:rsidRPr="001266BC">
        <w:rPr>
          <w:rFonts w:ascii="Bookman Old Style" w:hAnsi="Bookman Old Style" w:cs="Arial"/>
          <w:i/>
        </w:rPr>
        <w:t xml:space="preserve"> de tiempo durante el cual un agente generador queda </w:t>
      </w:r>
      <w:r w:rsidRPr="001266BC">
        <w:rPr>
          <w:rFonts w:ascii="Bookman Old Style" w:hAnsi="Bookman Old Style" w:cs="Arial"/>
          <w:i/>
          <w:u w:val="single"/>
        </w:rPr>
        <w:t>vinculado al cumplimiento de su Obligación de Energía Firme.</w:t>
      </w:r>
      <w:r>
        <w:rPr>
          <w:rFonts w:ascii="Bookman Old Style" w:hAnsi="Bookman Old Style" w:cs="Arial"/>
          <w:i/>
          <w:u w:val="single"/>
        </w:rPr>
        <w:t>”</w:t>
      </w:r>
    </w:p>
    <w:p w:rsidR="008E10C2" w:rsidRPr="001266BC" w:rsidRDefault="008E10C2" w:rsidP="008E10C2">
      <w:pPr>
        <w:ind w:left="708"/>
        <w:jc w:val="both"/>
        <w:rPr>
          <w:rFonts w:ascii="Bookman Old Style" w:hAnsi="Bookman Old Style" w:cs="Arial"/>
          <w:i/>
          <w:u w:val="single"/>
        </w:rPr>
      </w:pPr>
    </w:p>
    <w:p w:rsidR="008E10C2" w:rsidRDefault="008E10C2" w:rsidP="008E10C2">
      <w:pPr>
        <w:ind w:left="708"/>
        <w:jc w:val="both"/>
        <w:rPr>
          <w:rFonts w:ascii="Bookman Old Style" w:hAnsi="Bookman Old Style" w:cs="Arial"/>
          <w:i/>
        </w:rPr>
      </w:pPr>
      <w:r>
        <w:rPr>
          <w:rFonts w:ascii="Bookman Old Style" w:hAnsi="Bookman Old Style" w:cs="Arial"/>
          <w:b/>
          <w:i/>
        </w:rPr>
        <w:t>“</w:t>
      </w:r>
      <w:r w:rsidRPr="001266BC">
        <w:rPr>
          <w:rFonts w:ascii="Bookman Old Style" w:hAnsi="Bookman Old Style" w:cs="Arial"/>
          <w:b/>
          <w:i/>
        </w:rPr>
        <w:t>Planta y/o Unidad de Generación que respalda una Obligación de Energía Firme</w:t>
      </w:r>
      <w:r w:rsidRPr="001266BC">
        <w:rPr>
          <w:rFonts w:ascii="Bookman Old Style" w:hAnsi="Bookman Old Style" w:cs="Arial"/>
          <w:i/>
        </w:rPr>
        <w:t xml:space="preserve">. Es la planta y/o Unidad de generación cuya </w:t>
      </w:r>
      <w:r w:rsidRPr="001266BC">
        <w:rPr>
          <w:rFonts w:ascii="Bookman Old Style" w:hAnsi="Bookman Old Style" w:cs="Arial"/>
          <w:i/>
          <w:u w:val="single"/>
        </w:rPr>
        <w:t>ENFICC fue declarada</w:t>
      </w:r>
      <w:r w:rsidRPr="001266BC">
        <w:rPr>
          <w:rFonts w:ascii="Bookman Old Style" w:hAnsi="Bookman Old Style" w:cs="Arial"/>
          <w:i/>
        </w:rPr>
        <w:t xml:space="preserve"> por el propietario o por quien la representa comercialmente y </w:t>
      </w:r>
      <w:r w:rsidRPr="001266BC">
        <w:rPr>
          <w:rFonts w:ascii="Bookman Old Style" w:hAnsi="Bookman Old Style" w:cs="Arial"/>
          <w:i/>
          <w:u w:val="single"/>
        </w:rPr>
        <w:t>dio lugar a la asignación de la Obligación de Energía Firme</w:t>
      </w:r>
      <w:r w:rsidRPr="001266BC">
        <w:rPr>
          <w:rFonts w:ascii="Bookman Old Style" w:hAnsi="Bookman Old Style" w:cs="Arial"/>
          <w:i/>
        </w:rPr>
        <w:t xml:space="preserve"> en la Subasta o en el mecanismo que haga sus veces.”</w:t>
      </w:r>
      <w:r w:rsidR="00237E17">
        <w:rPr>
          <w:rFonts w:ascii="Bookman Old Style" w:hAnsi="Bookman Old Style" w:cs="Arial"/>
          <w:i/>
        </w:rPr>
        <w:t xml:space="preserve"> </w:t>
      </w:r>
      <w:r w:rsidR="00237E17" w:rsidRPr="00EB0EE6">
        <w:rPr>
          <w:rFonts w:ascii="Bookman Old Style" w:hAnsi="Bookman Old Style" w:cs="Arial"/>
        </w:rPr>
        <w:t>(Subrayado fuera del texto)</w:t>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rPr>
      </w:pPr>
      <w:r>
        <w:rPr>
          <w:rFonts w:ascii="Bookman Old Style" w:hAnsi="Bookman Old Style" w:cs="Arial"/>
        </w:rPr>
        <w:t>Posteriormente</w:t>
      </w:r>
      <w:r w:rsidR="00100637">
        <w:rPr>
          <w:rFonts w:ascii="Bookman Old Style" w:hAnsi="Bookman Old Style" w:cs="Arial"/>
        </w:rPr>
        <w:t>,</w:t>
      </w:r>
      <w:r>
        <w:rPr>
          <w:rFonts w:ascii="Bookman Old Style" w:hAnsi="Bookman Old Style" w:cs="Arial"/>
        </w:rPr>
        <w:t xml:space="preserve"> en el desarrollo de la regulación del mecanismo del Cargo por Confiabilidad</w:t>
      </w:r>
      <w:r w:rsidR="00100637">
        <w:rPr>
          <w:rFonts w:ascii="Bookman Old Style" w:hAnsi="Bookman Old Style" w:cs="Arial"/>
        </w:rPr>
        <w:t>,</w:t>
      </w:r>
      <w:r>
        <w:rPr>
          <w:rFonts w:ascii="Bookman Old Style" w:hAnsi="Bookman Old Style" w:cs="Arial"/>
        </w:rPr>
        <w:t xml:space="preserve"> la misma resolución define algunos elementos específicos aplicables a las plantas nuevas que participan en las subastas: </w:t>
      </w:r>
    </w:p>
    <w:p w:rsidR="008E10C2" w:rsidRPr="00C34340" w:rsidRDefault="008E10C2" w:rsidP="008E10C2">
      <w:pPr>
        <w:ind w:left="0"/>
        <w:jc w:val="both"/>
        <w:rPr>
          <w:rFonts w:ascii="Bookman Old Style" w:hAnsi="Bookman Old Style" w:cs="Arial"/>
        </w:rPr>
      </w:pPr>
    </w:p>
    <w:p w:rsidR="008E10C2" w:rsidRPr="009B05DD" w:rsidRDefault="008E10C2" w:rsidP="008E10C2">
      <w:pPr>
        <w:ind w:left="708"/>
        <w:jc w:val="both"/>
        <w:rPr>
          <w:rFonts w:ascii="Bookman Old Style" w:hAnsi="Bookman Old Style" w:cs="Arial"/>
          <w:i/>
        </w:rPr>
      </w:pPr>
      <w:r w:rsidRPr="001266BC">
        <w:rPr>
          <w:rFonts w:ascii="Bookman Old Style" w:hAnsi="Bookman Old Style" w:cs="Arial"/>
          <w:b/>
          <w:i/>
        </w:rPr>
        <w:t>“</w:t>
      </w:r>
      <w:r w:rsidRPr="001E4AC3">
        <w:rPr>
          <w:rFonts w:ascii="Bookman Old Style" w:hAnsi="Bookman Old Style" w:cs="Arial"/>
          <w:b/>
          <w:i/>
        </w:rPr>
        <w:t>Artículo 7.</w:t>
      </w:r>
      <w:r w:rsidRPr="001E4AC3">
        <w:rPr>
          <w:rFonts w:ascii="Bookman Old Style" w:hAnsi="Bookman Old Style" w:cs="Arial"/>
          <w:b/>
          <w:i/>
        </w:rPr>
        <w:tab/>
        <w:t xml:space="preserve">Obligaciones adicionales para los agentes con plantas y/o unidades de generación nuevas o especiales. </w:t>
      </w:r>
      <w:r w:rsidRPr="009B05DD">
        <w:rPr>
          <w:rFonts w:ascii="Bookman Old Style" w:hAnsi="Bookman Old Style" w:cs="Arial"/>
          <w:i/>
        </w:rPr>
        <w:t>Además de las establecidas en otros artículos de esta resolución, los agentes con plantas y/o unidades de generación nuevas o especiales a quienes les hayan sido asignadas obligaciones de energía firme, tendrán las siguientes obligaciones:</w:t>
      </w: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1.</w:t>
      </w:r>
      <w:r w:rsidRPr="009B05DD">
        <w:rPr>
          <w:rFonts w:ascii="Bookman Old Style" w:hAnsi="Bookman Old Style" w:cs="Arial"/>
          <w:i/>
        </w:rPr>
        <w:tab/>
        <w:t>Poner en operación comercial la planta y/o unidad de generación a más tardar en la fecha de inicio del Período de Vigencia de la Obligación y con la ENFICC asignada en la Subasta.</w:t>
      </w: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2.</w:t>
      </w:r>
      <w:r w:rsidRPr="009B05DD">
        <w:rPr>
          <w:rFonts w:ascii="Bookman Old Style" w:hAnsi="Bookman Old Style" w:cs="Arial"/>
          <w:i/>
        </w:rPr>
        <w:tab/>
        <w:t xml:space="preserve">Cumplir el cronograma de construcción o repotenciación de la planta y la Curva S. </w:t>
      </w: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3.</w:t>
      </w:r>
      <w:r w:rsidRPr="009B05DD">
        <w:rPr>
          <w:rFonts w:ascii="Bookman Old Style" w:hAnsi="Bookman Old Style" w:cs="Arial"/>
          <w:i/>
        </w:rPr>
        <w:tab/>
        <w:t>Pagar el costo de la auditoría establecida en el artículo 8 de esta Resolución, periódicamente en forma anticipada. El incumplimiento en el pago de la auditoría, dará lugar a la ejecución de la garantía a que se refiere el numeral 4 de este artículo y la pérdida para el generador de la Obligación de Energía Firme y la remuneración asociada a ella.</w:t>
      </w: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4.</w:t>
      </w:r>
      <w:r w:rsidRPr="009B05DD">
        <w:rPr>
          <w:rFonts w:ascii="Bookman Old Style" w:hAnsi="Bookman Old Style" w:cs="Arial"/>
          <w:i/>
        </w:rPr>
        <w:tab/>
        <w:t>Constituir y mantener vigente la garantía de cumplimiento de la fecha de inicio de la operación comercial de las plantas o unidades de generación en instalación o por instalar o repotenciar con la ENFICC asignada en la Subasta, y del pago de la auditoría. Estas garantías deben cumplir las disposiciones contenidas en el Capítulo VIII de esta resolución.</w:t>
      </w:r>
    </w:p>
    <w:p w:rsidR="008E10C2" w:rsidRDefault="008E10C2" w:rsidP="008E10C2">
      <w:pPr>
        <w:ind w:left="708"/>
        <w:jc w:val="both"/>
        <w:rPr>
          <w:rFonts w:ascii="Bookman Old Style" w:hAnsi="Bookman Old Style" w:cs="Arial"/>
          <w:i/>
        </w:rPr>
      </w:pPr>
      <w:r w:rsidRPr="009B05DD">
        <w:rPr>
          <w:rFonts w:ascii="Bookman Old Style" w:hAnsi="Bookman Old Style" w:cs="Arial"/>
          <w:i/>
        </w:rPr>
        <w:t>5.</w:t>
      </w:r>
      <w:r w:rsidRPr="009B05DD">
        <w:rPr>
          <w:rFonts w:ascii="Bookman Old Style" w:hAnsi="Bookman Old Style" w:cs="Arial"/>
          <w:i/>
        </w:rPr>
        <w:tab/>
        <w:t>Haberse constituido en Empresa de Servicios Públicos con anterioridad al plazo fijado por la CREG para el otorgamiento de las garantías exigibles para el cumplimiento de las Obligaciones de Energía Firme.</w:t>
      </w:r>
      <w:r w:rsidRPr="001E4AC3">
        <w:rPr>
          <w:rFonts w:ascii="Bookman Old Style" w:hAnsi="Bookman Old Style" w:cs="Arial"/>
          <w:i/>
        </w:rPr>
        <w:t>”</w:t>
      </w:r>
    </w:p>
    <w:p w:rsidR="008E10C2" w:rsidRDefault="008E10C2" w:rsidP="008E10C2">
      <w:pPr>
        <w:ind w:left="708"/>
        <w:jc w:val="both"/>
        <w:rPr>
          <w:rFonts w:ascii="Bookman Old Style" w:hAnsi="Bookman Old Style" w:cs="Arial"/>
          <w:i/>
        </w:rPr>
      </w:pPr>
    </w:p>
    <w:p w:rsidR="008E10C2" w:rsidRPr="001E4AC3" w:rsidRDefault="008E10C2" w:rsidP="008E10C2">
      <w:pPr>
        <w:ind w:left="708"/>
        <w:jc w:val="both"/>
        <w:rPr>
          <w:rFonts w:ascii="Bookman Old Style" w:hAnsi="Bookman Old Style" w:cs="Arial"/>
          <w:i/>
        </w:rPr>
      </w:pPr>
      <w:r w:rsidRPr="009B05DD">
        <w:rPr>
          <w:rFonts w:ascii="Bookman Old Style" w:hAnsi="Bookman Old Style" w:cs="Arial"/>
          <w:b/>
          <w:i/>
        </w:rPr>
        <w:t>“Artículo 9.</w:t>
      </w:r>
      <w:r w:rsidRPr="009B05DD">
        <w:rPr>
          <w:rFonts w:ascii="Bookman Old Style" w:hAnsi="Bookman Old Style" w:cs="Arial"/>
          <w:b/>
          <w:i/>
        </w:rPr>
        <w:tab/>
        <w:t>Efectos del incumplimiento del cronograma de construcción o de repotenciación, o de la puesta en operación de la planta.</w:t>
      </w:r>
      <w:r w:rsidRPr="001E4AC3">
        <w:rPr>
          <w:rFonts w:ascii="Bookman Old Style" w:hAnsi="Bookman Old Style" w:cs="Arial"/>
          <w:i/>
        </w:rPr>
        <w:t xml:space="preserve"> El incumplimiento de las obligaciones relacionadas con el cronograma de construcción o con la puesta en operación de la planta o unidad de generación producirá los siguientes efectos:</w:t>
      </w:r>
    </w:p>
    <w:p w:rsidR="008E10C2" w:rsidRPr="001E4AC3" w:rsidRDefault="008E10C2" w:rsidP="008E10C2">
      <w:pPr>
        <w:ind w:left="708"/>
        <w:jc w:val="both"/>
        <w:rPr>
          <w:rFonts w:ascii="Bookman Old Style" w:hAnsi="Bookman Old Style" w:cs="Arial"/>
          <w:i/>
        </w:rPr>
      </w:pPr>
      <w:r w:rsidRPr="001E4AC3">
        <w:rPr>
          <w:rFonts w:ascii="Bookman Old Style" w:hAnsi="Bookman Old Style" w:cs="Arial"/>
          <w:i/>
        </w:rPr>
        <w:t>1.</w:t>
      </w:r>
      <w:r w:rsidRPr="001E4AC3">
        <w:rPr>
          <w:rFonts w:ascii="Bookman Old Style" w:hAnsi="Bookman Old Style" w:cs="Arial"/>
          <w:i/>
        </w:rPr>
        <w:tab/>
        <w:t xml:space="preserve">La no presentación del cronograma de construcción o de repotenciación de la planta o unidad de generación en el plazo estipulado en el numeral 2.2 del Anexo 2 de esta resolución, o de la curva S del proyecto, dará lugar a la descalificación del agente para participar en la respectiva Subasta. </w:t>
      </w:r>
    </w:p>
    <w:p w:rsidR="008E10C2" w:rsidRPr="001E4AC3" w:rsidRDefault="008E10C2" w:rsidP="008E10C2">
      <w:pPr>
        <w:ind w:left="708"/>
        <w:jc w:val="both"/>
        <w:rPr>
          <w:rFonts w:ascii="Bookman Old Style" w:hAnsi="Bookman Old Style" w:cs="Arial"/>
          <w:i/>
        </w:rPr>
      </w:pPr>
      <w:r w:rsidRPr="001E4AC3">
        <w:rPr>
          <w:rFonts w:ascii="Bookman Old Style" w:hAnsi="Bookman Old Style" w:cs="Arial"/>
          <w:i/>
        </w:rPr>
        <w:t>2.</w:t>
      </w:r>
      <w:r w:rsidRPr="001E4AC3">
        <w:rPr>
          <w:rFonts w:ascii="Bookman Old Style" w:hAnsi="Bookman Old Style" w:cs="Arial"/>
          <w:i/>
        </w:rPr>
        <w:tab/>
        <w:t>El retraso en el cronograma de construcción o repotenciación de la planta o unidad de generación frente a la Curva S que no constituya incumplimiento grave e insalvable, dará lugar al ajuste de la garantía de conformidad con los procedimientos que se definan en el Reglamento de Garantías para el Cargo por Confiabilidad de que trata el Artículo 78 de esta resolución.</w:t>
      </w:r>
    </w:p>
    <w:p w:rsidR="008E10C2" w:rsidRPr="001E4AC3" w:rsidRDefault="008E10C2" w:rsidP="008E10C2">
      <w:pPr>
        <w:ind w:left="708"/>
        <w:jc w:val="both"/>
        <w:rPr>
          <w:rFonts w:ascii="Bookman Old Style" w:hAnsi="Bookman Old Style" w:cs="Arial"/>
          <w:i/>
        </w:rPr>
      </w:pPr>
      <w:r w:rsidRPr="001E4AC3">
        <w:rPr>
          <w:rFonts w:ascii="Bookman Old Style" w:hAnsi="Bookman Old Style" w:cs="Arial"/>
          <w:i/>
        </w:rPr>
        <w:t>3.</w:t>
      </w:r>
      <w:r w:rsidRPr="001E4AC3">
        <w:rPr>
          <w:rFonts w:ascii="Bookman Old Style" w:hAnsi="Bookman Old Style" w:cs="Arial"/>
          <w:i/>
        </w:rPr>
        <w:tab/>
        <w:t>El incumplimiento grave e insalvable de la puesta en operación de la planta o unidad de generación, dará lugar a:</w:t>
      </w:r>
    </w:p>
    <w:p w:rsidR="008E10C2" w:rsidRPr="001E4AC3" w:rsidRDefault="008E10C2" w:rsidP="008E10C2">
      <w:pPr>
        <w:ind w:left="708"/>
        <w:jc w:val="both"/>
        <w:rPr>
          <w:rFonts w:ascii="Bookman Old Style" w:hAnsi="Bookman Old Style" w:cs="Arial"/>
          <w:i/>
        </w:rPr>
      </w:pPr>
      <w:r w:rsidRPr="001E4AC3">
        <w:rPr>
          <w:rFonts w:ascii="Bookman Old Style" w:hAnsi="Bookman Old Style" w:cs="Arial"/>
          <w:i/>
        </w:rPr>
        <w:t>a)</w:t>
      </w:r>
      <w:r w:rsidRPr="001E4AC3">
        <w:rPr>
          <w:rFonts w:ascii="Bookman Old Style" w:hAnsi="Bookman Old Style" w:cs="Arial"/>
          <w:i/>
        </w:rPr>
        <w:tab/>
        <w:t xml:space="preserve">La ejecución de la garantía. </w:t>
      </w:r>
    </w:p>
    <w:p w:rsidR="008E10C2" w:rsidRPr="001E4AC3" w:rsidRDefault="008E10C2" w:rsidP="008E10C2">
      <w:pPr>
        <w:ind w:left="708"/>
        <w:jc w:val="both"/>
        <w:rPr>
          <w:rFonts w:ascii="Bookman Old Style" w:hAnsi="Bookman Old Style" w:cs="Arial"/>
          <w:i/>
        </w:rPr>
      </w:pPr>
      <w:r w:rsidRPr="001E4AC3">
        <w:rPr>
          <w:rFonts w:ascii="Bookman Old Style" w:hAnsi="Bookman Old Style" w:cs="Arial"/>
          <w:i/>
        </w:rPr>
        <w:t>b)</w:t>
      </w:r>
      <w:r w:rsidRPr="001E4AC3">
        <w:rPr>
          <w:rFonts w:ascii="Bookman Old Style" w:hAnsi="Bookman Old Style" w:cs="Arial"/>
          <w:i/>
        </w:rPr>
        <w:tab/>
        <w:t>La pérdida para el generador de la asignación de la Obligación de Energía Firme y la remuneración asociada a ella.</w:t>
      </w:r>
    </w:p>
    <w:p w:rsidR="008E10C2" w:rsidRPr="001E4AC3" w:rsidRDefault="008E10C2" w:rsidP="008E10C2">
      <w:pPr>
        <w:ind w:left="708"/>
        <w:jc w:val="both"/>
        <w:rPr>
          <w:rFonts w:ascii="Bookman Old Style" w:hAnsi="Bookman Old Style" w:cs="Arial"/>
          <w:i/>
        </w:rPr>
      </w:pPr>
      <w:r w:rsidRPr="001E4AC3">
        <w:rPr>
          <w:rFonts w:ascii="Bookman Old Style" w:hAnsi="Bookman Old Style" w:cs="Arial"/>
          <w:i/>
        </w:rPr>
        <w:t>4.</w:t>
      </w:r>
      <w:r w:rsidRPr="001E4AC3">
        <w:rPr>
          <w:rFonts w:ascii="Bookman Old Style" w:hAnsi="Bookman Old Style" w:cs="Arial"/>
          <w:i/>
        </w:rPr>
        <w:tab/>
        <w:t>Modificado por el artículo 2 de la Resolución CREG-153 de 2011. Cuando la fecha de puesta en operación de la planta, determinada por el auditor, sea posterior a la fecha de inicio del Período de Vigencia de la Obligación y no constituya incumplimiento grave e insalvable, el agente deberá garantizar el cumplimiento de su Obligación de Energía Firme a través de un contrato con uno o algunos de los anillos de seguridad, vigente desde la fecha de inicio del Período de Vigencia de la Obligación y hasta la nueva fecha de puesta en operación de la planta. La omisión en la obligación de garantizar la Obligación de Energía Firme a través de un contrato con uno o algunos de los anillos de seguridad dará lugar a que el incumplimiento se considere grave e insalvable con las consecuencias previstas en el numeral 3 de este artículo.</w:t>
      </w:r>
    </w:p>
    <w:p w:rsidR="008E10C2" w:rsidRPr="001E4AC3" w:rsidRDefault="008E10C2" w:rsidP="008E10C2">
      <w:pPr>
        <w:ind w:left="708"/>
        <w:jc w:val="both"/>
        <w:rPr>
          <w:rFonts w:ascii="Bookman Old Style" w:hAnsi="Bookman Old Style" w:cs="Arial"/>
          <w:i/>
        </w:rPr>
      </w:pPr>
    </w:p>
    <w:p w:rsidR="008E10C2" w:rsidRDefault="008E10C2" w:rsidP="008E10C2">
      <w:pPr>
        <w:ind w:left="708"/>
        <w:jc w:val="both"/>
        <w:rPr>
          <w:rFonts w:ascii="Bookman Old Style" w:hAnsi="Bookman Old Style" w:cs="Arial"/>
          <w:i/>
        </w:rPr>
      </w:pPr>
      <w:r w:rsidRPr="001E4AC3">
        <w:rPr>
          <w:rFonts w:ascii="Bookman Old Style" w:hAnsi="Bookman Old Style" w:cs="Arial"/>
          <w:i/>
        </w:rPr>
        <w:t>Parágrafo. En el caso del incumplimiento grave e insalvable que se determina cuando el informe del auditor indica que la puesta en operación de la planta o unidad de generación tendrá un atraso mayor a un año, contado a partir de la fecha de inicio del Periodo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sidRPr="001266BC">
        <w:rPr>
          <w:rFonts w:ascii="Bookman Old Style" w:hAnsi="Bookman Old Style" w:cs="Arial"/>
          <w:i/>
        </w:rPr>
        <w:t>”</w:t>
      </w:r>
    </w:p>
    <w:p w:rsidR="008E10C2" w:rsidRDefault="008E10C2" w:rsidP="008E10C2">
      <w:pPr>
        <w:ind w:left="0"/>
        <w:jc w:val="both"/>
        <w:rPr>
          <w:rFonts w:ascii="Bookman Old Style" w:hAnsi="Bookman Old Style" w:cs="Arial"/>
          <w:i/>
        </w:rPr>
      </w:pPr>
    </w:p>
    <w:p w:rsidR="008E10C2" w:rsidRPr="00C34340" w:rsidRDefault="008E10C2" w:rsidP="008E10C2">
      <w:pPr>
        <w:ind w:left="0"/>
        <w:jc w:val="both"/>
        <w:rPr>
          <w:rFonts w:ascii="Bookman Old Style" w:hAnsi="Bookman Old Style" w:cs="Arial"/>
        </w:rPr>
      </w:pPr>
      <w:r>
        <w:rPr>
          <w:rFonts w:ascii="Bookman Old Style" w:hAnsi="Bookman Old Style" w:cs="Arial"/>
        </w:rPr>
        <w:t>Mediante la Resolución CREG 061 de 2007 se hicieron ajustes a la Resolución CREG 071 de 2006 y se adoptó el reglamento de garantías del Cargo por Confiabilidad.  Este reglamento en el capítulo de “</w:t>
      </w:r>
      <w:r w:rsidRPr="00C34340">
        <w:rPr>
          <w:rFonts w:ascii="Bookman Old Style" w:hAnsi="Bookman Old Style" w:cs="Arial"/>
          <w:bCs/>
          <w:i/>
        </w:rPr>
        <w:t>GARANTIAS PARA CONSTRUCCIÓN Y PUESTA EN OPERACIÓN</w:t>
      </w:r>
      <w:r>
        <w:rPr>
          <w:rFonts w:ascii="Bookman Old Style" w:hAnsi="Bookman Old Style" w:cs="Arial"/>
          <w:bCs/>
          <w:i/>
        </w:rPr>
        <w:t xml:space="preserve">”, </w:t>
      </w:r>
      <w:r>
        <w:rPr>
          <w:rFonts w:ascii="Bookman Old Style" w:hAnsi="Bookman Old Style" w:cs="Arial"/>
        </w:rPr>
        <w:t>artículo 13 señala:</w:t>
      </w:r>
    </w:p>
    <w:p w:rsidR="008E10C2" w:rsidRPr="001266BC" w:rsidRDefault="008E10C2" w:rsidP="008E10C2">
      <w:pPr>
        <w:ind w:left="708"/>
        <w:jc w:val="both"/>
        <w:rPr>
          <w:rFonts w:ascii="Bookman Old Style" w:hAnsi="Bookman Old Style" w:cs="Arial"/>
          <w:i/>
        </w:rPr>
      </w:pPr>
    </w:p>
    <w:p w:rsidR="008E10C2" w:rsidRPr="009B05DD" w:rsidRDefault="008E10C2" w:rsidP="008E10C2">
      <w:pPr>
        <w:ind w:left="708"/>
        <w:jc w:val="both"/>
        <w:rPr>
          <w:rFonts w:ascii="Bookman Old Style" w:hAnsi="Bookman Old Style" w:cs="Arial"/>
          <w:i/>
        </w:rPr>
      </w:pPr>
      <w:r>
        <w:rPr>
          <w:rFonts w:ascii="Bookman Old Style" w:hAnsi="Bookman Old Style" w:cs="Arial"/>
          <w:b/>
          <w:i/>
        </w:rPr>
        <w:t>“</w:t>
      </w:r>
      <w:r w:rsidRPr="004524D3">
        <w:rPr>
          <w:rFonts w:ascii="Bookman Old Style" w:hAnsi="Bookman Old Style" w:cs="Arial"/>
          <w:b/>
          <w:i/>
        </w:rPr>
        <w:t>Artículo 13. Eventos de incumplimiento.</w:t>
      </w:r>
      <w:r w:rsidRPr="009B05DD">
        <w:rPr>
          <w:rFonts w:ascii="Bookman Old Style" w:hAnsi="Bookman Old Style" w:cs="Arial"/>
          <w:i/>
        </w:rPr>
        <w:t xml:space="preserve"> Constituyen eventos de incumplimiento grave e insalvable los siguientes:</w:t>
      </w:r>
    </w:p>
    <w:p w:rsidR="008E10C2" w:rsidRPr="009B05DD" w:rsidRDefault="008E10C2" w:rsidP="008E10C2">
      <w:pPr>
        <w:ind w:left="708"/>
        <w:jc w:val="both"/>
        <w:rPr>
          <w:rFonts w:ascii="Bookman Old Style" w:hAnsi="Bookman Old Style" w:cs="Arial"/>
          <w:i/>
        </w:rPr>
      </w:pP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1.</w:t>
      </w:r>
      <w:r w:rsidRPr="009B05DD">
        <w:rPr>
          <w:rFonts w:ascii="Bookman Old Style" w:hAnsi="Bookman Old Style" w:cs="Arial"/>
          <w:i/>
        </w:rPr>
        <w:tab/>
        <w:t>Incumplimiento Calificado de Cronograma que implique que la puesta en operación de la planta o unidad de generación, ocurrirá en un plazo superior a un (1) año contado a partir del IPVO.</w:t>
      </w:r>
    </w:p>
    <w:p w:rsidR="008E10C2" w:rsidRPr="009B05DD" w:rsidRDefault="008E10C2" w:rsidP="008E10C2">
      <w:pPr>
        <w:ind w:left="708"/>
        <w:jc w:val="both"/>
        <w:rPr>
          <w:rFonts w:ascii="Bookman Old Style" w:hAnsi="Bookman Old Style" w:cs="Arial"/>
          <w:i/>
        </w:rPr>
      </w:pP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2.</w:t>
      </w:r>
      <w:r w:rsidRPr="009B05DD">
        <w:rPr>
          <w:rFonts w:ascii="Bookman Old Style" w:hAnsi="Bookman Old Style" w:cs="Arial"/>
          <w:i/>
        </w:rPr>
        <w:tab/>
        <w:t>Incumplimiento Calificado de Cronograma, que implique que la puesta en operación de la planta o unidad de generación ocurrirá en un plazo inferior a un (1) año, contado a partir del IPVO, y el Agente Generador o la Persona Jurídica Interesada, una vez esté registrada como Agente Generador ante el ASIC, no garanticen el cumplimiento de la Obligación de Energía Firme con un Contrato o Declaración de Respaldo, de otra planta o unidad de generación. Este Contrato o Declaración de Respaldo debe estar registrado ante el ASIC a más tardar dentro de los quince (15) días calendario siguientes a la fecha en que el CND reciba el correspondiente informe del auditor y debe estar vigente desde el IPVO hasta la nueva fecha de puesta en operación de la planta o unidad de generación, certificada por el Auditor.</w:t>
      </w:r>
    </w:p>
    <w:p w:rsidR="008E10C2" w:rsidRPr="009B05DD" w:rsidRDefault="008E10C2" w:rsidP="008E10C2">
      <w:pPr>
        <w:ind w:left="708"/>
        <w:jc w:val="both"/>
        <w:rPr>
          <w:rFonts w:ascii="Bookman Old Style" w:hAnsi="Bookman Old Style" w:cs="Arial"/>
          <w:i/>
        </w:rPr>
      </w:pP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3.</w:t>
      </w:r>
      <w:r w:rsidRPr="009B05DD">
        <w:rPr>
          <w:rFonts w:ascii="Bookman Old Style" w:hAnsi="Bookman Old Style" w:cs="Arial"/>
          <w:i/>
        </w:rPr>
        <w:tab/>
        <w:t>Puesta en operación de la planta o unidad de generación con una ENFICC inferior a la asociada a la Obligación de Energía Firme asignada, calculada en la forma prevista en el Anexo 3 de la Resolución CREG 071 de 2006 o aquellas que la modifiquen, adicionen o sustituyan.</w:t>
      </w:r>
    </w:p>
    <w:p w:rsidR="008E10C2" w:rsidRPr="009B05DD" w:rsidRDefault="008E10C2" w:rsidP="008E10C2">
      <w:pPr>
        <w:ind w:left="708"/>
        <w:jc w:val="both"/>
        <w:rPr>
          <w:rFonts w:ascii="Bookman Old Style" w:hAnsi="Bookman Old Style" w:cs="Arial"/>
          <w:i/>
        </w:rPr>
      </w:pP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4.</w:t>
      </w:r>
      <w:r w:rsidRPr="009B05DD">
        <w:rPr>
          <w:rFonts w:ascii="Bookman Old Style" w:hAnsi="Bookman Old Style" w:cs="Arial"/>
          <w:i/>
        </w:rPr>
        <w:tab/>
        <w:t>El Agente Generador o la Persona Jurídica Interesada no acredita ante la CREG el ajuste o reposición de las garantías conforme a lo establecido en el presente Reglamento.</w:t>
      </w:r>
    </w:p>
    <w:p w:rsidR="008E10C2" w:rsidRPr="009B05DD" w:rsidRDefault="008E10C2" w:rsidP="008E10C2">
      <w:pPr>
        <w:ind w:left="708"/>
        <w:jc w:val="both"/>
        <w:rPr>
          <w:rFonts w:ascii="Bookman Old Style" w:hAnsi="Bookman Old Style" w:cs="Arial"/>
          <w:i/>
        </w:rPr>
      </w:pPr>
    </w:p>
    <w:p w:rsidR="008E10C2" w:rsidRPr="009B05DD" w:rsidRDefault="008E10C2" w:rsidP="008E10C2">
      <w:pPr>
        <w:ind w:left="708"/>
        <w:jc w:val="both"/>
        <w:rPr>
          <w:rFonts w:ascii="Bookman Old Style" w:hAnsi="Bookman Old Style" w:cs="Arial"/>
          <w:i/>
        </w:rPr>
      </w:pPr>
      <w:r w:rsidRPr="009B05DD">
        <w:rPr>
          <w:rFonts w:ascii="Bookman Old Style" w:hAnsi="Bookman Old Style" w:cs="Arial"/>
          <w:i/>
        </w:rPr>
        <w:t>5.</w:t>
      </w:r>
      <w:r w:rsidRPr="009B05DD">
        <w:rPr>
          <w:rFonts w:ascii="Bookman Old Style" w:hAnsi="Bookman Old Style" w:cs="Arial"/>
          <w:i/>
        </w:rPr>
        <w:tab/>
        <w:t>El Agente Generador o la Persona Jurídica Interesada no acredita ante el ASIC el pago de los honorarios del Auditor designado para verificar el cumplimiento del cronograma de construcción o repotenciación, o de puesta en operación de la planta o unidad de generación, conforme a lo establecido en el presente Capítulo.</w:t>
      </w:r>
    </w:p>
    <w:p w:rsidR="008E10C2" w:rsidRPr="009B05DD" w:rsidRDefault="008E10C2" w:rsidP="008E10C2">
      <w:pPr>
        <w:ind w:left="708"/>
        <w:jc w:val="both"/>
        <w:rPr>
          <w:rFonts w:ascii="Bookman Old Style" w:hAnsi="Bookman Old Style" w:cs="Arial"/>
          <w:i/>
        </w:rPr>
      </w:pPr>
    </w:p>
    <w:p w:rsidR="008E10C2" w:rsidRDefault="008E10C2" w:rsidP="008E10C2">
      <w:pPr>
        <w:ind w:left="708"/>
        <w:jc w:val="both"/>
        <w:rPr>
          <w:rFonts w:ascii="Bookman Old Style" w:hAnsi="Bookman Old Style" w:cs="Arial"/>
        </w:rPr>
      </w:pPr>
      <w:r w:rsidRPr="009B05DD">
        <w:rPr>
          <w:rFonts w:ascii="Bookman Old Style" w:hAnsi="Bookman Old Style" w:cs="Arial"/>
          <w:i/>
        </w:rPr>
        <w:t>Parágrafo. El evento de incumplimiento indicado en el numeral 1 deberá ser informado por la CREG al ASIC, conforme al Parágrafo del Artículo 9 de la Resolución CREG 071 de 2006 o aquellas normas que la modifiquen, adicionen o sustituyan.</w:t>
      </w:r>
      <w:r>
        <w:rPr>
          <w:rFonts w:ascii="Bookman Old Style" w:hAnsi="Bookman Old Style" w:cs="Arial"/>
          <w:i/>
        </w:rPr>
        <w:t>”</w:t>
      </w:r>
      <w:r w:rsidRPr="00AD206B" w:rsidDel="00AD206B">
        <w:rPr>
          <w:rFonts w:ascii="Bookman Old Style" w:hAnsi="Bookman Old Style" w:cs="Arial"/>
          <w:b/>
          <w:i/>
        </w:rPr>
        <w:t xml:space="preserve"> </w:t>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rPr>
      </w:pPr>
      <w:r w:rsidRPr="001266BC">
        <w:rPr>
          <w:rFonts w:ascii="Bookman Old Style" w:hAnsi="Bookman Old Style" w:cs="Arial"/>
        </w:rPr>
        <w:t xml:space="preserve">De lo </w:t>
      </w:r>
      <w:r>
        <w:rPr>
          <w:rFonts w:ascii="Bookman Old Style" w:hAnsi="Bookman Old Style" w:cs="Arial"/>
        </w:rPr>
        <w:t xml:space="preserve">previsto </w:t>
      </w:r>
      <w:r w:rsidRPr="001266BC">
        <w:rPr>
          <w:rFonts w:ascii="Bookman Old Style" w:hAnsi="Bookman Old Style" w:cs="Arial"/>
        </w:rPr>
        <w:t xml:space="preserve">en la regulación, principalmente en sus artículos 2, 7 y 9 de la Resolución CREG 071 de 2006, se </w:t>
      </w:r>
      <w:r>
        <w:rPr>
          <w:rFonts w:ascii="Bookman Old Style" w:hAnsi="Bookman Old Style" w:cs="Arial"/>
        </w:rPr>
        <w:t xml:space="preserve">encuentra </w:t>
      </w:r>
      <w:r w:rsidRPr="001266BC">
        <w:rPr>
          <w:rFonts w:ascii="Bookman Old Style" w:hAnsi="Bookman Old Style" w:cs="Arial"/>
        </w:rPr>
        <w:t xml:space="preserve">que frente al esquema de cargo por confiabilidad </w:t>
      </w:r>
      <w:r>
        <w:rPr>
          <w:rFonts w:ascii="Bookman Old Style" w:hAnsi="Bookman Old Style" w:cs="Arial"/>
        </w:rPr>
        <w:t xml:space="preserve">las plantas nuevas que reciben asignaciones en las subastas del Cargo por Confiabilidad adquieren </w:t>
      </w:r>
      <w:r w:rsidRPr="001266BC">
        <w:rPr>
          <w:rFonts w:ascii="Bookman Old Style" w:hAnsi="Bookman Old Style" w:cs="Arial"/>
        </w:rPr>
        <w:t xml:space="preserve">cuando menos las obligaciones </w:t>
      </w:r>
      <w:r>
        <w:rPr>
          <w:rFonts w:ascii="Bookman Old Style" w:hAnsi="Bookman Old Style" w:cs="Arial"/>
        </w:rPr>
        <w:t xml:space="preserve">que se enumeran más adelante, </w:t>
      </w:r>
      <w:r w:rsidRPr="001266BC">
        <w:rPr>
          <w:rFonts w:ascii="Bookman Old Style" w:hAnsi="Bookman Old Style" w:cs="Arial"/>
        </w:rPr>
        <w:t>frente a las cuales la regulación</w:t>
      </w:r>
      <w:r>
        <w:rPr>
          <w:rFonts w:ascii="Bookman Old Style" w:hAnsi="Bookman Old Style" w:cs="Arial"/>
        </w:rPr>
        <w:t xml:space="preserve"> ha establecido el momento en que nacen a la vida jurídica - regulatoria, es decir, desde cuando se predica su existencia, así </w:t>
      </w:r>
      <w:r w:rsidRPr="001266BC">
        <w:rPr>
          <w:rFonts w:ascii="Bookman Old Style" w:hAnsi="Bookman Old Style" w:cs="Arial"/>
        </w:rPr>
        <w:t>como los efectos y consecuencias tanto de su</w:t>
      </w:r>
      <w:r>
        <w:rPr>
          <w:rFonts w:ascii="Bookman Old Style" w:hAnsi="Bookman Old Style" w:cs="Arial"/>
        </w:rPr>
        <w:t xml:space="preserve"> posible cumplimiento </w:t>
      </w:r>
      <w:r w:rsidR="00EE72F6">
        <w:rPr>
          <w:rFonts w:ascii="Bookman Old Style" w:hAnsi="Bookman Old Style" w:cs="Arial"/>
        </w:rPr>
        <w:t>como de su eventual</w:t>
      </w:r>
      <w:r>
        <w:rPr>
          <w:rFonts w:ascii="Bookman Old Style" w:hAnsi="Bookman Old Style" w:cs="Arial"/>
        </w:rPr>
        <w:t xml:space="preserve"> incumplimiento.  </w:t>
      </w:r>
      <w:r w:rsidRPr="001266BC">
        <w:rPr>
          <w:rFonts w:ascii="Bookman Old Style" w:hAnsi="Bookman Old Style" w:cs="Arial"/>
        </w:rPr>
        <w:t>Estas obligaciones son:</w:t>
      </w:r>
    </w:p>
    <w:p w:rsidR="008E10C2" w:rsidRPr="001266BC" w:rsidRDefault="008E10C2" w:rsidP="008E10C2">
      <w:pPr>
        <w:ind w:left="0"/>
        <w:jc w:val="both"/>
        <w:rPr>
          <w:rFonts w:ascii="Bookman Old Style" w:hAnsi="Bookman Old Style" w:cs="Arial"/>
        </w:rPr>
      </w:pPr>
    </w:p>
    <w:p w:rsidR="008E10C2" w:rsidRPr="001266BC" w:rsidRDefault="008E10C2" w:rsidP="008E10C2">
      <w:pPr>
        <w:jc w:val="both"/>
        <w:rPr>
          <w:rFonts w:ascii="Bookman Old Style" w:hAnsi="Bookman Old Style" w:cs="Arial"/>
        </w:rPr>
      </w:pPr>
      <w:r w:rsidRPr="001266BC">
        <w:rPr>
          <w:rFonts w:ascii="Bookman Old Style" w:hAnsi="Bookman Old Style" w:cs="Arial"/>
          <w:b/>
        </w:rPr>
        <w:t xml:space="preserve">1. Obligación de Energía en Firme – OEF. </w:t>
      </w:r>
      <w:r w:rsidRPr="00384997">
        <w:rPr>
          <w:rFonts w:ascii="Bookman Old Style" w:hAnsi="Bookman Old Style" w:cs="Arial"/>
        </w:rPr>
        <w:t>Esta obligación está relacionada con la disponibilidad de activos de generación, así como el d</w:t>
      </w:r>
      <w:r w:rsidRPr="001266BC">
        <w:rPr>
          <w:rFonts w:ascii="Bookman Old Style" w:hAnsi="Bookman Old Style" w:cs="Arial"/>
        </w:rPr>
        <w:t>eber de generar</w:t>
      </w:r>
      <w:r>
        <w:rPr>
          <w:rFonts w:ascii="Bookman Old Style" w:hAnsi="Bookman Old Style" w:cs="Arial"/>
        </w:rPr>
        <w:t xml:space="preserve"> con dichos activos</w:t>
      </w:r>
      <w:r w:rsidRPr="001266BC">
        <w:rPr>
          <w:rFonts w:ascii="Bookman Old Style" w:hAnsi="Bookman Old Style" w:cs="Arial"/>
        </w:rPr>
        <w:t xml:space="preserve"> de acuerdo con el despacho ideal, una cantidad diaria de energía durante el período de vigencia de la obligación, cuando el precio de bolsa supere el precio marginal de escasez.</w:t>
      </w:r>
    </w:p>
    <w:p w:rsidR="008E10C2" w:rsidRDefault="008E10C2" w:rsidP="008E10C2">
      <w:pPr>
        <w:jc w:val="both"/>
        <w:rPr>
          <w:rFonts w:ascii="Bookman Old Style" w:hAnsi="Bookman Old Style" w:cs="Arial"/>
          <w:b/>
        </w:rPr>
      </w:pPr>
    </w:p>
    <w:p w:rsidR="008E10C2" w:rsidRPr="001266BC" w:rsidRDefault="008E10C2" w:rsidP="008E10C2">
      <w:pPr>
        <w:jc w:val="both"/>
        <w:rPr>
          <w:rFonts w:ascii="Bookman Old Style" w:hAnsi="Bookman Old Style" w:cs="Arial"/>
        </w:rPr>
      </w:pPr>
      <w:r w:rsidRPr="001266BC">
        <w:rPr>
          <w:rFonts w:ascii="Bookman Old Style" w:hAnsi="Bookman Old Style" w:cs="Arial"/>
          <w:b/>
        </w:rPr>
        <w:t>2. Puesta en operación.</w:t>
      </w:r>
      <w:r w:rsidRPr="001266BC">
        <w:rPr>
          <w:rFonts w:ascii="Bookman Old Style" w:hAnsi="Bookman Old Style" w:cs="Arial"/>
        </w:rPr>
        <w:t xml:space="preserve"> </w:t>
      </w:r>
      <w:r>
        <w:rPr>
          <w:rFonts w:ascii="Bookman Old Style" w:hAnsi="Bookman Old Style" w:cs="Arial"/>
        </w:rPr>
        <w:t>Esta obligación hace referencia a p</w:t>
      </w:r>
      <w:r w:rsidRPr="001266BC">
        <w:rPr>
          <w:rFonts w:ascii="Bookman Old Style" w:hAnsi="Bookman Old Style" w:cs="Arial"/>
        </w:rPr>
        <w:t>oner en operación comercial la planta y/o unidad de generación a más tardar en la fecha de inicio del período de vigencia de la obligación.</w:t>
      </w:r>
    </w:p>
    <w:p w:rsidR="008E10C2" w:rsidRDefault="008E10C2" w:rsidP="008E10C2">
      <w:pPr>
        <w:jc w:val="both"/>
        <w:rPr>
          <w:rFonts w:ascii="Bookman Old Style" w:hAnsi="Bookman Old Style" w:cs="Arial"/>
          <w:b/>
        </w:rPr>
      </w:pPr>
    </w:p>
    <w:p w:rsidR="008E10C2" w:rsidRPr="001266BC" w:rsidRDefault="008E10C2" w:rsidP="008E10C2">
      <w:pPr>
        <w:jc w:val="both"/>
        <w:rPr>
          <w:rFonts w:ascii="Bookman Old Style" w:hAnsi="Bookman Old Style" w:cs="Arial"/>
        </w:rPr>
      </w:pPr>
      <w:r w:rsidRPr="001266BC">
        <w:rPr>
          <w:rFonts w:ascii="Bookman Old Style" w:hAnsi="Bookman Old Style" w:cs="Arial"/>
          <w:b/>
        </w:rPr>
        <w:t>3. Cronograma y Curva S.</w:t>
      </w:r>
      <w:r w:rsidRPr="001266BC">
        <w:rPr>
          <w:rFonts w:ascii="Bookman Old Style" w:hAnsi="Bookman Old Style" w:cs="Arial"/>
        </w:rPr>
        <w:t xml:space="preserve"> Cumplir el cronograma de construcción o repotenciación de la planta y la Curva S.</w:t>
      </w:r>
    </w:p>
    <w:p w:rsidR="008E10C2" w:rsidRDefault="008E10C2" w:rsidP="008E10C2">
      <w:pPr>
        <w:jc w:val="both"/>
        <w:rPr>
          <w:rFonts w:ascii="Bookman Old Style" w:hAnsi="Bookman Old Style" w:cs="Arial"/>
          <w:b/>
        </w:rPr>
      </w:pPr>
    </w:p>
    <w:p w:rsidR="008E10C2" w:rsidRPr="001266BC" w:rsidRDefault="008E10C2" w:rsidP="008E10C2">
      <w:pPr>
        <w:jc w:val="both"/>
        <w:rPr>
          <w:rFonts w:ascii="Bookman Old Style" w:hAnsi="Bookman Old Style" w:cs="Arial"/>
        </w:rPr>
      </w:pPr>
      <w:r w:rsidRPr="001266BC">
        <w:rPr>
          <w:rFonts w:ascii="Bookman Old Style" w:hAnsi="Bookman Old Style" w:cs="Arial"/>
          <w:b/>
        </w:rPr>
        <w:t>4. Garantía.</w:t>
      </w:r>
      <w:r w:rsidRPr="001266BC">
        <w:rPr>
          <w:rFonts w:ascii="Bookman Old Style" w:hAnsi="Bookman Old Style" w:cs="Arial"/>
        </w:rPr>
        <w:t xml:space="preserve"> Constituir y mantener vigente la garantía de cumplimiento de la fecha de inicio de la operación comercial de las plantas o unidades de generación en instalación o por instalar o repotenciar con la ENFICC asignada en la Subasta, y del pago de la auditoría</w:t>
      </w:r>
    </w:p>
    <w:p w:rsidR="008E10C2" w:rsidRDefault="008E10C2" w:rsidP="008E10C2">
      <w:pPr>
        <w:jc w:val="both"/>
        <w:rPr>
          <w:rFonts w:ascii="Bookman Old Style" w:hAnsi="Bookman Old Style" w:cs="Arial"/>
          <w:b/>
        </w:rPr>
      </w:pPr>
    </w:p>
    <w:p w:rsidR="008E10C2" w:rsidRPr="001266BC" w:rsidRDefault="008E10C2" w:rsidP="008E10C2">
      <w:pPr>
        <w:jc w:val="both"/>
        <w:rPr>
          <w:rFonts w:ascii="Bookman Old Style" w:hAnsi="Bookman Old Style" w:cs="Arial"/>
        </w:rPr>
      </w:pPr>
      <w:r w:rsidRPr="001266BC">
        <w:rPr>
          <w:rFonts w:ascii="Bookman Old Style" w:hAnsi="Bookman Old Style" w:cs="Arial"/>
          <w:b/>
        </w:rPr>
        <w:t>5. Auditoría.</w:t>
      </w:r>
      <w:r w:rsidRPr="001266BC">
        <w:rPr>
          <w:rFonts w:ascii="Bookman Old Style" w:hAnsi="Bookman Old Style" w:cs="Arial"/>
        </w:rPr>
        <w:t xml:space="preserve"> Pagar el costo de la auditoría establecida en el artículo 8 de </w:t>
      </w:r>
      <w:r>
        <w:rPr>
          <w:rFonts w:ascii="Bookman Old Style" w:hAnsi="Bookman Old Style" w:cs="Arial"/>
        </w:rPr>
        <w:t>la</w:t>
      </w:r>
      <w:r w:rsidRPr="001266BC">
        <w:rPr>
          <w:rFonts w:ascii="Bookman Old Style" w:hAnsi="Bookman Old Style" w:cs="Arial"/>
        </w:rPr>
        <w:t xml:space="preserve"> Resolución</w:t>
      </w:r>
      <w:r>
        <w:rPr>
          <w:rFonts w:ascii="Bookman Old Style" w:hAnsi="Bookman Old Style" w:cs="Arial"/>
        </w:rPr>
        <w:t xml:space="preserve"> CREG 071 de 2006</w:t>
      </w:r>
      <w:r w:rsidRPr="001266BC">
        <w:rPr>
          <w:rFonts w:ascii="Bookman Old Style" w:hAnsi="Bookman Old Style" w:cs="Arial"/>
        </w:rPr>
        <w:t>, periódicamente en forma anticipada.</w:t>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rPr>
      </w:pPr>
      <w:r w:rsidRPr="001266BC">
        <w:rPr>
          <w:rFonts w:ascii="Bookman Old Style" w:hAnsi="Bookman Old Style" w:cs="Arial"/>
        </w:rPr>
        <w:t xml:space="preserve">La estructura de dichas obligaciones parte de la existencia de una situación jurídica </w:t>
      </w:r>
      <w:r w:rsidR="00E10DC8">
        <w:rPr>
          <w:rFonts w:ascii="Bookman Old Style" w:hAnsi="Bookman Old Style" w:cs="Arial"/>
        </w:rPr>
        <w:t xml:space="preserve">que es producto de la ocurrencia </w:t>
      </w:r>
      <w:r w:rsidRPr="001266BC">
        <w:rPr>
          <w:rFonts w:ascii="Bookman Old Style" w:hAnsi="Bookman Old Style" w:cs="Arial"/>
        </w:rPr>
        <w:t xml:space="preserve">de un hecho y/o acto </w:t>
      </w:r>
      <w:r w:rsidR="00E10DC8">
        <w:rPr>
          <w:rFonts w:ascii="Bookman Old Style" w:hAnsi="Bookman Old Style" w:cs="Arial"/>
        </w:rPr>
        <w:t xml:space="preserve">al </w:t>
      </w:r>
      <w:r w:rsidRPr="001266BC">
        <w:rPr>
          <w:rFonts w:ascii="Bookman Old Style" w:hAnsi="Bookman Old Style" w:cs="Arial"/>
        </w:rPr>
        <w:t>cual la regulación le ha dado efectos jurídicos.</w:t>
      </w:r>
    </w:p>
    <w:p w:rsidR="008E10C2" w:rsidRDefault="008E10C2" w:rsidP="008E10C2">
      <w:pPr>
        <w:ind w:left="0"/>
        <w:jc w:val="both"/>
        <w:rPr>
          <w:rFonts w:ascii="Bookman Old Style" w:hAnsi="Bookman Old Style" w:cs="Arial"/>
        </w:rPr>
      </w:pPr>
    </w:p>
    <w:p w:rsidR="008E10C2" w:rsidRPr="00384997" w:rsidRDefault="00BA6A1B" w:rsidP="00BA6A1B">
      <w:pPr>
        <w:ind w:left="0"/>
        <w:jc w:val="both"/>
        <w:rPr>
          <w:rFonts w:ascii="Bookman Old Style" w:hAnsi="Bookman Old Style" w:cs="Arial"/>
        </w:rPr>
      </w:pPr>
      <w:r>
        <w:rPr>
          <w:rFonts w:ascii="Bookman Old Style" w:hAnsi="Bookman Old Style" w:cs="Arial"/>
        </w:rPr>
        <w:t>En el caso del proyecto Hidroeléctrico Ituango e</w:t>
      </w:r>
      <w:r w:rsidR="008E10C2">
        <w:rPr>
          <w:rFonts w:ascii="Bookman Old Style" w:hAnsi="Bookman Old Style" w:cs="Arial"/>
        </w:rPr>
        <w:t xml:space="preserve">xisten dos procesos de subasta, en </w:t>
      </w:r>
      <w:r>
        <w:rPr>
          <w:rFonts w:ascii="Bookman Old Style" w:hAnsi="Bookman Old Style" w:cs="Arial"/>
        </w:rPr>
        <w:t xml:space="preserve">cada uno de </w:t>
      </w:r>
      <w:r w:rsidR="008E10C2">
        <w:rPr>
          <w:rFonts w:ascii="Bookman Old Style" w:hAnsi="Bookman Old Style" w:cs="Arial"/>
        </w:rPr>
        <w:t>los cuales se generan</w:t>
      </w:r>
      <w:r>
        <w:rPr>
          <w:rFonts w:ascii="Bookman Old Style" w:hAnsi="Bookman Old Style" w:cs="Arial"/>
        </w:rPr>
        <w:t xml:space="preserve"> </w:t>
      </w:r>
      <w:r w:rsidR="008E10C2">
        <w:rPr>
          <w:rFonts w:ascii="Bookman Old Style" w:hAnsi="Bookman Old Style" w:cs="Arial"/>
        </w:rPr>
        <w:t>las cinco obligaciones previstas en la regulación a las que se ha hecho referencia</w:t>
      </w:r>
      <w:r>
        <w:rPr>
          <w:rFonts w:ascii="Bookman Old Style" w:hAnsi="Bookman Old Style" w:cs="Arial"/>
        </w:rPr>
        <w:t>, asociadas a dos fechas de inicio de período de vigencia de la obligación, IPVO.</w:t>
      </w:r>
    </w:p>
    <w:p w:rsidR="008E10C2" w:rsidRPr="001266BC" w:rsidRDefault="008E10C2" w:rsidP="008E10C2">
      <w:pPr>
        <w:jc w:val="both"/>
        <w:rPr>
          <w:rFonts w:ascii="Bookman Old Style" w:hAnsi="Bookman Old Style" w:cs="Arial"/>
        </w:rPr>
      </w:pPr>
    </w:p>
    <w:p w:rsidR="008E10C2" w:rsidRPr="00C34340" w:rsidRDefault="008E10C2" w:rsidP="008E10C2">
      <w:pPr>
        <w:ind w:left="0"/>
        <w:jc w:val="both"/>
        <w:rPr>
          <w:rFonts w:ascii="Bookman Old Style" w:hAnsi="Bookman Old Style" w:cs="Arial"/>
        </w:rPr>
      </w:pPr>
      <w:r w:rsidRPr="00C34340">
        <w:rPr>
          <w:rFonts w:ascii="Bookman Old Style" w:hAnsi="Bookman Old Style" w:cs="Arial"/>
        </w:rPr>
        <w:t>Es así como en el caso de la denominada Obligación de Energía en Firme</w:t>
      </w:r>
      <w:r>
        <w:rPr>
          <w:rFonts w:ascii="Bookman Old Style" w:hAnsi="Bookman Old Style" w:cs="Arial"/>
        </w:rPr>
        <w:t>,</w:t>
      </w:r>
      <w:r w:rsidRPr="00C34340">
        <w:rPr>
          <w:rFonts w:ascii="Bookman Old Style" w:hAnsi="Bookman Old Style" w:cs="Arial"/>
        </w:rPr>
        <w:t xml:space="preserve"> OEF, esta nace a la vida jurídica al momento de llevar a cabo su asignación dentro de la subasta para la asignación de obligaciones de energía firme o en el mecanismo que haga sus veces, toda vez que un agente ha manifestado su interés en participar en dicho mecanismo en las condiciones previstas en la regulación. Esto, considerando que dicha obligación corresponde a una obligación de plazo, donde si bien su nacimiento se da al momento de la asignación de la subasta, su exigibilidad se da al momento del inicio del período de vigencia de la obligación, en el cual se debe cumplir con la disponibilidad de activos de generación, así como el </w:t>
      </w:r>
      <w:r w:rsidR="00CE1567">
        <w:rPr>
          <w:rFonts w:ascii="Bookman Old Style" w:hAnsi="Bookman Old Style" w:cs="Arial"/>
        </w:rPr>
        <w:t>compromiso</w:t>
      </w:r>
      <w:r w:rsidRPr="00C34340">
        <w:rPr>
          <w:rFonts w:ascii="Bookman Old Style" w:hAnsi="Bookman Old Style" w:cs="Arial"/>
        </w:rPr>
        <w:t xml:space="preserve"> de generar con dichos activos durante dicho período de presentarse la condición crítica.</w:t>
      </w:r>
    </w:p>
    <w:p w:rsidR="008E10C2" w:rsidRPr="00C34340" w:rsidRDefault="008E10C2" w:rsidP="008E10C2">
      <w:pPr>
        <w:ind w:left="0"/>
        <w:jc w:val="both"/>
        <w:rPr>
          <w:rFonts w:ascii="Bookman Old Style" w:hAnsi="Bookman Old Style" w:cs="Arial"/>
        </w:rPr>
      </w:pPr>
      <w:r w:rsidRPr="00C34340">
        <w:rPr>
          <w:rFonts w:ascii="Bookman Old Style" w:hAnsi="Bookman Old Style" w:cs="Arial"/>
        </w:rPr>
        <w:t xml:space="preserve"> </w:t>
      </w:r>
    </w:p>
    <w:p w:rsidR="008E10C2" w:rsidRDefault="009040EB" w:rsidP="008E10C2">
      <w:pPr>
        <w:ind w:left="0"/>
        <w:jc w:val="both"/>
        <w:rPr>
          <w:rFonts w:ascii="Bookman Old Style" w:hAnsi="Bookman Old Style" w:cs="Arial"/>
        </w:rPr>
      </w:pPr>
      <w:r>
        <w:rPr>
          <w:rFonts w:ascii="Bookman Old Style" w:hAnsi="Bookman Old Style" w:cs="Arial"/>
        </w:rPr>
        <w:t xml:space="preserve">Para el análisis propuesto, debemos observar </w:t>
      </w:r>
      <w:r w:rsidR="008E10C2" w:rsidRPr="00C34340">
        <w:rPr>
          <w:rFonts w:ascii="Bookman Old Style" w:hAnsi="Bookman Old Style" w:cs="Arial"/>
        </w:rPr>
        <w:t>que la OEF de 1,085 GWh</w:t>
      </w:r>
      <w:r w:rsidR="008E10C2">
        <w:rPr>
          <w:rFonts w:ascii="Bookman Old Style" w:hAnsi="Bookman Old Style" w:cs="Arial"/>
        </w:rPr>
        <w:t>/</w:t>
      </w:r>
      <w:r w:rsidR="008E10C2" w:rsidRPr="00C34340">
        <w:rPr>
          <w:rFonts w:ascii="Bookman Old Style" w:hAnsi="Bookman Old Style" w:cs="Arial"/>
        </w:rPr>
        <w:t>año fue asignada durante el proceso de subasta</w:t>
      </w:r>
      <w:r w:rsidR="008E10C2">
        <w:rPr>
          <w:rFonts w:ascii="Bookman Old Style" w:hAnsi="Bookman Old Style" w:cs="Arial"/>
        </w:rPr>
        <w:t xml:space="preserve"> para plantas GPPS</w:t>
      </w:r>
      <w:r w:rsidR="008E10C2" w:rsidRPr="00C34340">
        <w:rPr>
          <w:rFonts w:ascii="Bookman Old Style" w:hAnsi="Bookman Old Style" w:cs="Arial"/>
        </w:rPr>
        <w:t xml:space="preserve"> llevada a cabo el año 2008 para el período de vigencia de la obligación 2018-2038, con fecha de inicio de período de vigencia de la obligación, IPVO, diciembre 1 de 2018</w:t>
      </w:r>
      <w:r>
        <w:rPr>
          <w:rFonts w:ascii="Bookman Old Style" w:hAnsi="Bookman Old Style" w:cs="Arial"/>
        </w:rPr>
        <w:t>, y la</w:t>
      </w:r>
      <w:r w:rsidR="008E10C2" w:rsidRPr="00C34340">
        <w:rPr>
          <w:rFonts w:ascii="Bookman Old Style" w:hAnsi="Bookman Old Style" w:cs="Arial"/>
        </w:rPr>
        <w:t xml:space="preserve"> OEF 3.</w:t>
      </w:r>
      <w:r w:rsidR="008E10C2" w:rsidRPr="001266BC">
        <w:rPr>
          <w:rFonts w:ascii="Bookman Old Style" w:hAnsi="Bookman Old Style" w:cs="Arial"/>
        </w:rPr>
        <w:t>482 GWh</w:t>
      </w:r>
      <w:r w:rsidR="008E10C2">
        <w:rPr>
          <w:rFonts w:ascii="Bookman Old Style" w:hAnsi="Bookman Old Style" w:cs="Arial"/>
        </w:rPr>
        <w:t>/</w:t>
      </w:r>
      <w:r w:rsidR="008E10C2" w:rsidRPr="001266BC">
        <w:rPr>
          <w:rFonts w:ascii="Bookman Old Style" w:hAnsi="Bookman Old Style" w:cs="Arial"/>
        </w:rPr>
        <w:t xml:space="preserve">año fue asignada durante </w:t>
      </w:r>
      <w:r w:rsidR="008E10C2">
        <w:rPr>
          <w:rFonts w:ascii="Bookman Old Style" w:hAnsi="Bookman Old Style" w:cs="Arial"/>
        </w:rPr>
        <w:t xml:space="preserve">el proceso de </w:t>
      </w:r>
      <w:r w:rsidR="008E10C2" w:rsidRPr="001266BC">
        <w:rPr>
          <w:rFonts w:ascii="Bookman Old Style" w:hAnsi="Bookman Old Style" w:cs="Arial"/>
        </w:rPr>
        <w:t xml:space="preserve">subasta </w:t>
      </w:r>
      <w:r w:rsidR="008E10C2">
        <w:rPr>
          <w:rFonts w:ascii="Bookman Old Style" w:hAnsi="Bookman Old Style" w:cs="Arial"/>
        </w:rPr>
        <w:t>para plantas GPPS llevada a cabo para el año 2012 para el período de vigencia 2021-2038,</w:t>
      </w:r>
      <w:r w:rsidR="008E10C2" w:rsidRPr="001266BC">
        <w:rPr>
          <w:rFonts w:ascii="Bookman Old Style" w:hAnsi="Bookman Old Style" w:cs="Arial"/>
        </w:rPr>
        <w:t xml:space="preserve"> </w:t>
      </w:r>
      <w:r w:rsidR="008E10C2">
        <w:rPr>
          <w:rFonts w:ascii="Bookman Old Style" w:hAnsi="Bookman Old Style" w:cs="Arial"/>
        </w:rPr>
        <w:t xml:space="preserve">con IPVO 1 de diciembre de 2021.  Es decir, </w:t>
      </w:r>
      <w:r w:rsidR="008E10C2" w:rsidRPr="001266BC">
        <w:rPr>
          <w:rFonts w:ascii="Bookman Old Style" w:hAnsi="Bookman Old Style" w:cs="Arial"/>
        </w:rPr>
        <w:t xml:space="preserve">se establece </w:t>
      </w:r>
      <w:r w:rsidR="008E10C2">
        <w:rPr>
          <w:rFonts w:ascii="Bookman Old Style" w:hAnsi="Bookman Old Style" w:cs="Arial"/>
        </w:rPr>
        <w:t xml:space="preserve">con claridad </w:t>
      </w:r>
      <w:r w:rsidR="008E10C2" w:rsidRPr="001266BC">
        <w:rPr>
          <w:rFonts w:ascii="Bookman Old Style" w:hAnsi="Bookman Old Style" w:cs="Arial"/>
        </w:rPr>
        <w:t>que son dos momentos diferentes en los que nacen dichas obligaciones</w:t>
      </w:r>
      <w:r w:rsidR="008E10C2">
        <w:rPr>
          <w:rFonts w:ascii="Bookman Old Style" w:hAnsi="Bookman Old Style" w:cs="Arial"/>
        </w:rPr>
        <w:t xml:space="preserve">, </w:t>
      </w:r>
      <w:r>
        <w:rPr>
          <w:rFonts w:ascii="Bookman Old Style" w:hAnsi="Bookman Old Style" w:cs="Arial"/>
        </w:rPr>
        <w:t>y que dichas obligaciones son exigibles,</w:t>
      </w:r>
      <w:r w:rsidR="008E10C2">
        <w:rPr>
          <w:rFonts w:ascii="Bookman Old Style" w:hAnsi="Bookman Old Style" w:cs="Arial"/>
        </w:rPr>
        <w:t xml:space="preserve"> igualmente</w:t>
      </w:r>
      <w:r>
        <w:rPr>
          <w:rFonts w:ascii="Bookman Old Style" w:hAnsi="Bookman Old Style" w:cs="Arial"/>
        </w:rPr>
        <w:t>,</w:t>
      </w:r>
      <w:r w:rsidR="008E10C2">
        <w:rPr>
          <w:rFonts w:ascii="Bookman Old Style" w:hAnsi="Bookman Old Style" w:cs="Arial"/>
        </w:rPr>
        <w:t xml:space="preserve"> en dos momentos diferentes</w:t>
      </w:r>
      <w:r w:rsidR="008E10C2" w:rsidRPr="001266BC">
        <w:rPr>
          <w:rFonts w:ascii="Bookman Old Style" w:hAnsi="Bookman Old Style" w:cs="Arial"/>
        </w:rPr>
        <w:t>.</w:t>
      </w:r>
    </w:p>
    <w:p w:rsidR="008E10C2" w:rsidRPr="001266BC"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rPr>
      </w:pPr>
      <w:r>
        <w:rPr>
          <w:rFonts w:ascii="Bookman Old Style" w:hAnsi="Bookman Old Style" w:cs="Arial"/>
        </w:rPr>
        <w:t xml:space="preserve">Similar situación ocurre el caso de </w:t>
      </w:r>
      <w:r w:rsidRPr="001266BC">
        <w:rPr>
          <w:rFonts w:ascii="Bookman Old Style" w:hAnsi="Bookman Old Style" w:cs="Arial"/>
        </w:rPr>
        <w:t xml:space="preserve">la obligación </w:t>
      </w:r>
      <w:r>
        <w:rPr>
          <w:rFonts w:ascii="Bookman Old Style" w:hAnsi="Bookman Old Style" w:cs="Arial"/>
        </w:rPr>
        <w:t xml:space="preserve">de </w:t>
      </w:r>
      <w:r w:rsidRPr="001266BC">
        <w:rPr>
          <w:rFonts w:ascii="Bookman Old Style" w:hAnsi="Bookman Old Style" w:cs="Arial"/>
        </w:rPr>
        <w:t>puesta en operación</w:t>
      </w:r>
      <w:r>
        <w:rPr>
          <w:rFonts w:ascii="Bookman Old Style" w:hAnsi="Bookman Old Style" w:cs="Arial"/>
        </w:rPr>
        <w:t>, en donde se deben considerar los conceptos de “</w:t>
      </w:r>
      <w:r w:rsidRPr="00505AB2">
        <w:rPr>
          <w:rFonts w:ascii="Bookman Old Style" w:hAnsi="Bookman Old Style" w:cs="Arial"/>
        </w:rPr>
        <w:t>períod</w:t>
      </w:r>
      <w:r>
        <w:rPr>
          <w:rFonts w:ascii="Bookman Old Style" w:hAnsi="Bookman Old Style" w:cs="Arial"/>
        </w:rPr>
        <w:t>o de vigencia de la obligación”</w:t>
      </w:r>
      <w:r w:rsidRPr="00505AB2">
        <w:rPr>
          <w:rFonts w:ascii="Bookman Old Style" w:hAnsi="Bookman Old Style" w:cs="Arial"/>
        </w:rPr>
        <w:t xml:space="preserve">, </w:t>
      </w:r>
      <w:r w:rsidR="009040EB">
        <w:rPr>
          <w:rFonts w:ascii="Bookman Old Style" w:hAnsi="Bookman Old Style" w:cs="Arial"/>
        </w:rPr>
        <w:t xml:space="preserve">así </w:t>
      </w:r>
      <w:r>
        <w:rPr>
          <w:rFonts w:ascii="Bookman Old Style" w:hAnsi="Bookman Old Style" w:cs="Arial"/>
        </w:rPr>
        <w:t>como el de</w:t>
      </w:r>
      <w:r w:rsidRPr="00505AB2">
        <w:rPr>
          <w:rFonts w:ascii="Bookman Old Style" w:hAnsi="Bookman Old Style" w:cs="Arial"/>
        </w:rPr>
        <w:t xml:space="preserve"> “Subasta para la asignación de obligacio</w:t>
      </w:r>
      <w:r>
        <w:rPr>
          <w:rFonts w:ascii="Bookman Old Style" w:hAnsi="Bookman Old Style" w:cs="Arial"/>
        </w:rPr>
        <w:t>nes de energía firme o subasta”</w:t>
      </w:r>
      <w:r w:rsidR="009040EB">
        <w:rPr>
          <w:rFonts w:ascii="Bookman Old Style" w:hAnsi="Bookman Old Style" w:cs="Arial"/>
        </w:rPr>
        <w:t>. Revisada la situación particular de las OEF asignadas para ser cumplidas con el proyecto Ituango</w:t>
      </w:r>
      <w:r>
        <w:rPr>
          <w:rFonts w:ascii="Bookman Old Style" w:hAnsi="Bookman Old Style" w:cs="Arial"/>
        </w:rPr>
        <w:t xml:space="preserve">, </w:t>
      </w:r>
      <w:r w:rsidR="009040EB">
        <w:rPr>
          <w:rFonts w:ascii="Bookman Old Style" w:hAnsi="Bookman Old Style" w:cs="Arial"/>
        </w:rPr>
        <w:t xml:space="preserve">evidenciamos </w:t>
      </w:r>
      <w:r w:rsidRPr="00505AB2">
        <w:rPr>
          <w:rFonts w:ascii="Bookman Old Style" w:hAnsi="Bookman Old Style" w:cs="Arial"/>
        </w:rPr>
        <w:t xml:space="preserve">que existen dos procesos de subasta, así como dos </w:t>
      </w:r>
      <w:r w:rsidR="009040EB">
        <w:rPr>
          <w:rFonts w:ascii="Bookman Old Style" w:hAnsi="Bookman Old Style" w:cs="Arial"/>
        </w:rPr>
        <w:t xml:space="preserve">momentos de </w:t>
      </w:r>
      <w:r w:rsidRPr="00505AB2">
        <w:rPr>
          <w:rFonts w:ascii="Bookman Old Style" w:hAnsi="Bookman Old Style" w:cs="Arial"/>
        </w:rPr>
        <w:t xml:space="preserve">inicio del período de vigencia de la obligación, </w:t>
      </w:r>
      <w:r>
        <w:rPr>
          <w:rFonts w:ascii="Bookman Old Style" w:hAnsi="Bookman Old Style" w:cs="Arial"/>
        </w:rPr>
        <w:t>y</w:t>
      </w:r>
      <w:r w:rsidR="009040EB">
        <w:rPr>
          <w:rFonts w:ascii="Bookman Old Style" w:hAnsi="Bookman Old Style" w:cs="Arial"/>
        </w:rPr>
        <w:t xml:space="preserve"> </w:t>
      </w:r>
      <w:r w:rsidR="00664DC2">
        <w:rPr>
          <w:rFonts w:ascii="Bookman Old Style" w:hAnsi="Bookman Old Style" w:cs="Arial"/>
        </w:rPr>
        <w:t>que</w:t>
      </w:r>
      <w:r>
        <w:rPr>
          <w:rFonts w:ascii="Bookman Old Style" w:hAnsi="Bookman Old Style" w:cs="Arial"/>
        </w:rPr>
        <w:t xml:space="preserve"> en estos</w:t>
      </w:r>
      <w:r w:rsidR="009040EB">
        <w:rPr>
          <w:rFonts w:ascii="Bookman Old Style" w:hAnsi="Bookman Old Style" w:cs="Arial"/>
        </w:rPr>
        <w:t>,</w:t>
      </w:r>
      <w:r>
        <w:rPr>
          <w:rFonts w:ascii="Bookman Old Style" w:hAnsi="Bookman Old Style" w:cs="Arial"/>
        </w:rPr>
        <w:t xml:space="preserve"> igualmente</w:t>
      </w:r>
      <w:r w:rsidR="009040EB">
        <w:rPr>
          <w:rFonts w:ascii="Bookman Old Style" w:hAnsi="Bookman Old Style" w:cs="Arial"/>
        </w:rPr>
        <w:t>,</w:t>
      </w:r>
      <w:r>
        <w:rPr>
          <w:rFonts w:ascii="Bookman Old Style" w:hAnsi="Bookman Old Style" w:cs="Arial"/>
        </w:rPr>
        <w:t xml:space="preserve"> se identifica </w:t>
      </w:r>
      <w:r w:rsidR="006F3DF4">
        <w:rPr>
          <w:rFonts w:ascii="Bookman Old Style" w:hAnsi="Bookman Old Style" w:cs="Arial"/>
        </w:rPr>
        <w:t>dónde</w:t>
      </w:r>
      <w:r>
        <w:rPr>
          <w:rFonts w:ascii="Bookman Old Style" w:hAnsi="Bookman Old Style" w:cs="Arial"/>
        </w:rPr>
        <w:t xml:space="preserve"> nace y </w:t>
      </w:r>
      <w:r w:rsidR="006F3DF4">
        <w:rPr>
          <w:rFonts w:ascii="Bookman Old Style" w:hAnsi="Bookman Old Style" w:cs="Arial"/>
        </w:rPr>
        <w:t xml:space="preserve">dónde </w:t>
      </w:r>
      <w:r>
        <w:rPr>
          <w:rFonts w:ascii="Bookman Old Style" w:hAnsi="Bookman Old Style" w:cs="Arial"/>
        </w:rPr>
        <w:t xml:space="preserve">se hace exigible </w:t>
      </w:r>
      <w:r w:rsidR="006F3DF4">
        <w:rPr>
          <w:rFonts w:ascii="Bookman Old Style" w:hAnsi="Bookman Old Style" w:cs="Arial"/>
        </w:rPr>
        <w:t>cada una de las obligaciones, siendo consideradas como obligaciones a plazo</w:t>
      </w:r>
      <w:r>
        <w:rPr>
          <w:rFonts w:ascii="Bookman Old Style" w:hAnsi="Bookman Old Style" w:cs="Arial"/>
        </w:rPr>
        <w:t>.</w:t>
      </w:r>
    </w:p>
    <w:p w:rsidR="008E10C2" w:rsidRDefault="008E10C2" w:rsidP="008E10C2">
      <w:pPr>
        <w:ind w:left="0"/>
        <w:jc w:val="both"/>
        <w:rPr>
          <w:rFonts w:ascii="Bookman Old Style" w:hAnsi="Bookman Old Style" w:cs="Arial"/>
        </w:rPr>
      </w:pPr>
    </w:p>
    <w:p w:rsidR="006E0111" w:rsidRDefault="008E10C2" w:rsidP="008E10C2">
      <w:pPr>
        <w:ind w:left="0"/>
        <w:jc w:val="both"/>
        <w:rPr>
          <w:rFonts w:ascii="Bookman Old Style" w:hAnsi="Bookman Old Style" w:cs="Arial"/>
        </w:rPr>
      </w:pPr>
      <w:r>
        <w:rPr>
          <w:rFonts w:ascii="Bookman Old Style" w:hAnsi="Bookman Old Style" w:cs="Arial"/>
        </w:rPr>
        <w:t xml:space="preserve">Ahora, en el caso de la obligación de dar cumplimiento al </w:t>
      </w:r>
      <w:r w:rsidRPr="00505AB2">
        <w:rPr>
          <w:rFonts w:ascii="Bookman Old Style" w:hAnsi="Bookman Old Style" w:cs="Arial"/>
        </w:rPr>
        <w:t>cronograma de construcción o repotenciación de la planta y la Curva S</w:t>
      </w:r>
      <w:r w:rsidR="006F3DF4">
        <w:rPr>
          <w:rFonts w:ascii="Bookman Old Style" w:hAnsi="Bookman Old Style" w:cs="Arial"/>
        </w:rPr>
        <w:t>, también es</w:t>
      </w:r>
      <w:r>
        <w:rPr>
          <w:rFonts w:ascii="Bookman Old Style" w:hAnsi="Bookman Old Style" w:cs="Arial"/>
        </w:rPr>
        <w:t xml:space="preserve"> aplicable el concepto de “</w:t>
      </w:r>
      <w:r w:rsidRPr="00505AB2">
        <w:rPr>
          <w:rFonts w:ascii="Bookman Old Style" w:hAnsi="Bookman Old Style" w:cs="Arial"/>
        </w:rPr>
        <w:t>Subasta para la asignación de obligaciones de energía firme o subasta”</w:t>
      </w:r>
      <w:r>
        <w:rPr>
          <w:rFonts w:ascii="Bookman Old Style" w:hAnsi="Bookman Old Style" w:cs="Arial"/>
        </w:rPr>
        <w:t xml:space="preserve"> como el momento en que nace dicha obligación, </w:t>
      </w:r>
      <w:r w:rsidR="006F3DF4">
        <w:rPr>
          <w:rFonts w:ascii="Bookman Old Style" w:hAnsi="Bookman Old Style" w:cs="Arial"/>
        </w:rPr>
        <w:t xml:space="preserve">y </w:t>
      </w:r>
      <w:r>
        <w:rPr>
          <w:rFonts w:ascii="Bookman Old Style" w:hAnsi="Bookman Old Style" w:cs="Arial"/>
        </w:rPr>
        <w:t>en el presente caso</w:t>
      </w:r>
      <w:r w:rsidR="006F3DF4">
        <w:rPr>
          <w:rFonts w:ascii="Bookman Old Style" w:hAnsi="Bookman Old Style" w:cs="Arial"/>
        </w:rPr>
        <w:t>,</w:t>
      </w:r>
      <w:r w:rsidR="00E07610">
        <w:rPr>
          <w:rFonts w:ascii="Bookman Old Style" w:hAnsi="Bookman Old Style" w:cs="Arial"/>
        </w:rPr>
        <w:t xml:space="preserve"> </w:t>
      </w:r>
      <w:r>
        <w:rPr>
          <w:rFonts w:ascii="Bookman Old Style" w:hAnsi="Bookman Old Style" w:cs="Arial"/>
        </w:rPr>
        <w:t>como se ha hecho referencia, existen dos subastas para plantas GPPS diferentes</w:t>
      </w:r>
      <w:r w:rsidR="006F3DF4">
        <w:rPr>
          <w:rFonts w:ascii="Bookman Old Style" w:hAnsi="Bookman Old Style" w:cs="Arial"/>
        </w:rPr>
        <w:t>. En cu</w:t>
      </w:r>
      <w:r w:rsidR="002E7C70">
        <w:rPr>
          <w:rFonts w:ascii="Bookman Old Style" w:hAnsi="Bookman Old Style" w:cs="Arial"/>
        </w:rPr>
        <w:t>a</w:t>
      </w:r>
      <w:r w:rsidR="006F3DF4">
        <w:rPr>
          <w:rFonts w:ascii="Bookman Old Style" w:hAnsi="Bookman Old Style" w:cs="Arial"/>
        </w:rPr>
        <w:t xml:space="preserve">nto al </w:t>
      </w:r>
      <w:r>
        <w:rPr>
          <w:rFonts w:ascii="Bookman Old Style" w:hAnsi="Bookman Old Style" w:cs="Arial"/>
        </w:rPr>
        <w:t xml:space="preserve">“período vigencia de la obligación”, </w:t>
      </w:r>
      <w:r w:rsidR="006F3DF4">
        <w:rPr>
          <w:rFonts w:ascii="Bookman Old Style" w:hAnsi="Bookman Old Style" w:cs="Arial"/>
        </w:rPr>
        <w:t>también existen diferencias en los compromisos adquiridos por el agente</w:t>
      </w:r>
      <w:r w:rsidR="006E0111">
        <w:rPr>
          <w:rFonts w:ascii="Bookman Old Style" w:hAnsi="Bookman Old Style" w:cs="Arial"/>
        </w:rPr>
        <w:t xml:space="preserve"> en relación cronograma y la curva S</w:t>
      </w:r>
      <w:r w:rsidR="006F3DF4">
        <w:rPr>
          <w:rFonts w:ascii="Bookman Old Style" w:hAnsi="Bookman Old Style" w:cs="Arial"/>
        </w:rPr>
        <w:t xml:space="preserve">, </w:t>
      </w:r>
      <w:r w:rsidR="006E0111">
        <w:rPr>
          <w:rFonts w:ascii="Bookman Old Style" w:hAnsi="Bookman Old Style" w:cs="Arial"/>
        </w:rPr>
        <w:t xml:space="preserve">dado que el atraso se contabiliza </w:t>
      </w:r>
      <w:r>
        <w:rPr>
          <w:rFonts w:ascii="Bookman Old Style" w:hAnsi="Bookman Old Style" w:cs="Arial"/>
        </w:rPr>
        <w:t>frente a</w:t>
      </w:r>
      <w:r w:rsidR="006E0111">
        <w:rPr>
          <w:rFonts w:ascii="Bookman Old Style" w:hAnsi="Bookman Old Style" w:cs="Arial"/>
        </w:rPr>
        <w:t xml:space="preserve"> dos momentos distintos. </w:t>
      </w:r>
    </w:p>
    <w:p w:rsidR="001002B6" w:rsidRDefault="001002B6" w:rsidP="008E10C2">
      <w:pPr>
        <w:ind w:left="0"/>
        <w:jc w:val="both"/>
        <w:rPr>
          <w:rFonts w:ascii="Bookman Old Style" w:hAnsi="Bookman Old Style" w:cs="Arial"/>
        </w:rPr>
      </w:pPr>
    </w:p>
    <w:p w:rsidR="008E10C2" w:rsidRDefault="006E0111" w:rsidP="008E10C2">
      <w:pPr>
        <w:ind w:left="0"/>
        <w:jc w:val="both"/>
        <w:rPr>
          <w:rFonts w:ascii="Bookman Old Style" w:hAnsi="Bookman Old Style" w:cs="Arial"/>
        </w:rPr>
      </w:pPr>
      <w:r>
        <w:rPr>
          <w:rFonts w:ascii="Bookman Old Style" w:hAnsi="Bookman Old Style" w:cs="Arial"/>
        </w:rPr>
        <w:t xml:space="preserve">Siguiendo con el análisis de la obligación de </w:t>
      </w:r>
      <w:r w:rsidRPr="006E0111">
        <w:rPr>
          <w:rFonts w:ascii="Bookman Old Style" w:hAnsi="Bookman Old Style" w:cs="Arial"/>
        </w:rPr>
        <w:t>dar cumplimiento al cronograma de construcción o repotenciación de la planta y la Curva S</w:t>
      </w:r>
      <w:r>
        <w:rPr>
          <w:rFonts w:ascii="Bookman Old Style" w:hAnsi="Bookman Old Style" w:cs="Arial"/>
        </w:rPr>
        <w:t xml:space="preserve">, se observa que su exigibilidad se hace </w:t>
      </w:r>
      <w:r w:rsidR="008E10C2">
        <w:rPr>
          <w:rFonts w:ascii="Bookman Old Style" w:hAnsi="Bookman Old Style" w:cs="Arial"/>
        </w:rPr>
        <w:t xml:space="preserve"> considerado </w:t>
      </w:r>
      <w:r w:rsidR="008E10C2" w:rsidRPr="00FE206D">
        <w:rPr>
          <w:rFonts w:ascii="Bookman Old Style" w:hAnsi="Bookman Old Style" w:cs="Arial"/>
        </w:rPr>
        <w:t>el porcentaje estimado de avance del proyecto durante el tiempo de ejecución y el tiempo trascurrido</w:t>
      </w:r>
      <w:r w:rsidR="008E10C2">
        <w:rPr>
          <w:rFonts w:ascii="Bookman Old Style" w:hAnsi="Bookman Old Style" w:cs="Arial"/>
        </w:rPr>
        <w:t xml:space="preserve"> teniendo como referencia de tiempo de ejecución hasta el inicio del período de vigencia de la obligación y un año más, siendo relevantes para esto los conceptos de “atraso” y/o “retraso” a que hace referencia la regulación frente a su incumplimiento y sus consecuencias</w:t>
      </w:r>
      <w:r w:rsidR="008E10C2" w:rsidRPr="00FE206D">
        <w:rPr>
          <w:rFonts w:ascii="Bookman Old Style" w:hAnsi="Bookman Old Style" w:cs="Arial"/>
        </w:rPr>
        <w:t>.</w:t>
      </w:r>
      <w:r w:rsidR="008E10C2">
        <w:rPr>
          <w:rFonts w:ascii="Bookman Old Style" w:hAnsi="Bookman Old Style" w:cs="Arial"/>
        </w:rPr>
        <w:t xml:space="preserve"> Dicha circunstancia permite establecer que</w:t>
      </w:r>
      <w:r w:rsidR="006D57B4">
        <w:rPr>
          <w:rFonts w:ascii="Bookman Old Style" w:hAnsi="Bookman Old Style" w:cs="Arial"/>
        </w:rPr>
        <w:t>,</w:t>
      </w:r>
      <w:r w:rsidR="008E10C2">
        <w:rPr>
          <w:rFonts w:ascii="Bookman Old Style" w:hAnsi="Bookman Old Style" w:cs="Arial"/>
        </w:rPr>
        <w:t xml:space="preserve"> para el caso de esta obligación a diferencia de las anteriores, es una obligación pura y simple, pero de tracto sucesivo, es decir, nace a la vida jurídica al momento de la asignación de la subasta para plantas GPPS, pero su exigibilidad y cumplimiento se va dando periódicamente.  </w:t>
      </w:r>
    </w:p>
    <w:p w:rsidR="008E10C2" w:rsidRDefault="008E10C2" w:rsidP="008E10C2">
      <w:pPr>
        <w:ind w:left="0"/>
        <w:jc w:val="both"/>
        <w:rPr>
          <w:rFonts w:ascii="Bookman Old Style" w:hAnsi="Bookman Old Style" w:cs="Arial"/>
        </w:rPr>
      </w:pPr>
    </w:p>
    <w:p w:rsidR="008E10C2" w:rsidRDefault="008E10C2" w:rsidP="008E10C2">
      <w:pPr>
        <w:ind w:left="0"/>
        <w:jc w:val="both"/>
        <w:rPr>
          <w:rFonts w:ascii="Bookman Old Style" w:hAnsi="Bookman Old Style" w:cs="Arial"/>
        </w:rPr>
      </w:pPr>
      <w:r>
        <w:rPr>
          <w:rFonts w:ascii="Bookman Old Style" w:hAnsi="Bookman Old Style" w:cs="Arial"/>
        </w:rPr>
        <w:t xml:space="preserve">De acuerdo con lo expuesto, con diferencia y precisión de lo expuesto por EPM en su escrito, se establece en el presente caso </w:t>
      </w:r>
      <w:r w:rsidR="0030591F">
        <w:rPr>
          <w:rFonts w:ascii="Bookman Old Style" w:hAnsi="Bookman Old Style" w:cs="Arial"/>
        </w:rPr>
        <w:t xml:space="preserve">que </w:t>
      </w:r>
      <w:r>
        <w:rPr>
          <w:rFonts w:ascii="Bookman Old Style" w:hAnsi="Bookman Old Style" w:cs="Arial"/>
        </w:rPr>
        <w:t xml:space="preserve">la Comisión encuentra la existencia de </w:t>
      </w:r>
      <w:r w:rsidRPr="00B533EA">
        <w:rPr>
          <w:rFonts w:ascii="Bookman Old Style" w:hAnsi="Bookman Old Style" w:cs="Arial"/>
        </w:rPr>
        <w:t xml:space="preserve">dos momentos diferentes en los que nacen </w:t>
      </w:r>
      <w:r>
        <w:rPr>
          <w:rFonts w:ascii="Bookman Old Style" w:hAnsi="Bookman Old Style" w:cs="Arial"/>
        </w:rPr>
        <w:t>y son exigibles cada una de las</w:t>
      </w:r>
      <w:r w:rsidRPr="00B533EA">
        <w:rPr>
          <w:rFonts w:ascii="Bookman Old Style" w:hAnsi="Bookman Old Style" w:cs="Arial"/>
        </w:rPr>
        <w:t xml:space="preserve"> obligaciones</w:t>
      </w:r>
      <w:r>
        <w:rPr>
          <w:rFonts w:ascii="Bookman Old Style" w:hAnsi="Bookman Old Style" w:cs="Arial"/>
        </w:rPr>
        <w:t xml:space="preserve"> previstas en la regulación</w:t>
      </w:r>
      <w:r w:rsidRPr="00B533EA">
        <w:rPr>
          <w:rFonts w:ascii="Bookman Old Style" w:hAnsi="Bookman Old Style" w:cs="Arial"/>
        </w:rPr>
        <w:t>,</w:t>
      </w:r>
      <w:r>
        <w:rPr>
          <w:rFonts w:ascii="Bookman Old Style" w:hAnsi="Bookman Old Style" w:cs="Arial"/>
        </w:rPr>
        <w:t xml:space="preserve"> principalmente al llevarse a cabo dos procesos de subasta para plantas GPPS para dos períodos de vigencia de obligaciones diferentes.</w:t>
      </w:r>
      <w:r w:rsidRPr="00B533EA">
        <w:rPr>
          <w:rFonts w:ascii="Bookman Old Style" w:hAnsi="Bookman Old Style" w:cs="Arial"/>
        </w:rPr>
        <w:t xml:space="preserve"> </w:t>
      </w:r>
      <w:r>
        <w:rPr>
          <w:rFonts w:ascii="Bookman Old Style" w:hAnsi="Bookman Old Style" w:cs="Arial"/>
        </w:rPr>
        <w:t xml:space="preserve">Por esta razón, la presente actuación administrativa ha de atender esta consideración, </w:t>
      </w:r>
      <w:r w:rsidR="00E07610">
        <w:rPr>
          <w:rFonts w:ascii="Bookman Old Style" w:hAnsi="Bookman Old Style" w:cs="Arial"/>
        </w:rPr>
        <w:t>correspondiéndole</w:t>
      </w:r>
      <w:r>
        <w:rPr>
          <w:rFonts w:ascii="Bookman Old Style" w:hAnsi="Bookman Old Style" w:cs="Arial"/>
        </w:rPr>
        <w:t xml:space="preserve"> entonces a esta Comisión </w:t>
      </w:r>
      <w:r w:rsidRPr="00B533EA">
        <w:rPr>
          <w:rFonts w:ascii="Bookman Old Style" w:hAnsi="Bookman Old Style" w:cs="Arial"/>
        </w:rPr>
        <w:t xml:space="preserve">establecer plenamente la existencia del incumplimiento grave e insalvable del proyecto </w:t>
      </w:r>
      <w:r>
        <w:rPr>
          <w:rFonts w:ascii="Bookman Old Style" w:hAnsi="Bookman Old Style" w:cs="Arial"/>
        </w:rPr>
        <w:t>H</w:t>
      </w:r>
      <w:r w:rsidRPr="00B533EA">
        <w:rPr>
          <w:rFonts w:ascii="Bookman Old Style" w:hAnsi="Bookman Old Style" w:cs="Arial"/>
        </w:rPr>
        <w:t>idroeléctrico Ituango, y determinar las consecuencias respecto de las obligaciones de energía firme asignadas con inicio de vigencia 2018 y de las obligaciones de energía firme asignadas con inicio de vigencia 2021</w:t>
      </w:r>
      <w:r>
        <w:rPr>
          <w:rFonts w:ascii="Bookman Old Style" w:hAnsi="Bookman Old Style" w:cs="Arial"/>
        </w:rPr>
        <w:t>, de manera separada e independiente.</w:t>
      </w:r>
    </w:p>
    <w:p w:rsidR="008E10C2" w:rsidRDefault="008E10C2" w:rsidP="008E10C2">
      <w:pPr>
        <w:ind w:left="0"/>
        <w:jc w:val="both"/>
        <w:rPr>
          <w:rFonts w:ascii="Bookman Old Style" w:hAnsi="Bookman Old Style" w:cs="Arial"/>
        </w:rPr>
      </w:pPr>
    </w:p>
    <w:p w:rsidR="00EC69A4" w:rsidRDefault="00EC69A4" w:rsidP="008E10C2">
      <w:pPr>
        <w:ind w:left="0"/>
        <w:jc w:val="both"/>
        <w:rPr>
          <w:rFonts w:ascii="Bookman Old Style" w:hAnsi="Bookman Old Style" w:cs="Arial"/>
        </w:rPr>
      </w:pPr>
    </w:p>
    <w:p w:rsidR="008E10C2" w:rsidRDefault="008E10C2" w:rsidP="008E10C2">
      <w:pPr>
        <w:numPr>
          <w:ilvl w:val="0"/>
          <w:numId w:val="29"/>
        </w:numPr>
        <w:rPr>
          <w:rFonts w:ascii="Bookman Old Style" w:hAnsi="Bookman Old Style"/>
          <w:b/>
        </w:rPr>
      </w:pPr>
      <w:r>
        <w:rPr>
          <w:rFonts w:ascii="Bookman Old Style" w:hAnsi="Bookman Old Style"/>
          <w:b/>
        </w:rPr>
        <w:t>Análisis de incumplimiento de las OEF.</w:t>
      </w:r>
    </w:p>
    <w:p w:rsidR="008E10C2" w:rsidRDefault="008E10C2" w:rsidP="008E10C2">
      <w:pPr>
        <w:ind w:left="0"/>
        <w:rPr>
          <w:rFonts w:ascii="Bookman Old Style" w:hAnsi="Bookman Old Style"/>
          <w:b/>
        </w:rPr>
      </w:pPr>
    </w:p>
    <w:p w:rsidR="008E10C2" w:rsidRPr="00A80A9F" w:rsidRDefault="008E10C2" w:rsidP="008E10C2">
      <w:pPr>
        <w:ind w:left="0"/>
        <w:rPr>
          <w:rFonts w:ascii="Bookman Old Style" w:hAnsi="Bookman Old Style"/>
          <w:b/>
        </w:rPr>
      </w:pPr>
      <w:r>
        <w:rPr>
          <w:rFonts w:ascii="Bookman Old Style" w:hAnsi="Bookman Old Style"/>
          <w:b/>
        </w:rPr>
        <w:t>Principios y requisitos de las pruebas en las actuaciones administrativas de la CREG</w:t>
      </w:r>
    </w:p>
    <w:p w:rsidR="008E10C2" w:rsidRDefault="008E10C2" w:rsidP="008E10C2">
      <w:pPr>
        <w:rPr>
          <w:rFonts w:ascii="Bookman Old Style" w:hAnsi="Bookman Old Style"/>
          <w:b/>
        </w:rPr>
      </w:pPr>
    </w:p>
    <w:p w:rsidR="008E10C2" w:rsidRPr="009754EE" w:rsidRDefault="008E10C2" w:rsidP="008E10C2">
      <w:pPr>
        <w:widowControl w:val="0"/>
        <w:ind w:left="0"/>
        <w:jc w:val="both"/>
        <w:rPr>
          <w:rFonts w:ascii="Bookman Old Style" w:hAnsi="Bookman Old Style" w:cs="Arial"/>
        </w:rPr>
      </w:pPr>
      <w:r>
        <w:rPr>
          <w:rFonts w:ascii="Bookman Old Style" w:hAnsi="Bookman Old Style" w:cs="Arial"/>
          <w:color w:val="000000"/>
        </w:rPr>
        <w:t xml:space="preserve">Ahora bien, teniendo en cuenta que </w:t>
      </w:r>
      <w:r w:rsidRPr="009754EE">
        <w:rPr>
          <w:rFonts w:ascii="Bookman Old Style" w:hAnsi="Bookman Old Style" w:cs="Arial"/>
          <w:color w:val="000000"/>
        </w:rPr>
        <w:t>le corresponde entonces a esta Comisión establecer plenamente la existencia del incumplimiento grave e insalvable del proyecto hidroeléctrico Ituango, y determinar las consecuencias respecto de las obligaciones de energía firme asignadas con inicio de vigencia 2018</w:t>
      </w:r>
      <w:r w:rsidR="00F81CD3">
        <w:rPr>
          <w:rFonts w:ascii="Bookman Old Style" w:hAnsi="Bookman Old Style" w:cs="Arial"/>
          <w:color w:val="000000"/>
        </w:rPr>
        <w:t xml:space="preserve"> y 2021</w:t>
      </w:r>
      <w:r w:rsidR="0030591F">
        <w:rPr>
          <w:rFonts w:ascii="Bookman Old Style" w:hAnsi="Bookman Old Style" w:cs="Arial"/>
          <w:color w:val="000000"/>
        </w:rPr>
        <w:t>,</w:t>
      </w:r>
      <w:r>
        <w:rPr>
          <w:rFonts w:ascii="Bookman Old Style" w:hAnsi="Bookman Old Style" w:cs="Arial"/>
          <w:color w:val="000000"/>
        </w:rPr>
        <w:t xml:space="preserve"> dentro de la </w:t>
      </w:r>
      <w:r w:rsidR="0030591F">
        <w:rPr>
          <w:rFonts w:ascii="Bookman Old Style" w:hAnsi="Bookman Old Style" w:cs="Arial"/>
          <w:color w:val="000000"/>
        </w:rPr>
        <w:t xml:space="preserve">presente </w:t>
      </w:r>
      <w:r>
        <w:rPr>
          <w:rFonts w:ascii="Bookman Old Style" w:hAnsi="Bookman Old Style" w:cs="Arial"/>
          <w:color w:val="000000"/>
        </w:rPr>
        <w:t xml:space="preserve">actuación administrativa se cuenta con una serie de pruebas decretadas y practicadas, las cuales se han llevado a cabo en </w:t>
      </w:r>
      <w:r w:rsidRPr="009754EE">
        <w:rPr>
          <w:rFonts w:ascii="Bookman Old Style" w:hAnsi="Bookman Old Style" w:cs="Arial"/>
        </w:rPr>
        <w:t xml:space="preserve"> marco del debido proceso y el derecho de defensa en materia administrativa, </w:t>
      </w:r>
      <w:r>
        <w:rPr>
          <w:rFonts w:ascii="Bookman Old Style" w:hAnsi="Bookman Old Style" w:cs="Arial"/>
        </w:rPr>
        <w:t>toda vez que EPM ha podido hacer</w:t>
      </w:r>
      <w:r w:rsidRPr="009754EE">
        <w:rPr>
          <w:rFonts w:ascii="Bookman Old Style" w:hAnsi="Bookman Old Style" w:cs="Arial"/>
        </w:rPr>
        <w:t xml:space="preserve"> uso del derecho de contradicción. En relación con lo anterior la Corte ha precisado lo siguiente frente al debido proceso administrativo:</w:t>
      </w:r>
    </w:p>
    <w:p w:rsidR="008E10C2" w:rsidRPr="009754EE" w:rsidRDefault="008E10C2" w:rsidP="008E10C2">
      <w:pPr>
        <w:widowControl w:val="0"/>
        <w:jc w:val="both"/>
        <w:rPr>
          <w:rFonts w:ascii="Bookman Old Style" w:hAnsi="Bookman Old Style" w:cs="Arial"/>
        </w:rPr>
      </w:pPr>
    </w:p>
    <w:p w:rsidR="008E10C2" w:rsidRPr="009754EE" w:rsidRDefault="008E10C2" w:rsidP="008E10C2">
      <w:pPr>
        <w:widowControl w:val="0"/>
        <w:ind w:left="708"/>
        <w:jc w:val="both"/>
        <w:rPr>
          <w:rFonts w:ascii="Bookman Old Style" w:hAnsi="Bookman Old Style" w:cs="Arial"/>
          <w:bCs/>
          <w:i/>
          <w:vertAlign w:val="superscript"/>
        </w:rPr>
      </w:pPr>
      <w:r w:rsidRPr="009754EE">
        <w:rPr>
          <w:rFonts w:ascii="Bookman Old Style" w:hAnsi="Bookman Old Style" w:cs="Arial"/>
          <w:i/>
        </w:rPr>
        <w:t>“La jurisprudencia constitucional ha diferenciado entre las garantías previas y posteriores que implica el derecho al debido proceso en materia administrativa. Las garantías mínimas previas se relacionan con aquellas garantías mínimas que necesariamente deben cobijar la expedición y ejecución de cualquier acto o procedimiento administrativo, tales como el acceso libre y en condiciones de igualdad a la justicia, el juez natural, el derecho de defensa, la razonabilidad de los plazos y la imparcialidad, autonomía e independencia de los jueces, entre otras. De otro lado, las garantías mínimas posteriores se refieren a la posibilidad de cuestionar la validez jurídica de una decisión administrativa, mediante los recursos de la vía gubernativa y la jurisdicción contenciosa administrativa.”</w:t>
      </w:r>
      <w:r w:rsidRPr="007727CD">
        <w:rPr>
          <w:rFonts w:ascii="Bookman Old Style" w:hAnsi="Bookman Old Style" w:cs="Arial"/>
          <w:i/>
          <w:vertAlign w:val="superscript"/>
        </w:rPr>
        <w:footnoteReference w:id="2"/>
      </w:r>
    </w:p>
    <w:p w:rsidR="008E10C2" w:rsidRPr="009754EE" w:rsidRDefault="008E10C2" w:rsidP="008E10C2">
      <w:pPr>
        <w:jc w:val="both"/>
        <w:rPr>
          <w:rFonts w:ascii="Bookman Old Style" w:hAnsi="Bookman Old Style" w:cs="Arial"/>
          <w:bCs/>
        </w:rPr>
      </w:pPr>
    </w:p>
    <w:p w:rsidR="008E10C2" w:rsidRPr="009754EE" w:rsidRDefault="008E10C2" w:rsidP="00B832D3">
      <w:pPr>
        <w:ind w:left="0"/>
        <w:jc w:val="both"/>
        <w:rPr>
          <w:rFonts w:ascii="Bookman Old Style" w:hAnsi="Bookman Old Style" w:cs="Arial"/>
          <w:bCs/>
        </w:rPr>
      </w:pPr>
      <w:r w:rsidRPr="009754EE">
        <w:rPr>
          <w:rFonts w:ascii="Bookman Old Style" w:hAnsi="Bookman Old Style" w:cs="Arial"/>
          <w:bCs/>
        </w:rPr>
        <w:t xml:space="preserve">Del trámite expuesto se advierte que </w:t>
      </w:r>
      <w:r w:rsidR="006E0111">
        <w:rPr>
          <w:rFonts w:ascii="Bookman Old Style" w:hAnsi="Bookman Old Style" w:cs="Arial"/>
          <w:bCs/>
        </w:rPr>
        <w:t xml:space="preserve">en </w:t>
      </w:r>
      <w:r w:rsidRPr="009754EE">
        <w:rPr>
          <w:rFonts w:ascii="Bookman Old Style" w:hAnsi="Bookman Old Style" w:cs="Arial"/>
          <w:bCs/>
        </w:rPr>
        <w:t>la actuaci</w:t>
      </w:r>
      <w:r w:rsidR="006E0111">
        <w:rPr>
          <w:rFonts w:ascii="Bookman Old Style" w:hAnsi="Bookman Old Style" w:cs="Arial"/>
          <w:bCs/>
        </w:rPr>
        <w:t>ón</w:t>
      </w:r>
      <w:r w:rsidRPr="009754EE">
        <w:rPr>
          <w:rFonts w:ascii="Bookman Old Style" w:hAnsi="Bookman Old Style" w:cs="Arial"/>
          <w:bCs/>
        </w:rPr>
        <w:t xml:space="preserve"> administrativa no se han vulnerado las garantías mínimas </w:t>
      </w:r>
      <w:r w:rsidR="006E0111">
        <w:rPr>
          <w:rFonts w:ascii="Bookman Old Style" w:hAnsi="Bookman Old Style" w:cs="Arial"/>
          <w:bCs/>
        </w:rPr>
        <w:t>del derecho fundamental al debido</w:t>
      </w:r>
      <w:r w:rsidRPr="009754EE">
        <w:rPr>
          <w:rFonts w:ascii="Bookman Old Style" w:hAnsi="Bookman Old Style" w:cs="Arial"/>
          <w:bCs/>
        </w:rPr>
        <w:t xml:space="preserve"> al debido proceso. </w:t>
      </w:r>
    </w:p>
    <w:p w:rsidR="008E10C2" w:rsidRPr="009754EE" w:rsidRDefault="008E10C2" w:rsidP="008E10C2">
      <w:pPr>
        <w:jc w:val="both"/>
        <w:rPr>
          <w:rFonts w:ascii="Bookman Old Style" w:hAnsi="Bookman Old Style" w:cs="Arial"/>
          <w:bCs/>
        </w:rPr>
      </w:pPr>
    </w:p>
    <w:p w:rsidR="008E10C2" w:rsidRPr="009754EE" w:rsidRDefault="008E10C2" w:rsidP="008E10C2">
      <w:pPr>
        <w:ind w:left="0"/>
        <w:jc w:val="both"/>
        <w:rPr>
          <w:rFonts w:ascii="Bookman Old Style" w:hAnsi="Bookman Old Style" w:cs="Arial"/>
          <w:bCs/>
        </w:rPr>
      </w:pPr>
      <w:r w:rsidRPr="009754EE">
        <w:rPr>
          <w:rFonts w:ascii="Bookman Old Style" w:hAnsi="Bookman Old Style" w:cs="Arial"/>
          <w:bCs/>
        </w:rPr>
        <w:t>Así mismo</w:t>
      </w:r>
      <w:r w:rsidR="000A04F5">
        <w:rPr>
          <w:rFonts w:ascii="Bookman Old Style" w:hAnsi="Bookman Old Style" w:cs="Arial"/>
          <w:bCs/>
        </w:rPr>
        <w:t>,</w:t>
      </w:r>
      <w:r w:rsidRPr="009754EE">
        <w:rPr>
          <w:rFonts w:ascii="Bookman Old Style" w:hAnsi="Bookman Old Style" w:cs="Arial"/>
          <w:bCs/>
        </w:rPr>
        <w:t xml:space="preserve"> con respecto a la controversia de las pruebas como elemento que hace parte del núcleo esencial al debido proceso administrativo, se advierte igualmente que en la presente actuaci</w:t>
      </w:r>
      <w:r w:rsidR="00A94F04">
        <w:rPr>
          <w:rFonts w:ascii="Bookman Old Style" w:hAnsi="Bookman Old Style" w:cs="Arial"/>
          <w:bCs/>
        </w:rPr>
        <w:t>ón ha sido garantizad</w:t>
      </w:r>
      <w:r w:rsidR="00426D4C">
        <w:rPr>
          <w:rFonts w:ascii="Bookman Old Style" w:hAnsi="Bookman Old Style" w:cs="Arial"/>
          <w:bCs/>
        </w:rPr>
        <w:t>a</w:t>
      </w:r>
      <w:r w:rsidRPr="009754EE">
        <w:rPr>
          <w:rFonts w:ascii="Bookman Old Style" w:hAnsi="Bookman Old Style" w:cs="Arial"/>
          <w:bCs/>
        </w:rPr>
        <w:t xml:space="preserve">, </w:t>
      </w:r>
      <w:r w:rsidR="000A04F5">
        <w:rPr>
          <w:rFonts w:ascii="Bookman Old Style" w:hAnsi="Bookman Old Style" w:cs="Arial"/>
          <w:bCs/>
        </w:rPr>
        <w:t>conforme a las siguientes consideraciones de la Corte Constitucional:</w:t>
      </w:r>
    </w:p>
    <w:p w:rsidR="008E10C2" w:rsidRPr="009754EE" w:rsidRDefault="008E10C2" w:rsidP="008E10C2">
      <w:pPr>
        <w:jc w:val="both"/>
        <w:rPr>
          <w:rFonts w:ascii="Bookman Old Style" w:hAnsi="Bookman Old Style" w:cs="Arial"/>
          <w:bCs/>
        </w:rPr>
      </w:pPr>
    </w:p>
    <w:p w:rsidR="008E10C2" w:rsidRPr="009754EE" w:rsidRDefault="008E10C2" w:rsidP="008E10C2">
      <w:pPr>
        <w:widowControl w:val="0"/>
        <w:ind w:left="708"/>
        <w:jc w:val="both"/>
        <w:rPr>
          <w:rFonts w:ascii="Bookman Old Style" w:hAnsi="Bookman Old Style" w:cs="Arial"/>
          <w:i/>
        </w:rPr>
      </w:pPr>
      <w:r w:rsidRPr="009754EE">
        <w:rPr>
          <w:rFonts w:ascii="Bookman Old Style" w:hAnsi="Bookman Old Style" w:cs="Arial"/>
          <w:i/>
        </w:rPr>
        <w:t xml:space="preserve"> “Así entendido, en el ámbito de las actuaciones administrativas, el derecho al debido proceso hace referencia al comportamiento que deben observar las autoridades públicas en el ejercicio de sus funciones, en cuanto éstas se encuentran obligadas a actuar conforme a los procedimientos previamente establecidos en la ley, con el fin de garantizar los derechos de quienes puedan resultar afectados por las decisiones de la administración que crean, modifican o extinguen un derecho o imponen una obligación o una sanción’. En el propósito de asegurar la defensa de los administrados, la jurisprudencia ha señalado que hacen parte de las garantías del debido proceso administrativo, entre otros, los derechos a: (i) ser oído durante toda la actuación, (ii) a la notificación oportuna y de conformidad con la ley, (iii) a que la actuación se surta sin dilaciones injustificadas, (iv) a que se permita la participación en la actuación desde su inicio hasta su culminación, (v) a que la actuación se adelante por autoridad competente y con el pleno respeto de las formas propias previstas en el ordenamiento jurídico, (vi) a gozar de la presunción de inocencia, (vii) al ejercicio del derecho de defensa </w:t>
      </w:r>
      <w:r w:rsidRPr="009754EE">
        <w:rPr>
          <w:rFonts w:ascii="Bookman Old Style" w:hAnsi="Bookman Old Style" w:cs="Arial"/>
          <w:i/>
          <w:u w:val="single"/>
        </w:rPr>
        <w:t>y contradicción</w:t>
      </w:r>
      <w:r w:rsidRPr="009754EE">
        <w:rPr>
          <w:rFonts w:ascii="Bookman Old Style" w:hAnsi="Bookman Old Style" w:cs="Arial"/>
          <w:i/>
        </w:rPr>
        <w:t xml:space="preserve">, (viii) a solicitar, aportar y </w:t>
      </w:r>
      <w:r w:rsidRPr="009754EE">
        <w:rPr>
          <w:rFonts w:ascii="Bookman Old Style" w:hAnsi="Bookman Old Style" w:cs="Arial"/>
          <w:i/>
          <w:u w:val="single"/>
        </w:rPr>
        <w:t>controvertir pruebas</w:t>
      </w:r>
      <w:r w:rsidRPr="009754EE">
        <w:rPr>
          <w:rFonts w:ascii="Bookman Old Style" w:hAnsi="Bookman Old Style" w:cs="Arial"/>
          <w:i/>
        </w:rPr>
        <w:t>, y (ix) a impugnar las decisiones y a promover la nulidad de aquellas obtenidas con violación del debido proceso”</w:t>
      </w:r>
      <w:r w:rsidRPr="007727CD">
        <w:rPr>
          <w:rFonts w:ascii="Bookman Old Style" w:hAnsi="Bookman Old Style" w:cs="Arial"/>
          <w:i/>
          <w:vertAlign w:val="superscript"/>
        </w:rPr>
        <w:footnoteReference w:id="3"/>
      </w:r>
    </w:p>
    <w:p w:rsidR="008E10C2" w:rsidRPr="009754EE" w:rsidRDefault="008E10C2" w:rsidP="008E10C2">
      <w:pPr>
        <w:widowControl w:val="0"/>
        <w:jc w:val="both"/>
        <w:rPr>
          <w:rFonts w:ascii="Bookman Old Style" w:hAnsi="Bookman Old Style" w:cs="Arial"/>
        </w:rPr>
      </w:pPr>
    </w:p>
    <w:p w:rsidR="008E10C2" w:rsidRPr="009754EE" w:rsidRDefault="008E10C2" w:rsidP="008E10C2">
      <w:pPr>
        <w:widowControl w:val="0"/>
        <w:ind w:left="0"/>
        <w:jc w:val="both"/>
        <w:rPr>
          <w:rFonts w:ascii="Bookman Old Style" w:hAnsi="Bookman Old Style" w:cs="Arial"/>
        </w:rPr>
      </w:pPr>
      <w:r w:rsidRPr="009754EE">
        <w:rPr>
          <w:rFonts w:ascii="Bookman Old Style" w:hAnsi="Bookman Old Style" w:cs="Arial"/>
        </w:rPr>
        <w:t>Ahora</w:t>
      </w:r>
      <w:r>
        <w:rPr>
          <w:rFonts w:ascii="Bookman Old Style" w:hAnsi="Bookman Old Style" w:cs="Arial"/>
        </w:rPr>
        <w:t xml:space="preserve"> bien</w:t>
      </w:r>
      <w:r w:rsidRPr="009754EE">
        <w:rPr>
          <w:rFonts w:ascii="Bookman Old Style" w:hAnsi="Bookman Old Style" w:cs="Arial"/>
        </w:rPr>
        <w:t xml:space="preserve">, </w:t>
      </w:r>
      <w:r>
        <w:rPr>
          <w:rFonts w:ascii="Bookman Old Style" w:hAnsi="Bookman Old Style" w:cs="Arial"/>
        </w:rPr>
        <w:t>es importante precisar que para el caso de las pruebas decretadas de oficio por parte de esta Comisión</w:t>
      </w:r>
      <w:r w:rsidRPr="009754EE">
        <w:rPr>
          <w:rFonts w:ascii="Bookman Old Style" w:hAnsi="Bookman Old Style" w:cs="Arial"/>
        </w:rPr>
        <w:t>, se debe tener en cuenta que est</w:t>
      </w:r>
      <w:r w:rsidR="000A04F5">
        <w:rPr>
          <w:rFonts w:ascii="Bookman Old Style" w:hAnsi="Bookman Old Style" w:cs="Arial"/>
        </w:rPr>
        <w:t>as</w:t>
      </w:r>
      <w:r w:rsidRPr="009754EE">
        <w:rPr>
          <w:rFonts w:ascii="Bookman Old Style" w:hAnsi="Bookman Old Style" w:cs="Arial"/>
        </w:rPr>
        <w:t xml:space="preserve"> está</w:t>
      </w:r>
      <w:r w:rsidR="000A04F5">
        <w:rPr>
          <w:rFonts w:ascii="Bookman Old Style" w:hAnsi="Bookman Old Style" w:cs="Arial"/>
        </w:rPr>
        <w:t>n</w:t>
      </w:r>
      <w:r w:rsidRPr="009754EE">
        <w:rPr>
          <w:rFonts w:ascii="Bookman Old Style" w:hAnsi="Bookman Old Style" w:cs="Arial"/>
        </w:rPr>
        <w:t xml:space="preserve"> directamente relacionad</w:t>
      </w:r>
      <w:r w:rsidR="000A04F5">
        <w:rPr>
          <w:rFonts w:ascii="Bookman Old Style" w:hAnsi="Bookman Old Style" w:cs="Arial"/>
        </w:rPr>
        <w:t>as</w:t>
      </w:r>
      <w:r w:rsidRPr="009754EE">
        <w:rPr>
          <w:rFonts w:ascii="Bookman Old Style" w:hAnsi="Bookman Old Style" w:cs="Arial"/>
        </w:rPr>
        <w:t>, desde el punto de vista sustancial con el alcance de las funciones regulatorias asignadas a esta Comisión</w:t>
      </w:r>
      <w:r w:rsidR="000A04F5">
        <w:rPr>
          <w:rFonts w:ascii="Bookman Old Style" w:hAnsi="Bookman Old Style" w:cs="Arial"/>
        </w:rPr>
        <w:t>.</w:t>
      </w:r>
      <w:r w:rsidRPr="009754EE">
        <w:rPr>
          <w:rFonts w:ascii="Bookman Old Style" w:hAnsi="Bookman Old Style" w:cs="Arial"/>
        </w:rPr>
        <w:t xml:space="preserve">, incluidas aquellas en materia tarifaria. </w:t>
      </w:r>
    </w:p>
    <w:p w:rsidR="008E10C2" w:rsidRPr="009754EE" w:rsidRDefault="008E10C2" w:rsidP="008E10C2">
      <w:pPr>
        <w:widowControl w:val="0"/>
        <w:jc w:val="both"/>
        <w:rPr>
          <w:rFonts w:ascii="Bookman Old Style" w:hAnsi="Bookman Old Style" w:cs="Arial"/>
        </w:rPr>
      </w:pPr>
    </w:p>
    <w:p w:rsidR="008E10C2" w:rsidRPr="009754EE" w:rsidRDefault="008E10C2" w:rsidP="008E10C2">
      <w:pPr>
        <w:ind w:left="0" w:right="-93"/>
        <w:jc w:val="both"/>
        <w:rPr>
          <w:rFonts w:ascii="Bookman Old Style" w:hAnsi="Bookman Old Style" w:cs="Arial"/>
          <w:lang w:val="es-ES_tradnl"/>
        </w:rPr>
      </w:pPr>
      <w:r w:rsidRPr="009754EE">
        <w:rPr>
          <w:rFonts w:ascii="Bookman Old Style" w:hAnsi="Bookman Old Style" w:cs="Arial"/>
          <w:lang w:val="es-ES_tradnl"/>
        </w:rPr>
        <w:t>En relación con lo anterior, frente al alcance de las atribuciones asignadas a esta Comisión en las leyes 142 y 143 de 1994 en materia regulatoria, se debe tener en cuenta que la regulación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transparente competencia, protegiendo los derechos de los usuarios, así como de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9754EE">
        <w:rPr>
          <w:rFonts w:ascii="Bookman Old Style" w:hAnsi="Bookman Old Style" w:cs="Arial"/>
          <w:vertAlign w:val="superscript"/>
          <w:lang w:val="es-ES_tradnl"/>
        </w:rPr>
        <w:footnoteReference w:id="4"/>
      </w:r>
      <w:r w:rsidRPr="009754EE">
        <w:rPr>
          <w:rFonts w:ascii="Bookman Old Style" w:hAnsi="Bookman Old Style" w:cs="Arial"/>
          <w:lang w:val="es-ES_tradnl"/>
        </w:rPr>
        <w:t xml:space="preserve"> previstos en dichas normas,</w:t>
      </w:r>
      <w:r w:rsidRPr="009754EE">
        <w:rPr>
          <w:rFonts w:ascii="Bookman Old Style" w:eastAsia="Calibri" w:hAnsi="Bookman Old Style" w:cs="Arial"/>
        </w:rPr>
        <w:t xml:space="preserve"> </w:t>
      </w:r>
      <w:r w:rsidRPr="009754EE">
        <w:rPr>
          <w:rFonts w:ascii="Bookman Old Style" w:hAnsi="Bookman Old Style" w:cs="Arial"/>
          <w:lang w:val="es-ES_tradnl"/>
        </w:rPr>
        <w:t>garantizando la efectividad de los principios sociales y el adecuado funcionamiento del mercado.</w:t>
      </w:r>
    </w:p>
    <w:p w:rsidR="008E10C2" w:rsidRPr="009754EE" w:rsidRDefault="008E10C2" w:rsidP="008E10C2">
      <w:pPr>
        <w:ind w:right="-93"/>
        <w:jc w:val="both"/>
        <w:rPr>
          <w:rFonts w:ascii="Bookman Old Style" w:hAnsi="Bookman Old Style" w:cs="Arial"/>
          <w:lang w:val="es-ES_tradnl"/>
        </w:rPr>
      </w:pPr>
    </w:p>
    <w:p w:rsidR="008E10C2" w:rsidRPr="009754EE" w:rsidRDefault="008E10C2" w:rsidP="008E10C2">
      <w:pPr>
        <w:ind w:left="0" w:right="-93"/>
        <w:jc w:val="both"/>
        <w:rPr>
          <w:rFonts w:ascii="Bookman Old Style" w:eastAsia="Calibri" w:hAnsi="Bookman Old Style" w:cs="Arial"/>
          <w:lang w:val="es-ES_tradnl"/>
        </w:rPr>
      </w:pPr>
      <w:r w:rsidRPr="009754EE">
        <w:rPr>
          <w:rFonts w:ascii="Bookman Old Style" w:eastAsia="Calibri" w:hAnsi="Bookman Old Style" w:cs="Arial"/>
          <w:lang w:val="es-ES_tradnl"/>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9754EE">
        <w:rPr>
          <w:rFonts w:ascii="Bookman Old Style" w:eastAsia="Calibri" w:hAnsi="Bookman Old Style" w:cs="Arial"/>
          <w:vertAlign w:val="superscript"/>
          <w:lang w:val="es-ES_tradnl"/>
        </w:rPr>
        <w:footnoteReference w:id="5"/>
      </w:r>
      <w:r w:rsidRPr="009754EE">
        <w:rPr>
          <w:rFonts w:ascii="Bookman Old Style" w:eastAsia="Calibri" w:hAnsi="Bookman Old Style" w:cs="Arial"/>
          <w:lang w:val="es-ES_tradnl"/>
        </w:rPr>
        <w:t>, la corrección de las imperfecciones del mercado</w:t>
      </w:r>
      <w:r w:rsidRPr="009754EE">
        <w:rPr>
          <w:rFonts w:ascii="Bookman Old Style" w:eastAsia="Calibri" w:hAnsi="Bookman Old Style" w:cs="Arial"/>
          <w:vertAlign w:val="superscript"/>
          <w:lang w:val="es-ES_tradnl"/>
        </w:rPr>
        <w:footnoteReference w:id="6"/>
      </w:r>
      <w:r w:rsidRPr="009754EE">
        <w:rPr>
          <w:rFonts w:ascii="Bookman Old Style" w:eastAsia="Calibri" w:hAnsi="Bookman Old Style" w:cs="Arial"/>
          <w:lang w:val="es-ES_tradnl"/>
        </w:rPr>
        <w:t>, así como la satisfacción del interés general</w:t>
      </w:r>
      <w:r w:rsidRPr="009754EE">
        <w:rPr>
          <w:rFonts w:ascii="Bookman Old Style" w:eastAsia="Calibri" w:hAnsi="Bookman Old Style" w:cs="Arial"/>
          <w:vertAlign w:val="superscript"/>
          <w:lang w:val="es-ES_tradnl"/>
        </w:rPr>
        <w:footnoteReference w:id="7"/>
      </w:r>
      <w:r w:rsidRPr="009754EE">
        <w:rPr>
          <w:rFonts w:ascii="Bookman Old Style" w:eastAsia="Calibri" w:hAnsi="Bookman Old Style" w:cs="Arial"/>
          <w:lang w:val="es-ES_tradnl"/>
        </w:rPr>
        <w:t>. Así mismo, se debe considerar que los servicios públicos domiciliarios tienen una relación inescindible entre su prestación eficiente y la efectividad de los derechos fundamentales de las personas, de lo cual se entiende que su prestación ineficiente puede acarrear en la vulneración de un derecho fundamental, ya que</w:t>
      </w:r>
      <w:r w:rsidRPr="009754EE">
        <w:rPr>
          <w:rFonts w:ascii="Bookman Old Style" w:eastAsia="Calibri" w:hAnsi="Bookman Old Style" w:cs="Arial"/>
        </w:rPr>
        <w:t xml:space="preserve"> </w:t>
      </w:r>
      <w:r w:rsidRPr="009754EE">
        <w:rPr>
          <w:rFonts w:ascii="Bookman Old Style" w:eastAsia="Calibri" w:hAnsi="Bookman Old Style" w:cs="Arial"/>
          <w:lang w:val="es-ES_tradnl"/>
        </w:rPr>
        <w:t>su prestación eficiente asegura condiciones de vida digna de todos los habitantes del territorio nacional</w:t>
      </w:r>
      <w:r w:rsidRPr="009754EE">
        <w:rPr>
          <w:rFonts w:ascii="Bookman Old Style" w:eastAsia="Calibri" w:hAnsi="Bookman Old Style" w:cs="Arial"/>
          <w:vertAlign w:val="superscript"/>
          <w:lang w:val="es-ES_tradnl"/>
        </w:rPr>
        <w:footnoteReference w:id="8"/>
      </w:r>
      <w:r w:rsidRPr="009754EE">
        <w:rPr>
          <w:rFonts w:ascii="Bookman Old Style" w:eastAsia="Calibri" w:hAnsi="Bookman Old Style" w:cs="Arial"/>
          <w:lang w:val="es-ES_tradnl"/>
        </w:rPr>
        <w:t xml:space="preserve">. </w:t>
      </w:r>
    </w:p>
    <w:p w:rsidR="008E10C2" w:rsidRPr="009754EE" w:rsidRDefault="008E10C2" w:rsidP="008E10C2">
      <w:pPr>
        <w:ind w:right="-93"/>
        <w:jc w:val="both"/>
        <w:rPr>
          <w:rFonts w:ascii="Bookman Old Style" w:eastAsia="Calibri" w:hAnsi="Bookman Old Style" w:cs="Arial"/>
          <w:lang w:val="es-ES_tradnl"/>
        </w:rPr>
      </w:pPr>
    </w:p>
    <w:p w:rsidR="008E10C2" w:rsidRPr="009754EE" w:rsidRDefault="008E10C2" w:rsidP="008E10C2">
      <w:pPr>
        <w:ind w:left="0" w:right="-93"/>
        <w:jc w:val="both"/>
        <w:rPr>
          <w:rFonts w:ascii="Bookman Old Style" w:hAnsi="Bookman Old Style" w:cs="Arial"/>
          <w:lang w:val="es-ES_tradnl"/>
        </w:rPr>
      </w:pPr>
      <w:r w:rsidRPr="009754EE">
        <w:rPr>
          <w:rFonts w:ascii="Bookman Old Style" w:hAnsi="Bookman Old Style" w:cs="Arial"/>
          <w:lang w:val="es-ES_tradnl"/>
        </w:rPr>
        <w:t xml:space="preserve">Es por esto que las pruebas que se decretan y valoren dentro de una actuación administrativa por parte de esta Comisión, están ligadas con el ejercicio de una atribución regulatoria, toda vez que a través de dichas pruebas se sustentan las decisiones que se adoptan, incluidas aquellas en materia tarifaria. Lo anterior, teniendo en cuenta que en el caso particular de las pruebas que se practican por parte de esta Comisión como autoridad regulatoria en materia de servicios públicos de energía y gas combustible, el artículo 109 de la Ley 142 de 1994 frente a dicha práctica y desde el ámbito estrictamente procesal le asigno las funciones que corresponderían a un juez en un proceso civil.  </w:t>
      </w:r>
    </w:p>
    <w:p w:rsidR="008E10C2" w:rsidRPr="009754EE" w:rsidRDefault="008E10C2" w:rsidP="008E10C2">
      <w:pPr>
        <w:ind w:right="-93"/>
        <w:jc w:val="both"/>
        <w:rPr>
          <w:rFonts w:ascii="Bookman Old Style" w:hAnsi="Bookman Old Style" w:cs="Arial"/>
          <w:lang w:val="es-ES_tradnl"/>
        </w:rPr>
      </w:pPr>
    </w:p>
    <w:p w:rsidR="008E10C2" w:rsidRPr="009754EE" w:rsidRDefault="008E10C2" w:rsidP="008E10C2">
      <w:pPr>
        <w:ind w:left="0" w:right="-93"/>
        <w:jc w:val="both"/>
        <w:rPr>
          <w:rFonts w:ascii="Bookman Old Style" w:hAnsi="Bookman Old Style" w:cs="Arial"/>
          <w:lang w:val="es-ES_tradnl"/>
        </w:rPr>
      </w:pPr>
      <w:r w:rsidRPr="009754EE">
        <w:rPr>
          <w:rFonts w:ascii="Bookman Old Style" w:hAnsi="Bookman Old Style" w:cs="Arial"/>
          <w:lang w:val="es-ES_tradnl"/>
        </w:rPr>
        <w:t xml:space="preserve">Esto está igualmente relacionado con lo previsto en la Ley 142 de 1994, la cual ha dispuesto que todas las decisiones de las autoridades en materia de servicios públicos, incluida esta Comisión, deben fundarse en los motivos que determina la Ley, </w:t>
      </w:r>
      <w:r w:rsidRPr="009754EE">
        <w:rPr>
          <w:rFonts w:ascii="Bookman Old Style" w:hAnsi="Bookman Old Style" w:cs="Arial"/>
          <w:b/>
          <w:u w:val="single"/>
          <w:lang w:val="es-ES_tradnl"/>
        </w:rPr>
        <w:t>los cuales deben ser comprobables</w:t>
      </w:r>
      <w:r w:rsidRPr="009754EE">
        <w:rPr>
          <w:rFonts w:ascii="Bookman Old Style" w:hAnsi="Bookman Old Style" w:cs="Arial"/>
          <w:lang w:val="es-ES_tradnl"/>
        </w:rPr>
        <w:t>, donde se advierte que dicho carácter “comprobable” para el caso de las actuaciones administrativas</w:t>
      </w:r>
      <w:r w:rsidR="004E06DC">
        <w:rPr>
          <w:rFonts w:ascii="Bookman Old Style" w:hAnsi="Bookman Old Style" w:cs="Arial"/>
          <w:lang w:val="es-ES_tradnl"/>
        </w:rPr>
        <w:t>,</w:t>
      </w:r>
      <w:r w:rsidRPr="009754EE">
        <w:rPr>
          <w:rFonts w:ascii="Bookman Old Style" w:hAnsi="Bookman Old Style" w:cs="Arial"/>
          <w:lang w:val="es-ES_tradnl"/>
        </w:rPr>
        <w:t xml:space="preserve"> está sustentad</w:t>
      </w:r>
      <w:r w:rsidR="004E06DC">
        <w:rPr>
          <w:rFonts w:ascii="Bookman Old Style" w:hAnsi="Bookman Old Style" w:cs="Arial"/>
          <w:lang w:val="es-ES_tradnl"/>
        </w:rPr>
        <w:t>o</w:t>
      </w:r>
      <w:r w:rsidRPr="009754EE">
        <w:rPr>
          <w:rFonts w:ascii="Bookman Old Style" w:hAnsi="Bookman Old Style" w:cs="Arial"/>
          <w:lang w:val="es-ES_tradnl"/>
        </w:rPr>
        <w:t xml:space="preserve"> en las pruebas que allí sean decretadas y valoradas por la Comisión atendiendo dichos fines.</w:t>
      </w:r>
    </w:p>
    <w:p w:rsidR="008E10C2" w:rsidRPr="009754EE" w:rsidRDefault="008E10C2" w:rsidP="008E10C2">
      <w:pPr>
        <w:ind w:right="-93"/>
        <w:jc w:val="both"/>
        <w:rPr>
          <w:rFonts w:ascii="Bookman Old Style" w:hAnsi="Bookman Old Style" w:cs="Arial"/>
          <w:lang w:val="es-ES_tradnl"/>
        </w:rPr>
      </w:pPr>
    </w:p>
    <w:p w:rsidR="008E10C2" w:rsidRPr="009754EE" w:rsidRDefault="008E10C2" w:rsidP="008E10C2">
      <w:pPr>
        <w:ind w:left="0" w:right="-93"/>
        <w:jc w:val="both"/>
        <w:rPr>
          <w:rFonts w:ascii="Bookman Old Style" w:hAnsi="Bookman Old Style" w:cs="Arial"/>
          <w:lang w:val="es-ES_tradnl"/>
        </w:rPr>
      </w:pPr>
      <w:r w:rsidRPr="009754EE">
        <w:rPr>
          <w:rFonts w:ascii="Bookman Old Style" w:hAnsi="Bookman Old Style" w:cs="Arial"/>
          <w:lang w:val="es-ES_tradnl"/>
        </w:rPr>
        <w:t>Es por esto que, estas facultades en materia probatoria asignadas la Comisión deben guardar equilibrio y relación con las funciones asignadas en materia regulatoria, las cuales están ligadas a dar cumplimiento a los fines y objetivos previstos en la Ley 142 de 1994 en relación con la prestación eficiente del servicio y la correcta aplicación de los criterios tarifarios previstos en el artículo 87 de dicha norma. Por lo tanto, las pruebas que se decreten por parte de la Comisión deben estar ligadas y dirigidas a dar cumplimiento a los fines que persigue el ejercicio de su función regulatoria, razón por la cual, cualquier prueba que no esté dirigida en este sentido ha de considerarse como impertinente, improcedente, inútil y superflua. Esto ha de ser igualmente compatible con la posibilidad de que tienen las partes en el marco del derecho de defensa y contradicción que hacen parte del espectro general del debido proceso, de contar con las garantías de controvertir las pruebas decretadas por la Comisión.</w:t>
      </w:r>
    </w:p>
    <w:p w:rsidR="008E10C2" w:rsidRPr="009754EE" w:rsidRDefault="008E10C2" w:rsidP="008E10C2">
      <w:pPr>
        <w:ind w:right="-93"/>
        <w:jc w:val="both"/>
        <w:rPr>
          <w:rFonts w:ascii="Bookman Old Style" w:hAnsi="Bookman Old Style" w:cs="Arial"/>
          <w:lang w:val="es-ES_tradnl"/>
        </w:rPr>
      </w:pPr>
    </w:p>
    <w:p w:rsidR="008E10C2" w:rsidRPr="009754EE" w:rsidRDefault="008E10C2" w:rsidP="008E10C2">
      <w:pPr>
        <w:ind w:left="0" w:right="-93"/>
        <w:jc w:val="both"/>
        <w:rPr>
          <w:rFonts w:ascii="Bookman Old Style" w:hAnsi="Bookman Old Style" w:cs="Arial"/>
          <w:lang w:val="es-ES_tradnl"/>
        </w:rPr>
      </w:pPr>
      <w:r w:rsidRPr="009754EE">
        <w:rPr>
          <w:rFonts w:ascii="Bookman Old Style" w:hAnsi="Bookman Old Style" w:cs="Arial"/>
          <w:lang w:val="es-ES_tradnl"/>
        </w:rPr>
        <w:t>En este sentido, se advierte por parte de esta Comisión que la interpretación de la aplicación de las disposiciones donde se encuentren normas relacionadas con el ejercicio de estas facultades regulatorias, incluyendo el ámbito probatorio,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artículos 209) y legales (Ley 1437 de 2011 artículo 3) que guían las actuaciones administrativas de esta Comisión</w:t>
      </w:r>
      <w:r w:rsidRPr="009754EE">
        <w:rPr>
          <w:rFonts w:ascii="Bookman Old Style" w:hAnsi="Bookman Old Style" w:cs="Arial"/>
          <w:vertAlign w:val="superscript"/>
          <w:lang w:val="es-ES_tradnl"/>
        </w:rPr>
        <w:footnoteReference w:id="9"/>
      </w:r>
      <w:r w:rsidRPr="009754EE">
        <w:rPr>
          <w:rFonts w:ascii="Bookman Old Style" w:hAnsi="Bookman Old Style" w:cs="Arial"/>
          <w:lang w:val="es-ES_tradnl"/>
        </w:rPr>
        <w:t>. Esto teniendo en cuenta que el artículo 13 de la Ley 142 de 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rsidR="008E10C2" w:rsidRPr="009754EE" w:rsidRDefault="008E10C2" w:rsidP="008E10C2">
      <w:pPr>
        <w:ind w:right="-93"/>
        <w:jc w:val="both"/>
        <w:rPr>
          <w:rFonts w:ascii="Bookman Old Style" w:hAnsi="Bookman Old Style" w:cs="Arial"/>
          <w:lang w:val="es-ES_tradnl"/>
        </w:rPr>
      </w:pPr>
    </w:p>
    <w:p w:rsidR="008E10C2" w:rsidRPr="009754EE" w:rsidRDefault="008E10C2" w:rsidP="008E10C2">
      <w:pPr>
        <w:ind w:left="0" w:right="-93"/>
        <w:jc w:val="both"/>
        <w:rPr>
          <w:rFonts w:ascii="Bookman Old Style" w:eastAsia="Calibri" w:hAnsi="Bookman Old Style" w:cs="Arial"/>
          <w:lang w:val="es-ES_tradnl"/>
        </w:rPr>
      </w:pPr>
      <w:r w:rsidRPr="009754EE">
        <w:rPr>
          <w:rFonts w:ascii="Bookman Old Style" w:hAnsi="Bookman Old Style" w:cs="Arial"/>
          <w:lang w:val="es-ES_tradnl"/>
        </w:rPr>
        <w:t xml:space="preserve">De acuerdo con esto, las actuaciones administrativas que adelante esta Comisión, así como las pruebas que allí se decreten y practiquen, para </w:t>
      </w:r>
      <w:r w:rsidRPr="009754EE">
        <w:rPr>
          <w:rFonts w:ascii="Bookman Old Style" w:eastAsia="Calibri" w:hAnsi="Bookman Old Style" w:cs="Arial"/>
          <w:lang w:val="es-ES_tradnl"/>
        </w:rPr>
        <w:t>la correcta aplicación de los criterios en materia tarifaria, así como su aplicación armónica con los principios constitucionales</w:t>
      </w:r>
      <w:r w:rsidRPr="009754EE">
        <w:rPr>
          <w:rFonts w:ascii="Bookman Old Style" w:eastAsia="Calibri" w:hAnsi="Bookman Old Style" w:cs="Arial"/>
          <w:vertAlign w:val="superscript"/>
          <w:lang w:val="es-ES_tradnl"/>
        </w:rPr>
        <w:footnoteReference w:id="10"/>
      </w:r>
      <w:r w:rsidRPr="009754EE">
        <w:rPr>
          <w:rFonts w:ascii="Bookman Old Style" w:eastAsia="Calibri" w:hAnsi="Bookman Old Style" w:cs="Arial"/>
          <w:lang w:val="es-ES_tradnl"/>
        </w:rPr>
        <w:t xml:space="preserve"> y legales</w:t>
      </w:r>
      <w:r w:rsidRPr="009754EE">
        <w:rPr>
          <w:rFonts w:ascii="Bookman Old Style" w:eastAsia="Calibri" w:hAnsi="Bookman Old Style" w:cs="Arial"/>
          <w:vertAlign w:val="superscript"/>
          <w:lang w:val="es-ES_tradnl"/>
        </w:rPr>
        <w:footnoteReference w:id="11"/>
      </w:r>
      <w:r w:rsidRPr="009754EE">
        <w:rPr>
          <w:rFonts w:ascii="Bookman Old Style" w:eastAsia="Calibri" w:hAnsi="Bookman Old Style" w:cs="Arial"/>
          <w:lang w:val="es-ES_tradnl"/>
        </w:rPr>
        <w:t xml:space="preserve"> en materia de servicios públicos, debe existir una convergencia entre los intereses colectivos que persigue la prestación de los servicios públicos, como aquellos intereses de las empresas en relación con la competencia, la iniciativa privada y la libertad de empresa, entendidas como la existencia de “</w:t>
      </w:r>
      <w:r w:rsidRPr="009754EE">
        <w:rPr>
          <w:rFonts w:ascii="Bookman Old Style" w:eastAsia="Calibri" w:hAnsi="Bookman Old Style" w:cs="Arial"/>
          <w:i/>
          <w:lang w:val="es-ES_tradnl"/>
        </w:rPr>
        <w:t>relaciones jurídicas de equilibrio entre usuarios y las empresas prestadoras de servicios públicos domiciliarios”</w:t>
      </w:r>
      <w:r w:rsidRPr="009754EE">
        <w:rPr>
          <w:rFonts w:ascii="Bookman Old Style" w:eastAsia="Calibri" w:hAnsi="Bookman Old Style" w:cs="Arial"/>
          <w:vertAlign w:val="superscript"/>
          <w:lang w:val="es-ES_tradnl"/>
        </w:rPr>
        <w:footnoteReference w:id="12"/>
      </w:r>
      <w:r w:rsidRPr="009754EE">
        <w:rPr>
          <w:rFonts w:ascii="Bookman Old Style" w:eastAsia="Calibri" w:hAnsi="Bookman Old Style" w:cs="Arial"/>
          <w:i/>
          <w:lang w:val="es-ES_tradnl"/>
        </w:rPr>
        <w:t>.</w:t>
      </w:r>
    </w:p>
    <w:p w:rsidR="008E10C2" w:rsidRPr="009754EE" w:rsidRDefault="008E10C2" w:rsidP="008E10C2">
      <w:pPr>
        <w:ind w:right="-142"/>
        <w:jc w:val="both"/>
        <w:rPr>
          <w:rFonts w:ascii="Bookman Old Style" w:eastAsia="Calibri" w:hAnsi="Bookman Old Style" w:cs="Arial"/>
          <w:lang w:val="es-ES_tradnl"/>
        </w:rPr>
      </w:pPr>
    </w:p>
    <w:p w:rsidR="008E10C2" w:rsidRPr="009754EE" w:rsidRDefault="008E10C2" w:rsidP="008E10C2">
      <w:pPr>
        <w:ind w:left="0" w:right="-93"/>
        <w:jc w:val="both"/>
        <w:rPr>
          <w:rFonts w:ascii="Bookman Old Style" w:eastAsia="Calibri" w:hAnsi="Bookman Old Style" w:cs="Arial"/>
          <w:lang w:val="es-ES_tradnl"/>
        </w:rPr>
      </w:pPr>
      <w:r w:rsidRPr="009754EE">
        <w:rPr>
          <w:rFonts w:ascii="Bookman Old Style" w:eastAsia="Calibri" w:hAnsi="Bookman Old Style" w:cs="Arial"/>
          <w:lang w:val="es-ES_tradnl"/>
        </w:rPr>
        <w:t>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9754EE">
        <w:rPr>
          <w:rFonts w:ascii="Bookman Old Style" w:eastAsia="Calibri" w:hAnsi="Bookman Old Style" w:cs="Arial"/>
          <w:vertAlign w:val="superscript"/>
          <w:lang w:val="es-ES_tradnl"/>
        </w:rPr>
        <w:footnoteReference w:id="13"/>
      </w:r>
      <w:r w:rsidRPr="009754EE">
        <w:rPr>
          <w:rFonts w:ascii="Bookman Old Style" w:eastAsia="Calibri" w:hAnsi="Bookman Old Style" w:cs="Arial"/>
          <w:lang w:val="es-ES_tradnl"/>
        </w:rPr>
        <w:t>.</w:t>
      </w:r>
    </w:p>
    <w:p w:rsidR="008E10C2" w:rsidRPr="009754EE" w:rsidRDefault="008E10C2" w:rsidP="008E10C2">
      <w:pPr>
        <w:keepNext/>
        <w:tabs>
          <w:tab w:val="left" w:pos="709"/>
        </w:tabs>
        <w:jc w:val="both"/>
        <w:outlineLvl w:val="1"/>
        <w:rPr>
          <w:rFonts w:ascii="Bookman Old Style" w:hAnsi="Bookman Old Style" w:cs="Arial"/>
          <w:lang w:val="es-ES_tradnl"/>
        </w:rPr>
      </w:pPr>
    </w:p>
    <w:p w:rsidR="008E10C2" w:rsidRPr="009754EE" w:rsidRDefault="008E10C2" w:rsidP="008E10C2">
      <w:pPr>
        <w:ind w:left="0"/>
        <w:jc w:val="both"/>
        <w:rPr>
          <w:rFonts w:ascii="Bookman Old Style" w:hAnsi="Bookman Old Style" w:cs="Arial"/>
          <w:bCs/>
        </w:rPr>
      </w:pPr>
      <w:r>
        <w:rPr>
          <w:rFonts w:ascii="Bookman Old Style" w:hAnsi="Bookman Old Style" w:cs="Arial"/>
          <w:bCs/>
        </w:rPr>
        <w:t>Ahora bien, l</w:t>
      </w:r>
      <w:r w:rsidRPr="009754EE">
        <w:rPr>
          <w:rFonts w:ascii="Bookman Old Style" w:hAnsi="Bookman Old Style" w:cs="Arial"/>
          <w:bCs/>
        </w:rPr>
        <w:t>as pruebas dentro de una actuación administrativa o judicial son medios señalados por el legislador dentro del ordenamiento jurídico para crear en la autoridad administrativa o en el juzgador la certeza o el convencimiento sobre la verdad de los hechos que son materia de las actuaciones o los procesos que se adelanten, con el fin de que los mismos apliquen el ordenamiento positivo a los casos concretos.</w:t>
      </w:r>
    </w:p>
    <w:p w:rsidR="008E10C2" w:rsidRPr="009754EE" w:rsidRDefault="008E10C2" w:rsidP="008E10C2">
      <w:pPr>
        <w:jc w:val="both"/>
        <w:rPr>
          <w:rFonts w:ascii="Bookman Old Style" w:hAnsi="Bookman Old Style" w:cs="Arial"/>
          <w:bCs/>
        </w:rPr>
      </w:pPr>
    </w:p>
    <w:p w:rsidR="008E10C2" w:rsidRPr="009754EE" w:rsidRDefault="008E10C2" w:rsidP="008E10C2">
      <w:pPr>
        <w:ind w:left="0"/>
        <w:jc w:val="both"/>
        <w:rPr>
          <w:rFonts w:ascii="Bookman Old Style" w:hAnsi="Bookman Old Style" w:cs="Arial"/>
          <w:bCs/>
        </w:rPr>
      </w:pPr>
      <w:r w:rsidRPr="009754EE">
        <w:rPr>
          <w:rFonts w:ascii="Bookman Old Style" w:hAnsi="Bookman Old Style" w:cs="Arial"/>
          <w:bCs/>
        </w:rPr>
        <w:t xml:space="preserve">Como se ha expuesto en los apartes anteriores, la aplicación y el análisis de las pruebas dentro de las actuaciones que adelanten las autoridades administrativas deben tener en cuenta los fines constitucionales y legales que éstas persiguen. Para el caso de </w:t>
      </w:r>
      <w:r w:rsidR="004E06DC">
        <w:rPr>
          <w:rFonts w:ascii="Bookman Old Style" w:hAnsi="Bookman Old Style" w:cs="Arial"/>
          <w:bCs/>
        </w:rPr>
        <w:t xml:space="preserve">la </w:t>
      </w:r>
      <w:r w:rsidRPr="009754EE">
        <w:rPr>
          <w:rFonts w:ascii="Bookman Old Style" w:hAnsi="Bookman Old Style" w:cs="Arial"/>
          <w:bCs/>
        </w:rPr>
        <w:t>CREG, dichos fines, como autoridad regulatoria de los servicios públicos domiciliarios de energía eléctrica y gas combustible, están previstos en las leyes 142 y 143 de 1994 y desarrollados por la jurisprudencia.</w:t>
      </w:r>
    </w:p>
    <w:p w:rsidR="008E10C2" w:rsidRPr="009754EE" w:rsidRDefault="008E10C2" w:rsidP="008E10C2">
      <w:pPr>
        <w:jc w:val="both"/>
        <w:rPr>
          <w:rFonts w:ascii="Bookman Old Style" w:hAnsi="Bookman Old Style" w:cs="Arial"/>
          <w:bCs/>
        </w:rPr>
      </w:pPr>
    </w:p>
    <w:p w:rsidR="008E10C2" w:rsidRPr="009754EE" w:rsidRDefault="008E10C2" w:rsidP="008E10C2">
      <w:pPr>
        <w:ind w:left="0"/>
        <w:jc w:val="both"/>
        <w:rPr>
          <w:rFonts w:ascii="Bookman Old Style" w:eastAsia="Calibri" w:hAnsi="Bookman Old Style" w:cs="Arial"/>
          <w:lang w:val="es-ES_tradnl"/>
        </w:rPr>
      </w:pPr>
      <w:r w:rsidRPr="009754EE">
        <w:rPr>
          <w:rFonts w:ascii="Bookman Old Style" w:eastAsia="Calibri" w:hAnsi="Bookman Old Style" w:cs="Arial"/>
          <w:lang w:val="es-ES_tradnl"/>
        </w:rPr>
        <w:t xml:space="preserve">De acuerdo con lo anterior, las actuaciones administrativas que se adelanten como parte del ejercicio de la facultad </w:t>
      </w:r>
      <w:r w:rsidRPr="009754EE">
        <w:rPr>
          <w:rFonts w:ascii="Bookman Old Style" w:hAnsi="Bookman Old Style" w:cs="Arial"/>
          <w:bCs/>
        </w:rPr>
        <w:t>regulatoria de la CREG, así como las decisiones que se adopten como parte de las mismas,</w:t>
      </w:r>
      <w:r w:rsidRPr="009754EE">
        <w:rPr>
          <w:rFonts w:ascii="Bookman Old Style" w:eastAsia="Calibri" w:hAnsi="Bookman Old Style" w:cs="Arial"/>
          <w:lang w:val="es-ES_tradnl"/>
        </w:rPr>
        <w:t xml:space="preserve"> se deben desarrollar y valorar atendiendo los principios respecto de los cuales se rigen y se sustentan la prestación de los servicios públicos domiciliarios, garantizando el equilibrio entre el interés general y la libertad económica (incentivo económico), y lo que la Corte Constitucional denomina el buen funcionamiento del mercado</w:t>
      </w:r>
      <w:r w:rsidRPr="009754EE">
        <w:rPr>
          <w:rFonts w:ascii="Bookman Old Style" w:eastAsia="Calibri" w:hAnsi="Bookman Old Style" w:cs="Arial"/>
          <w:vertAlign w:val="superscript"/>
          <w:lang w:val="es-ES_tradnl"/>
        </w:rPr>
        <w:footnoteReference w:id="14"/>
      </w:r>
      <w:r w:rsidRPr="009754EE">
        <w:rPr>
          <w:rFonts w:ascii="Bookman Old Style" w:eastAsia="Calibri" w:hAnsi="Bookman Old Style" w:cs="Arial"/>
          <w:lang w:val="es-ES_tradnl"/>
        </w:rPr>
        <w:t>. Igualmente, el recaudo, la práctica y la contradicción de las pruebas en que se sustenten estas decisiones se sujetan a la aplicación de las garantías fundamentales del debido proceso y el derecho de defensa.</w:t>
      </w:r>
    </w:p>
    <w:p w:rsidR="008E10C2" w:rsidRPr="009754EE" w:rsidRDefault="008E10C2" w:rsidP="008E10C2">
      <w:pPr>
        <w:jc w:val="both"/>
        <w:rPr>
          <w:rFonts w:ascii="Bookman Old Style" w:hAnsi="Bookman Old Style" w:cs="Arial"/>
          <w:b/>
        </w:rPr>
      </w:pPr>
    </w:p>
    <w:p w:rsidR="008E10C2" w:rsidRDefault="008E10C2" w:rsidP="008E10C2">
      <w:pPr>
        <w:pStyle w:val="Prrafodelista"/>
        <w:keepNext/>
        <w:suppressAutoHyphens/>
        <w:ind w:left="0"/>
        <w:contextualSpacing/>
        <w:jc w:val="both"/>
        <w:outlineLvl w:val="0"/>
        <w:rPr>
          <w:rFonts w:ascii="Bookman Old Style" w:hAnsi="Bookman Old Style"/>
          <w:sz w:val="24"/>
          <w:szCs w:val="24"/>
          <w:u w:val="single"/>
          <w:lang w:val="es-ES_tradnl"/>
        </w:rPr>
      </w:pPr>
      <w:bookmarkStart w:id="1" w:name="_Toc476553949"/>
      <w:bookmarkStart w:id="2" w:name="_Toc476554576"/>
      <w:r w:rsidRPr="009B05DD">
        <w:rPr>
          <w:rFonts w:ascii="Bookman Old Style" w:hAnsi="Bookman Old Style"/>
          <w:sz w:val="24"/>
          <w:szCs w:val="24"/>
          <w:u w:val="single"/>
          <w:lang w:val="es-ES_tradnl"/>
        </w:rPr>
        <w:t>Cumplimiento de los principios y requisitos de la prueba</w:t>
      </w:r>
    </w:p>
    <w:p w:rsidR="0030591F" w:rsidRPr="009B05DD" w:rsidRDefault="0030591F" w:rsidP="008E10C2">
      <w:pPr>
        <w:pStyle w:val="Prrafodelista"/>
        <w:keepNext/>
        <w:suppressAutoHyphens/>
        <w:ind w:left="0"/>
        <w:contextualSpacing/>
        <w:jc w:val="both"/>
        <w:outlineLvl w:val="0"/>
        <w:rPr>
          <w:rFonts w:ascii="Bookman Old Style" w:hAnsi="Bookman Old Style"/>
          <w:sz w:val="24"/>
          <w:szCs w:val="24"/>
          <w:u w:val="single"/>
          <w:lang w:val="es-ES_tradnl"/>
        </w:rPr>
      </w:pPr>
    </w:p>
    <w:p w:rsidR="008E10C2"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 xml:space="preserve">El Código General del Proceso establece en sus artículos 168 y 176 que las pruebas deberán ser apreciadas en conjunto, de acuerdo con las reglas de la sana crítica, sin perjuicio de las solemnidades prescritas en la ley sustancial para la existencia o validez de ciertos actos, por lo que le corresponde al juez </w:t>
      </w:r>
      <w:r>
        <w:rPr>
          <w:rFonts w:ascii="Bookman Old Style" w:eastAsia="Calibri" w:hAnsi="Bookman Old Style" w:cs="Arial"/>
          <w:lang w:val="es-ES_tradnl"/>
        </w:rPr>
        <w:t>exponer</w:t>
      </w:r>
      <w:r w:rsidRPr="006A0EA4">
        <w:rPr>
          <w:rFonts w:ascii="Bookman Old Style" w:eastAsia="Calibri" w:hAnsi="Bookman Old Style" w:cs="Arial"/>
          <w:lang w:val="es-ES_tradnl"/>
        </w:rPr>
        <w:t xml:space="preserve"> siempre razonadamente el mérito que le asigne a cada prueba. Igualmente, se atribuye al juez la facultad de rechazar, de manera motivada, las pruebas ilícitas, las notoriamente impertinentes, las inconducentes y las manifiestamente superfluas o inútiles.</w:t>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 xml:space="preserve">Es por esto que, previamente a la valoración </w:t>
      </w:r>
      <w:r>
        <w:rPr>
          <w:rFonts w:ascii="Bookman Old Style" w:eastAsia="Calibri" w:hAnsi="Bookman Old Style" w:cs="Arial"/>
          <w:lang w:val="es-ES_tradnl"/>
        </w:rPr>
        <w:t>de las pruebas con las que se cuenta en la presente actuación</w:t>
      </w:r>
      <w:r w:rsidRPr="006A0EA4">
        <w:rPr>
          <w:rFonts w:ascii="Bookman Old Style" w:eastAsia="Calibri" w:hAnsi="Bookman Old Style" w:cs="Arial"/>
          <w:lang w:val="es-ES_tradnl"/>
        </w:rPr>
        <w:t xml:space="preserve"> y su aplicación dentro de la decisión que se adopte, como parte de las fases que son propias de la actividad probatoria, corresponde a la Comisión establecer si el </w:t>
      </w:r>
      <w:r>
        <w:rPr>
          <w:rFonts w:ascii="Bookman Old Style" w:eastAsia="Calibri" w:hAnsi="Bookman Old Style" w:cs="Arial"/>
          <w:lang w:val="es-ES_tradnl"/>
        </w:rPr>
        <w:t xml:space="preserve">acervo probatorio, en particular para el caso de las pruebas documentales y testimoniales decretadas y practicadas </w:t>
      </w:r>
      <w:r w:rsidRPr="006A0EA4">
        <w:rPr>
          <w:rFonts w:ascii="Bookman Old Style" w:eastAsia="Calibri" w:hAnsi="Bookman Old Style" w:cs="Arial"/>
          <w:lang w:val="es-ES_tradnl"/>
        </w:rPr>
        <w:t xml:space="preserve">va en contra de alguno de los principios generales para la aplicación de la prueba. Lo anterior con el fin de establecer que </w:t>
      </w:r>
      <w:r>
        <w:rPr>
          <w:rFonts w:ascii="Bookman Old Style" w:eastAsia="Calibri" w:hAnsi="Bookman Old Style" w:cs="Arial"/>
          <w:lang w:val="es-ES_tradnl"/>
        </w:rPr>
        <w:t>estas pueden</w:t>
      </w:r>
      <w:r w:rsidRPr="006A0EA4">
        <w:rPr>
          <w:rFonts w:ascii="Bookman Old Style" w:eastAsia="Calibri" w:hAnsi="Bookman Old Style" w:cs="Arial"/>
          <w:lang w:val="es-ES_tradnl"/>
        </w:rPr>
        <w:t xml:space="preserve"> ser objeto de apreciación y valoración en aplicación de las reglas de la san</w:t>
      </w:r>
      <w:r>
        <w:rPr>
          <w:rFonts w:ascii="Bookman Old Style" w:eastAsia="Calibri" w:hAnsi="Bookman Old Style" w:cs="Arial"/>
          <w:lang w:val="es-ES_tradnl"/>
        </w:rPr>
        <w:t xml:space="preserve">a crítica </w:t>
      </w:r>
      <w:r w:rsidRPr="006A0EA4">
        <w:rPr>
          <w:rFonts w:ascii="Bookman Old Style" w:eastAsia="Calibri" w:hAnsi="Bookman Old Style" w:cs="Arial"/>
          <w:lang w:val="es-ES_tradnl"/>
        </w:rPr>
        <w:t xml:space="preserve">o de lo contrario lleve a que </w:t>
      </w:r>
      <w:r>
        <w:rPr>
          <w:rFonts w:ascii="Bookman Old Style" w:eastAsia="Calibri" w:hAnsi="Bookman Old Style" w:cs="Arial"/>
          <w:lang w:val="es-ES_tradnl"/>
        </w:rPr>
        <w:t>algunas de estas</w:t>
      </w:r>
      <w:r w:rsidRPr="006A0EA4">
        <w:rPr>
          <w:rFonts w:ascii="Bookman Old Style" w:eastAsia="Calibri" w:hAnsi="Bookman Old Style" w:cs="Arial"/>
          <w:lang w:val="es-ES_tradnl"/>
        </w:rPr>
        <w:t xml:space="preserve"> sea</w:t>
      </w:r>
      <w:r>
        <w:rPr>
          <w:rFonts w:ascii="Bookman Old Style" w:eastAsia="Calibri" w:hAnsi="Bookman Old Style" w:cs="Arial"/>
          <w:lang w:val="es-ES_tradnl"/>
        </w:rPr>
        <w:t>n desestimadas</w:t>
      </w:r>
      <w:r w:rsidRPr="006A0EA4">
        <w:rPr>
          <w:rFonts w:ascii="Bookman Old Style" w:eastAsia="Calibri" w:hAnsi="Bookman Old Style" w:cs="Arial"/>
          <w:lang w:val="es-ES_tradnl"/>
        </w:rPr>
        <w:t xml:space="preserve"> a la hora de resolver la presente actuación.</w:t>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 xml:space="preserve">En relación con </w:t>
      </w:r>
      <w:r>
        <w:rPr>
          <w:rFonts w:ascii="Bookman Old Style" w:eastAsia="Calibri" w:hAnsi="Bookman Old Style" w:cs="Arial"/>
          <w:lang w:val="es-ES_tradnl"/>
        </w:rPr>
        <w:t>estas pruebas</w:t>
      </w:r>
      <w:r w:rsidRPr="006A0EA4">
        <w:rPr>
          <w:rFonts w:ascii="Bookman Old Style" w:eastAsia="Calibri" w:hAnsi="Bookman Old Style" w:cs="Arial"/>
          <w:lang w:val="es-ES_tradnl"/>
        </w:rPr>
        <w:t xml:space="preserve"> dentro de la presente actuación administrativa no se evidencia </w:t>
      </w:r>
      <w:r>
        <w:rPr>
          <w:rFonts w:ascii="Bookman Old Style" w:eastAsia="Calibri" w:hAnsi="Bookman Old Style" w:cs="Arial"/>
          <w:lang w:val="es-ES_tradnl"/>
        </w:rPr>
        <w:t xml:space="preserve">que </w:t>
      </w:r>
      <w:r w:rsidRPr="006A0EA4">
        <w:rPr>
          <w:rFonts w:ascii="Bookman Old Style" w:eastAsia="Calibri" w:hAnsi="Bookman Old Style" w:cs="Arial"/>
          <w:lang w:val="es-ES_tradnl"/>
        </w:rPr>
        <w:t xml:space="preserve">exista alguna afectación a los principios generales de la prueba, entre otros, de eficacia, interés público, contradicción, formalidad y legitimidad de la prueba, </w:t>
      </w:r>
      <w:r>
        <w:rPr>
          <w:rFonts w:ascii="Bookman Old Style" w:eastAsia="Calibri" w:hAnsi="Bookman Old Style" w:cs="Arial"/>
          <w:lang w:val="es-ES_tradnl"/>
        </w:rPr>
        <w:t xml:space="preserve">así como de la </w:t>
      </w:r>
      <w:r w:rsidRPr="006A0EA4">
        <w:rPr>
          <w:rFonts w:ascii="Bookman Old Style" w:eastAsia="Calibri" w:hAnsi="Bookman Old Style" w:cs="Arial"/>
          <w:lang w:val="es-ES_tradnl"/>
        </w:rPr>
        <w:t>pertinencia, idoneidad y conducencia, aplicable en este caso atendiendo el artículo 176 del Código General del Proceso:</w:t>
      </w:r>
    </w:p>
    <w:p w:rsidR="008E10C2" w:rsidRPr="006A0EA4" w:rsidRDefault="008E10C2" w:rsidP="008E10C2">
      <w:pPr>
        <w:jc w:val="both"/>
        <w:rPr>
          <w:rFonts w:ascii="Bookman Old Style" w:eastAsia="Calibri" w:hAnsi="Bookman Old Style" w:cs="Arial"/>
          <w:lang w:val="es-ES_tradnl"/>
        </w:rPr>
      </w:pPr>
    </w:p>
    <w:p w:rsidR="008E10C2" w:rsidRPr="001F49E1" w:rsidRDefault="008E10C2" w:rsidP="008E10C2">
      <w:pPr>
        <w:widowControl w:val="0"/>
        <w:ind w:left="708"/>
        <w:jc w:val="both"/>
        <w:rPr>
          <w:rFonts w:ascii="Bookman Old Style" w:hAnsi="Bookman Old Style" w:cs="Arial"/>
          <w:i/>
        </w:rPr>
      </w:pPr>
      <w:r w:rsidRPr="001F49E1">
        <w:rPr>
          <w:rFonts w:ascii="Bookman Old Style" w:hAnsi="Bookman Old Style" w:cs="Arial"/>
          <w:i/>
        </w:rPr>
        <w:t>“el análisis sobre la pertinencia de la prueba se refiere a que la misma guarde relación con el objeto del proceso, como lo establece el artículo 178 del C.P.C. A renglón seguido, la norma señala que se rechazarán las pruebas legalmente prohibidas o ineficaces, las que versen sobre hechos notoriamente impertinentes y las manifiestamente superfluas”</w:t>
      </w:r>
      <w:r w:rsidRPr="001F49E1">
        <w:rPr>
          <w:rFonts w:ascii="Bookman Old Style" w:hAnsi="Bookman Old Style" w:cs="Arial"/>
          <w:i/>
          <w:vertAlign w:val="superscript"/>
        </w:rPr>
        <w:footnoteReference w:id="15"/>
      </w:r>
      <w:r w:rsidRPr="001F49E1">
        <w:rPr>
          <w:rFonts w:ascii="Bookman Old Style" w:hAnsi="Bookman Old Style" w:cs="Arial"/>
          <w:i/>
        </w:rPr>
        <w:t xml:space="preserve">. </w:t>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También ha dicho que:</w:t>
      </w:r>
    </w:p>
    <w:p w:rsidR="008E10C2" w:rsidRPr="001F49E1" w:rsidRDefault="008E10C2" w:rsidP="008E10C2">
      <w:pPr>
        <w:widowControl w:val="0"/>
        <w:ind w:left="708"/>
        <w:jc w:val="both"/>
        <w:rPr>
          <w:rFonts w:ascii="Bookman Old Style" w:hAnsi="Bookman Old Style" w:cs="Arial"/>
          <w:i/>
        </w:rPr>
      </w:pPr>
      <w:r w:rsidRPr="001F49E1">
        <w:rPr>
          <w:rFonts w:ascii="Bookman Old Style" w:hAnsi="Bookman Old Style" w:cs="Arial"/>
          <w:i/>
        </w:rPr>
        <w:t xml:space="preserve"> </w:t>
      </w:r>
    </w:p>
    <w:p w:rsidR="008E10C2" w:rsidRPr="001F49E1" w:rsidRDefault="008E10C2" w:rsidP="008E10C2">
      <w:pPr>
        <w:widowControl w:val="0"/>
        <w:ind w:left="708"/>
        <w:jc w:val="both"/>
        <w:rPr>
          <w:rFonts w:ascii="Bookman Old Style" w:hAnsi="Bookman Old Style" w:cs="Arial"/>
          <w:i/>
        </w:rPr>
      </w:pPr>
      <w:r w:rsidRPr="001F49E1">
        <w:rPr>
          <w:rFonts w:ascii="Bookman Old Style" w:hAnsi="Bookman Old Style" w:cs="Arial"/>
          <w:i/>
        </w:rPr>
        <w:t>“la pertinencia se refiere a la relación de la prueba con lo debatido”</w:t>
      </w:r>
      <w:r w:rsidRPr="001F49E1">
        <w:rPr>
          <w:rFonts w:ascii="Bookman Old Style" w:hAnsi="Bookman Old Style" w:cs="Arial"/>
          <w:i/>
          <w:vertAlign w:val="superscript"/>
        </w:rPr>
        <w:footnoteReference w:id="16"/>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 xml:space="preserve">Y en el mismo sentido que: </w:t>
      </w:r>
    </w:p>
    <w:p w:rsidR="008E10C2" w:rsidRPr="006A0EA4" w:rsidRDefault="008E10C2" w:rsidP="008E10C2">
      <w:pPr>
        <w:jc w:val="both"/>
        <w:rPr>
          <w:rFonts w:ascii="Bookman Old Style" w:eastAsia="Calibri" w:hAnsi="Bookman Old Style" w:cs="Arial"/>
          <w:lang w:val="es-ES_tradnl"/>
        </w:rPr>
      </w:pPr>
    </w:p>
    <w:p w:rsidR="008E10C2" w:rsidRPr="001F49E1" w:rsidRDefault="008E10C2" w:rsidP="008E10C2">
      <w:pPr>
        <w:widowControl w:val="0"/>
        <w:ind w:left="708"/>
        <w:jc w:val="both"/>
        <w:rPr>
          <w:rFonts w:ascii="Bookman Old Style" w:hAnsi="Bookman Old Style" w:cs="Arial"/>
          <w:i/>
        </w:rPr>
      </w:pPr>
      <w:r w:rsidRPr="001F49E1">
        <w:rPr>
          <w:rFonts w:ascii="Bookman Old Style" w:hAnsi="Bookman Old Style" w:cs="Arial"/>
          <w:i/>
        </w:rPr>
        <w:t>“la pertinencia, tiene que ver con que dicha prueba no solo sea permitida por la Ley, (…) sino que la misma tenga una relación directa con lo que es objeto de debate. Lo anterior significa, que para efectos de determinar la pertinencia, el Juez debe estudiar si verdaderamente existe una relación directa entre la prueba y el hecho objeto de debate, para luego de ello rechazar aquellos medios probatorios que no resultan idóneos frente al problema jurídico a resolver”</w:t>
      </w:r>
      <w:r w:rsidRPr="001F49E1">
        <w:rPr>
          <w:rFonts w:ascii="Bookman Old Style" w:hAnsi="Bookman Old Style" w:cs="Arial"/>
          <w:i/>
          <w:vertAlign w:val="superscript"/>
        </w:rPr>
        <w:footnoteReference w:id="17"/>
      </w:r>
      <w:r w:rsidRPr="001F49E1">
        <w:rPr>
          <w:rFonts w:ascii="Bookman Old Style" w:hAnsi="Bookman Old Style" w:cs="Arial"/>
          <w:i/>
        </w:rPr>
        <w:t xml:space="preserve">. </w:t>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Asimismo, la Honorable Corte Constitucional ha dicho lo siguiente:</w:t>
      </w:r>
    </w:p>
    <w:p w:rsidR="008E10C2" w:rsidRPr="006A0EA4" w:rsidRDefault="008E10C2" w:rsidP="008E10C2">
      <w:pPr>
        <w:jc w:val="both"/>
        <w:rPr>
          <w:rFonts w:ascii="Bookman Old Style" w:eastAsia="Calibri" w:hAnsi="Bookman Old Style" w:cs="Arial"/>
          <w:lang w:val="es-ES_tradnl"/>
        </w:rPr>
      </w:pPr>
    </w:p>
    <w:p w:rsidR="008E10C2" w:rsidRPr="001F49E1" w:rsidRDefault="008E10C2" w:rsidP="008E10C2">
      <w:pPr>
        <w:widowControl w:val="0"/>
        <w:ind w:left="708"/>
        <w:jc w:val="both"/>
        <w:rPr>
          <w:rFonts w:ascii="Bookman Old Style" w:hAnsi="Bookman Old Style" w:cs="Arial"/>
          <w:i/>
        </w:rPr>
      </w:pPr>
      <w:r w:rsidRPr="001F49E1">
        <w:rPr>
          <w:rFonts w:ascii="Bookman Old Style" w:hAnsi="Bookman Old Style" w:cs="Arial"/>
          <w:i/>
        </w:rPr>
        <w:t>“(…) concierne al ámbito de competencia exclusiva de la respectiva autoridad judicial, la determinación acerca de la validez, aptitud, pertinencia y conducencia de las pruebas a partir de las cuales formará su convencimiento y sustentará la decisión final del litigio. (…) En consecuencia, la negativa a ordenar la práctica de determinadas pruebas ‘sólo puede obedecer a la circunstancia de que ellas no conduzcan a establecer la verdad sobre los hechos materia del proceso o que estén legalmente prohibidas o sean ineficaces o versen sobre hechos notoriamente impertinentes o se las considere manifiestamente superfluas”</w:t>
      </w:r>
      <w:r w:rsidRPr="001F49E1">
        <w:rPr>
          <w:rFonts w:ascii="Bookman Old Style" w:hAnsi="Bookman Old Style" w:cs="Arial"/>
          <w:i/>
          <w:vertAlign w:val="superscript"/>
        </w:rPr>
        <w:footnoteReference w:id="18"/>
      </w:r>
      <w:r>
        <w:rPr>
          <w:rFonts w:ascii="Bookman Old Style" w:hAnsi="Bookman Old Style" w:cs="Arial"/>
          <w:i/>
        </w:rPr>
        <w:t xml:space="preserve">. </w:t>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ind w:left="0"/>
        <w:jc w:val="both"/>
        <w:rPr>
          <w:rFonts w:ascii="Bookman Old Style" w:eastAsia="Calibri" w:hAnsi="Bookman Old Style" w:cs="Arial"/>
          <w:lang w:val="es-ES_tradnl"/>
        </w:rPr>
      </w:pPr>
      <w:r w:rsidRPr="006A0EA4">
        <w:rPr>
          <w:rFonts w:ascii="Bookman Old Style" w:eastAsia="Calibri" w:hAnsi="Bookman Old Style" w:cs="Arial"/>
          <w:lang w:val="es-ES_tradnl"/>
        </w:rPr>
        <w:t>Sobre la conducencia de la prueba ha expuesto el Honorable Consejo de Estado:</w:t>
      </w:r>
    </w:p>
    <w:p w:rsidR="008E10C2" w:rsidRPr="006A0EA4" w:rsidRDefault="008E10C2" w:rsidP="008E10C2">
      <w:pPr>
        <w:jc w:val="both"/>
        <w:rPr>
          <w:rFonts w:ascii="Bookman Old Style" w:eastAsia="Calibri" w:hAnsi="Bookman Old Style" w:cs="Arial"/>
          <w:lang w:val="es-ES_tradnl"/>
        </w:rPr>
      </w:pPr>
    </w:p>
    <w:p w:rsidR="008E10C2" w:rsidRPr="006A0EA4" w:rsidRDefault="008E10C2" w:rsidP="008E10C2">
      <w:pPr>
        <w:widowControl w:val="0"/>
        <w:ind w:left="708"/>
        <w:jc w:val="both"/>
        <w:rPr>
          <w:rFonts w:ascii="Bookman Old Style" w:eastAsia="Calibri" w:hAnsi="Bookman Old Style" w:cs="Arial"/>
          <w:lang w:val="es-ES_tradnl"/>
        </w:rPr>
      </w:pPr>
      <w:r w:rsidRPr="006A0EA4">
        <w:rPr>
          <w:rFonts w:ascii="Bookman Old Style" w:eastAsia="Calibri" w:hAnsi="Bookman Old Style" w:cs="Arial"/>
          <w:lang w:val="es-ES_tradnl"/>
        </w:rPr>
        <w:t>“</w:t>
      </w:r>
      <w:r w:rsidRPr="001F49E1">
        <w:rPr>
          <w:rFonts w:ascii="Bookman Old Style" w:hAnsi="Bookman Old Style" w:cs="Arial"/>
          <w:i/>
        </w:rPr>
        <w:t>Ahora bien. En cuanto concierne a la presunta violación de los artículos 56 y 59 del C.C.A.; y 29 de la Constitución Política de Colombia, la Sala debe precisar que si bien en la vía gubernativa los administrados tienen derecho a pedir la práctica de pruebas, el hecho de no decretarlas en razón de su inconducencia en forma justificada, no constituye ninguna irregularidad capaz de infirmar la legalidad del acto cuestionado”</w:t>
      </w:r>
      <w:r w:rsidRPr="001F49E1">
        <w:rPr>
          <w:rFonts w:ascii="Bookman Old Style" w:hAnsi="Bookman Old Style" w:cs="Arial"/>
          <w:i/>
          <w:vertAlign w:val="superscript"/>
        </w:rPr>
        <w:footnoteReference w:id="19"/>
      </w:r>
      <w:r w:rsidRPr="001F49E1">
        <w:rPr>
          <w:rFonts w:ascii="Bookman Old Style" w:hAnsi="Bookman Old Style" w:cs="Arial"/>
          <w:i/>
        </w:rPr>
        <w:t>.</w:t>
      </w:r>
    </w:p>
    <w:p w:rsidR="008E10C2" w:rsidRPr="006A0EA4" w:rsidRDefault="008E10C2" w:rsidP="008E10C2">
      <w:pPr>
        <w:jc w:val="both"/>
        <w:rPr>
          <w:rFonts w:ascii="Bookman Old Style" w:eastAsia="Calibri" w:hAnsi="Bookman Old Style" w:cs="Arial"/>
          <w:lang w:val="es-ES_tradnl"/>
        </w:rPr>
      </w:pPr>
    </w:p>
    <w:bookmarkEnd w:id="1"/>
    <w:bookmarkEnd w:id="2"/>
    <w:p w:rsidR="008E10C2" w:rsidRDefault="008E10C2" w:rsidP="008E10C2">
      <w:pPr>
        <w:ind w:left="0"/>
        <w:rPr>
          <w:rFonts w:ascii="Bookman Old Style" w:hAnsi="Bookman Old Style"/>
          <w:b/>
        </w:rPr>
      </w:pPr>
    </w:p>
    <w:p w:rsidR="008E10C2" w:rsidRDefault="008E10C2" w:rsidP="008E10C2">
      <w:pPr>
        <w:numPr>
          <w:ilvl w:val="1"/>
          <w:numId w:val="29"/>
        </w:numPr>
        <w:rPr>
          <w:rFonts w:ascii="Bookman Old Style" w:hAnsi="Bookman Old Style"/>
          <w:b/>
        </w:rPr>
      </w:pPr>
      <w:r>
        <w:rPr>
          <w:rFonts w:ascii="Bookman Old Style" w:hAnsi="Bookman Old Style"/>
          <w:b/>
        </w:rPr>
        <w:t>I</w:t>
      </w:r>
      <w:r w:rsidRPr="00496B75">
        <w:rPr>
          <w:rFonts w:ascii="Bookman Old Style" w:hAnsi="Bookman Old Style"/>
          <w:b/>
        </w:rPr>
        <w:t xml:space="preserve">ncumplimiento </w:t>
      </w:r>
      <w:r>
        <w:rPr>
          <w:rFonts w:ascii="Bookman Old Style" w:hAnsi="Bookman Old Style"/>
          <w:b/>
        </w:rPr>
        <w:t xml:space="preserve">de las OEF con IPVO </w:t>
      </w:r>
      <w:r w:rsidRPr="00496B75">
        <w:rPr>
          <w:rFonts w:ascii="Bookman Old Style" w:hAnsi="Bookman Old Style"/>
          <w:b/>
        </w:rPr>
        <w:t xml:space="preserve">2018 </w:t>
      </w:r>
    </w:p>
    <w:p w:rsidR="008E10C2" w:rsidRDefault="008E10C2" w:rsidP="008E10C2">
      <w:pPr>
        <w:ind w:left="0"/>
        <w:jc w:val="both"/>
        <w:rPr>
          <w:rFonts w:ascii="Bookman Old Style" w:hAnsi="Bookman Old Style"/>
          <w:b/>
        </w:rPr>
      </w:pPr>
    </w:p>
    <w:p w:rsidR="008E10C2" w:rsidRDefault="008E10C2" w:rsidP="008E10C2">
      <w:pPr>
        <w:ind w:left="0"/>
        <w:jc w:val="both"/>
        <w:rPr>
          <w:rFonts w:ascii="Bookman Old Style" w:hAnsi="Bookman Old Style" w:cs="Arial"/>
          <w:bCs/>
        </w:rPr>
      </w:pPr>
      <w:r>
        <w:rPr>
          <w:rFonts w:ascii="Bookman Old Style" w:hAnsi="Bookman Old Style" w:cs="Arial"/>
          <w:bCs/>
        </w:rPr>
        <w:t xml:space="preserve">Tal como se ha expuesto en los apartes anteriores, esta Comisión cuenta con elementos de prueba necesarios </w:t>
      </w:r>
      <w:r w:rsidRPr="00A01035">
        <w:rPr>
          <w:rFonts w:ascii="Bookman Old Style" w:hAnsi="Bookman Old Style" w:cs="Arial"/>
          <w:bCs/>
        </w:rPr>
        <w:t>a la hora de establecer plenamente la existencia del incumplimiento grave e insalvable del proyecto hidroeléctrico Ituango, y determinar las consecuencias respecto de las obligaciones de energía firme asignadas con inicio de vigencia del periodo de la obligación para el año 2018 y que no se debe o corresponde acudir a otros medios probatorios diferente para estos efectos.</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 xml:space="preserve">De acuerdo con esto, teniendo en cuenta que la presente actuación administrativa se adelanta con el fin de </w:t>
      </w:r>
      <w:r w:rsidRPr="005D57BB">
        <w:rPr>
          <w:rFonts w:ascii="Bookman Old Style" w:hAnsi="Bookman Old Style" w:cs="Arial"/>
          <w:bCs/>
        </w:rPr>
        <w:t>establecer plenamente la existencia del incumplimiento grave e insalvable del proyecto hidroeléctrico Ituango, y determinar las consecuencias respecto de las obligaciones de energía firme asignad</w:t>
      </w:r>
      <w:r>
        <w:rPr>
          <w:rFonts w:ascii="Bookman Old Style" w:hAnsi="Bookman Old Style" w:cs="Arial"/>
          <w:bCs/>
        </w:rPr>
        <w:t xml:space="preserve">as con inicio de vigencia 2018, le corresponde a esta Comisión en la presente actuación </w:t>
      </w:r>
      <w:r w:rsidR="00A74647">
        <w:rPr>
          <w:rFonts w:ascii="Bookman Old Style" w:hAnsi="Bookman Old Style" w:cs="Arial"/>
          <w:bCs/>
        </w:rPr>
        <w:t xml:space="preserve">establecer plenamente </w:t>
      </w:r>
      <w:r>
        <w:rPr>
          <w:rFonts w:ascii="Bookman Old Style" w:hAnsi="Bookman Old Style" w:cs="Arial"/>
          <w:bCs/>
        </w:rPr>
        <w:t xml:space="preserve">la existencia de los siguientes eventos:  </w:t>
      </w:r>
    </w:p>
    <w:p w:rsidR="0030591F" w:rsidRDefault="0030591F" w:rsidP="008E10C2">
      <w:pPr>
        <w:ind w:left="0"/>
        <w:jc w:val="both"/>
        <w:rPr>
          <w:rFonts w:ascii="Bookman Old Style" w:hAnsi="Bookman Old Style" w:cs="Arial"/>
          <w:bCs/>
        </w:rPr>
      </w:pPr>
    </w:p>
    <w:p w:rsidR="00782B1B" w:rsidRPr="00EB0EE6" w:rsidRDefault="008E10C2" w:rsidP="00EB0EE6">
      <w:pPr>
        <w:pStyle w:val="Prrafodelista"/>
        <w:numPr>
          <w:ilvl w:val="0"/>
          <w:numId w:val="35"/>
        </w:numPr>
        <w:jc w:val="both"/>
        <w:rPr>
          <w:rFonts w:ascii="Bookman Old Style" w:hAnsi="Bookman Old Style" w:cs="Arial"/>
          <w:bCs/>
        </w:rPr>
      </w:pPr>
      <w:r w:rsidRPr="00EB0EE6">
        <w:rPr>
          <w:rFonts w:ascii="Bookman Old Style" w:hAnsi="Bookman Old Style" w:cs="Arial"/>
          <w:bCs/>
          <w:sz w:val="24"/>
        </w:rPr>
        <w:t>Que hay un atraso en el cronograma de construcción superior a un año respecto del IPVO, 1 diciembre de 2018;</w:t>
      </w:r>
      <w:r w:rsidR="00782B1B" w:rsidRPr="00EB0EE6">
        <w:rPr>
          <w:rFonts w:ascii="Bookman Old Style" w:hAnsi="Bookman Old Style" w:cs="Arial"/>
          <w:bCs/>
          <w:sz w:val="24"/>
        </w:rPr>
        <w:t>y</w:t>
      </w:r>
    </w:p>
    <w:p w:rsidR="008E10C2" w:rsidRPr="00EB0EE6" w:rsidRDefault="008E10C2" w:rsidP="00EB0EE6">
      <w:pPr>
        <w:pStyle w:val="Prrafodelista"/>
        <w:numPr>
          <w:ilvl w:val="0"/>
          <w:numId w:val="35"/>
        </w:numPr>
        <w:jc w:val="both"/>
        <w:rPr>
          <w:rFonts w:ascii="Bookman Old Style" w:hAnsi="Bookman Old Style" w:cs="Arial"/>
          <w:bCs/>
        </w:rPr>
      </w:pPr>
      <w:r w:rsidRPr="00EB0EE6">
        <w:rPr>
          <w:rFonts w:ascii="Bookman Old Style" w:hAnsi="Bookman Old Style" w:cs="Arial"/>
          <w:bCs/>
          <w:sz w:val="24"/>
        </w:rPr>
        <w:t xml:space="preserve"> ii) Que la planta no entró en operación en la IPVO: 1 diciembre de 2018. Esta última en la medida que la presente decisión se adopta con posterioridad al inicio del período de vigencia de la obligación OEF del año 2018. Lo anterior teniendo en cuenta los artículos 9 y 13 de la Resolución CREG 071 de 2006 y 061 de 2017 que establecen lo siguiente:</w:t>
      </w:r>
    </w:p>
    <w:p w:rsidR="008E10C2" w:rsidRDefault="008E10C2" w:rsidP="008E10C2">
      <w:pPr>
        <w:jc w:val="both"/>
        <w:rPr>
          <w:rFonts w:ascii="Bookman Old Style" w:hAnsi="Bookman Old Style" w:cs="Arial"/>
          <w:bCs/>
        </w:rPr>
      </w:pP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w:t>
      </w:r>
      <w:r w:rsidRPr="001266BC">
        <w:rPr>
          <w:rFonts w:ascii="Bookman Old Style" w:hAnsi="Bookman Old Style" w:cs="Arial"/>
          <w:b/>
          <w:i/>
        </w:rPr>
        <w:t>Artículo 9. Efectos del incumplimiento del cronograma de construcción o de repotenciación, o de la puesta en operación de la planta</w:t>
      </w:r>
      <w:r w:rsidRPr="005D57BB">
        <w:rPr>
          <w:rFonts w:ascii="Bookman Old Style" w:hAnsi="Bookman Old Style" w:cs="Arial"/>
          <w:i/>
          <w:u w:val="single"/>
        </w:rPr>
        <w:t>. El incumplimiento de las obligaciones relacionadas con el cronograma de construcción o con la puesta en operación de la planta o unidad de generación producirá los siguientes efectos</w:t>
      </w:r>
      <w:r w:rsidRPr="001266BC">
        <w:rPr>
          <w:rFonts w:ascii="Bookman Old Style" w:hAnsi="Bookman Old Style" w:cs="Arial"/>
          <w:i/>
        </w:rPr>
        <w:t>:</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1.</w:t>
      </w:r>
      <w:r w:rsidRPr="001266BC">
        <w:rPr>
          <w:rFonts w:ascii="Bookman Old Style" w:hAnsi="Bookman Old Style" w:cs="Arial"/>
          <w:i/>
        </w:rPr>
        <w:tab/>
        <w:t xml:space="preserve">La no presentación del cronograma de construcción (…). </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2.</w:t>
      </w:r>
      <w:r w:rsidRPr="001266BC">
        <w:rPr>
          <w:rFonts w:ascii="Bookman Old Style" w:hAnsi="Bookman Old Style" w:cs="Arial"/>
          <w:i/>
        </w:rPr>
        <w:tab/>
      </w:r>
      <w:r w:rsidRPr="001266BC">
        <w:rPr>
          <w:rFonts w:ascii="Bookman Old Style" w:hAnsi="Bookman Old Style" w:cs="Arial"/>
          <w:i/>
          <w:u w:val="single"/>
        </w:rPr>
        <w:t>El retraso en el cronograma de construcción</w:t>
      </w:r>
      <w:r w:rsidRPr="001266BC">
        <w:rPr>
          <w:rFonts w:ascii="Bookman Old Style" w:hAnsi="Bookman Old Style" w:cs="Arial"/>
          <w:i/>
        </w:rPr>
        <w:t xml:space="preserve"> o repotenciación de la planta o unidad de generación </w:t>
      </w:r>
      <w:r w:rsidRPr="001266BC">
        <w:rPr>
          <w:rFonts w:ascii="Bookman Old Style" w:hAnsi="Bookman Old Style" w:cs="Arial"/>
          <w:i/>
          <w:u w:val="single"/>
        </w:rPr>
        <w:t>frente a la Curva S que no constituya incumplimiento grave e insalvable, dará lugar al ajuste de la garantía</w:t>
      </w:r>
      <w:r w:rsidRPr="001266BC">
        <w:rPr>
          <w:rFonts w:ascii="Bookman Old Style" w:hAnsi="Bookman Old Style" w:cs="Arial"/>
          <w:i/>
        </w:rPr>
        <w:t xml:space="preserve"> de conformidad con los procedimientos que se definan en el Reglamento de Garantías para el Cargo por Confiabilidad de que trata el Artículo 78 de esta resolución.</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3.</w:t>
      </w:r>
      <w:r w:rsidRPr="001266BC">
        <w:rPr>
          <w:rFonts w:ascii="Bookman Old Style" w:hAnsi="Bookman Old Style" w:cs="Arial"/>
          <w:i/>
        </w:rPr>
        <w:tab/>
        <w:t>El incumplimiento grave e insalvable de la puesta en operación de la planta o unidad de generación, dará lugar a:</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a)</w:t>
      </w:r>
      <w:r w:rsidRPr="001266BC">
        <w:rPr>
          <w:rFonts w:ascii="Bookman Old Style" w:hAnsi="Bookman Old Style" w:cs="Arial"/>
          <w:i/>
        </w:rPr>
        <w:tab/>
        <w:t xml:space="preserve">La ejecución de la garantía. </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b)</w:t>
      </w:r>
      <w:r w:rsidRPr="001266BC">
        <w:rPr>
          <w:rFonts w:ascii="Bookman Old Style" w:hAnsi="Bookman Old Style" w:cs="Arial"/>
          <w:i/>
        </w:rPr>
        <w:tab/>
        <w:t>La pérdida para el generador de la asignación de la Obligación de Energía Firme y la remuneración asociada a ella.</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 xml:space="preserve">4. </w:t>
      </w:r>
      <w:r w:rsidRPr="001266BC">
        <w:rPr>
          <w:rFonts w:ascii="Bookman Old Style" w:hAnsi="Bookman Old Style" w:cs="Arial"/>
          <w:i/>
          <w:u w:val="single"/>
        </w:rPr>
        <w:t>Cuando la fecha de puesta en operación de la planta</w:t>
      </w:r>
      <w:r w:rsidRPr="001266BC">
        <w:rPr>
          <w:rFonts w:ascii="Bookman Old Style" w:hAnsi="Bookman Old Style" w:cs="Arial"/>
          <w:i/>
        </w:rPr>
        <w:t xml:space="preserve">, determinada por el auditor, </w:t>
      </w:r>
      <w:r w:rsidRPr="001266BC">
        <w:rPr>
          <w:rFonts w:ascii="Bookman Old Style" w:hAnsi="Bookman Old Style" w:cs="Arial"/>
          <w:i/>
          <w:u w:val="single"/>
        </w:rPr>
        <w:t>sea posterior a la fecha de inicio del Período de Vigencia de la Obligación y no constituya incumplimiento grave e insalvable, el agente deberá garantizar el cumplimiento de su Obligación de Energía Firme a través de un contrato con uno o algunos de los anillos de seguridad</w:t>
      </w:r>
      <w:r w:rsidRPr="001266BC">
        <w:rPr>
          <w:rFonts w:ascii="Bookman Old Style" w:hAnsi="Bookman Old Style" w:cs="Arial"/>
          <w:i/>
        </w:rPr>
        <w:t>, vigente desde la fecha de inicio del Período de Vigencia de la Obligación y hasta la nueva fecha de puesta en operación de la planta. La omisión en la obligación de garantizar la Obligación de Energía Firme a través de un contrato con uno o algunos de los anillos de seguridad dará lugar a que el incumplimiento se considere grave e insalvable con las consecuencias previstas en el numeral 3 de este artículo.</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b/>
          <w:i/>
        </w:rPr>
        <w:t>Parágrafo</w:t>
      </w:r>
      <w:r w:rsidRPr="001266BC">
        <w:rPr>
          <w:rFonts w:ascii="Bookman Old Style" w:hAnsi="Bookman Old Style" w:cs="Arial"/>
          <w:i/>
        </w:rPr>
        <w:t xml:space="preserve">. En el caso del </w:t>
      </w:r>
      <w:r w:rsidRPr="001266BC">
        <w:rPr>
          <w:rFonts w:ascii="Bookman Old Style" w:hAnsi="Bookman Old Style" w:cs="Arial"/>
          <w:i/>
          <w:u w:val="single"/>
        </w:rPr>
        <w:t>incumplimiento grave e insalvable que se determina cuando el informe del auditor indica que la puesta en operación de la planta o unidad de generación tendrá un atraso mayor a un año, contado a partir de la fecha de inicio del Periodo de Vigencia de la Obligación</w:t>
      </w:r>
      <w:r w:rsidRPr="001266BC">
        <w:rPr>
          <w:rFonts w:ascii="Bookman Old Style" w:hAnsi="Bookman Old Style" w:cs="Arial"/>
          <w:i/>
        </w:rPr>
        <w:t xml:space="preserve">, la CREG, con el propósito de </w:t>
      </w:r>
      <w:r w:rsidRPr="001266BC">
        <w:rPr>
          <w:rFonts w:ascii="Bookman Old Style" w:hAnsi="Bookman Old Style" w:cs="Arial"/>
          <w:i/>
          <w:u w:val="single"/>
        </w:rPr>
        <w:t xml:space="preserve">establecer plenamente la existencia del incumplimiento, determinar sus consecuencias </w:t>
      </w:r>
      <w:r w:rsidRPr="001266BC">
        <w:rPr>
          <w:rFonts w:ascii="Bookman Old Style" w:hAnsi="Bookman Old Style" w:cs="Arial"/>
          <w:i/>
        </w:rPr>
        <w:t>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Pr>
          <w:rFonts w:ascii="Bookman Old Style" w:hAnsi="Bookman Old Style" w:cs="Arial"/>
          <w:i/>
        </w:rPr>
        <w:t xml:space="preserve"> (Resaltado fuera de texto)</w:t>
      </w:r>
    </w:p>
    <w:p w:rsidR="008E10C2" w:rsidRDefault="008E10C2" w:rsidP="008E10C2">
      <w:pPr>
        <w:ind w:left="708"/>
        <w:jc w:val="both"/>
        <w:rPr>
          <w:rFonts w:ascii="Bookman Old Style" w:hAnsi="Bookman Old Style" w:cs="Arial"/>
          <w:i/>
        </w:rPr>
      </w:pPr>
    </w:p>
    <w:p w:rsidR="008E10C2" w:rsidRPr="001266BC" w:rsidRDefault="008E10C2" w:rsidP="008E10C2">
      <w:pPr>
        <w:ind w:left="708"/>
        <w:jc w:val="both"/>
        <w:rPr>
          <w:rFonts w:ascii="Bookman Old Style" w:hAnsi="Bookman Old Style" w:cs="Arial"/>
          <w:i/>
        </w:rPr>
      </w:pPr>
    </w:p>
    <w:p w:rsidR="008E10C2" w:rsidRPr="001266BC" w:rsidRDefault="008E10C2" w:rsidP="008E10C2">
      <w:pPr>
        <w:ind w:left="708"/>
        <w:jc w:val="both"/>
        <w:rPr>
          <w:rFonts w:ascii="Bookman Old Style" w:hAnsi="Bookman Old Style" w:cs="Arial"/>
          <w:i/>
          <w:u w:val="single"/>
        </w:rPr>
      </w:pPr>
      <w:r w:rsidRPr="001266BC">
        <w:rPr>
          <w:rFonts w:ascii="Bookman Old Style" w:hAnsi="Bookman Old Style" w:cs="Arial"/>
          <w:b/>
          <w:i/>
        </w:rPr>
        <w:t>“Artículo 13. Eventos de incumplimiento.</w:t>
      </w:r>
      <w:r w:rsidRPr="001266BC">
        <w:rPr>
          <w:rFonts w:ascii="Bookman Old Style" w:hAnsi="Bookman Old Style" w:cs="Arial"/>
          <w:i/>
        </w:rPr>
        <w:t xml:space="preserve"> </w:t>
      </w:r>
      <w:r w:rsidRPr="001266BC">
        <w:rPr>
          <w:rFonts w:ascii="Bookman Old Style" w:hAnsi="Bookman Old Style" w:cs="Arial"/>
          <w:i/>
          <w:u w:val="single"/>
        </w:rPr>
        <w:t>Constituyen eventos de incumplimiento grave e insalvable los siguientes:</w:t>
      </w:r>
    </w:p>
    <w:p w:rsidR="008E10C2" w:rsidRPr="001266BC" w:rsidRDefault="008E10C2" w:rsidP="008E10C2">
      <w:pPr>
        <w:ind w:left="708"/>
        <w:jc w:val="both"/>
        <w:rPr>
          <w:rFonts w:ascii="Bookman Old Style" w:hAnsi="Bookman Old Style" w:cs="Arial"/>
          <w:i/>
        </w:rPr>
      </w:pPr>
      <w:r w:rsidRPr="001266BC">
        <w:rPr>
          <w:rFonts w:ascii="Bookman Old Style" w:hAnsi="Bookman Old Style" w:cs="Arial"/>
          <w:i/>
        </w:rPr>
        <w:t>1.</w:t>
      </w:r>
      <w:r w:rsidRPr="001266BC">
        <w:rPr>
          <w:rFonts w:ascii="Bookman Old Style" w:hAnsi="Bookman Old Style" w:cs="Arial"/>
          <w:i/>
        </w:rPr>
        <w:tab/>
      </w:r>
      <w:r w:rsidRPr="001266BC">
        <w:rPr>
          <w:rFonts w:ascii="Bookman Old Style" w:hAnsi="Bookman Old Style" w:cs="Arial"/>
          <w:i/>
          <w:u w:val="single"/>
        </w:rPr>
        <w:t>Incumplimiento Calificado de Cronograma que implique que la puesta en operación de la planta o unidad de generación, ocurrirá en un plazo superior a un (1) año contado a partir del IPVO</w:t>
      </w:r>
      <w:r w:rsidRPr="001266BC">
        <w:rPr>
          <w:rFonts w:ascii="Bookman Old Style" w:hAnsi="Bookman Old Style" w:cs="Arial"/>
          <w:i/>
        </w:rPr>
        <w:t>.</w:t>
      </w:r>
    </w:p>
    <w:p w:rsidR="00A74647" w:rsidRPr="00A74647" w:rsidRDefault="00A74647" w:rsidP="00A74647">
      <w:pPr>
        <w:ind w:left="708"/>
        <w:jc w:val="both"/>
        <w:rPr>
          <w:rFonts w:ascii="Bookman Old Style" w:hAnsi="Bookman Old Style" w:cs="Arial"/>
          <w:i/>
        </w:rPr>
      </w:pPr>
      <w:r w:rsidRPr="00A74647">
        <w:rPr>
          <w:rFonts w:ascii="Bookman Old Style" w:hAnsi="Bookman Old Style" w:cs="Arial"/>
          <w:i/>
        </w:rPr>
        <w:t>2.</w:t>
      </w:r>
      <w:r w:rsidRPr="00A74647">
        <w:rPr>
          <w:rFonts w:ascii="Bookman Old Style" w:hAnsi="Bookman Old Style" w:cs="Arial"/>
          <w:i/>
        </w:rPr>
        <w:tab/>
        <w:t>Incumplimiento Calificado de Cronograma, que implique que la puesta en operación de la planta o unidad de generación ocurrirá en un plazo inferior a un (1) año, contado a partir del IPVO, y el Agente Generador o la Persona Jurídica Interesada, una vez esté registrada como Agente Generador ante el ASIC, no garanticen el cumplimiento de la Obligación de Energía Firme con un Contrato o Declaración de Respaldo, de otra planta o unidad de generación. Este Contrato o Declaración de Respaldo debe estar registrado ante el ASIC a más tardar dentro de los quince (15) días calendario siguientes a la fecha en que el CND reciba el correspondiente informe del auditor y debe estar vigente desde el IPVO hasta la nueva fecha de puesta en operación de la planta o unidad de generación, certificada por el Auditor.</w:t>
      </w:r>
    </w:p>
    <w:p w:rsidR="00A74647" w:rsidRPr="00A74647" w:rsidRDefault="00A74647" w:rsidP="00A74647">
      <w:pPr>
        <w:ind w:left="708"/>
        <w:jc w:val="both"/>
        <w:rPr>
          <w:rFonts w:ascii="Bookman Old Style" w:hAnsi="Bookman Old Style" w:cs="Arial"/>
          <w:i/>
        </w:rPr>
      </w:pPr>
      <w:r w:rsidRPr="00A74647">
        <w:rPr>
          <w:rFonts w:ascii="Bookman Old Style" w:hAnsi="Bookman Old Style" w:cs="Arial"/>
          <w:i/>
        </w:rPr>
        <w:t>3.</w:t>
      </w:r>
      <w:r w:rsidRPr="00A74647">
        <w:rPr>
          <w:rFonts w:ascii="Bookman Old Style" w:hAnsi="Bookman Old Style" w:cs="Arial"/>
          <w:i/>
        </w:rPr>
        <w:tab/>
        <w:t>Puesta en operación de la planta o unidad de generación con una ENFICC inferior a la asociada a la Obligación de Energía Firme asignada, calculada en la forma prevista en el Anexo 3 de la Resolución CREG 071 de 2006 o aquellas que la modifiquen, adicionen o sustituyan.</w:t>
      </w:r>
    </w:p>
    <w:p w:rsidR="00A74647" w:rsidRPr="00A74647" w:rsidRDefault="00A74647" w:rsidP="00A74647">
      <w:pPr>
        <w:ind w:left="708"/>
        <w:jc w:val="both"/>
        <w:rPr>
          <w:rFonts w:ascii="Bookman Old Style" w:hAnsi="Bookman Old Style" w:cs="Arial"/>
          <w:i/>
        </w:rPr>
      </w:pPr>
      <w:r w:rsidRPr="00A74647">
        <w:rPr>
          <w:rFonts w:ascii="Bookman Old Style" w:hAnsi="Bookman Old Style" w:cs="Arial"/>
          <w:i/>
        </w:rPr>
        <w:t>4.</w:t>
      </w:r>
      <w:r w:rsidRPr="00A74647">
        <w:rPr>
          <w:rFonts w:ascii="Bookman Old Style" w:hAnsi="Bookman Old Style" w:cs="Arial"/>
          <w:i/>
        </w:rPr>
        <w:tab/>
        <w:t>El Agente Generador o la Persona Jurídica Interesada no acredita ante la CREG el ajuste o reposición de las garantías conforme a lo establecido en el presente Reglamento.</w:t>
      </w:r>
    </w:p>
    <w:p w:rsidR="008E10C2" w:rsidRPr="001266BC" w:rsidRDefault="00A74647" w:rsidP="008E10C2">
      <w:pPr>
        <w:ind w:left="708"/>
        <w:jc w:val="both"/>
        <w:rPr>
          <w:rFonts w:ascii="Bookman Old Style" w:hAnsi="Bookman Old Style" w:cs="Arial"/>
          <w:i/>
        </w:rPr>
      </w:pPr>
      <w:r w:rsidRPr="00A74647">
        <w:rPr>
          <w:rFonts w:ascii="Bookman Old Style" w:hAnsi="Bookman Old Style" w:cs="Arial"/>
          <w:i/>
        </w:rPr>
        <w:t>5.</w:t>
      </w:r>
      <w:r w:rsidRPr="00A74647">
        <w:rPr>
          <w:rFonts w:ascii="Bookman Old Style" w:hAnsi="Bookman Old Style" w:cs="Arial"/>
          <w:i/>
        </w:rPr>
        <w:tab/>
        <w:t>El Agente Generador o la Persona Jurídica Interesada no acredita ante el ASIC el pago de los honorarios del Auditor designado para verificar el cumplimiento del cronograma de construcción o repotenciación, o de puesta en operación de la planta o unidad de generación, conforme a lo establecido en el presente Capítulo.</w:t>
      </w:r>
      <w:r w:rsidR="008E10C2" w:rsidRPr="001266BC">
        <w:rPr>
          <w:rFonts w:ascii="Bookman Old Style" w:hAnsi="Bookman Old Style" w:cs="Arial"/>
          <w:i/>
        </w:rPr>
        <w:t>”</w:t>
      </w:r>
      <w:r w:rsidR="008E10C2">
        <w:rPr>
          <w:rFonts w:ascii="Bookman Old Style" w:hAnsi="Bookman Old Style" w:cs="Arial"/>
          <w:i/>
        </w:rPr>
        <w:t xml:space="preserve"> (Resaltado fuera de texto)</w:t>
      </w:r>
    </w:p>
    <w:p w:rsidR="008E10C2" w:rsidRDefault="008E10C2" w:rsidP="008E10C2">
      <w:pPr>
        <w:ind w:left="0"/>
        <w:jc w:val="both"/>
        <w:rPr>
          <w:rFonts w:ascii="Bookman Old Style" w:eastAsia="Calibri" w:hAnsi="Bookman Old Style" w:cs="Arial"/>
          <w:lang w:val="es-ES_tradnl"/>
        </w:rPr>
      </w:pPr>
    </w:p>
    <w:p w:rsidR="008E10C2" w:rsidRDefault="008E10C2" w:rsidP="008E10C2">
      <w:pPr>
        <w:ind w:left="0"/>
        <w:jc w:val="both"/>
        <w:rPr>
          <w:rFonts w:ascii="Bookman Old Style" w:eastAsia="Calibri" w:hAnsi="Bookman Old Style" w:cs="Arial"/>
          <w:lang w:val="es-ES_tradnl"/>
        </w:rPr>
      </w:pPr>
      <w:r>
        <w:rPr>
          <w:rFonts w:ascii="Bookman Old Style" w:eastAsia="Calibri" w:hAnsi="Bookman Old Style" w:cs="Arial"/>
          <w:lang w:val="es-ES_tradnl"/>
        </w:rPr>
        <w:t>E</w:t>
      </w:r>
      <w:r w:rsidRPr="006A0EA4">
        <w:rPr>
          <w:rFonts w:ascii="Bookman Old Style" w:eastAsia="Calibri" w:hAnsi="Bookman Old Style" w:cs="Arial"/>
          <w:lang w:val="es-ES_tradnl"/>
        </w:rPr>
        <w:t xml:space="preserve">s claro que </w:t>
      </w:r>
      <w:r>
        <w:rPr>
          <w:rFonts w:ascii="Bookman Old Style" w:eastAsia="Calibri" w:hAnsi="Bookman Old Style" w:cs="Arial"/>
          <w:lang w:val="es-ES_tradnl"/>
        </w:rPr>
        <w:t xml:space="preserve">las pruebas documentales y testimoniales decretadas y practicadas dentro de la actuación </w:t>
      </w:r>
      <w:r w:rsidRPr="006A0EA4">
        <w:rPr>
          <w:rFonts w:ascii="Bookman Old Style" w:eastAsia="Calibri" w:hAnsi="Bookman Old Style" w:cs="Arial"/>
          <w:lang w:val="es-ES_tradnl"/>
        </w:rPr>
        <w:t>permite</w:t>
      </w:r>
      <w:r>
        <w:rPr>
          <w:rFonts w:ascii="Bookman Old Style" w:eastAsia="Calibri" w:hAnsi="Bookman Old Style" w:cs="Arial"/>
          <w:lang w:val="es-ES_tradnl"/>
        </w:rPr>
        <w:t>n</w:t>
      </w:r>
      <w:r w:rsidRPr="006A0EA4">
        <w:rPr>
          <w:rFonts w:ascii="Bookman Old Style" w:eastAsia="Calibri" w:hAnsi="Bookman Old Style" w:cs="Arial"/>
          <w:lang w:val="es-ES_tradnl"/>
        </w:rPr>
        <w:t xml:space="preserve"> darle elementos de convicción a la Comisión</w:t>
      </w:r>
      <w:r>
        <w:rPr>
          <w:rFonts w:ascii="Bookman Old Style" w:eastAsia="Calibri" w:hAnsi="Bookman Old Style" w:cs="Arial"/>
          <w:lang w:val="es-ES_tradnl"/>
        </w:rPr>
        <w:t xml:space="preserve"> a efectos de que esta pueda tomar una decisión dentro de la presente actuación, lo anterior </w:t>
      </w:r>
      <w:r w:rsidRPr="006A0EA4">
        <w:rPr>
          <w:rFonts w:ascii="Bookman Old Style" w:eastAsia="Calibri" w:hAnsi="Bookman Old Style" w:cs="Arial"/>
          <w:lang w:val="es-ES_tradnl"/>
        </w:rPr>
        <w:t>de acuerdo con el artículo 168 del Código General del Proceso</w:t>
      </w:r>
      <w:r>
        <w:rPr>
          <w:rFonts w:ascii="Bookman Old Style" w:eastAsia="Calibri" w:hAnsi="Bookman Old Style" w:cs="Arial"/>
          <w:lang w:val="es-ES_tradnl"/>
        </w:rPr>
        <w:t>.</w:t>
      </w:r>
    </w:p>
    <w:p w:rsidR="008E10C2" w:rsidRPr="002E2997" w:rsidRDefault="008E10C2" w:rsidP="008E10C2">
      <w:pPr>
        <w:ind w:left="0"/>
        <w:jc w:val="both"/>
        <w:rPr>
          <w:rFonts w:ascii="Bookman Old Style" w:eastAsia="Calibri" w:hAnsi="Bookman Old Style" w:cs="Arial"/>
          <w:lang w:val="es-ES_tradnl"/>
        </w:rPr>
      </w:pPr>
    </w:p>
    <w:p w:rsidR="008E10C2" w:rsidRDefault="008E10C2" w:rsidP="008E10C2">
      <w:pPr>
        <w:ind w:left="0"/>
        <w:jc w:val="both"/>
        <w:rPr>
          <w:rFonts w:ascii="Bookman Old Style" w:hAnsi="Bookman Old Style" w:cs="Arial"/>
          <w:bCs/>
        </w:rPr>
      </w:pPr>
      <w:r>
        <w:rPr>
          <w:rFonts w:ascii="Bookman Old Style" w:hAnsi="Bookman Old Style" w:cs="Arial"/>
          <w:bCs/>
        </w:rPr>
        <w:t xml:space="preserve">De acuerdo con lo anterior, esta </w:t>
      </w:r>
      <w:r w:rsidRPr="002E2997">
        <w:rPr>
          <w:rFonts w:ascii="Bookman Old Style" w:hAnsi="Bookman Old Style" w:cs="Arial"/>
          <w:bCs/>
        </w:rPr>
        <w:t xml:space="preserve">Comisión ha procedido a llevar a cabo un ejercicio de valoración </w:t>
      </w:r>
      <w:r>
        <w:rPr>
          <w:rFonts w:ascii="Bookman Old Style" w:hAnsi="Bookman Old Style" w:cs="Arial"/>
          <w:bCs/>
        </w:rPr>
        <w:t xml:space="preserve">autónoma, libre e </w:t>
      </w:r>
      <w:r w:rsidRPr="002E2997">
        <w:rPr>
          <w:rFonts w:ascii="Bookman Old Style" w:hAnsi="Bookman Old Style" w:cs="Arial"/>
          <w:bCs/>
        </w:rPr>
        <w:t xml:space="preserve">integral </w:t>
      </w:r>
      <w:r>
        <w:rPr>
          <w:rFonts w:ascii="Bookman Old Style" w:hAnsi="Bookman Old Style" w:cs="Arial"/>
          <w:bCs/>
        </w:rPr>
        <w:t>de las pruebas en el marco de</w:t>
      </w:r>
      <w:r w:rsidRPr="009754EE">
        <w:rPr>
          <w:rFonts w:ascii="Bookman Old Style" w:hAnsi="Bookman Old Style" w:cs="Arial"/>
          <w:bCs/>
        </w:rPr>
        <w:t xml:space="preserve"> los artículos 168</w:t>
      </w:r>
      <w:r>
        <w:rPr>
          <w:rFonts w:ascii="Bookman Old Style" w:hAnsi="Bookman Old Style" w:cs="Arial"/>
          <w:bCs/>
        </w:rPr>
        <w:t>, 176, 178</w:t>
      </w:r>
      <w:r w:rsidRPr="009754EE">
        <w:rPr>
          <w:rFonts w:ascii="Bookman Old Style" w:hAnsi="Bookman Old Style" w:cs="Arial"/>
          <w:bCs/>
        </w:rPr>
        <w:t xml:space="preserve"> y 23</w:t>
      </w:r>
      <w:r>
        <w:rPr>
          <w:rFonts w:ascii="Bookman Old Style" w:hAnsi="Bookman Old Style" w:cs="Arial"/>
          <w:bCs/>
        </w:rPr>
        <w:t>2 del Código General del Proceso,</w:t>
      </w:r>
      <w:r w:rsidRPr="009754EE">
        <w:rPr>
          <w:rFonts w:ascii="Bookman Old Style" w:hAnsi="Bookman Old Style" w:cs="Arial"/>
          <w:bCs/>
        </w:rPr>
        <w:t xml:space="preserve"> sustentado dentro de los parámetros de la sana crítica, como parte de la aplicación de los </w:t>
      </w:r>
      <w:r>
        <w:rPr>
          <w:rFonts w:ascii="Bookman Old Style" w:hAnsi="Bookman Old Style" w:cs="Arial"/>
          <w:bCs/>
        </w:rPr>
        <w:t xml:space="preserve">principios que rigen la prueba y </w:t>
      </w:r>
      <w:r w:rsidRPr="009754EE">
        <w:rPr>
          <w:rFonts w:ascii="Bookman Old Style" w:hAnsi="Bookman Old Style" w:cs="Arial"/>
          <w:bCs/>
        </w:rPr>
        <w:t>los fines que debe cumplir el ejercicio de la facultad regulatoria de los servicios públicos domiciliarios de ener</w:t>
      </w:r>
      <w:r>
        <w:rPr>
          <w:rFonts w:ascii="Bookman Old Style" w:hAnsi="Bookman Old Style" w:cs="Arial"/>
          <w:bCs/>
        </w:rPr>
        <w:t xml:space="preserve">gía eléctrica y gas combustible.  </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Los eventos de incumplimiento a que se ha hecho referencia se encuentran probados a partir del informe del auditor del proyecto correspondiente al primer semestre de 2018, entregado en octubre del mismo año, denominado</w:t>
      </w:r>
      <w:r w:rsidRPr="000D632E">
        <w:rPr>
          <w:rFonts w:ascii="Bookman Old Style" w:hAnsi="Bookman Old Style" w:cs="Arial"/>
          <w:bCs/>
        </w:rPr>
        <w:t xml:space="preserve"> </w:t>
      </w:r>
      <w:r w:rsidRPr="009B05DD">
        <w:rPr>
          <w:rFonts w:ascii="Bookman Old Style" w:hAnsi="Bookman Old Style" w:cs="Arial"/>
          <w:bCs/>
          <w:i/>
        </w:rPr>
        <w:t>Informe de auditoría primer semestre 2018</w:t>
      </w:r>
      <w:r>
        <w:rPr>
          <w:rFonts w:ascii="Bookman Old Style" w:hAnsi="Bookman Old Style" w:cs="Arial"/>
          <w:bCs/>
        </w:rPr>
        <w:t>, en el cual se expuso</w:t>
      </w:r>
      <w:r w:rsidRPr="000D632E">
        <w:rPr>
          <w:rFonts w:ascii="Bookman Old Style" w:hAnsi="Bookman Old Style" w:cs="Arial"/>
          <w:bCs/>
        </w:rPr>
        <w:t>:</w:t>
      </w:r>
    </w:p>
    <w:p w:rsidR="008E10C2" w:rsidRDefault="008E10C2" w:rsidP="008E10C2">
      <w:pPr>
        <w:ind w:left="0"/>
        <w:jc w:val="both"/>
        <w:rPr>
          <w:rFonts w:ascii="Bookman Old Style" w:hAnsi="Bookman Old Style" w:cs="Arial"/>
          <w:bCs/>
        </w:rPr>
      </w:pPr>
    </w:p>
    <w:p w:rsidR="008E10C2" w:rsidRPr="009B05DD" w:rsidRDefault="008E10C2" w:rsidP="008E10C2">
      <w:pPr>
        <w:ind w:left="705"/>
        <w:jc w:val="both"/>
        <w:rPr>
          <w:rFonts w:ascii="Bookman Old Style" w:hAnsi="Bookman Old Style" w:cs="Arial"/>
          <w:bCs/>
          <w:i/>
        </w:rPr>
      </w:pPr>
      <w:r>
        <w:rPr>
          <w:rFonts w:ascii="Bookman Old Style" w:hAnsi="Bookman Old Style" w:cs="Arial"/>
          <w:bCs/>
          <w:i/>
        </w:rPr>
        <w:t xml:space="preserve">“… no nos permite al 30 de junio de 2018, directamente verificar el alcance </w:t>
      </w:r>
      <w:r>
        <w:rPr>
          <w:rFonts w:ascii="Bookman Old Style" w:hAnsi="Bookman Old Style" w:cs="Arial"/>
          <w:bCs/>
          <w:i/>
        </w:rPr>
        <w:tab/>
        <w:t>de la curva S real frente a los parámetros usados por el gestor del proyecto en la curva S declarada ante la CREG, así como estimar la nueva fecha de puesta en operación de las obras de la planta de generación.”</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Y finalmente concluye:</w:t>
      </w:r>
    </w:p>
    <w:p w:rsidR="008E10C2" w:rsidRPr="000D632E" w:rsidRDefault="008E10C2" w:rsidP="008E10C2">
      <w:pPr>
        <w:jc w:val="both"/>
        <w:rPr>
          <w:rFonts w:ascii="Bookman Old Style" w:hAnsi="Bookman Old Style" w:cs="Arial"/>
          <w:bCs/>
        </w:rPr>
      </w:pPr>
      <w:r w:rsidRPr="000D632E">
        <w:rPr>
          <w:rFonts w:ascii="Bookman Old Style" w:hAnsi="Bookman Old Style" w:cs="Arial"/>
          <w:bCs/>
        </w:rPr>
        <w:t xml:space="preserve"> </w:t>
      </w:r>
    </w:p>
    <w:p w:rsidR="008E10C2" w:rsidRPr="000D632E" w:rsidRDefault="008E10C2" w:rsidP="008E10C2">
      <w:pPr>
        <w:ind w:left="708"/>
        <w:jc w:val="both"/>
        <w:rPr>
          <w:rFonts w:ascii="Bookman Old Style" w:hAnsi="Bookman Old Style" w:cs="Arial"/>
          <w:i/>
        </w:rPr>
      </w:pPr>
      <w:r w:rsidRPr="000D632E">
        <w:rPr>
          <w:rFonts w:ascii="Bookman Old Style" w:hAnsi="Bookman Old Style" w:cs="Arial"/>
          <w:i/>
        </w:rPr>
        <w:t xml:space="preserve">“… se presente un atraso importante frente a la fecha de Inicio del Período de Vigencia de la Obligación-IPVO (1 diciembre de 2018), lo cual, conforme a la regulación aplicable, </w:t>
      </w:r>
      <w:r w:rsidRPr="000D632E">
        <w:rPr>
          <w:rFonts w:ascii="Bookman Old Style" w:hAnsi="Bookman Old Style" w:cs="Arial"/>
          <w:b/>
          <w:i/>
        </w:rPr>
        <w:t>constituye un incumplimiento grave e insalvable</w:t>
      </w:r>
      <w:r w:rsidRPr="000D632E">
        <w:rPr>
          <w:rFonts w:ascii="Bookman Old Style" w:hAnsi="Bookman Old Style" w:cs="Arial"/>
          <w:i/>
        </w:rPr>
        <w:t>.”</w:t>
      </w:r>
      <w:r>
        <w:rPr>
          <w:rFonts w:ascii="Bookman Old Style" w:hAnsi="Bookman Old Style" w:cs="Arial"/>
          <w:i/>
        </w:rPr>
        <w:t xml:space="preserve"> (Resaltado fuera de texto)</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 xml:space="preserve">Esta calificación exigida por la regulación fue confirmada en el testimonio rendido en audiencia de pruebas del día 27 de </w:t>
      </w:r>
      <w:r w:rsidR="00A74647">
        <w:rPr>
          <w:rFonts w:ascii="Bookman Old Style" w:hAnsi="Bookman Old Style" w:cs="Arial"/>
          <w:bCs/>
        </w:rPr>
        <w:t>m</w:t>
      </w:r>
      <w:r>
        <w:rPr>
          <w:rFonts w:ascii="Bookman Old Style" w:hAnsi="Bookman Old Style" w:cs="Arial"/>
          <w:bCs/>
        </w:rPr>
        <w:t>arzo 27 de 2019, por parte del señor Carlos Andrés Flórez, en calidad de Auditor del proyecto de la firma Deloitte</w:t>
      </w:r>
      <w:r w:rsidR="00726D02">
        <w:rPr>
          <w:rFonts w:ascii="Bookman Old Style" w:hAnsi="Bookman Old Style" w:cs="Arial"/>
          <w:bCs/>
        </w:rPr>
        <w:t xml:space="preserve">, en los siguientes términos: </w:t>
      </w:r>
    </w:p>
    <w:p w:rsidR="00726D02" w:rsidRDefault="00726D02" w:rsidP="008E10C2">
      <w:pPr>
        <w:ind w:left="0"/>
        <w:jc w:val="both"/>
        <w:rPr>
          <w:rFonts w:ascii="Bookman Old Style" w:hAnsi="Bookman Old Style" w:cs="Arial"/>
          <w:bCs/>
        </w:rPr>
      </w:pPr>
    </w:p>
    <w:p w:rsidR="00726D02" w:rsidRDefault="00726D02" w:rsidP="00EB0EE6">
      <w:pPr>
        <w:ind w:left="708"/>
        <w:jc w:val="both"/>
        <w:rPr>
          <w:rFonts w:ascii="Bookman Old Style" w:hAnsi="Bookman Old Style" w:cs="Arial"/>
          <w:bCs/>
          <w:i/>
        </w:rPr>
      </w:pPr>
      <w:r>
        <w:rPr>
          <w:rFonts w:ascii="Bookman Old Style" w:hAnsi="Bookman Old Style" w:cs="Arial"/>
          <w:bCs/>
          <w:i/>
        </w:rPr>
        <w:t>“(…)</w:t>
      </w:r>
    </w:p>
    <w:p w:rsidR="00726D02" w:rsidRPr="00EB0EE6" w:rsidRDefault="00726D02" w:rsidP="00EB0EE6">
      <w:pPr>
        <w:ind w:left="708"/>
        <w:jc w:val="both"/>
        <w:rPr>
          <w:rFonts w:ascii="Bookman Old Style" w:hAnsi="Bookman Old Style" w:cs="Arial"/>
          <w:bCs/>
          <w:i/>
        </w:rPr>
      </w:pPr>
      <w:r w:rsidRPr="00EB0EE6">
        <w:rPr>
          <w:rFonts w:ascii="Bookman Old Style" w:hAnsi="Bookman Old Style" w:cs="Arial"/>
          <w:bCs/>
          <w:i/>
        </w:rPr>
        <w:t xml:space="preserve">Sin embargo, al momento de revisar el resto de la información, el resto de los 20 puntos que hemos solicitado adicionales para mirar, consideramos la necesidad de establecer un procedimiento alterno a auditoría donde se solicita a EPM la confirmación de la entrada en operación del proyecto. EPM nos responde en su momento con una comunicación donde indica que esta entrada en operación es en un periodo mayor al 1 de diciembre de 2019. </w:t>
      </w:r>
    </w:p>
    <w:p w:rsidR="00726D02" w:rsidRPr="00EB0EE6" w:rsidRDefault="00726D02" w:rsidP="00EB0EE6">
      <w:pPr>
        <w:ind w:left="708"/>
        <w:jc w:val="both"/>
        <w:rPr>
          <w:rFonts w:ascii="Bookman Old Style" w:hAnsi="Bookman Old Style" w:cs="Arial"/>
          <w:bCs/>
          <w:i/>
        </w:rPr>
      </w:pPr>
    </w:p>
    <w:p w:rsidR="00726D02" w:rsidRDefault="00726D02" w:rsidP="00EB0EE6">
      <w:pPr>
        <w:ind w:left="708"/>
        <w:jc w:val="both"/>
        <w:rPr>
          <w:rFonts w:ascii="Bookman Old Style" w:hAnsi="Bookman Old Style" w:cs="Arial"/>
          <w:bCs/>
          <w:i/>
        </w:rPr>
      </w:pPr>
      <w:r w:rsidRPr="00EB0EE6">
        <w:rPr>
          <w:rFonts w:ascii="Bookman Old Style" w:hAnsi="Bookman Old Style" w:cs="Arial"/>
          <w:bCs/>
          <w:i/>
        </w:rPr>
        <w:t>Por esta razón, nosotros, con esta información más todo lo que hemos revisado en la información adicional que sí obtuvimos de parte del gestor del proyecto, consideramos que se generó un incumplimiento grave e insalvable, como lo dice nuestra conclusión en el informe.</w:t>
      </w:r>
    </w:p>
    <w:p w:rsidR="00726D02" w:rsidRDefault="00726D02" w:rsidP="00EB0EE6">
      <w:pPr>
        <w:ind w:left="708"/>
        <w:jc w:val="both"/>
        <w:rPr>
          <w:rFonts w:ascii="Bookman Old Style" w:hAnsi="Bookman Old Style" w:cs="Arial"/>
          <w:bCs/>
        </w:rPr>
      </w:pPr>
      <w:r>
        <w:rPr>
          <w:rFonts w:ascii="Bookman Old Style" w:hAnsi="Bookman Old Style" w:cs="Arial"/>
          <w:bCs/>
          <w:i/>
        </w:rPr>
        <w:t>(…)”</w:t>
      </w:r>
    </w:p>
    <w:p w:rsidR="008E10C2" w:rsidRDefault="008E10C2" w:rsidP="008E10C2">
      <w:pPr>
        <w:ind w:left="0"/>
        <w:jc w:val="both"/>
        <w:rPr>
          <w:rFonts w:ascii="Bookman Old Style" w:hAnsi="Bookman Old Style" w:cs="Arial"/>
          <w:bCs/>
        </w:rPr>
      </w:pPr>
    </w:p>
    <w:p w:rsidR="008E10C2" w:rsidRPr="000D632E" w:rsidRDefault="008E10C2" w:rsidP="008E10C2">
      <w:pPr>
        <w:ind w:left="0"/>
        <w:jc w:val="both"/>
        <w:rPr>
          <w:rFonts w:ascii="Bookman Old Style" w:hAnsi="Bookman Old Style" w:cs="Arial"/>
          <w:bCs/>
        </w:rPr>
      </w:pPr>
      <w:r>
        <w:rPr>
          <w:rFonts w:ascii="Bookman Old Style" w:hAnsi="Bookman Old Style" w:cs="Arial"/>
          <w:bCs/>
        </w:rPr>
        <w:t xml:space="preserve">Adicionalmente se encuentra en el informe del auditor que el Vicepresidente de Proyectos de EPM ante preguntas específicas formuladas para efectos de la auditoría manifestó que no se veía posible la entrada en operación de las primeras cuatro unidades del proyecto antes del 1 de diciembre de 2019 con escenarios de puesta en operación comercial a partir del 2021. </w:t>
      </w:r>
    </w:p>
    <w:p w:rsidR="008E10C2" w:rsidRDefault="008E10C2" w:rsidP="008E10C2">
      <w:pPr>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En concordancia con lo anterior, los testimonios de los señores: i)</w:t>
      </w:r>
      <w:r w:rsidRPr="000D632E">
        <w:rPr>
          <w:rFonts w:ascii="Bookman Old Style" w:hAnsi="Bookman Old Style" w:cs="Arial"/>
          <w:bCs/>
        </w:rPr>
        <w:t>Bayardo Materón -Board EPM/exper</w:t>
      </w:r>
      <w:r>
        <w:rPr>
          <w:rFonts w:ascii="Bookman Old Style" w:hAnsi="Bookman Old Style" w:cs="Arial"/>
          <w:bCs/>
        </w:rPr>
        <w:t xml:space="preserve">to en estructuras hidráulicas de EPM; ii) </w:t>
      </w:r>
      <w:r w:rsidRPr="000D632E">
        <w:rPr>
          <w:rFonts w:ascii="Bookman Old Style" w:hAnsi="Bookman Old Style" w:cs="Arial"/>
          <w:bCs/>
        </w:rPr>
        <w:t>Nelson de Sousa-Board EPM/expert</w:t>
      </w:r>
      <w:r>
        <w:rPr>
          <w:rFonts w:ascii="Bookman Old Style" w:hAnsi="Bookman Old Style" w:cs="Arial"/>
          <w:bCs/>
        </w:rPr>
        <w:t xml:space="preserve">o en grandes presas hidráulicas de EPM; iii) </w:t>
      </w:r>
      <w:r w:rsidRPr="000D632E">
        <w:rPr>
          <w:rFonts w:ascii="Bookman Old Style" w:hAnsi="Bookman Old Style" w:cs="Arial"/>
          <w:bCs/>
        </w:rPr>
        <w:t>Juan David Quintero -Boa</w:t>
      </w:r>
      <w:r>
        <w:rPr>
          <w:rFonts w:ascii="Bookman Old Style" w:hAnsi="Bookman Old Style" w:cs="Arial"/>
          <w:bCs/>
        </w:rPr>
        <w:t xml:space="preserve">rd EPM/experto ambiental  (EPM); iv) </w:t>
      </w:r>
      <w:r w:rsidR="001002B6" w:rsidRPr="000D632E">
        <w:rPr>
          <w:rFonts w:ascii="Bookman Old Style" w:hAnsi="Bookman Old Style" w:cs="Arial"/>
          <w:bCs/>
        </w:rPr>
        <w:t>Álvaro</w:t>
      </w:r>
      <w:r w:rsidRPr="000D632E">
        <w:rPr>
          <w:rFonts w:ascii="Bookman Old Style" w:hAnsi="Bookman Old Style" w:cs="Arial"/>
          <w:bCs/>
        </w:rPr>
        <w:t xml:space="preserve"> Arav</w:t>
      </w:r>
      <w:r>
        <w:rPr>
          <w:rFonts w:ascii="Bookman Old Style" w:hAnsi="Bookman Old Style" w:cs="Arial"/>
          <w:bCs/>
        </w:rPr>
        <w:t xml:space="preserve">i Castro - Interventor Ingetec; v) </w:t>
      </w:r>
      <w:r w:rsidRPr="000D632E">
        <w:rPr>
          <w:rFonts w:ascii="Bookman Old Style" w:hAnsi="Bookman Old Style" w:cs="Arial"/>
          <w:bCs/>
        </w:rPr>
        <w:t>Luis Fernando Restrepo- Gerente infraestructura de Integral</w:t>
      </w:r>
      <w:r>
        <w:rPr>
          <w:rFonts w:ascii="Bookman Old Style" w:hAnsi="Bookman Old Style" w:cs="Arial"/>
          <w:bCs/>
        </w:rPr>
        <w:t xml:space="preserve"> y; vi) </w:t>
      </w:r>
      <w:r w:rsidRPr="000D632E">
        <w:rPr>
          <w:rFonts w:ascii="Bookman Old Style" w:hAnsi="Bookman Old Style" w:cs="Arial"/>
          <w:bCs/>
        </w:rPr>
        <w:t>Gabriel Fernández – Board EPM/expert</w:t>
      </w:r>
      <w:r>
        <w:rPr>
          <w:rFonts w:ascii="Bookman Old Style" w:hAnsi="Bookman Old Style" w:cs="Arial"/>
          <w:bCs/>
        </w:rPr>
        <w:t>o en geología y geotecnia de EPM, confirman que para el 1º de diciembre de 2018, fecha de inicio del período de vigencia de la obligación de energía en firme, la planta no entró en operación comercial y que existe un atraso superior a un año a partir de dicho momento en tanto que todos hacen referencia a que dicho proyecto entraría en operación con una fecha superior al 1º de diciembre del año 2019, señalando como fecha estimada de entrada el año 2021.</w:t>
      </w:r>
    </w:p>
    <w:p w:rsidR="008E10C2" w:rsidRDefault="008E10C2" w:rsidP="008E10C2">
      <w:pPr>
        <w:ind w:left="0"/>
        <w:jc w:val="both"/>
        <w:rPr>
          <w:rFonts w:ascii="Bookman Old Style" w:hAnsi="Bookman Old Style" w:cs="Arial"/>
          <w:bCs/>
        </w:rPr>
      </w:pPr>
    </w:p>
    <w:p w:rsidR="008E10C2" w:rsidRDefault="008E10C2" w:rsidP="008E10C2">
      <w:pPr>
        <w:ind w:left="0"/>
        <w:jc w:val="both"/>
        <w:rPr>
          <w:rFonts w:ascii="Bookman Old Style" w:hAnsi="Bookman Old Style" w:cs="Arial"/>
          <w:bCs/>
        </w:rPr>
      </w:pPr>
      <w:r>
        <w:rPr>
          <w:rFonts w:ascii="Bookman Old Style" w:hAnsi="Bookman Old Style" w:cs="Arial"/>
          <w:bCs/>
        </w:rPr>
        <w:t xml:space="preserve">Al respecto el señor Gabriel Fernández </w:t>
      </w:r>
      <w:r w:rsidR="00A74647">
        <w:rPr>
          <w:rFonts w:ascii="Bookman Old Style" w:hAnsi="Bookman Old Style" w:cs="Arial"/>
          <w:bCs/>
        </w:rPr>
        <w:t>afirmó</w:t>
      </w:r>
    </w:p>
    <w:p w:rsidR="008E10C2" w:rsidRDefault="008E10C2" w:rsidP="008E10C2">
      <w:pPr>
        <w:jc w:val="both"/>
        <w:rPr>
          <w:rFonts w:ascii="Bookman Old Style" w:hAnsi="Bookman Old Style" w:cs="Arial"/>
          <w:bCs/>
          <w:i/>
        </w:rPr>
      </w:pPr>
    </w:p>
    <w:p w:rsidR="008E10C2" w:rsidRDefault="008E10C2" w:rsidP="008E10C2">
      <w:pPr>
        <w:jc w:val="both"/>
        <w:rPr>
          <w:rFonts w:ascii="Bookman Old Style" w:hAnsi="Bookman Old Style" w:cs="Arial"/>
          <w:bCs/>
        </w:rPr>
      </w:pPr>
      <w:r w:rsidRPr="009B05DD">
        <w:rPr>
          <w:rFonts w:ascii="Bookman Old Style" w:hAnsi="Bookman Old Style" w:cs="Arial"/>
          <w:bCs/>
          <w:i/>
        </w:rPr>
        <w:t>(…)sí nos han dicho o nos han informado de cuál es el plan, no sé, quiero ser preciso con las fechas, pero la idea es poner cuatro máquinas antes de noviembre del 2021, no sé, algo, y dos máquinas primero, vamos a poner dos primero y las otras dos después, y creo que hay un año de gracia, no sé qué, para poner todas las unidades. Entiendo.</w:t>
      </w:r>
      <w:r w:rsidR="00582D35">
        <w:rPr>
          <w:rFonts w:ascii="Bookman Old Style" w:hAnsi="Bookman Old Style" w:cs="Arial"/>
          <w:bCs/>
          <w:i/>
        </w:rPr>
        <w:t>”</w:t>
      </w:r>
    </w:p>
    <w:p w:rsidR="008E10C2" w:rsidRDefault="008E10C2" w:rsidP="008E10C2">
      <w:pPr>
        <w:ind w:left="0"/>
        <w:jc w:val="both"/>
        <w:rPr>
          <w:rFonts w:ascii="Bookman Old Style" w:hAnsi="Bookman Old Style" w:cs="Arial"/>
        </w:rPr>
      </w:pPr>
    </w:p>
    <w:p w:rsidR="00582D35" w:rsidRDefault="00582D35" w:rsidP="00582D35">
      <w:pPr>
        <w:ind w:left="0"/>
        <w:jc w:val="both"/>
        <w:rPr>
          <w:rFonts w:ascii="Bookman Old Style" w:hAnsi="Bookman Old Style" w:cs="Arial"/>
          <w:bCs/>
        </w:rPr>
      </w:pPr>
      <w:r>
        <w:rPr>
          <w:rFonts w:ascii="Bookman Old Style" w:hAnsi="Bookman Old Style" w:cs="Arial"/>
          <w:bCs/>
        </w:rPr>
        <w:t xml:space="preserve">Los demás elementos de prueba en especial, las pruebas documentales: i) Informe causa raíz Escava; ii) Informe Universidad Nacional; iii) </w:t>
      </w:r>
      <w:r w:rsidRPr="005E5CDD">
        <w:rPr>
          <w:rFonts w:ascii="Bookman Old Style" w:hAnsi="Bookman Old Style" w:cs="Arial"/>
          <w:bCs/>
        </w:rPr>
        <w:t>Comunicados y declaraciones de prensa EPM</w:t>
      </w:r>
      <w:r>
        <w:rPr>
          <w:rFonts w:ascii="Bookman Old Style" w:hAnsi="Bookman Old Style" w:cs="Arial"/>
          <w:bCs/>
        </w:rPr>
        <w:t xml:space="preserve">; iv) </w:t>
      </w:r>
      <w:r w:rsidRPr="005E5CDD">
        <w:rPr>
          <w:rFonts w:ascii="Bookman Old Style" w:hAnsi="Bookman Old Style" w:cs="Arial"/>
          <w:bCs/>
        </w:rPr>
        <w:t>Información entregada a CREG por EPM</w:t>
      </w:r>
      <w:r>
        <w:rPr>
          <w:rFonts w:ascii="Bookman Old Style" w:hAnsi="Bookman Old Style" w:cs="Arial"/>
          <w:bCs/>
        </w:rPr>
        <w:t xml:space="preserve">; iv) Resolución 0820 de 2018 de la Agencia Nacional de Licencias Ambientales, así como la declaración juramentada por parte del Representante Legal de EPM, no logran desvirtuar esta conclusión, ni permiten aportar elementos de mérito que logren probar lo contrario a los eventos que se encuentran probados y que configuran lo que la regulación denomina </w:t>
      </w:r>
      <w:r w:rsidRPr="005E5CDD">
        <w:rPr>
          <w:rFonts w:ascii="Bookman Old Style" w:hAnsi="Bookman Old Style" w:cs="Arial"/>
          <w:bCs/>
        </w:rPr>
        <w:t>inc</w:t>
      </w:r>
      <w:r>
        <w:rPr>
          <w:rFonts w:ascii="Bookman Old Style" w:hAnsi="Bookman Old Style" w:cs="Arial"/>
          <w:bCs/>
        </w:rPr>
        <w:t xml:space="preserve">umplimiento grave e insalvable por parte de EPM de las obligaciones a que hacen referencia los numerales 1 y 2 del artículo 7 de la Resolución CREG 071 de 2006.  </w:t>
      </w:r>
    </w:p>
    <w:p w:rsidR="00582D35" w:rsidRDefault="00582D35" w:rsidP="00582D35">
      <w:pPr>
        <w:jc w:val="both"/>
        <w:rPr>
          <w:rFonts w:ascii="Bookman Old Style" w:hAnsi="Bookman Old Style" w:cs="Arial"/>
          <w:bCs/>
        </w:rPr>
      </w:pPr>
    </w:p>
    <w:p w:rsidR="00582D35" w:rsidRDefault="00582D35" w:rsidP="00582D35">
      <w:pPr>
        <w:ind w:left="0"/>
        <w:jc w:val="both"/>
        <w:rPr>
          <w:rFonts w:ascii="Bookman Old Style" w:hAnsi="Bookman Old Style" w:cs="Arial"/>
          <w:bCs/>
          <w:i/>
        </w:rPr>
      </w:pPr>
      <w:r>
        <w:rPr>
          <w:rFonts w:ascii="Bookman Old Style" w:hAnsi="Bookman Old Style" w:cs="Arial"/>
          <w:bCs/>
        </w:rPr>
        <w:t xml:space="preserve">Es por esto que la Comisión cuenta con elementos de juicio suficientes que le permiten establecer </w:t>
      </w:r>
      <w:r w:rsidR="000A04F5">
        <w:rPr>
          <w:rFonts w:ascii="Bookman Old Style" w:hAnsi="Bookman Old Style" w:cs="Arial"/>
          <w:bCs/>
        </w:rPr>
        <w:t xml:space="preserve">plenamente </w:t>
      </w:r>
      <w:r>
        <w:rPr>
          <w:rFonts w:ascii="Bookman Old Style" w:hAnsi="Bookman Old Style" w:cs="Arial"/>
          <w:bCs/>
        </w:rPr>
        <w:t>la existencia de dicho evento de incumplimiento grave e insalvable dentro del trámite de la presente actuación administrativa para la obligación de energía en firme asignada en la subasta</w:t>
      </w:r>
      <w:r w:rsidRPr="00F40F01">
        <w:rPr>
          <w:rFonts w:ascii="Bookman Old Style" w:hAnsi="Bookman Old Style" w:cs="Arial"/>
        </w:rPr>
        <w:t xml:space="preserve"> </w:t>
      </w:r>
      <w:r>
        <w:rPr>
          <w:rFonts w:ascii="Bookman Old Style" w:hAnsi="Bookman Old Style" w:cs="Arial"/>
        </w:rPr>
        <w:t>para plantas GPPS</w:t>
      </w:r>
      <w:r>
        <w:rPr>
          <w:rFonts w:ascii="Bookman Old Style" w:hAnsi="Bookman Old Style" w:cs="Arial"/>
          <w:bCs/>
        </w:rPr>
        <w:t xml:space="preserve"> del año 2008 y fecha de inicio de período de vigencia de la obligación del 1 de diciembre de 2018. </w:t>
      </w:r>
    </w:p>
    <w:p w:rsidR="00582D35" w:rsidRDefault="00582D35" w:rsidP="00582D35">
      <w:pPr>
        <w:jc w:val="both"/>
        <w:rPr>
          <w:rFonts w:ascii="Bookman Old Style" w:hAnsi="Bookman Old Style" w:cs="Arial"/>
          <w:bCs/>
          <w:i/>
        </w:rPr>
      </w:pPr>
    </w:p>
    <w:p w:rsidR="00582D35" w:rsidRDefault="00582D35" w:rsidP="00582D35">
      <w:pPr>
        <w:ind w:left="0"/>
        <w:jc w:val="both"/>
        <w:rPr>
          <w:rFonts w:ascii="Bookman Old Style" w:hAnsi="Bookman Old Style" w:cs="Arial"/>
          <w:bCs/>
        </w:rPr>
      </w:pPr>
      <w:r>
        <w:rPr>
          <w:rFonts w:ascii="Bookman Old Style" w:hAnsi="Bookman Old Style" w:cs="Arial"/>
          <w:bCs/>
          <w:lang w:val="es-ES_tradnl"/>
        </w:rPr>
        <w:t>E</w:t>
      </w:r>
      <w:r w:rsidRPr="009754EE">
        <w:rPr>
          <w:rFonts w:ascii="Bookman Old Style" w:hAnsi="Bookman Old Style" w:cs="Arial"/>
          <w:bCs/>
        </w:rPr>
        <w:t>n relación con</w:t>
      </w:r>
      <w:r>
        <w:rPr>
          <w:rFonts w:ascii="Bookman Old Style" w:hAnsi="Bookman Old Style" w:cs="Arial"/>
          <w:bCs/>
        </w:rPr>
        <w:t xml:space="preserve"> dichos medios de prueba, se establece igualmente que los mismos cumplen con</w:t>
      </w:r>
      <w:r w:rsidRPr="009754EE">
        <w:rPr>
          <w:rFonts w:ascii="Bookman Old Style" w:hAnsi="Bookman Old Style" w:cs="Arial"/>
          <w:bCs/>
        </w:rPr>
        <w:t xml:space="preserve"> los requisitos</w:t>
      </w:r>
      <w:r w:rsidRPr="009754EE">
        <w:rPr>
          <w:rFonts w:ascii="Bookman Old Style" w:hAnsi="Bookman Old Style"/>
          <w:lang w:val="es-ES_tradnl"/>
        </w:rPr>
        <w:t xml:space="preserve"> </w:t>
      </w:r>
      <w:r w:rsidRPr="009754EE">
        <w:rPr>
          <w:rFonts w:ascii="Bookman Old Style" w:hAnsi="Bookman Old Style" w:cs="Arial"/>
          <w:bCs/>
        </w:rPr>
        <w:t>de existencia, validez y eficacia</w:t>
      </w:r>
      <w:r>
        <w:rPr>
          <w:rFonts w:ascii="Bookman Old Style" w:hAnsi="Bookman Old Style" w:cs="Arial"/>
          <w:bCs/>
        </w:rPr>
        <w:t xml:space="preserve">. </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En el caso de los primeros, se evidencia que dichas pruebas corresponden a un</w:t>
      </w:r>
      <w:r w:rsidRPr="009754EE">
        <w:rPr>
          <w:rFonts w:ascii="Bookman Old Style" w:hAnsi="Bookman Old Style" w:cs="Arial"/>
          <w:bCs/>
        </w:rPr>
        <w:t xml:space="preserve"> acto procesal debidamente decretado conforme a lo dispuesto en la </w:t>
      </w:r>
      <w:r>
        <w:rPr>
          <w:rFonts w:ascii="Bookman Old Style" w:hAnsi="Bookman Old Style" w:cs="Arial"/>
          <w:bCs/>
        </w:rPr>
        <w:t>Código General del Proceso y el artículo 40 de la Ley 1437 de 2011</w:t>
      </w:r>
      <w:r w:rsidRPr="009754EE">
        <w:rPr>
          <w:rFonts w:ascii="Bookman Old Style" w:hAnsi="Bookman Old Style" w:cs="Arial"/>
          <w:bCs/>
        </w:rPr>
        <w:t xml:space="preserve">. </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 xml:space="preserve">En el caso de </w:t>
      </w:r>
      <w:r w:rsidRPr="009754EE">
        <w:rPr>
          <w:rFonts w:ascii="Bookman Old Style" w:hAnsi="Bookman Old Style" w:cs="Arial"/>
          <w:bCs/>
        </w:rPr>
        <w:t xml:space="preserve">los requisitos de validez, </w:t>
      </w:r>
      <w:r>
        <w:rPr>
          <w:rFonts w:ascii="Bookman Old Style" w:hAnsi="Bookman Old Style" w:cs="Arial"/>
          <w:bCs/>
        </w:rPr>
        <w:t>estas pruebas</w:t>
      </w:r>
      <w:r w:rsidRPr="009754EE">
        <w:rPr>
          <w:rFonts w:ascii="Bookman Old Style" w:hAnsi="Bookman Old Style" w:cs="Arial"/>
          <w:bCs/>
        </w:rPr>
        <w:t xml:space="preserve"> carece</w:t>
      </w:r>
      <w:r>
        <w:rPr>
          <w:rFonts w:ascii="Bookman Old Style" w:hAnsi="Bookman Old Style" w:cs="Arial"/>
          <w:bCs/>
        </w:rPr>
        <w:t>n</w:t>
      </w:r>
      <w:r w:rsidRPr="009754EE">
        <w:rPr>
          <w:rFonts w:ascii="Bookman Old Style" w:hAnsi="Bookman Old Style" w:cs="Arial"/>
          <w:bCs/>
        </w:rPr>
        <w:t xml:space="preserve"> vicio</w:t>
      </w:r>
      <w:r>
        <w:rPr>
          <w:rFonts w:ascii="Bookman Old Style" w:hAnsi="Bookman Old Style" w:cs="Arial"/>
          <w:bCs/>
        </w:rPr>
        <w:t xml:space="preserve"> alguno</w:t>
      </w:r>
      <w:r w:rsidRPr="009754EE">
        <w:rPr>
          <w:rFonts w:ascii="Bookman Old Style" w:hAnsi="Bookman Old Style" w:cs="Arial"/>
          <w:bCs/>
        </w:rPr>
        <w:t xml:space="preserve"> que derive en su nulidad, es decir, un vicio que lo afecte relacionado con su ordenación de forma ilegal</w:t>
      </w:r>
      <w:r>
        <w:rPr>
          <w:rFonts w:ascii="Bookman Old Style" w:hAnsi="Bookman Old Style" w:cs="Arial"/>
          <w:bCs/>
        </w:rPr>
        <w:t>.</w:t>
      </w:r>
      <w:r w:rsidRPr="009754EE">
        <w:rPr>
          <w:rFonts w:ascii="Bookman Old Style" w:hAnsi="Bookman Old Style" w:cs="Arial"/>
          <w:bCs/>
        </w:rPr>
        <w:t xml:space="preserve"> </w:t>
      </w:r>
      <w:r>
        <w:rPr>
          <w:rFonts w:ascii="Bookman Old Style" w:hAnsi="Bookman Old Style" w:cs="Arial"/>
          <w:bCs/>
        </w:rPr>
        <w:t>La práctica de estas pruebas fue adelantada en las audiencias y en los términos del Código General del Proceso</w:t>
      </w:r>
      <w:r w:rsidRPr="009754EE">
        <w:rPr>
          <w:rFonts w:ascii="Bookman Old Style" w:hAnsi="Bookman Old Style" w:cs="Arial"/>
          <w:bCs/>
        </w:rPr>
        <w:t xml:space="preserve">, </w:t>
      </w:r>
      <w:r>
        <w:rPr>
          <w:rFonts w:ascii="Bookman Old Style" w:hAnsi="Bookman Old Style" w:cs="Arial"/>
          <w:bCs/>
        </w:rPr>
        <w:t>de la misma forma que los testimonios fueron rendidos</w:t>
      </w:r>
      <w:r w:rsidRPr="009754EE">
        <w:rPr>
          <w:rFonts w:ascii="Bookman Old Style" w:hAnsi="Bookman Old Style" w:cs="Arial"/>
          <w:bCs/>
        </w:rPr>
        <w:t xml:space="preserve"> </w:t>
      </w:r>
      <w:r>
        <w:rPr>
          <w:rFonts w:ascii="Bookman Old Style" w:hAnsi="Bookman Old Style" w:cs="Arial"/>
          <w:bCs/>
        </w:rPr>
        <w:t xml:space="preserve">de manera libre y espontánea, sin considerar que estos fueran </w:t>
      </w:r>
      <w:r w:rsidRPr="009754EE">
        <w:rPr>
          <w:rFonts w:ascii="Bookman Old Style" w:hAnsi="Bookman Old Style" w:cs="Arial"/>
          <w:bCs/>
        </w:rPr>
        <w:t>un acto inconsciente, coaccionado o sujeto a otro tipo de vicio.</w:t>
      </w:r>
    </w:p>
    <w:p w:rsidR="00582D35" w:rsidRDefault="00582D35" w:rsidP="00582D35">
      <w:pPr>
        <w:ind w:left="0"/>
        <w:jc w:val="both"/>
        <w:rPr>
          <w:rFonts w:ascii="Bookman Old Style" w:hAnsi="Bookman Old Style" w:cs="Arial"/>
          <w:bCs/>
        </w:rPr>
      </w:pPr>
    </w:p>
    <w:p w:rsidR="00582D35" w:rsidRPr="009754EE" w:rsidRDefault="00582D35" w:rsidP="00582D35">
      <w:pPr>
        <w:ind w:left="0"/>
        <w:jc w:val="both"/>
        <w:rPr>
          <w:rFonts w:ascii="Bookman Old Style" w:hAnsi="Bookman Old Style" w:cs="Arial"/>
          <w:bCs/>
        </w:rPr>
      </w:pPr>
      <w:r>
        <w:rPr>
          <w:rFonts w:ascii="Bookman Old Style" w:hAnsi="Bookman Old Style" w:cs="Arial"/>
          <w:bCs/>
        </w:rPr>
        <w:t>Finalmente, la eficacia de estos medios de prueba se evidencia del análisis y valoración que de estas ha hecho la Comisión a efectos de establecer los eventos de incumplimiento grave e insalvable para el caso de la OEF con IPVO de 1º de diciembre de 2018.</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eastAsia="Calibri" w:hAnsi="Bookman Old Style" w:cs="Arial"/>
          <w:lang w:val="es-ES_tradnl"/>
        </w:rPr>
      </w:pPr>
      <w:r>
        <w:rPr>
          <w:rFonts w:ascii="Bookman Old Style" w:eastAsia="Calibri" w:hAnsi="Bookman Old Style" w:cs="Arial"/>
        </w:rPr>
        <w:t xml:space="preserve">En este contexto, se considera que </w:t>
      </w:r>
      <w:r w:rsidRPr="00C122D5">
        <w:rPr>
          <w:rFonts w:ascii="Bookman Old Style" w:eastAsia="Calibri" w:hAnsi="Bookman Old Style" w:cs="Arial"/>
          <w:lang w:val="es-ES_tradnl"/>
        </w:rPr>
        <w:t>las pruebas periciales decretadas de oficio en el Auto de 6 de febrero de 2019, han de ser desestimadas dentro de la presente actuación ateniendo lo dispuesto en los artículos 168 y 176 del Código General del Proceso, así como en el artículo 40 de la Ley 1437 de 2011, toda vez dichos medios probatorios no aportan elementos de juicio adicionales con los que ya cuenta la Comisión.</w:t>
      </w:r>
      <w:r>
        <w:rPr>
          <w:rFonts w:ascii="Bookman Old Style" w:eastAsia="Calibri" w:hAnsi="Bookman Old Style" w:cs="Arial"/>
          <w:lang w:val="es-ES_tradnl"/>
        </w:rPr>
        <w:t xml:space="preserve"> Igual conclusión se da para el caso de los cronogramas solicitados mediante Auto de julio 22 de 2018 a la firma Integral, los cuales no fueron allegados al proceso.</w:t>
      </w:r>
    </w:p>
    <w:p w:rsidR="00582D35" w:rsidRDefault="00582D35" w:rsidP="00582D35">
      <w:pPr>
        <w:ind w:left="0"/>
        <w:jc w:val="both"/>
        <w:rPr>
          <w:rFonts w:ascii="Bookman Old Style" w:eastAsia="Calibri" w:hAnsi="Bookman Old Style" w:cs="Arial"/>
          <w:lang w:val="es-ES_tradnl"/>
        </w:rPr>
      </w:pPr>
    </w:p>
    <w:p w:rsidR="00582D35" w:rsidRPr="009B05DD" w:rsidRDefault="00582D35" w:rsidP="00582D35">
      <w:pPr>
        <w:ind w:left="0"/>
        <w:jc w:val="both"/>
        <w:rPr>
          <w:rFonts w:ascii="Bookman Old Style" w:hAnsi="Bookman Old Style" w:cs="Arial"/>
          <w:b/>
          <w:bCs/>
        </w:rPr>
      </w:pPr>
      <w:r>
        <w:rPr>
          <w:rFonts w:ascii="Bookman Old Style" w:hAnsi="Bookman Old Style" w:cs="Arial"/>
          <w:b/>
          <w:bCs/>
        </w:rPr>
        <w:t>Consecuencias del incumplimiento</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El numeral 3 del artículo 9 de la Resolución CREG 071 de 2006 que establece lo siguiente:</w:t>
      </w:r>
    </w:p>
    <w:p w:rsidR="00582D35" w:rsidRDefault="00582D35" w:rsidP="00582D35">
      <w:pPr>
        <w:jc w:val="both"/>
        <w:rPr>
          <w:rFonts w:ascii="Bookman Old Style" w:hAnsi="Bookman Old Style" w:cs="Arial"/>
          <w:bCs/>
        </w:rPr>
      </w:pPr>
    </w:p>
    <w:p w:rsidR="00582D35" w:rsidRPr="005E5CDD" w:rsidRDefault="00582D35" w:rsidP="00582D35">
      <w:pPr>
        <w:ind w:left="708"/>
        <w:jc w:val="both"/>
        <w:rPr>
          <w:rFonts w:ascii="Bookman Old Style" w:hAnsi="Bookman Old Style" w:cs="Arial"/>
          <w:bCs/>
          <w:i/>
        </w:rPr>
      </w:pPr>
      <w:r>
        <w:rPr>
          <w:rFonts w:ascii="Bookman Old Style" w:hAnsi="Bookman Old Style" w:cs="Arial"/>
          <w:bCs/>
          <w:i/>
        </w:rPr>
        <w:t>“</w:t>
      </w:r>
      <w:r w:rsidRPr="005E5CDD">
        <w:rPr>
          <w:rFonts w:ascii="Bookman Old Style" w:hAnsi="Bookman Old Style" w:cs="Arial"/>
          <w:bCs/>
          <w:i/>
        </w:rPr>
        <w:t>3.</w:t>
      </w:r>
      <w:r w:rsidRPr="005E5CDD">
        <w:rPr>
          <w:rFonts w:ascii="Bookman Old Style" w:hAnsi="Bookman Old Style" w:cs="Arial"/>
          <w:bCs/>
          <w:i/>
        </w:rPr>
        <w:tab/>
        <w:t>El incumplimiento grave e insalvable de la puesta en operación de la planta o unidad de generación, dará lugar a:</w:t>
      </w:r>
    </w:p>
    <w:p w:rsidR="00582D35" w:rsidRPr="005E5CDD" w:rsidRDefault="00582D35" w:rsidP="00582D35">
      <w:pPr>
        <w:ind w:left="708"/>
        <w:jc w:val="both"/>
        <w:rPr>
          <w:rFonts w:ascii="Bookman Old Style" w:hAnsi="Bookman Old Style" w:cs="Arial"/>
          <w:bCs/>
          <w:i/>
        </w:rPr>
      </w:pPr>
      <w:r w:rsidRPr="005E5CDD">
        <w:rPr>
          <w:rFonts w:ascii="Bookman Old Style" w:hAnsi="Bookman Old Style" w:cs="Arial"/>
          <w:bCs/>
          <w:i/>
        </w:rPr>
        <w:t>a)</w:t>
      </w:r>
      <w:r w:rsidRPr="005E5CDD">
        <w:rPr>
          <w:rFonts w:ascii="Bookman Old Style" w:hAnsi="Bookman Old Style" w:cs="Arial"/>
          <w:bCs/>
          <w:i/>
        </w:rPr>
        <w:tab/>
        <w:t xml:space="preserve">La ejecución de la garantía. </w:t>
      </w:r>
    </w:p>
    <w:p w:rsidR="00582D35" w:rsidRDefault="00582D35" w:rsidP="00582D35">
      <w:pPr>
        <w:ind w:left="708"/>
        <w:jc w:val="both"/>
        <w:rPr>
          <w:rFonts w:ascii="Bookman Old Style" w:hAnsi="Bookman Old Style" w:cs="Arial"/>
          <w:bCs/>
          <w:i/>
        </w:rPr>
      </w:pPr>
      <w:r w:rsidRPr="005E5CDD">
        <w:rPr>
          <w:rFonts w:ascii="Bookman Old Style" w:hAnsi="Bookman Old Style" w:cs="Arial"/>
          <w:bCs/>
          <w:i/>
        </w:rPr>
        <w:t>b)</w:t>
      </w:r>
      <w:r w:rsidRPr="005E5CDD">
        <w:rPr>
          <w:rFonts w:ascii="Bookman Old Style" w:hAnsi="Bookman Old Style" w:cs="Arial"/>
          <w:bCs/>
          <w:i/>
        </w:rPr>
        <w:tab/>
        <w:t>La pérdida para el generador de la asignación de la Obligación de Energía Firme y la remuneración a</w:t>
      </w:r>
      <w:r>
        <w:rPr>
          <w:rFonts w:ascii="Bookman Old Style" w:hAnsi="Bookman Old Style" w:cs="Arial"/>
          <w:bCs/>
          <w:i/>
        </w:rPr>
        <w:t>sociada a ella</w:t>
      </w:r>
      <w:r w:rsidRPr="005E5CDD">
        <w:rPr>
          <w:rFonts w:ascii="Bookman Old Style" w:hAnsi="Bookman Old Style" w:cs="Arial"/>
          <w:bCs/>
          <w:i/>
        </w:rPr>
        <w:t>.”</w:t>
      </w:r>
    </w:p>
    <w:p w:rsidR="00582D35" w:rsidRDefault="00582D35" w:rsidP="00582D35">
      <w:pPr>
        <w:ind w:left="0"/>
        <w:jc w:val="both"/>
        <w:rPr>
          <w:rFonts w:ascii="Bookman Old Style" w:eastAsia="Calibri" w:hAnsi="Bookman Old Style" w:cs="Arial"/>
        </w:rPr>
      </w:pPr>
    </w:p>
    <w:p w:rsidR="00582D35" w:rsidRDefault="00582D35" w:rsidP="00582D35">
      <w:pPr>
        <w:ind w:left="0"/>
        <w:jc w:val="both"/>
        <w:rPr>
          <w:rFonts w:ascii="Bookman Old Style" w:eastAsia="Calibri" w:hAnsi="Bookman Old Style" w:cs="Arial"/>
        </w:rPr>
      </w:pPr>
      <w:r>
        <w:rPr>
          <w:rFonts w:ascii="Bookman Old Style" w:eastAsia="Calibri" w:hAnsi="Bookman Old Style" w:cs="Arial"/>
        </w:rPr>
        <w:t>Así mismo el artículo 14 del Reglamento de Garantías adoptado mediante la Resolución CREG 0961 de 2007 indica:</w:t>
      </w:r>
    </w:p>
    <w:p w:rsidR="00582D35" w:rsidRDefault="00582D35" w:rsidP="00582D35">
      <w:pPr>
        <w:ind w:left="0"/>
        <w:jc w:val="both"/>
        <w:rPr>
          <w:rFonts w:ascii="Bookman Old Style" w:eastAsia="Calibri" w:hAnsi="Bookman Old Style" w:cs="Arial"/>
        </w:rPr>
      </w:pPr>
    </w:p>
    <w:p w:rsidR="00582D35" w:rsidRPr="009B05DD" w:rsidRDefault="00582D35" w:rsidP="00582D35">
      <w:pPr>
        <w:ind w:left="708"/>
        <w:jc w:val="both"/>
        <w:rPr>
          <w:rFonts w:ascii="Bookman Old Style" w:eastAsia="Calibri" w:hAnsi="Bookman Old Style" w:cs="Arial"/>
          <w:i/>
        </w:rPr>
      </w:pPr>
      <w:r>
        <w:rPr>
          <w:rFonts w:ascii="Bookman Old Style" w:eastAsia="Calibri" w:hAnsi="Bookman Old Style" w:cs="Arial"/>
          <w:i/>
        </w:rPr>
        <w:t>“</w:t>
      </w:r>
      <w:r w:rsidRPr="009B05DD">
        <w:rPr>
          <w:rFonts w:ascii="Bookman Old Style" w:eastAsia="Calibri" w:hAnsi="Bookman Old Style" w:cs="Arial"/>
          <w:b/>
          <w:i/>
        </w:rPr>
        <w:t>Artículo 14. Terminación de la Obligación de Energía Firme.</w:t>
      </w:r>
      <w:r w:rsidRPr="009B05DD">
        <w:rPr>
          <w:rFonts w:ascii="Bookman Old Style" w:eastAsia="Calibri" w:hAnsi="Bookman Old Style" w:cs="Arial"/>
          <w:i/>
        </w:rPr>
        <w:t xml:space="preserve"> Conforme lo establece el Numeral 3 del Artículo 9 de la Resolución CREG 071 de 2006, los eventos de incumplimiento descritos en el Artículo anterior, darán lugar a la pérdida de la asignación de la Obligación de Energía Firme objeto de garantía establecida en el presente capítulo y de la remuneración asociada, a partir de la fecha en que se configuró el respectivo evento de incumplimiento grave e insalvable.</w:t>
      </w:r>
      <w:r>
        <w:rPr>
          <w:rFonts w:ascii="Bookman Old Style" w:eastAsia="Calibri" w:hAnsi="Bookman Old Style" w:cs="Arial"/>
          <w:i/>
        </w:rPr>
        <w:t>”</w:t>
      </w:r>
    </w:p>
    <w:p w:rsidR="00582D35" w:rsidRDefault="00582D35" w:rsidP="00582D35">
      <w:pPr>
        <w:ind w:left="0"/>
        <w:jc w:val="both"/>
        <w:rPr>
          <w:rFonts w:ascii="Bookman Old Style" w:eastAsia="Calibri" w:hAnsi="Bookman Old Style" w:cs="Arial"/>
        </w:rPr>
      </w:pP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 xml:space="preserve">De acuerdo con esto, es claro en la regulación que de configurarse alguno de los eventos de incumplimiento grave e insalvable, se deben aplicar las consecuencias allí previstas, en este caso, la ejecución de la garantía, así como la pérdida de la Obligación de la Energía Firme y de la remuneración asociada a ella. </w:t>
      </w:r>
    </w:p>
    <w:p w:rsidR="00582D35" w:rsidRPr="00276971"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b/>
          <w:highlight w:val="yellow"/>
        </w:rPr>
      </w:pPr>
      <w:r w:rsidRPr="002E2997">
        <w:rPr>
          <w:rFonts w:ascii="Bookman Old Style" w:hAnsi="Bookman Old Style" w:cs="Arial"/>
          <w:bCs/>
        </w:rPr>
        <w:t>Sin embargo, se debe analizar a continuación los argumentos expuestos por parte de EPM en su comunicación E-2018-01470</w:t>
      </w:r>
      <w:r>
        <w:rPr>
          <w:rFonts w:ascii="Bookman Old Style" w:hAnsi="Bookman Old Style" w:cs="Arial"/>
          <w:bCs/>
        </w:rPr>
        <w:t xml:space="preserve"> a efectos de definir si los mismos desvirtúan estas conclusiones.</w:t>
      </w:r>
    </w:p>
    <w:p w:rsidR="00582D35" w:rsidRDefault="00582D35" w:rsidP="00582D35">
      <w:pPr>
        <w:ind w:left="0"/>
        <w:rPr>
          <w:rFonts w:ascii="Bookman Old Style" w:hAnsi="Bookman Old Style"/>
          <w:b/>
          <w:highlight w:val="yellow"/>
        </w:rPr>
      </w:pPr>
    </w:p>
    <w:p w:rsidR="00582D35" w:rsidRPr="00D845DA" w:rsidRDefault="00582D35" w:rsidP="00582D35">
      <w:pPr>
        <w:ind w:left="0"/>
        <w:rPr>
          <w:rFonts w:ascii="Bookman Old Style" w:hAnsi="Bookman Old Style"/>
          <w:b/>
        </w:rPr>
      </w:pPr>
    </w:p>
    <w:p w:rsidR="00582D35" w:rsidRPr="00D845DA" w:rsidRDefault="00582D35" w:rsidP="00582D35">
      <w:pPr>
        <w:ind w:left="0"/>
        <w:rPr>
          <w:rFonts w:ascii="Bookman Old Style" w:hAnsi="Bookman Old Style"/>
          <w:b/>
        </w:rPr>
      </w:pPr>
      <w:r w:rsidRPr="00D845DA">
        <w:rPr>
          <w:rFonts w:ascii="Bookman Old Style" w:hAnsi="Bookman Old Style"/>
        </w:rPr>
        <w:t xml:space="preserve"> </w:t>
      </w:r>
      <w:r w:rsidRPr="00D845DA">
        <w:rPr>
          <w:rFonts w:ascii="Bookman Old Style" w:hAnsi="Bookman Old Style"/>
          <w:b/>
        </w:rPr>
        <w:t xml:space="preserve">Análisis de los argumentos y propuesta de EPM </w:t>
      </w:r>
    </w:p>
    <w:p w:rsidR="00582D35" w:rsidRDefault="00582D35" w:rsidP="00582D35">
      <w:pPr>
        <w:ind w:left="360"/>
        <w:rPr>
          <w:rFonts w:ascii="Bookman Old Style" w:hAnsi="Bookman Old Style"/>
          <w:b/>
        </w:rPr>
      </w:pPr>
    </w:p>
    <w:p w:rsidR="00582D35" w:rsidRPr="00D845DA" w:rsidRDefault="00582D35" w:rsidP="00582D35">
      <w:pPr>
        <w:ind w:left="0"/>
        <w:jc w:val="both"/>
        <w:rPr>
          <w:rFonts w:ascii="Bookman Old Style" w:hAnsi="Bookman Old Style"/>
        </w:rPr>
      </w:pPr>
      <w:r w:rsidRPr="00D845DA">
        <w:rPr>
          <w:rFonts w:ascii="Bookman Old Style" w:hAnsi="Bookman Old Style"/>
        </w:rPr>
        <w:t xml:space="preserve">Menciona EPM que el proyecto </w:t>
      </w:r>
      <w:r>
        <w:rPr>
          <w:rFonts w:ascii="Bookman Old Style" w:hAnsi="Bookman Old Style"/>
        </w:rPr>
        <w:t>H</w:t>
      </w:r>
      <w:r w:rsidRPr="00D845DA">
        <w:rPr>
          <w:rFonts w:ascii="Bookman Old Style" w:hAnsi="Bookman Old Style"/>
        </w:rPr>
        <w:t xml:space="preserve">idroeléctrico Ituango, </w:t>
      </w:r>
      <w:r>
        <w:rPr>
          <w:rFonts w:ascii="Bookman Old Style" w:hAnsi="Bookman Old Style"/>
        </w:rPr>
        <w:t xml:space="preserve">es un caso </w:t>
      </w:r>
      <w:r w:rsidRPr="00D845DA">
        <w:rPr>
          <w:rFonts w:ascii="Bookman Old Style" w:hAnsi="Bookman Old Style"/>
        </w:rPr>
        <w:t xml:space="preserve">especial toda vez que este </w:t>
      </w:r>
      <w:r w:rsidR="00B832D3">
        <w:rPr>
          <w:rFonts w:ascii="Bookman Old Style" w:hAnsi="Bookman Old Style"/>
        </w:rPr>
        <w:t xml:space="preserve">se está construyendo </w:t>
      </w:r>
      <w:r w:rsidRPr="00D845DA">
        <w:rPr>
          <w:rFonts w:ascii="Bookman Old Style" w:hAnsi="Bookman Old Style"/>
        </w:rPr>
        <w:t>en un tiempo inferio</w:t>
      </w:r>
      <w:r w:rsidR="00C6018C">
        <w:rPr>
          <w:rFonts w:ascii="Bookman Old Style" w:hAnsi="Bookman Old Style"/>
        </w:rPr>
        <w:t>r al que tomaron otros proyecto</w:t>
      </w:r>
      <w:r w:rsidR="00B832D3">
        <w:rPr>
          <w:rFonts w:ascii="Bookman Old Style" w:hAnsi="Bookman Old Style"/>
        </w:rPr>
        <w:t>s</w:t>
      </w:r>
      <w:r w:rsidRPr="00D845DA">
        <w:rPr>
          <w:rFonts w:ascii="Bookman Old Style" w:hAnsi="Bookman Old Style"/>
        </w:rPr>
        <w:t xml:space="preserve"> </w:t>
      </w:r>
      <w:r>
        <w:rPr>
          <w:rFonts w:ascii="Bookman Old Style" w:hAnsi="Bookman Old Style"/>
        </w:rPr>
        <w:t>hidroeléctrico</w:t>
      </w:r>
      <w:r w:rsidR="00B832D3">
        <w:rPr>
          <w:rFonts w:ascii="Bookman Old Style" w:hAnsi="Bookman Old Style"/>
        </w:rPr>
        <w:t>s</w:t>
      </w:r>
      <w:r>
        <w:rPr>
          <w:rFonts w:ascii="Bookman Old Style" w:hAnsi="Bookman Old Style"/>
        </w:rPr>
        <w:t xml:space="preserve"> de gran tamaño realizados en el país, al nivel de inversión que representa y a los beneficios que representa en diferentes órdenes</w:t>
      </w:r>
      <w:r w:rsidRPr="00D845DA">
        <w:rPr>
          <w:rFonts w:ascii="Bookman Old Style" w:hAnsi="Bookman Old Style"/>
        </w:rPr>
        <w:t xml:space="preserve">. </w:t>
      </w:r>
    </w:p>
    <w:p w:rsidR="00582D35" w:rsidRPr="00D845DA" w:rsidRDefault="00582D35" w:rsidP="00582D35">
      <w:pPr>
        <w:jc w:val="both"/>
        <w:rPr>
          <w:rFonts w:ascii="Bookman Old Style" w:hAnsi="Bookman Old Style"/>
        </w:rPr>
      </w:pPr>
    </w:p>
    <w:p w:rsidR="00582D35" w:rsidRPr="00D845DA" w:rsidRDefault="00582D35" w:rsidP="00582D35">
      <w:pPr>
        <w:ind w:left="0"/>
        <w:jc w:val="both"/>
        <w:rPr>
          <w:rFonts w:ascii="Bookman Old Style" w:hAnsi="Bookman Old Style"/>
        </w:rPr>
      </w:pPr>
      <w:r w:rsidRPr="00D845DA">
        <w:rPr>
          <w:rFonts w:ascii="Bookman Old Style" w:hAnsi="Bookman Old Style"/>
        </w:rPr>
        <w:t xml:space="preserve">Analizado el argumento se encuentra que no tiene ninguna fuerza probatoria ni que tampoco tiene </w:t>
      </w:r>
      <w:r>
        <w:rPr>
          <w:rFonts w:ascii="Bookman Old Style" w:hAnsi="Bookman Old Style"/>
        </w:rPr>
        <w:t xml:space="preserve">relevancia para el </w:t>
      </w:r>
      <w:r w:rsidRPr="00D845DA">
        <w:rPr>
          <w:rFonts w:ascii="Bookman Old Style" w:hAnsi="Bookman Old Style"/>
        </w:rPr>
        <w:t>objeto de la actuación administrativa.</w:t>
      </w:r>
    </w:p>
    <w:p w:rsidR="00582D35" w:rsidRPr="00D845DA" w:rsidRDefault="00582D35" w:rsidP="00582D35">
      <w:pPr>
        <w:jc w:val="both"/>
        <w:rPr>
          <w:rFonts w:ascii="Bookman Old Style" w:hAnsi="Bookman Old Style"/>
        </w:rPr>
      </w:pPr>
    </w:p>
    <w:p w:rsidR="00582D35" w:rsidRDefault="00582D35" w:rsidP="00582D35">
      <w:pPr>
        <w:ind w:left="0"/>
        <w:jc w:val="both"/>
        <w:rPr>
          <w:rFonts w:ascii="Bookman Old Style" w:hAnsi="Bookman Old Style"/>
        </w:rPr>
      </w:pPr>
      <w:r w:rsidRPr="00D845DA">
        <w:rPr>
          <w:rFonts w:ascii="Bookman Old Style" w:hAnsi="Bookman Old Style"/>
        </w:rPr>
        <w:t>Se resalta lo dispuesto en la Ley 143 de 1994 respecto a que el riesgo de la inversión es asumido por quien la acomete.</w:t>
      </w:r>
    </w:p>
    <w:p w:rsidR="00582D35" w:rsidRDefault="00582D35" w:rsidP="00582D35">
      <w:pPr>
        <w:jc w:val="both"/>
        <w:rPr>
          <w:rFonts w:ascii="Bookman Old Style" w:hAnsi="Bookman Old Style"/>
        </w:rPr>
      </w:pPr>
    </w:p>
    <w:p w:rsidR="00582D35" w:rsidRDefault="00582D35" w:rsidP="00582D35">
      <w:pPr>
        <w:ind w:left="0"/>
        <w:jc w:val="both"/>
        <w:rPr>
          <w:rFonts w:ascii="Bookman Old Style" w:hAnsi="Bookman Old Style"/>
        </w:rPr>
      </w:pPr>
      <w:r w:rsidRPr="00D845DA">
        <w:rPr>
          <w:rFonts w:ascii="Bookman Old Style" w:hAnsi="Bookman Old Style"/>
        </w:rPr>
        <w:t xml:space="preserve">Respecto del </w:t>
      </w:r>
      <w:r>
        <w:rPr>
          <w:rFonts w:ascii="Bookman Old Style" w:hAnsi="Bookman Old Style"/>
        </w:rPr>
        <w:t>t</w:t>
      </w:r>
      <w:r w:rsidRPr="00D845DA">
        <w:rPr>
          <w:rFonts w:ascii="Bookman Old Style" w:hAnsi="Bookman Old Style"/>
        </w:rPr>
        <w:t>estimonio de Camilo Quintero, así como del informe técnico elaborado por este último</w:t>
      </w:r>
      <w:r w:rsidRPr="006065AA">
        <w:rPr>
          <w:rFonts w:ascii="Bookman Old Style" w:hAnsi="Bookman Old Style"/>
        </w:rPr>
        <w:t xml:space="preserve"> </w:t>
      </w:r>
      <w:r>
        <w:rPr>
          <w:rFonts w:ascii="Bookman Old Style" w:hAnsi="Bookman Old Style"/>
        </w:rPr>
        <w:t>y presentado por EPM, se observa que en él se presentan análisis y aseveraciones relacionadas con lo que considera es la correcta interpretación de la regulación.  Se observa que cuando se acude a un ejercicio interpretativo de la regulación estas opiniones corresponden a un análisis de orden jurídico, frente a lo cual e</w:t>
      </w:r>
      <w:r w:rsidRPr="00D845DA">
        <w:rPr>
          <w:rFonts w:ascii="Bookman Old Style" w:hAnsi="Bookman Old Style"/>
        </w:rPr>
        <w:t>s preciso advertir que la formación y experticia profesional</w:t>
      </w:r>
      <w:r>
        <w:rPr>
          <w:rFonts w:ascii="Bookman Old Style" w:hAnsi="Bookman Old Style"/>
        </w:rPr>
        <w:t xml:space="preserve"> del señor Quintero no son de dicho ámbito y, por tanto</w:t>
      </w:r>
      <w:r w:rsidRPr="00D845DA">
        <w:rPr>
          <w:rFonts w:ascii="Bookman Old Style" w:hAnsi="Bookman Old Style"/>
        </w:rPr>
        <w:t xml:space="preserve">, </w:t>
      </w:r>
      <w:r>
        <w:rPr>
          <w:rFonts w:ascii="Bookman Old Style" w:hAnsi="Bookman Old Style"/>
        </w:rPr>
        <w:t xml:space="preserve">sus conclusiones </w:t>
      </w:r>
      <w:r w:rsidRPr="00D845DA">
        <w:rPr>
          <w:rFonts w:ascii="Bookman Old Style" w:hAnsi="Bookman Old Style"/>
        </w:rPr>
        <w:t>serán desestima</w:t>
      </w:r>
      <w:r w:rsidR="0030591F">
        <w:rPr>
          <w:rFonts w:ascii="Bookman Old Style" w:hAnsi="Bookman Old Style"/>
        </w:rPr>
        <w:t>da</w:t>
      </w:r>
      <w:r w:rsidRPr="00D845DA">
        <w:rPr>
          <w:rFonts w:ascii="Bookman Old Style" w:hAnsi="Bookman Old Style"/>
        </w:rPr>
        <w:t>s.</w:t>
      </w:r>
      <w:r>
        <w:rPr>
          <w:rFonts w:ascii="Bookman Old Style" w:hAnsi="Bookman Old Style"/>
        </w:rPr>
        <w:t xml:space="preserve"> </w:t>
      </w:r>
    </w:p>
    <w:p w:rsidR="00582D35" w:rsidRDefault="00582D35" w:rsidP="00582D35">
      <w:pPr>
        <w:ind w:left="0"/>
        <w:jc w:val="both"/>
        <w:rPr>
          <w:rFonts w:ascii="Bookman Old Style" w:hAnsi="Bookman Old Style"/>
        </w:rPr>
      </w:pPr>
    </w:p>
    <w:p w:rsidR="00582D35" w:rsidRDefault="00582D35" w:rsidP="00582D35">
      <w:pPr>
        <w:ind w:left="0"/>
        <w:jc w:val="both"/>
        <w:rPr>
          <w:rFonts w:ascii="Bookman Old Style" w:hAnsi="Bookman Old Style"/>
        </w:rPr>
      </w:pPr>
      <w:r>
        <w:rPr>
          <w:rFonts w:ascii="Bookman Old Style" w:hAnsi="Bookman Old Style"/>
        </w:rPr>
        <w:t>Al respecto</w:t>
      </w:r>
      <w:r w:rsidR="00A46E21">
        <w:rPr>
          <w:rFonts w:ascii="Bookman Old Style" w:hAnsi="Bookman Old Style"/>
        </w:rPr>
        <w:t>,</w:t>
      </w:r>
      <w:r>
        <w:rPr>
          <w:rFonts w:ascii="Bookman Old Style" w:hAnsi="Bookman Old Style"/>
        </w:rPr>
        <w:t xml:space="preserve"> se destaca que lo argumentado por el señor </w:t>
      </w:r>
      <w:r w:rsidRPr="00D845DA">
        <w:rPr>
          <w:rFonts w:ascii="Bookman Old Style" w:hAnsi="Bookman Old Style"/>
        </w:rPr>
        <w:t>Quintero Montaña, es contrario a la regulación. No es cierto, que la</w:t>
      </w:r>
      <w:r>
        <w:rPr>
          <w:rFonts w:ascii="Bookman Old Style" w:hAnsi="Bookman Old Style"/>
        </w:rPr>
        <w:t xml:space="preserve"> obligación de poner en operación la</w:t>
      </w:r>
      <w:r w:rsidRPr="00D845DA">
        <w:rPr>
          <w:rFonts w:ascii="Bookman Old Style" w:hAnsi="Bookman Old Style"/>
        </w:rPr>
        <w:t xml:space="preserve"> planta sea accesoria y que sea sustituible por los anillos de seguridad</w:t>
      </w:r>
      <w:r>
        <w:rPr>
          <w:rFonts w:ascii="Bookman Old Style" w:hAnsi="Bookman Old Style"/>
        </w:rPr>
        <w:t>. E</w:t>
      </w:r>
      <w:r w:rsidRPr="00D845DA">
        <w:rPr>
          <w:rFonts w:ascii="Bookman Old Style" w:hAnsi="Bookman Old Style"/>
        </w:rPr>
        <w:t>s claro</w:t>
      </w:r>
      <w:r w:rsidR="00DE313E">
        <w:rPr>
          <w:rFonts w:ascii="Bookman Old Style" w:hAnsi="Bookman Old Style"/>
        </w:rPr>
        <w:t xml:space="preserve"> que cuando la CREG convoca a una subasta para plantas GPPS es porque requiere ampliar el parque de generación y sobre todo la energía firme que dicha ampliación aportará al sistema. El</w:t>
      </w:r>
      <w:r w:rsidRPr="00D845DA">
        <w:rPr>
          <w:rFonts w:ascii="Bookman Old Style" w:hAnsi="Bookman Old Style"/>
        </w:rPr>
        <w:t xml:space="preserve"> agente cuando se presenta a la subasta</w:t>
      </w:r>
      <w:r>
        <w:rPr>
          <w:rFonts w:ascii="Bookman Old Style" w:hAnsi="Bookman Old Style"/>
        </w:rPr>
        <w:t xml:space="preserve"> </w:t>
      </w:r>
      <w:r>
        <w:rPr>
          <w:rFonts w:ascii="Bookman Old Style" w:hAnsi="Bookman Old Style" w:cs="Arial"/>
        </w:rPr>
        <w:t>para plantas GPPS</w:t>
      </w:r>
      <w:r w:rsidRPr="00D845DA">
        <w:rPr>
          <w:rFonts w:ascii="Bookman Old Style" w:hAnsi="Bookman Old Style"/>
        </w:rPr>
        <w:t xml:space="preserve"> </w:t>
      </w:r>
      <w:r>
        <w:rPr>
          <w:rFonts w:ascii="Bookman Old Style" w:hAnsi="Bookman Old Style"/>
        </w:rPr>
        <w:t xml:space="preserve">a fin de que le sea asignada una OEF </w:t>
      </w:r>
      <w:r w:rsidRPr="00D845DA">
        <w:rPr>
          <w:rFonts w:ascii="Bookman Old Style" w:hAnsi="Bookman Old Style"/>
        </w:rPr>
        <w:t>declara una planta</w:t>
      </w:r>
      <w:r>
        <w:rPr>
          <w:rFonts w:ascii="Bookman Old Style" w:hAnsi="Bookman Old Style"/>
        </w:rPr>
        <w:t xml:space="preserve"> y</w:t>
      </w:r>
      <w:r w:rsidRPr="00D845DA">
        <w:rPr>
          <w:rFonts w:ascii="Bookman Old Style" w:hAnsi="Bookman Old Style"/>
        </w:rPr>
        <w:t xml:space="preserve"> es esa planta en específico la que se compromete a construir, </w:t>
      </w:r>
      <w:r>
        <w:rPr>
          <w:rFonts w:ascii="Bookman Old Style" w:hAnsi="Bookman Old Style"/>
        </w:rPr>
        <w:t xml:space="preserve">tratándose </w:t>
      </w:r>
      <w:r w:rsidRPr="00D845DA">
        <w:rPr>
          <w:rFonts w:ascii="Bookman Old Style" w:hAnsi="Bookman Old Style"/>
        </w:rPr>
        <w:t xml:space="preserve">de un cuerpo cierto </w:t>
      </w:r>
      <w:r>
        <w:rPr>
          <w:rFonts w:ascii="Bookman Old Style" w:hAnsi="Bookman Old Style"/>
        </w:rPr>
        <w:t xml:space="preserve">que respalda el cumplimiento de </w:t>
      </w:r>
      <w:r w:rsidRPr="00D845DA">
        <w:rPr>
          <w:rFonts w:ascii="Bookman Old Style" w:hAnsi="Bookman Old Style"/>
        </w:rPr>
        <w:t>las Obligaciones de Energía Firme</w:t>
      </w:r>
      <w:r>
        <w:rPr>
          <w:rFonts w:ascii="Bookman Old Style" w:hAnsi="Bookman Old Style"/>
        </w:rPr>
        <w:t xml:space="preserve">.  </w:t>
      </w:r>
    </w:p>
    <w:p w:rsidR="00582D35" w:rsidRDefault="00582D35" w:rsidP="00582D35">
      <w:pPr>
        <w:ind w:left="0"/>
        <w:jc w:val="both"/>
        <w:rPr>
          <w:rFonts w:ascii="Bookman Old Style" w:hAnsi="Bookman Old Style"/>
        </w:rPr>
      </w:pPr>
    </w:p>
    <w:p w:rsidR="00582D35" w:rsidRPr="009647A8" w:rsidRDefault="00582D35" w:rsidP="00582D35">
      <w:pPr>
        <w:ind w:left="0"/>
        <w:jc w:val="both"/>
        <w:rPr>
          <w:rFonts w:ascii="Bookman Old Style" w:hAnsi="Bookman Old Style"/>
        </w:rPr>
      </w:pPr>
      <w:r w:rsidRPr="009647A8">
        <w:rPr>
          <w:rFonts w:ascii="Bookman Old Style" w:hAnsi="Bookman Old Style"/>
        </w:rPr>
        <w:t xml:space="preserve">Al respecto el artículo 7 señala: </w:t>
      </w:r>
    </w:p>
    <w:p w:rsidR="00582D35" w:rsidRDefault="00582D35" w:rsidP="00582D35">
      <w:pPr>
        <w:ind w:left="0"/>
        <w:jc w:val="both"/>
        <w:rPr>
          <w:rFonts w:ascii="Bookman Old Style" w:hAnsi="Bookman Old Style"/>
          <w:highlight w:val="yellow"/>
        </w:rPr>
      </w:pPr>
    </w:p>
    <w:p w:rsidR="00582D35" w:rsidRPr="009B05DD" w:rsidRDefault="00582D35" w:rsidP="00582D35">
      <w:pPr>
        <w:ind w:left="708"/>
        <w:jc w:val="both"/>
        <w:rPr>
          <w:rFonts w:ascii="Bookman Old Style" w:hAnsi="Bookman Old Style"/>
          <w:i/>
        </w:rPr>
      </w:pPr>
      <w:r>
        <w:rPr>
          <w:rFonts w:ascii="Bookman Old Style" w:hAnsi="Bookman Old Style"/>
          <w:i/>
        </w:rPr>
        <w:t>“</w:t>
      </w:r>
      <w:r w:rsidRPr="009B05DD">
        <w:rPr>
          <w:rFonts w:ascii="Bookman Old Style" w:hAnsi="Bookman Old Style"/>
          <w:i/>
        </w:rPr>
        <w:t>Artículo 7.</w:t>
      </w:r>
      <w:r w:rsidRPr="009B05DD">
        <w:rPr>
          <w:rFonts w:ascii="Bookman Old Style" w:hAnsi="Bookman Old Style"/>
          <w:i/>
        </w:rPr>
        <w:tab/>
        <w:t>Obligaciones adicionales para los agentes con plantas y/o unidades de generación nuevas o especiales. Además de las establecidas en otros artículos de esta resolución, los agentes con plantas y/o unidades de generación nuevas o especiales a quienes les hayan sido asignadas obligaciones de energía firme, tendrán las siguientes obligaciones:</w:t>
      </w:r>
    </w:p>
    <w:p w:rsidR="00582D35" w:rsidRPr="009B05DD" w:rsidRDefault="00582D35" w:rsidP="00582D35">
      <w:pPr>
        <w:ind w:left="708"/>
        <w:jc w:val="both"/>
        <w:rPr>
          <w:rFonts w:ascii="Bookman Old Style" w:hAnsi="Bookman Old Style"/>
          <w:b/>
          <w:i/>
          <w:u w:val="single"/>
        </w:rPr>
      </w:pPr>
      <w:r w:rsidRPr="009B05DD">
        <w:rPr>
          <w:rFonts w:ascii="Bookman Old Style" w:hAnsi="Bookman Old Style"/>
          <w:b/>
          <w:i/>
          <w:u w:val="single"/>
        </w:rPr>
        <w:t>1.</w:t>
      </w:r>
      <w:r w:rsidRPr="009B05DD">
        <w:rPr>
          <w:rFonts w:ascii="Bookman Old Style" w:hAnsi="Bookman Old Style"/>
          <w:b/>
          <w:i/>
          <w:u w:val="single"/>
        </w:rPr>
        <w:tab/>
        <w:t>Poner en operación comercial la planta y/o unidad de generación a más tardar en la fecha de inicio del Período de Vigencia de la Obligación y con la ENFICC asignada en la Subasta.</w:t>
      </w:r>
    </w:p>
    <w:p w:rsidR="00582D35" w:rsidRPr="009B05DD" w:rsidRDefault="00582D35" w:rsidP="00582D35">
      <w:pPr>
        <w:ind w:left="708"/>
        <w:jc w:val="both"/>
        <w:rPr>
          <w:rFonts w:ascii="Bookman Old Style" w:hAnsi="Bookman Old Style"/>
          <w:i/>
        </w:rPr>
      </w:pPr>
      <w:r w:rsidRPr="009B05DD">
        <w:rPr>
          <w:rFonts w:ascii="Bookman Old Style" w:hAnsi="Bookman Old Style"/>
          <w:i/>
        </w:rPr>
        <w:t>2.</w:t>
      </w:r>
      <w:r w:rsidRPr="009B05DD">
        <w:rPr>
          <w:rFonts w:ascii="Bookman Old Style" w:hAnsi="Bookman Old Style"/>
          <w:i/>
        </w:rPr>
        <w:tab/>
        <w:t xml:space="preserve">Cumplir el cronograma de construcción o repotenciación de la planta y la Curva S. </w:t>
      </w:r>
    </w:p>
    <w:p w:rsidR="00582D35" w:rsidRPr="009B05DD" w:rsidRDefault="00582D35" w:rsidP="00582D35">
      <w:pPr>
        <w:ind w:left="708"/>
        <w:jc w:val="both"/>
        <w:rPr>
          <w:rFonts w:ascii="Bookman Old Style" w:hAnsi="Bookman Old Style"/>
          <w:i/>
        </w:rPr>
      </w:pPr>
      <w:r w:rsidRPr="009B05DD">
        <w:rPr>
          <w:rFonts w:ascii="Bookman Old Style" w:hAnsi="Bookman Old Style"/>
          <w:i/>
        </w:rPr>
        <w:t>3.</w:t>
      </w:r>
      <w:r w:rsidRPr="009B05DD">
        <w:rPr>
          <w:rFonts w:ascii="Bookman Old Style" w:hAnsi="Bookman Old Style"/>
          <w:i/>
        </w:rPr>
        <w:tab/>
        <w:t>Pagar el costo de la auditoría establecida en el artículo 8 de esta Resolución, periódicamente en forma anticipada. El incumplimiento en el pago de la auditoría, dará lugar a la ejecución de la garantía a que se refiere el numeral 4 de este artículo y la pérdida para el generador de la Obligación de Energía Firme y la remuneración asociada a ella.</w:t>
      </w:r>
    </w:p>
    <w:p w:rsidR="00582D35" w:rsidRPr="009B05DD" w:rsidRDefault="00582D35" w:rsidP="00582D35">
      <w:pPr>
        <w:ind w:left="708"/>
        <w:jc w:val="both"/>
        <w:rPr>
          <w:rFonts w:ascii="Bookman Old Style" w:hAnsi="Bookman Old Style"/>
          <w:i/>
        </w:rPr>
      </w:pPr>
      <w:r w:rsidRPr="009B05DD">
        <w:rPr>
          <w:rFonts w:ascii="Bookman Old Style" w:hAnsi="Bookman Old Style"/>
          <w:i/>
        </w:rPr>
        <w:t>4.</w:t>
      </w:r>
      <w:r w:rsidRPr="009B05DD">
        <w:rPr>
          <w:rFonts w:ascii="Bookman Old Style" w:hAnsi="Bookman Old Style"/>
          <w:i/>
        </w:rPr>
        <w:tab/>
        <w:t>Constituir y mantener vigente la garantía de cumplimiento de la fecha de inicio de la operación comercial de las plantas o unidades de generación en instalación o por instalar o repotenciar con la ENFICC asignada en la Subasta, y del pago de la auditoría. Estas garantías deben cumplir las disposiciones contenidas en el Capítulo VIII de esta resolución.</w:t>
      </w:r>
    </w:p>
    <w:p w:rsidR="00582D35" w:rsidRPr="009647A8" w:rsidRDefault="00582D35" w:rsidP="00582D35">
      <w:pPr>
        <w:ind w:left="708"/>
        <w:jc w:val="both"/>
        <w:rPr>
          <w:rFonts w:ascii="Bookman Old Style" w:hAnsi="Bookman Old Style"/>
          <w:highlight w:val="yellow"/>
        </w:rPr>
      </w:pPr>
      <w:r w:rsidRPr="009B05DD">
        <w:rPr>
          <w:rFonts w:ascii="Bookman Old Style" w:hAnsi="Bookman Old Style"/>
          <w:i/>
        </w:rPr>
        <w:t>5.</w:t>
      </w:r>
      <w:r w:rsidRPr="009B05DD">
        <w:rPr>
          <w:rFonts w:ascii="Bookman Old Style" w:hAnsi="Bookman Old Style"/>
          <w:i/>
        </w:rPr>
        <w:tab/>
        <w:t>Haberse constituido en Empresa de Servicios Públicos con anterioridad al plazo fijado por la CREG para el otorgamiento de las garantías exigibles para el cumplimiento de las Obligaciones de Energía Firme.</w:t>
      </w:r>
      <w:r>
        <w:rPr>
          <w:rFonts w:ascii="Bookman Old Style" w:hAnsi="Bookman Old Style"/>
          <w:i/>
        </w:rPr>
        <w:t xml:space="preserve">” </w:t>
      </w:r>
      <w:r>
        <w:rPr>
          <w:rFonts w:ascii="Bookman Old Style" w:hAnsi="Bookman Old Style"/>
        </w:rPr>
        <w:t>(Destacado fuera del texto)</w:t>
      </w:r>
    </w:p>
    <w:p w:rsidR="00582D35" w:rsidRDefault="00582D35" w:rsidP="00582D35">
      <w:pPr>
        <w:ind w:left="0"/>
        <w:jc w:val="both"/>
        <w:rPr>
          <w:rFonts w:ascii="Bookman Old Style" w:hAnsi="Bookman Old Style"/>
          <w:highlight w:val="yellow"/>
        </w:rPr>
      </w:pPr>
    </w:p>
    <w:p w:rsidR="00582D35" w:rsidRPr="009647A8" w:rsidRDefault="00582D35" w:rsidP="00582D35">
      <w:pPr>
        <w:ind w:left="0"/>
        <w:jc w:val="both"/>
        <w:rPr>
          <w:rFonts w:ascii="Bookman Old Style" w:hAnsi="Bookman Old Style"/>
        </w:rPr>
      </w:pPr>
    </w:p>
    <w:p w:rsidR="00582D35" w:rsidRPr="009647A8" w:rsidRDefault="00582D35" w:rsidP="00582D35">
      <w:pPr>
        <w:ind w:left="0"/>
        <w:jc w:val="both"/>
        <w:rPr>
          <w:rFonts w:ascii="Bookman Old Style" w:hAnsi="Bookman Old Style"/>
        </w:rPr>
      </w:pPr>
      <w:r w:rsidRPr="009647A8">
        <w:rPr>
          <w:rFonts w:ascii="Bookman Old Style" w:hAnsi="Bookman Old Style"/>
        </w:rPr>
        <w:t xml:space="preserve">Adicionalmente el artículo 2 al definir </w:t>
      </w:r>
      <w:r>
        <w:rPr>
          <w:rFonts w:ascii="Bookman Old Style" w:hAnsi="Bookman Old Style"/>
        </w:rPr>
        <w:t xml:space="preserve">los conceptos de </w:t>
      </w:r>
      <w:r w:rsidRPr="009B05DD">
        <w:rPr>
          <w:rFonts w:ascii="Bookman Old Style" w:hAnsi="Bookman Old Style"/>
          <w:i/>
        </w:rPr>
        <w:t>Cargo por Confiablidad</w:t>
      </w:r>
      <w:r>
        <w:rPr>
          <w:rFonts w:ascii="Bookman Old Style" w:hAnsi="Bookman Old Style"/>
        </w:rPr>
        <w:t xml:space="preserve"> y</w:t>
      </w:r>
      <w:r w:rsidRPr="009647A8">
        <w:t xml:space="preserve"> </w:t>
      </w:r>
      <w:r w:rsidRPr="009B05DD">
        <w:rPr>
          <w:rFonts w:ascii="Bookman Old Style" w:hAnsi="Bookman Old Style"/>
          <w:i/>
        </w:rPr>
        <w:t>Planta y/o Unidad de Generación que respalda una Obligación de Energía Firme</w:t>
      </w:r>
      <w:r>
        <w:rPr>
          <w:rFonts w:ascii="Bookman Old Style" w:hAnsi="Bookman Old Style"/>
        </w:rPr>
        <w:t xml:space="preserve"> evidencia con claridad que es la existencia de la planta, futura en el caso de plantas nuevas, y su disponibilidad la que dan lugar a la asignación de las OEF y al pago del Cargo por Confiabilidad.</w:t>
      </w:r>
    </w:p>
    <w:p w:rsidR="00582D35" w:rsidRDefault="00582D35" w:rsidP="00582D35">
      <w:pPr>
        <w:ind w:left="0"/>
        <w:jc w:val="both"/>
        <w:rPr>
          <w:rFonts w:ascii="Bookman Old Style" w:hAnsi="Bookman Old Style"/>
        </w:rPr>
      </w:pPr>
    </w:p>
    <w:p w:rsidR="00582D35" w:rsidRPr="00D845DA" w:rsidRDefault="00582D35" w:rsidP="00582D35">
      <w:pPr>
        <w:ind w:left="0"/>
        <w:jc w:val="both"/>
        <w:rPr>
          <w:rFonts w:ascii="Bookman Old Style" w:hAnsi="Bookman Old Style"/>
        </w:rPr>
      </w:pPr>
      <w:r>
        <w:rPr>
          <w:rFonts w:ascii="Bookman Old Style" w:hAnsi="Bookman Old Style"/>
        </w:rPr>
        <w:t>De acuerdo con esto</w:t>
      </w:r>
      <w:r w:rsidR="00A46E21">
        <w:rPr>
          <w:rFonts w:ascii="Bookman Old Style" w:hAnsi="Bookman Old Style"/>
        </w:rPr>
        <w:t>,</w:t>
      </w:r>
      <w:r>
        <w:rPr>
          <w:rFonts w:ascii="Bookman Old Style" w:hAnsi="Bookman Old Style"/>
        </w:rPr>
        <w:t xml:space="preserve"> el mecanismo</w:t>
      </w:r>
      <w:r w:rsidRPr="00D845DA">
        <w:rPr>
          <w:rFonts w:ascii="Bookman Old Style" w:hAnsi="Bookman Old Style"/>
        </w:rPr>
        <w:t xml:space="preserve"> </w:t>
      </w:r>
      <w:r w:rsidR="00A46E21">
        <w:rPr>
          <w:rFonts w:ascii="Bookman Old Style" w:hAnsi="Bookman Old Style"/>
        </w:rPr>
        <w:t xml:space="preserve">de </w:t>
      </w:r>
      <w:r w:rsidRPr="00D845DA">
        <w:rPr>
          <w:rFonts w:ascii="Bookman Old Style" w:hAnsi="Bookman Old Style"/>
        </w:rPr>
        <w:t>los anillos de seguridad</w:t>
      </w:r>
      <w:r>
        <w:rPr>
          <w:rFonts w:ascii="Bookman Old Style" w:hAnsi="Bookman Old Style"/>
        </w:rPr>
        <w:t xml:space="preserve"> no puede ser utilizad</w:t>
      </w:r>
      <w:r w:rsidR="00A46E21">
        <w:rPr>
          <w:rFonts w:ascii="Bookman Old Style" w:hAnsi="Bookman Old Style"/>
        </w:rPr>
        <w:t>o</w:t>
      </w:r>
      <w:r>
        <w:rPr>
          <w:rFonts w:ascii="Bookman Old Style" w:hAnsi="Bookman Old Style"/>
        </w:rPr>
        <w:t xml:space="preserve"> en reemplazo de la obligación de poner en operación comercial la planta declarada por el agente.   Si bien es cierto que dicho mecanismo está previsto para cumplir con las OEF</w:t>
      </w:r>
      <w:r w:rsidR="00A46E21">
        <w:rPr>
          <w:rFonts w:ascii="Bookman Old Style" w:hAnsi="Bookman Old Style"/>
        </w:rPr>
        <w:t>,</w:t>
      </w:r>
      <w:r>
        <w:rPr>
          <w:rFonts w:ascii="Bookman Old Style" w:hAnsi="Bookman Old Style"/>
        </w:rPr>
        <w:t xml:space="preserve"> es claro en la regulación que </w:t>
      </w:r>
      <w:r w:rsidRPr="00D845DA">
        <w:rPr>
          <w:rFonts w:ascii="Bookman Old Style" w:hAnsi="Bookman Old Style"/>
        </w:rPr>
        <w:t xml:space="preserve">sólo es viable su utilización cuando se </w:t>
      </w:r>
      <w:r>
        <w:rPr>
          <w:rFonts w:ascii="Bookman Old Style" w:hAnsi="Bookman Old Style"/>
        </w:rPr>
        <w:t>presente</w:t>
      </w:r>
      <w:r w:rsidRPr="00D845DA">
        <w:rPr>
          <w:rFonts w:ascii="Bookman Old Style" w:hAnsi="Bookman Old Style"/>
        </w:rPr>
        <w:t xml:space="preserve"> un </w:t>
      </w:r>
      <w:r>
        <w:rPr>
          <w:rFonts w:ascii="Bookman Old Style" w:hAnsi="Bookman Old Style"/>
        </w:rPr>
        <w:t>re</w:t>
      </w:r>
      <w:r w:rsidRPr="00D845DA">
        <w:rPr>
          <w:rFonts w:ascii="Bookman Old Style" w:hAnsi="Bookman Old Style"/>
        </w:rPr>
        <w:t xml:space="preserve">traso </w:t>
      </w:r>
      <w:r>
        <w:rPr>
          <w:rFonts w:ascii="Bookman Old Style" w:hAnsi="Bookman Old Style"/>
        </w:rPr>
        <w:t xml:space="preserve">en la entrada en operación de la planta </w:t>
      </w:r>
      <w:r w:rsidRPr="00D845DA">
        <w:rPr>
          <w:rFonts w:ascii="Bookman Old Style" w:hAnsi="Bookman Old Style"/>
        </w:rPr>
        <w:t xml:space="preserve">menor </w:t>
      </w:r>
      <w:r>
        <w:rPr>
          <w:rFonts w:ascii="Bookman Old Style" w:hAnsi="Bookman Old Style"/>
        </w:rPr>
        <w:t>a un año</w:t>
      </w:r>
      <w:r w:rsidR="00A46E21">
        <w:rPr>
          <w:rFonts w:ascii="Bookman Old Style" w:hAnsi="Bookman Old Style"/>
        </w:rPr>
        <w:t>,</w:t>
      </w:r>
      <w:r>
        <w:rPr>
          <w:rFonts w:ascii="Bookman Old Style" w:hAnsi="Bookman Old Style"/>
        </w:rPr>
        <w:t xml:space="preserve"> respecto </w:t>
      </w:r>
      <w:r w:rsidRPr="00D845DA">
        <w:rPr>
          <w:rFonts w:ascii="Bookman Old Style" w:hAnsi="Bookman Old Style"/>
        </w:rPr>
        <w:t>del inicio del periodo de vigencia de la obligación</w:t>
      </w:r>
      <w:r>
        <w:rPr>
          <w:rFonts w:ascii="Bookman Old Style" w:hAnsi="Bookman Old Style"/>
        </w:rPr>
        <w:t>,</w:t>
      </w:r>
      <w:r w:rsidRPr="00D845DA">
        <w:rPr>
          <w:rFonts w:ascii="Bookman Old Style" w:hAnsi="Bookman Old Style"/>
        </w:rPr>
        <w:t xml:space="preserve"> IPVO.</w:t>
      </w:r>
    </w:p>
    <w:p w:rsidR="00582D35" w:rsidRPr="00D845DA" w:rsidRDefault="00582D35" w:rsidP="00582D35">
      <w:pPr>
        <w:jc w:val="both"/>
        <w:rPr>
          <w:rFonts w:ascii="Bookman Old Style" w:hAnsi="Bookman Old Style"/>
        </w:rPr>
      </w:pPr>
    </w:p>
    <w:p w:rsidR="00582D35" w:rsidRDefault="00582D35" w:rsidP="00582D35">
      <w:pPr>
        <w:ind w:left="0"/>
        <w:jc w:val="both"/>
        <w:rPr>
          <w:rFonts w:ascii="Bookman Old Style" w:hAnsi="Bookman Old Style"/>
        </w:rPr>
      </w:pPr>
      <w:r>
        <w:rPr>
          <w:rFonts w:ascii="Bookman Old Style" w:hAnsi="Bookman Old Style"/>
        </w:rPr>
        <w:t>E</w:t>
      </w:r>
      <w:r w:rsidRPr="00D845DA">
        <w:rPr>
          <w:rFonts w:ascii="Bookman Old Style" w:hAnsi="Bookman Old Style"/>
        </w:rPr>
        <w:t xml:space="preserve">s excluyente la utilización de anillos de seguridad cuando el incumplimiento es calificado por el auditor como </w:t>
      </w:r>
      <w:r>
        <w:rPr>
          <w:rFonts w:ascii="Bookman Old Style" w:hAnsi="Bookman Old Style"/>
        </w:rPr>
        <w:t>grave e insalvable</w:t>
      </w:r>
      <w:r w:rsidRPr="00D845DA">
        <w:rPr>
          <w:rFonts w:ascii="Bookman Old Style" w:hAnsi="Bookman Old Style"/>
        </w:rPr>
        <w:t xml:space="preserve">. Se resalta lo dispuesto en el numeral 4 del artículo 9 de la Resolución CREG 071 de 2006 que señala: </w:t>
      </w:r>
    </w:p>
    <w:p w:rsidR="00582D35" w:rsidRDefault="00582D35" w:rsidP="00582D35">
      <w:pPr>
        <w:ind w:left="0"/>
        <w:jc w:val="both"/>
        <w:rPr>
          <w:rFonts w:ascii="Bookman Old Style" w:hAnsi="Bookman Old Style"/>
        </w:rPr>
      </w:pPr>
    </w:p>
    <w:p w:rsidR="00582D35" w:rsidRPr="00D845DA" w:rsidRDefault="00582D35" w:rsidP="00582D35">
      <w:pPr>
        <w:ind w:left="708"/>
        <w:jc w:val="both"/>
        <w:rPr>
          <w:rFonts w:ascii="Bookman Old Style" w:hAnsi="Bookman Old Style"/>
          <w:i/>
        </w:rPr>
      </w:pPr>
      <w:r>
        <w:rPr>
          <w:rFonts w:ascii="Bookman Old Style" w:hAnsi="Bookman Old Style"/>
          <w:i/>
        </w:rPr>
        <w:t>“</w:t>
      </w:r>
      <w:r w:rsidRPr="00D845DA">
        <w:rPr>
          <w:rFonts w:ascii="Bookman Old Style" w:hAnsi="Bookman Old Style"/>
          <w:i/>
        </w:rPr>
        <w:t xml:space="preserve">Cuando la fecha de puesta en operación de la planta determina por el auditor sea posterior a la fecha de inicio de Periodo de Vigencia de la Obligación y </w:t>
      </w:r>
      <w:r w:rsidRPr="00D845DA">
        <w:rPr>
          <w:rFonts w:ascii="Bookman Old Style" w:hAnsi="Bookman Old Style"/>
          <w:b/>
          <w:i/>
        </w:rPr>
        <w:t>no constituya incumplimiento grave e insalvable,</w:t>
      </w:r>
      <w:r w:rsidRPr="00D845DA">
        <w:rPr>
          <w:rFonts w:ascii="Bookman Old Style" w:hAnsi="Bookman Old Style"/>
          <w:i/>
        </w:rPr>
        <w:t xml:space="preserve"> el agente deberá garantizar el cumplimiento de su Obligación de Energía Firme a través de un contrato con uno o algunos de los anillos de seguridad (…) subraya fuera del texto original</w:t>
      </w:r>
      <w:r>
        <w:rPr>
          <w:rFonts w:ascii="Bookman Old Style" w:hAnsi="Bookman Old Style"/>
          <w:i/>
        </w:rPr>
        <w:t>.”</w:t>
      </w:r>
    </w:p>
    <w:p w:rsidR="00582D35" w:rsidRPr="00D845DA" w:rsidRDefault="00582D35" w:rsidP="00582D35">
      <w:pPr>
        <w:jc w:val="both"/>
        <w:rPr>
          <w:rFonts w:ascii="Bookman Old Style" w:hAnsi="Bookman Old Style"/>
        </w:rPr>
      </w:pPr>
    </w:p>
    <w:p w:rsidR="00582D35" w:rsidRPr="00D845DA" w:rsidRDefault="00582D35" w:rsidP="00582D35">
      <w:pPr>
        <w:ind w:left="0"/>
        <w:jc w:val="both"/>
        <w:rPr>
          <w:rFonts w:ascii="Bookman Old Style" w:hAnsi="Bookman Old Style"/>
        </w:rPr>
      </w:pPr>
      <w:r w:rsidRPr="00D845DA">
        <w:rPr>
          <w:rFonts w:ascii="Bookman Old Style" w:hAnsi="Bookman Old Style"/>
        </w:rPr>
        <w:t xml:space="preserve">De lo anterior se colige que la </w:t>
      </w:r>
      <w:r>
        <w:rPr>
          <w:rFonts w:ascii="Bookman Old Style" w:hAnsi="Bookman Old Style"/>
        </w:rPr>
        <w:t xml:space="preserve">existencia del evento de </w:t>
      </w:r>
      <w:r w:rsidRPr="00D845DA">
        <w:rPr>
          <w:rFonts w:ascii="Bookman Old Style" w:hAnsi="Bookman Old Style"/>
        </w:rPr>
        <w:t>incumplimiento grave e insalvable excluye la posibilidad de utilización de anillos de seguridad, los cuales solo se podrán hacer con incumplimientos menores a un año</w:t>
      </w:r>
      <w:r>
        <w:rPr>
          <w:rFonts w:ascii="Bookman Old Style" w:hAnsi="Bookman Old Style"/>
        </w:rPr>
        <w:t xml:space="preserve"> y</w:t>
      </w:r>
      <w:r w:rsidRPr="00D845DA">
        <w:rPr>
          <w:rFonts w:ascii="Bookman Old Style" w:hAnsi="Bookman Old Style"/>
        </w:rPr>
        <w:t xml:space="preserve"> una interpretación diferente es contraria a la regulación.</w:t>
      </w:r>
    </w:p>
    <w:p w:rsidR="00582D35" w:rsidRPr="00D845DA" w:rsidRDefault="00582D35" w:rsidP="00582D35">
      <w:pPr>
        <w:jc w:val="both"/>
        <w:rPr>
          <w:rFonts w:ascii="Bookman Old Style" w:hAnsi="Bookman Old Style"/>
        </w:rPr>
      </w:pPr>
    </w:p>
    <w:p w:rsidR="00582D35" w:rsidRDefault="00582D35" w:rsidP="00582D35">
      <w:pPr>
        <w:ind w:left="0"/>
        <w:jc w:val="both"/>
        <w:rPr>
          <w:rFonts w:ascii="Bookman Old Style" w:hAnsi="Bookman Old Style"/>
        </w:rPr>
      </w:pPr>
    </w:p>
    <w:p w:rsidR="00582D35" w:rsidRDefault="00582D35" w:rsidP="00582D35">
      <w:pPr>
        <w:ind w:left="0"/>
        <w:jc w:val="both"/>
        <w:rPr>
          <w:rFonts w:ascii="Bookman Old Style" w:hAnsi="Bookman Old Style" w:cs="Arial"/>
          <w:bCs/>
        </w:rPr>
      </w:pPr>
      <w:r>
        <w:rPr>
          <w:rFonts w:ascii="Bookman Old Style" w:hAnsi="Bookman Old Style"/>
        </w:rPr>
        <w:t>Hecha la anterior precisión</w:t>
      </w:r>
      <w:r w:rsidR="002C168F">
        <w:rPr>
          <w:rFonts w:ascii="Bookman Old Style" w:hAnsi="Bookman Old Style"/>
        </w:rPr>
        <w:t>,</w:t>
      </w:r>
      <w:r>
        <w:rPr>
          <w:rFonts w:ascii="Bookman Old Style" w:hAnsi="Bookman Old Style"/>
        </w:rPr>
        <w:t xml:space="preserve"> frente al alcance de la figura de los anillos de seguridad se debe tener en cuenta que </w:t>
      </w:r>
      <w:r>
        <w:rPr>
          <w:rFonts w:ascii="Bookman Old Style" w:hAnsi="Bookman Old Style" w:cs="Arial"/>
          <w:bCs/>
        </w:rPr>
        <w:t xml:space="preserve">EPM </w:t>
      </w:r>
      <w:r w:rsidR="00097D53">
        <w:rPr>
          <w:rFonts w:ascii="Bookman Old Style" w:hAnsi="Bookman Old Style" w:cs="Arial"/>
          <w:bCs/>
        </w:rPr>
        <w:t xml:space="preserve">formuló </w:t>
      </w:r>
      <w:r>
        <w:rPr>
          <w:rFonts w:ascii="Bookman Old Style" w:hAnsi="Bookman Old Style" w:cs="Arial"/>
          <w:bCs/>
        </w:rPr>
        <w:t xml:space="preserve">una propuesta de honrar sus Obligaciones de Energía Firme mediante la figura de Demanda Desconectable voluntaria, es decir mediante el uso de uno de los anillos de seguridad. </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Al respecto es importante recordar a qué se comprometió EPM:</w:t>
      </w:r>
    </w:p>
    <w:p w:rsidR="00582D35" w:rsidRDefault="00582D35" w:rsidP="00582D35">
      <w:pPr>
        <w:jc w:val="both"/>
        <w:rPr>
          <w:rFonts w:ascii="Bookman Old Style" w:hAnsi="Bookman Old Style" w:cs="Arial"/>
          <w:bCs/>
        </w:rPr>
      </w:pPr>
      <w:r>
        <w:rPr>
          <w:rFonts w:ascii="Bookman Old Style" w:hAnsi="Bookman Old Style" w:cs="Arial"/>
          <w:bCs/>
          <w:vanish/>
        </w:rPr>
        <w:cr/>
        <w:t>enciona EPM que el proyecto h h</w:t>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p>
    <w:p w:rsidR="00582D35" w:rsidRDefault="00582D35" w:rsidP="00582D35">
      <w:pPr>
        <w:ind w:left="0"/>
        <w:jc w:val="both"/>
        <w:rPr>
          <w:rFonts w:ascii="Bookman Old Style" w:hAnsi="Bookman Old Style" w:cs="Arial"/>
          <w:bCs/>
        </w:rPr>
      </w:pPr>
      <w:r>
        <w:rPr>
          <w:rFonts w:ascii="Bookman Old Style" w:hAnsi="Bookman Old Style" w:cs="Arial"/>
          <w:bCs/>
        </w:rPr>
        <w:t xml:space="preserve">En la subasta </w:t>
      </w:r>
      <w:r>
        <w:rPr>
          <w:rFonts w:ascii="Bookman Old Style" w:hAnsi="Bookman Old Style" w:cs="Arial"/>
        </w:rPr>
        <w:t xml:space="preserve">para plantas GPPS </w:t>
      </w:r>
      <w:r>
        <w:rPr>
          <w:rFonts w:ascii="Bookman Old Style" w:hAnsi="Bookman Old Style" w:cs="Arial"/>
          <w:bCs/>
        </w:rPr>
        <w:t xml:space="preserve">realizada en el año 2008, EPM se comprometió a la construcción de una planta hidroeléctrica de las siguientes características: Planta hidroeléctrica con una ENFICC base de </w:t>
      </w:r>
      <w:hyperlink r:id="rId10" w:history="1">
        <w:r w:rsidRPr="00C21D27">
          <w:rPr>
            <w:rFonts w:ascii="Bookman Old Style" w:hAnsi="Bookman Old Style" w:cs="Arial"/>
            <w:bCs/>
          </w:rPr>
          <w:t xml:space="preserve">8.653 </w:t>
        </w:r>
      </w:hyperlink>
      <w:hyperlink r:id="rId11" w:history="1">
        <w:r w:rsidRPr="00C21D27">
          <w:rPr>
            <w:rFonts w:ascii="Bookman Old Style" w:hAnsi="Bookman Old Style" w:cs="Arial"/>
            <w:bCs/>
          </w:rPr>
          <w:t>GWh</w:t>
        </w:r>
      </w:hyperlink>
      <w:hyperlink r:id="rId12" w:history="1">
        <w:r w:rsidRPr="00C21D27">
          <w:rPr>
            <w:rFonts w:ascii="Bookman Old Style" w:hAnsi="Bookman Old Style" w:cs="Arial"/>
            <w:bCs/>
          </w:rPr>
          <w:t>/año.</w:t>
        </w:r>
        <w:r w:rsidRPr="00C21D27">
          <w:t xml:space="preserve">  </w:t>
        </w:r>
      </w:hyperlink>
    </w:p>
    <w:p w:rsidR="00582D35" w:rsidRDefault="00582D35" w:rsidP="00582D35">
      <w:pPr>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Así las cosas, entendemos que se trata de un cuerpo cierto lo que se obligó EPM a construir</w:t>
      </w:r>
      <w:r w:rsidR="00A46E21">
        <w:rPr>
          <w:rFonts w:ascii="Bookman Old Style" w:hAnsi="Bookman Old Style" w:cs="Arial"/>
          <w:bCs/>
        </w:rPr>
        <w:t xml:space="preserve"> y poner en operación comercial</w:t>
      </w:r>
      <w:r>
        <w:rPr>
          <w:rFonts w:ascii="Bookman Old Style" w:hAnsi="Bookman Old Style" w:cs="Arial"/>
          <w:bCs/>
        </w:rPr>
        <w:t xml:space="preserve">, es decir que las OEF, solo pueden ser honradas con la planta </w:t>
      </w:r>
      <w:r w:rsidR="00A46E21">
        <w:rPr>
          <w:rFonts w:ascii="Bookman Old Style" w:hAnsi="Bookman Old Style" w:cs="Arial"/>
          <w:bCs/>
        </w:rPr>
        <w:t xml:space="preserve">de generación </w:t>
      </w:r>
      <w:r>
        <w:rPr>
          <w:rFonts w:ascii="Bookman Old Style" w:hAnsi="Bookman Old Style" w:cs="Arial"/>
          <w:bCs/>
        </w:rPr>
        <w:t xml:space="preserve">hidroeléctrica </w:t>
      </w:r>
      <w:r w:rsidR="00B832D3">
        <w:rPr>
          <w:rFonts w:ascii="Bookman Old Style" w:hAnsi="Bookman Old Style" w:cs="Arial"/>
          <w:bCs/>
        </w:rPr>
        <w:t xml:space="preserve">cuyos </w:t>
      </w:r>
      <w:r w:rsidR="00A46E21">
        <w:rPr>
          <w:rFonts w:ascii="Bookman Old Style" w:hAnsi="Bookman Old Style" w:cs="Arial"/>
          <w:bCs/>
        </w:rPr>
        <w:t xml:space="preserve">parámetros </w:t>
      </w:r>
      <w:r w:rsidR="00B832D3">
        <w:rPr>
          <w:rFonts w:ascii="Bookman Old Style" w:hAnsi="Bookman Old Style" w:cs="Arial"/>
          <w:bCs/>
        </w:rPr>
        <w:t xml:space="preserve">declaró </w:t>
      </w:r>
      <w:r>
        <w:rPr>
          <w:rFonts w:ascii="Bookman Old Style" w:hAnsi="Bookman Old Style" w:cs="Arial"/>
          <w:bCs/>
        </w:rPr>
        <w:t>en la subasta</w:t>
      </w:r>
      <w:r w:rsidRPr="00F40F01">
        <w:rPr>
          <w:rFonts w:ascii="Bookman Old Style" w:hAnsi="Bookman Old Style" w:cs="Arial"/>
        </w:rPr>
        <w:t xml:space="preserve"> </w:t>
      </w:r>
      <w:r>
        <w:rPr>
          <w:rFonts w:ascii="Bookman Old Style" w:hAnsi="Bookman Old Style" w:cs="Arial"/>
        </w:rPr>
        <w:t>para plantas GPPS</w:t>
      </w:r>
      <w:r>
        <w:rPr>
          <w:rFonts w:ascii="Bookman Old Style" w:hAnsi="Bookman Old Style" w:cs="Arial"/>
          <w:bCs/>
        </w:rPr>
        <w:t xml:space="preserve"> de 2008. </w:t>
      </w:r>
      <w:r w:rsidR="00A46E21">
        <w:rPr>
          <w:rFonts w:ascii="Bookman Old Style" w:hAnsi="Bookman Old Style" w:cs="Arial"/>
          <w:bCs/>
        </w:rPr>
        <w:t xml:space="preserve">Si bien el </w:t>
      </w:r>
      <w:r>
        <w:rPr>
          <w:rFonts w:ascii="Bookman Old Style" w:hAnsi="Bookman Old Style" w:cs="Arial"/>
          <w:bCs/>
        </w:rPr>
        <w:t>fin último es la entrega de energía que garantice la confiabilidad, esa energía debe ser entregada con el activo al que se comprometió el agente al momento de la participación en la subasta</w:t>
      </w:r>
      <w:r w:rsidRPr="00F40F01">
        <w:rPr>
          <w:rFonts w:ascii="Bookman Old Style" w:hAnsi="Bookman Old Style" w:cs="Arial"/>
        </w:rPr>
        <w:t xml:space="preserve"> </w:t>
      </w:r>
      <w:r>
        <w:rPr>
          <w:rFonts w:ascii="Bookman Old Style" w:hAnsi="Bookman Old Style" w:cs="Arial"/>
        </w:rPr>
        <w:t>para plantas GPPS</w:t>
      </w:r>
      <w:r>
        <w:rPr>
          <w:rFonts w:ascii="Bookman Old Style" w:hAnsi="Bookman Old Style" w:cs="Arial"/>
          <w:bCs/>
        </w:rPr>
        <w:t>, motivo por el cual la propuesta de EPM es contraria a lo previsto en la regulación y no puede ser aceptada.</w:t>
      </w:r>
    </w:p>
    <w:p w:rsidR="00A46E21" w:rsidRDefault="00A46E21" w:rsidP="00582D35">
      <w:pPr>
        <w:ind w:left="0"/>
        <w:jc w:val="both"/>
        <w:rPr>
          <w:rFonts w:ascii="Bookman Old Style" w:hAnsi="Bookman Old Style" w:cs="Arial"/>
          <w:bCs/>
        </w:rPr>
      </w:pPr>
    </w:p>
    <w:p w:rsidR="00A46E21" w:rsidRPr="00052B5D" w:rsidRDefault="00A46E21" w:rsidP="00582D35">
      <w:pPr>
        <w:ind w:left="0"/>
        <w:jc w:val="both"/>
        <w:rPr>
          <w:rFonts w:ascii="Bookman Old Style" w:hAnsi="Bookman Old Style" w:cs="Arial"/>
          <w:bCs/>
        </w:rPr>
      </w:pPr>
      <w:r>
        <w:rPr>
          <w:rFonts w:ascii="Bookman Old Style" w:hAnsi="Bookman Old Style" w:cs="Arial"/>
          <w:bCs/>
        </w:rPr>
        <w:t xml:space="preserve">No sobra reiterar que la subasta de asignación de OEF para plantas GPPS tiene como objetivo la expansión del parque de generación </w:t>
      </w:r>
      <w:r w:rsidR="003F04F4">
        <w:rPr>
          <w:rFonts w:ascii="Bookman Old Style" w:hAnsi="Bookman Old Style" w:cs="Arial"/>
          <w:bCs/>
        </w:rPr>
        <w:t xml:space="preserve">existente, </w:t>
      </w:r>
      <w:r>
        <w:rPr>
          <w:rFonts w:ascii="Bookman Old Style" w:hAnsi="Bookman Old Style" w:cs="Arial"/>
          <w:bCs/>
        </w:rPr>
        <w:t>para agregar al Sistema Interconectado Nacional energía firme adicional a</w:t>
      </w:r>
      <w:r w:rsidR="003F04F4">
        <w:rPr>
          <w:rFonts w:ascii="Bookman Old Style" w:hAnsi="Bookman Old Style" w:cs="Arial"/>
          <w:bCs/>
        </w:rPr>
        <w:t xml:space="preserve"> </w:t>
      </w:r>
      <w:r>
        <w:rPr>
          <w:rFonts w:ascii="Bookman Old Style" w:hAnsi="Bookman Old Style" w:cs="Arial"/>
          <w:bCs/>
        </w:rPr>
        <w:t>l</w:t>
      </w:r>
      <w:r w:rsidR="003F04F4">
        <w:rPr>
          <w:rFonts w:ascii="Bookman Old Style" w:hAnsi="Bookman Old Style" w:cs="Arial"/>
          <w:bCs/>
        </w:rPr>
        <w:t>a</w:t>
      </w:r>
      <w:r>
        <w:rPr>
          <w:rFonts w:ascii="Bookman Old Style" w:hAnsi="Bookman Old Style" w:cs="Arial"/>
          <w:bCs/>
        </w:rPr>
        <w:t xml:space="preserve"> contabiliza</w:t>
      </w:r>
      <w:r w:rsidR="003F04F4">
        <w:rPr>
          <w:rFonts w:ascii="Bookman Old Style" w:hAnsi="Bookman Old Style" w:cs="Arial"/>
          <w:bCs/>
        </w:rPr>
        <w:t>da</w:t>
      </w:r>
      <w:r>
        <w:rPr>
          <w:rFonts w:ascii="Bookman Old Style" w:hAnsi="Bookman Old Style" w:cs="Arial"/>
          <w:bCs/>
        </w:rPr>
        <w:t xml:space="preserve"> en el balance de energía </w:t>
      </w:r>
      <w:r w:rsidR="003F04F4">
        <w:rPr>
          <w:rFonts w:ascii="Bookman Old Style" w:hAnsi="Bookman Old Style" w:cs="Arial"/>
          <w:bCs/>
        </w:rPr>
        <w:t xml:space="preserve">con base en el cual </w:t>
      </w:r>
      <w:r>
        <w:rPr>
          <w:rFonts w:ascii="Bookman Old Style" w:hAnsi="Bookman Old Style" w:cs="Arial"/>
          <w:bCs/>
        </w:rPr>
        <w:t>la CREG</w:t>
      </w:r>
      <w:r w:rsidR="003F04F4">
        <w:rPr>
          <w:rFonts w:ascii="Bookman Old Style" w:hAnsi="Bookman Old Style" w:cs="Arial"/>
          <w:bCs/>
        </w:rPr>
        <w:t xml:space="preserve"> decide la convocatoria</w:t>
      </w:r>
      <w:r>
        <w:rPr>
          <w:rFonts w:ascii="Bookman Old Style" w:hAnsi="Bookman Old Style" w:cs="Arial"/>
          <w:bCs/>
        </w:rPr>
        <w:t>, para atender la demanda futura de energía proyectada por la Unidad de Planeación Minero Energética, UPM</w:t>
      </w:r>
      <w:r w:rsidR="00811A33">
        <w:rPr>
          <w:rFonts w:ascii="Bookman Old Style" w:hAnsi="Bookman Old Style" w:cs="Arial"/>
          <w:bCs/>
        </w:rPr>
        <w:t>. P</w:t>
      </w:r>
      <w:r w:rsidR="003F04F4">
        <w:rPr>
          <w:rFonts w:ascii="Bookman Old Style" w:hAnsi="Bookman Old Style" w:cs="Arial"/>
          <w:bCs/>
        </w:rPr>
        <w:t xml:space="preserve">or tanto, el compromiso de energía firme adicional debe ser honrado con la construcción y puesta en operación de las plantas declaradas en la respectiva subasta. </w:t>
      </w:r>
    </w:p>
    <w:p w:rsidR="00582D35" w:rsidRDefault="00582D35" w:rsidP="00582D35">
      <w:pPr>
        <w:ind w:left="360"/>
        <w:rPr>
          <w:rFonts w:ascii="Bookman Old Style" w:hAnsi="Bookman Old Style"/>
          <w:b/>
        </w:rPr>
      </w:pPr>
    </w:p>
    <w:p w:rsidR="00582D35" w:rsidRPr="00496B75" w:rsidRDefault="00582D35" w:rsidP="00582D35">
      <w:pPr>
        <w:ind w:left="0"/>
        <w:rPr>
          <w:rFonts w:ascii="Bookman Old Style" w:hAnsi="Bookman Old Style"/>
          <w:b/>
        </w:rPr>
      </w:pPr>
    </w:p>
    <w:p w:rsidR="00582D35" w:rsidRPr="00B133B4" w:rsidRDefault="00582D35" w:rsidP="00EB0EE6">
      <w:pPr>
        <w:numPr>
          <w:ilvl w:val="1"/>
          <w:numId w:val="29"/>
        </w:numPr>
        <w:rPr>
          <w:rFonts w:ascii="Bookman Old Style" w:hAnsi="Bookman Old Style"/>
          <w:b/>
        </w:rPr>
      </w:pPr>
      <w:r w:rsidRPr="00B133B4">
        <w:rPr>
          <w:rFonts w:ascii="Bookman Old Style" w:hAnsi="Bookman Old Style"/>
          <w:b/>
        </w:rPr>
        <w:t>Incumpli</w:t>
      </w:r>
      <w:r>
        <w:rPr>
          <w:rFonts w:ascii="Bookman Old Style" w:hAnsi="Bookman Old Style"/>
          <w:b/>
        </w:rPr>
        <w:t>miento de las OEF con IPVO 2021</w:t>
      </w:r>
      <w:r w:rsidRPr="00B133B4">
        <w:rPr>
          <w:rFonts w:ascii="Bookman Old Style" w:hAnsi="Bookman Old Style"/>
          <w:b/>
        </w:rPr>
        <w:t xml:space="preserve"> </w:t>
      </w:r>
    </w:p>
    <w:p w:rsidR="00582D35" w:rsidRDefault="00582D35" w:rsidP="00582D35">
      <w:pPr>
        <w:ind w:left="0"/>
        <w:jc w:val="both"/>
        <w:rPr>
          <w:rFonts w:ascii="Bookman Old Style" w:hAnsi="Bookman Old Style"/>
        </w:rPr>
      </w:pPr>
    </w:p>
    <w:p w:rsidR="00582D35" w:rsidRDefault="00582D35" w:rsidP="00582D35">
      <w:pPr>
        <w:ind w:left="0"/>
        <w:jc w:val="both"/>
        <w:rPr>
          <w:rFonts w:ascii="Bookman Old Style" w:hAnsi="Bookman Old Style"/>
        </w:rPr>
      </w:pPr>
      <w:r>
        <w:rPr>
          <w:rFonts w:ascii="Bookman Old Style" w:hAnsi="Bookman Old Style"/>
        </w:rPr>
        <w:t xml:space="preserve">En relación con la OEF con IPVO 2021 y conforme a </w:t>
      </w:r>
      <w:r w:rsidRPr="00B133B4">
        <w:rPr>
          <w:rFonts w:ascii="Bookman Old Style" w:hAnsi="Bookman Old Style"/>
        </w:rPr>
        <w:t>los artículos 9 de la Resolución</w:t>
      </w:r>
      <w:r>
        <w:rPr>
          <w:rFonts w:ascii="Bookman Old Style" w:hAnsi="Bookman Old Style"/>
        </w:rPr>
        <w:t xml:space="preserve"> CREG 071 de 2006 y 13 de la Resolución CREG 061 de 2017 ya citados</w:t>
      </w:r>
      <w:r w:rsidRPr="00B133B4">
        <w:rPr>
          <w:rFonts w:ascii="Bookman Old Style" w:hAnsi="Bookman Old Style"/>
        </w:rPr>
        <w:t xml:space="preserve"> le corresponde a esta Comisión </w:t>
      </w:r>
      <w:r>
        <w:rPr>
          <w:rFonts w:ascii="Bookman Old Style" w:hAnsi="Bookman Old Style"/>
        </w:rPr>
        <w:t>establecer</w:t>
      </w:r>
      <w:r w:rsidRPr="00B133B4">
        <w:rPr>
          <w:rFonts w:ascii="Bookman Old Style" w:hAnsi="Bookman Old Style"/>
        </w:rPr>
        <w:t xml:space="preserve"> la existencia de</w:t>
      </w:r>
      <w:r w:rsidR="004F21EA">
        <w:rPr>
          <w:rFonts w:ascii="Bookman Old Style" w:hAnsi="Bookman Old Style"/>
        </w:rPr>
        <w:t xml:space="preserve"> </w:t>
      </w:r>
      <w:r>
        <w:rPr>
          <w:rFonts w:ascii="Bookman Old Style" w:hAnsi="Bookman Old Style"/>
        </w:rPr>
        <w:t>l</w:t>
      </w:r>
      <w:r w:rsidR="004F21EA">
        <w:rPr>
          <w:rFonts w:ascii="Bookman Old Style" w:hAnsi="Bookman Old Style"/>
        </w:rPr>
        <w:t>os</w:t>
      </w:r>
      <w:r w:rsidRPr="00B133B4">
        <w:rPr>
          <w:rFonts w:ascii="Bookman Old Style" w:hAnsi="Bookman Old Style"/>
        </w:rPr>
        <w:t xml:space="preserve"> siguiente</w:t>
      </w:r>
      <w:r w:rsidR="004F21EA">
        <w:rPr>
          <w:rFonts w:ascii="Bookman Old Style" w:hAnsi="Bookman Old Style"/>
        </w:rPr>
        <w:t>s</w:t>
      </w:r>
      <w:r w:rsidRPr="00B133B4">
        <w:rPr>
          <w:rFonts w:ascii="Bookman Old Style" w:hAnsi="Bookman Old Style"/>
        </w:rPr>
        <w:t xml:space="preserve"> eventos</w:t>
      </w:r>
      <w:r>
        <w:rPr>
          <w:rFonts w:ascii="Bookman Old Style" w:hAnsi="Bookman Old Style"/>
        </w:rPr>
        <w:t xml:space="preserve">: </w:t>
      </w:r>
      <w:r w:rsidRPr="002D3771">
        <w:rPr>
          <w:rFonts w:ascii="Bookman Old Style" w:hAnsi="Bookman Old Style"/>
        </w:rPr>
        <w:t xml:space="preserve"> </w:t>
      </w:r>
      <w:r w:rsidRPr="00B133B4">
        <w:rPr>
          <w:rFonts w:ascii="Bookman Old Style" w:hAnsi="Bookman Old Style"/>
        </w:rPr>
        <w:t xml:space="preserve">i) Si hay un atraso </w:t>
      </w:r>
      <w:r>
        <w:rPr>
          <w:rFonts w:ascii="Bookman Old Style" w:hAnsi="Bookman Old Style"/>
        </w:rPr>
        <w:t xml:space="preserve">para la puesta en operación de la planta </w:t>
      </w:r>
      <w:r w:rsidRPr="00B133B4">
        <w:rPr>
          <w:rFonts w:ascii="Bookman Old Style" w:hAnsi="Bookman Old Style"/>
        </w:rPr>
        <w:t xml:space="preserve">superior a un año respecto del IPVO, 1 diciembre de </w:t>
      </w:r>
      <w:r>
        <w:rPr>
          <w:rFonts w:ascii="Bookman Old Style" w:hAnsi="Bookman Old Style"/>
        </w:rPr>
        <w:t>2021</w:t>
      </w:r>
      <w:r w:rsidRPr="00B133B4">
        <w:rPr>
          <w:rFonts w:ascii="Bookman Old Style" w:hAnsi="Bookman Old Style"/>
        </w:rPr>
        <w:t xml:space="preserve">. </w:t>
      </w:r>
    </w:p>
    <w:p w:rsidR="00582D35" w:rsidRDefault="00582D35" w:rsidP="00582D35">
      <w:pPr>
        <w:ind w:left="0"/>
        <w:jc w:val="both"/>
        <w:rPr>
          <w:rFonts w:ascii="Bookman Old Style" w:hAnsi="Bookman Old Style"/>
        </w:rPr>
      </w:pPr>
    </w:p>
    <w:p w:rsidR="00582D35" w:rsidRDefault="00582D35" w:rsidP="00582D35">
      <w:pPr>
        <w:ind w:left="0"/>
        <w:jc w:val="both"/>
        <w:rPr>
          <w:rFonts w:ascii="Bookman Old Style" w:hAnsi="Bookman Old Style" w:cs="Arial"/>
        </w:rPr>
      </w:pPr>
      <w:r>
        <w:rPr>
          <w:rFonts w:ascii="Bookman Old Style" w:hAnsi="Bookman Old Style"/>
        </w:rPr>
        <w:t xml:space="preserve">Es por esto que, </w:t>
      </w:r>
      <w:r>
        <w:rPr>
          <w:rFonts w:ascii="Bookman Old Style" w:hAnsi="Bookman Old Style" w:cs="Arial"/>
        </w:rPr>
        <w:t>d</w:t>
      </w:r>
      <w:r w:rsidRPr="006539C9">
        <w:rPr>
          <w:rFonts w:ascii="Bookman Old Style" w:hAnsi="Bookman Old Style" w:cs="Arial"/>
        </w:rPr>
        <w:t>e acuerdo con lo previsto en la regulación</w:t>
      </w:r>
      <w:r>
        <w:rPr>
          <w:rFonts w:ascii="Bookman Old Style" w:hAnsi="Bookman Old Style" w:cs="Arial"/>
        </w:rPr>
        <w:t>, para efectos de establecer plenamente</w:t>
      </w:r>
      <w:r w:rsidRPr="006539C9">
        <w:rPr>
          <w:rFonts w:ascii="Bookman Old Style" w:hAnsi="Bookman Old Style" w:cs="Arial"/>
        </w:rPr>
        <w:t xml:space="preserve"> </w:t>
      </w:r>
      <w:r>
        <w:rPr>
          <w:rFonts w:ascii="Bookman Old Style" w:hAnsi="Bookman Old Style" w:cs="Arial"/>
        </w:rPr>
        <w:t xml:space="preserve">la existencia del incumplimiento grave e insalvable, uno de los elementos esenciales es contar con un </w:t>
      </w:r>
      <w:r w:rsidRPr="006150DA">
        <w:rPr>
          <w:rFonts w:ascii="Bookman Old Style" w:hAnsi="Bookman Old Style" w:cs="Arial"/>
        </w:rPr>
        <w:t xml:space="preserve">informe del auditor </w:t>
      </w:r>
      <w:r>
        <w:rPr>
          <w:rFonts w:ascii="Bookman Old Style" w:hAnsi="Bookman Old Style" w:cs="Arial"/>
        </w:rPr>
        <w:t xml:space="preserve">en el cual se indique que </w:t>
      </w:r>
      <w:r w:rsidRPr="006150DA">
        <w:rPr>
          <w:rFonts w:ascii="Bookman Old Style" w:hAnsi="Bookman Old Style" w:cs="Arial"/>
        </w:rPr>
        <w:t xml:space="preserve">la puesta en operación de la planta </w:t>
      </w:r>
      <w:r>
        <w:rPr>
          <w:rFonts w:ascii="Bookman Old Style" w:hAnsi="Bookman Old Style" w:cs="Arial"/>
        </w:rPr>
        <w:t>cuenta con</w:t>
      </w:r>
      <w:r w:rsidRPr="006150DA">
        <w:rPr>
          <w:rFonts w:ascii="Bookman Old Style" w:hAnsi="Bookman Old Style" w:cs="Arial"/>
        </w:rPr>
        <w:t xml:space="preserve"> un atraso mayor a un año, contado a partir de la fecha de inicio del periodo de vigencia de la obligación</w:t>
      </w:r>
      <w:r>
        <w:rPr>
          <w:rFonts w:ascii="Bookman Old Style" w:hAnsi="Bookman Old Style" w:cs="Arial"/>
        </w:rPr>
        <w:t>. De esto se extrae que es requerido para establecer la existencia del incumplimiento de la OEF con IPVO 2021, un informe de auditoría que califique el evento de incumplimiento como grave e insalvable, en el cual se exponga que existe un atraso para la entrada en operación del proyecto, mayor a un (1) año respecto del 1º de diciembre del año 2021.</w:t>
      </w:r>
    </w:p>
    <w:p w:rsidR="00582D35" w:rsidRDefault="00582D35" w:rsidP="00582D35">
      <w:pPr>
        <w:ind w:left="0"/>
        <w:jc w:val="both"/>
        <w:rPr>
          <w:rFonts w:ascii="Bookman Old Style" w:hAnsi="Bookman Old Style" w:cs="Arial"/>
        </w:rPr>
      </w:pPr>
    </w:p>
    <w:p w:rsidR="00582D35" w:rsidRDefault="00582D35" w:rsidP="00582D35">
      <w:pPr>
        <w:ind w:left="0"/>
        <w:jc w:val="both"/>
        <w:rPr>
          <w:rFonts w:ascii="Bookman Old Style" w:hAnsi="Bookman Old Style" w:cs="Arial"/>
        </w:rPr>
      </w:pPr>
      <w:r>
        <w:rPr>
          <w:rFonts w:ascii="Bookman Old Style" w:hAnsi="Bookman Old Style" w:cs="Arial"/>
        </w:rPr>
        <w:t xml:space="preserve">En este sentido, actualmente dentro del trámite de la presente actuación administrativa esta Comisión cuenta con un informe de auditoría en el cual el auditor concluye que hay un atraso del proyecto mayor a un año </w:t>
      </w:r>
      <w:r w:rsidRPr="005337EB">
        <w:rPr>
          <w:rFonts w:ascii="Bookman Old Style" w:hAnsi="Bookman Old Style" w:cs="Arial"/>
        </w:rPr>
        <w:t>frente a la fecha de Inicio del Período de Vigencia de la Obligación-IPVO</w:t>
      </w:r>
      <w:r>
        <w:rPr>
          <w:rFonts w:ascii="Bookman Old Style" w:hAnsi="Bookman Old Style" w:cs="Arial"/>
        </w:rPr>
        <w:t xml:space="preserve"> del año 2018, el cual constituye grave e insalvable, sin precisar el número de días de atraso, toda vez que en el contexto de la auditoría manifiesta que </w:t>
      </w:r>
      <w:r w:rsidRPr="002F0A16">
        <w:rPr>
          <w:rFonts w:ascii="Bookman Old Style" w:hAnsi="Bookman Old Style" w:cs="Arial"/>
          <w:i/>
        </w:rPr>
        <w:t>“no nos permite al 30 de junio de 2018, directamente verificar el avance de la curva S real frente a los parámetros usados por el gestor en la curva S declarada ante la CREG, así como, estimar la nueva fecha de puesta en operación de las obras de la planta de generación”</w:t>
      </w:r>
      <w:r>
        <w:rPr>
          <w:rFonts w:ascii="Bookman Old Style" w:hAnsi="Bookman Old Style" w:cs="Arial"/>
        </w:rPr>
        <w:t>.</w:t>
      </w:r>
    </w:p>
    <w:p w:rsidR="00582D35" w:rsidRDefault="00582D35" w:rsidP="00582D35">
      <w:pPr>
        <w:ind w:left="0"/>
        <w:jc w:val="both"/>
        <w:rPr>
          <w:rFonts w:ascii="Bookman Old Style" w:hAnsi="Bookman Old Style" w:cs="Arial"/>
        </w:rPr>
      </w:pPr>
    </w:p>
    <w:p w:rsidR="00582D35" w:rsidRDefault="00582D35" w:rsidP="00582D35">
      <w:pPr>
        <w:ind w:left="0"/>
        <w:jc w:val="both"/>
        <w:rPr>
          <w:rFonts w:ascii="Bookman Old Style" w:hAnsi="Bookman Old Style" w:cs="Arial"/>
        </w:rPr>
      </w:pPr>
      <w:r>
        <w:rPr>
          <w:rFonts w:ascii="Bookman Old Style" w:hAnsi="Bookman Old Style" w:cs="Arial"/>
        </w:rPr>
        <w:t>Adicionalmente</w:t>
      </w:r>
      <w:r w:rsidRPr="005337EB">
        <w:rPr>
          <w:rFonts w:ascii="Bookman Old Style" w:hAnsi="Bookman Old Style" w:cs="Arial"/>
        </w:rPr>
        <w:t>, esta Comisión ha procedido a llevar a cabo un ejercicio de valoración autónoma, libre e integral de las pruebas por parte en el marco de los artículos 168, 176, 178 y 232 del Código General del Proceso, sustentado dentro de los parámetros de la sana crítica, como parte de la aplicación de los principios que rigen la prueba y los fines que debe cumplir el ejercicio de la facultad regulatoria de los servicios públicos domiciliarios de energ</w:t>
      </w:r>
      <w:r>
        <w:rPr>
          <w:rFonts w:ascii="Bookman Old Style" w:hAnsi="Bookman Old Style" w:cs="Arial"/>
        </w:rPr>
        <w:t>ía eléctrica y gas combustible.</w:t>
      </w:r>
    </w:p>
    <w:p w:rsidR="00582D35" w:rsidRDefault="00582D35" w:rsidP="00582D35">
      <w:pPr>
        <w:ind w:left="0"/>
        <w:jc w:val="both"/>
        <w:rPr>
          <w:rFonts w:ascii="Bookman Old Style" w:hAnsi="Bookman Old Style" w:cs="Arial"/>
        </w:rPr>
      </w:pPr>
    </w:p>
    <w:p w:rsidR="00582D35" w:rsidRDefault="00582D35" w:rsidP="00582D35">
      <w:pPr>
        <w:ind w:left="0"/>
        <w:jc w:val="both"/>
        <w:rPr>
          <w:rFonts w:ascii="Bookman Old Style" w:hAnsi="Bookman Old Style" w:cs="Arial"/>
          <w:bCs/>
          <w:i/>
        </w:rPr>
      </w:pPr>
      <w:r>
        <w:rPr>
          <w:rFonts w:ascii="Bookman Old Style" w:hAnsi="Bookman Old Style" w:cs="Arial"/>
          <w:bCs/>
        </w:rPr>
        <w:t xml:space="preserve">Al respecto se observa que la Comisión no cuenta con elementos de juicio suficientes que le permitan establecer que la construcción de la planta presente un atraso mayor a un año respecto del IPVO de la respectiva obligación, 1 de diciembre de 2021.  </w:t>
      </w:r>
    </w:p>
    <w:p w:rsidR="00582D35" w:rsidRDefault="00582D35" w:rsidP="00582D35">
      <w:pPr>
        <w:jc w:val="both"/>
        <w:rPr>
          <w:rFonts w:ascii="Bookman Old Style" w:hAnsi="Bookman Old Style" w:cs="Arial"/>
          <w:bCs/>
          <w:i/>
        </w:rPr>
      </w:pPr>
    </w:p>
    <w:p w:rsidR="00582D35" w:rsidRDefault="00582D35" w:rsidP="00582D35">
      <w:pPr>
        <w:ind w:left="0"/>
        <w:jc w:val="both"/>
        <w:rPr>
          <w:rFonts w:ascii="Bookman Old Style" w:hAnsi="Bookman Old Style" w:cs="Arial"/>
          <w:bCs/>
        </w:rPr>
      </w:pPr>
      <w:r>
        <w:rPr>
          <w:rFonts w:ascii="Bookman Old Style" w:hAnsi="Bookman Old Style" w:cs="Arial"/>
          <w:bCs/>
        </w:rPr>
        <w:t xml:space="preserve">Si bien se observan diferencias en lo expresado en los diferentes testimonios rendidos tanto por los miembros del grupo de asesores de EPM, como por el señor Álvaro Aravi Castro, de la firma Ingetec interventora del proyecto y Luis Ferrando Restrepo Vélez, de la firma Integral diseñadora del proyecto, todos coinciden en que </w:t>
      </w:r>
      <w:r w:rsidR="00D51A18">
        <w:rPr>
          <w:rFonts w:ascii="Bookman Old Style" w:hAnsi="Bookman Old Style" w:cs="Arial"/>
          <w:bCs/>
        </w:rPr>
        <w:t xml:space="preserve">se tiene como objetivo que </w:t>
      </w:r>
      <w:r>
        <w:rPr>
          <w:rFonts w:ascii="Bookman Old Style" w:hAnsi="Bookman Old Style" w:cs="Arial"/>
          <w:bCs/>
        </w:rPr>
        <w:t xml:space="preserve">el proyecto </w:t>
      </w:r>
      <w:r w:rsidR="00D51A18">
        <w:rPr>
          <w:rFonts w:ascii="Bookman Old Style" w:hAnsi="Bookman Old Style" w:cs="Arial"/>
          <w:bCs/>
        </w:rPr>
        <w:t>esté</w:t>
      </w:r>
      <w:r w:rsidR="0030591F">
        <w:rPr>
          <w:rFonts w:ascii="Bookman Old Style" w:hAnsi="Bookman Old Style" w:cs="Arial"/>
          <w:bCs/>
        </w:rPr>
        <w:t xml:space="preserve"> </w:t>
      </w:r>
      <w:r>
        <w:rPr>
          <w:rFonts w:ascii="Bookman Old Style" w:hAnsi="Bookman Old Style" w:cs="Arial"/>
          <w:bCs/>
        </w:rPr>
        <w:t xml:space="preserve">en operación antes del 1 de diciembre del 2022.  Así mismo la curva S y el cronograma de construcción entregados por el señor Jorge Londoño, Gerente de EPM, en su declaración juramentada indican que las primeras 4 unidades del proyecto estarán en operación el 5 de noviembre de 2022.  </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bCs/>
        </w:rPr>
      </w:pPr>
      <w:r>
        <w:rPr>
          <w:rFonts w:ascii="Bookman Old Style" w:hAnsi="Bookman Old Style" w:cs="Arial"/>
          <w:bCs/>
        </w:rPr>
        <w:t xml:space="preserve">Los demás elementos de prueba en especial: i) Informe causa raíz Escava; ii) Informe Universidad Nacional; iii) </w:t>
      </w:r>
      <w:r w:rsidRPr="005E5CDD">
        <w:rPr>
          <w:rFonts w:ascii="Bookman Old Style" w:hAnsi="Bookman Old Style" w:cs="Arial"/>
          <w:bCs/>
        </w:rPr>
        <w:t>Comunicados y declaraciones de prensa EPM</w:t>
      </w:r>
      <w:r>
        <w:rPr>
          <w:rFonts w:ascii="Bookman Old Style" w:hAnsi="Bookman Old Style" w:cs="Arial"/>
          <w:bCs/>
        </w:rPr>
        <w:t xml:space="preserve">; iv) </w:t>
      </w:r>
      <w:r w:rsidRPr="005E5CDD">
        <w:rPr>
          <w:rFonts w:ascii="Bookman Old Style" w:hAnsi="Bookman Old Style" w:cs="Arial"/>
          <w:bCs/>
        </w:rPr>
        <w:t>Información entregada a CREG por EPM</w:t>
      </w:r>
      <w:r>
        <w:rPr>
          <w:rFonts w:ascii="Bookman Old Style" w:hAnsi="Bookman Old Style" w:cs="Arial"/>
          <w:bCs/>
        </w:rPr>
        <w:t>; iv) resoluciones y comunicación de la Autoridad de Licencias Ambientales, no aportan elementos que permitan concluir que se presenta un incumplimiento grave e insalvable respecto de la OEF con IPVO 2021.</w:t>
      </w:r>
    </w:p>
    <w:p w:rsidR="00582D35" w:rsidRDefault="00582D35" w:rsidP="00582D35">
      <w:pPr>
        <w:ind w:left="0"/>
        <w:jc w:val="both"/>
        <w:rPr>
          <w:rFonts w:ascii="Bookman Old Style" w:hAnsi="Bookman Old Style" w:cs="Arial"/>
          <w:bCs/>
        </w:rPr>
      </w:pPr>
    </w:p>
    <w:p w:rsidR="00582D35" w:rsidRDefault="00582D35" w:rsidP="00582D35">
      <w:pPr>
        <w:ind w:left="0"/>
        <w:jc w:val="both"/>
        <w:rPr>
          <w:rFonts w:ascii="Bookman Old Style" w:hAnsi="Bookman Old Style" w:cs="Arial"/>
        </w:rPr>
      </w:pPr>
      <w:r w:rsidRPr="001C0753">
        <w:rPr>
          <w:rFonts w:ascii="Bookman Old Style" w:hAnsi="Bookman Old Style" w:cs="Arial"/>
        </w:rPr>
        <w:t>Dicha</w:t>
      </w:r>
      <w:r>
        <w:rPr>
          <w:rFonts w:ascii="Bookman Old Style" w:hAnsi="Bookman Old Style" w:cs="Arial"/>
        </w:rPr>
        <w:t>s</w:t>
      </w:r>
      <w:r w:rsidRPr="001C0753">
        <w:rPr>
          <w:rFonts w:ascii="Bookman Old Style" w:hAnsi="Bookman Old Style" w:cs="Arial"/>
        </w:rPr>
        <w:t xml:space="preserve"> circunstancia</w:t>
      </w:r>
      <w:r>
        <w:rPr>
          <w:rFonts w:ascii="Bookman Old Style" w:hAnsi="Bookman Old Style" w:cs="Arial"/>
        </w:rPr>
        <w:t>s</w:t>
      </w:r>
      <w:r w:rsidRPr="001C0753">
        <w:rPr>
          <w:rFonts w:ascii="Bookman Old Style" w:hAnsi="Bookman Old Style" w:cs="Arial"/>
        </w:rPr>
        <w:t xml:space="preserve"> conlleva</w:t>
      </w:r>
      <w:r>
        <w:rPr>
          <w:rFonts w:ascii="Bookman Old Style" w:hAnsi="Bookman Old Style" w:cs="Arial"/>
        </w:rPr>
        <w:t>n a</w:t>
      </w:r>
      <w:r w:rsidRPr="001C0753">
        <w:rPr>
          <w:rFonts w:ascii="Bookman Old Style" w:hAnsi="Bookman Old Style" w:cs="Arial"/>
        </w:rPr>
        <w:t xml:space="preserve"> que esta Comisión, en este momento, no </w:t>
      </w:r>
      <w:r>
        <w:rPr>
          <w:rFonts w:ascii="Bookman Old Style" w:hAnsi="Bookman Old Style" w:cs="Arial"/>
        </w:rPr>
        <w:t>pueda</w:t>
      </w:r>
      <w:r w:rsidRPr="001C0753">
        <w:rPr>
          <w:rFonts w:ascii="Bookman Old Style" w:hAnsi="Bookman Old Style" w:cs="Arial"/>
        </w:rPr>
        <w:t xml:space="preserve"> establecer plenamente la existencia del incumplimiento grave e insalvable de la OEF con IPVO 2021</w:t>
      </w:r>
      <w:r>
        <w:rPr>
          <w:rFonts w:ascii="Bookman Old Style" w:hAnsi="Bookman Old Style" w:cs="Arial"/>
        </w:rPr>
        <w:t>, lo cual no implica que esta Comisión no pueda adelantar una actuación administrativa posterior a este respecto</w:t>
      </w:r>
      <w:r w:rsidRPr="001C0753">
        <w:rPr>
          <w:rFonts w:ascii="Bookman Old Style" w:hAnsi="Bookman Old Style" w:cs="Arial"/>
        </w:rPr>
        <w:t>.</w:t>
      </w:r>
    </w:p>
    <w:p w:rsidR="00582D35" w:rsidRDefault="00582D35" w:rsidP="00582D35">
      <w:pPr>
        <w:ind w:left="0"/>
        <w:jc w:val="both"/>
        <w:rPr>
          <w:rFonts w:ascii="Bookman Old Style" w:hAnsi="Bookman Old Style" w:cs="Arial"/>
        </w:rPr>
      </w:pPr>
    </w:p>
    <w:p w:rsidR="00582D35" w:rsidRDefault="00582D35" w:rsidP="00582D35">
      <w:pPr>
        <w:ind w:left="0"/>
        <w:jc w:val="both"/>
        <w:rPr>
          <w:rFonts w:ascii="Bookman Old Style" w:hAnsi="Bookman Old Style" w:cs="Arial"/>
        </w:rPr>
      </w:pPr>
      <w:r>
        <w:rPr>
          <w:rFonts w:ascii="Bookman Old Style" w:hAnsi="Bookman Old Style" w:cs="Arial"/>
        </w:rPr>
        <w:t xml:space="preserve">Sin perjuicio de lo anterior, debe destacarse que la Resolución CREG 820 de 2018 de la ANLA impone al proyecto una limitación en cuanto a las actividades que puede desarrollar limitándolas a las necesarias para atender la contingencia, como consecuencia de lo cual las que estén encaminadas a la construcción del proyecto quedan suspendidas hasta tanto la Autoridad levante la medida, previa entrega por parte de EPM de un estudio ambiental sobre las condiciones del proyecto.  Adicionalmente, se observan en los testimonios de los miembros del grupo asesor de EPM, del diseñador del proyecto que a la fecha hay incertidumbre o elementos no definidos en algunos de los frentes de obra del proyecto, lo cual se confirma en el cronograma entregado por el Gerente de EPM.  </w:t>
      </w:r>
    </w:p>
    <w:p w:rsidR="00582D35" w:rsidRDefault="00582D35" w:rsidP="00582D35">
      <w:pPr>
        <w:ind w:left="0"/>
        <w:rPr>
          <w:rFonts w:ascii="Bookman Old Style" w:hAnsi="Bookman Old Style"/>
          <w:b/>
        </w:rPr>
      </w:pPr>
    </w:p>
    <w:p w:rsidR="00582D35" w:rsidRPr="00496B75" w:rsidRDefault="00582D35" w:rsidP="00582D35">
      <w:pPr>
        <w:ind w:left="0"/>
        <w:rPr>
          <w:rFonts w:ascii="Bookman Old Style" w:hAnsi="Bookman Old Style"/>
          <w:b/>
        </w:rPr>
      </w:pPr>
    </w:p>
    <w:p w:rsidR="00582D35" w:rsidRPr="00496B75" w:rsidRDefault="00582D35" w:rsidP="00582D35">
      <w:pPr>
        <w:numPr>
          <w:ilvl w:val="0"/>
          <w:numId w:val="29"/>
        </w:numPr>
        <w:rPr>
          <w:rFonts w:ascii="Bookman Old Style" w:hAnsi="Bookman Old Style"/>
          <w:b/>
        </w:rPr>
      </w:pPr>
      <w:r>
        <w:rPr>
          <w:rFonts w:ascii="Bookman Old Style" w:hAnsi="Bookman Old Style"/>
          <w:b/>
        </w:rPr>
        <w:t>Medidas particulares</w:t>
      </w:r>
      <w:r w:rsidRPr="00496B75">
        <w:rPr>
          <w:rFonts w:ascii="Bookman Old Style" w:hAnsi="Bookman Old Style"/>
          <w:b/>
        </w:rPr>
        <w:t xml:space="preserve">:  </w:t>
      </w:r>
    </w:p>
    <w:p w:rsidR="00582D35" w:rsidRDefault="00582D35" w:rsidP="00582D35">
      <w:pPr>
        <w:ind w:left="0"/>
        <w:rPr>
          <w:rFonts w:ascii="Bookman Old Style" w:hAnsi="Bookman Old Style"/>
        </w:rPr>
      </w:pPr>
    </w:p>
    <w:p w:rsidR="00582D35" w:rsidRDefault="00582D35" w:rsidP="00582D35">
      <w:pPr>
        <w:ind w:left="0"/>
        <w:jc w:val="both"/>
        <w:rPr>
          <w:rFonts w:ascii="Bookman Old Style" w:hAnsi="Bookman Old Style"/>
        </w:rPr>
      </w:pPr>
      <w:r>
        <w:rPr>
          <w:rFonts w:ascii="Bookman Old Style" w:hAnsi="Bookman Old Style"/>
        </w:rPr>
        <w:t xml:space="preserve">Expuesta la carencia de elementos de juicio y probatorios que permitan establecer la existencia de un incumplimiento grave e insalvable respecto de la OEF con IPVO para el 1º de diciembre de 2021 y las incertidumbres que se evidenciaron en las pruebas practicadas sobre la fecha de puesta en operación de la planta, esta </w:t>
      </w:r>
      <w:r w:rsidRPr="0094500D">
        <w:rPr>
          <w:rFonts w:ascii="Bookman Old Style" w:hAnsi="Bookman Old Style"/>
        </w:rPr>
        <w:t xml:space="preserve">Comisión </w:t>
      </w:r>
      <w:r>
        <w:rPr>
          <w:rFonts w:ascii="Bookman Old Style" w:hAnsi="Bookman Old Style"/>
        </w:rPr>
        <w:t xml:space="preserve">considera necesario adoptar medidas específicas a fin de garantizar el seguimiento previsto en la Resolución CREG 071 de 2006 para la entrada en operación de la planta que garantiza la OEF con IPVO 2021.  </w:t>
      </w:r>
    </w:p>
    <w:p w:rsidR="00582D35" w:rsidRDefault="00582D35" w:rsidP="00582D35">
      <w:pPr>
        <w:ind w:left="0"/>
        <w:jc w:val="both"/>
        <w:rPr>
          <w:rFonts w:ascii="Bookman Old Style" w:hAnsi="Bookman Old Style"/>
        </w:rPr>
      </w:pPr>
    </w:p>
    <w:p w:rsidR="00582D35" w:rsidRDefault="00582D35" w:rsidP="00582D35">
      <w:pPr>
        <w:ind w:left="0"/>
        <w:jc w:val="both"/>
        <w:rPr>
          <w:rFonts w:ascii="Bookman Old Style" w:hAnsi="Bookman Old Style"/>
        </w:rPr>
      </w:pPr>
      <w:r>
        <w:rPr>
          <w:rFonts w:ascii="Bookman Old Style" w:hAnsi="Bookman Old Style"/>
        </w:rPr>
        <w:t xml:space="preserve">Para estos efectos se debe ordenar </w:t>
      </w:r>
      <w:r w:rsidRPr="009E27D5">
        <w:rPr>
          <w:rFonts w:ascii="Bookman Old Style" w:hAnsi="Bookman Old Style"/>
        </w:rPr>
        <w:t>al ASIC</w:t>
      </w:r>
      <w:r>
        <w:rPr>
          <w:rFonts w:ascii="Bookman Old Style" w:hAnsi="Bookman Old Style"/>
        </w:rPr>
        <w:t xml:space="preserve"> en su calidad de administrador de la subasta y operador del mercado</w:t>
      </w:r>
      <w:r w:rsidRPr="009E27D5">
        <w:rPr>
          <w:rFonts w:ascii="Bookman Old Style" w:hAnsi="Bookman Old Style"/>
        </w:rPr>
        <w:t xml:space="preserve"> la realización </w:t>
      </w:r>
      <w:r>
        <w:rPr>
          <w:rFonts w:ascii="Bookman Old Style" w:hAnsi="Bookman Old Style"/>
        </w:rPr>
        <w:t xml:space="preserve">de la auditoria de que trata el artículo 8 la Resolución CREG 071 de 2006. Teniendo en cuenta que el proyecto Hidroeléctrico Ituango cuenta además con unas obligaciones asignadas en la subasta de febrero de 2019 con IPVO 2022, </w:t>
      </w:r>
      <w:r w:rsidR="00785AA6">
        <w:rPr>
          <w:rFonts w:ascii="Bookman Old Style" w:hAnsi="Bookman Old Style"/>
        </w:rPr>
        <w:t xml:space="preserve">cuyo cumplimiento debe ser auditado de conformidad con lo dispuesto por la Resolución 071 de 2006, resulta pertinente que el seguimiento </w:t>
      </w:r>
      <w:r w:rsidR="00880189">
        <w:rPr>
          <w:rFonts w:ascii="Bookman Old Style" w:hAnsi="Bookman Old Style"/>
        </w:rPr>
        <w:t>a la asignación con IPVO 1 de diciembre 2021 sea realizado por el mismo auditor</w:t>
      </w:r>
      <w:r w:rsidR="00785AA6">
        <w:rPr>
          <w:rFonts w:ascii="Bookman Old Style" w:hAnsi="Bookman Old Style"/>
        </w:rPr>
        <w:t>,</w:t>
      </w:r>
      <w:r>
        <w:rPr>
          <w:rFonts w:ascii="Bookman Old Style" w:hAnsi="Bookman Old Style"/>
        </w:rPr>
        <w:t xml:space="preserve"> a efectos de guardar consistencia sobre el seguimiento </w:t>
      </w:r>
      <w:r w:rsidR="00785AA6">
        <w:rPr>
          <w:rFonts w:ascii="Bookman Old Style" w:hAnsi="Bookman Old Style"/>
        </w:rPr>
        <w:t>a</w:t>
      </w:r>
      <w:r>
        <w:rPr>
          <w:rFonts w:ascii="Bookman Old Style" w:hAnsi="Bookman Old Style"/>
        </w:rPr>
        <w:t xml:space="preserve"> la ejecución del proyecto y </w:t>
      </w:r>
      <w:r w:rsidR="00785AA6">
        <w:rPr>
          <w:rFonts w:ascii="Bookman Old Style" w:hAnsi="Bookman Old Style"/>
        </w:rPr>
        <w:t>a</w:t>
      </w:r>
      <w:r>
        <w:rPr>
          <w:rFonts w:ascii="Bookman Old Style" w:hAnsi="Bookman Old Style"/>
        </w:rPr>
        <w:t xml:space="preserve"> su entrada en operación. </w:t>
      </w:r>
    </w:p>
    <w:p w:rsidR="00582D35" w:rsidRDefault="00582D35" w:rsidP="00582D35">
      <w:pPr>
        <w:ind w:left="0"/>
        <w:jc w:val="both"/>
        <w:rPr>
          <w:rFonts w:ascii="Bookman Old Style" w:hAnsi="Bookman Old Style"/>
        </w:rPr>
      </w:pPr>
    </w:p>
    <w:p w:rsidR="008E10C2" w:rsidRDefault="00582D35" w:rsidP="00582D35">
      <w:pPr>
        <w:ind w:left="0"/>
        <w:jc w:val="both"/>
        <w:rPr>
          <w:rFonts w:ascii="Bookman Old Style" w:hAnsi="Bookman Old Style" w:cs="Arial"/>
        </w:rPr>
      </w:pPr>
      <w:r>
        <w:rPr>
          <w:rFonts w:ascii="Bookman Old Style" w:hAnsi="Bookman Old Style"/>
        </w:rPr>
        <w:t>Igualmente, en el marco de dicha consistencia el auditor deberá incorporar toda la información relevante, en los términos del numeral 1.5 del Anexo 1 de la Resolución CREG 071 de 2006, a efectos de emitir los informes correspondientes en los que se indique e</w:t>
      </w:r>
      <w:r w:rsidRPr="009E6FAD">
        <w:rPr>
          <w:rFonts w:ascii="Bookman Old Style" w:hAnsi="Bookman Old Style"/>
        </w:rPr>
        <w:t xml:space="preserve">xplícitamente el número de días de desviación comparando la Curva S de ejecución real </w:t>
      </w:r>
      <w:r w:rsidR="00DB2512">
        <w:rPr>
          <w:rFonts w:ascii="Bookman Old Style" w:hAnsi="Bookman Old Style"/>
        </w:rPr>
        <w:t xml:space="preserve">respecto de </w:t>
      </w:r>
      <w:r>
        <w:rPr>
          <w:rFonts w:ascii="Bookman Old Style" w:hAnsi="Bookman Old Style"/>
        </w:rPr>
        <w:t xml:space="preserve">IPVO </w:t>
      </w:r>
      <w:r w:rsidR="00DB2512">
        <w:rPr>
          <w:rFonts w:ascii="Bookman Old Style" w:hAnsi="Bookman Old Style"/>
        </w:rPr>
        <w:t xml:space="preserve">1 de diciembre </w:t>
      </w:r>
      <w:r>
        <w:rPr>
          <w:rFonts w:ascii="Bookman Old Style" w:hAnsi="Bookman Old Style"/>
        </w:rPr>
        <w:t xml:space="preserve">2021 y IPVO </w:t>
      </w:r>
      <w:r w:rsidR="00DB2512">
        <w:rPr>
          <w:rFonts w:ascii="Bookman Old Style" w:hAnsi="Bookman Old Style"/>
        </w:rPr>
        <w:t xml:space="preserve">1 de diciembre </w:t>
      </w:r>
      <w:r>
        <w:rPr>
          <w:rFonts w:ascii="Bookman Old Style" w:hAnsi="Bookman Old Style"/>
        </w:rPr>
        <w:t>2022.</w:t>
      </w:r>
      <w:r w:rsidR="00723E2E">
        <w:rPr>
          <w:rFonts w:ascii="Bookman Old Style" w:hAnsi="Bookman Old Style"/>
        </w:rPr>
        <w:t xml:space="preserve">  </w:t>
      </w:r>
      <w:r w:rsidR="00DB2512">
        <w:rPr>
          <w:rFonts w:ascii="Bookman Old Style" w:hAnsi="Bookman Old Style"/>
        </w:rPr>
        <w:t>El auditor deberá considerar la información contenida en la curva s y cronograma de construcción aportado por el gerente de EPM ESP en el informe rendido bajo la gravedad del juramento durante el trámite de esta actuaci</w:t>
      </w:r>
      <w:r w:rsidR="00723E2E">
        <w:rPr>
          <w:rFonts w:ascii="Bookman Old Style" w:hAnsi="Bookman Old Style"/>
        </w:rPr>
        <w:t>ón, en razón a que es la información más actualizada aportada por EPM sobre el estado y avance del proyecto</w:t>
      </w:r>
      <w:r w:rsidR="00DB2512">
        <w:rPr>
          <w:rFonts w:ascii="Bookman Old Style" w:hAnsi="Bookman Old Style"/>
        </w:rPr>
        <w:t>.</w:t>
      </w:r>
    </w:p>
    <w:p w:rsidR="008E10C2" w:rsidRDefault="008E10C2" w:rsidP="008E10C2">
      <w:pPr>
        <w:ind w:left="0"/>
        <w:jc w:val="both"/>
        <w:rPr>
          <w:rFonts w:ascii="Bookman Old Style" w:hAnsi="Bookman Old Style" w:cs="Arial"/>
        </w:rPr>
      </w:pPr>
    </w:p>
    <w:p w:rsidR="00045D3D" w:rsidRDefault="00045D3D" w:rsidP="00045D3D">
      <w:pPr>
        <w:ind w:left="0"/>
        <w:jc w:val="both"/>
        <w:rPr>
          <w:rFonts w:ascii="Bookman Old Style" w:hAnsi="Bookman Old Style"/>
        </w:rPr>
      </w:pPr>
      <w:r>
        <w:rPr>
          <w:rFonts w:ascii="Bookman Old Style" w:hAnsi="Bookman Old Style"/>
        </w:rPr>
        <w:t xml:space="preserve">La Comisión de Regulación de Energía y Gas, en su Sesión </w:t>
      </w:r>
      <w:r w:rsidR="007E081E">
        <w:rPr>
          <w:rFonts w:ascii="Bookman Old Style" w:hAnsi="Bookman Old Style"/>
        </w:rPr>
        <w:t>940</w:t>
      </w:r>
      <w:r w:rsidR="005A7D6F">
        <w:rPr>
          <w:rFonts w:ascii="Bookman Old Style" w:hAnsi="Bookman Old Style"/>
        </w:rPr>
        <w:t xml:space="preserve"> </w:t>
      </w:r>
      <w:r w:rsidR="00DF3CA2">
        <w:rPr>
          <w:rFonts w:ascii="Bookman Old Style" w:hAnsi="Bookman Old Style"/>
        </w:rPr>
        <w:t xml:space="preserve">del </w:t>
      </w:r>
      <w:r w:rsidR="005A7D6F">
        <w:rPr>
          <w:rFonts w:ascii="Bookman Old Style" w:hAnsi="Bookman Old Style"/>
        </w:rPr>
        <w:t>30</w:t>
      </w:r>
      <w:r>
        <w:rPr>
          <w:rFonts w:ascii="Bookman Old Style" w:hAnsi="Bookman Old Style"/>
        </w:rPr>
        <w:t xml:space="preserve"> de </w:t>
      </w:r>
      <w:r w:rsidR="005A7D6F">
        <w:rPr>
          <w:rFonts w:ascii="Bookman Old Style" w:hAnsi="Bookman Old Style"/>
        </w:rPr>
        <w:t xml:space="preserve">agosto </w:t>
      </w:r>
      <w:r>
        <w:rPr>
          <w:rFonts w:ascii="Bookman Old Style" w:hAnsi="Bookman Old Style"/>
        </w:rPr>
        <w:t>de 20</w:t>
      </w:r>
      <w:r w:rsidR="005A7D6F">
        <w:rPr>
          <w:rFonts w:ascii="Bookman Old Style" w:hAnsi="Bookman Old Style"/>
        </w:rPr>
        <w:t>19</w:t>
      </w:r>
      <w:r>
        <w:rPr>
          <w:rFonts w:ascii="Bookman Old Style" w:hAnsi="Bookman Old Style"/>
        </w:rPr>
        <w:t>, acordó expedir esta resolución.</w:t>
      </w:r>
    </w:p>
    <w:p w:rsidR="00045D3D" w:rsidRPr="00C435C3" w:rsidRDefault="00045D3D" w:rsidP="00045D3D">
      <w:pPr>
        <w:ind w:left="0"/>
        <w:rPr>
          <w:rFonts w:ascii="Bookman Old Style" w:hAnsi="Bookman Old Style"/>
        </w:rPr>
      </w:pPr>
    </w:p>
    <w:p w:rsidR="00045D3D" w:rsidRDefault="00045D3D" w:rsidP="00045D3D">
      <w:pPr>
        <w:suppressAutoHyphens/>
        <w:jc w:val="center"/>
        <w:rPr>
          <w:rFonts w:ascii="Bookman Old Style" w:hAnsi="Bookman Old Style"/>
          <w:b/>
          <w:spacing w:val="-3"/>
        </w:rPr>
      </w:pPr>
    </w:p>
    <w:p w:rsidR="00EC69A4" w:rsidRDefault="00EC69A4" w:rsidP="00045D3D">
      <w:pPr>
        <w:suppressAutoHyphens/>
        <w:jc w:val="center"/>
        <w:rPr>
          <w:rFonts w:ascii="Bookman Old Style" w:hAnsi="Bookman Old Style"/>
          <w:b/>
          <w:spacing w:val="-3"/>
        </w:rPr>
      </w:pPr>
    </w:p>
    <w:p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rsidR="00045D3D" w:rsidRDefault="00045D3D" w:rsidP="00045D3D">
      <w:pPr>
        <w:jc w:val="center"/>
        <w:rPr>
          <w:rFonts w:ascii="Bookman Old Style" w:hAnsi="Bookman Old Style"/>
        </w:rPr>
      </w:pPr>
    </w:p>
    <w:p w:rsidR="009C6B5C" w:rsidRDefault="009C6B5C" w:rsidP="009C6B5C">
      <w:pPr>
        <w:numPr>
          <w:ilvl w:val="0"/>
          <w:numId w:val="23"/>
        </w:numPr>
        <w:ind w:left="0" w:firstLine="1276"/>
        <w:jc w:val="both"/>
        <w:outlineLvl w:val="0"/>
        <w:rPr>
          <w:rFonts w:ascii="Bookman Old Style" w:hAnsi="Bookman Old Style" w:cs="Arial"/>
        </w:rPr>
      </w:pPr>
      <w:r>
        <w:rPr>
          <w:rFonts w:ascii="Bookman Old Style" w:hAnsi="Bookman Old Style" w:cs="Arial"/>
        </w:rPr>
        <w:t>Por las razones expuestas en la presente resolución, desistir de las pruebas periciales decretadas de oficio en el auto de febrero 6 y de las pruebas documentales ordenadas en el auto de julio 22 de 2019.</w:t>
      </w:r>
    </w:p>
    <w:p w:rsidR="009C6B5C" w:rsidRPr="00CE267F" w:rsidRDefault="009C6B5C" w:rsidP="009C6B5C">
      <w:pPr>
        <w:ind w:left="1276"/>
        <w:jc w:val="both"/>
        <w:outlineLvl w:val="0"/>
        <w:rPr>
          <w:rFonts w:ascii="Bookman Old Style" w:hAnsi="Bookman Old Style" w:cs="Arial"/>
        </w:rPr>
      </w:pPr>
    </w:p>
    <w:p w:rsidR="009C6B5C" w:rsidRPr="00EF6EE5" w:rsidRDefault="009C6B5C" w:rsidP="009C6B5C">
      <w:pPr>
        <w:numPr>
          <w:ilvl w:val="0"/>
          <w:numId w:val="23"/>
        </w:numPr>
        <w:ind w:left="0" w:firstLine="1276"/>
        <w:jc w:val="both"/>
        <w:outlineLvl w:val="0"/>
        <w:rPr>
          <w:rFonts w:ascii="Bookman Old Style" w:hAnsi="Bookman Old Style" w:cs="Arial"/>
        </w:rPr>
      </w:pPr>
      <w:r w:rsidRPr="000074D5">
        <w:rPr>
          <w:rFonts w:ascii="Bookman Old Style" w:hAnsi="Bookman Old Style"/>
          <w:iCs/>
        </w:rPr>
        <w:t>Declarar que se han configurado los supuestos determinados en el artículo 9 de la Resolución CREG 071 de 2006 (modificado por el artículo 13 de la Resolución CREG 061 de 2007) y</w:t>
      </w:r>
      <w:r>
        <w:rPr>
          <w:rFonts w:ascii="Bookman Old Style" w:hAnsi="Bookman Old Style"/>
          <w:iCs/>
        </w:rPr>
        <w:t>,</w:t>
      </w:r>
      <w:r w:rsidRPr="000074D5">
        <w:rPr>
          <w:rFonts w:ascii="Bookman Old Style" w:hAnsi="Bookman Old Style"/>
          <w:iCs/>
        </w:rPr>
        <w:t xml:space="preserve"> por lo tanto</w:t>
      </w:r>
      <w:r>
        <w:rPr>
          <w:rFonts w:ascii="Bookman Old Style" w:hAnsi="Bookman Old Style"/>
          <w:iCs/>
        </w:rPr>
        <w:t>,</w:t>
      </w:r>
      <w:r w:rsidRPr="000074D5">
        <w:rPr>
          <w:rFonts w:ascii="Bookman Old Style" w:hAnsi="Bookman Old Style"/>
          <w:iCs/>
        </w:rPr>
        <w:t xml:space="preserve"> se </w:t>
      </w:r>
      <w:r>
        <w:rPr>
          <w:rFonts w:ascii="Bookman Old Style" w:hAnsi="Bookman Old Style"/>
          <w:iCs/>
        </w:rPr>
        <w:t xml:space="preserve">ha establecido plenamente la existencia de </w:t>
      </w:r>
      <w:r w:rsidRPr="000074D5">
        <w:rPr>
          <w:rFonts w:ascii="Bookman Old Style" w:hAnsi="Bookman Old Style"/>
          <w:iCs/>
        </w:rPr>
        <w:t xml:space="preserve">un incumplimiento grave e insalvable </w:t>
      </w:r>
      <w:r>
        <w:rPr>
          <w:rFonts w:ascii="Bookman Old Style" w:hAnsi="Bookman Old Style"/>
          <w:iCs/>
        </w:rPr>
        <w:t>de las obligaciones  asignadas a</w:t>
      </w:r>
      <w:r w:rsidRPr="000074D5">
        <w:rPr>
          <w:rFonts w:ascii="Bookman Old Style" w:hAnsi="Bookman Old Style"/>
          <w:iCs/>
        </w:rPr>
        <w:t xml:space="preserve"> </w:t>
      </w:r>
      <w:r>
        <w:rPr>
          <w:rFonts w:ascii="Bookman Old Style" w:hAnsi="Bookman Old Style"/>
          <w:iCs/>
        </w:rPr>
        <w:t>EPM Ituango SA ESP  en la subasta para plantas GPPS de 2008</w:t>
      </w:r>
      <w:r w:rsidRPr="000074D5">
        <w:rPr>
          <w:rFonts w:ascii="Bookman Old Style" w:hAnsi="Bookman Old Style"/>
          <w:iCs/>
        </w:rPr>
        <w:t xml:space="preserve">, </w:t>
      </w:r>
      <w:r>
        <w:rPr>
          <w:rFonts w:ascii="Bookman Old Style" w:hAnsi="Bookman Old Style"/>
          <w:iCs/>
        </w:rPr>
        <w:t xml:space="preserve">cedidas a EPM ESP, </w:t>
      </w:r>
      <w:r w:rsidRPr="000074D5">
        <w:rPr>
          <w:rFonts w:ascii="Bookman Old Style" w:hAnsi="Bookman Old Style"/>
          <w:iCs/>
        </w:rPr>
        <w:t xml:space="preserve">en lo referente al proyecto de generación </w:t>
      </w:r>
      <w:r>
        <w:rPr>
          <w:rFonts w:ascii="Bookman Old Style" w:hAnsi="Bookman Old Style"/>
          <w:iCs/>
        </w:rPr>
        <w:t>Hidroeléctrico</w:t>
      </w:r>
      <w:r w:rsidRPr="000074D5">
        <w:rPr>
          <w:rFonts w:ascii="Bookman Old Style" w:hAnsi="Bookman Old Style"/>
          <w:iCs/>
        </w:rPr>
        <w:t xml:space="preserve"> </w:t>
      </w:r>
      <w:r>
        <w:rPr>
          <w:rFonts w:ascii="Bookman Old Style" w:hAnsi="Bookman Old Style"/>
          <w:iCs/>
        </w:rPr>
        <w:t>Ituango</w:t>
      </w:r>
      <w:r w:rsidRPr="000074D5">
        <w:rPr>
          <w:rFonts w:ascii="Bookman Old Style" w:hAnsi="Bookman Old Style"/>
          <w:iCs/>
        </w:rPr>
        <w:t>,</w:t>
      </w:r>
      <w:r>
        <w:rPr>
          <w:rFonts w:ascii="Bookman Old Style" w:hAnsi="Bookman Old Style"/>
          <w:iCs/>
        </w:rPr>
        <w:t xml:space="preserve"> </w:t>
      </w:r>
      <w:r w:rsidRPr="000074D5">
        <w:rPr>
          <w:rFonts w:ascii="Bookman Old Style" w:hAnsi="Bookman Old Style"/>
          <w:iCs/>
        </w:rPr>
        <w:t>toda vez</w:t>
      </w:r>
      <w:r>
        <w:rPr>
          <w:rFonts w:ascii="Bookman Old Style" w:hAnsi="Bookman Old Style"/>
          <w:iCs/>
        </w:rPr>
        <w:t xml:space="preserve"> que se encuentra plenamente probado que al 1 de diciembre de 2018, fecha de inicio de periodo de vigencia de la obligación, la planta no entró en operación comercial y el retraso en la entrada en operación es superior a un año</w:t>
      </w:r>
      <w:r w:rsidRPr="000074D5">
        <w:rPr>
          <w:rFonts w:ascii="Bookman Old Style" w:hAnsi="Bookman Old Style"/>
          <w:iCs/>
        </w:rPr>
        <w:t>.</w:t>
      </w:r>
    </w:p>
    <w:p w:rsidR="009C6B5C" w:rsidRDefault="009C6B5C" w:rsidP="009C6B5C">
      <w:pPr>
        <w:pStyle w:val="Prrafodelista"/>
        <w:rPr>
          <w:rFonts w:ascii="Bookman Old Style" w:hAnsi="Bookman Old Style" w:cs="Arial"/>
        </w:rPr>
      </w:pPr>
    </w:p>
    <w:p w:rsidR="009C6B5C" w:rsidRPr="00065640" w:rsidRDefault="009C6B5C" w:rsidP="008D7CD9">
      <w:pPr>
        <w:numPr>
          <w:ilvl w:val="0"/>
          <w:numId w:val="23"/>
        </w:numPr>
        <w:ind w:left="0" w:firstLine="1276"/>
        <w:jc w:val="both"/>
        <w:outlineLvl w:val="0"/>
        <w:rPr>
          <w:rFonts w:ascii="Bookman Old Style" w:hAnsi="Bookman Old Style" w:cs="Arial"/>
        </w:rPr>
      </w:pPr>
      <w:r>
        <w:rPr>
          <w:rFonts w:ascii="Bookman Old Style" w:hAnsi="Bookman Old Style" w:cs="Arial"/>
        </w:rPr>
        <w:t xml:space="preserve">Por las razones expuestas en la parte considerativa, negar la solicitud hecha por EPM relativa al cumplimiento de la OEF con IPVO 2018 con un esquema de demanda desconectable voluntaria. </w:t>
      </w:r>
    </w:p>
    <w:p w:rsidR="009C6B5C" w:rsidRPr="000074D5" w:rsidRDefault="009C6B5C" w:rsidP="009C6B5C">
      <w:pPr>
        <w:ind w:left="1276"/>
        <w:jc w:val="both"/>
        <w:outlineLvl w:val="0"/>
        <w:rPr>
          <w:rFonts w:ascii="Bookman Old Style" w:hAnsi="Bookman Old Style" w:cs="Arial"/>
        </w:rPr>
      </w:pPr>
    </w:p>
    <w:p w:rsidR="009C6B5C" w:rsidRPr="00A257C9" w:rsidRDefault="009C6B5C" w:rsidP="009C6B5C">
      <w:pPr>
        <w:numPr>
          <w:ilvl w:val="0"/>
          <w:numId w:val="23"/>
        </w:numPr>
        <w:ind w:left="0" w:firstLine="1276"/>
        <w:jc w:val="both"/>
        <w:outlineLvl w:val="0"/>
        <w:rPr>
          <w:rFonts w:ascii="Bookman Old Style" w:hAnsi="Bookman Old Style"/>
        </w:rPr>
      </w:pPr>
      <w:r w:rsidRPr="00A257C9">
        <w:rPr>
          <w:rFonts w:ascii="Bookman Old Style" w:hAnsi="Bookman Old Style"/>
        </w:rPr>
        <w:t xml:space="preserve"> Como consecuencia del incumplimiento grave e insalvable y conforme a lo dispuesto en el artículo 9 de la Resolución CREG 071 de 2006 y el artículo14 del Reglamento de Garantías, adoptado mediante la Resolución CREG 61 de 2007 declarar la pérdida</w:t>
      </w:r>
      <w:r w:rsidR="00A74647">
        <w:rPr>
          <w:rFonts w:ascii="Bookman Old Style" w:hAnsi="Bookman Old Style"/>
        </w:rPr>
        <w:t xml:space="preserve"> de las </w:t>
      </w:r>
      <w:r w:rsidRPr="00A257C9">
        <w:rPr>
          <w:rFonts w:ascii="Bookman Old Style" w:hAnsi="Bookman Old Style"/>
        </w:rPr>
        <w:t xml:space="preserve">OEF con IPVO </w:t>
      </w:r>
      <w:r w:rsidR="00A74647">
        <w:rPr>
          <w:rFonts w:ascii="Bookman Old Style" w:hAnsi="Bookman Old Style"/>
        </w:rPr>
        <w:t xml:space="preserve">1 de diciembre de </w:t>
      </w:r>
      <w:r w:rsidRPr="00A257C9">
        <w:rPr>
          <w:rFonts w:ascii="Bookman Old Style" w:hAnsi="Bookman Old Style"/>
        </w:rPr>
        <w:t>2018 asignadas al Proyecto Hidroeléctrico Ituango en la subasta de 2008, así como de la remuneración asociada a la misma y ordenar a XM SA ESP la ejecución de la garantía que ampara la construcción y puesta en operación del proyecto a primero de diciembre de 2018.</w:t>
      </w:r>
    </w:p>
    <w:p w:rsidR="009C6B5C" w:rsidRPr="00FB1894" w:rsidRDefault="009C6B5C" w:rsidP="009C6B5C">
      <w:pPr>
        <w:pStyle w:val="Prrafodelista"/>
        <w:ind w:left="0"/>
        <w:rPr>
          <w:rFonts w:ascii="Bookman Old Style" w:hAnsi="Bookman Old Style"/>
          <w:lang w:val="es-ES"/>
        </w:rPr>
      </w:pPr>
    </w:p>
    <w:p w:rsidR="009C6B5C" w:rsidRPr="00953339" w:rsidRDefault="009C6B5C" w:rsidP="009C6B5C">
      <w:pPr>
        <w:numPr>
          <w:ilvl w:val="0"/>
          <w:numId w:val="23"/>
        </w:numPr>
        <w:ind w:left="0" w:firstLine="1276"/>
        <w:jc w:val="both"/>
        <w:outlineLvl w:val="0"/>
        <w:rPr>
          <w:rFonts w:ascii="Bookman Old Style" w:hAnsi="Bookman Old Style"/>
        </w:rPr>
      </w:pPr>
      <w:r w:rsidRPr="00FB1894">
        <w:rPr>
          <w:rFonts w:ascii="Bookman Old Style" w:hAnsi="Bookman Old Style"/>
        </w:rPr>
        <w:t>Por las razones expuestas en la parte considerativa</w:t>
      </w:r>
      <w:r>
        <w:rPr>
          <w:rFonts w:ascii="Bookman Old Style" w:hAnsi="Bookman Old Style"/>
        </w:rPr>
        <w:t>,</w:t>
      </w:r>
      <w:r w:rsidRPr="00FB1894">
        <w:rPr>
          <w:rFonts w:ascii="Bookman Old Style" w:hAnsi="Bookman Old Style"/>
        </w:rPr>
        <w:t xml:space="preserve"> </w:t>
      </w:r>
      <w:r>
        <w:rPr>
          <w:rFonts w:ascii="Bookman Old Style" w:hAnsi="Bookman Old Style"/>
        </w:rPr>
        <w:t xml:space="preserve">la Comisión encuentra que a la fecha y como resultado de la presente actuación no se ha establecido plenamente el incumplimiento grave e insalvable de las obligaciones adquiridas en la subasta de plantas GPPS de 2012, con inicio del periodo de vigencia de la obligación, IPVO, </w:t>
      </w:r>
      <w:r w:rsidR="00A74647">
        <w:rPr>
          <w:rFonts w:ascii="Bookman Old Style" w:hAnsi="Bookman Old Style"/>
        </w:rPr>
        <w:t xml:space="preserve">1 de diciembre de </w:t>
      </w:r>
      <w:r>
        <w:rPr>
          <w:rFonts w:ascii="Bookman Old Style" w:hAnsi="Bookman Old Style"/>
        </w:rPr>
        <w:t xml:space="preserve">2021. </w:t>
      </w:r>
    </w:p>
    <w:p w:rsidR="009C6B5C" w:rsidRDefault="009C6B5C" w:rsidP="009C6B5C">
      <w:pPr>
        <w:pStyle w:val="Prrafodelista"/>
        <w:rPr>
          <w:rFonts w:ascii="Bookman Old Style" w:hAnsi="Bookman Old Style"/>
        </w:rPr>
      </w:pPr>
    </w:p>
    <w:p w:rsidR="00A60448" w:rsidRDefault="009C6B5C" w:rsidP="00656AD8">
      <w:pPr>
        <w:numPr>
          <w:ilvl w:val="0"/>
          <w:numId w:val="23"/>
        </w:numPr>
        <w:ind w:left="0" w:firstLine="1276"/>
        <w:jc w:val="both"/>
        <w:outlineLvl w:val="0"/>
        <w:rPr>
          <w:rFonts w:ascii="Bookman Old Style" w:hAnsi="Bookman Old Style"/>
        </w:rPr>
      </w:pPr>
      <w:r w:rsidRPr="009E27D5">
        <w:rPr>
          <w:rFonts w:ascii="Bookman Old Style" w:hAnsi="Bookman Old Style"/>
        </w:rPr>
        <w:t xml:space="preserve">Ordenar la realización </w:t>
      </w:r>
      <w:r>
        <w:rPr>
          <w:rFonts w:ascii="Bookman Old Style" w:hAnsi="Bookman Old Style"/>
        </w:rPr>
        <w:t>de la auditoria de que trata el artículo 8</w:t>
      </w:r>
      <w:r w:rsidR="00697048">
        <w:rPr>
          <w:rFonts w:ascii="Bookman Old Style" w:hAnsi="Bookman Old Style"/>
        </w:rPr>
        <w:t xml:space="preserve"> de</w:t>
      </w:r>
      <w:r>
        <w:rPr>
          <w:rFonts w:ascii="Bookman Old Style" w:hAnsi="Bookman Old Style"/>
        </w:rPr>
        <w:t xml:space="preserve"> la Resolución CREG 071 de 2006 para verificar el cumplimiento de las obligaciones adquiridas por EPM Ituango SA ESP </w:t>
      </w:r>
      <w:r w:rsidRPr="009E27D5">
        <w:rPr>
          <w:rFonts w:ascii="Bookman Old Style" w:hAnsi="Bookman Old Style"/>
        </w:rPr>
        <w:t xml:space="preserve">en la subasta de </w:t>
      </w:r>
      <w:r>
        <w:rPr>
          <w:rFonts w:ascii="Bookman Old Style" w:hAnsi="Bookman Old Style"/>
        </w:rPr>
        <w:t xml:space="preserve">plantas GPPS de </w:t>
      </w:r>
      <w:r w:rsidRPr="009E27D5">
        <w:rPr>
          <w:rFonts w:ascii="Bookman Old Style" w:hAnsi="Bookman Old Style"/>
        </w:rPr>
        <w:t>2012</w:t>
      </w:r>
      <w:r>
        <w:rPr>
          <w:rFonts w:ascii="Bookman Old Style" w:hAnsi="Bookman Old Style"/>
        </w:rPr>
        <w:t>, y cedidas a EPM ESP, para el proyecto Hidroeléctrico Ituango, con fecha de IPVO el 1 de diciembre de 2021.</w:t>
      </w:r>
      <w:r w:rsidR="003D17B5">
        <w:rPr>
          <w:rFonts w:ascii="Bookman Old Style" w:hAnsi="Bookman Old Style"/>
        </w:rPr>
        <w:t xml:space="preserve"> </w:t>
      </w:r>
    </w:p>
    <w:p w:rsidR="00A60448" w:rsidRDefault="00A60448" w:rsidP="00656AD8">
      <w:pPr>
        <w:pStyle w:val="Prrafodelista"/>
        <w:rPr>
          <w:rFonts w:ascii="Bookman Old Style" w:hAnsi="Bookman Old Style"/>
        </w:rPr>
      </w:pPr>
    </w:p>
    <w:p w:rsidR="00697048" w:rsidRPr="00656AD8" w:rsidRDefault="00F75756">
      <w:pPr>
        <w:ind w:left="0"/>
        <w:jc w:val="both"/>
        <w:outlineLvl w:val="0"/>
        <w:rPr>
          <w:rFonts w:ascii="Bookman Old Style" w:hAnsi="Bookman Old Style"/>
        </w:rPr>
      </w:pPr>
      <w:r w:rsidRPr="003D17B5">
        <w:rPr>
          <w:rFonts w:ascii="Bookman Old Style" w:hAnsi="Bookman Old Style"/>
        </w:rPr>
        <w:t>XM SA ESP dispondrá</w:t>
      </w:r>
      <w:r w:rsidR="000348A1" w:rsidRPr="00656AD8">
        <w:rPr>
          <w:rFonts w:ascii="Bookman Old Style" w:hAnsi="Bookman Old Style"/>
        </w:rPr>
        <w:t xml:space="preserve"> lo necesario para</w:t>
      </w:r>
      <w:r w:rsidR="009C6D74">
        <w:rPr>
          <w:rFonts w:ascii="Bookman Old Style" w:hAnsi="Bookman Old Style"/>
        </w:rPr>
        <w:t xml:space="preserve"> </w:t>
      </w:r>
      <w:r w:rsidR="00D62AEF">
        <w:rPr>
          <w:rFonts w:ascii="Bookman Old Style" w:hAnsi="Bookman Old Style"/>
        </w:rPr>
        <w:t xml:space="preserve">que </w:t>
      </w:r>
      <w:r w:rsidR="009C6D74">
        <w:rPr>
          <w:rFonts w:ascii="Bookman Old Style" w:hAnsi="Bookman Old Style"/>
        </w:rPr>
        <w:t xml:space="preserve">dicha auditoría sea realizada por el mismo </w:t>
      </w:r>
      <w:r w:rsidR="000348A1" w:rsidRPr="00656AD8">
        <w:rPr>
          <w:rFonts w:ascii="Bookman Old Style" w:hAnsi="Bookman Old Style"/>
        </w:rPr>
        <w:t>auditor contratado para verificar el cumplimiento de las OEF asignadas al proyecto en la subasta de 2019</w:t>
      </w:r>
      <w:r w:rsidR="009C6D74">
        <w:rPr>
          <w:rFonts w:ascii="Bookman Old Style" w:hAnsi="Bookman Old Style"/>
        </w:rPr>
        <w:t xml:space="preserve">. El auditor rendirá los </w:t>
      </w:r>
      <w:r w:rsidR="006852B3">
        <w:rPr>
          <w:rFonts w:ascii="Bookman Old Style" w:hAnsi="Bookman Old Style"/>
        </w:rPr>
        <w:t xml:space="preserve">informes de manera conjunta, cuando ello sea posible, según la periodicidad establecida en el numeral 1.5 del Anexo 1 de la Resolución CREG 071 de 2006. </w:t>
      </w:r>
    </w:p>
    <w:p w:rsidR="000348A1" w:rsidRDefault="000348A1" w:rsidP="009C6B5C">
      <w:pPr>
        <w:ind w:left="0"/>
        <w:jc w:val="both"/>
        <w:outlineLvl w:val="0"/>
        <w:rPr>
          <w:rFonts w:ascii="Bookman Old Style" w:hAnsi="Bookman Old Style"/>
          <w:sz w:val="20"/>
          <w:szCs w:val="20"/>
        </w:rPr>
      </w:pPr>
    </w:p>
    <w:p w:rsidR="00A60448" w:rsidRDefault="00A60448" w:rsidP="00A60448">
      <w:pPr>
        <w:ind w:left="0"/>
        <w:jc w:val="both"/>
        <w:outlineLvl w:val="0"/>
        <w:rPr>
          <w:rFonts w:ascii="Bookman Old Style" w:hAnsi="Bookman Old Style"/>
        </w:rPr>
      </w:pPr>
      <w:r>
        <w:rPr>
          <w:rFonts w:ascii="Bookman Old Style" w:hAnsi="Bookman Old Style"/>
        </w:rPr>
        <w:t xml:space="preserve">El auditor determinará la fecha estimada de entrada en operación comercial del proyecto, el número de días de atraso frente al IPVO del 1 de diciembre de 2021 y si existe incumplimiento grave e insalvable de las obligaciones de energía firme, con base en la curva S </w:t>
      </w:r>
      <w:r w:rsidR="003F5454">
        <w:rPr>
          <w:rFonts w:ascii="Bookman Old Style" w:hAnsi="Bookman Old Style"/>
        </w:rPr>
        <w:t xml:space="preserve">de ejecución </w:t>
      </w:r>
      <w:r>
        <w:rPr>
          <w:rFonts w:ascii="Bookman Old Style" w:hAnsi="Bookman Old Style"/>
        </w:rPr>
        <w:t xml:space="preserve">real del proyecto. El auditor </w:t>
      </w:r>
      <w:r w:rsidR="009C6D74">
        <w:rPr>
          <w:rFonts w:ascii="Bookman Old Style" w:hAnsi="Bookman Old Style"/>
        </w:rPr>
        <w:t xml:space="preserve">deberá utilizar toda la información relevante incluida </w:t>
      </w:r>
      <w:r>
        <w:rPr>
          <w:rFonts w:ascii="Bookman Old Style" w:hAnsi="Bookman Old Style"/>
        </w:rPr>
        <w:t xml:space="preserve">la curva S entregada por </w:t>
      </w:r>
      <w:r w:rsidR="00665E18">
        <w:rPr>
          <w:rFonts w:ascii="Bookman Old Style" w:hAnsi="Bookman Old Style"/>
        </w:rPr>
        <w:t xml:space="preserve">el gerente de </w:t>
      </w:r>
      <w:r>
        <w:rPr>
          <w:rFonts w:ascii="Bookman Old Style" w:hAnsi="Bookman Old Style"/>
        </w:rPr>
        <w:t xml:space="preserve">EPM </w:t>
      </w:r>
      <w:r w:rsidR="00665E18">
        <w:rPr>
          <w:rFonts w:ascii="Bookman Old Style" w:hAnsi="Bookman Old Style"/>
        </w:rPr>
        <w:t xml:space="preserve">en su informe juramentado rendido </w:t>
      </w:r>
      <w:r>
        <w:rPr>
          <w:rFonts w:ascii="Bookman Old Style" w:hAnsi="Bookman Old Style"/>
        </w:rPr>
        <w:t>en esta actuación.</w:t>
      </w:r>
    </w:p>
    <w:p w:rsidR="009C6B5C" w:rsidRPr="00FB1894" w:rsidRDefault="009C6B5C" w:rsidP="0096317D">
      <w:pPr>
        <w:ind w:left="0"/>
        <w:jc w:val="both"/>
        <w:outlineLvl w:val="0"/>
        <w:rPr>
          <w:rFonts w:ascii="Bookman Old Style" w:hAnsi="Bookman Old Style"/>
        </w:rPr>
      </w:pPr>
    </w:p>
    <w:p w:rsidR="009C6B5C" w:rsidRDefault="009C6B5C" w:rsidP="009C6B5C">
      <w:pPr>
        <w:numPr>
          <w:ilvl w:val="0"/>
          <w:numId w:val="23"/>
        </w:numPr>
        <w:ind w:left="0" w:firstLine="1276"/>
        <w:jc w:val="both"/>
        <w:outlineLvl w:val="0"/>
        <w:rPr>
          <w:rFonts w:ascii="Bookman Old Style" w:hAnsi="Bookman Old Style"/>
        </w:rPr>
      </w:pPr>
      <w:r w:rsidRPr="00AE23FF">
        <w:rPr>
          <w:rFonts w:ascii="Bookman Old Style" w:hAnsi="Bookman Old Style"/>
        </w:rPr>
        <w:t>Trasladar a XM SA ESP la curva S y el cronograma de actividades del proyecto hidroeléctrico Ituango, aportados en esta actuación por EPM ESP.</w:t>
      </w:r>
    </w:p>
    <w:p w:rsidR="009C6B5C" w:rsidRDefault="009C6B5C" w:rsidP="009C6B5C">
      <w:pPr>
        <w:ind w:left="1276"/>
        <w:jc w:val="both"/>
        <w:outlineLvl w:val="0"/>
        <w:rPr>
          <w:rFonts w:ascii="Bookman Old Style" w:hAnsi="Bookman Old Style"/>
        </w:rPr>
      </w:pPr>
    </w:p>
    <w:p w:rsidR="009C6B5C" w:rsidRPr="00AE23FF" w:rsidRDefault="009C6B5C" w:rsidP="009C6B5C">
      <w:pPr>
        <w:numPr>
          <w:ilvl w:val="0"/>
          <w:numId w:val="23"/>
        </w:numPr>
        <w:ind w:left="0" w:firstLine="1276"/>
        <w:jc w:val="both"/>
        <w:outlineLvl w:val="0"/>
        <w:rPr>
          <w:rFonts w:ascii="Bookman Old Style" w:hAnsi="Bookman Old Style"/>
        </w:rPr>
      </w:pPr>
      <w:r w:rsidRPr="00AE23FF">
        <w:rPr>
          <w:rFonts w:ascii="Bookman Old Style" w:hAnsi="Bookman Old Style"/>
        </w:rPr>
        <w:t xml:space="preserve">En firme la presente decisión, ésta deberá ser comunicada al ASIC, </w:t>
      </w:r>
      <w:r>
        <w:rPr>
          <w:rFonts w:ascii="Bookman Old Style" w:hAnsi="Bookman Old Style"/>
        </w:rPr>
        <w:t>para que ejecute</w:t>
      </w:r>
      <w:r w:rsidRPr="00AE23FF">
        <w:rPr>
          <w:rFonts w:ascii="Bookman Old Style" w:hAnsi="Bookman Old Style"/>
        </w:rPr>
        <w:t xml:space="preserve"> las medidas correspondientes</w:t>
      </w:r>
      <w:r>
        <w:rPr>
          <w:rFonts w:ascii="Bookman Old Style" w:hAnsi="Bookman Old Style"/>
        </w:rPr>
        <w:t>,</w:t>
      </w:r>
      <w:r w:rsidRPr="00AE23FF">
        <w:rPr>
          <w:rFonts w:ascii="Bookman Old Style" w:hAnsi="Bookman Old Style"/>
        </w:rPr>
        <w:t xml:space="preserve"> de acuerdo con lo </w:t>
      </w:r>
      <w:r>
        <w:rPr>
          <w:rFonts w:ascii="Bookman Old Style" w:hAnsi="Bookman Old Style"/>
        </w:rPr>
        <w:t xml:space="preserve">que </w:t>
      </w:r>
      <w:r w:rsidRPr="00AE23FF">
        <w:rPr>
          <w:rFonts w:ascii="Bookman Old Style" w:hAnsi="Bookman Old Style"/>
        </w:rPr>
        <w:t xml:space="preserve">determina la Resolución </w:t>
      </w:r>
      <w:r>
        <w:rPr>
          <w:rFonts w:ascii="Bookman Old Style" w:hAnsi="Bookman Old Style"/>
        </w:rPr>
        <w:t xml:space="preserve">CREG </w:t>
      </w:r>
      <w:r w:rsidRPr="00AE23FF">
        <w:rPr>
          <w:rFonts w:ascii="Bookman Old Style" w:hAnsi="Bookman Old Style"/>
        </w:rPr>
        <w:t>071 de 2006.</w:t>
      </w:r>
    </w:p>
    <w:p w:rsidR="009C6B5C" w:rsidRPr="000074D5" w:rsidRDefault="009C6B5C" w:rsidP="009C6B5C">
      <w:pPr>
        <w:ind w:left="708"/>
        <w:rPr>
          <w:rFonts w:ascii="Bookman Old Style" w:hAnsi="Bookman Old Style"/>
          <w:lang w:val="es-CO"/>
        </w:rPr>
      </w:pPr>
    </w:p>
    <w:p w:rsidR="009C6B5C" w:rsidRDefault="009C6B5C" w:rsidP="009C6B5C">
      <w:pPr>
        <w:numPr>
          <w:ilvl w:val="0"/>
          <w:numId w:val="23"/>
        </w:numPr>
        <w:ind w:left="0" w:firstLine="1276"/>
        <w:jc w:val="both"/>
        <w:outlineLvl w:val="0"/>
        <w:rPr>
          <w:rFonts w:ascii="Bookman Old Style" w:hAnsi="Bookman Old Style" w:cs="Arial"/>
        </w:rPr>
      </w:pPr>
      <w:r w:rsidRPr="000074D5">
        <w:rPr>
          <w:rFonts w:ascii="Bookman Old Style" w:hAnsi="Bookman Old Style" w:cs="Arial"/>
        </w:rPr>
        <w:t xml:space="preserve"> Notificar personalmente la presente Resolución al representante legal de</w:t>
      </w:r>
      <w:r>
        <w:rPr>
          <w:rFonts w:ascii="Bookman Old Style" w:hAnsi="Bookman Old Style" w:cs="Arial"/>
        </w:rPr>
        <w:t xml:space="preserve"> EMPRESAS PÚBLICAS DE MEDELLÍN, EPM</w:t>
      </w:r>
      <w:r w:rsidRPr="000074D5">
        <w:rPr>
          <w:rFonts w:ascii="Bookman Old Style" w:hAnsi="Bookman Old Style"/>
          <w:iCs/>
        </w:rPr>
        <w:t xml:space="preserve">, advirtiéndole </w:t>
      </w:r>
      <w:r>
        <w:rPr>
          <w:rFonts w:ascii="Bookman Old Style" w:hAnsi="Bookman Old Style"/>
          <w:iCs/>
        </w:rPr>
        <w:t>que contra</w:t>
      </w:r>
      <w:r w:rsidR="00D51A18">
        <w:rPr>
          <w:rFonts w:ascii="Bookman Old Style" w:hAnsi="Bookman Old Style"/>
          <w:iCs/>
        </w:rPr>
        <w:t xml:space="preserve"> los </w:t>
      </w:r>
      <w:r w:rsidR="001002B6">
        <w:rPr>
          <w:rFonts w:ascii="Bookman Old Style" w:hAnsi="Bookman Old Style"/>
          <w:iCs/>
        </w:rPr>
        <w:t>artículos</w:t>
      </w:r>
      <w:r w:rsidR="00D51A18">
        <w:rPr>
          <w:rFonts w:ascii="Bookman Old Style" w:hAnsi="Bookman Old Style"/>
          <w:iCs/>
        </w:rPr>
        <w:t xml:space="preserve"> 2, 3, 4</w:t>
      </w:r>
      <w:r w:rsidR="0096317D">
        <w:rPr>
          <w:rFonts w:ascii="Bookman Old Style" w:hAnsi="Bookman Old Style"/>
          <w:iCs/>
        </w:rPr>
        <w:t>,</w:t>
      </w:r>
      <w:r w:rsidR="00D51A18">
        <w:rPr>
          <w:rFonts w:ascii="Bookman Old Style" w:hAnsi="Bookman Old Style"/>
          <w:iCs/>
        </w:rPr>
        <w:t xml:space="preserve"> 5</w:t>
      </w:r>
      <w:r w:rsidR="0096317D">
        <w:rPr>
          <w:rFonts w:ascii="Bookman Old Style" w:hAnsi="Bookman Old Style"/>
          <w:iCs/>
        </w:rPr>
        <w:t xml:space="preserve"> y 6</w:t>
      </w:r>
      <w:r>
        <w:rPr>
          <w:rFonts w:ascii="Bookman Old Style" w:hAnsi="Bookman Old Style"/>
          <w:iCs/>
        </w:rPr>
        <w:t xml:space="preserve"> </w:t>
      </w:r>
      <w:r w:rsidRPr="000074D5">
        <w:rPr>
          <w:rFonts w:ascii="Bookman Old Style" w:hAnsi="Bookman Old Style" w:cs="Arial"/>
        </w:rPr>
        <w:t>p</w:t>
      </w:r>
      <w:r>
        <w:rPr>
          <w:rFonts w:ascii="Bookman Old Style" w:hAnsi="Bookman Old Style" w:cs="Arial"/>
        </w:rPr>
        <w:t xml:space="preserve">rocede el recurso de reposición, </w:t>
      </w:r>
      <w:r w:rsidRPr="000074D5">
        <w:rPr>
          <w:rFonts w:ascii="Bookman Old Style" w:hAnsi="Bookman Old Style" w:cs="Arial"/>
        </w:rPr>
        <w:t>el cual podrá interponerse ante la Dirección Ejecutiva de la CREG dentro de los cinco (5) días hábiles siguientes a la fecha de su notificación.</w:t>
      </w:r>
      <w:r w:rsidR="00D51A18">
        <w:rPr>
          <w:rFonts w:ascii="Bookman Old Style" w:hAnsi="Bookman Old Style" w:cs="Arial"/>
        </w:rPr>
        <w:t xml:space="preserve"> Contra el </w:t>
      </w:r>
      <w:r w:rsidR="001002B6">
        <w:rPr>
          <w:rFonts w:ascii="Bookman Old Style" w:hAnsi="Bookman Old Style" w:cs="Arial"/>
        </w:rPr>
        <w:t>artículo</w:t>
      </w:r>
      <w:r w:rsidR="00D51A18">
        <w:rPr>
          <w:rFonts w:ascii="Bookman Old Style" w:hAnsi="Bookman Old Style" w:cs="Arial"/>
        </w:rPr>
        <w:t xml:space="preserve"> 1 no procede recurso alguno ateniendo lo dispuesto en el artículo 40 de la Ley 1437 de 2011.</w:t>
      </w:r>
    </w:p>
    <w:p w:rsidR="00045D3D" w:rsidRDefault="00045D3D" w:rsidP="00045D3D">
      <w:pPr>
        <w:jc w:val="both"/>
        <w:rPr>
          <w:rFonts w:ascii="Bookman Old Style" w:hAnsi="Bookman Old Style"/>
          <w:i/>
          <w:sz w:val="22"/>
        </w:rPr>
      </w:pPr>
    </w:p>
    <w:p w:rsidR="00045D3D" w:rsidRPr="00C435C3" w:rsidRDefault="00045D3D" w:rsidP="00045D3D">
      <w:pPr>
        <w:ind w:left="0"/>
        <w:rPr>
          <w:rFonts w:ascii="Bookman Old Style" w:hAnsi="Bookman Old Style"/>
        </w:rPr>
      </w:pPr>
    </w:p>
    <w:p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rsidR="00045D3D" w:rsidRDefault="00045D3D" w:rsidP="00045D3D">
      <w:pPr>
        <w:rPr>
          <w:rFonts w:ascii="Bookman Old Style" w:hAnsi="Bookman Old Style"/>
        </w:rPr>
      </w:pPr>
    </w:p>
    <w:p w:rsidR="00BE2A30" w:rsidRPr="00C435C3" w:rsidRDefault="00BE2A30" w:rsidP="00045D3D">
      <w:pPr>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p w:rsidR="00D51A18" w:rsidRDefault="00D51A18" w:rsidP="00045D3D">
      <w:pPr>
        <w:ind w:left="0"/>
        <w:rPr>
          <w:rFonts w:ascii="Bookman Old Style" w:hAnsi="Bookman Old Style"/>
        </w:rPr>
      </w:pPr>
    </w:p>
    <w:p w:rsidR="00D51A18" w:rsidRDefault="00D51A18" w:rsidP="00045D3D">
      <w:pPr>
        <w:ind w:left="0"/>
        <w:rPr>
          <w:rFonts w:ascii="Bookman Old Style" w:hAnsi="Bookman Old Style"/>
        </w:rPr>
      </w:pPr>
    </w:p>
    <w:p w:rsidR="00045D3D" w:rsidRDefault="00045D3D" w:rsidP="00045D3D">
      <w:pPr>
        <w:ind w:left="0"/>
        <w:rPr>
          <w:rFonts w:ascii="Bookman Old Style" w:hAnsi="Bookman Old Style"/>
        </w:rPr>
      </w:pPr>
    </w:p>
    <w:p w:rsidR="00045D3D" w:rsidRDefault="00045D3D" w:rsidP="00045D3D">
      <w:pPr>
        <w:ind w:left="0"/>
        <w:rPr>
          <w:rFonts w:ascii="Bookman Old Style" w:hAnsi="Bookman Old Style"/>
        </w:rPr>
      </w:pPr>
    </w:p>
    <w:tbl>
      <w:tblPr>
        <w:tblW w:w="9498" w:type="dxa"/>
        <w:jc w:val="center"/>
        <w:tblLayout w:type="fixed"/>
        <w:tblCellMar>
          <w:left w:w="70" w:type="dxa"/>
          <w:right w:w="70" w:type="dxa"/>
        </w:tblCellMar>
        <w:tblLook w:val="0000" w:firstRow="0" w:lastRow="0" w:firstColumn="0" w:lastColumn="0" w:noHBand="0" w:noVBand="0"/>
      </w:tblPr>
      <w:tblGrid>
        <w:gridCol w:w="4962"/>
        <w:gridCol w:w="4536"/>
      </w:tblGrid>
      <w:tr w:rsidR="00F77D2D" w:rsidRPr="00666660" w:rsidTr="00BE2A30">
        <w:trPr>
          <w:jc w:val="center"/>
        </w:trPr>
        <w:tc>
          <w:tcPr>
            <w:tcW w:w="4962" w:type="dxa"/>
          </w:tcPr>
          <w:p w:rsidR="00F77D2D" w:rsidRPr="0078360A" w:rsidRDefault="00BE2A30" w:rsidP="00C44E5F">
            <w:pPr>
              <w:tabs>
                <w:tab w:val="left" w:pos="-720"/>
              </w:tabs>
              <w:suppressAutoHyphens/>
              <w:ind w:left="0"/>
              <w:jc w:val="center"/>
              <w:rPr>
                <w:rFonts w:ascii="Bookman Old Style" w:hAnsi="Bookman Old Style" w:cs="Arial"/>
                <w:spacing w:val="-3"/>
              </w:rPr>
            </w:pPr>
            <w:r w:rsidRPr="00BE2A30">
              <w:rPr>
                <w:rFonts w:ascii="Bookman Old Style" w:hAnsi="Bookman Old Style" w:cs="Arial"/>
                <w:b/>
                <w:spacing w:val="-3"/>
              </w:rPr>
              <w:t>MARIA FERNANDA SUAREZ LONDOÑO</w:t>
            </w:r>
          </w:p>
          <w:p w:rsidR="00BE2A30" w:rsidRDefault="00F77D2D" w:rsidP="00C44E5F">
            <w:pPr>
              <w:tabs>
                <w:tab w:val="left" w:pos="-720"/>
              </w:tabs>
              <w:suppressAutoHyphens/>
              <w:ind w:left="0"/>
              <w:jc w:val="center"/>
            </w:pPr>
            <w:r>
              <w:rPr>
                <w:rFonts w:ascii="Bookman Old Style" w:hAnsi="Bookman Old Style"/>
              </w:rPr>
              <w:t>Minist</w:t>
            </w:r>
            <w:r w:rsidR="00BE2A30">
              <w:rPr>
                <w:rFonts w:ascii="Bookman Old Style" w:hAnsi="Bookman Old Style"/>
              </w:rPr>
              <w:t>ra</w:t>
            </w:r>
            <w:r>
              <w:rPr>
                <w:rFonts w:ascii="Bookman Old Style" w:hAnsi="Bookman Old Style"/>
              </w:rPr>
              <w:t xml:space="preserve"> de </w:t>
            </w:r>
            <w:r w:rsidRPr="00EF4ACC">
              <w:rPr>
                <w:rFonts w:ascii="Bookman Old Style" w:hAnsi="Bookman Old Style"/>
              </w:rPr>
              <w:t>Minas y Energía</w:t>
            </w:r>
            <w:r>
              <w:t xml:space="preserve"> </w:t>
            </w:r>
          </w:p>
          <w:p w:rsidR="00F77D2D" w:rsidRPr="00BD0865" w:rsidRDefault="00F77D2D" w:rsidP="00C44E5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536" w:type="dxa"/>
          </w:tcPr>
          <w:p w:rsidR="00BE2A30" w:rsidRDefault="00BE2A30" w:rsidP="00C44E5F">
            <w:pPr>
              <w:tabs>
                <w:tab w:val="left" w:pos="-720"/>
              </w:tabs>
              <w:suppressAutoHyphens/>
              <w:ind w:left="0"/>
              <w:jc w:val="center"/>
              <w:rPr>
                <w:rFonts w:ascii="Bookman Old Style" w:hAnsi="Bookman Old Style" w:cs="Arial"/>
                <w:b/>
              </w:rPr>
            </w:pPr>
            <w:r w:rsidRPr="00BE2A30">
              <w:rPr>
                <w:rFonts w:ascii="Bookman Old Style" w:hAnsi="Bookman Old Style" w:cs="Arial"/>
                <w:b/>
              </w:rPr>
              <w:t>CHRISTIAN JARAMILLO HERRERA</w:t>
            </w:r>
          </w:p>
          <w:p w:rsidR="00F77D2D" w:rsidRPr="00666660" w:rsidRDefault="00F77D2D" w:rsidP="00C44E5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045D3D" w:rsidRDefault="00045D3D" w:rsidP="00045D3D">
      <w:pPr>
        <w:ind w:left="0"/>
        <w:rPr>
          <w:rFonts w:ascii="Bookman Old Style" w:hAnsi="Bookman Old Style"/>
        </w:rPr>
      </w:pPr>
    </w:p>
    <w:tbl>
      <w:tblPr>
        <w:tblW w:w="10129" w:type="dxa"/>
        <w:jc w:val="right"/>
        <w:tblLayout w:type="fixed"/>
        <w:tblCellMar>
          <w:left w:w="70" w:type="dxa"/>
          <w:right w:w="70" w:type="dxa"/>
        </w:tblCellMar>
        <w:tblLook w:val="0000" w:firstRow="0" w:lastRow="0" w:firstColumn="0" w:lastColumn="0" w:noHBand="0" w:noVBand="0"/>
      </w:tblPr>
      <w:tblGrid>
        <w:gridCol w:w="4871"/>
        <w:gridCol w:w="5258"/>
      </w:tblGrid>
      <w:tr w:rsidR="00045D3D" w:rsidRPr="00720520" w:rsidTr="00F77D2D">
        <w:trPr>
          <w:jc w:val="right"/>
        </w:trPr>
        <w:tc>
          <w:tcPr>
            <w:tcW w:w="4871" w:type="dxa"/>
          </w:tcPr>
          <w:p w:rsidR="00045D3D" w:rsidRPr="00720520" w:rsidRDefault="00045D3D" w:rsidP="00F77D2D">
            <w:pPr>
              <w:ind w:left="0"/>
              <w:rPr>
                <w:rFonts w:ascii="Bookman Old Style" w:hAnsi="Bookman Old Style" w:cs="Arial"/>
                <w:spacing w:val="-3"/>
                <w:lang w:val="es-ES_tradnl"/>
              </w:rPr>
            </w:pPr>
          </w:p>
        </w:tc>
        <w:tc>
          <w:tcPr>
            <w:tcW w:w="5258" w:type="dxa"/>
          </w:tcPr>
          <w:p w:rsidR="00045D3D" w:rsidRPr="00720520" w:rsidRDefault="00045D3D" w:rsidP="006B6194">
            <w:pPr>
              <w:rPr>
                <w:rFonts w:ascii="Bookman Old Style" w:hAnsi="Bookman Old Style" w:cs="Arial"/>
                <w:spacing w:val="-3"/>
                <w:lang w:val="es-ES_tradnl"/>
              </w:rPr>
            </w:pPr>
          </w:p>
        </w:tc>
      </w:tr>
      <w:tr w:rsidR="00045D3D" w:rsidRPr="00720520" w:rsidTr="00F77D2D">
        <w:trPr>
          <w:jc w:val="right"/>
        </w:trPr>
        <w:tc>
          <w:tcPr>
            <w:tcW w:w="4871" w:type="dxa"/>
          </w:tcPr>
          <w:p w:rsidR="00045D3D" w:rsidRPr="00720520" w:rsidRDefault="00045D3D" w:rsidP="006B6194">
            <w:pPr>
              <w:rPr>
                <w:rFonts w:ascii="Bookman Old Style" w:hAnsi="Bookman Old Style" w:cs="Arial"/>
                <w:spacing w:val="-3"/>
              </w:rPr>
            </w:pPr>
          </w:p>
        </w:tc>
        <w:tc>
          <w:tcPr>
            <w:tcW w:w="5258" w:type="dxa"/>
          </w:tcPr>
          <w:p w:rsidR="00045D3D" w:rsidRPr="00720520" w:rsidRDefault="00045D3D" w:rsidP="006B6194">
            <w:pPr>
              <w:rPr>
                <w:rFonts w:ascii="Bookman Old Style" w:hAnsi="Bookman Old Style" w:cs="Arial"/>
                <w:spacing w:val="-3"/>
              </w:rPr>
            </w:pPr>
          </w:p>
        </w:tc>
      </w:tr>
    </w:tbl>
    <w:p w:rsidR="00E060BE" w:rsidRPr="00E060BE" w:rsidRDefault="00E060BE" w:rsidP="00BE2A30">
      <w:pPr>
        <w:ind w:left="0"/>
        <w:rPr>
          <w:rFonts w:ascii="Bookman Old Style" w:hAnsi="Bookman Old Style" w:cs="Arial"/>
        </w:rPr>
      </w:pPr>
    </w:p>
    <w:sectPr w:rsidR="00E060BE" w:rsidRPr="00E060BE"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12" w:rsidRDefault="00BB1212">
      <w:r>
        <w:separator/>
      </w:r>
    </w:p>
  </w:endnote>
  <w:endnote w:type="continuationSeparator" w:id="0">
    <w:p w:rsidR="00BB1212" w:rsidRDefault="00BB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12" w:rsidRDefault="00BB1212">
      <w:r>
        <w:separator/>
      </w:r>
    </w:p>
  </w:footnote>
  <w:footnote w:type="continuationSeparator" w:id="0">
    <w:p w:rsidR="00BB1212" w:rsidRDefault="00BB1212">
      <w:r>
        <w:continuationSeparator/>
      </w:r>
    </w:p>
  </w:footnote>
  <w:footnote w:id="1">
    <w:p w:rsidR="00230D16" w:rsidRPr="003B7771" w:rsidRDefault="00230D16" w:rsidP="008E10C2">
      <w:pPr>
        <w:pStyle w:val="Textonotapie"/>
        <w:jc w:val="both"/>
        <w:rPr>
          <w:rFonts w:ascii="Bookman Old Style" w:hAnsi="Bookman Old Style" w:cs="Arial"/>
          <w:sz w:val="16"/>
          <w:szCs w:val="16"/>
        </w:rPr>
      </w:pPr>
      <w:r w:rsidRPr="003B7771">
        <w:rPr>
          <w:rStyle w:val="Refdenotaalpie"/>
          <w:rFonts w:ascii="Bookman Old Style" w:hAnsi="Bookman Old Style" w:cs="Arial"/>
        </w:rPr>
        <w:footnoteRef/>
      </w:r>
      <w:r w:rsidRPr="003B7771">
        <w:rPr>
          <w:rFonts w:ascii="Bookman Old Style" w:hAnsi="Bookman Old Style" w:cs="Arial"/>
          <w:sz w:val="16"/>
          <w:szCs w:val="16"/>
        </w:rPr>
        <w:t xml:space="preserve"> Es la máxima energía eléctrica que es capaz de entregar una planta de generación continuamente, en condiciones de baja hidrología, en un período de un año.</w:t>
      </w:r>
    </w:p>
  </w:footnote>
  <w:footnote w:id="2">
    <w:p w:rsidR="00230D16" w:rsidRPr="007727CD" w:rsidRDefault="00230D16" w:rsidP="008E10C2">
      <w:pPr>
        <w:pStyle w:val="Textonotapie"/>
        <w:rPr>
          <w:rFonts w:ascii="Bookman Old Style" w:hAnsi="Bookman Old Style" w:cs="Arial"/>
          <w:sz w:val="16"/>
          <w:szCs w:val="16"/>
        </w:rPr>
      </w:pPr>
      <w:r w:rsidRPr="007727CD">
        <w:rPr>
          <w:rStyle w:val="Refdenotaalpie"/>
          <w:rFonts w:ascii="Bookman Old Style" w:hAnsi="Bookman Old Style" w:cs="Arial"/>
        </w:rPr>
        <w:footnoteRef/>
      </w:r>
      <w:r w:rsidRPr="007727CD">
        <w:rPr>
          <w:rFonts w:ascii="Bookman Old Style" w:hAnsi="Bookman Old Style" w:cs="Arial"/>
          <w:sz w:val="16"/>
          <w:szCs w:val="16"/>
        </w:rPr>
        <w:t xml:space="preserve"> Corte Constitucional, Sentencia C-034 de 2014.</w:t>
      </w:r>
    </w:p>
  </w:footnote>
  <w:footnote w:id="3">
    <w:p w:rsidR="00230D16" w:rsidRPr="004E0725" w:rsidRDefault="00230D16" w:rsidP="008E10C2">
      <w:pPr>
        <w:pStyle w:val="Textonotapie"/>
        <w:rPr>
          <w:rFonts w:cs="Arial"/>
          <w:sz w:val="16"/>
          <w:szCs w:val="16"/>
        </w:rPr>
      </w:pPr>
      <w:r w:rsidRPr="007727CD">
        <w:rPr>
          <w:rStyle w:val="Refdenotaalpie"/>
          <w:rFonts w:ascii="Bookman Old Style" w:hAnsi="Bookman Old Style" w:cs="Arial"/>
        </w:rPr>
        <w:footnoteRef/>
      </w:r>
      <w:r w:rsidRPr="007727CD">
        <w:rPr>
          <w:rFonts w:ascii="Bookman Old Style" w:hAnsi="Bookman Old Style" w:cs="Arial"/>
          <w:sz w:val="16"/>
          <w:szCs w:val="16"/>
        </w:rPr>
        <w:t xml:space="preserve"> Corte Constitucional, C-980 de 2010.</w:t>
      </w:r>
    </w:p>
  </w:footnote>
  <w:footnote w:id="4">
    <w:p w:rsidR="00230D16" w:rsidRPr="00394442" w:rsidRDefault="00230D16" w:rsidP="008E10C2">
      <w:pPr>
        <w:pStyle w:val="Textonotapie"/>
        <w:rPr>
          <w:rFonts w:ascii="Bookman Old Style" w:hAnsi="Bookman Old Style" w:cs="Arial"/>
          <w:sz w:val="16"/>
          <w:szCs w:val="16"/>
        </w:rPr>
      </w:pPr>
      <w:r w:rsidRPr="00394442">
        <w:rPr>
          <w:rFonts w:ascii="Bookman Old Style" w:hAnsi="Bookman Old Style" w:cs="Arial"/>
          <w:sz w:val="16"/>
          <w:szCs w:val="16"/>
          <w:vertAlign w:val="superscript"/>
        </w:rPr>
        <w:footnoteRef/>
      </w:r>
      <w:r w:rsidRPr="00394442">
        <w:rPr>
          <w:rFonts w:ascii="Bookman Old Style" w:hAnsi="Bookman Old Style" w:cs="Arial"/>
          <w:sz w:val="16"/>
          <w:szCs w:val="16"/>
          <w:vertAlign w:val="superscript"/>
        </w:rPr>
        <w:t xml:space="preserve"> </w:t>
      </w:r>
      <w:r w:rsidRPr="00394442">
        <w:rPr>
          <w:rFonts w:ascii="Bookman Old Style" w:hAnsi="Bookman Old Style" w:cs="Arial"/>
          <w:sz w:val="16"/>
          <w:szCs w:val="16"/>
        </w:rPr>
        <w:t>Ver entre otras las sentencias de la H. Corte Constitucional C-150 de 2003, C-1162 de 2000, C-186 de 2011.</w:t>
      </w:r>
    </w:p>
  </w:footnote>
  <w:footnote w:id="5">
    <w:p w:rsidR="00230D16" w:rsidRPr="00394442"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Corte Constitucional, Sentencia C-075 de 2006.</w:t>
      </w:r>
    </w:p>
  </w:footnote>
  <w:footnote w:id="6">
    <w:p w:rsidR="00230D16" w:rsidRPr="00394442"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7">
    <w:p w:rsidR="00230D16" w:rsidRPr="00394442"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Corte Constitucional, Sentencia SU-2010 de 2008.</w:t>
      </w:r>
    </w:p>
  </w:footnote>
  <w:footnote w:id="8">
    <w:p w:rsidR="00230D16" w:rsidRPr="002572CF" w:rsidRDefault="00230D16" w:rsidP="008E10C2">
      <w:pPr>
        <w:pStyle w:val="Textonotapie"/>
        <w:rPr>
          <w:rFonts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9">
    <w:p w:rsidR="00230D16" w:rsidRPr="00394442" w:rsidRDefault="00230D16" w:rsidP="008E10C2">
      <w:pPr>
        <w:pStyle w:val="Textonotapie"/>
        <w:jc w:val="both"/>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rsidR="00230D16" w:rsidRPr="00394442" w:rsidRDefault="00230D16" w:rsidP="008E10C2">
      <w:pPr>
        <w:pStyle w:val="Textonotapie"/>
        <w:jc w:val="both"/>
        <w:rPr>
          <w:rFonts w:ascii="Bookman Old Style" w:hAnsi="Bookman Old Style" w:cs="Arial"/>
          <w:sz w:val="16"/>
          <w:szCs w:val="16"/>
        </w:rPr>
      </w:pPr>
    </w:p>
    <w:p w:rsidR="00230D16" w:rsidRPr="00394442" w:rsidRDefault="00230D16" w:rsidP="008E10C2">
      <w:pPr>
        <w:pStyle w:val="Textonotapie"/>
        <w:jc w:val="both"/>
        <w:rPr>
          <w:rFonts w:ascii="Bookman Old Style" w:hAnsi="Bookman Old Style" w:cs="Arial"/>
          <w:sz w:val="16"/>
          <w:szCs w:val="16"/>
        </w:rPr>
      </w:pPr>
      <w:r w:rsidRPr="00394442">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rsidR="00230D16" w:rsidRPr="00394442" w:rsidRDefault="00230D16" w:rsidP="008E10C2">
      <w:pPr>
        <w:pStyle w:val="Textonotapie"/>
        <w:jc w:val="both"/>
        <w:rPr>
          <w:rFonts w:ascii="Bookman Old Style" w:hAnsi="Bookman Old Style" w:cs="Arial"/>
          <w:sz w:val="16"/>
          <w:szCs w:val="16"/>
        </w:rPr>
      </w:pPr>
    </w:p>
    <w:p w:rsidR="00230D16" w:rsidRPr="00554139" w:rsidRDefault="00230D16" w:rsidP="008E10C2">
      <w:pPr>
        <w:pStyle w:val="Textonotapie"/>
        <w:jc w:val="both"/>
        <w:rPr>
          <w:rFonts w:cs="Arial"/>
          <w:sz w:val="16"/>
          <w:szCs w:val="16"/>
        </w:rPr>
      </w:pPr>
      <w:r w:rsidRPr="00394442">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footnote>
  <w:footnote w:id="10">
    <w:p w:rsidR="00230D16" w:rsidRPr="00394442"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Artículos 365 a 370</w:t>
      </w:r>
    </w:p>
  </w:footnote>
  <w:footnote w:id="11">
    <w:p w:rsidR="00230D16" w:rsidRPr="00394442"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Ley 142 de 1994, Arts. 1 a 12.</w:t>
      </w:r>
    </w:p>
  </w:footnote>
  <w:footnote w:id="12">
    <w:p w:rsidR="00230D16" w:rsidRPr="00394442"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Corte Constitucional, Sentencia C- 075 de 2006</w:t>
      </w:r>
    </w:p>
  </w:footnote>
  <w:footnote w:id="13">
    <w:p w:rsidR="00230D16" w:rsidRPr="00EA2219" w:rsidRDefault="00230D16" w:rsidP="008E10C2">
      <w:pPr>
        <w:pStyle w:val="Textonotapie"/>
        <w:rPr>
          <w:rFonts w:ascii="Bookman Old Style" w:hAnsi="Bookman Old Style" w:cs="Arial"/>
          <w:sz w:val="16"/>
          <w:szCs w:val="16"/>
        </w:rPr>
      </w:pPr>
      <w:r w:rsidRPr="00394442">
        <w:rPr>
          <w:rStyle w:val="Refdenotaalpie"/>
          <w:rFonts w:ascii="Bookman Old Style" w:hAnsi="Bookman Old Style" w:cs="Arial"/>
        </w:rPr>
        <w:footnoteRef/>
      </w:r>
      <w:r w:rsidRPr="00394442">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4">
    <w:p w:rsidR="00230D16" w:rsidRPr="001F49E1" w:rsidRDefault="00230D16" w:rsidP="008E10C2">
      <w:pPr>
        <w:pStyle w:val="Textonotapie"/>
        <w:rPr>
          <w:rFonts w:ascii="Bookman Old Style" w:hAnsi="Bookman Old Style" w:cs="Arial"/>
          <w:sz w:val="16"/>
          <w:szCs w:val="16"/>
        </w:rPr>
      </w:pPr>
      <w:r w:rsidRPr="001F49E1">
        <w:rPr>
          <w:rStyle w:val="Refdenotaalpie"/>
          <w:rFonts w:ascii="Bookman Old Style" w:hAnsi="Bookman Old Style" w:cs="Arial"/>
        </w:rPr>
        <w:footnoteRef/>
      </w:r>
      <w:r w:rsidRPr="001F49E1">
        <w:rPr>
          <w:rFonts w:ascii="Bookman Old Style" w:hAnsi="Bookman Old Style" w:cs="Arial"/>
          <w:sz w:val="16"/>
          <w:szCs w:val="16"/>
        </w:rPr>
        <w:t xml:space="preserve"> Corte Constitucional, Sentencia C-150 de 2003.</w:t>
      </w:r>
    </w:p>
  </w:footnote>
  <w:footnote w:id="15">
    <w:p w:rsidR="00230D16" w:rsidRPr="00C870E1" w:rsidRDefault="00230D16" w:rsidP="008E10C2">
      <w:pPr>
        <w:pStyle w:val="Textonotapie"/>
        <w:rPr>
          <w:rFonts w:cs="Arial"/>
          <w:sz w:val="18"/>
          <w:szCs w:val="18"/>
        </w:rPr>
      </w:pPr>
      <w:r w:rsidRPr="001F49E1">
        <w:rPr>
          <w:rStyle w:val="Refdenotaalpie"/>
          <w:rFonts w:ascii="Bookman Old Style" w:hAnsi="Bookman Old Style" w:cs="Arial"/>
        </w:rPr>
        <w:footnoteRef/>
      </w:r>
      <w:r w:rsidRPr="001F49E1">
        <w:rPr>
          <w:rFonts w:ascii="Bookman Old Style" w:hAnsi="Bookman Old Style" w:cs="Arial"/>
          <w:sz w:val="16"/>
          <w:szCs w:val="16"/>
        </w:rPr>
        <w:t xml:space="preserve"> Consejo de Estado, Sala de lo Contencioso Administrativo, Sección Primera. C.P. Martha Sofía Sanz Tobón. Rad: 25000-23-24-000-2003-90943-01. Providencia del 26 de abril de 2007.</w:t>
      </w:r>
    </w:p>
  </w:footnote>
  <w:footnote w:id="16">
    <w:p w:rsidR="00230D16" w:rsidRPr="001F49E1" w:rsidRDefault="00230D16" w:rsidP="008E10C2">
      <w:pPr>
        <w:pStyle w:val="Textonotapie"/>
        <w:rPr>
          <w:rFonts w:ascii="Bookman Old Style" w:hAnsi="Bookman Old Style" w:cs="Arial"/>
          <w:sz w:val="16"/>
          <w:szCs w:val="16"/>
        </w:rPr>
      </w:pPr>
      <w:r w:rsidRPr="001F49E1">
        <w:rPr>
          <w:rStyle w:val="Refdenotaalpie"/>
          <w:rFonts w:ascii="Bookman Old Style" w:hAnsi="Bookman Old Style" w:cs="Arial"/>
        </w:rPr>
        <w:footnoteRef/>
      </w:r>
      <w:r w:rsidRPr="001F49E1">
        <w:rPr>
          <w:rFonts w:ascii="Bookman Old Style" w:hAnsi="Bookman Old Style" w:cs="Arial"/>
          <w:sz w:val="16"/>
          <w:szCs w:val="16"/>
        </w:rPr>
        <w:t xml:space="preserve"> Consejo de Estado, Sala de lo Contencioso Administrativo, Sección Tercera. C.P. María Elena Giraldo Gómez. Rad. 52001-23-31-000-2002-00057-02(AP). Sentencia del 26 de enero de 2006.</w:t>
      </w:r>
    </w:p>
  </w:footnote>
  <w:footnote w:id="17">
    <w:p w:rsidR="00230D16" w:rsidRPr="001F49E1" w:rsidRDefault="00230D16" w:rsidP="008E10C2">
      <w:pPr>
        <w:pStyle w:val="Textonotapie"/>
        <w:rPr>
          <w:rFonts w:ascii="Bookman Old Style" w:hAnsi="Bookman Old Style" w:cs="Arial"/>
          <w:sz w:val="16"/>
          <w:szCs w:val="16"/>
        </w:rPr>
      </w:pPr>
      <w:r w:rsidRPr="001F49E1">
        <w:rPr>
          <w:rStyle w:val="Refdenotaalpie"/>
          <w:rFonts w:ascii="Bookman Old Style" w:hAnsi="Bookman Old Style" w:cs="Arial"/>
        </w:rPr>
        <w:footnoteRef/>
      </w:r>
      <w:r w:rsidRPr="001F49E1">
        <w:rPr>
          <w:rFonts w:ascii="Bookman Old Style" w:hAnsi="Bookman Old Style" w:cs="Arial"/>
          <w:sz w:val="16"/>
          <w:szCs w:val="16"/>
        </w:rPr>
        <w:t xml:space="preserve"> Consejo de Estado, Sala de lo Contencioso Administrativo, Sección Segunda. C.P. Gustavo Eduardo Gómez Aranguren. Rad. 25000-23-25-000-2007-01109-02(1732-10). Sentencia del 17 de enero de 2011.</w:t>
      </w:r>
    </w:p>
  </w:footnote>
  <w:footnote w:id="18">
    <w:p w:rsidR="00230D16" w:rsidRPr="001F49E1" w:rsidRDefault="00230D16" w:rsidP="008E10C2">
      <w:pPr>
        <w:pStyle w:val="Textonotapie"/>
        <w:rPr>
          <w:rFonts w:ascii="Bookman Old Style" w:hAnsi="Bookman Old Style" w:cs="Arial"/>
          <w:sz w:val="16"/>
          <w:szCs w:val="16"/>
        </w:rPr>
      </w:pPr>
      <w:r w:rsidRPr="001F49E1">
        <w:rPr>
          <w:rStyle w:val="Refdenotaalpie"/>
          <w:rFonts w:ascii="Bookman Old Style" w:hAnsi="Bookman Old Style" w:cs="Arial"/>
        </w:rPr>
        <w:footnoteRef/>
      </w:r>
      <w:r w:rsidRPr="001F49E1">
        <w:rPr>
          <w:rFonts w:ascii="Bookman Old Style" w:hAnsi="Bookman Old Style" w:cs="Arial"/>
          <w:sz w:val="16"/>
          <w:szCs w:val="16"/>
        </w:rPr>
        <w:t xml:space="preserve"> Corte Constitucional. Sentencia T-452 de 1998. M.P. Hernando Herrera Vergara.</w:t>
      </w:r>
    </w:p>
  </w:footnote>
  <w:footnote w:id="19">
    <w:p w:rsidR="00230D16" w:rsidRPr="00C870E1" w:rsidRDefault="00230D16" w:rsidP="008E10C2">
      <w:pPr>
        <w:pStyle w:val="Textonotapie"/>
        <w:rPr>
          <w:rFonts w:cs="Arial"/>
          <w:sz w:val="18"/>
          <w:szCs w:val="18"/>
        </w:rPr>
      </w:pPr>
      <w:r w:rsidRPr="001F49E1">
        <w:rPr>
          <w:rStyle w:val="Refdenotaalpie"/>
          <w:rFonts w:ascii="Bookman Old Style" w:hAnsi="Bookman Old Style" w:cs="Arial"/>
        </w:rPr>
        <w:footnoteRef/>
      </w:r>
      <w:r w:rsidRPr="001F49E1">
        <w:rPr>
          <w:rFonts w:ascii="Bookman Old Style" w:hAnsi="Bookman Old Style" w:cs="Arial"/>
          <w:sz w:val="16"/>
          <w:szCs w:val="16"/>
        </w:rPr>
        <w:t xml:space="preserve"> Consejo de Estado, Sala de lo contencioso administrativo, Sección Primera, Consejero ponente: RAFAEL E. OSTAU DE LAFONT PIANETA, Bogotá D.C., cinco (5) de agosto de dos mil diez (2010) Radicación núm.: 11001 0324 000 2000 06252 01.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D16" w:rsidRDefault="00230D16" w:rsidP="00951F79">
    <w:pPr>
      <w:pStyle w:val="Ttulo1"/>
      <w:ind w:right="6"/>
      <w:jc w:val="left"/>
      <w:rPr>
        <w:rFonts w:ascii="Bookman Old Style" w:hAnsi="Bookman Old Style" w:cs="Arial"/>
        <w:b w:val="0"/>
        <w:sz w:val="22"/>
        <w:szCs w:val="22"/>
      </w:rPr>
    </w:pPr>
  </w:p>
  <w:p w:rsidR="00230D16" w:rsidRPr="00951F79" w:rsidRDefault="00230D1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071AA">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071AA" w:rsidRPr="00E071AA">
        <w:rPr>
          <w:rFonts w:ascii="Bookman Old Style" w:hAnsi="Bookman Old Style" w:cs="Arial"/>
          <w:b w:val="0"/>
          <w:noProof/>
          <w:sz w:val="22"/>
          <w:szCs w:val="22"/>
        </w:rPr>
        <w:t>4</w:t>
      </w:r>
    </w:fldSimple>
  </w:p>
  <w:p w:rsidR="00230D16" w:rsidRDefault="00230D16"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F9C8D"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30D16" w:rsidRPr="00EC69A4" w:rsidRDefault="00230D16" w:rsidP="00230D16">
    <w:pPr>
      <w:pBdr>
        <w:bottom w:val="single" w:sz="4" w:space="1" w:color="auto"/>
      </w:pBdr>
      <w:ind w:left="142" w:right="148"/>
      <w:jc w:val="both"/>
      <w:rPr>
        <w:b/>
        <w:sz w:val="20"/>
        <w:szCs w:val="20"/>
      </w:rPr>
    </w:pPr>
    <w:r w:rsidRPr="00EC69A4">
      <w:rPr>
        <w:rFonts w:ascii="Bookman Old Style" w:hAnsi="Bookman Old Style"/>
        <w:sz w:val="20"/>
        <w:szCs w:val="20"/>
      </w:rPr>
      <w:t>Por la cual se decide la actuación administrativa adelantada para establecer plenamente la existencia del   incumplimiento grave e insalvable en la puesta en operación del Proyecto Hidroeléctrico Ituango, determinar sus consecuencias y garantizar el derecho de defensa de Empresas Públicas de Medellín, EPM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D16" w:rsidRDefault="00230D16"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30D16" w:rsidRDefault="00230D16">
    <w:pPr>
      <w:pStyle w:val="Encabezado"/>
      <w:jc w:val="center"/>
      <w:rPr>
        <w:rFonts w:ascii="Arial" w:hAnsi="Arial" w:cs="Arial"/>
        <w:spacing w:val="20"/>
        <w:sz w:val="20"/>
      </w:rPr>
    </w:pPr>
  </w:p>
  <w:p w:rsidR="00230D16" w:rsidRDefault="00230D1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31BF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8EB4EC1"/>
    <w:multiLevelType w:val="hybridMultilevel"/>
    <w:tmpl w:val="766ECC94"/>
    <w:lvl w:ilvl="0" w:tplc="E3BE90B2">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F5254A"/>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005AD3"/>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6515AD"/>
    <w:multiLevelType w:val="hybridMultilevel"/>
    <w:tmpl w:val="9D541E80"/>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85AB0"/>
    <w:multiLevelType w:val="hybridMultilevel"/>
    <w:tmpl w:val="CAF6B9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5019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BD5F45"/>
    <w:multiLevelType w:val="hybridMultilevel"/>
    <w:tmpl w:val="4E103A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D6B3A91"/>
    <w:multiLevelType w:val="hybridMultilevel"/>
    <w:tmpl w:val="FB06A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53F52FDC"/>
    <w:multiLevelType w:val="hybridMultilevel"/>
    <w:tmpl w:val="B4E2CE26"/>
    <w:lvl w:ilvl="0" w:tplc="32F41B5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8C6BDF"/>
    <w:multiLevelType w:val="hybridMultilevel"/>
    <w:tmpl w:val="420407EC"/>
    <w:lvl w:ilvl="0" w:tplc="D34CCC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512242C"/>
    <w:multiLevelType w:val="hybridMultilevel"/>
    <w:tmpl w:val="AD46C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374770"/>
    <w:multiLevelType w:val="hybridMultilevel"/>
    <w:tmpl w:val="21E6BF7E"/>
    <w:lvl w:ilvl="0" w:tplc="EB18A9C2">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3"/>
  </w:num>
  <w:num w:numId="4">
    <w:abstractNumId w:val="10"/>
  </w:num>
  <w:num w:numId="5">
    <w:abstractNumId w:val="26"/>
  </w:num>
  <w:num w:numId="6">
    <w:abstractNumId w:val="4"/>
  </w:num>
  <w:num w:numId="7">
    <w:abstractNumId w:val="3"/>
  </w:num>
  <w:num w:numId="8">
    <w:abstractNumId w:val="28"/>
  </w:num>
  <w:num w:numId="9">
    <w:abstractNumId w:val="27"/>
  </w:num>
  <w:num w:numId="10">
    <w:abstractNumId w:val="20"/>
  </w:num>
  <w:num w:numId="11">
    <w:abstractNumId w:val="34"/>
  </w:num>
  <w:num w:numId="12">
    <w:abstractNumId w:val="31"/>
  </w:num>
  <w:num w:numId="13">
    <w:abstractNumId w:val="15"/>
  </w:num>
  <w:num w:numId="14">
    <w:abstractNumId w:val="2"/>
  </w:num>
  <w:num w:numId="15">
    <w:abstractNumId w:val="21"/>
  </w:num>
  <w:num w:numId="16">
    <w:abstractNumId w:val="1"/>
  </w:num>
  <w:num w:numId="17">
    <w:abstractNumId w:val="14"/>
  </w:num>
  <w:num w:numId="18">
    <w:abstractNumId w:val="0"/>
  </w:num>
  <w:num w:numId="19">
    <w:abstractNumId w:val="30"/>
  </w:num>
  <w:num w:numId="20">
    <w:abstractNumId w:val="23"/>
  </w:num>
  <w:num w:numId="21">
    <w:abstractNumId w:val="11"/>
  </w:num>
  <w:num w:numId="22">
    <w:abstractNumId w:val="13"/>
  </w:num>
  <w:num w:numId="23">
    <w:abstractNumId w:val="6"/>
  </w:num>
  <w:num w:numId="24">
    <w:abstractNumId w:val="22"/>
  </w:num>
  <w:num w:numId="25">
    <w:abstractNumId w:val="12"/>
  </w:num>
  <w:num w:numId="26">
    <w:abstractNumId w:val="32"/>
  </w:num>
  <w:num w:numId="27">
    <w:abstractNumId w:val="8"/>
  </w:num>
  <w:num w:numId="28">
    <w:abstractNumId w:val="9"/>
  </w:num>
  <w:num w:numId="29">
    <w:abstractNumId w:val="17"/>
  </w:num>
  <w:num w:numId="30">
    <w:abstractNumId w:val="5"/>
  </w:num>
  <w:num w:numId="31">
    <w:abstractNumId w:val="18"/>
  </w:num>
  <w:num w:numId="32">
    <w:abstractNumId w:val="24"/>
  </w:num>
  <w:num w:numId="33">
    <w:abstractNumId w:val="16"/>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5D1C"/>
    <w:rsid w:val="00025383"/>
    <w:rsid w:val="0002734B"/>
    <w:rsid w:val="00034613"/>
    <w:rsid w:val="000348A1"/>
    <w:rsid w:val="00045D3D"/>
    <w:rsid w:val="00060035"/>
    <w:rsid w:val="000612E6"/>
    <w:rsid w:val="00063657"/>
    <w:rsid w:val="0007583D"/>
    <w:rsid w:val="00076680"/>
    <w:rsid w:val="00076A1D"/>
    <w:rsid w:val="0008073E"/>
    <w:rsid w:val="00091CDB"/>
    <w:rsid w:val="00097D53"/>
    <w:rsid w:val="000A04F5"/>
    <w:rsid w:val="000A19AC"/>
    <w:rsid w:val="000B2EC9"/>
    <w:rsid w:val="000D26F8"/>
    <w:rsid w:val="000F3E1D"/>
    <w:rsid w:val="001002B6"/>
    <w:rsid w:val="00100637"/>
    <w:rsid w:val="00106654"/>
    <w:rsid w:val="001120B4"/>
    <w:rsid w:val="0011670D"/>
    <w:rsid w:val="0013526C"/>
    <w:rsid w:val="001405C6"/>
    <w:rsid w:val="00141013"/>
    <w:rsid w:val="0014120F"/>
    <w:rsid w:val="00192CBF"/>
    <w:rsid w:val="00192FF1"/>
    <w:rsid w:val="00194BD7"/>
    <w:rsid w:val="001A51F0"/>
    <w:rsid w:val="001A5F1B"/>
    <w:rsid w:val="001B1C22"/>
    <w:rsid w:val="001B34C6"/>
    <w:rsid w:val="001D7832"/>
    <w:rsid w:val="00206B4A"/>
    <w:rsid w:val="00210DC1"/>
    <w:rsid w:val="00211D34"/>
    <w:rsid w:val="00214F04"/>
    <w:rsid w:val="00230D16"/>
    <w:rsid w:val="002352B9"/>
    <w:rsid w:val="00237E17"/>
    <w:rsid w:val="00243445"/>
    <w:rsid w:val="00266CD6"/>
    <w:rsid w:val="002673AC"/>
    <w:rsid w:val="00275DAB"/>
    <w:rsid w:val="002903C0"/>
    <w:rsid w:val="002A782A"/>
    <w:rsid w:val="002B11E2"/>
    <w:rsid w:val="002B24B8"/>
    <w:rsid w:val="002C168F"/>
    <w:rsid w:val="002D3AE9"/>
    <w:rsid w:val="002D4510"/>
    <w:rsid w:val="002E7C70"/>
    <w:rsid w:val="002F0734"/>
    <w:rsid w:val="002F46E7"/>
    <w:rsid w:val="0030591F"/>
    <w:rsid w:val="003101DA"/>
    <w:rsid w:val="003111C3"/>
    <w:rsid w:val="00314757"/>
    <w:rsid w:val="003163BC"/>
    <w:rsid w:val="003211CE"/>
    <w:rsid w:val="00342B11"/>
    <w:rsid w:val="0035403A"/>
    <w:rsid w:val="00361249"/>
    <w:rsid w:val="0036394B"/>
    <w:rsid w:val="00366DB6"/>
    <w:rsid w:val="003709B5"/>
    <w:rsid w:val="003759C2"/>
    <w:rsid w:val="00397365"/>
    <w:rsid w:val="003A31F6"/>
    <w:rsid w:val="003C33D2"/>
    <w:rsid w:val="003C3447"/>
    <w:rsid w:val="003D076C"/>
    <w:rsid w:val="003D17B5"/>
    <w:rsid w:val="003E78B5"/>
    <w:rsid w:val="003F04F4"/>
    <w:rsid w:val="003F0972"/>
    <w:rsid w:val="003F5454"/>
    <w:rsid w:val="00403611"/>
    <w:rsid w:val="004119E8"/>
    <w:rsid w:val="00415BAB"/>
    <w:rsid w:val="00415ED2"/>
    <w:rsid w:val="0042068C"/>
    <w:rsid w:val="00426D4C"/>
    <w:rsid w:val="0044318E"/>
    <w:rsid w:val="00443B35"/>
    <w:rsid w:val="0047122B"/>
    <w:rsid w:val="00473B7A"/>
    <w:rsid w:val="0048359C"/>
    <w:rsid w:val="004960E9"/>
    <w:rsid w:val="004A2E88"/>
    <w:rsid w:val="004A5305"/>
    <w:rsid w:val="004C1414"/>
    <w:rsid w:val="004D015A"/>
    <w:rsid w:val="004D7634"/>
    <w:rsid w:val="004E06DC"/>
    <w:rsid w:val="004E611A"/>
    <w:rsid w:val="004F21EA"/>
    <w:rsid w:val="004F6460"/>
    <w:rsid w:val="00520B77"/>
    <w:rsid w:val="005300D3"/>
    <w:rsid w:val="00542A10"/>
    <w:rsid w:val="00544F82"/>
    <w:rsid w:val="005509D2"/>
    <w:rsid w:val="005529F8"/>
    <w:rsid w:val="005805CE"/>
    <w:rsid w:val="00582D35"/>
    <w:rsid w:val="00593C4F"/>
    <w:rsid w:val="005946A8"/>
    <w:rsid w:val="005A4407"/>
    <w:rsid w:val="005A59EF"/>
    <w:rsid w:val="005A7D6F"/>
    <w:rsid w:val="005B1C7E"/>
    <w:rsid w:val="005B3CCC"/>
    <w:rsid w:val="005C6976"/>
    <w:rsid w:val="005F6F41"/>
    <w:rsid w:val="00625DC6"/>
    <w:rsid w:val="0064391D"/>
    <w:rsid w:val="00651821"/>
    <w:rsid w:val="00654384"/>
    <w:rsid w:val="00656AD8"/>
    <w:rsid w:val="00664DC2"/>
    <w:rsid w:val="006653B3"/>
    <w:rsid w:val="00665E18"/>
    <w:rsid w:val="006675CD"/>
    <w:rsid w:val="006736FE"/>
    <w:rsid w:val="00684D9B"/>
    <w:rsid w:val="0068510A"/>
    <w:rsid w:val="006852B3"/>
    <w:rsid w:val="006943F6"/>
    <w:rsid w:val="00697048"/>
    <w:rsid w:val="00697556"/>
    <w:rsid w:val="00697998"/>
    <w:rsid w:val="006B4647"/>
    <w:rsid w:val="006B4C2B"/>
    <w:rsid w:val="006B52B9"/>
    <w:rsid w:val="006B6194"/>
    <w:rsid w:val="006B6D47"/>
    <w:rsid w:val="006C5AFE"/>
    <w:rsid w:val="006D57B4"/>
    <w:rsid w:val="006E0111"/>
    <w:rsid w:val="006F2EC8"/>
    <w:rsid w:val="006F3DF4"/>
    <w:rsid w:val="006F6D95"/>
    <w:rsid w:val="006F744F"/>
    <w:rsid w:val="00706F13"/>
    <w:rsid w:val="007072E8"/>
    <w:rsid w:val="0071618D"/>
    <w:rsid w:val="00723E2E"/>
    <w:rsid w:val="00725FA4"/>
    <w:rsid w:val="00726D02"/>
    <w:rsid w:val="00740446"/>
    <w:rsid w:val="007438A9"/>
    <w:rsid w:val="0074491E"/>
    <w:rsid w:val="00751567"/>
    <w:rsid w:val="00762209"/>
    <w:rsid w:val="0076247A"/>
    <w:rsid w:val="00774074"/>
    <w:rsid w:val="00775964"/>
    <w:rsid w:val="007765FE"/>
    <w:rsid w:val="00782B1B"/>
    <w:rsid w:val="00785AA6"/>
    <w:rsid w:val="00793130"/>
    <w:rsid w:val="00794E2E"/>
    <w:rsid w:val="00795BFB"/>
    <w:rsid w:val="00797D67"/>
    <w:rsid w:val="007B2760"/>
    <w:rsid w:val="007E081E"/>
    <w:rsid w:val="00806C01"/>
    <w:rsid w:val="008104DD"/>
    <w:rsid w:val="00811A33"/>
    <w:rsid w:val="008148CC"/>
    <w:rsid w:val="008211A4"/>
    <w:rsid w:val="0084693A"/>
    <w:rsid w:val="00867499"/>
    <w:rsid w:val="00873150"/>
    <w:rsid w:val="0087657D"/>
    <w:rsid w:val="00880189"/>
    <w:rsid w:val="008807D5"/>
    <w:rsid w:val="0088081D"/>
    <w:rsid w:val="00880832"/>
    <w:rsid w:val="00885C9D"/>
    <w:rsid w:val="00886EE1"/>
    <w:rsid w:val="0088727D"/>
    <w:rsid w:val="00897C75"/>
    <w:rsid w:val="008C1130"/>
    <w:rsid w:val="008C44D7"/>
    <w:rsid w:val="008D18E6"/>
    <w:rsid w:val="008D7A9B"/>
    <w:rsid w:val="008D7CD9"/>
    <w:rsid w:val="008E0060"/>
    <w:rsid w:val="008E10C2"/>
    <w:rsid w:val="008E7091"/>
    <w:rsid w:val="008E76AC"/>
    <w:rsid w:val="008F21F6"/>
    <w:rsid w:val="008F5225"/>
    <w:rsid w:val="009040EB"/>
    <w:rsid w:val="00951F79"/>
    <w:rsid w:val="0096317D"/>
    <w:rsid w:val="00974AB5"/>
    <w:rsid w:val="00976C3A"/>
    <w:rsid w:val="0098706D"/>
    <w:rsid w:val="009935FB"/>
    <w:rsid w:val="009A0B99"/>
    <w:rsid w:val="009C6B5C"/>
    <w:rsid w:val="009C6D74"/>
    <w:rsid w:val="009F436C"/>
    <w:rsid w:val="009F4A54"/>
    <w:rsid w:val="009F4BEC"/>
    <w:rsid w:val="009F5874"/>
    <w:rsid w:val="00A222F7"/>
    <w:rsid w:val="00A25FD7"/>
    <w:rsid w:val="00A43AFF"/>
    <w:rsid w:val="00A46E21"/>
    <w:rsid w:val="00A60448"/>
    <w:rsid w:val="00A74647"/>
    <w:rsid w:val="00A7793A"/>
    <w:rsid w:val="00A94F04"/>
    <w:rsid w:val="00AA4CC7"/>
    <w:rsid w:val="00AA5E8E"/>
    <w:rsid w:val="00AA67CB"/>
    <w:rsid w:val="00AB2BAD"/>
    <w:rsid w:val="00AB6CA7"/>
    <w:rsid w:val="00AC1896"/>
    <w:rsid w:val="00AD01E4"/>
    <w:rsid w:val="00AD0858"/>
    <w:rsid w:val="00AE02E3"/>
    <w:rsid w:val="00AE3816"/>
    <w:rsid w:val="00AE7340"/>
    <w:rsid w:val="00AF1BBD"/>
    <w:rsid w:val="00B10207"/>
    <w:rsid w:val="00B141E7"/>
    <w:rsid w:val="00B351B4"/>
    <w:rsid w:val="00B46BCA"/>
    <w:rsid w:val="00B478AA"/>
    <w:rsid w:val="00B807C6"/>
    <w:rsid w:val="00B832D3"/>
    <w:rsid w:val="00B83974"/>
    <w:rsid w:val="00B87806"/>
    <w:rsid w:val="00B87EC9"/>
    <w:rsid w:val="00BA6A1B"/>
    <w:rsid w:val="00BB1212"/>
    <w:rsid w:val="00BC38FD"/>
    <w:rsid w:val="00BE0C69"/>
    <w:rsid w:val="00BE2A30"/>
    <w:rsid w:val="00C034CB"/>
    <w:rsid w:val="00C051A8"/>
    <w:rsid w:val="00C054BC"/>
    <w:rsid w:val="00C077F0"/>
    <w:rsid w:val="00C17897"/>
    <w:rsid w:val="00C2396E"/>
    <w:rsid w:val="00C23C3A"/>
    <w:rsid w:val="00C307CA"/>
    <w:rsid w:val="00C409D5"/>
    <w:rsid w:val="00C435C3"/>
    <w:rsid w:val="00C442AE"/>
    <w:rsid w:val="00C44E5F"/>
    <w:rsid w:val="00C46303"/>
    <w:rsid w:val="00C51B7C"/>
    <w:rsid w:val="00C53CE1"/>
    <w:rsid w:val="00C6018C"/>
    <w:rsid w:val="00C6234B"/>
    <w:rsid w:val="00C63EAE"/>
    <w:rsid w:val="00C676D7"/>
    <w:rsid w:val="00C73260"/>
    <w:rsid w:val="00C7629F"/>
    <w:rsid w:val="00C81FA7"/>
    <w:rsid w:val="00C8661B"/>
    <w:rsid w:val="00CA03C8"/>
    <w:rsid w:val="00CA139A"/>
    <w:rsid w:val="00CA2899"/>
    <w:rsid w:val="00CA3A3D"/>
    <w:rsid w:val="00CA3AA6"/>
    <w:rsid w:val="00CA77FB"/>
    <w:rsid w:val="00CB379B"/>
    <w:rsid w:val="00CB52E7"/>
    <w:rsid w:val="00CB5DD0"/>
    <w:rsid w:val="00CC51D4"/>
    <w:rsid w:val="00CC65DA"/>
    <w:rsid w:val="00CE1567"/>
    <w:rsid w:val="00CF21B9"/>
    <w:rsid w:val="00CF6BF9"/>
    <w:rsid w:val="00D03800"/>
    <w:rsid w:val="00D06207"/>
    <w:rsid w:val="00D065D3"/>
    <w:rsid w:val="00D113B6"/>
    <w:rsid w:val="00D14C94"/>
    <w:rsid w:val="00D20326"/>
    <w:rsid w:val="00D342A6"/>
    <w:rsid w:val="00D37C5A"/>
    <w:rsid w:val="00D40ACD"/>
    <w:rsid w:val="00D45CA6"/>
    <w:rsid w:val="00D464BF"/>
    <w:rsid w:val="00D51A18"/>
    <w:rsid w:val="00D51F3A"/>
    <w:rsid w:val="00D53E26"/>
    <w:rsid w:val="00D62AEF"/>
    <w:rsid w:val="00D800FB"/>
    <w:rsid w:val="00DB182C"/>
    <w:rsid w:val="00DB2512"/>
    <w:rsid w:val="00DB2F38"/>
    <w:rsid w:val="00DB3506"/>
    <w:rsid w:val="00DB7DD1"/>
    <w:rsid w:val="00DD4F0E"/>
    <w:rsid w:val="00DD5F90"/>
    <w:rsid w:val="00DE313E"/>
    <w:rsid w:val="00DF0427"/>
    <w:rsid w:val="00DF0BF0"/>
    <w:rsid w:val="00DF3CA2"/>
    <w:rsid w:val="00E01463"/>
    <w:rsid w:val="00E05E0A"/>
    <w:rsid w:val="00E060BE"/>
    <w:rsid w:val="00E071AA"/>
    <w:rsid w:val="00E07610"/>
    <w:rsid w:val="00E10DC8"/>
    <w:rsid w:val="00E1475D"/>
    <w:rsid w:val="00E42629"/>
    <w:rsid w:val="00E45130"/>
    <w:rsid w:val="00E534CF"/>
    <w:rsid w:val="00E53F1D"/>
    <w:rsid w:val="00E73B4A"/>
    <w:rsid w:val="00E81CB4"/>
    <w:rsid w:val="00E8585B"/>
    <w:rsid w:val="00E87F41"/>
    <w:rsid w:val="00EA3F15"/>
    <w:rsid w:val="00EA7847"/>
    <w:rsid w:val="00EB0EE6"/>
    <w:rsid w:val="00EB4C2F"/>
    <w:rsid w:val="00EC13D5"/>
    <w:rsid w:val="00EC69A4"/>
    <w:rsid w:val="00EC7ABD"/>
    <w:rsid w:val="00EE2E6E"/>
    <w:rsid w:val="00EE72F6"/>
    <w:rsid w:val="00F0759E"/>
    <w:rsid w:val="00F16A43"/>
    <w:rsid w:val="00F204CD"/>
    <w:rsid w:val="00F271B1"/>
    <w:rsid w:val="00F37643"/>
    <w:rsid w:val="00F46780"/>
    <w:rsid w:val="00F75756"/>
    <w:rsid w:val="00F77D2D"/>
    <w:rsid w:val="00F80657"/>
    <w:rsid w:val="00F8112F"/>
    <w:rsid w:val="00F81CD3"/>
    <w:rsid w:val="00F821A3"/>
    <w:rsid w:val="00F9314A"/>
    <w:rsid w:val="00F940B2"/>
    <w:rsid w:val="00FB3AA3"/>
    <w:rsid w:val="00FC58EF"/>
    <w:rsid w:val="00FD33DF"/>
    <w:rsid w:val="00FE39D7"/>
    <w:rsid w:val="00FE4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0314FAE-EB64-4976-B826-93586001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E10C2"/>
    <w:pPr>
      <w:ind w:left="0"/>
    </w:pPr>
    <w:rPr>
      <w:rFonts w:eastAsia="SimSun"/>
      <w:sz w:val="20"/>
      <w:szCs w:val="20"/>
      <w:lang w:val="es-CO" w:eastAsia="zh-CN"/>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E10C2"/>
    <w:rPr>
      <w:rFonts w:eastAsia="SimSun"/>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8E10C2"/>
    <w:rPr>
      <w:vertAlign w:val="superscript"/>
    </w:rPr>
  </w:style>
  <w:style w:type="character" w:styleId="Refdecomentario">
    <w:name w:val="annotation reference"/>
    <w:basedOn w:val="Fuentedeprrafopredeter"/>
    <w:uiPriority w:val="99"/>
    <w:semiHidden/>
    <w:unhideWhenUsed/>
    <w:rsid w:val="00EB0E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pecheverry\AppData\AppData\Local\Temp\notesDEFAC4\Nueva%20carpeta\EnficcVerificadaPrimeraSubastaGPPS(2014-2019).x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pecheverry\AppData\AppData\Local\Temp\notesDEFAC4\Nueva%20carpeta\EnficcVerificadaPrimeraSubastaGPPS(2014-2019).x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pecheverry\AppData\AppData\Local\Temp\notesDEFAC4\Nueva%20carpeta\EnficcVerificadaPrimeraSubastaGPPS(2014-2019).xl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0F20-903F-48CE-A180-0898CD12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16793</Words>
  <Characters>92366</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2019-09-17T18:52:00Z</cp:lastPrinted>
  <dcterms:created xsi:type="dcterms:W3CDTF">2019-09-18T22:28:00Z</dcterms:created>
  <dcterms:modified xsi:type="dcterms:W3CDTF">2019-09-18T22:28:00Z</dcterms:modified>
</cp:coreProperties>
</file>