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C6" w:rsidRPr="00012259" w:rsidRDefault="007E7ECD"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566028874" r:id="rId9"/>
        </w:object>
      </w:r>
    </w:p>
    <w:p w:rsidR="00CA77FB" w:rsidRPr="00012259" w:rsidRDefault="00CA77FB" w:rsidP="00012259">
      <w:pPr>
        <w:pStyle w:val="Ttulo4"/>
        <w:tabs>
          <w:tab w:val="left" w:pos="0"/>
          <w:tab w:val="right" w:pos="9356"/>
        </w:tabs>
        <w:ind w:left="0"/>
        <w:rPr>
          <w:rFonts w:ascii="Bookman Old Style" w:hAnsi="Bookman Old Style"/>
          <w:b w:val="0"/>
          <w:bCs/>
          <w:noProof/>
          <w:sz w:val="24"/>
          <w:szCs w:val="24"/>
          <w:lang w:val="es-ES"/>
        </w:rPr>
      </w:pPr>
      <w:r w:rsidRPr="00012259">
        <w:rPr>
          <w:rFonts w:ascii="Bookman Old Style" w:hAnsi="Bookman Old Style"/>
          <w:b w:val="0"/>
          <w:bCs/>
          <w:sz w:val="24"/>
          <w:szCs w:val="24"/>
        </w:rPr>
        <w:t>Ministerio de Minas y Energía</w:t>
      </w:r>
    </w:p>
    <w:p w:rsidR="00CA77FB" w:rsidRPr="00012259" w:rsidRDefault="00CA77FB" w:rsidP="00012259">
      <w:pPr>
        <w:pStyle w:val="Ttulo4"/>
        <w:tabs>
          <w:tab w:val="left" w:pos="0"/>
          <w:tab w:val="right" w:pos="9356"/>
        </w:tabs>
        <w:ind w:left="0"/>
        <w:rPr>
          <w:rFonts w:ascii="Bookman Old Style" w:hAnsi="Bookman Old Style"/>
          <w:b w:val="0"/>
          <w:bCs/>
          <w:sz w:val="24"/>
          <w:szCs w:val="24"/>
        </w:rPr>
      </w:pPr>
    </w:p>
    <w:p w:rsidR="00CA77FB" w:rsidRPr="00012259" w:rsidRDefault="00CA77FB" w:rsidP="00012259">
      <w:pPr>
        <w:pStyle w:val="Ttulo3"/>
        <w:tabs>
          <w:tab w:val="left" w:pos="0"/>
          <w:tab w:val="right" w:pos="9356"/>
        </w:tabs>
        <w:ind w:left="0"/>
        <w:rPr>
          <w:rFonts w:ascii="Bookman Old Style" w:hAnsi="Bookman Old Style" w:cs="Arial"/>
          <w:spacing w:val="20"/>
          <w:szCs w:val="24"/>
        </w:rPr>
      </w:pPr>
      <w:r w:rsidRPr="00012259">
        <w:rPr>
          <w:rFonts w:ascii="Bookman Old Style" w:hAnsi="Bookman Old Style" w:cs="Arial"/>
          <w:spacing w:val="20"/>
          <w:szCs w:val="24"/>
        </w:rPr>
        <w:t>COMISIÓN DE REGULACIÓN DE ENERGÍA Y GAS</w:t>
      </w:r>
    </w:p>
    <w:p w:rsidR="00CA77FB" w:rsidRPr="00012259" w:rsidRDefault="00CA77FB" w:rsidP="00012259">
      <w:pPr>
        <w:pStyle w:val="Ttulo5"/>
        <w:tabs>
          <w:tab w:val="left" w:pos="0"/>
          <w:tab w:val="right" w:pos="9356"/>
        </w:tabs>
        <w:ind w:left="0"/>
        <w:rPr>
          <w:rFonts w:ascii="Bookman Old Style" w:hAnsi="Bookman Old Style"/>
          <w:sz w:val="24"/>
          <w:szCs w:val="24"/>
        </w:rPr>
      </w:pPr>
    </w:p>
    <w:p w:rsidR="00CA77FB" w:rsidRPr="00012259" w:rsidRDefault="00CA77FB" w:rsidP="00012259">
      <w:pPr>
        <w:pStyle w:val="Ttulo5"/>
        <w:tabs>
          <w:tab w:val="left" w:pos="0"/>
          <w:tab w:val="right" w:pos="9356"/>
        </w:tabs>
        <w:ind w:left="0"/>
        <w:rPr>
          <w:rFonts w:ascii="Bookman Old Style" w:hAnsi="Bookman Old Style"/>
          <w:sz w:val="24"/>
          <w:szCs w:val="24"/>
        </w:rPr>
      </w:pPr>
    </w:p>
    <w:p w:rsidR="00CA77FB" w:rsidRPr="002D585B" w:rsidRDefault="00CA77FB" w:rsidP="00012259">
      <w:pPr>
        <w:pStyle w:val="Ttulo5"/>
        <w:tabs>
          <w:tab w:val="left" w:pos="0"/>
          <w:tab w:val="right" w:pos="9356"/>
        </w:tabs>
        <w:ind w:left="0"/>
        <w:rPr>
          <w:rFonts w:ascii="Bookman Old Style" w:hAnsi="Bookman Old Style"/>
          <w:sz w:val="24"/>
          <w:szCs w:val="24"/>
        </w:rPr>
      </w:pPr>
      <w:r w:rsidRPr="002D585B">
        <w:rPr>
          <w:rFonts w:ascii="Bookman Old Style" w:hAnsi="Bookman Old Style"/>
          <w:sz w:val="24"/>
          <w:szCs w:val="24"/>
        </w:rPr>
        <w:t xml:space="preserve">RESOLUCIÓN No. </w:t>
      </w:r>
      <w:r w:rsidR="00795BFB" w:rsidRPr="002D585B">
        <w:rPr>
          <w:rFonts w:ascii="Bookman Old Style" w:hAnsi="Bookman Old Style"/>
          <w:sz w:val="24"/>
          <w:szCs w:val="24"/>
        </w:rPr>
        <w:t xml:space="preserve">                  </w:t>
      </w:r>
      <w:r w:rsidRPr="002D585B">
        <w:rPr>
          <w:rFonts w:ascii="Bookman Old Style" w:hAnsi="Bookman Old Style"/>
          <w:sz w:val="24"/>
          <w:szCs w:val="24"/>
        </w:rPr>
        <w:t>DE 20</w:t>
      </w:r>
      <w:r w:rsidR="00795BFB" w:rsidRPr="002D585B">
        <w:rPr>
          <w:rFonts w:ascii="Bookman Old Style" w:hAnsi="Bookman Old Style"/>
          <w:sz w:val="24"/>
          <w:szCs w:val="24"/>
        </w:rPr>
        <w:t>1</w:t>
      </w:r>
      <w:r w:rsidR="00C2136B">
        <w:rPr>
          <w:rFonts w:ascii="Bookman Old Style" w:hAnsi="Bookman Old Style"/>
          <w:sz w:val="24"/>
          <w:szCs w:val="24"/>
        </w:rPr>
        <w:t>7</w:t>
      </w:r>
    </w:p>
    <w:p w:rsidR="00CA77FB" w:rsidRPr="00012259"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012259" w:rsidRDefault="00CA77FB" w:rsidP="00012259">
      <w:pPr>
        <w:pStyle w:val="Ttulo3"/>
        <w:tabs>
          <w:tab w:val="left" w:pos="0"/>
          <w:tab w:val="right" w:pos="9356"/>
        </w:tabs>
        <w:ind w:left="0"/>
        <w:rPr>
          <w:rFonts w:ascii="Bookman Old Style" w:hAnsi="Bookman Old Style"/>
          <w:b w:val="0"/>
          <w:szCs w:val="24"/>
        </w:rPr>
      </w:pPr>
      <w:r w:rsidRPr="00012259">
        <w:rPr>
          <w:rFonts w:ascii="Bookman Old Style" w:hAnsi="Bookman Old Style"/>
          <w:b w:val="0"/>
          <w:szCs w:val="24"/>
        </w:rPr>
        <w:t>(                                  )</w:t>
      </w:r>
    </w:p>
    <w:p w:rsidR="00CA77FB" w:rsidRPr="00012259" w:rsidRDefault="00CA77FB" w:rsidP="00012259">
      <w:pPr>
        <w:tabs>
          <w:tab w:val="left" w:pos="0"/>
          <w:tab w:val="right" w:pos="9356"/>
        </w:tabs>
        <w:ind w:left="0"/>
        <w:jc w:val="center"/>
        <w:rPr>
          <w:rFonts w:ascii="Bookman Old Style" w:hAnsi="Bookman Old Style"/>
          <w:lang w:val="es-ES_tradnl"/>
        </w:rPr>
      </w:pPr>
    </w:p>
    <w:p w:rsidR="00C034CB" w:rsidRDefault="00C034CB" w:rsidP="00012259">
      <w:pPr>
        <w:ind w:left="0"/>
        <w:rPr>
          <w:rFonts w:ascii="Bookman Old Style" w:hAnsi="Bookman Old Style"/>
          <w:bCs/>
          <w:lang w:val="es-CO"/>
        </w:rPr>
      </w:pPr>
    </w:p>
    <w:p w:rsidR="002D585B" w:rsidRDefault="002D585B" w:rsidP="00012259">
      <w:pPr>
        <w:ind w:left="0"/>
        <w:rPr>
          <w:rFonts w:ascii="Bookman Old Style" w:hAnsi="Bookman Old Style"/>
          <w:bCs/>
          <w:lang w:val="es-CO"/>
        </w:rPr>
      </w:pPr>
    </w:p>
    <w:p w:rsidR="008F2D4B" w:rsidRDefault="008F2D4B" w:rsidP="00012259">
      <w:pPr>
        <w:ind w:left="0"/>
        <w:rPr>
          <w:rFonts w:ascii="Bookman Old Style" w:hAnsi="Bookman Old Style"/>
          <w:bCs/>
          <w:lang w:val="es-CO"/>
        </w:rPr>
      </w:pPr>
    </w:p>
    <w:p w:rsidR="00536791" w:rsidRPr="00536791" w:rsidRDefault="00536791" w:rsidP="00536791">
      <w:pPr>
        <w:ind w:left="0"/>
        <w:jc w:val="center"/>
        <w:rPr>
          <w:rFonts w:ascii="Bookman Old Style" w:hAnsi="Bookman Old Style"/>
        </w:rPr>
      </w:pPr>
      <w:r>
        <w:rPr>
          <w:rFonts w:ascii="Bookman Old Style" w:hAnsi="Bookman Old Style" w:cs="Arial"/>
          <w:color w:val="000000"/>
          <w:szCs w:val="27"/>
        </w:rPr>
        <w:t xml:space="preserve">Por la cual se ordena hacer público un proyecto de resolución de carácter general, </w:t>
      </w:r>
      <w:r>
        <w:rPr>
          <w:rFonts w:ascii="Bookman Old Style" w:hAnsi="Bookman Old Style" w:cs="Arial"/>
        </w:rPr>
        <w:t>“</w:t>
      </w:r>
      <w:r w:rsidRPr="005362E7">
        <w:rPr>
          <w:rFonts w:ascii="Bookman Old Style" w:hAnsi="Bookman Old Style"/>
        </w:rPr>
        <w:t xml:space="preserve">Por la cual se </w:t>
      </w:r>
      <w:r w:rsidR="00852B09" w:rsidRPr="005362E7">
        <w:rPr>
          <w:rFonts w:ascii="Bookman Old Style" w:hAnsi="Bookman Old Style"/>
        </w:rPr>
        <w:t xml:space="preserve">da un nuevo </w:t>
      </w:r>
      <w:r w:rsidR="005978E4" w:rsidRPr="005362E7">
        <w:rPr>
          <w:rFonts w:ascii="Bookman Old Style" w:hAnsi="Bookman Old Style"/>
        </w:rPr>
        <w:t xml:space="preserve">plazo para la aplicación del numeral 3 del artículo 4 </w:t>
      </w:r>
      <w:r w:rsidR="00852B09" w:rsidRPr="005362E7">
        <w:rPr>
          <w:rFonts w:ascii="Bookman Old Style" w:hAnsi="Bookman Old Style"/>
        </w:rPr>
        <w:t xml:space="preserve">de </w:t>
      </w:r>
      <w:r w:rsidR="005978E4" w:rsidRPr="005362E7">
        <w:rPr>
          <w:rFonts w:ascii="Bookman Old Style" w:hAnsi="Bookman Old Style"/>
        </w:rPr>
        <w:t xml:space="preserve">la Resolución CREG 243 de 2016, que </w:t>
      </w:r>
      <w:r w:rsidR="00B1649C" w:rsidRPr="005362E7">
        <w:rPr>
          <w:rFonts w:ascii="Bookman Old Style" w:hAnsi="Bookman Old Style"/>
        </w:rPr>
        <w:t xml:space="preserve">define la </w:t>
      </w:r>
      <w:r w:rsidR="005978E4" w:rsidRPr="005362E7">
        <w:rPr>
          <w:rFonts w:ascii="Bookman Old Style" w:hAnsi="Bookman Old Style"/>
        </w:rPr>
        <w:t>ENFICC</w:t>
      </w:r>
      <w:r w:rsidR="00B1649C" w:rsidRPr="005362E7">
        <w:rPr>
          <w:rFonts w:ascii="Bookman Old Style" w:hAnsi="Bookman Old Style"/>
        </w:rPr>
        <w:t xml:space="preserve"> de plantas </w:t>
      </w:r>
      <w:r w:rsidR="00023205" w:rsidRPr="005362E7">
        <w:rPr>
          <w:rFonts w:ascii="Bookman Old Style" w:hAnsi="Bookman Old Style"/>
        </w:rPr>
        <w:t>solares fotovoltaicas</w:t>
      </w:r>
      <w:r w:rsidR="00B1649C">
        <w:rPr>
          <w:rFonts w:ascii="Bookman Old Style" w:hAnsi="Bookman Old Style" w:cs="Arial"/>
          <w:szCs w:val="20"/>
        </w:rPr>
        <w:t>”</w:t>
      </w:r>
    </w:p>
    <w:p w:rsidR="00536791" w:rsidRPr="00B1649C" w:rsidRDefault="00536791" w:rsidP="00536791">
      <w:pPr>
        <w:pStyle w:val="Textodebloque1"/>
        <w:ind w:left="0" w:right="0"/>
        <w:rPr>
          <w:rFonts w:ascii="Bookman Old Style" w:hAnsi="Bookman Old Style" w:cs="Arial"/>
          <w:color w:val="000000"/>
          <w:lang w:val="es-ES"/>
        </w:rPr>
      </w:pPr>
    </w:p>
    <w:p w:rsidR="00536791" w:rsidRDefault="00536791" w:rsidP="00536791">
      <w:pPr>
        <w:pStyle w:val="Textodebloque1"/>
        <w:ind w:left="0" w:right="0"/>
        <w:rPr>
          <w:rFonts w:ascii="Bookman Old Style" w:hAnsi="Bookman Old Style" w:cs="Arial"/>
          <w:color w:val="000000"/>
        </w:rPr>
      </w:pPr>
    </w:p>
    <w:p w:rsidR="00536791" w:rsidRDefault="00536791" w:rsidP="00536791">
      <w:pPr>
        <w:ind w:left="0"/>
        <w:jc w:val="center"/>
        <w:outlineLvl w:val="0"/>
        <w:rPr>
          <w:rFonts w:ascii="Bookman Old Style" w:hAnsi="Bookman Old Style" w:cs="Arial"/>
          <w:b/>
          <w:bCs/>
          <w:color w:val="000000"/>
          <w:szCs w:val="27"/>
        </w:rPr>
      </w:pPr>
      <w:r>
        <w:rPr>
          <w:rFonts w:ascii="Bookman Old Style" w:hAnsi="Bookman Old Style" w:cs="Arial"/>
          <w:b/>
          <w:bCs/>
          <w:color w:val="000000"/>
          <w:szCs w:val="27"/>
        </w:rPr>
        <w:t>LA COMISIÓN DE REGULACIÓN DE ENERGÍA Y GAS</w:t>
      </w:r>
    </w:p>
    <w:p w:rsidR="00536791" w:rsidRDefault="00536791" w:rsidP="00536791">
      <w:pPr>
        <w:spacing w:after="240"/>
        <w:ind w:left="0"/>
        <w:jc w:val="both"/>
        <w:rPr>
          <w:rFonts w:ascii="Bookman Old Style" w:hAnsi="Bookman Old Style" w:cs="Arial"/>
          <w:color w:val="000000"/>
          <w:szCs w:val="27"/>
        </w:rPr>
      </w:pPr>
    </w:p>
    <w:p w:rsidR="00536791" w:rsidRDefault="00536791" w:rsidP="005D4B05">
      <w:pPr>
        <w:spacing w:after="240"/>
        <w:ind w:left="0"/>
        <w:jc w:val="center"/>
        <w:rPr>
          <w:rFonts w:ascii="Bookman Old Style" w:hAnsi="Bookman Old Style" w:cs="Arial"/>
          <w:color w:val="000000"/>
          <w:szCs w:val="27"/>
        </w:rPr>
      </w:pPr>
      <w:r>
        <w:rPr>
          <w:rFonts w:ascii="Bookman Old Style" w:hAnsi="Bookman Old Style" w:cs="Arial"/>
          <w:color w:val="000000"/>
          <w:szCs w:val="27"/>
        </w:rPr>
        <w:t>En ejercicio de sus facultades legales, en especial de las conferidas por las Leyes 142 y 143 de 1994 y en desarrollo de los Decretos 1524 y 2253 de 1994, y</w:t>
      </w:r>
    </w:p>
    <w:p w:rsidR="00536791" w:rsidRDefault="00536791" w:rsidP="00536791">
      <w:pPr>
        <w:ind w:left="0"/>
        <w:jc w:val="both"/>
        <w:rPr>
          <w:rFonts w:ascii="Bookman Old Style" w:hAnsi="Bookman Old Style" w:cs="Arial"/>
          <w:b/>
          <w:bCs/>
          <w:color w:val="000000"/>
          <w:szCs w:val="27"/>
        </w:rPr>
      </w:pPr>
    </w:p>
    <w:p w:rsidR="00536791" w:rsidRDefault="00536791" w:rsidP="00536791">
      <w:pPr>
        <w:ind w:left="0"/>
        <w:jc w:val="center"/>
        <w:outlineLvl w:val="0"/>
        <w:rPr>
          <w:rFonts w:ascii="Bookman Old Style" w:hAnsi="Bookman Old Style" w:cs="Arial"/>
          <w:color w:val="000000"/>
        </w:rPr>
      </w:pPr>
      <w:r>
        <w:rPr>
          <w:rFonts w:ascii="Bookman Old Style" w:hAnsi="Bookman Old Style" w:cs="Arial"/>
          <w:b/>
          <w:bCs/>
          <w:color w:val="000000"/>
          <w:szCs w:val="27"/>
        </w:rPr>
        <w:t>C O N S I D E R A N D O  Q U E:</w:t>
      </w:r>
    </w:p>
    <w:p w:rsidR="00536791" w:rsidRDefault="00536791" w:rsidP="00536791">
      <w:pPr>
        <w:ind w:left="0"/>
        <w:jc w:val="both"/>
        <w:rPr>
          <w:rFonts w:ascii="Bookman Old Style" w:hAnsi="Bookman Old Style" w:cs="Arial"/>
        </w:rPr>
      </w:pPr>
    </w:p>
    <w:p w:rsidR="00536791" w:rsidRDefault="00536791" w:rsidP="00536791">
      <w:pPr>
        <w:ind w:left="0"/>
        <w:jc w:val="both"/>
        <w:rPr>
          <w:rFonts w:ascii="Bookman Old Style" w:hAnsi="Bookman Old Style" w:cs="Arial"/>
        </w:rPr>
      </w:pPr>
    </w:p>
    <w:p w:rsidR="005D4B05" w:rsidRPr="00B037CE" w:rsidRDefault="005D4B05" w:rsidP="005D4B05">
      <w:pPr>
        <w:tabs>
          <w:tab w:val="left" w:pos="0"/>
        </w:tabs>
        <w:ind w:left="0"/>
        <w:jc w:val="both"/>
        <w:rPr>
          <w:rFonts w:ascii="Bookman Old Style" w:hAnsi="Bookman Old Style" w:cs="Arial"/>
          <w:color w:val="000000" w:themeColor="text1"/>
        </w:rPr>
      </w:pPr>
      <w:r w:rsidRPr="00B037CE">
        <w:rPr>
          <w:rFonts w:ascii="Bookman Old Style" w:hAnsi="Bookman Old Style" w:cs="Arial"/>
          <w:color w:val="000000" w:themeColor="text1"/>
        </w:rPr>
        <w:t xml:space="preserve">Conforme a lo dispuesto por el artículo </w:t>
      </w:r>
      <w:r w:rsidR="00C2136B">
        <w:rPr>
          <w:rFonts w:ascii="Bookman Old Style" w:hAnsi="Bookman Old Style" w:cs="Arial"/>
          <w:color w:val="000000" w:themeColor="text1"/>
        </w:rPr>
        <w:t>2.2.13.3.2</w:t>
      </w:r>
      <w:r w:rsidRPr="00B037CE">
        <w:rPr>
          <w:rFonts w:ascii="Bookman Old Style" w:hAnsi="Bookman Old Style" w:cs="Arial"/>
          <w:color w:val="000000" w:themeColor="text1"/>
        </w:rPr>
        <w:t xml:space="preserve"> del Decreto </w:t>
      </w:r>
      <w:r w:rsidR="00C2136B">
        <w:rPr>
          <w:rFonts w:ascii="Bookman Old Style" w:hAnsi="Bookman Old Style" w:cs="Arial"/>
          <w:color w:val="000000" w:themeColor="text1"/>
        </w:rPr>
        <w:t>1078</w:t>
      </w:r>
      <w:r w:rsidRPr="00B037CE">
        <w:rPr>
          <w:rFonts w:ascii="Bookman Old Style" w:hAnsi="Bookman Old Style" w:cs="Arial"/>
          <w:color w:val="000000" w:themeColor="text1"/>
        </w:rPr>
        <w:t xml:space="preserve"> de 20</w:t>
      </w:r>
      <w:r w:rsidR="00C2136B">
        <w:rPr>
          <w:rFonts w:ascii="Bookman Old Style" w:hAnsi="Bookman Old Style" w:cs="Arial"/>
          <w:color w:val="000000" w:themeColor="text1"/>
        </w:rPr>
        <w:t>15</w:t>
      </w:r>
      <w:r w:rsidRPr="00B037CE">
        <w:rPr>
          <w:rFonts w:ascii="Bookman Old Style" w:hAnsi="Bookman Old Style" w:cs="Arial"/>
          <w:color w:val="000000" w:themeColor="text1"/>
        </w:rPr>
        <w:t>, concordante con el artículo 8 del Código de Procedimiento Administrativo de lo Contencioso Administrativo</w:t>
      </w:r>
      <w:r w:rsidR="00FF5246">
        <w:rPr>
          <w:rFonts w:ascii="Bookman Old Style" w:hAnsi="Bookman Old Style" w:cs="Arial"/>
          <w:color w:val="000000" w:themeColor="text1"/>
        </w:rPr>
        <w:t xml:space="preserve"> y el Decreto 270 de 2017</w:t>
      </w:r>
      <w:r w:rsidRPr="00B037CE">
        <w:rPr>
          <w:rFonts w:ascii="Bookman Old Style" w:hAnsi="Bookman Old Style" w:cs="Arial"/>
          <w:color w:val="000000" w:themeColor="text1"/>
        </w:rPr>
        <w:t>, la Comisión debe hacer públicos en su página web los proyectos de resolución de carácter general que prevé adoptar.</w:t>
      </w:r>
    </w:p>
    <w:p w:rsidR="005D4B05" w:rsidRDefault="005D4B05" w:rsidP="00536791">
      <w:pPr>
        <w:ind w:left="0"/>
        <w:jc w:val="both"/>
        <w:rPr>
          <w:rFonts w:ascii="Bookman Old Style" w:hAnsi="Bookman Old Style" w:cs="Arial"/>
        </w:rPr>
      </w:pPr>
    </w:p>
    <w:p w:rsidR="00AF56EE" w:rsidRDefault="00AF56EE" w:rsidP="00536791">
      <w:pPr>
        <w:ind w:left="0"/>
        <w:jc w:val="both"/>
        <w:rPr>
          <w:rFonts w:ascii="Bookman Old Style" w:hAnsi="Bookman Old Style" w:cs="Arial"/>
        </w:rPr>
      </w:pPr>
      <w:r>
        <w:rPr>
          <w:rFonts w:ascii="Bookman Old Style" w:hAnsi="Bookman Old Style" w:cs="Arial"/>
        </w:rPr>
        <w:t xml:space="preserve">Conforme al Decreto </w:t>
      </w:r>
      <w:r w:rsidR="005C6D41">
        <w:rPr>
          <w:rFonts w:ascii="Bookman Old Style" w:hAnsi="Bookman Old Style" w:cs="Arial"/>
        </w:rPr>
        <w:t>270 de 2017, las entidades que profieran actos administrativos de contenido general y abstracto que no sean suscritos por el Presidente de la República</w:t>
      </w:r>
      <w:r w:rsidR="00690407">
        <w:rPr>
          <w:rFonts w:ascii="Bookman Old Style" w:hAnsi="Bookman Old Style" w:cs="Arial"/>
        </w:rPr>
        <w:t>, reglamentarán los plazos para la publicidad de los proyectos de regulación.</w:t>
      </w:r>
    </w:p>
    <w:p w:rsidR="00AF56EE" w:rsidRDefault="00AF56EE" w:rsidP="00536791">
      <w:pPr>
        <w:ind w:left="0"/>
        <w:jc w:val="both"/>
        <w:rPr>
          <w:rFonts w:ascii="Bookman Old Style" w:hAnsi="Bookman Old Style" w:cs="Arial"/>
        </w:rPr>
      </w:pPr>
    </w:p>
    <w:p w:rsidR="00AF56EE" w:rsidRDefault="00AF56EE" w:rsidP="00536791">
      <w:pPr>
        <w:ind w:left="0"/>
        <w:jc w:val="both"/>
        <w:rPr>
          <w:rFonts w:ascii="Bookman Old Style" w:hAnsi="Bookman Old Style" w:cs="Arial"/>
        </w:rPr>
      </w:pPr>
      <w:r>
        <w:rPr>
          <w:rFonts w:ascii="Bookman Old Style" w:hAnsi="Bookman Old Style" w:cs="Arial"/>
        </w:rPr>
        <w:t>Conforme a l</w:t>
      </w:r>
      <w:r w:rsidR="005362E7">
        <w:rPr>
          <w:rFonts w:ascii="Bookman Old Style" w:hAnsi="Bookman Old Style" w:cs="Arial"/>
        </w:rPr>
        <w:t xml:space="preserve">a Resolución CREG 039 de 2017 </w:t>
      </w:r>
      <w:r>
        <w:rPr>
          <w:rFonts w:ascii="Bookman Old Style" w:hAnsi="Bookman Old Style" w:cs="Arial"/>
        </w:rPr>
        <w:t>se expide el Reglamento Interno de la Comisión</w:t>
      </w:r>
      <w:r w:rsidR="000E0D04">
        <w:rPr>
          <w:rFonts w:ascii="Bookman Old Style" w:hAnsi="Bookman Old Style" w:cs="Arial"/>
        </w:rPr>
        <w:t xml:space="preserve"> de Regulación de Energía y Gas</w:t>
      </w:r>
      <w:r>
        <w:rPr>
          <w:rFonts w:ascii="Bookman Old Style" w:hAnsi="Bookman Old Style" w:cs="Arial"/>
        </w:rPr>
        <w:t>.</w:t>
      </w:r>
    </w:p>
    <w:p w:rsidR="00AF56EE" w:rsidRDefault="00AF56EE" w:rsidP="00536791">
      <w:pPr>
        <w:ind w:left="0"/>
        <w:jc w:val="both"/>
        <w:rPr>
          <w:rFonts w:ascii="Bookman Old Style" w:hAnsi="Bookman Old Style" w:cs="Arial"/>
        </w:rPr>
      </w:pPr>
    </w:p>
    <w:p w:rsidR="00536791" w:rsidRDefault="00536791" w:rsidP="00536791">
      <w:pPr>
        <w:ind w:left="0"/>
        <w:jc w:val="both"/>
        <w:rPr>
          <w:rFonts w:cs="Arial"/>
        </w:rPr>
      </w:pPr>
      <w:r>
        <w:rPr>
          <w:rFonts w:ascii="Bookman Old Style" w:hAnsi="Bookman Old Style" w:cs="Arial"/>
        </w:rPr>
        <w:t>La Comisión de Regulación de Energía y Gas</w:t>
      </w:r>
      <w:r w:rsidR="001E4095">
        <w:rPr>
          <w:rFonts w:ascii="Bookman Old Style" w:hAnsi="Bookman Old Style" w:cs="Arial"/>
        </w:rPr>
        <w:t>,</w:t>
      </w:r>
      <w:r>
        <w:rPr>
          <w:rFonts w:ascii="Bookman Old Style" w:hAnsi="Bookman Old Style" w:cs="Arial"/>
        </w:rPr>
        <w:t xml:space="preserve"> </w:t>
      </w:r>
      <w:r>
        <w:rPr>
          <w:rFonts w:ascii="Bookman Old Style" w:hAnsi="Bookman Old Style"/>
          <w:bCs/>
          <w:szCs w:val="22"/>
        </w:rPr>
        <w:t xml:space="preserve">en su sesión </w:t>
      </w:r>
      <w:r w:rsidR="001E4095">
        <w:rPr>
          <w:rFonts w:ascii="Bookman Old Style" w:hAnsi="Bookman Old Style"/>
          <w:bCs/>
          <w:szCs w:val="22"/>
        </w:rPr>
        <w:t xml:space="preserve">793 </w:t>
      </w:r>
      <w:r w:rsidRPr="009219D0">
        <w:rPr>
          <w:rFonts w:ascii="Bookman Old Style" w:hAnsi="Bookman Old Style"/>
          <w:bCs/>
          <w:szCs w:val="22"/>
        </w:rPr>
        <w:t>de</w:t>
      </w:r>
      <w:r w:rsidR="001E4095">
        <w:rPr>
          <w:rFonts w:ascii="Bookman Old Style" w:hAnsi="Bookman Old Style"/>
          <w:bCs/>
          <w:szCs w:val="22"/>
        </w:rPr>
        <w:t xml:space="preserve">l 8 de agosto </w:t>
      </w:r>
      <w:r w:rsidRPr="009219D0">
        <w:rPr>
          <w:rFonts w:ascii="Bookman Old Style" w:hAnsi="Bookman Old Style"/>
          <w:bCs/>
          <w:szCs w:val="22"/>
        </w:rPr>
        <w:t>de 201</w:t>
      </w:r>
      <w:r w:rsidR="005978E4">
        <w:rPr>
          <w:rFonts w:ascii="Bookman Old Style" w:hAnsi="Bookman Old Style"/>
          <w:bCs/>
          <w:szCs w:val="22"/>
        </w:rPr>
        <w:t>7</w:t>
      </w:r>
      <w:r>
        <w:rPr>
          <w:rFonts w:ascii="Bookman Old Style" w:hAnsi="Bookman Old Style" w:cs="Arial"/>
        </w:rPr>
        <w:t>, aprobó hacer público el proyecto de resolución</w:t>
      </w:r>
      <w:r w:rsidR="005978E4">
        <w:rPr>
          <w:rFonts w:ascii="Bookman Old Style" w:hAnsi="Bookman Old Style" w:cs="Arial"/>
        </w:rPr>
        <w:t xml:space="preserve"> </w:t>
      </w:r>
      <w:r w:rsidR="005978E4" w:rsidRPr="005D4B05">
        <w:rPr>
          <w:rFonts w:ascii="Bookman Old Style" w:hAnsi="Bookman Old Style"/>
          <w:i/>
        </w:rPr>
        <w:t xml:space="preserve">Por la cual se </w:t>
      </w:r>
      <w:r w:rsidR="005978E4">
        <w:rPr>
          <w:rFonts w:ascii="Bookman Old Style" w:hAnsi="Bookman Old Style"/>
          <w:i/>
        </w:rPr>
        <w:t xml:space="preserve">da un nuevo plazo para la aplicación del numeral 3 del artículo 4 de la Resolución CREG 243 de 2016, que </w:t>
      </w:r>
      <w:r w:rsidR="005978E4" w:rsidRPr="005D4B05">
        <w:rPr>
          <w:rFonts w:ascii="Bookman Old Style" w:hAnsi="Bookman Old Style"/>
          <w:i/>
        </w:rPr>
        <w:t xml:space="preserve">define la </w:t>
      </w:r>
      <w:r w:rsidR="005978E4">
        <w:rPr>
          <w:rFonts w:ascii="Bookman Old Style" w:hAnsi="Bookman Old Style"/>
          <w:i/>
        </w:rPr>
        <w:t>ENFICC</w:t>
      </w:r>
      <w:r w:rsidR="005978E4" w:rsidRPr="005D4B05">
        <w:rPr>
          <w:rFonts w:ascii="Bookman Old Style" w:hAnsi="Bookman Old Style"/>
          <w:i/>
        </w:rPr>
        <w:t xml:space="preserve"> de plantas </w:t>
      </w:r>
      <w:r w:rsidR="005978E4">
        <w:rPr>
          <w:rFonts w:ascii="Bookman Old Style" w:hAnsi="Bookman Old Style"/>
          <w:i/>
        </w:rPr>
        <w:t>solares fotovoltaicas</w:t>
      </w:r>
      <w:r>
        <w:rPr>
          <w:rFonts w:ascii="Bookman Old Style" w:hAnsi="Bookman Old Style" w:cs="Arial"/>
          <w:szCs w:val="20"/>
        </w:rPr>
        <w:t>.</w:t>
      </w:r>
    </w:p>
    <w:p w:rsidR="00536791" w:rsidRDefault="00536791" w:rsidP="00536791">
      <w:pPr>
        <w:ind w:left="0"/>
        <w:jc w:val="both"/>
        <w:rPr>
          <w:rFonts w:cs="Arial"/>
        </w:rPr>
      </w:pPr>
    </w:p>
    <w:p w:rsidR="000E0D04" w:rsidRDefault="000E0D04" w:rsidP="00536791">
      <w:pPr>
        <w:ind w:left="0"/>
        <w:jc w:val="both"/>
        <w:rPr>
          <w:rFonts w:cs="Arial"/>
        </w:rPr>
      </w:pPr>
    </w:p>
    <w:p w:rsidR="000E0D04" w:rsidRDefault="000E0D04" w:rsidP="00536791">
      <w:pPr>
        <w:ind w:left="0"/>
        <w:jc w:val="both"/>
        <w:rPr>
          <w:rFonts w:cs="Arial"/>
        </w:rPr>
      </w:pPr>
    </w:p>
    <w:p w:rsidR="00536791" w:rsidRDefault="00536791" w:rsidP="00536791">
      <w:pPr>
        <w:spacing w:after="240"/>
        <w:ind w:left="0"/>
        <w:jc w:val="center"/>
        <w:outlineLvl w:val="0"/>
        <w:rPr>
          <w:rFonts w:ascii="Bookman Old Style" w:hAnsi="Bookman Old Style" w:cs="Arial"/>
          <w:b/>
          <w:bCs/>
          <w:color w:val="000000"/>
          <w:szCs w:val="27"/>
          <w:lang w:val="es-CO"/>
        </w:rPr>
      </w:pPr>
    </w:p>
    <w:p w:rsidR="008F2D4B" w:rsidRDefault="008F2D4B" w:rsidP="008F2D4B">
      <w:pPr>
        <w:ind w:left="0"/>
        <w:jc w:val="center"/>
        <w:outlineLvl w:val="0"/>
        <w:rPr>
          <w:rFonts w:ascii="Bookman Old Style" w:hAnsi="Bookman Old Style" w:cs="Arial"/>
          <w:b/>
          <w:bCs/>
          <w:color w:val="000000"/>
          <w:szCs w:val="27"/>
        </w:rPr>
      </w:pPr>
    </w:p>
    <w:p w:rsidR="00536791" w:rsidRDefault="00536791" w:rsidP="00536791">
      <w:pPr>
        <w:spacing w:after="240"/>
        <w:ind w:left="0"/>
        <w:jc w:val="center"/>
        <w:outlineLvl w:val="0"/>
        <w:rPr>
          <w:rFonts w:ascii="Bookman Old Style" w:hAnsi="Bookman Old Style" w:cs="Arial"/>
          <w:b/>
          <w:bCs/>
          <w:color w:val="000000"/>
          <w:szCs w:val="27"/>
        </w:rPr>
      </w:pPr>
      <w:r>
        <w:rPr>
          <w:rFonts w:ascii="Bookman Old Style" w:hAnsi="Bookman Old Style" w:cs="Arial"/>
          <w:b/>
          <w:bCs/>
          <w:color w:val="000000"/>
          <w:szCs w:val="27"/>
        </w:rPr>
        <w:t>R E S U E L V E:</w:t>
      </w:r>
    </w:p>
    <w:p w:rsidR="00536791" w:rsidRDefault="00536791" w:rsidP="00536791">
      <w:pPr>
        <w:ind w:left="0"/>
        <w:jc w:val="both"/>
        <w:rPr>
          <w:rFonts w:ascii="Bookman Old Style" w:hAnsi="Bookman Old Style" w:cs="Arial"/>
          <w:b/>
          <w:bCs/>
          <w:szCs w:val="27"/>
        </w:rPr>
      </w:pPr>
    </w:p>
    <w:p w:rsidR="00536791" w:rsidRDefault="00536791" w:rsidP="00536791">
      <w:pPr>
        <w:ind w:left="0"/>
        <w:jc w:val="both"/>
        <w:rPr>
          <w:rFonts w:cs="Arial"/>
        </w:rPr>
      </w:pPr>
      <w:r>
        <w:rPr>
          <w:rFonts w:ascii="Bookman Old Style" w:hAnsi="Bookman Old Style" w:cs="Arial"/>
          <w:b/>
          <w:bCs/>
          <w:szCs w:val="27"/>
        </w:rPr>
        <w:t>ARTÍCULO 1.</w:t>
      </w:r>
      <w:r>
        <w:rPr>
          <w:rFonts w:ascii="Bookman Old Style" w:hAnsi="Bookman Old Style" w:cs="Arial"/>
          <w:szCs w:val="27"/>
        </w:rPr>
        <w:t xml:space="preserve"> Hágase público el proyecto de resolución</w:t>
      </w:r>
      <w:r w:rsidR="00812BC8">
        <w:rPr>
          <w:rFonts w:ascii="Bookman Old Style" w:hAnsi="Bookman Old Style" w:cs="Arial"/>
          <w:szCs w:val="27"/>
        </w:rPr>
        <w:t xml:space="preserve"> </w:t>
      </w:r>
      <w:r w:rsidR="005978E4" w:rsidRPr="005D4B05">
        <w:rPr>
          <w:rFonts w:ascii="Bookman Old Style" w:hAnsi="Bookman Old Style"/>
          <w:i/>
        </w:rPr>
        <w:t xml:space="preserve">Por la cual se </w:t>
      </w:r>
      <w:r w:rsidR="005978E4">
        <w:rPr>
          <w:rFonts w:ascii="Bookman Old Style" w:hAnsi="Bookman Old Style"/>
          <w:i/>
        </w:rPr>
        <w:t xml:space="preserve">da un nuevo plazo para la aplicación del numeral 3 del artículo 4 de la Resolución CREG 243 de 2016, que </w:t>
      </w:r>
      <w:r w:rsidR="005978E4" w:rsidRPr="005D4B05">
        <w:rPr>
          <w:rFonts w:ascii="Bookman Old Style" w:hAnsi="Bookman Old Style"/>
          <w:i/>
        </w:rPr>
        <w:t xml:space="preserve">define la </w:t>
      </w:r>
      <w:r w:rsidR="005978E4">
        <w:rPr>
          <w:rFonts w:ascii="Bookman Old Style" w:hAnsi="Bookman Old Style"/>
          <w:i/>
        </w:rPr>
        <w:t>ENFICC</w:t>
      </w:r>
      <w:r w:rsidR="005978E4" w:rsidRPr="005D4B05">
        <w:rPr>
          <w:rFonts w:ascii="Bookman Old Style" w:hAnsi="Bookman Old Style"/>
          <w:i/>
        </w:rPr>
        <w:t xml:space="preserve"> de plantas </w:t>
      </w:r>
      <w:r w:rsidR="005978E4">
        <w:rPr>
          <w:rFonts w:ascii="Bookman Old Style" w:hAnsi="Bookman Old Style"/>
          <w:i/>
        </w:rPr>
        <w:t>solares fotovoltaicas</w:t>
      </w:r>
    </w:p>
    <w:p w:rsidR="00536791" w:rsidRDefault="00536791" w:rsidP="00536791">
      <w:pPr>
        <w:pStyle w:val="Textodebloque"/>
        <w:tabs>
          <w:tab w:val="left" w:pos="8789"/>
        </w:tabs>
        <w:ind w:left="0" w:right="51"/>
        <w:rPr>
          <w:rFonts w:cs="Arial"/>
          <w:lang w:val="es-ES"/>
        </w:rPr>
      </w:pPr>
    </w:p>
    <w:p w:rsidR="00536791" w:rsidRDefault="00536791" w:rsidP="00536791">
      <w:pPr>
        <w:spacing w:after="240"/>
        <w:ind w:left="0"/>
        <w:jc w:val="both"/>
        <w:rPr>
          <w:rFonts w:ascii="Bookman Old Style" w:hAnsi="Bookman Old Style" w:cs="Arial"/>
          <w:color w:val="000000"/>
          <w:szCs w:val="27"/>
        </w:rPr>
      </w:pPr>
      <w:r>
        <w:rPr>
          <w:rFonts w:ascii="Bookman Old Style" w:hAnsi="Bookman Old Style" w:cs="Arial"/>
          <w:b/>
          <w:bCs/>
          <w:color w:val="000000"/>
          <w:szCs w:val="27"/>
        </w:rPr>
        <w:t>ARTÍCULO 2</w:t>
      </w:r>
      <w:r>
        <w:rPr>
          <w:rFonts w:ascii="Bookman Old Style" w:hAnsi="Bookman Old Style" w:cs="Arial"/>
          <w:color w:val="000000"/>
          <w:szCs w:val="27"/>
        </w:rPr>
        <w:t xml:space="preserve">. Se invita a los agentes, a los usuarios, </w:t>
      </w:r>
      <w:r>
        <w:rPr>
          <w:rFonts w:ascii="Bookman Old Style" w:hAnsi="Bookman Old Style" w:cs="Arial"/>
        </w:rPr>
        <w:t>a las Autoridades Locales Municipales y Departamentales competentes</w:t>
      </w:r>
      <w:r>
        <w:rPr>
          <w:rFonts w:ascii="Bookman Old Style" w:hAnsi="Bookman Old Style" w:cs="Arial"/>
          <w:color w:val="000000"/>
          <w:szCs w:val="27"/>
        </w:rPr>
        <w:t xml:space="preserve"> y a la Superintendencia de Servicios Públicos Domiciliarios, para que remitan sus observaciones o sugerencias sobre la propuesta, dentro de </w:t>
      </w:r>
      <w:r w:rsidR="005F7BB4">
        <w:rPr>
          <w:rFonts w:ascii="Bookman Old Style" w:hAnsi="Bookman Old Style" w:cs="Arial"/>
          <w:color w:val="000000"/>
          <w:szCs w:val="27"/>
        </w:rPr>
        <w:t>los diez</w:t>
      </w:r>
      <w:r w:rsidRPr="0044171A">
        <w:rPr>
          <w:rFonts w:ascii="Bookman Old Style" w:hAnsi="Bookman Old Style" w:cs="Arial"/>
          <w:color w:val="000000"/>
          <w:szCs w:val="27"/>
        </w:rPr>
        <w:t xml:space="preserve"> </w:t>
      </w:r>
      <w:r w:rsidR="009B2305">
        <w:rPr>
          <w:rFonts w:ascii="Bookman Old Style" w:hAnsi="Bookman Old Style" w:cs="Arial"/>
          <w:color w:val="000000"/>
          <w:szCs w:val="27"/>
        </w:rPr>
        <w:t>(1</w:t>
      </w:r>
      <w:r w:rsidR="005F7BB4">
        <w:rPr>
          <w:rFonts w:ascii="Bookman Old Style" w:hAnsi="Bookman Old Style" w:cs="Arial"/>
          <w:color w:val="000000"/>
          <w:szCs w:val="27"/>
        </w:rPr>
        <w:t>0</w:t>
      </w:r>
      <w:r w:rsidR="009B2305">
        <w:rPr>
          <w:rFonts w:ascii="Bookman Old Style" w:hAnsi="Bookman Old Style" w:cs="Arial"/>
          <w:color w:val="000000"/>
          <w:szCs w:val="27"/>
        </w:rPr>
        <w:t xml:space="preserve">) </w:t>
      </w:r>
      <w:r w:rsidRPr="0044171A">
        <w:rPr>
          <w:rFonts w:ascii="Bookman Old Style" w:hAnsi="Bookman Old Style" w:cs="Arial"/>
          <w:color w:val="000000"/>
          <w:szCs w:val="27"/>
        </w:rPr>
        <w:t>día</w:t>
      </w:r>
      <w:r w:rsidR="005F7BB4">
        <w:rPr>
          <w:rFonts w:ascii="Bookman Old Style" w:hAnsi="Bookman Old Style" w:cs="Arial"/>
          <w:color w:val="000000"/>
          <w:szCs w:val="27"/>
        </w:rPr>
        <w:t>s</w:t>
      </w:r>
      <w:r>
        <w:rPr>
          <w:rFonts w:ascii="Bookman Old Style" w:hAnsi="Bookman Old Style" w:cs="Arial"/>
          <w:color w:val="000000"/>
          <w:szCs w:val="27"/>
        </w:rPr>
        <w:t xml:space="preserve"> </w:t>
      </w:r>
      <w:r w:rsidR="005F7BB4">
        <w:rPr>
          <w:rFonts w:ascii="Bookman Old Style" w:hAnsi="Bookman Old Style" w:cs="Arial"/>
          <w:color w:val="000000"/>
          <w:szCs w:val="27"/>
        </w:rPr>
        <w:t>calendario</w:t>
      </w:r>
      <w:r>
        <w:rPr>
          <w:rFonts w:ascii="Bookman Old Style" w:hAnsi="Bookman Old Style" w:cs="Arial"/>
          <w:color w:val="000000"/>
          <w:szCs w:val="27"/>
        </w:rPr>
        <w:t xml:space="preserve"> siguiente</w:t>
      </w:r>
      <w:r w:rsidR="005F7BB4">
        <w:rPr>
          <w:rFonts w:ascii="Bookman Old Style" w:hAnsi="Bookman Old Style" w:cs="Arial"/>
          <w:color w:val="000000"/>
          <w:szCs w:val="27"/>
        </w:rPr>
        <w:t>s</w:t>
      </w:r>
      <w:r>
        <w:rPr>
          <w:rFonts w:ascii="Bookman Old Style" w:hAnsi="Bookman Old Style" w:cs="Arial"/>
          <w:color w:val="000000"/>
          <w:szCs w:val="27"/>
        </w:rPr>
        <w:t xml:space="preserve"> a la publicación de la presente Resolución en la página Web de la Comisión de Regulación de Energía y Gas.</w:t>
      </w:r>
    </w:p>
    <w:p w:rsidR="00536791" w:rsidRDefault="00536791" w:rsidP="00536791">
      <w:pPr>
        <w:ind w:left="0"/>
        <w:jc w:val="both"/>
        <w:rPr>
          <w:rFonts w:ascii="Bookman Old Style" w:hAnsi="Bookman Old Style" w:cs="Arial"/>
          <w:color w:val="000000"/>
          <w:szCs w:val="27"/>
        </w:rPr>
      </w:pPr>
    </w:p>
    <w:p w:rsidR="00536791" w:rsidRDefault="00536791" w:rsidP="00536791">
      <w:pPr>
        <w:ind w:left="0"/>
        <w:jc w:val="both"/>
        <w:rPr>
          <w:rFonts w:ascii="Bookman Old Style" w:hAnsi="Bookman Old Style" w:cs="Arial"/>
          <w:color w:val="000000"/>
          <w:szCs w:val="27"/>
        </w:rPr>
      </w:pPr>
      <w:r>
        <w:rPr>
          <w:rFonts w:ascii="Bookman Old Style" w:hAnsi="Bookman Old Style" w:cs="Arial"/>
          <w:b/>
          <w:bCs/>
          <w:color w:val="000000"/>
          <w:szCs w:val="27"/>
        </w:rPr>
        <w:t>ARTÍCULO 3</w:t>
      </w:r>
      <w:r w:rsidR="00E837BC">
        <w:rPr>
          <w:rFonts w:ascii="Bookman Old Style" w:hAnsi="Bookman Old Style" w:cs="Arial"/>
          <w:color w:val="000000"/>
          <w:szCs w:val="27"/>
        </w:rPr>
        <w:t xml:space="preserve">. </w:t>
      </w:r>
      <w:r w:rsidR="00E837BC" w:rsidRPr="00B037CE">
        <w:rPr>
          <w:rFonts w:ascii="Bookman Old Style" w:hAnsi="Bookman Old Style" w:cs="Arial"/>
          <w:color w:val="000000" w:themeColor="text1"/>
        </w:rPr>
        <w:t>Las observaciones y sugerencias sobre el proyecto deberán dirigirse a</w:t>
      </w:r>
      <w:r w:rsidR="00E837BC">
        <w:rPr>
          <w:rFonts w:ascii="Bookman Old Style" w:hAnsi="Bookman Old Style" w:cs="Arial"/>
          <w:color w:val="000000" w:themeColor="text1"/>
        </w:rPr>
        <w:t>l</w:t>
      </w:r>
      <w:r w:rsidR="00E837BC" w:rsidRPr="00B037CE">
        <w:rPr>
          <w:rFonts w:ascii="Bookman Old Style" w:hAnsi="Bookman Old Style" w:cs="Arial"/>
          <w:color w:val="000000" w:themeColor="text1"/>
        </w:rPr>
        <w:t xml:space="preserve"> Director Ejecutivo de la Com</w:t>
      </w:r>
      <w:r w:rsidR="00E837BC">
        <w:rPr>
          <w:rFonts w:ascii="Bookman Old Style" w:hAnsi="Bookman Old Style" w:cs="Arial"/>
          <w:color w:val="000000" w:themeColor="text1"/>
        </w:rPr>
        <w:t xml:space="preserve">isión, </w:t>
      </w:r>
      <w:r w:rsidR="00E837BC" w:rsidRPr="00B037CE">
        <w:rPr>
          <w:rFonts w:ascii="Bookman Old Style" w:hAnsi="Bookman Old Style" w:cs="Arial"/>
          <w:color w:val="000000" w:themeColor="text1"/>
        </w:rPr>
        <w:t>al correo electrónico creg@creg.gov.co.</w:t>
      </w:r>
    </w:p>
    <w:p w:rsidR="00536791" w:rsidRDefault="00536791" w:rsidP="00536791">
      <w:pPr>
        <w:ind w:left="0"/>
        <w:jc w:val="both"/>
        <w:rPr>
          <w:rFonts w:ascii="Bookman Old Style" w:hAnsi="Bookman Old Style" w:cs="Arial"/>
          <w:color w:val="000000"/>
          <w:szCs w:val="27"/>
        </w:rPr>
      </w:pPr>
    </w:p>
    <w:p w:rsidR="00536791" w:rsidRDefault="00536791" w:rsidP="00536791">
      <w:pPr>
        <w:ind w:left="0"/>
        <w:jc w:val="both"/>
        <w:rPr>
          <w:rFonts w:ascii="Bookman Old Style" w:hAnsi="Bookman Old Style" w:cs="Arial"/>
          <w:color w:val="000000"/>
          <w:szCs w:val="27"/>
        </w:rPr>
      </w:pPr>
    </w:p>
    <w:p w:rsidR="00536791" w:rsidRDefault="00536791" w:rsidP="00536791">
      <w:pPr>
        <w:ind w:left="0"/>
        <w:jc w:val="both"/>
        <w:rPr>
          <w:rFonts w:ascii="Bookman Old Style" w:hAnsi="Bookman Old Style" w:cs="Arial"/>
          <w:color w:val="000000"/>
          <w:szCs w:val="27"/>
        </w:rPr>
      </w:pPr>
      <w:r>
        <w:rPr>
          <w:rFonts w:ascii="Bookman Old Style" w:hAnsi="Bookman Old Style" w:cs="Arial"/>
          <w:b/>
          <w:bCs/>
          <w:color w:val="000000"/>
          <w:szCs w:val="27"/>
        </w:rPr>
        <w:t>ARTÍCULO 4</w:t>
      </w:r>
      <w:r>
        <w:rPr>
          <w:rFonts w:ascii="Bookman Old Style" w:hAnsi="Bookman Old Style" w:cs="Arial"/>
          <w:color w:val="000000"/>
          <w:szCs w:val="27"/>
        </w:rPr>
        <w:t>. La presente Resolución no deroga ni modifica disposiciones vigentes por tratarse de un acto de trámite.</w:t>
      </w:r>
    </w:p>
    <w:p w:rsidR="00536791" w:rsidRDefault="00536791" w:rsidP="00536791">
      <w:pPr>
        <w:ind w:left="0"/>
        <w:jc w:val="both"/>
        <w:rPr>
          <w:rFonts w:ascii="Bookman Old Style" w:hAnsi="Bookman Old Style" w:cs="Arial"/>
        </w:rPr>
      </w:pPr>
    </w:p>
    <w:p w:rsidR="00536791" w:rsidRDefault="00536791" w:rsidP="00536791">
      <w:pPr>
        <w:ind w:left="0"/>
        <w:jc w:val="both"/>
        <w:rPr>
          <w:rFonts w:ascii="Bookman Old Style" w:hAnsi="Bookman Old Style" w:cs="Arial"/>
        </w:rPr>
      </w:pPr>
    </w:p>
    <w:p w:rsidR="00536791" w:rsidRDefault="00536791" w:rsidP="00536791">
      <w:pPr>
        <w:ind w:left="0"/>
        <w:jc w:val="center"/>
        <w:outlineLvl w:val="0"/>
        <w:rPr>
          <w:rFonts w:ascii="Bookman Old Style" w:hAnsi="Bookman Old Style" w:cs="Arial"/>
          <w:b/>
          <w:bCs/>
          <w:color w:val="000000"/>
          <w:szCs w:val="27"/>
        </w:rPr>
      </w:pPr>
      <w:r>
        <w:rPr>
          <w:rFonts w:ascii="Bookman Old Style" w:hAnsi="Bookman Old Style" w:cs="Arial"/>
          <w:b/>
          <w:bCs/>
          <w:color w:val="000000"/>
          <w:szCs w:val="27"/>
        </w:rPr>
        <w:t>PUBLÍQUESE Y CÚMPLASE</w:t>
      </w:r>
    </w:p>
    <w:p w:rsidR="00536791" w:rsidRDefault="00536791" w:rsidP="00536791">
      <w:pPr>
        <w:spacing w:after="240"/>
        <w:ind w:left="0"/>
        <w:jc w:val="both"/>
        <w:rPr>
          <w:rFonts w:ascii="Bookman Old Style" w:hAnsi="Bookman Old Style" w:cs="Arial"/>
          <w:color w:val="000000"/>
          <w:szCs w:val="27"/>
        </w:rPr>
      </w:pPr>
    </w:p>
    <w:p w:rsidR="00536791" w:rsidRDefault="00536791" w:rsidP="00536791">
      <w:pPr>
        <w:spacing w:after="240"/>
        <w:ind w:left="0"/>
        <w:jc w:val="both"/>
        <w:outlineLvl w:val="0"/>
        <w:rPr>
          <w:rFonts w:ascii="Bookman Old Style" w:hAnsi="Bookman Old Style" w:cs="Arial"/>
          <w:color w:val="000000"/>
          <w:szCs w:val="27"/>
        </w:rPr>
      </w:pPr>
      <w:r>
        <w:rPr>
          <w:rFonts w:ascii="Bookman Old Style" w:hAnsi="Bookman Old Style" w:cs="Arial"/>
          <w:color w:val="000000"/>
          <w:szCs w:val="27"/>
        </w:rPr>
        <w:t xml:space="preserve">Dada en Bogotá, D.C., </w:t>
      </w:r>
      <w:r w:rsidR="009219D0">
        <w:rPr>
          <w:rFonts w:ascii="Bookman Old Style" w:hAnsi="Bookman Old Style" w:cs="Arial"/>
          <w:color w:val="000000"/>
          <w:szCs w:val="27"/>
        </w:rPr>
        <w:t>a</w:t>
      </w:r>
    </w:p>
    <w:p w:rsidR="00536791" w:rsidRDefault="00536791" w:rsidP="00536791">
      <w:pPr>
        <w:spacing w:after="240"/>
        <w:ind w:left="0"/>
        <w:jc w:val="both"/>
        <w:rPr>
          <w:rFonts w:ascii="Bookman Old Style" w:hAnsi="Bookman Old Style" w:cs="Arial"/>
          <w:color w:val="000000"/>
          <w:szCs w:val="27"/>
        </w:rPr>
      </w:pPr>
    </w:p>
    <w:p w:rsidR="00023205" w:rsidRDefault="00023205" w:rsidP="00023205">
      <w:pPr>
        <w:ind w:left="0"/>
        <w:contextualSpacing/>
        <w:jc w:val="both"/>
        <w:rPr>
          <w:rFonts w:ascii="Bookman Old Style" w:hAnsi="Bookman Old Style" w:cs="Arial"/>
          <w:color w:val="000000"/>
          <w:szCs w:val="27"/>
        </w:rPr>
      </w:pPr>
    </w:p>
    <w:p w:rsidR="00023205" w:rsidRPr="00517096" w:rsidRDefault="00023205" w:rsidP="00023205">
      <w:pPr>
        <w:ind w:left="0"/>
        <w:contextualSpacing/>
        <w:jc w:val="both"/>
        <w:rPr>
          <w:rFonts w:ascii="Bookman Old Style" w:hAnsi="Bookman Old Style" w:cs="Arial"/>
          <w:color w:val="000000"/>
          <w:szCs w:val="27"/>
        </w:rPr>
      </w:pPr>
    </w:p>
    <w:tbl>
      <w:tblPr>
        <w:tblW w:w="9529" w:type="dxa"/>
        <w:jc w:val="center"/>
        <w:tblCellSpacing w:w="0" w:type="dxa"/>
        <w:tblCellMar>
          <w:left w:w="0" w:type="dxa"/>
          <w:right w:w="0" w:type="dxa"/>
        </w:tblCellMar>
        <w:tblLook w:val="04A0" w:firstRow="1" w:lastRow="0" w:firstColumn="1" w:lastColumn="0" w:noHBand="0" w:noVBand="1"/>
      </w:tblPr>
      <w:tblGrid>
        <w:gridCol w:w="4962"/>
        <w:gridCol w:w="4567"/>
      </w:tblGrid>
      <w:tr w:rsidR="00023205" w:rsidRPr="00517096" w:rsidTr="005362E7">
        <w:trPr>
          <w:tblCellSpacing w:w="0" w:type="dxa"/>
          <w:jc w:val="center"/>
        </w:trPr>
        <w:tc>
          <w:tcPr>
            <w:tcW w:w="4962" w:type="dxa"/>
            <w:hideMark/>
          </w:tcPr>
          <w:p w:rsidR="00023205" w:rsidRPr="00517096" w:rsidRDefault="00252CDA" w:rsidP="00252CDA">
            <w:pPr>
              <w:ind w:left="-6"/>
              <w:contextualSpacing/>
              <w:jc w:val="center"/>
              <w:rPr>
                <w:rFonts w:ascii="Bookman Old Style" w:eastAsia="Arial Unicode MS" w:hAnsi="Bookman Old Style"/>
                <w:b/>
                <w:bCs/>
                <w:color w:val="000000"/>
              </w:rPr>
            </w:pPr>
            <w:r>
              <w:rPr>
                <w:rFonts w:ascii="Bookman Old Style" w:hAnsi="Bookman Old Style"/>
                <w:b/>
                <w:bCs/>
              </w:rPr>
              <w:t>RUTTY PAOLA ORTIZ JARA</w:t>
            </w:r>
          </w:p>
        </w:tc>
        <w:tc>
          <w:tcPr>
            <w:tcW w:w="4567" w:type="dxa"/>
            <w:hideMark/>
          </w:tcPr>
          <w:p w:rsidR="00023205" w:rsidRPr="00517096" w:rsidRDefault="005978E4" w:rsidP="001A4547">
            <w:pPr>
              <w:ind w:left="0" w:right="-26"/>
              <w:contextualSpacing/>
              <w:jc w:val="center"/>
              <w:rPr>
                <w:rFonts w:ascii="Bookman Old Style" w:eastAsia="Arial Unicode MS" w:hAnsi="Bookman Old Style"/>
                <w:b/>
                <w:bCs/>
              </w:rPr>
            </w:pPr>
            <w:r>
              <w:rPr>
                <w:rFonts w:ascii="Bookman Old Style" w:hAnsi="Bookman Old Style" w:cs="Arial"/>
                <w:b/>
                <w:spacing w:val="-3"/>
                <w:szCs w:val="20"/>
              </w:rPr>
              <w:t>GERMÁN CASTRO FERREIRA</w:t>
            </w:r>
          </w:p>
        </w:tc>
      </w:tr>
      <w:tr w:rsidR="00023205" w:rsidRPr="00517096" w:rsidTr="005362E7">
        <w:trPr>
          <w:tblCellSpacing w:w="0" w:type="dxa"/>
          <w:jc w:val="center"/>
        </w:trPr>
        <w:tc>
          <w:tcPr>
            <w:tcW w:w="4962" w:type="dxa"/>
            <w:hideMark/>
          </w:tcPr>
          <w:p w:rsidR="005362E7" w:rsidRDefault="00252CDA" w:rsidP="005362E7">
            <w:pPr>
              <w:ind w:left="-26"/>
              <w:contextualSpacing/>
              <w:jc w:val="center"/>
              <w:rPr>
                <w:rFonts w:ascii="Bookman Old Style" w:hAnsi="Bookman Old Style" w:cs="Arial"/>
                <w:szCs w:val="27"/>
              </w:rPr>
            </w:pPr>
            <w:r>
              <w:rPr>
                <w:rFonts w:ascii="Bookman Old Style" w:hAnsi="Bookman Old Style" w:cs="Arial"/>
                <w:szCs w:val="27"/>
              </w:rPr>
              <w:t>Viceministra de Energía</w:t>
            </w:r>
          </w:p>
          <w:p w:rsidR="00023205" w:rsidRPr="00517096" w:rsidRDefault="005362E7" w:rsidP="005362E7">
            <w:pPr>
              <w:ind w:left="-26"/>
              <w:contextualSpacing/>
              <w:jc w:val="center"/>
              <w:rPr>
                <w:rFonts w:ascii="Bookman Old Style" w:eastAsia="Arial Unicode MS" w:hAnsi="Bookman Old Style" w:cs="Arial"/>
                <w:color w:val="000000"/>
              </w:rPr>
            </w:pPr>
            <w:r>
              <w:rPr>
                <w:rFonts w:ascii="Bookman Old Style" w:hAnsi="Bookman Old Style" w:cs="Arial"/>
                <w:szCs w:val="27"/>
              </w:rPr>
              <w:t>D</w:t>
            </w:r>
            <w:r w:rsidR="00252CDA">
              <w:rPr>
                <w:rFonts w:ascii="Bookman Old Style" w:hAnsi="Bookman Old Style" w:cs="Arial"/>
                <w:szCs w:val="27"/>
              </w:rPr>
              <w:t xml:space="preserve">elegada del </w:t>
            </w:r>
            <w:r w:rsidR="00023205">
              <w:rPr>
                <w:rFonts w:ascii="Bookman Old Style" w:hAnsi="Bookman Old Style" w:cs="Arial"/>
                <w:szCs w:val="27"/>
              </w:rPr>
              <w:t>Ministro de Minas y Energía</w:t>
            </w:r>
          </w:p>
        </w:tc>
        <w:tc>
          <w:tcPr>
            <w:tcW w:w="4567" w:type="dxa"/>
            <w:hideMark/>
          </w:tcPr>
          <w:p w:rsidR="00023205" w:rsidRPr="00517096" w:rsidRDefault="00023205" w:rsidP="001A4547">
            <w:pPr>
              <w:ind w:left="0"/>
              <w:contextualSpacing/>
              <w:jc w:val="center"/>
              <w:rPr>
                <w:rFonts w:ascii="Bookman Old Style" w:eastAsia="Arial Unicode MS" w:hAnsi="Bookman Old Style" w:cs="Arial"/>
                <w:color w:val="000000"/>
              </w:rPr>
            </w:pPr>
            <w:r w:rsidRPr="00517096">
              <w:rPr>
                <w:rFonts w:ascii="Bookman Old Style" w:hAnsi="Bookman Old Style" w:cs="Arial"/>
                <w:szCs w:val="27"/>
              </w:rPr>
              <w:t>Director Ejecutivo</w:t>
            </w:r>
          </w:p>
        </w:tc>
      </w:tr>
      <w:tr w:rsidR="00023205" w:rsidRPr="00517096" w:rsidTr="005362E7">
        <w:trPr>
          <w:tblCellSpacing w:w="0" w:type="dxa"/>
          <w:jc w:val="center"/>
        </w:trPr>
        <w:tc>
          <w:tcPr>
            <w:tcW w:w="4962" w:type="dxa"/>
            <w:hideMark/>
          </w:tcPr>
          <w:p w:rsidR="00023205" w:rsidRPr="00517096" w:rsidRDefault="00023205" w:rsidP="001A4547">
            <w:pPr>
              <w:ind w:left="-26"/>
              <w:contextualSpacing/>
              <w:jc w:val="center"/>
              <w:rPr>
                <w:rFonts w:ascii="Bookman Old Style" w:eastAsia="Arial Unicode MS" w:hAnsi="Bookman Old Style" w:cs="Arial"/>
                <w:color w:val="000000"/>
              </w:rPr>
            </w:pPr>
            <w:r w:rsidRPr="00517096">
              <w:rPr>
                <w:rFonts w:ascii="Bookman Old Style" w:hAnsi="Bookman Old Style" w:cs="Arial"/>
                <w:szCs w:val="27"/>
              </w:rPr>
              <w:t>Presidente</w:t>
            </w:r>
          </w:p>
        </w:tc>
        <w:tc>
          <w:tcPr>
            <w:tcW w:w="4567" w:type="dxa"/>
            <w:hideMark/>
          </w:tcPr>
          <w:p w:rsidR="00023205" w:rsidRPr="00517096" w:rsidRDefault="00023205" w:rsidP="001A4547">
            <w:pPr>
              <w:ind w:left="0"/>
              <w:contextualSpacing/>
              <w:jc w:val="center"/>
              <w:rPr>
                <w:rFonts w:ascii="Bookman Old Style" w:eastAsia="Arial Unicode MS" w:hAnsi="Bookman Old Style" w:cs="Arial"/>
                <w:color w:val="000000"/>
              </w:rPr>
            </w:pPr>
            <w:r w:rsidRPr="00517096">
              <w:rPr>
                <w:rFonts w:ascii="Bookman Old Style" w:hAnsi="Bookman Old Style" w:cs="Arial"/>
                <w:noProof/>
                <w:lang w:val="es-CO" w:eastAsia="es-CO"/>
              </w:rPr>
              <w:drawing>
                <wp:inline distT="0" distB="0" distL="0" distR="0" wp14:anchorId="6BAC85C7" wp14:editId="5495199B">
                  <wp:extent cx="9525" cy="9525"/>
                  <wp:effectExtent l="0" t="0" r="0" b="0"/>
                  <wp:docPr id="5" name="Imagen 5" descr="Descripción: 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cbla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23205" w:rsidRPr="00517096" w:rsidRDefault="00023205" w:rsidP="00023205">
      <w:pPr>
        <w:ind w:left="0"/>
        <w:contextualSpacing/>
        <w:rPr>
          <w:rFonts w:ascii="Bookman Old Style" w:hAnsi="Bookman Old Style"/>
          <w:bCs/>
          <w:lang w:val="es-CO"/>
        </w:rPr>
      </w:pPr>
    </w:p>
    <w:p w:rsidR="00B351B4" w:rsidRPr="00023205" w:rsidRDefault="00536791" w:rsidP="00012259">
      <w:pPr>
        <w:ind w:left="0"/>
        <w:rPr>
          <w:rFonts w:ascii="Bookman Old Style" w:hAnsi="Bookman Old Style"/>
          <w:b/>
        </w:rPr>
      </w:pPr>
      <w:r>
        <w:rPr>
          <w:rFonts w:ascii="Bookman Old Style" w:hAnsi="Bookman Old Style"/>
          <w:b/>
        </w:rPr>
        <w:br w:type="page"/>
      </w:r>
    </w:p>
    <w:p w:rsidR="009219D0" w:rsidRDefault="009219D0" w:rsidP="00536791">
      <w:pPr>
        <w:ind w:left="0"/>
        <w:jc w:val="center"/>
        <w:rPr>
          <w:rFonts w:ascii="Bookman Old Style" w:hAnsi="Bookman Old Style"/>
          <w:b/>
          <w:bCs/>
          <w:lang w:val="es-CO"/>
        </w:rPr>
      </w:pPr>
    </w:p>
    <w:p w:rsidR="00536791" w:rsidRDefault="00536791" w:rsidP="00536791">
      <w:pPr>
        <w:ind w:left="0"/>
        <w:jc w:val="center"/>
        <w:rPr>
          <w:rFonts w:ascii="Bookman Old Style" w:hAnsi="Bookman Old Style"/>
          <w:b/>
          <w:bCs/>
          <w:lang w:val="es-CO"/>
        </w:rPr>
      </w:pPr>
      <w:r w:rsidRPr="00536791">
        <w:rPr>
          <w:rFonts w:ascii="Bookman Old Style" w:hAnsi="Bookman Old Style"/>
          <w:b/>
          <w:bCs/>
          <w:lang w:val="es-CO"/>
        </w:rPr>
        <w:t>PROYECTO DE RESOLUCIÓN</w:t>
      </w:r>
    </w:p>
    <w:p w:rsidR="005362E7" w:rsidRDefault="005362E7" w:rsidP="00536791">
      <w:pPr>
        <w:ind w:left="0"/>
        <w:jc w:val="center"/>
        <w:rPr>
          <w:rFonts w:ascii="Bookman Old Style" w:hAnsi="Bookman Old Style"/>
          <w:b/>
          <w:bCs/>
          <w:lang w:val="es-CO"/>
        </w:rPr>
      </w:pPr>
    </w:p>
    <w:p w:rsidR="005362E7" w:rsidRPr="00536791" w:rsidRDefault="005362E7" w:rsidP="00536791">
      <w:pPr>
        <w:ind w:left="0"/>
        <w:jc w:val="center"/>
        <w:rPr>
          <w:rFonts w:ascii="Bookman Old Style" w:hAnsi="Bookman Old Style"/>
          <w:b/>
          <w:bCs/>
          <w:lang w:val="es-CO"/>
        </w:rPr>
      </w:pPr>
    </w:p>
    <w:p w:rsidR="00406B66" w:rsidRPr="005362E7" w:rsidRDefault="00406B66" w:rsidP="00406B66">
      <w:pPr>
        <w:ind w:left="0"/>
        <w:rPr>
          <w:rFonts w:ascii="Bookman Old Style" w:hAnsi="Bookman Old Style"/>
          <w:bCs/>
        </w:rPr>
      </w:pPr>
      <w:r w:rsidRPr="005362E7">
        <w:rPr>
          <w:rFonts w:ascii="Bookman Old Style" w:hAnsi="Bookman Old Style"/>
          <w:bCs/>
        </w:rPr>
        <w:t>Por la cual se da un nuevo plazo para la aplicación del numeral 3 del artículo 4 de la Resolución CREG 243 de 2016, que define la ENFICC de plantas solares fotovoltaicas</w:t>
      </w:r>
    </w:p>
    <w:p w:rsidR="00536791" w:rsidRDefault="00536791" w:rsidP="00012259">
      <w:pPr>
        <w:ind w:left="0"/>
        <w:rPr>
          <w:rFonts w:ascii="Bookman Old Style" w:hAnsi="Bookman Old Style"/>
          <w:bCs/>
          <w:lang w:val="es-CO"/>
        </w:rPr>
      </w:pPr>
    </w:p>
    <w:p w:rsidR="002F27B5" w:rsidRPr="00C435C3" w:rsidRDefault="002F27B5" w:rsidP="00C435C3">
      <w:pPr>
        <w:ind w:right="51"/>
        <w:rPr>
          <w:rFonts w:ascii="Bookman Old Style" w:hAnsi="Bookman Old Style"/>
        </w:rPr>
      </w:pPr>
    </w:p>
    <w:p w:rsidR="00C435C3" w:rsidRPr="00C435C3" w:rsidRDefault="00C435C3" w:rsidP="00C435C3">
      <w:pPr>
        <w:ind w:right="51"/>
        <w:jc w:val="center"/>
        <w:rPr>
          <w:rFonts w:ascii="Bookman Old Style" w:hAnsi="Bookman Old Style"/>
          <w:b/>
        </w:rPr>
      </w:pPr>
      <w:r w:rsidRPr="00C435C3">
        <w:rPr>
          <w:rFonts w:ascii="Bookman Old Style" w:hAnsi="Bookman Old Style"/>
          <w:b/>
        </w:rPr>
        <w:t>LA COMISIÓN DE REGULACIÓN DE  ENERGÍA Y GAS</w:t>
      </w:r>
    </w:p>
    <w:p w:rsidR="00C435C3" w:rsidRPr="00C435C3" w:rsidRDefault="00C435C3" w:rsidP="00C435C3">
      <w:pPr>
        <w:ind w:left="0" w:right="51"/>
        <w:rPr>
          <w:rFonts w:ascii="Bookman Old Style" w:hAnsi="Bookman Old Style"/>
        </w:rPr>
      </w:pPr>
    </w:p>
    <w:p w:rsidR="00C435C3" w:rsidRPr="00C435C3" w:rsidRDefault="00C435C3" w:rsidP="00C435C3">
      <w:pPr>
        <w:ind w:left="0" w:right="51"/>
        <w:rPr>
          <w:rFonts w:ascii="Bookman Old Style" w:hAnsi="Bookman Old Style"/>
        </w:rPr>
      </w:pPr>
    </w:p>
    <w:p w:rsidR="00C435C3" w:rsidRPr="00C435C3" w:rsidRDefault="00C435C3" w:rsidP="00C435C3">
      <w:pPr>
        <w:pStyle w:val="Textoindependiente3"/>
        <w:ind w:left="0"/>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w:t>
      </w:r>
      <w:r w:rsidR="008840BD">
        <w:rPr>
          <w:rFonts w:ascii="Bookman Old Style" w:hAnsi="Bookman Old Style"/>
          <w:b w:val="0"/>
        </w:rPr>
        <w:t>,</w:t>
      </w:r>
      <w:r w:rsidRPr="00C435C3">
        <w:rPr>
          <w:rFonts w:ascii="Bookman Old Style" w:hAnsi="Bookman Old Style"/>
          <w:b w:val="0"/>
        </w:rPr>
        <w:t xml:space="preserve"> 2253 de 1994</w:t>
      </w:r>
      <w:r w:rsidR="008840BD">
        <w:rPr>
          <w:rFonts w:ascii="Bookman Old Style" w:hAnsi="Bookman Old Style"/>
          <w:b w:val="0"/>
        </w:rPr>
        <w:t xml:space="preserve"> y 1260 de 2013</w:t>
      </w:r>
      <w:r w:rsidRPr="00C435C3">
        <w:rPr>
          <w:rFonts w:ascii="Bookman Old Style" w:hAnsi="Bookman Old Style"/>
          <w:b w:val="0"/>
        </w:rPr>
        <w:t>.</w:t>
      </w:r>
    </w:p>
    <w:p w:rsidR="00C435C3" w:rsidRDefault="00C435C3" w:rsidP="00C435C3">
      <w:pPr>
        <w:ind w:right="51"/>
        <w:rPr>
          <w:rFonts w:ascii="Bookman Old Style" w:hAnsi="Bookman Old Style"/>
        </w:rPr>
      </w:pPr>
    </w:p>
    <w:p w:rsidR="00C435C3" w:rsidRPr="00C435C3" w:rsidRDefault="00C435C3" w:rsidP="00C435C3">
      <w:pPr>
        <w:ind w:right="51"/>
        <w:rPr>
          <w:rFonts w:ascii="Bookman Old Style" w:hAnsi="Bookman Old Style"/>
        </w:rPr>
      </w:pPr>
    </w:p>
    <w:p w:rsidR="00C435C3" w:rsidRPr="00C435C3" w:rsidRDefault="00C435C3" w:rsidP="00C435C3">
      <w:pPr>
        <w:ind w:right="51"/>
        <w:jc w:val="center"/>
        <w:rPr>
          <w:rFonts w:ascii="Bookman Old Style" w:hAnsi="Bookman Old Style"/>
          <w:b/>
        </w:rPr>
      </w:pPr>
      <w:r w:rsidRPr="00C435C3">
        <w:rPr>
          <w:rFonts w:ascii="Bookman Old Style" w:hAnsi="Bookman Old Style"/>
          <w:b/>
        </w:rPr>
        <w:t>C O N S I D E R A N D O</w:t>
      </w:r>
      <w:r w:rsidR="00A62919">
        <w:rPr>
          <w:rFonts w:ascii="Bookman Old Style" w:hAnsi="Bookman Old Style"/>
          <w:b/>
        </w:rPr>
        <w:t xml:space="preserve">  Q U E</w:t>
      </w:r>
      <w:r w:rsidRPr="00C435C3">
        <w:rPr>
          <w:rFonts w:ascii="Bookman Old Style" w:hAnsi="Bookman Old Style"/>
          <w:b/>
        </w:rPr>
        <w:t>:</w:t>
      </w:r>
    </w:p>
    <w:p w:rsidR="00C435C3" w:rsidRPr="00C435C3" w:rsidRDefault="00C435C3" w:rsidP="00C435C3">
      <w:pPr>
        <w:ind w:right="51"/>
        <w:jc w:val="center"/>
        <w:rPr>
          <w:rFonts w:ascii="Bookman Old Style" w:hAnsi="Bookman Old Style"/>
          <w:b/>
        </w:rPr>
      </w:pPr>
    </w:p>
    <w:p w:rsidR="00C435C3" w:rsidRPr="00C435C3" w:rsidRDefault="00C435C3" w:rsidP="00C435C3">
      <w:pPr>
        <w:rPr>
          <w:rFonts w:ascii="Bookman Old Style" w:hAnsi="Bookman Old Style"/>
          <w:b/>
        </w:rPr>
      </w:pPr>
    </w:p>
    <w:p w:rsidR="007969E9" w:rsidRPr="007969E9" w:rsidRDefault="007969E9" w:rsidP="007969E9">
      <w:pPr>
        <w:ind w:left="0"/>
        <w:jc w:val="both"/>
        <w:rPr>
          <w:rFonts w:ascii="Bookman Old Style" w:hAnsi="Bookman Old Style"/>
        </w:rPr>
      </w:pPr>
      <w:r w:rsidRPr="007969E9">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7969E9" w:rsidRPr="007969E9" w:rsidRDefault="007969E9" w:rsidP="007969E9">
      <w:pPr>
        <w:ind w:left="0"/>
        <w:jc w:val="both"/>
        <w:rPr>
          <w:rFonts w:ascii="Bookman Old Style" w:hAnsi="Bookman Old Style"/>
        </w:rPr>
      </w:pPr>
    </w:p>
    <w:p w:rsidR="007969E9" w:rsidRPr="007969E9" w:rsidRDefault="007969E9" w:rsidP="007969E9">
      <w:pPr>
        <w:ind w:left="0"/>
        <w:jc w:val="both"/>
        <w:rPr>
          <w:rFonts w:ascii="Bookman Old Style" w:hAnsi="Bookman Old Style"/>
        </w:rPr>
      </w:pPr>
      <w:r w:rsidRPr="007969E9">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7969E9" w:rsidRPr="007969E9" w:rsidRDefault="007969E9" w:rsidP="007969E9">
      <w:pPr>
        <w:ind w:left="0"/>
        <w:jc w:val="both"/>
        <w:rPr>
          <w:rFonts w:ascii="Bookman Old Style" w:hAnsi="Bookman Old Style"/>
        </w:rPr>
      </w:pPr>
    </w:p>
    <w:p w:rsidR="007969E9" w:rsidRPr="007969E9" w:rsidRDefault="007969E9" w:rsidP="007969E9">
      <w:pPr>
        <w:ind w:left="0"/>
        <w:jc w:val="both"/>
        <w:rPr>
          <w:rFonts w:ascii="Bookman Old Style" w:hAnsi="Bookman Old Style"/>
        </w:rPr>
      </w:pPr>
      <w:r w:rsidRPr="007969E9">
        <w:rPr>
          <w:rFonts w:ascii="Bookman Old Style" w:hAnsi="Bookman Old Style"/>
        </w:rPr>
        <w:t>Para el cumplimiento del objetivo señalado, la Ley 143 de 1994, artículo 23, le atribuyó a la Comisión de Regulación de Energía y Gas, entre otras, las siguientes funciones:</w:t>
      </w:r>
    </w:p>
    <w:p w:rsidR="007969E9" w:rsidRPr="007969E9" w:rsidRDefault="007969E9" w:rsidP="007969E9">
      <w:pPr>
        <w:ind w:left="0"/>
        <w:jc w:val="both"/>
        <w:rPr>
          <w:rFonts w:ascii="Bookman Old Style" w:hAnsi="Bookman Old Style"/>
        </w:rPr>
      </w:pPr>
    </w:p>
    <w:p w:rsidR="007969E9" w:rsidRPr="007969E9" w:rsidRDefault="007969E9" w:rsidP="007969E9">
      <w:pPr>
        <w:ind w:left="0"/>
        <w:jc w:val="both"/>
        <w:rPr>
          <w:rFonts w:ascii="Bookman Old Style" w:hAnsi="Bookman Old Style"/>
        </w:rPr>
      </w:pPr>
      <w:r w:rsidRPr="007969E9">
        <w:rPr>
          <w:rFonts w:ascii="Bookman Old Style" w:hAnsi="Bookman Old Style"/>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w:t>
      </w:r>
    </w:p>
    <w:p w:rsidR="007969E9" w:rsidRPr="007969E9" w:rsidRDefault="007969E9" w:rsidP="007969E9">
      <w:pPr>
        <w:ind w:left="0"/>
        <w:jc w:val="both"/>
        <w:rPr>
          <w:rFonts w:ascii="Bookman Old Style" w:hAnsi="Bookman Old Style"/>
        </w:rPr>
      </w:pPr>
      <w:r w:rsidRPr="007969E9">
        <w:rPr>
          <w:rFonts w:ascii="Bookman Old Style" w:hAnsi="Bookman Old Style"/>
        </w:rPr>
        <w:t>Valorar la capacidad de generación de respaldo de la oferta eficiente;</w:t>
      </w:r>
    </w:p>
    <w:p w:rsidR="007969E9" w:rsidRPr="007969E9" w:rsidRDefault="007969E9" w:rsidP="007969E9">
      <w:pPr>
        <w:ind w:left="0"/>
        <w:jc w:val="both"/>
        <w:rPr>
          <w:rFonts w:ascii="Bookman Old Style" w:hAnsi="Bookman Old Style"/>
        </w:rPr>
      </w:pPr>
      <w:r w:rsidRPr="007969E9">
        <w:rPr>
          <w:rFonts w:ascii="Bookman Old Style" w:hAnsi="Bookman Old Style"/>
        </w:rPr>
        <w:t xml:space="preserve">Definir y hacer operativos los criterios técnicos de calidad, confiabilidad y seguridad del servicio de energía; </w:t>
      </w:r>
    </w:p>
    <w:p w:rsidR="007969E9" w:rsidRPr="007969E9" w:rsidRDefault="007969E9" w:rsidP="007969E9">
      <w:pPr>
        <w:ind w:left="0"/>
        <w:jc w:val="both"/>
        <w:rPr>
          <w:rFonts w:ascii="Bookman Old Style" w:hAnsi="Bookman Old Style"/>
        </w:rPr>
      </w:pPr>
    </w:p>
    <w:p w:rsidR="007969E9" w:rsidRPr="007969E9" w:rsidRDefault="007969E9" w:rsidP="007969E9">
      <w:pPr>
        <w:ind w:left="0"/>
        <w:jc w:val="both"/>
        <w:rPr>
          <w:rFonts w:ascii="Bookman Old Style" w:hAnsi="Bookman Old Style"/>
        </w:rPr>
      </w:pPr>
      <w:r w:rsidRPr="007969E9">
        <w:rPr>
          <w:rFonts w:ascii="Bookman Old Style" w:hAnsi="Bookman Old Style"/>
        </w:rPr>
        <w:t>Establecer el Reglamento de Operación para realizar el planeamiento y la coordinación de la operación del Sistema Interconectado Nacional; y</w:t>
      </w:r>
    </w:p>
    <w:p w:rsidR="007969E9" w:rsidRPr="007969E9" w:rsidRDefault="007969E9" w:rsidP="007969E9">
      <w:pPr>
        <w:ind w:left="0"/>
        <w:jc w:val="both"/>
        <w:rPr>
          <w:rFonts w:ascii="Bookman Old Style" w:hAnsi="Bookman Old Style"/>
        </w:rPr>
      </w:pPr>
    </w:p>
    <w:p w:rsidR="007969E9" w:rsidRPr="007969E9" w:rsidRDefault="007969E9" w:rsidP="007969E9">
      <w:pPr>
        <w:ind w:left="0"/>
        <w:jc w:val="both"/>
        <w:rPr>
          <w:rFonts w:ascii="Bookman Old Style" w:hAnsi="Bookman Old Style"/>
        </w:rPr>
      </w:pPr>
      <w:r w:rsidRPr="007969E9">
        <w:rPr>
          <w:rFonts w:ascii="Bookman Old Style" w:hAnsi="Bookman Old Style"/>
        </w:rPr>
        <w:t xml:space="preserve">Según la Ley 142 de 1994, artículo 74, son funciones y facultades especiales de la CREG, entre otras, las de regular el ejercicio de las actividades de los sectores </w:t>
      </w:r>
      <w:r w:rsidRPr="007969E9">
        <w:rPr>
          <w:rFonts w:ascii="Bookman Old Style" w:hAnsi="Bookman Old Style"/>
        </w:rPr>
        <w:lastRenderedPageBreak/>
        <w:t xml:space="preserve">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 y establecer criterios para la fijación de compromisos de ventas garantizadas de energía y potencia entre las empresas eléctricas y entre éstas y los grandes usuarios. </w:t>
      </w:r>
    </w:p>
    <w:p w:rsidR="007969E9" w:rsidRPr="007969E9" w:rsidRDefault="007969E9" w:rsidP="007969E9">
      <w:pPr>
        <w:ind w:left="0"/>
        <w:jc w:val="both"/>
        <w:rPr>
          <w:rFonts w:ascii="Bookman Old Style" w:hAnsi="Bookman Old Style"/>
        </w:rPr>
      </w:pPr>
    </w:p>
    <w:p w:rsidR="007969E9" w:rsidRPr="007969E9" w:rsidRDefault="007969E9" w:rsidP="007969E9">
      <w:pPr>
        <w:ind w:left="0"/>
        <w:jc w:val="both"/>
        <w:rPr>
          <w:rFonts w:ascii="Bookman Old Style" w:hAnsi="Bookman Old Style"/>
        </w:rPr>
      </w:pPr>
      <w:r w:rsidRPr="007969E9">
        <w:rPr>
          <w:rFonts w:ascii="Bookman Old Style" w:hAnsi="Bookman Old Style"/>
        </w:rPr>
        <w:t>La ley 142 de 1994, artículo 74, también le asignó a la Comisión de Regulación de Energía y Gas, la función de expedir el Reglamento de Operación para regular el funcionamiento del Mercado Mayorista de energía.</w:t>
      </w:r>
    </w:p>
    <w:p w:rsidR="007969E9" w:rsidRPr="007969E9" w:rsidRDefault="007969E9" w:rsidP="007969E9">
      <w:pPr>
        <w:ind w:left="0"/>
        <w:jc w:val="both"/>
        <w:rPr>
          <w:rFonts w:ascii="Bookman Old Style" w:hAnsi="Bookman Old Style"/>
        </w:rPr>
      </w:pPr>
    </w:p>
    <w:p w:rsidR="007969E9" w:rsidRPr="007969E9" w:rsidRDefault="007969E9" w:rsidP="007969E9">
      <w:pPr>
        <w:ind w:left="0"/>
        <w:jc w:val="both"/>
        <w:rPr>
          <w:rFonts w:ascii="Bookman Old Style" w:hAnsi="Bookman Old Style"/>
        </w:rPr>
      </w:pPr>
      <w:r w:rsidRPr="007969E9">
        <w:rPr>
          <w:rFonts w:ascii="Bookman Old Style" w:hAnsi="Bookman Old Style"/>
        </w:rPr>
        <w:t>La Comisión de Regulación de Energía y Gas, en desarrollo de los objetivos y funciones señalados, mediante la Resolución CREG 071 de 2006, adoptó la metodología para la remuneración del Cargo por Confiabilidad en el Mercado Mayorista.</w:t>
      </w:r>
    </w:p>
    <w:p w:rsidR="007969E9" w:rsidRPr="007969E9" w:rsidRDefault="007969E9" w:rsidP="007969E9">
      <w:pPr>
        <w:ind w:left="0"/>
        <w:jc w:val="both"/>
        <w:rPr>
          <w:rFonts w:ascii="Bookman Old Style" w:hAnsi="Bookman Old Style"/>
        </w:rPr>
      </w:pPr>
    </w:p>
    <w:p w:rsidR="007969E9" w:rsidRPr="007969E9" w:rsidRDefault="007969E9" w:rsidP="007969E9">
      <w:pPr>
        <w:ind w:left="0"/>
        <w:jc w:val="both"/>
        <w:rPr>
          <w:rFonts w:ascii="Bookman Old Style" w:hAnsi="Bookman Old Style"/>
        </w:rPr>
      </w:pPr>
      <w:r w:rsidRPr="007969E9">
        <w:rPr>
          <w:rFonts w:ascii="Bookman Old Style" w:hAnsi="Bookman Old Style"/>
        </w:rPr>
        <w:t xml:space="preserve">Dado el interés que se ha manifestado por el desarrollo de plantas solares fotovoltaicas, la Comisión de Regulación de Energía y Gas, </w:t>
      </w:r>
      <w:r w:rsidR="009E7E89">
        <w:rPr>
          <w:rFonts w:ascii="Bookman Old Style" w:hAnsi="Bookman Old Style"/>
        </w:rPr>
        <w:t>enco</w:t>
      </w:r>
      <w:r w:rsidR="009E7E89" w:rsidRPr="007969E9">
        <w:rPr>
          <w:rFonts w:ascii="Bookman Old Style" w:hAnsi="Bookman Old Style"/>
        </w:rPr>
        <w:t>ntr</w:t>
      </w:r>
      <w:r w:rsidR="009E7E89">
        <w:rPr>
          <w:rFonts w:ascii="Bookman Old Style" w:hAnsi="Bookman Old Style"/>
        </w:rPr>
        <w:t xml:space="preserve">ó </w:t>
      </w:r>
      <w:r w:rsidRPr="007969E9">
        <w:rPr>
          <w:rFonts w:ascii="Bookman Old Style" w:hAnsi="Bookman Old Style"/>
        </w:rPr>
        <w:t xml:space="preserve">conveniente definir la metodología para la participación en el Cargo por Confiabilidad de este tipo de tecnología. </w:t>
      </w:r>
    </w:p>
    <w:p w:rsidR="007969E9" w:rsidRPr="007969E9" w:rsidRDefault="007969E9" w:rsidP="007969E9">
      <w:pPr>
        <w:ind w:left="0"/>
        <w:jc w:val="both"/>
        <w:rPr>
          <w:rFonts w:ascii="Bookman Old Style" w:hAnsi="Bookman Old Style"/>
        </w:rPr>
      </w:pPr>
    </w:p>
    <w:p w:rsidR="007969E9" w:rsidRPr="007969E9" w:rsidRDefault="007969E9" w:rsidP="007969E9">
      <w:pPr>
        <w:ind w:left="0"/>
        <w:jc w:val="both"/>
        <w:rPr>
          <w:rFonts w:ascii="Bookman Old Style" w:hAnsi="Bookman Old Style"/>
        </w:rPr>
      </w:pPr>
      <w:r w:rsidRPr="007969E9">
        <w:rPr>
          <w:rFonts w:ascii="Bookman Old Style" w:hAnsi="Bookman Old Style"/>
        </w:rPr>
        <w:t>Se contrató una consultoría especializada con la firma FONROCHE con el objeto de que diseñará la metodología de cálculo de energía firme para el Cargo por Confiabilidad, ENFICC, de plantas solares fotovoltaicas. Metodología que se publicó a comentarios a través del documento anexo de la Circular CREG 083 de 2015. Con base en este estudio la Comisión de Regulación de Energía y Gas, publicó el proyecto de resolución a comentarios, Por la cual se define la metodología para determinar la energía firme de plantas solares fotovoltaicas, en la Resolución CREG 227 de 2015.</w:t>
      </w:r>
    </w:p>
    <w:p w:rsidR="00C435C3" w:rsidRDefault="00C435C3" w:rsidP="000438C8">
      <w:pPr>
        <w:ind w:left="0"/>
        <w:rPr>
          <w:rFonts w:ascii="Bookman Old Style" w:hAnsi="Bookman Old Style"/>
        </w:rPr>
      </w:pPr>
    </w:p>
    <w:p w:rsidR="00FC509A" w:rsidRDefault="00FC509A" w:rsidP="00FC509A">
      <w:pPr>
        <w:ind w:left="0"/>
        <w:jc w:val="both"/>
        <w:rPr>
          <w:rFonts w:ascii="Bookman Old Style" w:hAnsi="Bookman Old Style"/>
        </w:rPr>
      </w:pPr>
      <w:r>
        <w:rPr>
          <w:rFonts w:ascii="Bookman Old Style" w:hAnsi="Bookman Old Style"/>
        </w:rPr>
        <w:t xml:space="preserve">Definida la </w:t>
      </w:r>
      <w:r w:rsidRPr="00FC509A">
        <w:rPr>
          <w:rFonts w:ascii="Bookman Old Style" w:hAnsi="Bookman Old Style"/>
        </w:rPr>
        <w:t>metodología para determinar la energía firme para el Cargo por Confiabilidad, ENFICC, de plantas solares fotovoltaicas</w:t>
      </w:r>
      <w:r>
        <w:rPr>
          <w:rFonts w:ascii="Bookman Old Style" w:hAnsi="Bookman Old Style"/>
        </w:rPr>
        <w:t xml:space="preserve"> en la Resolución CREG 243 de 2016. Se recibieron comentarios </w:t>
      </w:r>
      <w:r w:rsidR="0097275B">
        <w:rPr>
          <w:rFonts w:ascii="Bookman Old Style" w:hAnsi="Bookman Old Style"/>
        </w:rPr>
        <w:t xml:space="preserve">por parte </w:t>
      </w:r>
      <w:r>
        <w:rPr>
          <w:rFonts w:ascii="Bookman Old Style" w:hAnsi="Bookman Old Style"/>
        </w:rPr>
        <w:t>del Consejo Nacional de Operación</w:t>
      </w:r>
      <w:r w:rsidR="00CF55D6">
        <w:rPr>
          <w:rFonts w:ascii="Bookman Old Style" w:hAnsi="Bookman Old Style"/>
        </w:rPr>
        <w:t>, CNO,</w:t>
      </w:r>
      <w:r w:rsidR="001A5311">
        <w:rPr>
          <w:rFonts w:ascii="Bookman Old Style" w:hAnsi="Bookman Old Style"/>
        </w:rPr>
        <w:t xml:space="preserve"> en los radicados CREG E-2017-003792 y </w:t>
      </w:r>
      <w:r w:rsidR="00CF55D6">
        <w:rPr>
          <w:rFonts w:ascii="Bookman Old Style" w:hAnsi="Bookman Old Style"/>
        </w:rPr>
        <w:t>E-2017-006142</w:t>
      </w:r>
      <w:r>
        <w:rPr>
          <w:rFonts w:ascii="Bookman Old Style" w:hAnsi="Bookman Old Style"/>
        </w:rPr>
        <w:t>, solicit</w:t>
      </w:r>
      <w:r w:rsidR="0097275B">
        <w:rPr>
          <w:rFonts w:ascii="Bookman Old Style" w:hAnsi="Bookman Old Style"/>
        </w:rPr>
        <w:t xml:space="preserve">ando </w:t>
      </w:r>
      <w:r>
        <w:rPr>
          <w:rFonts w:ascii="Bookman Old Style" w:hAnsi="Bookman Old Style"/>
        </w:rPr>
        <w:t xml:space="preserve">un nuevo plazo para el diseño del protocolo de verificación </w:t>
      </w:r>
      <w:r w:rsidRPr="00FC509A">
        <w:rPr>
          <w:rFonts w:ascii="Bookman Old Style" w:hAnsi="Bookman Old Style"/>
        </w:rPr>
        <w:t>y medición</w:t>
      </w:r>
      <w:r w:rsidR="0097275B">
        <w:rPr>
          <w:rFonts w:ascii="Bookman Old Style" w:hAnsi="Bookman Old Style"/>
        </w:rPr>
        <w:t xml:space="preserve"> de la</w:t>
      </w:r>
      <w:r w:rsidR="0097275B" w:rsidRPr="0097275B">
        <w:rPr>
          <w:rFonts w:ascii="Bookman Old Style" w:hAnsi="Bookman Old Style"/>
        </w:rPr>
        <w:t xml:space="preserve"> serie histórica de irradiación solar horizontal y temperatura ambiente</w:t>
      </w:r>
      <w:r w:rsidR="0097275B">
        <w:rPr>
          <w:rFonts w:ascii="Bookman Old Style" w:hAnsi="Bookman Old Style"/>
        </w:rPr>
        <w:t>, establecido en el numeral 3 del artículo 4 de la Resolución CREG 243 de 2016.</w:t>
      </w:r>
    </w:p>
    <w:p w:rsidR="0097275B" w:rsidRDefault="0097275B" w:rsidP="00FC509A">
      <w:pPr>
        <w:ind w:left="0"/>
        <w:jc w:val="both"/>
        <w:rPr>
          <w:rFonts w:ascii="Bookman Old Style" w:hAnsi="Bookman Old Style"/>
        </w:rPr>
      </w:pPr>
    </w:p>
    <w:p w:rsidR="0097275B" w:rsidRDefault="0097275B" w:rsidP="00FC509A">
      <w:pPr>
        <w:ind w:left="0"/>
        <w:jc w:val="both"/>
        <w:rPr>
          <w:rFonts w:ascii="Bookman Old Style" w:hAnsi="Bookman Old Style"/>
        </w:rPr>
      </w:pPr>
      <w:r>
        <w:rPr>
          <w:rFonts w:ascii="Bookman Old Style" w:hAnsi="Bookman Old Style"/>
        </w:rPr>
        <w:t>El</w:t>
      </w:r>
      <w:r w:rsidRPr="0097275B">
        <w:rPr>
          <w:rFonts w:ascii="Bookman Old Style" w:hAnsi="Bookman Old Style"/>
        </w:rPr>
        <w:t xml:space="preserve"> análisis para </w:t>
      </w:r>
      <w:r>
        <w:rPr>
          <w:rFonts w:ascii="Bookman Old Style" w:hAnsi="Bookman Old Style"/>
        </w:rPr>
        <w:t>establecer el nuevo plazo</w:t>
      </w:r>
      <w:r w:rsidR="00CF55D6">
        <w:rPr>
          <w:rFonts w:ascii="Bookman Old Style" w:hAnsi="Bookman Old Style"/>
        </w:rPr>
        <w:t xml:space="preserve"> de</w:t>
      </w:r>
      <w:r>
        <w:rPr>
          <w:rFonts w:ascii="Bookman Old Style" w:hAnsi="Bookman Old Style"/>
        </w:rPr>
        <w:t xml:space="preserve"> diseñ</w:t>
      </w:r>
      <w:r w:rsidR="00CF55D6">
        <w:rPr>
          <w:rFonts w:ascii="Bookman Old Style" w:hAnsi="Bookman Old Style"/>
        </w:rPr>
        <w:t>o</w:t>
      </w:r>
      <w:r>
        <w:rPr>
          <w:rFonts w:ascii="Bookman Old Style" w:hAnsi="Bookman Old Style"/>
        </w:rPr>
        <w:t xml:space="preserve"> </w:t>
      </w:r>
      <w:r w:rsidR="00CF55D6">
        <w:rPr>
          <w:rFonts w:ascii="Bookman Old Style" w:hAnsi="Bookman Old Style"/>
        </w:rPr>
        <w:t>d</w:t>
      </w:r>
      <w:r>
        <w:rPr>
          <w:rFonts w:ascii="Bookman Old Style" w:hAnsi="Bookman Old Style"/>
        </w:rPr>
        <w:t xml:space="preserve">el protocolo de verificación </w:t>
      </w:r>
      <w:r w:rsidRPr="00FC509A">
        <w:rPr>
          <w:rFonts w:ascii="Bookman Old Style" w:hAnsi="Bookman Old Style"/>
        </w:rPr>
        <w:t>y medición</w:t>
      </w:r>
      <w:r>
        <w:rPr>
          <w:rFonts w:ascii="Bookman Old Style" w:hAnsi="Bookman Old Style"/>
        </w:rPr>
        <w:t xml:space="preserve"> de la</w:t>
      </w:r>
      <w:r w:rsidRPr="0097275B">
        <w:rPr>
          <w:rFonts w:ascii="Bookman Old Style" w:hAnsi="Bookman Old Style"/>
        </w:rPr>
        <w:t xml:space="preserve"> serie histórica de irradiación solar horizontal y temperatura ambiente</w:t>
      </w:r>
      <w:r w:rsidR="00CF55D6" w:rsidRPr="00CF55D6">
        <w:rPr>
          <w:rFonts w:ascii="Bookman Old Style" w:hAnsi="Bookman Old Style"/>
        </w:rPr>
        <w:t xml:space="preserve"> </w:t>
      </w:r>
      <w:r w:rsidR="00CF55D6">
        <w:rPr>
          <w:rFonts w:ascii="Bookman Old Style" w:hAnsi="Bookman Old Style"/>
        </w:rPr>
        <w:t>por parte del CNO</w:t>
      </w:r>
      <w:r>
        <w:rPr>
          <w:rFonts w:ascii="Bookman Old Style" w:hAnsi="Bookman Old Style"/>
        </w:rPr>
        <w:t>,</w:t>
      </w:r>
      <w:r w:rsidRPr="0097275B">
        <w:rPr>
          <w:rFonts w:ascii="Bookman Old Style" w:hAnsi="Bookman Old Style"/>
        </w:rPr>
        <w:t xml:space="preserve"> se encuentra en el Documento CREG </w:t>
      </w:r>
      <w:r w:rsidR="00252CDA">
        <w:rPr>
          <w:rFonts w:ascii="Bookman Old Style" w:hAnsi="Bookman Old Style"/>
        </w:rPr>
        <w:t xml:space="preserve">61 </w:t>
      </w:r>
      <w:r w:rsidRPr="0097275B">
        <w:rPr>
          <w:rFonts w:ascii="Bookman Old Style" w:hAnsi="Bookman Old Style"/>
        </w:rPr>
        <w:t xml:space="preserve">del </w:t>
      </w:r>
      <w:r w:rsidR="00252CDA">
        <w:rPr>
          <w:rFonts w:ascii="Bookman Old Style" w:hAnsi="Bookman Old Style"/>
        </w:rPr>
        <w:t>8</w:t>
      </w:r>
      <w:r w:rsidRPr="0097275B">
        <w:rPr>
          <w:rFonts w:ascii="Bookman Old Style" w:hAnsi="Bookman Old Style"/>
        </w:rPr>
        <w:t xml:space="preserve"> de </w:t>
      </w:r>
      <w:r w:rsidR="00252CDA">
        <w:rPr>
          <w:rFonts w:ascii="Bookman Old Style" w:hAnsi="Bookman Old Style"/>
        </w:rPr>
        <w:t xml:space="preserve">agosto </w:t>
      </w:r>
      <w:r w:rsidRPr="0097275B">
        <w:rPr>
          <w:rFonts w:ascii="Bookman Old Style" w:hAnsi="Bookman Old Style"/>
        </w:rPr>
        <w:t>de 201</w:t>
      </w:r>
      <w:r>
        <w:rPr>
          <w:rFonts w:ascii="Bookman Old Style" w:hAnsi="Bookman Old Style"/>
        </w:rPr>
        <w:t>7</w:t>
      </w:r>
      <w:r w:rsidR="00CF55D6">
        <w:rPr>
          <w:rFonts w:ascii="Bookman Old Style" w:hAnsi="Bookman Old Style"/>
        </w:rPr>
        <w:t>.</w:t>
      </w:r>
    </w:p>
    <w:p w:rsidR="00693CC1" w:rsidRDefault="00693CC1" w:rsidP="00FC509A">
      <w:pPr>
        <w:ind w:left="0"/>
        <w:jc w:val="both"/>
        <w:rPr>
          <w:rFonts w:ascii="Bookman Old Style" w:hAnsi="Bookman Old Style"/>
        </w:rPr>
      </w:pPr>
    </w:p>
    <w:p w:rsidR="00693CC1" w:rsidRDefault="00693CC1" w:rsidP="00FC509A">
      <w:pPr>
        <w:ind w:left="0"/>
        <w:jc w:val="both"/>
        <w:rPr>
          <w:rFonts w:ascii="Bookman Old Style" w:hAnsi="Bookman Old Style"/>
        </w:rPr>
      </w:pPr>
      <w:r>
        <w:rPr>
          <w:rFonts w:ascii="Bookman Old Style" w:hAnsi="Bookman Old Style"/>
        </w:rPr>
        <w:t xml:space="preserve">De conformidad con el artículo </w:t>
      </w:r>
      <w:r w:rsidR="0007561F">
        <w:rPr>
          <w:rFonts w:ascii="Bookman Old Style" w:hAnsi="Bookman Old Style"/>
        </w:rPr>
        <w:t>2.</w:t>
      </w:r>
      <w:r>
        <w:rPr>
          <w:rFonts w:ascii="Bookman Old Style" w:hAnsi="Bookman Old Style"/>
        </w:rPr>
        <w:t>2.2</w:t>
      </w:r>
      <w:r w:rsidR="0007561F">
        <w:rPr>
          <w:rFonts w:ascii="Bookman Old Style" w:hAnsi="Bookman Old Style"/>
        </w:rPr>
        <w:t xml:space="preserve">.30.4 numeral 2, el presente acto administrativo, se encuentra </w:t>
      </w:r>
      <w:r w:rsidR="00334C5D">
        <w:rPr>
          <w:rFonts w:ascii="Bookman Old Style" w:hAnsi="Bookman Old Style"/>
        </w:rPr>
        <w:t xml:space="preserve">dentro de las excepciones  </w:t>
      </w:r>
      <w:r w:rsidR="00951F91">
        <w:rPr>
          <w:rFonts w:ascii="Bookman Old Style" w:hAnsi="Bookman Old Style"/>
        </w:rPr>
        <w:t>al deber de informar a l</w:t>
      </w:r>
      <w:r w:rsidR="0007561F">
        <w:rPr>
          <w:rFonts w:ascii="Bookman Old Style" w:hAnsi="Bookman Old Style"/>
        </w:rPr>
        <w:t>a la Superintendencia de Industria y Comercio.</w:t>
      </w:r>
    </w:p>
    <w:p w:rsidR="00FC509A" w:rsidRDefault="00FC509A" w:rsidP="000438C8">
      <w:pPr>
        <w:ind w:left="0"/>
        <w:rPr>
          <w:rFonts w:ascii="Bookman Old Style" w:hAnsi="Bookman Old Style"/>
        </w:rPr>
      </w:pPr>
    </w:p>
    <w:p w:rsidR="00A101F6" w:rsidRDefault="00A101F6" w:rsidP="000438C8">
      <w:pPr>
        <w:ind w:left="0"/>
        <w:rPr>
          <w:rFonts w:ascii="Bookman Old Style" w:hAnsi="Bookman Old Style"/>
        </w:rPr>
      </w:pPr>
    </w:p>
    <w:p w:rsidR="00A101F6" w:rsidRDefault="00A101F6" w:rsidP="000438C8">
      <w:pPr>
        <w:ind w:left="0"/>
        <w:rPr>
          <w:rFonts w:ascii="Bookman Old Style" w:hAnsi="Bookman Old Style"/>
        </w:rPr>
      </w:pPr>
    </w:p>
    <w:p w:rsidR="00A101F6" w:rsidRDefault="00A101F6" w:rsidP="000438C8">
      <w:pPr>
        <w:ind w:left="0"/>
        <w:rPr>
          <w:rFonts w:ascii="Bookman Old Style" w:hAnsi="Bookman Old Style"/>
        </w:rPr>
      </w:pPr>
    </w:p>
    <w:p w:rsidR="00A101F6" w:rsidRDefault="00A101F6" w:rsidP="000438C8">
      <w:pPr>
        <w:ind w:left="0"/>
        <w:rPr>
          <w:rFonts w:ascii="Bookman Old Style" w:hAnsi="Bookman Old Style"/>
        </w:rPr>
      </w:pPr>
    </w:p>
    <w:p w:rsidR="00C435C3" w:rsidRPr="00C435C3" w:rsidRDefault="00C435C3" w:rsidP="00C435C3">
      <w:pPr>
        <w:suppressAutoHyphens/>
        <w:jc w:val="center"/>
        <w:rPr>
          <w:rFonts w:ascii="Bookman Old Style" w:hAnsi="Bookman Old Style"/>
          <w:spacing w:val="-3"/>
        </w:rPr>
      </w:pPr>
      <w:r w:rsidRPr="00C435C3">
        <w:rPr>
          <w:rFonts w:ascii="Bookman Old Style" w:hAnsi="Bookman Old Style"/>
          <w:b/>
          <w:spacing w:val="-3"/>
        </w:rPr>
        <w:t>R E S U E L V E:</w:t>
      </w:r>
    </w:p>
    <w:p w:rsidR="00C435C3" w:rsidRDefault="00C435C3" w:rsidP="00C435C3">
      <w:pPr>
        <w:jc w:val="center"/>
        <w:rPr>
          <w:rFonts w:ascii="Bookman Old Style" w:hAnsi="Bookman Old Style"/>
        </w:rPr>
      </w:pPr>
    </w:p>
    <w:p w:rsidR="0044171A" w:rsidRDefault="0044171A" w:rsidP="00C435C3">
      <w:pPr>
        <w:jc w:val="center"/>
        <w:rPr>
          <w:rFonts w:ascii="Bookman Old Style" w:hAnsi="Bookman Old Style"/>
        </w:rPr>
      </w:pPr>
    </w:p>
    <w:p w:rsidR="000A2B12" w:rsidRDefault="002A782A" w:rsidP="0097275B">
      <w:pPr>
        <w:pStyle w:val="Ttulo1"/>
        <w:numPr>
          <w:ilvl w:val="0"/>
          <w:numId w:val="24"/>
        </w:numPr>
        <w:ind w:left="0" w:firstLine="0"/>
        <w:jc w:val="both"/>
        <w:rPr>
          <w:rFonts w:ascii="Bookman Old Style" w:hAnsi="Bookman Old Style"/>
        </w:rPr>
      </w:pPr>
      <w:r w:rsidRPr="002A782A">
        <w:rPr>
          <w:rFonts w:ascii="Bookman Old Style" w:hAnsi="Bookman Old Style"/>
          <w:b w:val="0"/>
        </w:rPr>
        <w:t xml:space="preserve"> </w:t>
      </w:r>
      <w:r w:rsidR="00012EEB">
        <w:rPr>
          <w:rFonts w:ascii="Bookman Old Style" w:hAnsi="Bookman Old Style"/>
        </w:rPr>
        <w:t>Establézcase</w:t>
      </w:r>
      <w:r w:rsidR="00427F50" w:rsidRPr="00427F50">
        <w:rPr>
          <w:rFonts w:ascii="Bookman Old Style" w:hAnsi="Bookman Old Style"/>
        </w:rPr>
        <w:t xml:space="preserve"> un nuevo plazo para la aplicación del</w:t>
      </w:r>
      <w:r w:rsidR="00427F50">
        <w:rPr>
          <w:rFonts w:ascii="Bookman Old Style" w:hAnsi="Bookman Old Style"/>
          <w:b w:val="0"/>
        </w:rPr>
        <w:t xml:space="preserve"> </w:t>
      </w:r>
      <w:r w:rsidR="0097275B">
        <w:rPr>
          <w:rFonts w:ascii="Bookman Old Style" w:hAnsi="Bookman Old Style"/>
        </w:rPr>
        <w:t>numeral 3 del artículo 4 de la Resolución CREG 243 de 2016</w:t>
      </w:r>
      <w:r w:rsidR="00580F3D">
        <w:rPr>
          <w:rFonts w:ascii="Bookman Old Style" w:hAnsi="Bookman Old Style"/>
          <w:b w:val="0"/>
        </w:rPr>
        <w:t xml:space="preserve">. </w:t>
      </w:r>
      <w:r w:rsidR="0097275B">
        <w:rPr>
          <w:rFonts w:ascii="Bookman Old Style" w:hAnsi="Bookman Old Style"/>
          <w:b w:val="0"/>
        </w:rPr>
        <w:t xml:space="preserve">El numeral 3 del artículo 4 de la Resolución CREG </w:t>
      </w:r>
      <w:r w:rsidR="00CA717C">
        <w:rPr>
          <w:rFonts w:ascii="Bookman Old Style" w:hAnsi="Bookman Old Style"/>
          <w:b w:val="0"/>
        </w:rPr>
        <w:t xml:space="preserve">quedará </w:t>
      </w:r>
      <w:r w:rsidR="001F56B0" w:rsidRPr="00427F50">
        <w:rPr>
          <w:rFonts w:ascii="Bookman Old Style" w:hAnsi="Bookman Old Style"/>
          <w:b w:val="0"/>
        </w:rPr>
        <w:t>así:</w:t>
      </w:r>
    </w:p>
    <w:p w:rsidR="0044171A" w:rsidRDefault="0044171A" w:rsidP="000A2B12">
      <w:pPr>
        <w:widowControl w:val="0"/>
        <w:adjustRightInd w:val="0"/>
        <w:ind w:left="0"/>
        <w:jc w:val="both"/>
        <w:textAlignment w:val="baseline"/>
        <w:rPr>
          <w:rFonts w:ascii="Bookman Old Style" w:hAnsi="Bookman Old Style"/>
        </w:rPr>
      </w:pPr>
    </w:p>
    <w:p w:rsidR="00427F50" w:rsidRPr="00427F50" w:rsidRDefault="00427F50" w:rsidP="00427F50">
      <w:pPr>
        <w:pStyle w:val="Prrafodelista"/>
        <w:numPr>
          <w:ilvl w:val="0"/>
          <w:numId w:val="25"/>
        </w:numPr>
        <w:jc w:val="both"/>
        <w:rPr>
          <w:rFonts w:ascii="Bookman Old Style" w:hAnsi="Bookman Old Style"/>
          <w:i/>
          <w:sz w:val="24"/>
        </w:rPr>
      </w:pPr>
      <w:r w:rsidRPr="00427F50">
        <w:rPr>
          <w:rFonts w:ascii="Bookman Old Style" w:hAnsi="Bookman Old Style"/>
          <w:i/>
          <w:sz w:val="24"/>
        </w:rPr>
        <w:t xml:space="preserve">Para el caso de la serie histórica de irradiación solar horizontal y temperatura ambiente, el Consejo Nacional de Operación, CNO, diseñará un protocolo para su verificación y medición, </w:t>
      </w:r>
      <w:r w:rsidR="000E0D04">
        <w:rPr>
          <w:rFonts w:ascii="Bookman Old Style" w:hAnsi="Bookman Old Style"/>
          <w:i/>
          <w:sz w:val="24"/>
        </w:rPr>
        <w:t>a más tardar el</w:t>
      </w:r>
      <w:r w:rsidRPr="00427F50">
        <w:rPr>
          <w:rFonts w:ascii="Bookman Old Style" w:hAnsi="Bookman Old Style"/>
          <w:i/>
          <w:sz w:val="24"/>
        </w:rPr>
        <w:t xml:space="preserve"> </w:t>
      </w:r>
      <w:r w:rsidR="00252CDA">
        <w:rPr>
          <w:rFonts w:ascii="Bookman Old Style" w:hAnsi="Bookman Old Style"/>
          <w:i/>
          <w:sz w:val="24"/>
        </w:rPr>
        <w:t>30 de septiembre de 2017</w:t>
      </w:r>
      <w:r w:rsidRPr="00427F50">
        <w:rPr>
          <w:rFonts w:ascii="Bookman Old Style" w:hAnsi="Bookman Old Style"/>
          <w:i/>
          <w:sz w:val="24"/>
        </w:rPr>
        <w:t xml:space="preserve"> de acuerdo con el Dictamen Técnico definido en el Anexo 2 de esta resolución.</w:t>
      </w:r>
    </w:p>
    <w:p w:rsidR="001207E2" w:rsidRPr="00427F50" w:rsidRDefault="001207E2" w:rsidP="00427F50">
      <w:pPr>
        <w:pStyle w:val="Prrafodelista"/>
        <w:ind w:left="0"/>
        <w:rPr>
          <w:rFonts w:ascii="Bookman Old Style" w:hAnsi="Bookman Old Style"/>
          <w:sz w:val="24"/>
        </w:rPr>
      </w:pPr>
    </w:p>
    <w:p w:rsidR="001207E2" w:rsidRDefault="001207E2" w:rsidP="00427F50">
      <w:pPr>
        <w:pStyle w:val="Ttulo1"/>
        <w:numPr>
          <w:ilvl w:val="0"/>
          <w:numId w:val="24"/>
        </w:numPr>
        <w:ind w:left="0" w:firstLine="0"/>
        <w:jc w:val="both"/>
        <w:rPr>
          <w:rFonts w:ascii="Bookman Old Style" w:hAnsi="Bookman Old Style"/>
        </w:rPr>
      </w:pPr>
      <w:r w:rsidRPr="00427F50">
        <w:rPr>
          <w:rFonts w:ascii="Bookman Old Style" w:hAnsi="Bookman Old Style"/>
        </w:rPr>
        <w:t>Vigencia</w:t>
      </w:r>
      <w:r>
        <w:rPr>
          <w:rFonts w:ascii="Bookman Old Style" w:hAnsi="Bookman Old Style"/>
          <w:b w:val="0"/>
        </w:rPr>
        <w:t xml:space="preserve">. </w:t>
      </w:r>
      <w:r w:rsidRPr="00427F50">
        <w:rPr>
          <w:rFonts w:ascii="Bookman Old Style" w:hAnsi="Bookman Old Style"/>
          <w:b w:val="0"/>
        </w:rPr>
        <w:t xml:space="preserve">Esta resolución rige a partir de su publicación en el </w:t>
      </w:r>
      <w:r w:rsidRPr="00427F50">
        <w:rPr>
          <w:rFonts w:ascii="Bookman Old Style" w:hAnsi="Bookman Old Style"/>
          <w:b w:val="0"/>
          <w:i/>
        </w:rPr>
        <w:t>Diario Oficial</w:t>
      </w:r>
      <w:r w:rsidRPr="00427F50">
        <w:rPr>
          <w:rFonts w:ascii="Bookman Old Style" w:hAnsi="Bookman Old Style"/>
          <w:b w:val="0"/>
        </w:rPr>
        <w:t xml:space="preserve"> y deroga las normas que le sean contrarias.</w:t>
      </w:r>
    </w:p>
    <w:p w:rsidR="001207E2" w:rsidRDefault="001207E2" w:rsidP="001207E2">
      <w:pPr>
        <w:ind w:left="0"/>
        <w:jc w:val="both"/>
        <w:rPr>
          <w:rFonts w:ascii="Bookman Old Style" w:hAnsi="Bookman Old Style"/>
        </w:rPr>
      </w:pPr>
      <w:r>
        <w:rPr>
          <w:rFonts w:ascii="Bookman Old Style" w:hAnsi="Bookman Old Style"/>
        </w:rPr>
        <w:t xml:space="preserve">  </w:t>
      </w:r>
      <w:r w:rsidRPr="003519D0">
        <w:rPr>
          <w:rFonts w:ascii="Bookman Old Style" w:hAnsi="Bookman Old Style"/>
        </w:rPr>
        <w:t xml:space="preserve"> </w:t>
      </w:r>
    </w:p>
    <w:p w:rsidR="009219D0" w:rsidRDefault="009219D0" w:rsidP="00C435C3">
      <w:pPr>
        <w:jc w:val="center"/>
        <w:rPr>
          <w:rFonts w:ascii="Bookman Old Style" w:hAnsi="Bookman Old Style"/>
          <w:b/>
        </w:rPr>
      </w:pPr>
    </w:p>
    <w:p w:rsidR="00C435C3" w:rsidRPr="00C435C3" w:rsidRDefault="00C435C3" w:rsidP="00427F50">
      <w:pPr>
        <w:ind w:left="0"/>
        <w:jc w:val="center"/>
        <w:rPr>
          <w:rFonts w:ascii="Bookman Old Style" w:hAnsi="Bookman Old Style"/>
          <w:b/>
        </w:rPr>
      </w:pPr>
      <w:r w:rsidRPr="00C435C3">
        <w:rPr>
          <w:rFonts w:ascii="Bookman Old Style" w:hAnsi="Bookman Old Style"/>
          <w:b/>
        </w:rPr>
        <w:t>PU</w:t>
      </w:r>
      <w:r w:rsidR="007C1406">
        <w:rPr>
          <w:rFonts w:ascii="Bookman Old Style" w:hAnsi="Bookman Old Style"/>
          <w:b/>
        </w:rPr>
        <w:t>B</w:t>
      </w:r>
      <w:r w:rsidRPr="00C435C3">
        <w:rPr>
          <w:rFonts w:ascii="Bookman Old Style" w:hAnsi="Bookman Old Style"/>
          <w:b/>
        </w:rPr>
        <w:t>LÍQUESE Y CÚMPLASE</w:t>
      </w:r>
    </w:p>
    <w:p w:rsidR="009219D0" w:rsidRDefault="009219D0" w:rsidP="00C435C3">
      <w:pPr>
        <w:ind w:left="0"/>
        <w:rPr>
          <w:rFonts w:ascii="Bookman Old Style" w:hAnsi="Bookman Old Style"/>
        </w:rPr>
      </w:pPr>
    </w:p>
    <w:p w:rsidR="00C435C3" w:rsidRPr="00C435C3" w:rsidRDefault="002F27B5" w:rsidP="00C435C3">
      <w:pPr>
        <w:ind w:left="0"/>
        <w:rPr>
          <w:rFonts w:ascii="Bookman Old Style" w:hAnsi="Bookman Old Style"/>
        </w:rPr>
      </w:pPr>
      <w:r>
        <w:rPr>
          <w:rFonts w:ascii="Bookman Old Style" w:hAnsi="Bookman Old Style"/>
        </w:rPr>
        <w:t>Firmas del proyecto;</w:t>
      </w:r>
    </w:p>
    <w:p w:rsidR="00C435C3" w:rsidRPr="00C435C3" w:rsidRDefault="00C435C3" w:rsidP="00C435C3">
      <w:pPr>
        <w:ind w:left="0"/>
        <w:rPr>
          <w:rFonts w:ascii="Bookman Old Style" w:hAnsi="Bookman Old Style"/>
        </w:rPr>
      </w:pPr>
    </w:p>
    <w:p w:rsidR="00023205" w:rsidRDefault="00023205" w:rsidP="00023205">
      <w:pPr>
        <w:ind w:left="0"/>
        <w:contextualSpacing/>
        <w:jc w:val="both"/>
        <w:rPr>
          <w:rFonts w:ascii="Bookman Old Style" w:hAnsi="Bookman Old Style" w:cs="Arial"/>
          <w:color w:val="000000"/>
          <w:szCs w:val="27"/>
        </w:rPr>
      </w:pPr>
    </w:p>
    <w:p w:rsidR="009219D0" w:rsidRDefault="009219D0" w:rsidP="00023205">
      <w:pPr>
        <w:ind w:left="0"/>
        <w:contextualSpacing/>
        <w:jc w:val="both"/>
        <w:rPr>
          <w:rFonts w:ascii="Bookman Old Style" w:hAnsi="Bookman Old Style" w:cs="Arial"/>
          <w:color w:val="000000"/>
          <w:szCs w:val="27"/>
        </w:rPr>
      </w:pPr>
    </w:p>
    <w:p w:rsidR="009219D0" w:rsidRDefault="009219D0" w:rsidP="00023205">
      <w:pPr>
        <w:ind w:left="0"/>
        <w:contextualSpacing/>
        <w:jc w:val="both"/>
        <w:rPr>
          <w:rFonts w:ascii="Bookman Old Style" w:hAnsi="Bookman Old Style" w:cs="Arial"/>
          <w:color w:val="000000"/>
          <w:szCs w:val="27"/>
        </w:rPr>
      </w:pPr>
    </w:p>
    <w:p w:rsidR="009219D0" w:rsidRPr="00517096" w:rsidRDefault="009219D0" w:rsidP="00023205">
      <w:pPr>
        <w:ind w:left="0"/>
        <w:contextualSpacing/>
        <w:jc w:val="both"/>
        <w:rPr>
          <w:rFonts w:ascii="Bookman Old Style" w:hAnsi="Bookman Old Style" w:cs="Arial"/>
          <w:color w:val="000000"/>
          <w:szCs w:val="27"/>
        </w:rPr>
      </w:pPr>
    </w:p>
    <w:tbl>
      <w:tblPr>
        <w:tblW w:w="9602" w:type="dxa"/>
        <w:jc w:val="center"/>
        <w:tblCellSpacing w:w="0" w:type="dxa"/>
        <w:tblCellMar>
          <w:left w:w="0" w:type="dxa"/>
          <w:right w:w="0" w:type="dxa"/>
        </w:tblCellMar>
        <w:tblLook w:val="04A0" w:firstRow="1" w:lastRow="0" w:firstColumn="1" w:lastColumn="0" w:noHBand="0" w:noVBand="1"/>
      </w:tblPr>
      <w:tblGrid>
        <w:gridCol w:w="4962"/>
        <w:gridCol w:w="4640"/>
      </w:tblGrid>
      <w:tr w:rsidR="00023205" w:rsidRPr="00517096" w:rsidTr="005362E7">
        <w:trPr>
          <w:tblCellSpacing w:w="0" w:type="dxa"/>
          <w:jc w:val="center"/>
        </w:trPr>
        <w:tc>
          <w:tcPr>
            <w:tcW w:w="4962" w:type="dxa"/>
            <w:hideMark/>
          </w:tcPr>
          <w:p w:rsidR="00023205" w:rsidRPr="00517096" w:rsidRDefault="00252CDA" w:rsidP="00252CDA">
            <w:pPr>
              <w:ind w:left="-6"/>
              <w:contextualSpacing/>
              <w:jc w:val="center"/>
              <w:rPr>
                <w:rFonts w:ascii="Bookman Old Style" w:eastAsia="Arial Unicode MS" w:hAnsi="Bookman Old Style"/>
                <w:b/>
                <w:bCs/>
                <w:color w:val="000000"/>
              </w:rPr>
            </w:pPr>
            <w:r>
              <w:rPr>
                <w:rFonts w:ascii="Bookman Old Style" w:hAnsi="Bookman Old Style"/>
                <w:b/>
                <w:bCs/>
              </w:rPr>
              <w:t>RUTTY PAOLA ORTIZ JARA</w:t>
            </w:r>
          </w:p>
        </w:tc>
        <w:tc>
          <w:tcPr>
            <w:tcW w:w="4640" w:type="dxa"/>
            <w:hideMark/>
          </w:tcPr>
          <w:p w:rsidR="00023205" w:rsidRPr="00517096" w:rsidRDefault="00427F50" w:rsidP="001A4547">
            <w:pPr>
              <w:ind w:left="0" w:right="-26"/>
              <w:contextualSpacing/>
              <w:jc w:val="center"/>
              <w:rPr>
                <w:rFonts w:ascii="Bookman Old Style" w:eastAsia="Arial Unicode MS" w:hAnsi="Bookman Old Style"/>
                <w:b/>
                <w:bCs/>
              </w:rPr>
            </w:pPr>
            <w:r>
              <w:rPr>
                <w:rFonts w:ascii="Bookman Old Style" w:hAnsi="Bookman Old Style" w:cs="Arial"/>
                <w:b/>
                <w:spacing w:val="-3"/>
                <w:szCs w:val="20"/>
              </w:rPr>
              <w:t>GERMÁN CASTRO FERREIRA</w:t>
            </w:r>
          </w:p>
        </w:tc>
      </w:tr>
      <w:tr w:rsidR="00023205" w:rsidRPr="00517096" w:rsidTr="005362E7">
        <w:trPr>
          <w:tblCellSpacing w:w="0" w:type="dxa"/>
          <w:jc w:val="center"/>
        </w:trPr>
        <w:tc>
          <w:tcPr>
            <w:tcW w:w="4962" w:type="dxa"/>
            <w:hideMark/>
          </w:tcPr>
          <w:p w:rsidR="005362E7" w:rsidRDefault="00252CDA" w:rsidP="005362E7">
            <w:pPr>
              <w:ind w:left="-26"/>
              <w:contextualSpacing/>
              <w:jc w:val="center"/>
              <w:rPr>
                <w:rFonts w:ascii="Bookman Old Style" w:hAnsi="Bookman Old Style" w:cs="Arial"/>
                <w:szCs w:val="27"/>
              </w:rPr>
            </w:pPr>
            <w:r>
              <w:rPr>
                <w:rFonts w:ascii="Bookman Old Style" w:hAnsi="Bookman Old Style" w:cs="Arial"/>
                <w:szCs w:val="27"/>
              </w:rPr>
              <w:t>Viceministra de Energía</w:t>
            </w:r>
          </w:p>
          <w:p w:rsidR="00023205" w:rsidRPr="00517096" w:rsidRDefault="005362E7" w:rsidP="005362E7">
            <w:pPr>
              <w:ind w:left="-26"/>
              <w:contextualSpacing/>
              <w:jc w:val="center"/>
              <w:rPr>
                <w:rFonts w:ascii="Bookman Old Style" w:eastAsia="Arial Unicode MS" w:hAnsi="Bookman Old Style" w:cs="Arial"/>
                <w:color w:val="000000"/>
              </w:rPr>
            </w:pPr>
            <w:r>
              <w:rPr>
                <w:rFonts w:ascii="Bookman Old Style" w:hAnsi="Bookman Old Style" w:cs="Arial"/>
                <w:szCs w:val="27"/>
              </w:rPr>
              <w:t>D</w:t>
            </w:r>
            <w:r w:rsidR="00252CDA">
              <w:rPr>
                <w:rFonts w:ascii="Bookman Old Style" w:hAnsi="Bookman Old Style" w:cs="Arial"/>
                <w:szCs w:val="27"/>
              </w:rPr>
              <w:t xml:space="preserve">elegada del </w:t>
            </w:r>
            <w:r w:rsidR="00023205">
              <w:rPr>
                <w:rFonts w:ascii="Bookman Old Style" w:hAnsi="Bookman Old Style" w:cs="Arial"/>
                <w:szCs w:val="27"/>
              </w:rPr>
              <w:t>Ministro de Minas y Energía</w:t>
            </w:r>
          </w:p>
        </w:tc>
        <w:tc>
          <w:tcPr>
            <w:tcW w:w="4640" w:type="dxa"/>
            <w:hideMark/>
          </w:tcPr>
          <w:p w:rsidR="00023205" w:rsidRPr="00517096" w:rsidRDefault="00023205" w:rsidP="001A4547">
            <w:pPr>
              <w:ind w:left="0"/>
              <w:contextualSpacing/>
              <w:jc w:val="center"/>
              <w:rPr>
                <w:rFonts w:ascii="Bookman Old Style" w:eastAsia="Arial Unicode MS" w:hAnsi="Bookman Old Style" w:cs="Arial"/>
                <w:color w:val="000000"/>
              </w:rPr>
            </w:pPr>
            <w:r w:rsidRPr="00517096">
              <w:rPr>
                <w:rFonts w:ascii="Bookman Old Style" w:hAnsi="Bookman Old Style" w:cs="Arial"/>
                <w:szCs w:val="27"/>
              </w:rPr>
              <w:t>Director Ejecutivo</w:t>
            </w:r>
          </w:p>
        </w:tc>
      </w:tr>
      <w:tr w:rsidR="00023205" w:rsidRPr="00517096" w:rsidTr="005362E7">
        <w:trPr>
          <w:tblCellSpacing w:w="0" w:type="dxa"/>
          <w:jc w:val="center"/>
        </w:trPr>
        <w:tc>
          <w:tcPr>
            <w:tcW w:w="4962" w:type="dxa"/>
            <w:hideMark/>
          </w:tcPr>
          <w:p w:rsidR="00023205" w:rsidRPr="00517096" w:rsidRDefault="00023205" w:rsidP="001A4547">
            <w:pPr>
              <w:ind w:left="-26"/>
              <w:contextualSpacing/>
              <w:jc w:val="center"/>
              <w:rPr>
                <w:rFonts w:ascii="Bookman Old Style" w:eastAsia="Arial Unicode MS" w:hAnsi="Bookman Old Style" w:cs="Arial"/>
                <w:color w:val="000000"/>
              </w:rPr>
            </w:pPr>
            <w:r w:rsidRPr="00517096">
              <w:rPr>
                <w:rFonts w:ascii="Bookman Old Style" w:hAnsi="Bookman Old Style" w:cs="Arial"/>
                <w:szCs w:val="27"/>
              </w:rPr>
              <w:t>Presidente</w:t>
            </w:r>
          </w:p>
        </w:tc>
        <w:tc>
          <w:tcPr>
            <w:tcW w:w="4640" w:type="dxa"/>
            <w:hideMark/>
          </w:tcPr>
          <w:p w:rsidR="00023205" w:rsidRPr="00517096" w:rsidRDefault="00023205" w:rsidP="001A4547">
            <w:pPr>
              <w:ind w:left="0"/>
              <w:contextualSpacing/>
              <w:jc w:val="center"/>
              <w:rPr>
                <w:rFonts w:ascii="Bookman Old Style" w:eastAsia="Arial Unicode MS" w:hAnsi="Bookman Old Style" w:cs="Arial"/>
                <w:color w:val="000000"/>
              </w:rPr>
            </w:pPr>
            <w:r w:rsidRPr="00517096">
              <w:rPr>
                <w:rFonts w:ascii="Bookman Old Style" w:hAnsi="Bookman Old Style" w:cs="Arial"/>
                <w:noProof/>
                <w:lang w:val="es-CO" w:eastAsia="es-CO"/>
              </w:rPr>
              <w:drawing>
                <wp:inline distT="0" distB="0" distL="0" distR="0" wp14:anchorId="43461BBA" wp14:editId="73A2893B">
                  <wp:extent cx="9525" cy="9525"/>
                  <wp:effectExtent l="0" t="0" r="0" b="0"/>
                  <wp:docPr id="3" name="Imagen 3" descr="Descripción: 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cbla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B351B4" w:rsidRDefault="00B351B4" w:rsidP="00012259">
      <w:pPr>
        <w:ind w:left="0"/>
        <w:rPr>
          <w:rFonts w:ascii="Bookman Old Style" w:hAnsi="Bookman Old Style"/>
          <w:bCs/>
          <w:lang w:val="es-CO"/>
        </w:rPr>
      </w:pPr>
    </w:p>
    <w:sectPr w:rsidR="00B351B4" w:rsidSect="00FC667C">
      <w:headerReference w:type="default" r:id="rId11"/>
      <w:headerReference w:type="first" r:id="rId12"/>
      <w:type w:val="continuous"/>
      <w:pgSz w:w="12242" w:h="18722" w:code="119"/>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D66" w:rsidRDefault="00207D66">
      <w:r>
        <w:separator/>
      </w:r>
    </w:p>
  </w:endnote>
  <w:endnote w:type="continuationSeparator" w:id="0">
    <w:p w:rsidR="00207D66" w:rsidRDefault="0020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D66" w:rsidRDefault="00207D66">
      <w:r>
        <w:separator/>
      </w:r>
    </w:p>
  </w:footnote>
  <w:footnote w:type="continuationSeparator" w:id="0">
    <w:p w:rsidR="00207D66" w:rsidRDefault="00207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311" w:rsidRDefault="001A5311" w:rsidP="00951F79">
    <w:pPr>
      <w:pStyle w:val="Ttulo1"/>
      <w:ind w:right="6"/>
      <w:jc w:val="left"/>
      <w:rPr>
        <w:rFonts w:ascii="Bookman Old Style" w:hAnsi="Bookman Old Style" w:cs="Arial"/>
        <w:b w:val="0"/>
        <w:sz w:val="22"/>
        <w:szCs w:val="22"/>
      </w:rPr>
    </w:pPr>
  </w:p>
  <w:p w:rsidR="001A5311" w:rsidRPr="00951F79" w:rsidRDefault="001A5311"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E7ECD">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7E7ECD" w:rsidRPr="007E7ECD">
        <w:rPr>
          <w:rFonts w:ascii="Bookman Old Style" w:hAnsi="Bookman Old Style" w:cs="Arial"/>
          <w:b w:val="0"/>
          <w:noProof/>
          <w:sz w:val="22"/>
          <w:szCs w:val="22"/>
        </w:rPr>
        <w:t>5</w:t>
      </w:r>
    </w:fldSimple>
  </w:p>
  <w:p w:rsidR="001A5311" w:rsidRDefault="001A5311"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61824" behindDoc="0" locked="0" layoutInCell="1" allowOverlap="1" wp14:anchorId="42DF7FC2" wp14:editId="133520A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7E118" id="Rectangle 1" o:spid="_x0000_s1026" style="position:absolute;margin-left:-13.8pt;margin-top:10.95pt;width:493.5pt;height:77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8F2D4B" w:rsidRPr="008F2D4B" w:rsidRDefault="008F2D4B" w:rsidP="008F2D4B">
    <w:pPr>
      <w:ind w:left="0"/>
      <w:jc w:val="both"/>
      <w:rPr>
        <w:rFonts w:ascii="Bookman Old Style" w:hAnsi="Bookman Old Style"/>
        <w:sz w:val="22"/>
        <w:szCs w:val="22"/>
      </w:rPr>
    </w:pPr>
    <w:r w:rsidRPr="008F2D4B">
      <w:rPr>
        <w:rFonts w:ascii="Bookman Old Style" w:hAnsi="Bookman Old Style" w:cs="Arial"/>
        <w:color w:val="000000"/>
        <w:sz w:val="22"/>
        <w:szCs w:val="22"/>
      </w:rPr>
      <w:t xml:space="preserve">Por la cual se ordena hacer público un proyecto de resolución de carácter general, </w:t>
    </w:r>
    <w:r w:rsidRPr="008F2D4B">
      <w:rPr>
        <w:rFonts w:ascii="Bookman Old Style" w:hAnsi="Bookman Old Style" w:cs="Arial"/>
        <w:sz w:val="22"/>
        <w:szCs w:val="22"/>
      </w:rPr>
      <w:t>“</w:t>
    </w:r>
    <w:r w:rsidRPr="008F2D4B">
      <w:rPr>
        <w:rFonts w:ascii="Bookman Old Style" w:hAnsi="Bookman Old Style"/>
        <w:sz w:val="22"/>
        <w:szCs w:val="22"/>
      </w:rPr>
      <w:t>Por la cual se da un nuevo plazo para la aplicación del numeral 3 del artículo 4 de la Resolución CREG 243 de 2016, que define la ENFICC de plantas solares fotovoltaicas</w:t>
    </w:r>
    <w:r w:rsidRPr="008F2D4B">
      <w:rPr>
        <w:rFonts w:ascii="Bookman Old Style" w:hAnsi="Bookman Old Style" w:cs="Arial"/>
        <w:sz w:val="22"/>
        <w:szCs w:val="22"/>
      </w:rPr>
      <w:t>”</w:t>
    </w:r>
  </w:p>
  <w:p w:rsidR="001A5311" w:rsidRPr="009219D0" w:rsidRDefault="001A5311" w:rsidP="00AD01E4">
    <w:pPr>
      <w:pBdr>
        <w:bottom w:val="single" w:sz="4" w:space="1" w:color="auto"/>
      </w:pBd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311" w:rsidRDefault="001A5311"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1A5311" w:rsidRDefault="001A5311">
    <w:pPr>
      <w:pStyle w:val="Encabezado"/>
      <w:jc w:val="center"/>
      <w:rPr>
        <w:rFonts w:ascii="Arial" w:hAnsi="Arial" w:cs="Arial"/>
        <w:spacing w:val="20"/>
        <w:sz w:val="20"/>
      </w:rPr>
    </w:pPr>
  </w:p>
  <w:p w:rsidR="001A5311" w:rsidRDefault="001A5311"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06F04"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AE2B43"/>
    <w:multiLevelType w:val="hybridMultilevel"/>
    <w:tmpl w:val="2AD80B9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33554CD"/>
    <w:multiLevelType w:val="hybridMultilevel"/>
    <w:tmpl w:val="3C68AF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55208C"/>
    <w:multiLevelType w:val="hybridMultilevel"/>
    <w:tmpl w:val="BBBEDF6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1"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3" w15:restartNumberingAfterBreak="0">
    <w:nsid w:val="52974404"/>
    <w:multiLevelType w:val="hybridMultilevel"/>
    <w:tmpl w:val="958220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45517E3"/>
    <w:multiLevelType w:val="hybridMultilevel"/>
    <w:tmpl w:val="37B8154E"/>
    <w:lvl w:ilvl="0" w:tplc="4FF60628">
      <w:start w:val="1"/>
      <w:numFmt w:val="decimal"/>
      <w:lvlText w:val="Artículo %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C6B1E36"/>
    <w:multiLevelType w:val="hybridMultilevel"/>
    <w:tmpl w:val="538EE08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4BB795D"/>
    <w:multiLevelType w:val="hybridMultilevel"/>
    <w:tmpl w:val="87AE88A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93D5D0E"/>
    <w:multiLevelType w:val="hybridMultilevel"/>
    <w:tmpl w:val="3928284C"/>
    <w:lvl w:ilvl="0" w:tplc="ED22D368">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79A8074C"/>
    <w:multiLevelType w:val="hybridMultilevel"/>
    <w:tmpl w:val="3AB817B0"/>
    <w:lvl w:ilvl="0" w:tplc="240A000F">
      <w:start w:val="1"/>
      <w:numFmt w:val="decimal"/>
      <w:lvlText w:val="%1."/>
      <w:lvlJc w:val="left"/>
      <w:pPr>
        <w:ind w:left="1146" w:hanging="360"/>
      </w:pPr>
      <w:rPr>
        <w:rFont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3"/>
  </w:num>
  <w:num w:numId="4">
    <w:abstractNumId w:val="7"/>
  </w:num>
  <w:num w:numId="5">
    <w:abstractNumId w:val="15"/>
  </w:num>
  <w:num w:numId="6">
    <w:abstractNumId w:val="3"/>
  </w:num>
  <w:num w:numId="7">
    <w:abstractNumId w:val="2"/>
  </w:num>
  <w:num w:numId="8">
    <w:abstractNumId w:val="17"/>
  </w:num>
  <w:num w:numId="9">
    <w:abstractNumId w:val="16"/>
  </w:num>
  <w:num w:numId="10">
    <w:abstractNumId w:val="11"/>
  </w:num>
  <w:num w:numId="11">
    <w:abstractNumId w:val="24"/>
  </w:num>
  <w:num w:numId="12">
    <w:abstractNumId w:val="19"/>
  </w:num>
  <w:num w:numId="13">
    <w:abstractNumId w:val="8"/>
  </w:num>
  <w:num w:numId="14">
    <w:abstractNumId w:val="1"/>
  </w:num>
  <w:num w:numId="15">
    <w:abstractNumId w:val="12"/>
  </w:num>
  <w:num w:numId="16">
    <w:abstractNumId w:val="0"/>
  </w:num>
  <w:num w:numId="17">
    <w:abstractNumId w:val="13"/>
  </w:num>
  <w:num w:numId="18">
    <w:abstractNumId w:val="18"/>
  </w:num>
  <w:num w:numId="19">
    <w:abstractNumId w:val="20"/>
  </w:num>
  <w:num w:numId="20">
    <w:abstractNumId w:val="6"/>
  </w:num>
  <w:num w:numId="21">
    <w:abstractNumId w:val="5"/>
  </w:num>
  <w:num w:numId="22">
    <w:abstractNumId w:val="22"/>
  </w:num>
  <w:num w:numId="23">
    <w:abstractNumId w:val="9"/>
  </w:num>
  <w:num w:numId="24">
    <w:abstractNumId w:val="1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21B4"/>
    <w:rsid w:val="00005D0C"/>
    <w:rsid w:val="00006AE2"/>
    <w:rsid w:val="000076A1"/>
    <w:rsid w:val="00010B2C"/>
    <w:rsid w:val="00012259"/>
    <w:rsid w:val="00012EEB"/>
    <w:rsid w:val="00023205"/>
    <w:rsid w:val="00023B56"/>
    <w:rsid w:val="00025383"/>
    <w:rsid w:val="000266AD"/>
    <w:rsid w:val="000438C8"/>
    <w:rsid w:val="00063657"/>
    <w:rsid w:val="0007561F"/>
    <w:rsid w:val="00076680"/>
    <w:rsid w:val="0008073E"/>
    <w:rsid w:val="00081AFD"/>
    <w:rsid w:val="00091CDB"/>
    <w:rsid w:val="00095AE2"/>
    <w:rsid w:val="000A19AC"/>
    <w:rsid w:val="000A2996"/>
    <w:rsid w:val="000A2B12"/>
    <w:rsid w:val="000D26F8"/>
    <w:rsid w:val="000E0563"/>
    <w:rsid w:val="000E0D04"/>
    <w:rsid w:val="00103AD4"/>
    <w:rsid w:val="001207E2"/>
    <w:rsid w:val="00122F88"/>
    <w:rsid w:val="001405C6"/>
    <w:rsid w:val="00141013"/>
    <w:rsid w:val="00151A20"/>
    <w:rsid w:val="00151D90"/>
    <w:rsid w:val="00154A27"/>
    <w:rsid w:val="00180F6F"/>
    <w:rsid w:val="001901D5"/>
    <w:rsid w:val="00192CBF"/>
    <w:rsid w:val="00192FF1"/>
    <w:rsid w:val="001A4547"/>
    <w:rsid w:val="001A5311"/>
    <w:rsid w:val="001A5F1B"/>
    <w:rsid w:val="001B1C22"/>
    <w:rsid w:val="001B34C6"/>
    <w:rsid w:val="001C1047"/>
    <w:rsid w:val="001D5267"/>
    <w:rsid w:val="001D7832"/>
    <w:rsid w:val="001E4095"/>
    <w:rsid w:val="001F56B0"/>
    <w:rsid w:val="001F6049"/>
    <w:rsid w:val="00204B0A"/>
    <w:rsid w:val="00207D66"/>
    <w:rsid w:val="00211D34"/>
    <w:rsid w:val="00214F04"/>
    <w:rsid w:val="002360CB"/>
    <w:rsid w:val="00252CDA"/>
    <w:rsid w:val="00266CD6"/>
    <w:rsid w:val="00275DAB"/>
    <w:rsid w:val="00286135"/>
    <w:rsid w:val="00290892"/>
    <w:rsid w:val="002966A5"/>
    <w:rsid w:val="002A782A"/>
    <w:rsid w:val="002A7D4B"/>
    <w:rsid w:val="002B11E2"/>
    <w:rsid w:val="002B166B"/>
    <w:rsid w:val="002B24B8"/>
    <w:rsid w:val="002B27BF"/>
    <w:rsid w:val="002B3B01"/>
    <w:rsid w:val="002C172B"/>
    <w:rsid w:val="002D3AE9"/>
    <w:rsid w:val="002D4510"/>
    <w:rsid w:val="002D5724"/>
    <w:rsid w:val="002D585B"/>
    <w:rsid w:val="002E7ACA"/>
    <w:rsid w:val="002F0734"/>
    <w:rsid w:val="002F27B5"/>
    <w:rsid w:val="002F46E7"/>
    <w:rsid w:val="003032B7"/>
    <w:rsid w:val="003078F7"/>
    <w:rsid w:val="003101DA"/>
    <w:rsid w:val="00314757"/>
    <w:rsid w:val="0031714C"/>
    <w:rsid w:val="003211CE"/>
    <w:rsid w:val="00334C5D"/>
    <w:rsid w:val="00335F99"/>
    <w:rsid w:val="0035403A"/>
    <w:rsid w:val="003577AD"/>
    <w:rsid w:val="0036394B"/>
    <w:rsid w:val="003709B5"/>
    <w:rsid w:val="003759C2"/>
    <w:rsid w:val="00397365"/>
    <w:rsid w:val="003A31F6"/>
    <w:rsid w:val="003B11C4"/>
    <w:rsid w:val="003C1A1A"/>
    <w:rsid w:val="003C3447"/>
    <w:rsid w:val="003C5E9A"/>
    <w:rsid w:val="003D076C"/>
    <w:rsid w:val="003D4304"/>
    <w:rsid w:val="003E78B5"/>
    <w:rsid w:val="003F34C4"/>
    <w:rsid w:val="00406B66"/>
    <w:rsid w:val="00415BAB"/>
    <w:rsid w:val="00415ED2"/>
    <w:rsid w:val="0042068C"/>
    <w:rsid w:val="00427F50"/>
    <w:rsid w:val="00435B58"/>
    <w:rsid w:val="0044171A"/>
    <w:rsid w:val="004540F1"/>
    <w:rsid w:val="00461CE4"/>
    <w:rsid w:val="0047122B"/>
    <w:rsid w:val="00473B7A"/>
    <w:rsid w:val="00480F3B"/>
    <w:rsid w:val="004960E9"/>
    <w:rsid w:val="004A2E88"/>
    <w:rsid w:val="004A5305"/>
    <w:rsid w:val="004C09F3"/>
    <w:rsid w:val="004D2E48"/>
    <w:rsid w:val="004D7634"/>
    <w:rsid w:val="004E57AC"/>
    <w:rsid w:val="00502776"/>
    <w:rsid w:val="0050325A"/>
    <w:rsid w:val="00514C2D"/>
    <w:rsid w:val="005257B1"/>
    <w:rsid w:val="005300D3"/>
    <w:rsid w:val="005362E7"/>
    <w:rsid w:val="00536791"/>
    <w:rsid w:val="00544F82"/>
    <w:rsid w:val="0055174D"/>
    <w:rsid w:val="00580F3D"/>
    <w:rsid w:val="00581085"/>
    <w:rsid w:val="00593C4F"/>
    <w:rsid w:val="005946A8"/>
    <w:rsid w:val="005978E4"/>
    <w:rsid w:val="005A4407"/>
    <w:rsid w:val="005A59EF"/>
    <w:rsid w:val="005B38FD"/>
    <w:rsid w:val="005C58B8"/>
    <w:rsid w:val="005C6D41"/>
    <w:rsid w:val="005D4B05"/>
    <w:rsid w:val="005F6F41"/>
    <w:rsid w:val="005F7BB4"/>
    <w:rsid w:val="00625DC6"/>
    <w:rsid w:val="00641EA3"/>
    <w:rsid w:val="0064391D"/>
    <w:rsid w:val="00651821"/>
    <w:rsid w:val="00654384"/>
    <w:rsid w:val="006675CD"/>
    <w:rsid w:val="00684D9B"/>
    <w:rsid w:val="00690407"/>
    <w:rsid w:val="00693CC1"/>
    <w:rsid w:val="0069452E"/>
    <w:rsid w:val="00697556"/>
    <w:rsid w:val="006A59E3"/>
    <w:rsid w:val="006A7F6D"/>
    <w:rsid w:val="006B26A4"/>
    <w:rsid w:val="006B4C2B"/>
    <w:rsid w:val="006B6D47"/>
    <w:rsid w:val="006C5AFE"/>
    <w:rsid w:val="006E64F1"/>
    <w:rsid w:val="006E7876"/>
    <w:rsid w:val="006F565B"/>
    <w:rsid w:val="006F6D95"/>
    <w:rsid w:val="00706F13"/>
    <w:rsid w:val="007072E8"/>
    <w:rsid w:val="00707BFF"/>
    <w:rsid w:val="00713B6F"/>
    <w:rsid w:val="0071618D"/>
    <w:rsid w:val="00725FA4"/>
    <w:rsid w:val="00727398"/>
    <w:rsid w:val="00740446"/>
    <w:rsid w:val="007438A9"/>
    <w:rsid w:val="0074491E"/>
    <w:rsid w:val="0076247A"/>
    <w:rsid w:val="00775964"/>
    <w:rsid w:val="007765FE"/>
    <w:rsid w:val="00780910"/>
    <w:rsid w:val="00795BFB"/>
    <w:rsid w:val="007969E9"/>
    <w:rsid w:val="007A2634"/>
    <w:rsid w:val="007A5AFE"/>
    <w:rsid w:val="007B2760"/>
    <w:rsid w:val="007C1406"/>
    <w:rsid w:val="007C5B91"/>
    <w:rsid w:val="007E74B6"/>
    <w:rsid w:val="007E7ECD"/>
    <w:rsid w:val="007F1707"/>
    <w:rsid w:val="00806C01"/>
    <w:rsid w:val="00811902"/>
    <w:rsid w:val="00812BC8"/>
    <w:rsid w:val="008148CC"/>
    <w:rsid w:val="008211A4"/>
    <w:rsid w:val="00852B09"/>
    <w:rsid w:val="00860E5C"/>
    <w:rsid w:val="008617CF"/>
    <w:rsid w:val="00873150"/>
    <w:rsid w:val="0087657D"/>
    <w:rsid w:val="008807D5"/>
    <w:rsid w:val="00880832"/>
    <w:rsid w:val="008840BD"/>
    <w:rsid w:val="00886EE1"/>
    <w:rsid w:val="0088727D"/>
    <w:rsid w:val="00887539"/>
    <w:rsid w:val="00897C75"/>
    <w:rsid w:val="008B38C3"/>
    <w:rsid w:val="008C1130"/>
    <w:rsid w:val="008C5CCE"/>
    <w:rsid w:val="008D15B4"/>
    <w:rsid w:val="008D18E6"/>
    <w:rsid w:val="008D6CA1"/>
    <w:rsid w:val="008D7A9B"/>
    <w:rsid w:val="008E76AC"/>
    <w:rsid w:val="008F21F6"/>
    <w:rsid w:val="008F2D4B"/>
    <w:rsid w:val="009219D0"/>
    <w:rsid w:val="009436EB"/>
    <w:rsid w:val="009461CB"/>
    <w:rsid w:val="00951F79"/>
    <w:rsid w:val="00951F91"/>
    <w:rsid w:val="009702C0"/>
    <w:rsid w:val="0097275B"/>
    <w:rsid w:val="00974AB5"/>
    <w:rsid w:val="00977A3C"/>
    <w:rsid w:val="0098706D"/>
    <w:rsid w:val="0099113B"/>
    <w:rsid w:val="009935FB"/>
    <w:rsid w:val="00993FCF"/>
    <w:rsid w:val="009A3110"/>
    <w:rsid w:val="009B0BBA"/>
    <w:rsid w:val="009B2305"/>
    <w:rsid w:val="009C3B24"/>
    <w:rsid w:val="009C63D6"/>
    <w:rsid w:val="009C669F"/>
    <w:rsid w:val="009E7E89"/>
    <w:rsid w:val="009F0078"/>
    <w:rsid w:val="009F4A54"/>
    <w:rsid w:val="009F4BEC"/>
    <w:rsid w:val="00A03B6F"/>
    <w:rsid w:val="00A101F6"/>
    <w:rsid w:val="00A10F13"/>
    <w:rsid w:val="00A25FD7"/>
    <w:rsid w:val="00A37BB7"/>
    <w:rsid w:val="00A43AFF"/>
    <w:rsid w:val="00A44319"/>
    <w:rsid w:val="00A520A2"/>
    <w:rsid w:val="00A62919"/>
    <w:rsid w:val="00A7793A"/>
    <w:rsid w:val="00A92A02"/>
    <w:rsid w:val="00AA4CC7"/>
    <w:rsid w:val="00AA5E8E"/>
    <w:rsid w:val="00AB2379"/>
    <w:rsid w:val="00AB2B36"/>
    <w:rsid w:val="00AB6CA7"/>
    <w:rsid w:val="00AC74F2"/>
    <w:rsid w:val="00AD01E4"/>
    <w:rsid w:val="00AD0858"/>
    <w:rsid w:val="00AE7340"/>
    <w:rsid w:val="00AF1BBD"/>
    <w:rsid w:val="00AF39AD"/>
    <w:rsid w:val="00AF56EE"/>
    <w:rsid w:val="00B10207"/>
    <w:rsid w:val="00B141E7"/>
    <w:rsid w:val="00B1649C"/>
    <w:rsid w:val="00B351B4"/>
    <w:rsid w:val="00B46BCA"/>
    <w:rsid w:val="00B50D95"/>
    <w:rsid w:val="00B76BE2"/>
    <w:rsid w:val="00B87806"/>
    <w:rsid w:val="00B87EC9"/>
    <w:rsid w:val="00BB31B3"/>
    <w:rsid w:val="00BC38FD"/>
    <w:rsid w:val="00BF6B67"/>
    <w:rsid w:val="00C034CB"/>
    <w:rsid w:val="00C051A8"/>
    <w:rsid w:val="00C054BC"/>
    <w:rsid w:val="00C0564C"/>
    <w:rsid w:val="00C16135"/>
    <w:rsid w:val="00C17897"/>
    <w:rsid w:val="00C2136B"/>
    <w:rsid w:val="00C36D0F"/>
    <w:rsid w:val="00C36EAA"/>
    <w:rsid w:val="00C409D5"/>
    <w:rsid w:val="00C435C3"/>
    <w:rsid w:val="00C46A5E"/>
    <w:rsid w:val="00C6234B"/>
    <w:rsid w:val="00C63EAE"/>
    <w:rsid w:val="00C74DA9"/>
    <w:rsid w:val="00C7629F"/>
    <w:rsid w:val="00C82895"/>
    <w:rsid w:val="00C8661B"/>
    <w:rsid w:val="00C909D1"/>
    <w:rsid w:val="00C91B18"/>
    <w:rsid w:val="00CA139A"/>
    <w:rsid w:val="00CA2899"/>
    <w:rsid w:val="00CA3A3D"/>
    <w:rsid w:val="00CA717C"/>
    <w:rsid w:val="00CA77FB"/>
    <w:rsid w:val="00CB2B09"/>
    <w:rsid w:val="00CB379B"/>
    <w:rsid w:val="00CB5DD0"/>
    <w:rsid w:val="00CC51D4"/>
    <w:rsid w:val="00CC65DA"/>
    <w:rsid w:val="00CD5EEC"/>
    <w:rsid w:val="00CF0E00"/>
    <w:rsid w:val="00CF21B9"/>
    <w:rsid w:val="00CF55D6"/>
    <w:rsid w:val="00CF6BF9"/>
    <w:rsid w:val="00D00238"/>
    <w:rsid w:val="00D0045B"/>
    <w:rsid w:val="00D02351"/>
    <w:rsid w:val="00D03800"/>
    <w:rsid w:val="00D065D3"/>
    <w:rsid w:val="00D14C94"/>
    <w:rsid w:val="00D342A6"/>
    <w:rsid w:val="00D464BF"/>
    <w:rsid w:val="00D53E26"/>
    <w:rsid w:val="00D540A1"/>
    <w:rsid w:val="00D54657"/>
    <w:rsid w:val="00D66F95"/>
    <w:rsid w:val="00D67561"/>
    <w:rsid w:val="00D704F8"/>
    <w:rsid w:val="00D765BA"/>
    <w:rsid w:val="00D929B5"/>
    <w:rsid w:val="00D967D4"/>
    <w:rsid w:val="00DC3519"/>
    <w:rsid w:val="00DD4F0E"/>
    <w:rsid w:val="00DE1924"/>
    <w:rsid w:val="00DF0BF0"/>
    <w:rsid w:val="00DF2111"/>
    <w:rsid w:val="00E05E0A"/>
    <w:rsid w:val="00E1377F"/>
    <w:rsid w:val="00E243BA"/>
    <w:rsid w:val="00E32585"/>
    <w:rsid w:val="00E441EC"/>
    <w:rsid w:val="00E534CF"/>
    <w:rsid w:val="00E61D74"/>
    <w:rsid w:val="00E61F2E"/>
    <w:rsid w:val="00E63F1E"/>
    <w:rsid w:val="00E700C0"/>
    <w:rsid w:val="00E81CA5"/>
    <w:rsid w:val="00E81CB4"/>
    <w:rsid w:val="00E837BC"/>
    <w:rsid w:val="00E8585B"/>
    <w:rsid w:val="00EA3F15"/>
    <w:rsid w:val="00EA7847"/>
    <w:rsid w:val="00EC48EC"/>
    <w:rsid w:val="00ED0833"/>
    <w:rsid w:val="00ED63FA"/>
    <w:rsid w:val="00ED7574"/>
    <w:rsid w:val="00EE2E6E"/>
    <w:rsid w:val="00EF2831"/>
    <w:rsid w:val="00EF7C39"/>
    <w:rsid w:val="00F0691B"/>
    <w:rsid w:val="00F0759E"/>
    <w:rsid w:val="00F24611"/>
    <w:rsid w:val="00F4762F"/>
    <w:rsid w:val="00F7598B"/>
    <w:rsid w:val="00F821A3"/>
    <w:rsid w:val="00F9314A"/>
    <w:rsid w:val="00FA2717"/>
    <w:rsid w:val="00FC509A"/>
    <w:rsid w:val="00FC58EF"/>
    <w:rsid w:val="00FC667C"/>
    <w:rsid w:val="00FC775B"/>
    <w:rsid w:val="00FD33DF"/>
    <w:rsid w:val="00FE2B08"/>
    <w:rsid w:val="00FE39D7"/>
    <w:rsid w:val="00FF1148"/>
    <w:rsid w:val="00FF52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17FEF48-DD91-410C-B8A1-F8F6062D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Textodelmarcadordeposicin">
    <w:name w:val="Placeholder Text"/>
    <w:basedOn w:val="Fuentedeprrafopredeter"/>
    <w:uiPriority w:val="99"/>
    <w:semiHidden/>
    <w:rsid w:val="002D5724"/>
    <w:rPr>
      <w:color w:val="808080"/>
    </w:rPr>
  </w:style>
  <w:style w:type="paragraph" w:customStyle="1" w:styleId="Textodebloque1">
    <w:name w:val="Texto de bloque1"/>
    <w:basedOn w:val="Normal"/>
    <w:rsid w:val="00536791"/>
    <w:pPr>
      <w:suppressAutoHyphens/>
      <w:ind w:left="1701" w:right="1468"/>
      <w:jc w:val="both"/>
    </w:pPr>
    <w:rPr>
      <w:rFonts w:ascii="Arial" w:hAnsi="Arial"/>
      <w:szCs w:val="20"/>
      <w:lang w:val="es-ES_tradnl" w:eastAsia="ar-SA"/>
    </w:rPr>
  </w:style>
  <w:style w:type="paragraph" w:customStyle="1" w:styleId="TextoNormal">
    <w:name w:val="TextoNormal"/>
    <w:basedOn w:val="Normal"/>
    <w:link w:val="TextoNormalCar"/>
    <w:qFormat/>
    <w:rsid w:val="00E1377F"/>
    <w:pPr>
      <w:tabs>
        <w:tab w:val="left" w:pos="567"/>
      </w:tabs>
      <w:spacing w:after="200" w:line="276" w:lineRule="auto"/>
      <w:ind w:left="0"/>
      <w:jc w:val="both"/>
    </w:pPr>
    <w:rPr>
      <w:rFonts w:ascii="Arial" w:eastAsia="Calibri" w:hAnsi="Arial" w:cs="Arial"/>
      <w:lang w:val="es-CO" w:eastAsia="en-US"/>
    </w:rPr>
  </w:style>
  <w:style w:type="character" w:customStyle="1" w:styleId="TextoNormalCar">
    <w:name w:val="TextoNormal Car"/>
    <w:link w:val="TextoNormal"/>
    <w:rsid w:val="00E1377F"/>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03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9C6E0-6BA7-4083-8863-AF6921765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1422</Words>
  <Characters>7283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2017-08-09T15:18:00Z</cp:lastPrinted>
  <dcterms:created xsi:type="dcterms:W3CDTF">2017-09-04T16:15:00Z</dcterms:created>
  <dcterms:modified xsi:type="dcterms:W3CDTF">2017-09-04T16:15:00Z</dcterms:modified>
</cp:coreProperties>
</file>