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5DC6" w:rsidRPr="00E060BE" w:rsidRDefault="00C525D4" w:rsidP="00012259">
      <w:pPr>
        <w:pStyle w:val="Encabezado"/>
        <w:tabs>
          <w:tab w:val="clear" w:pos="8504"/>
          <w:tab w:val="left" w:pos="0"/>
          <w:tab w:val="right" w:pos="9356"/>
        </w:tabs>
        <w:ind w:left="0"/>
        <w:jc w:val="both"/>
        <w:rPr>
          <w:rFonts w:ascii="Bookman Old Style" w:hAnsi="Bookman Old Style"/>
          <w:szCs w:val="24"/>
        </w:rPr>
      </w:pPr>
      <w:bookmarkStart w:id="0" w:name="_GoBack"/>
      <w:bookmarkEnd w:id="0"/>
      <w:r>
        <w:rPr>
          <w:rFonts w:ascii="Bookman Old Style" w:hAnsi="Bookman Old Style"/>
          <w:noProof/>
          <w:szCs w:val="24"/>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3.35pt;width:52.5pt;height:48.75pt;z-index:251657728" fillcolor="#0c9">
            <v:imagedata r:id="rId8" o:title=""/>
          </v:shape>
          <o:OLEObject Type="Embed" ProgID="PBrush" ShapeID="_x0000_s1026" DrawAspect="Content" ObjectID="_1632989217" r:id="rId9"/>
        </w:object>
      </w:r>
    </w:p>
    <w:p w:rsidR="00DF2CD7" w:rsidRPr="001A11B2" w:rsidRDefault="00DF2CD7" w:rsidP="00DF2CD7">
      <w:pPr>
        <w:pStyle w:val="Ttulo4"/>
        <w:tabs>
          <w:tab w:val="left" w:pos="0"/>
          <w:tab w:val="right" w:pos="9356"/>
        </w:tabs>
        <w:ind w:left="0"/>
        <w:rPr>
          <w:rFonts w:ascii="Bookman Old Style" w:hAnsi="Bookman Old Style"/>
          <w:b w:val="0"/>
          <w:bCs/>
          <w:noProof/>
          <w:sz w:val="24"/>
          <w:szCs w:val="24"/>
          <w:lang w:val="es-ES"/>
        </w:rPr>
      </w:pPr>
      <w:r w:rsidRPr="001A11B2">
        <w:rPr>
          <w:rFonts w:ascii="Bookman Old Style" w:hAnsi="Bookman Old Style"/>
          <w:b w:val="0"/>
          <w:bCs/>
          <w:sz w:val="24"/>
          <w:szCs w:val="24"/>
        </w:rPr>
        <w:t>Ministerio de Minas y Energía</w:t>
      </w:r>
    </w:p>
    <w:p w:rsidR="00DF2CD7" w:rsidRPr="001A11B2" w:rsidRDefault="00DF2CD7" w:rsidP="00DF2CD7">
      <w:pPr>
        <w:pStyle w:val="Ttulo4"/>
        <w:tabs>
          <w:tab w:val="left" w:pos="0"/>
          <w:tab w:val="right" w:pos="9356"/>
        </w:tabs>
        <w:ind w:left="0"/>
        <w:rPr>
          <w:rFonts w:ascii="Bookman Old Style" w:hAnsi="Bookman Old Style"/>
          <w:b w:val="0"/>
          <w:bCs/>
          <w:sz w:val="24"/>
          <w:szCs w:val="24"/>
        </w:rPr>
      </w:pPr>
    </w:p>
    <w:p w:rsidR="00DF2CD7" w:rsidRPr="001A11B2" w:rsidRDefault="00DF2CD7" w:rsidP="00DF2CD7">
      <w:pPr>
        <w:pStyle w:val="Ttulo3"/>
        <w:tabs>
          <w:tab w:val="left" w:pos="0"/>
          <w:tab w:val="right" w:pos="9356"/>
        </w:tabs>
        <w:ind w:left="0"/>
        <w:rPr>
          <w:rFonts w:ascii="Bookman Old Style" w:hAnsi="Bookman Old Style" w:cs="Arial"/>
          <w:spacing w:val="20"/>
          <w:szCs w:val="24"/>
        </w:rPr>
      </w:pPr>
    </w:p>
    <w:p w:rsidR="00DF2CD7" w:rsidRPr="001A11B2" w:rsidRDefault="00DF2CD7" w:rsidP="00DF2CD7">
      <w:pPr>
        <w:pStyle w:val="Ttulo3"/>
        <w:ind w:left="0"/>
        <w:rPr>
          <w:rFonts w:ascii="Bookman Old Style" w:hAnsi="Bookman Old Style"/>
        </w:rPr>
      </w:pPr>
      <w:r w:rsidRPr="001A11B2">
        <w:rPr>
          <w:rFonts w:ascii="Bookman Old Style" w:hAnsi="Bookman Old Style"/>
        </w:rPr>
        <w:t>COMISIÓN DE REGULACIÓN DE ENERGÍA Y GAS</w:t>
      </w:r>
    </w:p>
    <w:p w:rsidR="00DF2CD7" w:rsidRPr="001A11B2" w:rsidRDefault="00DF2CD7" w:rsidP="00DF2CD7">
      <w:pPr>
        <w:pStyle w:val="Ttulo5"/>
        <w:tabs>
          <w:tab w:val="left" w:pos="0"/>
          <w:tab w:val="right" w:pos="9356"/>
        </w:tabs>
        <w:ind w:left="0"/>
        <w:rPr>
          <w:rFonts w:ascii="Bookman Old Style" w:hAnsi="Bookman Old Style"/>
          <w:sz w:val="24"/>
          <w:szCs w:val="24"/>
        </w:rPr>
      </w:pPr>
    </w:p>
    <w:p w:rsidR="00DF2CD7" w:rsidRPr="001A11B2" w:rsidRDefault="00DF2CD7" w:rsidP="00DF2CD7">
      <w:pPr>
        <w:pStyle w:val="Ttulo5"/>
        <w:tabs>
          <w:tab w:val="left" w:pos="0"/>
          <w:tab w:val="right" w:pos="9356"/>
        </w:tabs>
        <w:ind w:left="0"/>
        <w:rPr>
          <w:rFonts w:ascii="Bookman Old Style" w:hAnsi="Bookman Old Style"/>
          <w:sz w:val="24"/>
          <w:szCs w:val="24"/>
        </w:rPr>
      </w:pPr>
    </w:p>
    <w:p w:rsidR="00DF2CD7" w:rsidRPr="001A11B2" w:rsidRDefault="00DF2CD7" w:rsidP="00DF2CD7">
      <w:pPr>
        <w:pStyle w:val="Ttulo5"/>
        <w:tabs>
          <w:tab w:val="left" w:pos="0"/>
          <w:tab w:val="right" w:pos="9356"/>
        </w:tabs>
        <w:ind w:left="0"/>
        <w:rPr>
          <w:rFonts w:ascii="Bookman Old Style" w:hAnsi="Bookman Old Style"/>
          <w:sz w:val="24"/>
          <w:szCs w:val="24"/>
        </w:rPr>
      </w:pPr>
      <w:r w:rsidRPr="001A11B2">
        <w:rPr>
          <w:rFonts w:ascii="Bookman Old Style" w:hAnsi="Bookman Old Style"/>
          <w:sz w:val="24"/>
          <w:szCs w:val="24"/>
        </w:rPr>
        <w:t>RESOLUCIÓ</w:t>
      </w:r>
      <w:r w:rsidR="00D53D9C">
        <w:rPr>
          <w:rFonts w:ascii="Bookman Old Style" w:hAnsi="Bookman Old Style"/>
          <w:sz w:val="24"/>
          <w:szCs w:val="24"/>
        </w:rPr>
        <w:t>N No.                    DE 2019</w:t>
      </w:r>
    </w:p>
    <w:p w:rsidR="00DF2CD7" w:rsidRPr="001A11B2" w:rsidRDefault="00DF2CD7" w:rsidP="00DF2CD7">
      <w:pPr>
        <w:tabs>
          <w:tab w:val="left" w:pos="0"/>
          <w:tab w:val="right" w:pos="9356"/>
        </w:tabs>
        <w:ind w:left="0"/>
        <w:jc w:val="center"/>
        <w:rPr>
          <w:rFonts w:ascii="Bookman Old Style" w:hAnsi="Bookman Old Style" w:cs="Arial"/>
          <w:b/>
          <w:snapToGrid w:val="0"/>
          <w:color w:val="000000"/>
          <w:lang w:val="es-ES_tradnl"/>
        </w:rPr>
      </w:pPr>
    </w:p>
    <w:p w:rsidR="00DF2CD7" w:rsidRPr="001A11B2" w:rsidRDefault="00DF2CD7" w:rsidP="00DF2CD7">
      <w:pPr>
        <w:tabs>
          <w:tab w:val="left" w:pos="0"/>
          <w:tab w:val="right" w:pos="9356"/>
        </w:tabs>
        <w:ind w:left="0"/>
        <w:jc w:val="center"/>
        <w:rPr>
          <w:rFonts w:ascii="Bookman Old Style" w:hAnsi="Bookman Old Style" w:cs="Arial"/>
          <w:b/>
          <w:snapToGrid w:val="0"/>
          <w:color w:val="000000"/>
          <w:lang w:val="es-ES_tradnl"/>
        </w:rPr>
      </w:pPr>
    </w:p>
    <w:p w:rsidR="00DF2CD7" w:rsidRPr="001A11B2" w:rsidRDefault="00DF2CD7" w:rsidP="00DF2CD7">
      <w:pPr>
        <w:pStyle w:val="Ttulo3"/>
        <w:ind w:left="0"/>
      </w:pPr>
      <w:r w:rsidRPr="001A11B2">
        <w:t>(                                           )</w:t>
      </w:r>
    </w:p>
    <w:p w:rsidR="00DF2CD7" w:rsidRPr="001A11B2" w:rsidRDefault="00DF2CD7" w:rsidP="00DF2CD7">
      <w:pPr>
        <w:tabs>
          <w:tab w:val="left" w:pos="0"/>
          <w:tab w:val="right" w:pos="9356"/>
        </w:tabs>
        <w:ind w:left="0"/>
        <w:jc w:val="center"/>
        <w:rPr>
          <w:rFonts w:ascii="Bookman Old Style" w:hAnsi="Bookman Old Style"/>
          <w:lang w:val="es-ES_tradnl"/>
        </w:rPr>
      </w:pPr>
    </w:p>
    <w:p w:rsidR="006E1DB8" w:rsidRDefault="006E1DB8" w:rsidP="00EC1A9B">
      <w:pPr>
        <w:ind w:left="0"/>
        <w:jc w:val="center"/>
        <w:rPr>
          <w:rFonts w:ascii="Bookman Old Style" w:hAnsi="Bookman Old Style"/>
        </w:rPr>
      </w:pPr>
    </w:p>
    <w:p w:rsidR="00EC1A9B" w:rsidRPr="00AC7A83" w:rsidRDefault="00EC1A9B" w:rsidP="00EC1A9B">
      <w:pPr>
        <w:ind w:left="0"/>
        <w:jc w:val="center"/>
        <w:rPr>
          <w:rFonts w:ascii="Bookman Old Style" w:hAnsi="Bookman Old Style"/>
        </w:rPr>
      </w:pPr>
      <w:r w:rsidRPr="00EC1A9B">
        <w:rPr>
          <w:rFonts w:ascii="Bookman Old Style" w:hAnsi="Bookman Old Style"/>
        </w:rPr>
        <w:t xml:space="preserve">Fórmula de traslado en el componente de compras de energía al usuario regulado de los precios de los contratos del mecanismo complementario del que trata </w:t>
      </w:r>
      <w:r w:rsidR="008D068C" w:rsidRPr="00304322">
        <w:rPr>
          <w:rFonts w:ascii="Bookman Old Style" w:hAnsi="Bookman Old Style"/>
        </w:rPr>
        <w:t>la Resolución 40725 de 2019 del</w:t>
      </w:r>
      <w:r w:rsidR="008D068C" w:rsidRPr="00C83E41">
        <w:rPr>
          <w:rFonts w:ascii="Bookman Old Style" w:hAnsi="Bookman Old Style"/>
        </w:rPr>
        <w:t xml:space="preserve"> Ministerio de Minas y Energía</w:t>
      </w:r>
      <w:r w:rsidRPr="00C83E41">
        <w:rPr>
          <w:rFonts w:ascii="Bookman Old Style" w:hAnsi="Bookman Old Style"/>
        </w:rPr>
        <w:t>.</w:t>
      </w:r>
    </w:p>
    <w:p w:rsidR="00DF2CD7" w:rsidRPr="00AC7A83" w:rsidRDefault="00DF2CD7" w:rsidP="00DF2CD7">
      <w:pPr>
        <w:pStyle w:val="Textodebloque"/>
        <w:ind w:left="0" w:right="51"/>
        <w:jc w:val="center"/>
        <w:rPr>
          <w:rFonts w:ascii="Bookman Old Style" w:hAnsi="Bookman Old Style" w:cs="Arial"/>
          <w:lang w:val="es-ES"/>
        </w:rPr>
      </w:pPr>
    </w:p>
    <w:p w:rsidR="00DF2CD7" w:rsidRPr="00AC7A83" w:rsidRDefault="00DF2CD7" w:rsidP="00DF2CD7">
      <w:pPr>
        <w:ind w:right="51"/>
        <w:jc w:val="center"/>
        <w:rPr>
          <w:rFonts w:ascii="Bookman Old Style" w:hAnsi="Bookman Old Style"/>
          <w:b/>
        </w:rPr>
      </w:pPr>
      <w:r w:rsidRPr="00AC7A83">
        <w:rPr>
          <w:rFonts w:ascii="Bookman Old Style" w:hAnsi="Bookman Old Style"/>
          <w:b/>
        </w:rPr>
        <w:t>LA COMISIÓN DE REGULACIÓN DE ENERGÍA Y GAS</w:t>
      </w:r>
    </w:p>
    <w:p w:rsidR="00DF2CD7" w:rsidRPr="00C83E41" w:rsidRDefault="00DF2CD7" w:rsidP="00DF2CD7">
      <w:pPr>
        <w:ind w:left="0" w:right="51"/>
        <w:rPr>
          <w:rFonts w:ascii="Bookman Old Style" w:hAnsi="Bookman Old Style"/>
        </w:rPr>
      </w:pPr>
    </w:p>
    <w:p w:rsidR="00DF2CD7" w:rsidRPr="00C83E41" w:rsidRDefault="00DF2CD7" w:rsidP="00DF2CD7">
      <w:pPr>
        <w:ind w:left="0" w:right="51"/>
        <w:rPr>
          <w:rFonts w:ascii="Bookman Old Style" w:hAnsi="Bookman Old Style"/>
        </w:rPr>
      </w:pPr>
    </w:p>
    <w:p w:rsidR="00DF2CD7" w:rsidRPr="001A11B2" w:rsidRDefault="008D068C" w:rsidP="008D068C">
      <w:pPr>
        <w:ind w:left="0" w:right="51"/>
        <w:jc w:val="center"/>
        <w:rPr>
          <w:rFonts w:ascii="Bookman Old Style" w:hAnsi="Bookman Old Style"/>
        </w:rPr>
      </w:pPr>
      <w:r w:rsidRPr="00C83E41">
        <w:rPr>
          <w:rFonts w:ascii="Bookman Old Style" w:hAnsi="Bookman Old Style"/>
        </w:rPr>
        <w:t>En ejercicio de sus atribuciones constitucionales y legales, en especial las conferidas por las leyes 142 y 143 de 1994 y en desarrollo de los Decretos 152</w:t>
      </w:r>
      <w:r w:rsidR="003C3C6E" w:rsidRPr="00C83E41">
        <w:rPr>
          <w:rFonts w:ascii="Bookman Old Style" w:hAnsi="Bookman Old Style"/>
        </w:rPr>
        <w:t>4</w:t>
      </w:r>
      <w:r w:rsidRPr="00C83E41">
        <w:rPr>
          <w:rFonts w:ascii="Bookman Old Style" w:hAnsi="Bookman Old Style"/>
        </w:rPr>
        <w:t xml:space="preserve"> y 2253 de 1994, 1260 de 2013 y 0570 de 2018, así como en cumplimiento de la </w:t>
      </w:r>
      <w:r w:rsidRPr="00304322">
        <w:rPr>
          <w:rFonts w:ascii="Bookman Old Style" w:hAnsi="Bookman Old Style"/>
        </w:rPr>
        <w:t>Resolución 40725 de 2019 del Ministerio de Minas y Energía</w:t>
      </w:r>
    </w:p>
    <w:p w:rsidR="00DF2CD7" w:rsidRPr="001A11B2" w:rsidRDefault="00DF2CD7" w:rsidP="00DF2CD7">
      <w:pPr>
        <w:ind w:right="51"/>
        <w:rPr>
          <w:rFonts w:ascii="Bookman Old Style" w:hAnsi="Bookman Old Style"/>
        </w:rPr>
      </w:pPr>
    </w:p>
    <w:p w:rsidR="00DF2CD7" w:rsidRPr="001A11B2" w:rsidRDefault="00DF2CD7" w:rsidP="00DF2CD7">
      <w:pPr>
        <w:ind w:right="51"/>
        <w:jc w:val="center"/>
        <w:rPr>
          <w:rFonts w:ascii="Bookman Old Style" w:hAnsi="Bookman Old Style"/>
          <w:b/>
        </w:rPr>
      </w:pPr>
      <w:r w:rsidRPr="001A11B2">
        <w:rPr>
          <w:rFonts w:ascii="Bookman Old Style" w:hAnsi="Bookman Old Style"/>
          <w:b/>
        </w:rPr>
        <w:t xml:space="preserve">C O N S I D E R A N D </w:t>
      </w:r>
      <w:proofErr w:type="gramStart"/>
      <w:r w:rsidRPr="001A11B2">
        <w:rPr>
          <w:rFonts w:ascii="Bookman Old Style" w:hAnsi="Bookman Old Style"/>
          <w:b/>
        </w:rPr>
        <w:t>O  Q</w:t>
      </w:r>
      <w:proofErr w:type="gramEnd"/>
      <w:r w:rsidRPr="001A11B2">
        <w:rPr>
          <w:rFonts w:ascii="Bookman Old Style" w:hAnsi="Bookman Old Style"/>
          <w:b/>
        </w:rPr>
        <w:t xml:space="preserve"> U E:</w:t>
      </w:r>
    </w:p>
    <w:p w:rsidR="00DF2CD7" w:rsidRDefault="00DF2CD7" w:rsidP="00DF2CD7">
      <w:pPr>
        <w:ind w:right="51"/>
        <w:jc w:val="center"/>
        <w:rPr>
          <w:rFonts w:ascii="Bookman Old Style" w:hAnsi="Bookman Old Style"/>
          <w:b/>
        </w:rPr>
      </w:pPr>
    </w:p>
    <w:p w:rsidR="00D6235A" w:rsidRPr="000B73A9" w:rsidRDefault="00D6235A" w:rsidP="00D6235A">
      <w:pPr>
        <w:ind w:left="0"/>
        <w:jc w:val="both"/>
        <w:rPr>
          <w:rFonts w:ascii="Bookman Old Style" w:hAnsi="Bookman Old Style" w:cs="Arial"/>
          <w:szCs w:val="20"/>
          <w:lang w:val="es-CO"/>
        </w:rPr>
      </w:pPr>
      <w:r>
        <w:rPr>
          <w:rFonts w:ascii="Bookman Old Style" w:hAnsi="Bookman Old Style" w:cs="Arial"/>
          <w:szCs w:val="20"/>
          <w:lang w:val="es-CO"/>
        </w:rPr>
        <w:t>E</w:t>
      </w:r>
      <w:r w:rsidRPr="000B73A9">
        <w:rPr>
          <w:rFonts w:ascii="Bookman Old Style" w:hAnsi="Bookman Old Style" w:cs="Arial"/>
          <w:szCs w:val="20"/>
          <w:lang w:val="es-CO"/>
        </w:rPr>
        <w:t xml:space="preserve">l artículo 365 de la </w:t>
      </w:r>
      <w:r>
        <w:rPr>
          <w:rFonts w:ascii="Bookman Old Style" w:hAnsi="Bookman Old Style" w:cs="Arial"/>
          <w:szCs w:val="20"/>
          <w:lang w:val="es-CO"/>
        </w:rPr>
        <w:t xml:space="preserve">Constitución </w:t>
      </w:r>
      <w:r w:rsidRPr="000B73A9">
        <w:rPr>
          <w:rFonts w:ascii="Bookman Old Style" w:hAnsi="Bookman Old Style" w:cs="Arial"/>
          <w:szCs w:val="20"/>
          <w:lang w:val="es-CO"/>
        </w:rPr>
        <w:t>Política</w:t>
      </w:r>
      <w:r>
        <w:rPr>
          <w:rFonts w:ascii="Bookman Old Style" w:hAnsi="Bookman Old Style" w:cs="Arial"/>
          <w:szCs w:val="20"/>
          <w:lang w:val="es-CO"/>
        </w:rPr>
        <w:t xml:space="preserve"> establece que</w:t>
      </w:r>
      <w:r w:rsidRPr="000B73A9">
        <w:rPr>
          <w:rFonts w:ascii="Bookman Old Style" w:hAnsi="Bookman Old Style" w:cs="Arial"/>
          <w:szCs w:val="20"/>
          <w:lang w:val="es-CO"/>
        </w:rPr>
        <w:t xml:space="preserve"> los servicios públicos son inherentes a la finalidad s</w:t>
      </w:r>
      <w:r w:rsidR="00725854">
        <w:rPr>
          <w:rFonts w:ascii="Bookman Old Style" w:hAnsi="Bookman Old Style" w:cs="Arial"/>
          <w:szCs w:val="20"/>
          <w:lang w:val="es-CO"/>
        </w:rPr>
        <w:t>ocial del Estado y es deber de e</w:t>
      </w:r>
      <w:r w:rsidRPr="000B73A9">
        <w:rPr>
          <w:rFonts w:ascii="Bookman Old Style" w:hAnsi="Bookman Old Style" w:cs="Arial"/>
          <w:szCs w:val="20"/>
          <w:lang w:val="es-CO"/>
        </w:rPr>
        <w:t xml:space="preserve">ste asegurar su prestación eficiente a todos los habitantes del territorio nacional. </w:t>
      </w:r>
    </w:p>
    <w:p w:rsidR="00D6235A" w:rsidRPr="000B73A9" w:rsidRDefault="00D6235A" w:rsidP="00D6235A">
      <w:pPr>
        <w:ind w:left="0"/>
        <w:jc w:val="both"/>
        <w:rPr>
          <w:rFonts w:ascii="Bookman Old Style" w:hAnsi="Bookman Old Style" w:cs="Arial"/>
          <w:szCs w:val="20"/>
          <w:lang w:val="es-CO"/>
        </w:rPr>
      </w:pPr>
    </w:p>
    <w:p w:rsidR="00D6235A" w:rsidRDefault="00D6235A" w:rsidP="00D6235A">
      <w:pPr>
        <w:ind w:left="0"/>
        <w:jc w:val="both"/>
        <w:rPr>
          <w:rFonts w:ascii="Bookman Old Style" w:hAnsi="Bookman Old Style" w:cs="Arial"/>
          <w:szCs w:val="20"/>
          <w:lang w:val="es-CO"/>
        </w:rPr>
      </w:pPr>
      <w:r>
        <w:rPr>
          <w:rFonts w:ascii="Bookman Old Style" w:hAnsi="Bookman Old Style" w:cs="Arial"/>
          <w:szCs w:val="20"/>
          <w:lang w:val="es-CO"/>
        </w:rPr>
        <w:t xml:space="preserve">El artículo 3 de </w:t>
      </w:r>
      <w:r w:rsidRPr="000B73A9">
        <w:rPr>
          <w:rFonts w:ascii="Bookman Old Style" w:hAnsi="Bookman Old Style" w:cs="Arial"/>
          <w:szCs w:val="20"/>
          <w:lang w:val="es-CO"/>
        </w:rPr>
        <w:t>la </w:t>
      </w:r>
      <w:hyperlink r:id="rId10" w:tooltip="Haga clic para abrir TODA la Ley 142 de 1994" w:history="1">
        <w:r w:rsidRPr="000B73A9">
          <w:rPr>
            <w:rFonts w:ascii="Bookman Old Style" w:hAnsi="Bookman Old Style" w:cs="Arial"/>
            <w:szCs w:val="20"/>
            <w:lang w:val="es-CO"/>
          </w:rPr>
          <w:t>Ley 142 de 1994</w:t>
        </w:r>
      </w:hyperlink>
      <w:r>
        <w:rPr>
          <w:rFonts w:ascii="Bookman Old Style" w:hAnsi="Bookman Old Style" w:cs="Arial"/>
          <w:szCs w:val="20"/>
          <w:lang w:val="es-CO"/>
        </w:rPr>
        <w:t xml:space="preserve"> señala que</w:t>
      </w:r>
      <w:r w:rsidRPr="000B73A9">
        <w:rPr>
          <w:rFonts w:ascii="Bookman Old Style" w:hAnsi="Bookman Old Style" w:cs="Arial"/>
          <w:szCs w:val="20"/>
          <w:lang w:val="es-CO"/>
        </w:rPr>
        <w:t xml:space="preserve"> la regulación de los servicios públicos es una forma de intervención del Estado en la economía. </w:t>
      </w:r>
      <w:r>
        <w:rPr>
          <w:rFonts w:ascii="Bookman Old Style" w:hAnsi="Bookman Old Style" w:cs="Arial"/>
          <w:szCs w:val="20"/>
          <w:lang w:val="es-CO"/>
        </w:rPr>
        <w:t>En este sentido, l</w:t>
      </w:r>
      <w:r w:rsidRPr="000B73A9">
        <w:rPr>
          <w:rFonts w:ascii="Bookman Old Style" w:hAnsi="Bookman Old Style" w:cs="Arial"/>
          <w:szCs w:val="20"/>
          <w:lang w:val="es-CO"/>
        </w:rPr>
        <w:t>a función de regulación está orientada no solo a corregir fallas del mercado sino a desarrollar los fines esenciales de los servicios públicos.</w:t>
      </w:r>
      <w:r>
        <w:rPr>
          <w:rFonts w:ascii="Bookman Old Style" w:hAnsi="Bookman Old Style" w:cs="Arial"/>
          <w:szCs w:val="20"/>
          <w:lang w:val="es-CO"/>
        </w:rPr>
        <w:t xml:space="preserve"> De igual forma, señala que </w:t>
      </w:r>
      <w:r w:rsidRPr="000B73A9">
        <w:rPr>
          <w:rFonts w:ascii="Bookman Old Style" w:hAnsi="Bookman Old Style" w:cs="Arial"/>
          <w:szCs w:val="20"/>
          <w:lang w:val="es-CO"/>
        </w:rPr>
        <w:t>dentro de los fines que persigue la intervención del Estado en la prestación de los servicios públicos domiciliarios se encuentra</w:t>
      </w:r>
      <w:r>
        <w:rPr>
          <w:rFonts w:ascii="Bookman Old Style" w:hAnsi="Bookman Old Style" w:cs="Arial"/>
          <w:szCs w:val="20"/>
          <w:lang w:val="es-CO"/>
        </w:rPr>
        <w:t xml:space="preserve">n: </w:t>
      </w:r>
      <w:r w:rsidRPr="000B73A9">
        <w:rPr>
          <w:rFonts w:ascii="Bookman Old Style" w:hAnsi="Bookman Old Style" w:cs="Arial"/>
          <w:szCs w:val="20"/>
          <w:lang w:val="es-CO"/>
        </w:rPr>
        <w:t>la prestación eficiente, continua e ininterrumpida, la libre competencia</w:t>
      </w:r>
      <w:r>
        <w:rPr>
          <w:rFonts w:ascii="Bookman Old Style" w:hAnsi="Bookman Old Style" w:cs="Arial"/>
          <w:szCs w:val="20"/>
          <w:lang w:val="es-CO"/>
        </w:rPr>
        <w:t xml:space="preserve"> y</w:t>
      </w:r>
      <w:r w:rsidRPr="000B73A9">
        <w:rPr>
          <w:rFonts w:ascii="Bookman Old Style" w:hAnsi="Bookman Old Style" w:cs="Arial"/>
          <w:szCs w:val="20"/>
          <w:lang w:val="es-CO"/>
        </w:rPr>
        <w:t xml:space="preserve"> la no utilización abusiva de la posición dominante. </w:t>
      </w:r>
    </w:p>
    <w:p w:rsidR="00D6235A" w:rsidRDefault="00D6235A" w:rsidP="00D6235A">
      <w:pPr>
        <w:ind w:left="0"/>
        <w:jc w:val="both"/>
        <w:rPr>
          <w:rFonts w:ascii="Bookman Old Style" w:hAnsi="Bookman Old Style" w:cs="Arial"/>
          <w:szCs w:val="20"/>
          <w:lang w:val="es-CO"/>
        </w:rPr>
      </w:pPr>
    </w:p>
    <w:p w:rsidR="00D6235A" w:rsidRDefault="00D6235A" w:rsidP="00D6235A">
      <w:pPr>
        <w:tabs>
          <w:tab w:val="left" w:pos="-284"/>
        </w:tabs>
        <w:ind w:left="0"/>
        <w:jc w:val="both"/>
        <w:rPr>
          <w:rFonts w:ascii="Bookman Old Style" w:hAnsi="Bookman Old Style" w:cs="Arial"/>
          <w:szCs w:val="20"/>
          <w:lang w:val="es-CO"/>
        </w:rPr>
      </w:pPr>
      <w:r w:rsidRPr="000B73A9">
        <w:rPr>
          <w:rFonts w:ascii="Bookman Old Style" w:hAnsi="Bookman Old Style" w:cs="Arial"/>
          <w:szCs w:val="20"/>
          <w:lang w:val="es-CO"/>
        </w:rPr>
        <w:t xml:space="preserve">El </w:t>
      </w:r>
      <w:r>
        <w:rPr>
          <w:rFonts w:ascii="Bookman Old Style" w:hAnsi="Bookman Old Style" w:cs="Arial"/>
          <w:szCs w:val="20"/>
          <w:lang w:val="es-CO"/>
        </w:rPr>
        <w:t>a</w:t>
      </w:r>
      <w:r w:rsidRPr="000B73A9">
        <w:rPr>
          <w:rFonts w:ascii="Bookman Old Style" w:hAnsi="Bookman Old Style" w:cs="Arial"/>
          <w:szCs w:val="20"/>
          <w:lang w:val="es-CO"/>
        </w:rPr>
        <w:t>rtículo 73.11 de la Ley 142 de 1994 atribuyó a la Comisión de Regulación de Energía y Gas</w:t>
      </w:r>
      <w:r>
        <w:rPr>
          <w:rFonts w:ascii="Bookman Old Style" w:hAnsi="Bookman Old Style" w:cs="Arial"/>
          <w:szCs w:val="20"/>
          <w:lang w:val="es-CO"/>
        </w:rPr>
        <w:t xml:space="preserve"> (CREG)</w:t>
      </w:r>
      <w:r w:rsidRPr="000B73A9">
        <w:rPr>
          <w:rFonts w:ascii="Bookman Old Style" w:hAnsi="Bookman Old Style" w:cs="Arial"/>
          <w:szCs w:val="20"/>
          <w:lang w:val="es-CO"/>
        </w:rPr>
        <w:t xml:space="preserve"> la facultad de establecer las fórmulas para la fijación de las tarifas del servicio público domiciliario de energía eléctrica</w:t>
      </w:r>
      <w:r>
        <w:rPr>
          <w:rFonts w:ascii="Bookman Old Style" w:hAnsi="Bookman Old Style" w:cs="Arial"/>
          <w:szCs w:val="20"/>
          <w:lang w:val="es-CO"/>
        </w:rPr>
        <w:t>. Con respecto al</w:t>
      </w:r>
      <w:r w:rsidR="00556303">
        <w:rPr>
          <w:rFonts w:ascii="Bookman Old Style" w:hAnsi="Bookman Old Style" w:cs="Arial"/>
          <w:szCs w:val="20"/>
          <w:lang w:val="es-CO"/>
        </w:rPr>
        <w:t xml:space="preserve"> régimen tarifario, esta misma l</w:t>
      </w:r>
      <w:r>
        <w:rPr>
          <w:rFonts w:ascii="Bookman Old Style" w:hAnsi="Bookman Old Style" w:cs="Arial"/>
          <w:szCs w:val="20"/>
          <w:lang w:val="es-CO"/>
        </w:rPr>
        <w:t>ey faculta a la CREG para</w:t>
      </w:r>
      <w:r w:rsidRPr="000B73A9">
        <w:rPr>
          <w:rFonts w:ascii="Bookman Old Style" w:hAnsi="Bookman Old Style" w:cs="Arial"/>
          <w:szCs w:val="20"/>
          <w:lang w:val="es-CO"/>
        </w:rPr>
        <w:t xml:space="preserve"> establecer las reglas relativas a procedimientos, metod</w:t>
      </w:r>
      <w:r w:rsidR="00556303">
        <w:rPr>
          <w:rFonts w:ascii="Bookman Old Style" w:hAnsi="Bookman Old Style" w:cs="Arial"/>
          <w:szCs w:val="20"/>
          <w:lang w:val="es-CO"/>
        </w:rPr>
        <w:t>ologías, fó</w:t>
      </w:r>
      <w:r w:rsidRPr="000B73A9">
        <w:rPr>
          <w:rFonts w:ascii="Bookman Old Style" w:hAnsi="Bookman Old Style" w:cs="Arial"/>
          <w:szCs w:val="20"/>
          <w:lang w:val="es-CO"/>
        </w:rPr>
        <w:t>rmulas, estructuras, f</w:t>
      </w:r>
      <w:r w:rsidR="00556303">
        <w:rPr>
          <w:rFonts w:ascii="Bookman Old Style" w:hAnsi="Bookman Old Style" w:cs="Arial"/>
          <w:szCs w:val="20"/>
          <w:lang w:val="es-CO"/>
        </w:rPr>
        <w:t>acturación, opciones, valores y</w:t>
      </w:r>
      <w:r w:rsidRPr="000B73A9">
        <w:rPr>
          <w:rFonts w:ascii="Bookman Old Style" w:hAnsi="Bookman Old Style" w:cs="Arial"/>
          <w:szCs w:val="20"/>
          <w:lang w:val="es-CO"/>
        </w:rPr>
        <w:t xml:space="preserve"> en general, todos los aspectos que determinan el cobro de las tarifas.</w:t>
      </w:r>
    </w:p>
    <w:p w:rsidR="00D6235A" w:rsidRDefault="00D6235A" w:rsidP="00D6235A">
      <w:pPr>
        <w:ind w:left="0"/>
        <w:jc w:val="both"/>
        <w:rPr>
          <w:rFonts w:ascii="Bookman Old Style" w:hAnsi="Bookman Old Style" w:cs="Arial"/>
          <w:szCs w:val="20"/>
          <w:lang w:val="es-CO"/>
        </w:rPr>
      </w:pPr>
    </w:p>
    <w:p w:rsidR="008D068C" w:rsidRDefault="008D068C" w:rsidP="008D068C">
      <w:pPr>
        <w:ind w:left="0"/>
        <w:jc w:val="both"/>
        <w:rPr>
          <w:rFonts w:ascii="Bookman Old Style" w:hAnsi="Bookman Old Style" w:cs="Arial"/>
          <w:szCs w:val="20"/>
          <w:lang w:val="es-CO"/>
        </w:rPr>
      </w:pPr>
      <w:r w:rsidRPr="000B73A9">
        <w:rPr>
          <w:rFonts w:ascii="Bookman Old Style" w:hAnsi="Bookman Old Style" w:cs="Arial"/>
          <w:szCs w:val="20"/>
          <w:lang w:val="es-CO"/>
        </w:rPr>
        <w:t xml:space="preserve">La Ley 142 de 1994 en su artículo 74.1 establece que es función de la </w:t>
      </w:r>
      <w:r>
        <w:rPr>
          <w:rFonts w:ascii="Bookman Old Style" w:hAnsi="Bookman Old Style" w:cs="Arial"/>
          <w:szCs w:val="20"/>
          <w:lang w:val="es-CO"/>
        </w:rPr>
        <w:t>C</w:t>
      </w:r>
      <w:r w:rsidRPr="000B73A9">
        <w:rPr>
          <w:rFonts w:ascii="Bookman Old Style" w:hAnsi="Bookman Old Style" w:cs="Arial"/>
          <w:szCs w:val="20"/>
          <w:lang w:val="es-CO"/>
        </w:rPr>
        <w:t xml:space="preserve">REG regular el ejercicio de las actividades del sector de energía para asegurar la </w:t>
      </w:r>
      <w:r w:rsidRPr="000B73A9">
        <w:rPr>
          <w:rFonts w:ascii="Bookman Old Style" w:hAnsi="Bookman Old Style" w:cs="Arial"/>
          <w:szCs w:val="20"/>
          <w:lang w:val="es-CO"/>
        </w:rPr>
        <w:lastRenderedPageBreak/>
        <w:t xml:space="preserve">disponibilidad de una oferta energética eficiente, propiciar la competencia, adoptar medidas para impedir abusos de posición dominante y buscar la liberación gradual de los mercados hacia la libre competencia. </w:t>
      </w:r>
    </w:p>
    <w:p w:rsidR="008D068C" w:rsidRDefault="008D068C" w:rsidP="008D068C">
      <w:pPr>
        <w:ind w:left="0"/>
        <w:jc w:val="both"/>
        <w:rPr>
          <w:rFonts w:ascii="Bookman Old Style" w:hAnsi="Bookman Old Style" w:cs="Arial"/>
          <w:szCs w:val="20"/>
          <w:lang w:val="es-CO"/>
        </w:rPr>
      </w:pPr>
    </w:p>
    <w:p w:rsidR="008D068C" w:rsidRDefault="008D068C" w:rsidP="008D068C">
      <w:pPr>
        <w:tabs>
          <w:tab w:val="left" w:pos="-284"/>
        </w:tabs>
        <w:ind w:left="0"/>
        <w:jc w:val="both"/>
        <w:rPr>
          <w:rFonts w:ascii="Bookman Old Style" w:hAnsi="Bookman Old Style" w:cs="Arial"/>
          <w:szCs w:val="20"/>
          <w:lang w:val="es-CO"/>
        </w:rPr>
      </w:pPr>
      <w:r w:rsidRPr="000B73A9">
        <w:rPr>
          <w:rFonts w:ascii="Bookman Old Style" w:hAnsi="Bookman Old Style" w:cs="Arial"/>
          <w:szCs w:val="20"/>
          <w:lang w:val="es-CO"/>
        </w:rPr>
        <w:t xml:space="preserve">Según lo definido en el artículo 87.1 de la Ley 142 de 1994, la eficiencia económica es uno de los criterios necesarios para definir un régimen tarifario. Según este numeral, la eficiencia permite que las fórmulas tarifarias tengan en cuenta los costos y los aumentos de productividad para luego ser distribuidos entre la empresa y los usuarios, tal y como ocurre en un mercado </w:t>
      </w:r>
      <w:r>
        <w:rPr>
          <w:rFonts w:ascii="Bookman Old Style" w:hAnsi="Bookman Old Style" w:cs="Arial"/>
          <w:szCs w:val="20"/>
          <w:lang w:val="es-CO"/>
        </w:rPr>
        <w:t xml:space="preserve">en competencia. </w:t>
      </w:r>
      <w:r w:rsidRPr="000B73A9">
        <w:rPr>
          <w:rFonts w:ascii="Bookman Old Style" w:hAnsi="Bookman Old Style" w:cs="Arial"/>
          <w:szCs w:val="20"/>
          <w:lang w:val="es-CO"/>
        </w:rPr>
        <w:t>El mismo criterio exige</w:t>
      </w:r>
      <w:r w:rsidR="00556303">
        <w:rPr>
          <w:rFonts w:ascii="Bookman Old Style" w:hAnsi="Bookman Old Style" w:cs="Arial"/>
          <w:szCs w:val="20"/>
          <w:lang w:val="es-CO"/>
        </w:rPr>
        <w:t xml:space="preserve"> </w:t>
      </w:r>
      <w:r w:rsidRPr="000B73A9">
        <w:rPr>
          <w:rFonts w:ascii="Bookman Old Style" w:hAnsi="Bookman Old Style" w:cs="Arial"/>
          <w:szCs w:val="20"/>
          <w:lang w:val="es-CO"/>
        </w:rPr>
        <w:t xml:space="preserve">que no se trasladen a los usuarios los costos de una gestión ineficiente. </w:t>
      </w:r>
    </w:p>
    <w:p w:rsidR="00C83E41" w:rsidRDefault="00C83E41" w:rsidP="008D068C">
      <w:pPr>
        <w:tabs>
          <w:tab w:val="left" w:pos="-284"/>
        </w:tabs>
        <w:ind w:left="0"/>
        <w:jc w:val="both"/>
        <w:rPr>
          <w:rFonts w:ascii="Bookman Old Style" w:hAnsi="Bookman Old Style" w:cs="Arial"/>
          <w:szCs w:val="20"/>
          <w:lang w:val="es-CO"/>
        </w:rPr>
      </w:pPr>
    </w:p>
    <w:p w:rsidR="00D6235A" w:rsidRPr="000B73A9" w:rsidRDefault="00D6235A" w:rsidP="00D6235A">
      <w:pPr>
        <w:tabs>
          <w:tab w:val="left" w:pos="-284"/>
        </w:tabs>
        <w:ind w:left="0"/>
        <w:jc w:val="both"/>
        <w:rPr>
          <w:rFonts w:ascii="Bookman Old Style" w:hAnsi="Bookman Old Style" w:cs="Arial"/>
          <w:szCs w:val="20"/>
          <w:lang w:val="es-CO"/>
        </w:rPr>
      </w:pPr>
      <w:r w:rsidRPr="000B73A9">
        <w:rPr>
          <w:rFonts w:ascii="Bookman Old Style" w:hAnsi="Bookman Old Style" w:cs="Arial"/>
          <w:szCs w:val="20"/>
          <w:lang w:val="es-CO"/>
        </w:rPr>
        <w:t>De acuerdo con el artículo 90 de la Ley 142, la CREG tiene competencia para incluir elementos en las fórmulas tarifarias. Todos los elementos deben observar entre otros, los criterios tarifarios previstos en el artículo 87 de la Ley 142 de 1994.</w:t>
      </w:r>
    </w:p>
    <w:p w:rsidR="00D6235A" w:rsidRPr="003D4B0F" w:rsidRDefault="00D6235A" w:rsidP="00D6235A">
      <w:pPr>
        <w:tabs>
          <w:tab w:val="left" w:pos="-284"/>
        </w:tabs>
        <w:ind w:left="0"/>
        <w:jc w:val="both"/>
        <w:rPr>
          <w:rFonts w:ascii="Bookman Old Style" w:hAnsi="Bookman Old Style" w:cs="Arial"/>
          <w:lang w:val="es-CO"/>
        </w:rPr>
      </w:pPr>
    </w:p>
    <w:p w:rsidR="00D6235A" w:rsidRPr="000B73A9" w:rsidRDefault="00D6235A" w:rsidP="00D6235A">
      <w:pPr>
        <w:ind w:left="0"/>
        <w:jc w:val="both"/>
        <w:rPr>
          <w:rFonts w:ascii="Bookman Old Style" w:hAnsi="Bookman Old Style" w:cs="Arial"/>
          <w:szCs w:val="20"/>
          <w:lang w:val="es-CO"/>
        </w:rPr>
      </w:pPr>
      <w:r w:rsidRPr="000B73A9">
        <w:rPr>
          <w:rFonts w:ascii="Bookman Old Style" w:hAnsi="Bookman Old Style" w:cs="Arial"/>
          <w:szCs w:val="20"/>
          <w:lang w:val="es-CO"/>
        </w:rPr>
        <w:t>El artículo 6 de la Ley 143 de 1994 señaló que las actividades relacionadas con el servicio</w:t>
      </w:r>
      <w:r w:rsidR="006E1DB8">
        <w:rPr>
          <w:rFonts w:ascii="Bookman Old Style" w:hAnsi="Bookman Old Style" w:cs="Arial"/>
          <w:szCs w:val="20"/>
          <w:lang w:val="es-CO"/>
        </w:rPr>
        <w:t xml:space="preserve"> </w:t>
      </w:r>
      <w:r w:rsidRPr="000B73A9">
        <w:rPr>
          <w:rFonts w:ascii="Bookman Old Style" w:hAnsi="Bookman Old Style" w:cs="Arial"/>
          <w:szCs w:val="20"/>
          <w:lang w:val="es-CO"/>
        </w:rPr>
        <w:t>de electricidad se regirían entre otros principios, por el de adaptabilidad. Este principio conduce a la incorporación de los avances de la ciencia y de la tecnología que aporten mayor calidad y eficiencia en la prestación del servicio al menor costo económico.</w:t>
      </w:r>
    </w:p>
    <w:p w:rsidR="00D6235A" w:rsidRPr="000B73A9" w:rsidRDefault="00D6235A" w:rsidP="00D6235A">
      <w:pPr>
        <w:ind w:left="0"/>
        <w:jc w:val="both"/>
        <w:rPr>
          <w:rFonts w:ascii="Bookman Old Style" w:hAnsi="Bookman Old Style" w:cs="Arial"/>
          <w:szCs w:val="20"/>
          <w:lang w:val="es-CO"/>
        </w:rPr>
      </w:pPr>
    </w:p>
    <w:p w:rsidR="00D6235A" w:rsidRDefault="00D6235A" w:rsidP="00D6235A">
      <w:pPr>
        <w:ind w:left="0"/>
        <w:jc w:val="both"/>
        <w:rPr>
          <w:rFonts w:ascii="Bookman Old Style" w:hAnsi="Bookman Old Style" w:cs="Arial"/>
          <w:szCs w:val="20"/>
          <w:lang w:val="es-CO"/>
        </w:rPr>
      </w:pPr>
      <w:r>
        <w:rPr>
          <w:rFonts w:ascii="Bookman Old Style" w:hAnsi="Bookman Old Style" w:cs="Arial"/>
          <w:szCs w:val="20"/>
          <w:lang w:val="es-CO"/>
        </w:rPr>
        <w:t>E</w:t>
      </w:r>
      <w:r w:rsidRPr="000B73A9">
        <w:rPr>
          <w:rFonts w:ascii="Bookman Old Style" w:hAnsi="Bookman Old Style" w:cs="Arial"/>
          <w:szCs w:val="20"/>
          <w:lang w:val="es-CO"/>
        </w:rPr>
        <w:t>l artículo 23 de la Ley 143 de 1994 asignó a la Comisión la función de aprobar las fórmulas tarifarias y las metodologías para el cálculo de las tarifas aplicables a los usuarios regulados.</w:t>
      </w:r>
    </w:p>
    <w:p w:rsidR="00D6235A" w:rsidRDefault="00D6235A" w:rsidP="00D6235A">
      <w:pPr>
        <w:ind w:left="0"/>
        <w:jc w:val="both"/>
        <w:rPr>
          <w:rFonts w:ascii="Bookman Old Style" w:hAnsi="Bookman Old Style" w:cs="Arial"/>
          <w:szCs w:val="20"/>
          <w:lang w:val="es-CO"/>
        </w:rPr>
      </w:pPr>
    </w:p>
    <w:p w:rsidR="00D6235A" w:rsidRPr="003D4B0F" w:rsidRDefault="00D6235A" w:rsidP="00D6235A">
      <w:pPr>
        <w:tabs>
          <w:tab w:val="left" w:pos="-284"/>
        </w:tabs>
        <w:ind w:left="0"/>
        <w:jc w:val="both"/>
        <w:rPr>
          <w:rFonts w:ascii="Bookman Old Style" w:hAnsi="Bookman Old Style" w:cs="Arial"/>
          <w:i/>
          <w:lang w:val="es-CO"/>
        </w:rPr>
      </w:pPr>
      <w:r w:rsidRPr="003D4B0F">
        <w:rPr>
          <w:rFonts w:ascii="Bookman Old Style" w:hAnsi="Bookman Old Style" w:cs="Arial"/>
          <w:lang w:val="es-CO"/>
        </w:rPr>
        <w:t>Según el Artículo 42 de la Ley 143 de 1994</w:t>
      </w:r>
      <w:r>
        <w:rPr>
          <w:rFonts w:ascii="Bookman Old Style" w:hAnsi="Bookman Old Style" w:cs="Arial"/>
          <w:lang w:val="es-CO"/>
        </w:rPr>
        <w:t>,</w:t>
      </w:r>
      <w:r w:rsidRPr="003D4B0F">
        <w:rPr>
          <w:rFonts w:ascii="Bookman Old Style" w:hAnsi="Bookman Old Style" w:cs="Arial"/>
          <w:lang w:val="es-CO"/>
        </w:rPr>
        <w:t xml:space="preserve"> </w:t>
      </w:r>
      <w:r w:rsidRPr="005C7414">
        <w:rPr>
          <w:rFonts w:ascii="Bookman Old Style" w:hAnsi="Bookman Old Style" w:cs="Arial"/>
          <w:lang w:val="es-CO"/>
        </w:rPr>
        <w:t>las ventas de electricidad a usuarios finales regulados serán retribuidas, sin excepción, por medio de tarifas sujetas a regulación.</w:t>
      </w:r>
    </w:p>
    <w:p w:rsidR="00D6235A" w:rsidRPr="000B73A9" w:rsidRDefault="00D6235A" w:rsidP="00D6235A">
      <w:pPr>
        <w:ind w:left="0"/>
        <w:jc w:val="both"/>
        <w:rPr>
          <w:rFonts w:ascii="Bookman Old Style" w:hAnsi="Bookman Old Style" w:cs="Arial"/>
          <w:szCs w:val="20"/>
          <w:lang w:val="es-CO"/>
        </w:rPr>
      </w:pPr>
    </w:p>
    <w:p w:rsidR="00D6235A" w:rsidRPr="00766E80" w:rsidRDefault="00D6235A" w:rsidP="00D6235A">
      <w:pPr>
        <w:ind w:left="0"/>
        <w:jc w:val="both"/>
        <w:rPr>
          <w:rFonts w:ascii="Bookman Old Style" w:hAnsi="Bookman Old Style" w:cs="Arial"/>
        </w:rPr>
      </w:pPr>
      <w:r w:rsidRPr="00766E80">
        <w:rPr>
          <w:rFonts w:ascii="Bookman Old Style" w:hAnsi="Bookman Old Style" w:cs="Arial"/>
        </w:rPr>
        <w:t xml:space="preserve">Con la Resolución CREG 119 de 2007 la Comisión aprobó la fórmula tarifaria general que </w:t>
      </w:r>
      <w:r>
        <w:rPr>
          <w:rFonts w:ascii="Bookman Old Style" w:hAnsi="Bookman Old Style" w:cs="Arial"/>
        </w:rPr>
        <w:t>permite a los comercializadores</w:t>
      </w:r>
      <w:r w:rsidRPr="00766E80">
        <w:rPr>
          <w:rFonts w:ascii="Bookman Old Style" w:hAnsi="Bookman Old Style" w:cs="Arial"/>
        </w:rPr>
        <w:t xml:space="preserve"> de electricidad establecer los costos de prestación del servicio a usuarios regulados en el sistema interconectado nacional.</w:t>
      </w:r>
    </w:p>
    <w:p w:rsidR="00D6235A" w:rsidRPr="008A5268" w:rsidRDefault="00D6235A" w:rsidP="00D6235A">
      <w:pPr>
        <w:ind w:left="0"/>
        <w:jc w:val="both"/>
        <w:rPr>
          <w:rFonts w:ascii="Bookman Old Style" w:hAnsi="Bookman Old Style" w:cs="Arial"/>
          <w:sz w:val="32"/>
        </w:rPr>
      </w:pPr>
    </w:p>
    <w:p w:rsidR="00D6235A" w:rsidRDefault="00D6235A" w:rsidP="00D6235A">
      <w:pPr>
        <w:ind w:left="0"/>
        <w:jc w:val="both"/>
        <w:rPr>
          <w:rFonts w:ascii="Bookman Old Style" w:hAnsi="Bookman Old Style" w:cs="Arial"/>
        </w:rPr>
      </w:pPr>
      <w:r w:rsidRPr="00766E80">
        <w:rPr>
          <w:rFonts w:ascii="Bookman Old Style" w:hAnsi="Bookman Old Style" w:cs="Arial"/>
        </w:rPr>
        <w:t xml:space="preserve">La Resolución CREG 030 de 2018 reguló </w:t>
      </w:r>
      <w:r w:rsidR="00556303">
        <w:rPr>
          <w:rFonts w:ascii="Bookman Old Style" w:hAnsi="Bookman Old Style" w:cs="Arial"/>
        </w:rPr>
        <w:t xml:space="preserve">la </w:t>
      </w:r>
      <w:r w:rsidRPr="00766E80">
        <w:rPr>
          <w:rFonts w:ascii="Bookman Old Style" w:hAnsi="Bookman Old Style" w:cs="Arial"/>
        </w:rPr>
        <w:t xml:space="preserve">autogeneración a pequeña escala y definió </w:t>
      </w:r>
      <w:r w:rsidR="00556303">
        <w:rPr>
          <w:rFonts w:ascii="Bookman Old Style" w:hAnsi="Bookman Old Style" w:cs="Arial"/>
        </w:rPr>
        <w:t xml:space="preserve">el </w:t>
      </w:r>
      <w:r w:rsidRPr="00766E80">
        <w:rPr>
          <w:rFonts w:ascii="Bookman Old Style" w:hAnsi="Bookman Old Style" w:cs="Arial"/>
        </w:rPr>
        <w:t>tr</w:t>
      </w:r>
      <w:r w:rsidR="00556303">
        <w:rPr>
          <w:rFonts w:ascii="Bookman Old Style" w:hAnsi="Bookman Old Style" w:cs="Arial"/>
        </w:rPr>
        <w:t>aslado de las compras de los excedentes de autogeneración a</w:t>
      </w:r>
      <w:r w:rsidRPr="00766E80">
        <w:rPr>
          <w:rFonts w:ascii="Bookman Old Style" w:hAnsi="Bookman Old Style" w:cs="Arial"/>
        </w:rPr>
        <w:t xml:space="preserve"> la tarifa del usuario final en el componente</w:t>
      </w:r>
      <w:r w:rsidR="00556303">
        <w:rPr>
          <w:rFonts w:ascii="Bookman Old Style" w:hAnsi="Bookman Old Style" w:cs="Arial"/>
        </w:rPr>
        <w:t xml:space="preserve"> de compras de energía</w:t>
      </w:r>
      <w:r w:rsidRPr="00766E80">
        <w:rPr>
          <w:rFonts w:ascii="Bookman Old Style" w:hAnsi="Bookman Old Style" w:cs="Arial"/>
        </w:rPr>
        <w:t xml:space="preserve"> </w:t>
      </w:r>
      <w:r w:rsidR="00556303">
        <w:rPr>
          <w:rFonts w:ascii="Bookman Old Style" w:hAnsi="Bookman Old Style" w:cs="Arial"/>
        </w:rPr>
        <w:t>(</w:t>
      </w:r>
      <w:r w:rsidRPr="00766E80">
        <w:rPr>
          <w:rFonts w:ascii="Bookman Old Style" w:hAnsi="Bookman Old Style" w:cs="Arial"/>
        </w:rPr>
        <w:t>G</w:t>
      </w:r>
      <w:r w:rsidR="00556303">
        <w:rPr>
          <w:rFonts w:ascii="Bookman Old Style" w:hAnsi="Bookman Old Style" w:cs="Arial"/>
        </w:rPr>
        <w:t>)</w:t>
      </w:r>
      <w:r w:rsidRPr="00766E80">
        <w:rPr>
          <w:rFonts w:ascii="Bookman Old Style" w:hAnsi="Bookman Old Style" w:cs="Arial"/>
        </w:rPr>
        <w:t xml:space="preserve"> del</w:t>
      </w:r>
      <w:r w:rsidR="00556303">
        <w:rPr>
          <w:rFonts w:ascii="Bookman Old Style" w:hAnsi="Bookman Old Style" w:cs="Arial"/>
        </w:rPr>
        <w:t xml:space="preserve"> costo unitario</w:t>
      </w:r>
      <w:r w:rsidRPr="00766E80">
        <w:rPr>
          <w:rFonts w:ascii="Bookman Old Style" w:hAnsi="Bookman Old Style" w:cs="Arial"/>
        </w:rPr>
        <w:t xml:space="preserve"> </w:t>
      </w:r>
      <w:r w:rsidR="00556303">
        <w:rPr>
          <w:rFonts w:ascii="Bookman Old Style" w:hAnsi="Bookman Old Style" w:cs="Arial"/>
        </w:rPr>
        <w:t>de prestación del servicio (</w:t>
      </w:r>
      <w:r w:rsidRPr="00766E80">
        <w:rPr>
          <w:rFonts w:ascii="Bookman Old Style" w:hAnsi="Bookman Old Style" w:cs="Arial"/>
        </w:rPr>
        <w:t>CU</w:t>
      </w:r>
      <w:r w:rsidR="00556303">
        <w:rPr>
          <w:rFonts w:ascii="Bookman Old Style" w:hAnsi="Bookman Old Style" w:cs="Arial"/>
        </w:rPr>
        <w:t>).  En el Anexo 1 de la Resolución CREG 030 de 2018 se modificó l</w:t>
      </w:r>
      <w:r w:rsidRPr="00766E80">
        <w:rPr>
          <w:rFonts w:ascii="Bookman Old Style" w:hAnsi="Bookman Old Style" w:cs="Arial"/>
        </w:rPr>
        <w:t>a fórmula tarifaria establecida en el artículo 6 de la Resolución CREG 119 de 2007</w:t>
      </w:r>
      <w:r w:rsidR="00556303">
        <w:rPr>
          <w:rFonts w:ascii="Bookman Old Style" w:hAnsi="Bookman Old Style" w:cs="Arial"/>
        </w:rPr>
        <w:t>.</w:t>
      </w:r>
    </w:p>
    <w:p w:rsidR="00D6235A" w:rsidRDefault="00D6235A" w:rsidP="00D6235A">
      <w:pPr>
        <w:ind w:left="0"/>
        <w:jc w:val="both"/>
        <w:rPr>
          <w:rFonts w:ascii="Bookman Old Style" w:hAnsi="Bookman Old Style" w:cs="Arial"/>
        </w:rPr>
      </w:pPr>
    </w:p>
    <w:p w:rsidR="00D6235A" w:rsidRDefault="00D6235A" w:rsidP="00D6235A">
      <w:pPr>
        <w:ind w:left="0"/>
        <w:jc w:val="both"/>
        <w:rPr>
          <w:rFonts w:ascii="Bookman Old Style" w:hAnsi="Bookman Old Style" w:cs="Arial"/>
          <w:lang w:val="es-ES_tradnl"/>
        </w:rPr>
      </w:pPr>
      <w:r>
        <w:rPr>
          <w:rFonts w:ascii="Bookman Old Style" w:hAnsi="Bookman Old Style" w:cs="Arial"/>
        </w:rPr>
        <w:t>E</w:t>
      </w:r>
      <w:r w:rsidRPr="005C7414">
        <w:rPr>
          <w:rFonts w:ascii="Bookman Old Style" w:hAnsi="Bookman Old Style" w:cs="Arial"/>
          <w:lang w:val="es-ES_tradnl"/>
        </w:rPr>
        <w:t>l Gobierno Nacional expidió el Decreto 0570 de 2018</w:t>
      </w:r>
      <w:r>
        <w:rPr>
          <w:rFonts w:ascii="Bookman Old Style" w:hAnsi="Bookman Old Style" w:cs="Arial"/>
          <w:lang w:val="es-ES_tradnl"/>
        </w:rPr>
        <w:t>, en donde se establecen los lineamientos de política pública para la contratación a largo plazo de proyectos de generación de energía eléctrica. En el mencionado decreto se delega a la CREG como la entidad encargada de definir el esquema para trasladar los costos eficientes de compra resultantes de la aplicación del mecanismo.</w:t>
      </w:r>
    </w:p>
    <w:p w:rsidR="00D6235A" w:rsidRDefault="00D6235A" w:rsidP="00D6235A">
      <w:pPr>
        <w:ind w:left="0"/>
        <w:jc w:val="both"/>
        <w:rPr>
          <w:rFonts w:ascii="Bookman Old Style" w:hAnsi="Bookman Old Style" w:cs="Arial"/>
          <w:highlight w:val="yellow"/>
          <w:lang w:val="es-ES_tradnl"/>
        </w:rPr>
      </w:pPr>
    </w:p>
    <w:p w:rsidR="008C216F" w:rsidRDefault="008C216F" w:rsidP="00D6235A">
      <w:pPr>
        <w:ind w:left="0"/>
        <w:jc w:val="both"/>
        <w:rPr>
          <w:rFonts w:ascii="Bookman Old Style" w:hAnsi="Bookman Old Style" w:cs="Arial"/>
          <w:lang w:val="es-ES_tradnl"/>
        </w:rPr>
      </w:pPr>
    </w:p>
    <w:p w:rsidR="008C216F" w:rsidRDefault="008C216F" w:rsidP="00D6235A">
      <w:pPr>
        <w:ind w:left="0"/>
        <w:jc w:val="both"/>
        <w:rPr>
          <w:rFonts w:ascii="Bookman Old Style" w:hAnsi="Bookman Old Style" w:cs="Arial"/>
          <w:lang w:val="es-ES_tradnl"/>
        </w:rPr>
      </w:pPr>
    </w:p>
    <w:p w:rsidR="00D6235A" w:rsidRDefault="00D6235A" w:rsidP="00D6235A">
      <w:pPr>
        <w:ind w:left="0"/>
        <w:jc w:val="both"/>
        <w:rPr>
          <w:rFonts w:ascii="Bookman Old Style" w:hAnsi="Bookman Old Style" w:cs="Arial"/>
          <w:lang w:val="es-ES_tradnl"/>
        </w:rPr>
      </w:pPr>
      <w:r>
        <w:rPr>
          <w:rFonts w:ascii="Bookman Old Style" w:hAnsi="Bookman Old Style" w:cs="Arial"/>
          <w:lang w:val="es-ES_tradnl"/>
        </w:rPr>
        <w:t>E</w:t>
      </w:r>
      <w:r w:rsidRPr="005C7414">
        <w:rPr>
          <w:rFonts w:ascii="Bookman Old Style" w:hAnsi="Bookman Old Style" w:cs="Arial"/>
          <w:lang w:val="es-ES_tradnl"/>
        </w:rPr>
        <w:t xml:space="preserve">l Ministerio de Minas y Energía expidió la Resolución 40590 de 2019 mediante la que se </w:t>
      </w:r>
      <w:r>
        <w:rPr>
          <w:rFonts w:ascii="Bookman Old Style" w:hAnsi="Bookman Old Style" w:cs="Arial"/>
          <w:lang w:val="es-ES_tradnl"/>
        </w:rPr>
        <w:t>estableció</w:t>
      </w:r>
      <w:r w:rsidRPr="005C7414">
        <w:rPr>
          <w:rFonts w:ascii="Bookman Old Style" w:hAnsi="Bookman Old Style" w:cs="Arial"/>
          <w:lang w:val="es-ES_tradnl"/>
        </w:rPr>
        <w:t xml:space="preserve"> un nuevo mecanismo de subasta para la compra venta de cont</w:t>
      </w:r>
      <w:r>
        <w:rPr>
          <w:rFonts w:ascii="Bookman Old Style" w:hAnsi="Bookman Old Style" w:cs="Arial"/>
          <w:lang w:val="es-ES_tradnl"/>
        </w:rPr>
        <w:t>ratos de energía de largo plazo.</w:t>
      </w:r>
    </w:p>
    <w:p w:rsidR="00D6235A" w:rsidRDefault="00D6235A" w:rsidP="00D6235A">
      <w:pPr>
        <w:ind w:left="0"/>
        <w:jc w:val="both"/>
        <w:rPr>
          <w:rFonts w:ascii="Bookman Old Style" w:hAnsi="Bookman Old Style" w:cs="Arial"/>
          <w:lang w:val="es-ES_tradnl"/>
        </w:rPr>
      </w:pPr>
    </w:p>
    <w:p w:rsidR="00D6235A" w:rsidRDefault="00650521" w:rsidP="00D6235A">
      <w:pPr>
        <w:ind w:left="0"/>
        <w:jc w:val="both"/>
        <w:rPr>
          <w:rFonts w:ascii="Bookman Old Style" w:hAnsi="Bookman Old Style" w:cs="Arial"/>
          <w:lang w:val="es-ES_tradnl"/>
        </w:rPr>
      </w:pPr>
      <w:r>
        <w:rPr>
          <w:rFonts w:ascii="Bookman Old Style" w:hAnsi="Bookman Old Style" w:cs="Arial"/>
          <w:lang w:val="es-ES_tradnl"/>
        </w:rPr>
        <w:t>Con l</w:t>
      </w:r>
      <w:r w:rsidR="00D6235A" w:rsidRPr="005C7414">
        <w:rPr>
          <w:rFonts w:ascii="Bookman Old Style" w:hAnsi="Bookman Old Style" w:cs="Arial"/>
          <w:lang w:val="es-ES_tradnl"/>
        </w:rPr>
        <w:t>a Resolución 4059</w:t>
      </w:r>
      <w:r w:rsidR="00D6235A">
        <w:rPr>
          <w:rFonts w:ascii="Bookman Old Style" w:hAnsi="Bookman Old Style" w:cs="Arial"/>
          <w:lang w:val="es-ES_tradnl"/>
        </w:rPr>
        <w:t>1</w:t>
      </w:r>
      <w:r w:rsidR="00D6235A" w:rsidRPr="005C7414">
        <w:rPr>
          <w:rFonts w:ascii="Bookman Old Style" w:hAnsi="Bookman Old Style" w:cs="Arial"/>
          <w:lang w:val="es-ES_tradnl"/>
        </w:rPr>
        <w:t xml:space="preserve"> de 2019 </w:t>
      </w:r>
      <w:r>
        <w:rPr>
          <w:rFonts w:ascii="Bookman Old Style" w:hAnsi="Bookman Old Style" w:cs="Arial"/>
          <w:lang w:val="es-ES_tradnl"/>
        </w:rPr>
        <w:t xml:space="preserve">el Ministerio de Minas y Energía </w:t>
      </w:r>
      <w:r w:rsidR="00D6235A">
        <w:rPr>
          <w:rFonts w:ascii="Bookman Old Style" w:hAnsi="Bookman Old Style" w:cs="Arial"/>
          <w:lang w:val="es-ES_tradnl"/>
        </w:rPr>
        <w:t>convoc</w:t>
      </w:r>
      <w:r>
        <w:rPr>
          <w:rFonts w:ascii="Bookman Old Style" w:hAnsi="Bookman Old Style" w:cs="Arial"/>
          <w:lang w:val="es-ES_tradnl"/>
        </w:rPr>
        <w:t>a</w:t>
      </w:r>
      <w:r w:rsidR="00D6235A">
        <w:rPr>
          <w:rFonts w:ascii="Bookman Old Style" w:hAnsi="Bookman Old Style" w:cs="Arial"/>
          <w:lang w:val="es-ES_tradnl"/>
        </w:rPr>
        <w:t xml:space="preserve"> la subasta de contratos de energía de largo plazo reglamentada en la Resolución 40590 de 2019. El artículo 6 de esta resolución, define un mecanismo complementario </w:t>
      </w:r>
      <w:r w:rsidR="007338AF">
        <w:rPr>
          <w:rFonts w:ascii="Bookman Old Style" w:hAnsi="Bookman Old Style" w:cs="Arial"/>
          <w:lang w:val="es-ES_tradnl"/>
        </w:rPr>
        <w:t xml:space="preserve">que </w:t>
      </w:r>
      <w:r w:rsidR="00D6235A">
        <w:rPr>
          <w:rFonts w:ascii="Bookman Old Style" w:hAnsi="Bookman Old Style" w:cs="Arial"/>
          <w:lang w:val="es-ES_tradnl"/>
        </w:rPr>
        <w:t>tiene como objeto asignar la diferencia entre la demanda objetivo y la cantidad de energía que s</w:t>
      </w:r>
      <w:r w:rsidR="007338AF">
        <w:rPr>
          <w:rFonts w:ascii="Bookman Old Style" w:hAnsi="Bookman Old Style" w:cs="Arial"/>
          <w:lang w:val="es-ES_tradnl"/>
        </w:rPr>
        <w:t>e asigne a través de la subasta a los comercializadores que atienden demanda regulada.</w:t>
      </w:r>
    </w:p>
    <w:p w:rsidR="00D6235A" w:rsidRDefault="00D6235A" w:rsidP="00D6235A">
      <w:pPr>
        <w:ind w:left="0"/>
        <w:jc w:val="both"/>
        <w:rPr>
          <w:rFonts w:ascii="Bookman Old Style" w:hAnsi="Bookman Old Style" w:cs="Arial"/>
          <w:lang w:val="es-ES_tradnl"/>
        </w:rPr>
      </w:pPr>
    </w:p>
    <w:p w:rsidR="002D4598" w:rsidRPr="00C435C3" w:rsidRDefault="00D6235A" w:rsidP="002D4598">
      <w:pPr>
        <w:ind w:left="0"/>
        <w:jc w:val="both"/>
        <w:rPr>
          <w:rFonts w:ascii="Bookman Old Style" w:hAnsi="Bookman Old Style"/>
        </w:rPr>
      </w:pPr>
      <w:r>
        <w:rPr>
          <w:rFonts w:ascii="Bookman Old Style" w:hAnsi="Bookman Old Style" w:cs="Arial"/>
          <w:lang w:val="es-ES_tradnl"/>
        </w:rPr>
        <w:t xml:space="preserve">En </w:t>
      </w:r>
      <w:r w:rsidR="002D4598">
        <w:rPr>
          <w:rFonts w:ascii="Bookman Old Style" w:hAnsi="Bookman Old Style" w:cs="Arial"/>
          <w:lang w:val="es-ES_tradnl"/>
        </w:rPr>
        <w:t xml:space="preserve">cumplimiento del Decreto 0570 de 2018, </w:t>
      </w:r>
      <w:r w:rsidR="00C35EAB">
        <w:rPr>
          <w:rFonts w:ascii="Bookman Old Style" w:hAnsi="Bookman Old Style" w:cs="Arial"/>
          <w:lang w:val="es-ES_tradnl"/>
        </w:rPr>
        <w:t>la CREG</w:t>
      </w:r>
      <w:r w:rsidR="002D4598">
        <w:rPr>
          <w:rFonts w:ascii="Bookman Old Style" w:hAnsi="Bookman Old Style" w:cs="Arial"/>
          <w:lang w:val="es-ES_tradnl"/>
        </w:rPr>
        <w:t xml:space="preserve"> expidió</w:t>
      </w:r>
      <w:r w:rsidR="00C35EAB">
        <w:rPr>
          <w:rFonts w:ascii="Bookman Old Style" w:hAnsi="Bookman Old Style" w:cs="Arial"/>
          <w:lang w:val="es-ES_tradnl"/>
        </w:rPr>
        <w:t xml:space="preserve"> </w:t>
      </w:r>
      <w:r w:rsidR="002D4598">
        <w:rPr>
          <w:rFonts w:ascii="Bookman Old Style" w:hAnsi="Bookman Old Style" w:cs="Arial"/>
          <w:lang w:val="es-ES_tradnl"/>
        </w:rPr>
        <w:t xml:space="preserve">la Resolución CREG </w:t>
      </w:r>
      <w:r w:rsidR="00BD3062">
        <w:rPr>
          <w:rFonts w:ascii="Bookman Old Style" w:hAnsi="Bookman Old Style" w:cs="Arial"/>
          <w:lang w:val="es-ES_tradnl"/>
        </w:rPr>
        <w:t>129</w:t>
      </w:r>
      <w:r w:rsidR="008D068C">
        <w:rPr>
          <w:rFonts w:ascii="Bookman Old Style" w:hAnsi="Bookman Old Style" w:cs="Arial"/>
          <w:lang w:val="es-ES_tradnl"/>
        </w:rPr>
        <w:t xml:space="preserve"> </w:t>
      </w:r>
      <w:r w:rsidR="002D4598">
        <w:rPr>
          <w:rFonts w:ascii="Bookman Old Style" w:hAnsi="Bookman Old Style" w:cs="Arial"/>
          <w:lang w:val="es-ES_tradnl"/>
        </w:rPr>
        <w:t xml:space="preserve">de 2019 mediante la que </w:t>
      </w:r>
      <w:r w:rsidR="00BD3062">
        <w:rPr>
          <w:rFonts w:ascii="Bookman Old Style" w:hAnsi="Bookman Old Style" w:cs="Arial"/>
          <w:lang w:val="es-ES_tradnl"/>
        </w:rPr>
        <w:t>define</w:t>
      </w:r>
      <w:r w:rsidR="002D4598">
        <w:rPr>
          <w:rFonts w:ascii="Bookman Old Style" w:hAnsi="Bookman Old Style" w:cs="Arial"/>
          <w:lang w:val="es-ES_tradnl"/>
        </w:rPr>
        <w:t xml:space="preserve"> la </w:t>
      </w:r>
      <w:r w:rsidR="00961C05" w:rsidRPr="002E036E">
        <w:rPr>
          <w:rFonts w:ascii="Bookman Old Style" w:hAnsi="Bookman Old Style"/>
        </w:rPr>
        <w:t>fórmula</w:t>
      </w:r>
      <w:r w:rsidR="002D4598" w:rsidRPr="002E036E">
        <w:rPr>
          <w:rFonts w:ascii="Bookman Old Style" w:hAnsi="Bookman Old Style"/>
        </w:rPr>
        <w:t xml:space="preserve"> de traslado de los precios de</w:t>
      </w:r>
      <w:r w:rsidR="002D4598">
        <w:rPr>
          <w:rFonts w:ascii="Bookman Old Style" w:hAnsi="Bookman Old Style"/>
        </w:rPr>
        <w:t>l</w:t>
      </w:r>
      <w:r w:rsidR="002D4598" w:rsidRPr="002E036E">
        <w:rPr>
          <w:rFonts w:ascii="Bookman Old Style" w:hAnsi="Bookman Old Style"/>
        </w:rPr>
        <w:t xml:space="preserve"> mecanismo de contratación establecido en la Resolución 40</w:t>
      </w:r>
      <w:r w:rsidR="002D4598">
        <w:rPr>
          <w:rFonts w:ascii="Bookman Old Style" w:hAnsi="Bookman Old Style"/>
        </w:rPr>
        <w:t xml:space="preserve">590 </w:t>
      </w:r>
      <w:r w:rsidR="002D4598" w:rsidRPr="002E036E">
        <w:rPr>
          <w:rFonts w:ascii="Bookman Old Style" w:hAnsi="Bookman Old Style"/>
        </w:rPr>
        <w:t>de 201</w:t>
      </w:r>
      <w:r w:rsidR="002D4598">
        <w:rPr>
          <w:rFonts w:ascii="Bookman Old Style" w:hAnsi="Bookman Old Style"/>
        </w:rPr>
        <w:t>9</w:t>
      </w:r>
      <w:r w:rsidR="002D4598" w:rsidRPr="002E036E">
        <w:rPr>
          <w:rFonts w:ascii="Bookman Old Style" w:hAnsi="Bookman Old Style"/>
        </w:rPr>
        <w:t xml:space="preserve"> del Ministerio de Minas y Energía</w:t>
      </w:r>
      <w:r w:rsidR="00BD3062">
        <w:rPr>
          <w:rFonts w:ascii="Bookman Old Style" w:hAnsi="Bookman Old Style"/>
        </w:rPr>
        <w:t>,</w:t>
      </w:r>
      <w:r w:rsidR="002D4598" w:rsidRPr="002E036E">
        <w:rPr>
          <w:rFonts w:ascii="Bookman Old Style" w:hAnsi="Bookman Old Style"/>
        </w:rPr>
        <w:t xml:space="preserve"> en el componente de compras de energía al usuario regulado</w:t>
      </w:r>
      <w:r w:rsidR="002D4598">
        <w:rPr>
          <w:rFonts w:ascii="Bookman Old Style" w:hAnsi="Bookman Old Style"/>
        </w:rPr>
        <w:t>.</w:t>
      </w:r>
    </w:p>
    <w:p w:rsidR="00D6235A" w:rsidRDefault="00D6235A" w:rsidP="00D6235A">
      <w:pPr>
        <w:ind w:left="0"/>
        <w:jc w:val="both"/>
        <w:rPr>
          <w:rFonts w:ascii="Bookman Old Style" w:hAnsi="Bookman Old Style" w:cs="Arial"/>
          <w:lang w:val="es-ES_tradnl"/>
        </w:rPr>
      </w:pPr>
    </w:p>
    <w:p w:rsidR="00961C05" w:rsidRDefault="00961C05" w:rsidP="00961C05">
      <w:pPr>
        <w:ind w:left="0"/>
        <w:jc w:val="both"/>
        <w:rPr>
          <w:rFonts w:ascii="Bookman Old Style" w:hAnsi="Bookman Old Style" w:cs="Arial"/>
          <w:lang w:val="es-ES_tradnl"/>
        </w:rPr>
      </w:pPr>
      <w:r>
        <w:rPr>
          <w:rFonts w:ascii="Bookman Old Style" w:hAnsi="Bookman Old Style" w:cs="Arial"/>
          <w:lang w:val="es-ES_tradnl"/>
        </w:rPr>
        <w:t xml:space="preserve">El Ministerio de Minas y Energía expidió </w:t>
      </w:r>
      <w:r w:rsidR="008D068C">
        <w:rPr>
          <w:rFonts w:ascii="Bookman Old Style" w:hAnsi="Bookman Old Style" w:cs="Arial"/>
          <w:lang w:val="es-ES_tradnl"/>
        </w:rPr>
        <w:t>la R</w:t>
      </w:r>
      <w:r w:rsidR="00F544B5">
        <w:rPr>
          <w:rFonts w:ascii="Bookman Old Style" w:hAnsi="Bookman Old Style" w:cs="Arial"/>
          <w:lang w:val="es-ES_tradnl"/>
        </w:rPr>
        <w:t>esolución</w:t>
      </w:r>
      <w:r>
        <w:rPr>
          <w:rFonts w:ascii="Bookman Old Style" w:hAnsi="Bookman Old Style" w:cs="Arial"/>
          <w:lang w:val="es-ES_tradnl"/>
        </w:rPr>
        <w:t xml:space="preserve"> </w:t>
      </w:r>
      <w:r w:rsidR="008D068C">
        <w:rPr>
          <w:rFonts w:ascii="Bookman Old Style" w:hAnsi="Bookman Old Style" w:cs="Arial"/>
          <w:lang w:val="es-ES_tradnl"/>
        </w:rPr>
        <w:t xml:space="preserve">40725 de 2019 </w:t>
      </w:r>
      <w:r w:rsidR="0080564D">
        <w:rPr>
          <w:rFonts w:ascii="Bookman Old Style" w:hAnsi="Bookman Old Style" w:cs="Arial"/>
          <w:lang w:val="es-ES_tradnl"/>
        </w:rPr>
        <w:t xml:space="preserve">en la cual </w:t>
      </w:r>
      <w:r>
        <w:rPr>
          <w:rFonts w:ascii="Bookman Old Style" w:hAnsi="Bookman Old Style" w:cs="Arial"/>
          <w:lang w:val="es-ES_tradnl"/>
        </w:rPr>
        <w:t xml:space="preserve">define el mecanismo complementario de asignación de contratos de largo plazo de acuerdo con el artículo 6 de la Resolución 40591 de 2019 </w:t>
      </w:r>
      <w:r w:rsidR="0080564D">
        <w:rPr>
          <w:rFonts w:ascii="Bookman Old Style" w:hAnsi="Bookman Old Style" w:cs="Arial"/>
          <w:lang w:val="es-ES_tradnl"/>
        </w:rPr>
        <w:t xml:space="preserve">de </w:t>
      </w:r>
      <w:r>
        <w:rPr>
          <w:rFonts w:ascii="Bookman Old Style" w:hAnsi="Bookman Old Style" w:cs="Arial"/>
          <w:lang w:val="es-ES_tradnl"/>
        </w:rPr>
        <w:t xml:space="preserve">la misma entidad. En el artículo 12 de </w:t>
      </w:r>
      <w:r w:rsidR="008D068C">
        <w:rPr>
          <w:rFonts w:ascii="Bookman Old Style" w:hAnsi="Bookman Old Style" w:cs="Arial"/>
          <w:lang w:val="es-ES_tradnl"/>
        </w:rPr>
        <w:t>esta</w:t>
      </w:r>
      <w:r>
        <w:rPr>
          <w:rFonts w:ascii="Bookman Old Style" w:hAnsi="Bookman Old Style" w:cs="Arial"/>
          <w:lang w:val="es-ES_tradnl"/>
        </w:rPr>
        <w:t xml:space="preserve"> </w:t>
      </w:r>
      <w:r w:rsidR="00F544B5">
        <w:rPr>
          <w:rFonts w:ascii="Bookman Old Style" w:hAnsi="Bookman Old Style" w:cs="Arial"/>
          <w:lang w:val="es-ES_tradnl"/>
        </w:rPr>
        <w:t>resolución</w:t>
      </w:r>
      <w:r>
        <w:rPr>
          <w:rFonts w:ascii="Bookman Old Style" w:hAnsi="Bookman Old Style" w:cs="Arial"/>
          <w:lang w:val="es-ES_tradnl"/>
        </w:rPr>
        <w:t xml:space="preserve"> se </w:t>
      </w:r>
      <w:r w:rsidR="008D068C">
        <w:rPr>
          <w:rFonts w:ascii="Bookman Old Style" w:hAnsi="Bookman Old Style" w:cs="Arial"/>
          <w:lang w:val="es-ES_tradnl"/>
        </w:rPr>
        <w:t xml:space="preserve">ordena a </w:t>
      </w:r>
      <w:r>
        <w:rPr>
          <w:rFonts w:ascii="Bookman Old Style" w:hAnsi="Bookman Old Style" w:cs="Arial"/>
          <w:lang w:val="es-ES_tradnl"/>
        </w:rPr>
        <w:t>la CREG</w:t>
      </w:r>
      <w:r w:rsidR="008D068C">
        <w:rPr>
          <w:rFonts w:ascii="Bookman Old Style" w:hAnsi="Bookman Old Style" w:cs="Arial"/>
          <w:lang w:val="es-ES_tradnl"/>
        </w:rPr>
        <w:t>,</w:t>
      </w:r>
      <w:r>
        <w:rPr>
          <w:rFonts w:ascii="Bookman Old Style" w:hAnsi="Bookman Old Style" w:cs="Arial"/>
          <w:lang w:val="es-ES_tradnl"/>
        </w:rPr>
        <w:t xml:space="preserve"> establecer el esquema para trasladar los costos de compra de energía, que resulte</w:t>
      </w:r>
      <w:r w:rsidR="00BD3062">
        <w:rPr>
          <w:rFonts w:ascii="Bookman Old Style" w:hAnsi="Bookman Old Style" w:cs="Arial"/>
          <w:lang w:val="es-ES_tradnl"/>
        </w:rPr>
        <w:t>n</w:t>
      </w:r>
      <w:r>
        <w:rPr>
          <w:rFonts w:ascii="Bookman Old Style" w:hAnsi="Bookman Old Style" w:cs="Arial"/>
          <w:lang w:val="es-ES_tradnl"/>
        </w:rPr>
        <w:t xml:space="preserve"> del mecanismo complementario.</w:t>
      </w:r>
    </w:p>
    <w:p w:rsidR="00E73859" w:rsidRDefault="00E73859" w:rsidP="00961C05">
      <w:pPr>
        <w:ind w:left="0"/>
        <w:jc w:val="both"/>
        <w:rPr>
          <w:rFonts w:ascii="Bookman Old Style" w:hAnsi="Bookman Old Style" w:cs="Arial"/>
          <w:lang w:val="es-ES_tradnl"/>
        </w:rPr>
      </w:pPr>
    </w:p>
    <w:p w:rsidR="0080564D" w:rsidRDefault="00E73859" w:rsidP="00961C05">
      <w:pPr>
        <w:ind w:left="0"/>
        <w:jc w:val="both"/>
        <w:rPr>
          <w:rFonts w:ascii="Bookman Old Style" w:hAnsi="Bookman Old Style" w:cs="Arial"/>
          <w:lang w:val="es-ES_tradnl"/>
        </w:rPr>
      </w:pPr>
      <w:r>
        <w:rPr>
          <w:rFonts w:ascii="Bookman Old Style" w:hAnsi="Bookman Old Style" w:cs="Arial"/>
          <w:lang w:val="es-ES_tradnl"/>
        </w:rPr>
        <w:t xml:space="preserve">Para dar cumplimiento a lo señalado en el artículo 12 de la resolución mencionada, la CREG </w:t>
      </w:r>
      <w:r w:rsidR="0080564D">
        <w:rPr>
          <w:rFonts w:ascii="Bookman Old Style" w:hAnsi="Bookman Old Style" w:cs="Arial"/>
          <w:lang w:val="es-ES_tradnl"/>
        </w:rPr>
        <w:t xml:space="preserve">publicó para </w:t>
      </w:r>
      <w:r w:rsidR="008D068C">
        <w:rPr>
          <w:rFonts w:ascii="Bookman Old Style" w:hAnsi="Bookman Old Style" w:cs="Arial"/>
          <w:lang w:val="es-ES_tradnl"/>
        </w:rPr>
        <w:t>consulta la Resolución CREG 10</w:t>
      </w:r>
      <w:r w:rsidR="00FB4E18">
        <w:rPr>
          <w:rFonts w:ascii="Bookman Old Style" w:hAnsi="Bookman Old Style" w:cs="Arial"/>
          <w:lang w:val="es-ES_tradnl"/>
        </w:rPr>
        <w:t>8 de 2019.</w:t>
      </w:r>
    </w:p>
    <w:p w:rsidR="0080564D" w:rsidRDefault="0080564D" w:rsidP="00961C05">
      <w:pPr>
        <w:ind w:left="0"/>
        <w:jc w:val="both"/>
        <w:rPr>
          <w:rFonts w:ascii="Bookman Old Style" w:hAnsi="Bookman Old Style" w:cs="Arial"/>
          <w:lang w:val="es-ES_tradnl"/>
        </w:rPr>
      </w:pPr>
    </w:p>
    <w:p w:rsidR="00C15D81" w:rsidRDefault="0080564D" w:rsidP="00961C05">
      <w:pPr>
        <w:ind w:left="0"/>
        <w:jc w:val="both"/>
        <w:rPr>
          <w:rFonts w:ascii="Bookman Old Style" w:hAnsi="Bookman Old Style" w:cs="Arial"/>
          <w:lang w:val="es-ES_tradnl"/>
        </w:rPr>
      </w:pPr>
      <w:r>
        <w:rPr>
          <w:rFonts w:ascii="Bookman Old Style" w:hAnsi="Bookman Old Style" w:cs="Arial"/>
          <w:lang w:val="es-ES_tradnl"/>
        </w:rPr>
        <w:t>S</w:t>
      </w:r>
      <w:r w:rsidR="00FB4E18">
        <w:rPr>
          <w:rFonts w:ascii="Bookman Old Style" w:hAnsi="Bookman Old Style" w:cs="Arial"/>
          <w:lang w:val="es-ES_tradnl"/>
        </w:rPr>
        <w:t xml:space="preserve">e </w:t>
      </w:r>
      <w:r>
        <w:rPr>
          <w:rFonts w:ascii="Bookman Old Style" w:hAnsi="Bookman Old Style" w:cs="Arial"/>
          <w:lang w:val="es-ES_tradnl"/>
        </w:rPr>
        <w:t xml:space="preserve">recibieron </w:t>
      </w:r>
      <w:r w:rsidR="00C15D81">
        <w:rPr>
          <w:rFonts w:ascii="Bookman Old Style" w:hAnsi="Bookman Old Style" w:cs="Arial"/>
          <w:lang w:val="es-ES_tradnl"/>
        </w:rPr>
        <w:t>comentarios</w:t>
      </w:r>
      <w:r>
        <w:rPr>
          <w:rFonts w:ascii="Bookman Old Style" w:hAnsi="Bookman Old Style" w:cs="Arial"/>
          <w:lang w:val="es-ES_tradnl"/>
        </w:rPr>
        <w:t xml:space="preserve"> de los siguientes agentes</w:t>
      </w:r>
      <w:r w:rsidR="00C15D81">
        <w:rPr>
          <w:rFonts w:ascii="Bookman Old Style" w:hAnsi="Bookman Old Style" w:cs="Arial"/>
          <w:lang w:val="es-ES_tradnl"/>
        </w:rPr>
        <w:t xml:space="preserve">: </w:t>
      </w:r>
      <w:proofErr w:type="spellStart"/>
      <w:r w:rsidR="00C15D81">
        <w:rPr>
          <w:rFonts w:ascii="Bookman Old Style" w:hAnsi="Bookman Old Style" w:cs="Arial"/>
          <w:lang w:val="es-ES_tradnl"/>
        </w:rPr>
        <w:t>Codensa</w:t>
      </w:r>
      <w:proofErr w:type="spellEnd"/>
      <w:r w:rsidR="00C15D81">
        <w:rPr>
          <w:rFonts w:ascii="Bookman Old Style" w:hAnsi="Bookman Old Style" w:cs="Arial"/>
          <w:lang w:val="es-ES_tradnl"/>
        </w:rPr>
        <w:t xml:space="preserve"> </w:t>
      </w:r>
      <w:r>
        <w:rPr>
          <w:rFonts w:ascii="Bookman Old Style" w:hAnsi="Bookman Old Style" w:cs="Arial"/>
          <w:lang w:val="es-ES_tradnl"/>
        </w:rPr>
        <w:t>(</w:t>
      </w:r>
      <w:r w:rsidR="00C15D81">
        <w:rPr>
          <w:rFonts w:ascii="Bookman Old Style" w:hAnsi="Bookman Old Style" w:cs="Arial"/>
          <w:lang w:val="es-ES_tradnl"/>
        </w:rPr>
        <w:t>E-2019-010902</w:t>
      </w:r>
      <w:r>
        <w:rPr>
          <w:rFonts w:ascii="Bookman Old Style" w:hAnsi="Bookman Old Style" w:cs="Arial"/>
          <w:lang w:val="es-ES_tradnl"/>
        </w:rPr>
        <w:t>)</w:t>
      </w:r>
      <w:r w:rsidR="00C15D81">
        <w:rPr>
          <w:rFonts w:ascii="Bookman Old Style" w:hAnsi="Bookman Old Style" w:cs="Arial"/>
          <w:lang w:val="es-ES_tradnl"/>
        </w:rPr>
        <w:t xml:space="preserve">; EPM </w:t>
      </w:r>
      <w:r>
        <w:rPr>
          <w:rFonts w:ascii="Bookman Old Style" w:hAnsi="Bookman Old Style" w:cs="Arial"/>
          <w:lang w:val="es-ES_tradnl"/>
        </w:rPr>
        <w:t>(</w:t>
      </w:r>
      <w:r w:rsidR="00C15D81">
        <w:rPr>
          <w:rFonts w:ascii="Bookman Old Style" w:hAnsi="Bookman Old Style" w:cs="Arial"/>
          <w:lang w:val="es-ES_tradnl"/>
        </w:rPr>
        <w:t>E-2019-010909</w:t>
      </w:r>
      <w:r>
        <w:rPr>
          <w:rFonts w:ascii="Bookman Old Style" w:hAnsi="Bookman Old Style" w:cs="Arial"/>
          <w:lang w:val="es-ES_tradnl"/>
        </w:rPr>
        <w:t>)</w:t>
      </w:r>
      <w:r w:rsidR="00C15D81">
        <w:rPr>
          <w:rFonts w:ascii="Bookman Old Style" w:hAnsi="Bookman Old Style" w:cs="Arial"/>
          <w:lang w:val="es-ES_tradnl"/>
        </w:rPr>
        <w:t xml:space="preserve">; </w:t>
      </w:r>
      <w:proofErr w:type="spellStart"/>
      <w:r w:rsidR="00C15D81">
        <w:rPr>
          <w:rFonts w:ascii="Bookman Old Style" w:hAnsi="Bookman Old Style" w:cs="Arial"/>
          <w:lang w:val="es-ES_tradnl"/>
        </w:rPr>
        <w:t>Emcali</w:t>
      </w:r>
      <w:proofErr w:type="spellEnd"/>
      <w:r w:rsidR="00C15D81">
        <w:rPr>
          <w:rFonts w:ascii="Bookman Old Style" w:hAnsi="Bookman Old Style" w:cs="Arial"/>
          <w:lang w:val="es-ES_tradnl"/>
        </w:rPr>
        <w:t xml:space="preserve"> </w:t>
      </w:r>
      <w:r>
        <w:rPr>
          <w:rFonts w:ascii="Bookman Old Style" w:hAnsi="Bookman Old Style" w:cs="Arial"/>
          <w:lang w:val="es-ES_tradnl"/>
        </w:rPr>
        <w:t>(</w:t>
      </w:r>
      <w:r w:rsidR="00C15D81">
        <w:rPr>
          <w:rFonts w:ascii="Bookman Old Style" w:hAnsi="Bookman Old Style" w:cs="Arial"/>
          <w:lang w:val="es-ES_tradnl"/>
        </w:rPr>
        <w:t>E-2019-010913</w:t>
      </w:r>
      <w:r>
        <w:rPr>
          <w:rFonts w:ascii="Bookman Old Style" w:hAnsi="Bookman Old Style" w:cs="Arial"/>
          <w:lang w:val="es-ES_tradnl"/>
        </w:rPr>
        <w:t>)</w:t>
      </w:r>
      <w:r w:rsidR="00C15D81">
        <w:rPr>
          <w:rFonts w:ascii="Bookman Old Style" w:hAnsi="Bookman Old Style" w:cs="Arial"/>
          <w:lang w:val="es-ES_tradnl"/>
        </w:rPr>
        <w:t xml:space="preserve">; </w:t>
      </w:r>
      <w:proofErr w:type="spellStart"/>
      <w:r w:rsidR="00C15D81">
        <w:rPr>
          <w:rFonts w:ascii="Bookman Old Style" w:hAnsi="Bookman Old Style" w:cs="Arial"/>
          <w:lang w:val="es-ES_tradnl"/>
        </w:rPr>
        <w:t>Electricaribe</w:t>
      </w:r>
      <w:proofErr w:type="spellEnd"/>
      <w:r w:rsidR="00C15D81">
        <w:rPr>
          <w:rFonts w:ascii="Bookman Old Style" w:hAnsi="Bookman Old Style" w:cs="Arial"/>
          <w:lang w:val="es-ES_tradnl"/>
        </w:rPr>
        <w:t xml:space="preserve"> </w:t>
      </w:r>
      <w:r>
        <w:rPr>
          <w:rFonts w:ascii="Bookman Old Style" w:hAnsi="Bookman Old Style" w:cs="Arial"/>
          <w:lang w:val="es-ES_tradnl"/>
        </w:rPr>
        <w:t>(</w:t>
      </w:r>
      <w:r w:rsidR="00C15D81">
        <w:rPr>
          <w:rFonts w:ascii="Bookman Old Style" w:hAnsi="Bookman Old Style" w:cs="Arial"/>
          <w:lang w:val="es-ES_tradnl"/>
        </w:rPr>
        <w:t>E-2019-010925</w:t>
      </w:r>
      <w:r>
        <w:rPr>
          <w:rFonts w:ascii="Bookman Old Style" w:hAnsi="Bookman Old Style" w:cs="Arial"/>
          <w:lang w:val="es-ES_tradnl"/>
        </w:rPr>
        <w:t>)</w:t>
      </w:r>
      <w:r w:rsidR="00C15D81">
        <w:rPr>
          <w:rFonts w:ascii="Bookman Old Style" w:hAnsi="Bookman Old Style" w:cs="Arial"/>
          <w:lang w:val="es-ES_tradnl"/>
        </w:rPr>
        <w:t xml:space="preserve">; </w:t>
      </w:r>
      <w:proofErr w:type="spellStart"/>
      <w:r w:rsidR="00C15D81">
        <w:rPr>
          <w:rFonts w:ascii="Bookman Old Style" w:hAnsi="Bookman Old Style" w:cs="Arial"/>
          <w:lang w:val="es-ES_tradnl"/>
        </w:rPr>
        <w:t>Andesco</w:t>
      </w:r>
      <w:proofErr w:type="spellEnd"/>
      <w:r w:rsidR="00C15D81">
        <w:rPr>
          <w:rFonts w:ascii="Bookman Old Style" w:hAnsi="Bookman Old Style" w:cs="Arial"/>
          <w:lang w:val="es-ES_tradnl"/>
        </w:rPr>
        <w:t xml:space="preserve"> </w:t>
      </w:r>
      <w:r>
        <w:rPr>
          <w:rFonts w:ascii="Bookman Old Style" w:hAnsi="Bookman Old Style" w:cs="Arial"/>
          <w:lang w:val="es-ES_tradnl"/>
        </w:rPr>
        <w:t>(</w:t>
      </w:r>
      <w:r w:rsidR="00C15D81">
        <w:rPr>
          <w:rFonts w:ascii="Bookman Old Style" w:hAnsi="Bookman Old Style" w:cs="Arial"/>
          <w:lang w:val="es-ES_tradnl"/>
        </w:rPr>
        <w:t>E-2019-010926</w:t>
      </w:r>
      <w:r>
        <w:rPr>
          <w:rFonts w:ascii="Bookman Old Style" w:hAnsi="Bookman Old Style" w:cs="Arial"/>
          <w:lang w:val="es-ES_tradnl"/>
        </w:rPr>
        <w:t>)</w:t>
      </w:r>
      <w:r w:rsidR="00C15D81">
        <w:rPr>
          <w:rFonts w:ascii="Bookman Old Style" w:hAnsi="Bookman Old Style" w:cs="Arial"/>
          <w:lang w:val="es-ES_tradnl"/>
        </w:rPr>
        <w:t xml:space="preserve">; </w:t>
      </w:r>
      <w:proofErr w:type="spellStart"/>
      <w:r w:rsidR="00C15D81">
        <w:rPr>
          <w:rFonts w:ascii="Bookman Old Style" w:hAnsi="Bookman Old Style" w:cs="Arial"/>
          <w:lang w:val="es-ES_tradnl"/>
        </w:rPr>
        <w:t>Asocodis</w:t>
      </w:r>
      <w:proofErr w:type="spellEnd"/>
      <w:r w:rsidR="00C15D81">
        <w:rPr>
          <w:rFonts w:ascii="Bookman Old Style" w:hAnsi="Bookman Old Style" w:cs="Arial"/>
          <w:lang w:val="es-ES_tradnl"/>
        </w:rPr>
        <w:t xml:space="preserve"> </w:t>
      </w:r>
      <w:r>
        <w:rPr>
          <w:rFonts w:ascii="Bookman Old Style" w:hAnsi="Bookman Old Style" w:cs="Arial"/>
          <w:lang w:val="es-ES_tradnl"/>
        </w:rPr>
        <w:t>(</w:t>
      </w:r>
      <w:r w:rsidR="00C15D81">
        <w:rPr>
          <w:rFonts w:ascii="Bookman Old Style" w:hAnsi="Bookman Old Style" w:cs="Arial"/>
          <w:lang w:val="es-ES_tradnl"/>
        </w:rPr>
        <w:t>E-2019-010883</w:t>
      </w:r>
      <w:r>
        <w:rPr>
          <w:rFonts w:ascii="Bookman Old Style" w:hAnsi="Bookman Old Style" w:cs="Arial"/>
          <w:lang w:val="es-ES_tradnl"/>
        </w:rPr>
        <w:t>)</w:t>
      </w:r>
      <w:r w:rsidR="00177273">
        <w:rPr>
          <w:rFonts w:ascii="Bookman Old Style" w:hAnsi="Bookman Old Style" w:cs="Arial"/>
          <w:lang w:val="es-ES_tradnl"/>
        </w:rPr>
        <w:t xml:space="preserve">. </w:t>
      </w:r>
      <w:r>
        <w:rPr>
          <w:rFonts w:ascii="Bookman Old Style" w:hAnsi="Bookman Old Style" w:cs="Arial"/>
          <w:lang w:val="es-ES_tradnl"/>
        </w:rPr>
        <w:t xml:space="preserve">Terminado el plazo </w:t>
      </w:r>
      <w:r w:rsidR="00177273">
        <w:rPr>
          <w:rFonts w:ascii="Bookman Old Style" w:hAnsi="Bookman Old Style" w:cs="Arial"/>
          <w:lang w:val="es-ES_tradnl"/>
        </w:rPr>
        <w:t>se recibieron los comentarios de: CEO E-2019-011020 y Comité Asesor de Comercialización E-2019-011190</w:t>
      </w:r>
      <w:r w:rsidR="00C15D81">
        <w:rPr>
          <w:rFonts w:ascii="Bookman Old Style" w:hAnsi="Bookman Old Style" w:cs="Arial"/>
          <w:lang w:val="es-ES_tradnl"/>
        </w:rPr>
        <w:t xml:space="preserve">.  </w:t>
      </w:r>
    </w:p>
    <w:p w:rsidR="00FB4E18" w:rsidRDefault="00FB4E18" w:rsidP="00961C05">
      <w:pPr>
        <w:ind w:left="0"/>
        <w:jc w:val="both"/>
        <w:rPr>
          <w:rFonts w:ascii="Bookman Old Style" w:hAnsi="Bookman Old Style" w:cs="Arial"/>
          <w:lang w:val="es-ES_tradnl"/>
        </w:rPr>
      </w:pPr>
    </w:p>
    <w:p w:rsidR="00FB4E18" w:rsidRPr="00835C45" w:rsidRDefault="00FB4E18" w:rsidP="00785E91">
      <w:pPr>
        <w:ind w:left="0"/>
        <w:jc w:val="both"/>
        <w:rPr>
          <w:rFonts w:ascii="Bookman Old Style" w:hAnsi="Bookman Old Style"/>
        </w:rPr>
      </w:pPr>
      <w:r w:rsidRPr="00835C45">
        <w:rPr>
          <w:rFonts w:ascii="Bookman Old Style" w:hAnsi="Bookman Old Style"/>
        </w:rPr>
        <w:t xml:space="preserve">La respuesta a los comentarios recibidos y los análisis de la CREG que sustentan las decisiones que aquí se adoptan, se presentan en el Documento CREG </w:t>
      </w:r>
      <w:r w:rsidR="00835C45" w:rsidRPr="00835C45">
        <w:rPr>
          <w:rFonts w:ascii="Bookman Old Style" w:hAnsi="Bookman Old Style"/>
        </w:rPr>
        <w:t>099</w:t>
      </w:r>
      <w:r w:rsidRPr="00835C45">
        <w:rPr>
          <w:rFonts w:ascii="Bookman Old Style" w:hAnsi="Bookman Old Style"/>
        </w:rPr>
        <w:t xml:space="preserve"> de 2019 que acompaña esta resolución.</w:t>
      </w:r>
    </w:p>
    <w:p w:rsidR="00FB4E18" w:rsidRPr="00835C45" w:rsidRDefault="00FB4E18" w:rsidP="00785E91">
      <w:pPr>
        <w:ind w:left="0"/>
        <w:jc w:val="both"/>
        <w:rPr>
          <w:rFonts w:ascii="Bookman Old Style" w:hAnsi="Bookman Old Style"/>
        </w:rPr>
      </w:pPr>
    </w:p>
    <w:p w:rsidR="00FB3724" w:rsidRDefault="00FB4E18" w:rsidP="00FB4E18">
      <w:pPr>
        <w:ind w:left="0"/>
        <w:jc w:val="both"/>
        <w:rPr>
          <w:rFonts w:ascii="Bookman Old Style" w:hAnsi="Bookman Old Style"/>
        </w:rPr>
      </w:pPr>
      <w:r w:rsidRPr="00835C45">
        <w:rPr>
          <w:rFonts w:ascii="Bookman Old Style" w:hAnsi="Bookman Old Style"/>
        </w:rPr>
        <w:t xml:space="preserve">Conforme al Decreto 1074 de 2015 y la Resolución SIC 44649 de 2010, la CREG dio respuesta al cuestionario adoptado por la Superintendencia de Industria y Comercio para la evaluación de la incidencia sobre la libre competencia del presente acto administrativo, el cual se encuentra en el Documento CREG </w:t>
      </w:r>
      <w:r w:rsidR="00835C45" w:rsidRPr="00835C45">
        <w:rPr>
          <w:rFonts w:ascii="Bookman Old Style" w:hAnsi="Bookman Old Style"/>
        </w:rPr>
        <w:t>099</w:t>
      </w:r>
      <w:r w:rsidRPr="00835C45">
        <w:rPr>
          <w:rFonts w:ascii="Bookman Old Style" w:hAnsi="Bookman Old Style"/>
        </w:rPr>
        <w:t xml:space="preserve"> de 2019.</w:t>
      </w:r>
      <w:r w:rsidRPr="00291E9D">
        <w:rPr>
          <w:rFonts w:ascii="Bookman Old Style" w:hAnsi="Bookman Old Style"/>
        </w:rPr>
        <w:t xml:space="preserve"> </w:t>
      </w:r>
    </w:p>
    <w:p w:rsidR="00FB3724" w:rsidRDefault="00FB3724" w:rsidP="00FB4E18">
      <w:pPr>
        <w:ind w:left="0"/>
        <w:jc w:val="both"/>
        <w:rPr>
          <w:rFonts w:ascii="Bookman Old Style" w:hAnsi="Bookman Old Style"/>
        </w:rPr>
      </w:pPr>
    </w:p>
    <w:p w:rsidR="00FB4E18" w:rsidRPr="00BA6AA0" w:rsidRDefault="00FB4E18" w:rsidP="00FB4E18">
      <w:pPr>
        <w:ind w:left="0"/>
        <w:jc w:val="both"/>
        <w:rPr>
          <w:rFonts w:ascii="Bookman Old Style" w:hAnsi="Bookman Old Style"/>
        </w:rPr>
      </w:pPr>
      <w:r w:rsidRPr="00291E9D">
        <w:rPr>
          <w:rFonts w:ascii="Bookman Old Style" w:hAnsi="Bookman Old Style"/>
        </w:rPr>
        <w:t xml:space="preserve">Como resultado del </w:t>
      </w:r>
      <w:r w:rsidR="00FB3724">
        <w:rPr>
          <w:rFonts w:ascii="Bookman Old Style" w:hAnsi="Bookman Old Style"/>
        </w:rPr>
        <w:t xml:space="preserve">análisis para responder el </w:t>
      </w:r>
      <w:r w:rsidRPr="00291E9D">
        <w:rPr>
          <w:rFonts w:ascii="Bookman Old Style" w:hAnsi="Bookman Old Style"/>
        </w:rPr>
        <w:t xml:space="preserve">cuestionario se encuentra que el contenido del presente acto administrativo </w:t>
      </w:r>
      <w:r w:rsidR="008C7A04">
        <w:rPr>
          <w:rFonts w:ascii="Bookman Old Style" w:hAnsi="Bookman Old Style"/>
        </w:rPr>
        <w:t>podría tener</w:t>
      </w:r>
      <w:r w:rsidRPr="00291E9D">
        <w:rPr>
          <w:rFonts w:ascii="Bookman Old Style" w:hAnsi="Bookman Old Style"/>
        </w:rPr>
        <w:t xml:space="preserve"> incidencia en la libre competencia en los términos del artículo 7 de la Ley 1340 de 2009</w:t>
      </w:r>
      <w:r w:rsidR="00FB3724">
        <w:rPr>
          <w:rFonts w:ascii="Bookman Old Style" w:hAnsi="Bookman Old Style"/>
        </w:rPr>
        <w:t xml:space="preserve">, teniendo en cuenta </w:t>
      </w:r>
      <w:r w:rsidR="008C7A04">
        <w:rPr>
          <w:rFonts w:ascii="Bookman Old Style" w:hAnsi="Bookman Old Style"/>
        </w:rPr>
        <w:t xml:space="preserve">que </w:t>
      </w:r>
      <w:r w:rsidR="00FB3724">
        <w:rPr>
          <w:rFonts w:ascii="Bookman Old Style" w:hAnsi="Bookman Old Style"/>
        </w:rPr>
        <w:t xml:space="preserve">el </w:t>
      </w:r>
      <w:r w:rsidR="00BA6AA0">
        <w:rPr>
          <w:rFonts w:ascii="Bookman Old Style" w:hAnsi="Bookman Old Style"/>
        </w:rPr>
        <w:t xml:space="preserve">presente acto puede influir </w:t>
      </w:r>
      <w:r w:rsidR="00BA6AA0" w:rsidRPr="00BA6AA0">
        <w:rPr>
          <w:rFonts w:ascii="Bookman Old Style" w:hAnsi="Bookman Old Style"/>
        </w:rPr>
        <w:t>los precios de los bienes o servicios o el nivel de producción.</w:t>
      </w:r>
    </w:p>
    <w:p w:rsidR="00BA6AA0" w:rsidRDefault="00BA6AA0" w:rsidP="00FB4E18">
      <w:pPr>
        <w:ind w:left="0"/>
        <w:jc w:val="both"/>
        <w:rPr>
          <w:rFonts w:ascii="Bookman Old Style" w:hAnsi="Bookman Old Style"/>
        </w:rPr>
      </w:pPr>
    </w:p>
    <w:p w:rsidR="008C216F" w:rsidRDefault="008C216F" w:rsidP="00847DC6">
      <w:pPr>
        <w:ind w:left="0"/>
        <w:jc w:val="both"/>
        <w:rPr>
          <w:rFonts w:ascii="Bookman Old Style" w:hAnsi="Bookman Old Style"/>
        </w:rPr>
      </w:pPr>
    </w:p>
    <w:p w:rsidR="008C216F" w:rsidRDefault="008C216F" w:rsidP="00847DC6">
      <w:pPr>
        <w:ind w:left="0"/>
        <w:jc w:val="both"/>
        <w:rPr>
          <w:rFonts w:ascii="Bookman Old Style" w:hAnsi="Bookman Old Style"/>
        </w:rPr>
      </w:pPr>
    </w:p>
    <w:p w:rsidR="00847DC6" w:rsidRPr="00AC7A83" w:rsidRDefault="00847DC6" w:rsidP="00847DC6">
      <w:pPr>
        <w:ind w:left="0"/>
        <w:jc w:val="both"/>
        <w:rPr>
          <w:rFonts w:ascii="Bookman Old Style" w:hAnsi="Bookman Old Style"/>
        </w:rPr>
      </w:pPr>
      <w:r>
        <w:rPr>
          <w:rFonts w:ascii="Bookman Old Style" w:hAnsi="Bookman Old Style"/>
        </w:rPr>
        <w:t>M</w:t>
      </w:r>
      <w:r w:rsidRPr="002E036E">
        <w:rPr>
          <w:rFonts w:ascii="Bookman Old Style" w:hAnsi="Bookman Old Style"/>
        </w:rPr>
        <w:t xml:space="preserve">ediante </w:t>
      </w:r>
      <w:r w:rsidR="0080564D">
        <w:rPr>
          <w:rFonts w:ascii="Bookman Old Style" w:hAnsi="Bookman Old Style"/>
        </w:rPr>
        <w:t xml:space="preserve">comunicación </w:t>
      </w:r>
      <w:r w:rsidRPr="00E90A4C">
        <w:rPr>
          <w:rFonts w:ascii="Bookman Old Style" w:hAnsi="Bookman Old Style"/>
        </w:rPr>
        <w:t>CREG S-2019-</w:t>
      </w:r>
      <w:r>
        <w:rPr>
          <w:rFonts w:ascii="Bookman Old Style" w:hAnsi="Bookman Old Style"/>
        </w:rPr>
        <w:t>005733</w:t>
      </w:r>
      <w:r w:rsidRPr="00E90A4C">
        <w:rPr>
          <w:rFonts w:ascii="Bookman Old Style" w:hAnsi="Bookman Old Style"/>
        </w:rPr>
        <w:t xml:space="preserve"> del </w:t>
      </w:r>
      <w:r>
        <w:rPr>
          <w:rFonts w:ascii="Bookman Old Style" w:hAnsi="Bookman Old Style"/>
        </w:rPr>
        <w:t>11</w:t>
      </w:r>
      <w:r w:rsidRPr="00E90A4C">
        <w:rPr>
          <w:rFonts w:ascii="Bookman Old Style" w:hAnsi="Bookman Old Style"/>
        </w:rPr>
        <w:t xml:space="preserve"> de octubre de 2019</w:t>
      </w:r>
      <w:r>
        <w:rPr>
          <w:rFonts w:ascii="Bookman Old Style" w:hAnsi="Bookman Old Style"/>
        </w:rPr>
        <w:t xml:space="preserve"> se</w:t>
      </w:r>
      <w:r w:rsidRPr="00E90A4C">
        <w:rPr>
          <w:rFonts w:ascii="Bookman Old Style" w:hAnsi="Bookman Old Style"/>
        </w:rPr>
        <w:t xml:space="preserve"> </w:t>
      </w:r>
      <w:r w:rsidR="0080564D">
        <w:rPr>
          <w:rFonts w:ascii="Bookman Old Style" w:hAnsi="Bookman Old Style"/>
        </w:rPr>
        <w:t xml:space="preserve">informó a </w:t>
      </w:r>
      <w:r w:rsidRPr="002E036E">
        <w:rPr>
          <w:rFonts w:ascii="Bookman Old Style" w:hAnsi="Bookman Old Style"/>
        </w:rPr>
        <w:t>la Superintendencia de Industria y Comercio</w:t>
      </w:r>
      <w:r>
        <w:rPr>
          <w:rFonts w:ascii="Bookman Old Style" w:hAnsi="Bookman Old Style"/>
        </w:rPr>
        <w:t xml:space="preserve"> SIC</w:t>
      </w:r>
      <w:r w:rsidRPr="002E036E">
        <w:rPr>
          <w:rFonts w:ascii="Bookman Old Style" w:hAnsi="Bookman Old Style"/>
        </w:rPr>
        <w:t xml:space="preserve">, </w:t>
      </w:r>
      <w:r w:rsidR="0080564D">
        <w:rPr>
          <w:rFonts w:ascii="Bookman Old Style" w:hAnsi="Bookman Old Style"/>
        </w:rPr>
        <w:t xml:space="preserve">sobre </w:t>
      </w:r>
      <w:r w:rsidRPr="002E036E">
        <w:rPr>
          <w:rFonts w:ascii="Bookman Old Style" w:hAnsi="Bookman Old Style"/>
        </w:rPr>
        <w:t>el proyecto de resolución “</w:t>
      </w:r>
      <w:r>
        <w:rPr>
          <w:rFonts w:ascii="Bookman Old Style" w:hAnsi="Bookman Old Style"/>
        </w:rPr>
        <w:t>F</w:t>
      </w:r>
      <w:r w:rsidRPr="002E036E">
        <w:rPr>
          <w:rFonts w:ascii="Bookman Old Style" w:hAnsi="Bookman Old Style"/>
        </w:rPr>
        <w:t>órmula de traslado</w:t>
      </w:r>
      <w:r>
        <w:rPr>
          <w:rFonts w:ascii="Bookman Old Style" w:hAnsi="Bookman Old Style"/>
        </w:rPr>
        <w:t xml:space="preserve"> </w:t>
      </w:r>
      <w:r w:rsidRPr="002E036E">
        <w:rPr>
          <w:rFonts w:ascii="Bookman Old Style" w:hAnsi="Bookman Old Style"/>
        </w:rPr>
        <w:t xml:space="preserve">en el componente de compras de energía al usuario regulado de los precios </w:t>
      </w:r>
      <w:r>
        <w:rPr>
          <w:rFonts w:ascii="Bookman Old Style" w:hAnsi="Bookman Old Style"/>
        </w:rPr>
        <w:t xml:space="preserve">de los contratos del mecanismo complementario </w:t>
      </w:r>
      <w:r w:rsidRPr="00AC7A83">
        <w:rPr>
          <w:rFonts w:ascii="Bookman Old Style" w:hAnsi="Bookman Old Style"/>
        </w:rPr>
        <w:t>del que trata la Resolución 40725 de 2019 del Ministerio de Minas y Energía”.</w:t>
      </w:r>
    </w:p>
    <w:p w:rsidR="00847DC6" w:rsidRPr="00934EE4" w:rsidRDefault="00847DC6" w:rsidP="00847DC6">
      <w:pPr>
        <w:ind w:left="0"/>
        <w:jc w:val="both"/>
        <w:rPr>
          <w:rFonts w:ascii="Bookman Old Style" w:hAnsi="Bookman Old Style"/>
        </w:rPr>
      </w:pPr>
    </w:p>
    <w:p w:rsidR="00AC7A83" w:rsidRDefault="00AC7A83" w:rsidP="00AC7A83">
      <w:pPr>
        <w:ind w:left="0"/>
        <w:jc w:val="both"/>
        <w:rPr>
          <w:rFonts w:ascii="Bookman Old Style" w:hAnsi="Bookman Old Style"/>
        </w:rPr>
      </w:pPr>
      <w:r w:rsidRPr="00E856A9">
        <w:rPr>
          <w:rFonts w:ascii="Bookman Old Style" w:hAnsi="Bookman Old Style"/>
        </w:rPr>
        <w:t xml:space="preserve">La SIC dio respuesta a la CREG mediante el radicado </w:t>
      </w:r>
      <w:r w:rsidR="000D526C">
        <w:rPr>
          <w:rFonts w:ascii="Bookman Old Style" w:hAnsi="Bookman Old Style"/>
        </w:rPr>
        <w:t>E-2019-011315</w:t>
      </w:r>
      <w:r w:rsidRPr="00E856A9">
        <w:rPr>
          <w:rFonts w:ascii="Bookman Old Style" w:hAnsi="Bookman Old Style"/>
        </w:rPr>
        <w:t xml:space="preserve"> del 18 de octubre de 2019, en donde concluye lo siguiente: </w:t>
      </w:r>
    </w:p>
    <w:p w:rsidR="00AC7A83" w:rsidRDefault="00AC7A83" w:rsidP="00AC7A83">
      <w:pPr>
        <w:ind w:left="0"/>
        <w:jc w:val="both"/>
        <w:rPr>
          <w:rFonts w:ascii="Bookman Old Style" w:hAnsi="Bookman Old Style"/>
        </w:rPr>
      </w:pPr>
    </w:p>
    <w:p w:rsidR="00AC7A83" w:rsidRPr="00E856A9" w:rsidRDefault="00304322" w:rsidP="00E856A9">
      <w:pPr>
        <w:ind w:left="360"/>
        <w:jc w:val="both"/>
        <w:rPr>
          <w:rFonts w:ascii="Bookman Old Style" w:hAnsi="Bookman Old Style"/>
        </w:rPr>
      </w:pPr>
      <w:r w:rsidRPr="00304322">
        <w:rPr>
          <w:rFonts w:ascii="Bookman Old Style" w:hAnsi="Bookman Old Style"/>
        </w:rPr>
        <w:t>“5</w:t>
      </w:r>
      <w:r w:rsidR="00AC7A83" w:rsidRPr="00E856A9">
        <w:rPr>
          <w:rFonts w:ascii="Bookman Old Style" w:hAnsi="Bookman Old Style"/>
        </w:rPr>
        <w:t>. RECOMENDACIONES: Con fundamento en lo expuesto, esta Superintendencia recomienda a la Comisión de Regulación de Energía y Gas:</w:t>
      </w:r>
    </w:p>
    <w:p w:rsidR="00AC7A83" w:rsidRPr="00E856A9" w:rsidRDefault="00AC7A83" w:rsidP="00E856A9">
      <w:pPr>
        <w:ind w:left="360"/>
        <w:jc w:val="both"/>
        <w:rPr>
          <w:rFonts w:ascii="Bookman Old Style" w:hAnsi="Bookman Old Style"/>
        </w:rPr>
      </w:pPr>
    </w:p>
    <w:p w:rsidR="00AC7A83" w:rsidRPr="00AC7A83" w:rsidRDefault="00AC7A83" w:rsidP="00E856A9">
      <w:pPr>
        <w:pStyle w:val="Prrafodelista"/>
        <w:numPr>
          <w:ilvl w:val="0"/>
          <w:numId w:val="46"/>
        </w:numPr>
        <w:ind w:left="1080"/>
        <w:jc w:val="both"/>
        <w:rPr>
          <w:rFonts w:ascii="Bookman Old Style" w:hAnsi="Bookman Old Style"/>
          <w:sz w:val="24"/>
          <w:szCs w:val="24"/>
        </w:rPr>
      </w:pPr>
      <w:r w:rsidRPr="00E856A9">
        <w:rPr>
          <w:rFonts w:ascii="Bookman Old Style" w:hAnsi="Bookman Old Style"/>
          <w:sz w:val="24"/>
          <w:szCs w:val="24"/>
        </w:rPr>
        <w:t>Incluir las recomendaciones ya realizadas por esta Superintendencia contenidas en el concepto identificado con número de radicado 19-185490 respecto de la fórmula de traslado, con el fin de evitar las distorsiones derivadas de las imprecisiones en su momento identificadas</w:t>
      </w:r>
      <w:r w:rsidRPr="00AC7A83">
        <w:rPr>
          <w:rFonts w:ascii="Bookman Old Style" w:hAnsi="Bookman Old Style"/>
          <w:sz w:val="24"/>
          <w:szCs w:val="24"/>
        </w:rPr>
        <w:t>.</w:t>
      </w:r>
    </w:p>
    <w:p w:rsidR="00AC7A83" w:rsidRPr="00AC7A83" w:rsidRDefault="00AC7A83" w:rsidP="00E856A9">
      <w:pPr>
        <w:pStyle w:val="Prrafodelista"/>
        <w:numPr>
          <w:ilvl w:val="0"/>
          <w:numId w:val="46"/>
        </w:numPr>
        <w:ind w:left="1080"/>
        <w:jc w:val="both"/>
        <w:rPr>
          <w:rFonts w:ascii="Bookman Old Style" w:hAnsi="Bookman Old Style"/>
          <w:sz w:val="24"/>
          <w:szCs w:val="24"/>
        </w:rPr>
      </w:pPr>
      <w:r w:rsidRPr="000B2C0B">
        <w:rPr>
          <w:rFonts w:ascii="Bookman Old Style" w:hAnsi="Bookman Old Style"/>
          <w:sz w:val="24"/>
          <w:szCs w:val="24"/>
        </w:rPr>
        <w:t>Incorporar un mecanismo que evite que la asimetría en las condiciones para la formación de precios que se derivaría de las asignaciones de contratos en la subasta y el mecanismo complementario que genere una distorsión competitiva entre comercializadores que resulten asignatarios en uno u otro caso.”</w:t>
      </w:r>
    </w:p>
    <w:p w:rsidR="00AC7A83" w:rsidRDefault="00AC7A83" w:rsidP="00AC7A83">
      <w:pPr>
        <w:ind w:left="0"/>
        <w:jc w:val="both"/>
        <w:rPr>
          <w:rFonts w:ascii="Bookman Old Style" w:hAnsi="Bookman Old Style"/>
        </w:rPr>
      </w:pPr>
    </w:p>
    <w:p w:rsidR="00AC7A83" w:rsidRDefault="00AC7A83" w:rsidP="00AC7A83">
      <w:pPr>
        <w:ind w:left="0"/>
        <w:jc w:val="both"/>
        <w:rPr>
          <w:rFonts w:ascii="Bookman Old Style" w:hAnsi="Bookman Old Style"/>
        </w:rPr>
      </w:pPr>
      <w:r>
        <w:rPr>
          <w:rFonts w:ascii="Bookman Old Style" w:hAnsi="Bookman Old Style"/>
        </w:rPr>
        <w:t>Frente a las recomendaciones de la SIC, la Comisión considera lo siguiente:</w:t>
      </w:r>
    </w:p>
    <w:p w:rsidR="00AC7A83" w:rsidRDefault="00AC7A83" w:rsidP="00AC7A83">
      <w:pPr>
        <w:ind w:left="0"/>
        <w:jc w:val="both"/>
        <w:rPr>
          <w:rFonts w:ascii="Bookman Old Style" w:hAnsi="Bookman Old Style"/>
        </w:rPr>
      </w:pPr>
    </w:p>
    <w:p w:rsidR="00304322" w:rsidRDefault="00AC7A83" w:rsidP="00304322">
      <w:pPr>
        <w:jc w:val="both"/>
        <w:rPr>
          <w:rFonts w:ascii="Bookman Old Style" w:hAnsi="Bookman Old Style"/>
        </w:rPr>
      </w:pPr>
      <w:r>
        <w:rPr>
          <w:rFonts w:ascii="Bookman Old Style" w:hAnsi="Bookman Old Style"/>
        </w:rPr>
        <w:t>Con relación a la primera recomendación, la CREG se permite manifestar que las observaciones que hizo la SIC frente a</w:t>
      </w:r>
      <w:r w:rsidR="004766C7">
        <w:rPr>
          <w:rFonts w:ascii="Bookman Old Style" w:hAnsi="Bookman Old Style"/>
        </w:rPr>
        <w:t>l proyecto regulatorio que dio lugar a</w:t>
      </w:r>
      <w:r>
        <w:rPr>
          <w:rFonts w:ascii="Bookman Old Style" w:hAnsi="Bookman Old Style"/>
        </w:rPr>
        <w:t xml:space="preserve"> la Resolución CREG 129 de 2019</w:t>
      </w:r>
      <w:r w:rsidR="004766C7">
        <w:rPr>
          <w:rFonts w:ascii="Bookman Old Style" w:hAnsi="Bookman Old Style"/>
        </w:rPr>
        <w:t>,</w:t>
      </w:r>
      <w:r>
        <w:rPr>
          <w:rFonts w:ascii="Bookman Old Style" w:hAnsi="Bookman Old Style"/>
        </w:rPr>
        <w:t xml:space="preserve"> fueron </w:t>
      </w:r>
      <w:r w:rsidR="00304322">
        <w:rPr>
          <w:rFonts w:ascii="Bookman Old Style" w:hAnsi="Bookman Old Style"/>
        </w:rPr>
        <w:t xml:space="preserve">atendidos </w:t>
      </w:r>
      <w:r>
        <w:rPr>
          <w:rFonts w:ascii="Bookman Old Style" w:hAnsi="Bookman Old Style"/>
        </w:rPr>
        <w:t>en los considerandos de la misma</w:t>
      </w:r>
      <w:r w:rsidR="00304322">
        <w:rPr>
          <w:rFonts w:ascii="Bookman Old Style" w:hAnsi="Bookman Old Style"/>
        </w:rPr>
        <w:t>.  S</w:t>
      </w:r>
      <w:r>
        <w:rPr>
          <w:rFonts w:ascii="Bookman Old Style" w:hAnsi="Bookman Old Style"/>
        </w:rPr>
        <w:t xml:space="preserve">e adoptó la </w:t>
      </w:r>
      <w:r w:rsidRPr="008B0A03">
        <w:rPr>
          <w:rFonts w:ascii="Bookman Old Style" w:hAnsi="Bookman Old Style"/>
        </w:rPr>
        <w:t xml:space="preserve">recomendación de la inclusión del indicador </w:t>
      </w:r>
      <w:r w:rsidRPr="008B0A03">
        <w:rPr>
          <w:rFonts w:ascii="Bookman Old Style" w:hAnsi="Bookman Old Style"/>
          <w:i/>
        </w:rPr>
        <w:t>i</w:t>
      </w:r>
      <w:r w:rsidRPr="008B0A03">
        <w:rPr>
          <w:rFonts w:ascii="Bookman Old Style" w:hAnsi="Bookman Old Style"/>
        </w:rPr>
        <w:t xml:space="preserve"> para el número total de contratos adjudicados en la subasta (N)</w:t>
      </w:r>
      <w:r>
        <w:rPr>
          <w:rFonts w:ascii="Bookman Old Style" w:hAnsi="Bookman Old Style"/>
        </w:rPr>
        <w:t>.</w:t>
      </w:r>
      <w:r w:rsidR="004766C7">
        <w:rPr>
          <w:rFonts w:ascii="Bookman Old Style" w:hAnsi="Bookman Old Style"/>
        </w:rPr>
        <w:t xml:space="preserve"> </w:t>
      </w:r>
    </w:p>
    <w:p w:rsidR="00304322" w:rsidRDefault="00304322" w:rsidP="00304322">
      <w:pPr>
        <w:jc w:val="both"/>
        <w:rPr>
          <w:rFonts w:ascii="Bookman Old Style" w:hAnsi="Bookman Old Style"/>
        </w:rPr>
      </w:pPr>
    </w:p>
    <w:p w:rsidR="00AC7A83" w:rsidRPr="004766C7" w:rsidRDefault="004766C7" w:rsidP="00304322">
      <w:pPr>
        <w:jc w:val="both"/>
        <w:rPr>
          <w:rFonts w:ascii="Bookman Old Style" w:hAnsi="Bookman Old Style"/>
        </w:rPr>
      </w:pPr>
      <w:r>
        <w:rPr>
          <w:rFonts w:ascii="Bookman Old Style" w:hAnsi="Bookman Old Style"/>
        </w:rPr>
        <w:t xml:space="preserve">En relación con el comentario sobre otros componente de la fórmula se precisó </w:t>
      </w:r>
      <w:r w:rsidR="00AC7A83">
        <w:rPr>
          <w:rFonts w:ascii="Bookman Old Style" w:hAnsi="Bookman Old Style"/>
        </w:rPr>
        <w:t>que</w:t>
      </w:r>
      <w:r>
        <w:rPr>
          <w:rFonts w:ascii="Bookman Old Style" w:hAnsi="Bookman Old Style"/>
        </w:rPr>
        <w:t xml:space="preserve">, al igual que en el caso de esta </w:t>
      </w:r>
      <w:r w:rsidR="00AC7A83">
        <w:rPr>
          <w:rFonts w:ascii="Bookman Old Style" w:hAnsi="Bookman Old Style"/>
        </w:rPr>
        <w:t>resolución</w:t>
      </w:r>
      <w:r>
        <w:rPr>
          <w:rFonts w:ascii="Bookman Old Style" w:hAnsi="Bookman Old Style"/>
        </w:rPr>
        <w:t xml:space="preserve">, el objeto </w:t>
      </w:r>
      <w:r w:rsidR="00AC7A83" w:rsidRPr="00FB56EC">
        <w:rPr>
          <w:rFonts w:ascii="Bookman Old Style" w:hAnsi="Bookman Old Style"/>
        </w:rPr>
        <w:t xml:space="preserve">no </w:t>
      </w:r>
      <w:r>
        <w:rPr>
          <w:rFonts w:ascii="Bookman Old Style" w:hAnsi="Bookman Old Style"/>
        </w:rPr>
        <w:t xml:space="preserve">es </w:t>
      </w:r>
      <w:r w:rsidR="00AC7A83" w:rsidRPr="00FB56EC">
        <w:rPr>
          <w:rFonts w:ascii="Bookman Old Style" w:hAnsi="Bookman Old Style"/>
        </w:rPr>
        <w:t xml:space="preserve">modificar las señales regulatorias tarifarias que incluyen el factor </w:t>
      </w:r>
      <m:oMath>
        <m:r>
          <w:rPr>
            <w:rFonts w:ascii="Cambria Math" w:hAnsi="Cambria Math"/>
          </w:rPr>
          <m:t>α</m:t>
        </m:r>
      </m:oMath>
      <w:r w:rsidR="00AC7A83" w:rsidRPr="00FB56EC">
        <w:rPr>
          <w:rFonts w:ascii="Bookman Old Style" w:hAnsi="Bookman Old Style"/>
        </w:rPr>
        <w:t xml:space="preserve">, ni los demás componentes de la fórmula, como lo son las compras en bolsa y la remuneración de excedentes de autogeneración a pequeña escala que se reglamentó a través de la Resolución CREG 030 de 2018. </w:t>
      </w:r>
    </w:p>
    <w:p w:rsidR="00AC7A83" w:rsidRPr="00155E9A" w:rsidRDefault="00AC7A83" w:rsidP="00304322">
      <w:pPr>
        <w:jc w:val="both"/>
        <w:rPr>
          <w:rFonts w:ascii="Bookman Old Style" w:hAnsi="Bookman Old Style"/>
          <w:highlight w:val="green"/>
        </w:rPr>
      </w:pPr>
    </w:p>
    <w:p w:rsidR="00AC7A83" w:rsidRPr="00FB56EC" w:rsidRDefault="00AC7A83" w:rsidP="00304322">
      <w:pPr>
        <w:jc w:val="both"/>
        <w:rPr>
          <w:rFonts w:ascii="Bookman Old Style" w:hAnsi="Bookman Old Style"/>
        </w:rPr>
      </w:pPr>
      <w:r>
        <w:rPr>
          <w:rFonts w:ascii="Bookman Old Style" w:hAnsi="Bookman Old Style"/>
        </w:rPr>
        <w:t xml:space="preserve">En este sentido, se informó que i) el factor </w:t>
      </w:r>
      <m:oMath>
        <m:r>
          <w:rPr>
            <w:rFonts w:ascii="Cambria Math" w:hAnsi="Cambria Math"/>
          </w:rPr>
          <m:t>α</m:t>
        </m:r>
      </m:oMath>
      <w:r>
        <w:rPr>
          <w:rFonts w:ascii="Bookman Old Style" w:hAnsi="Bookman Old Style"/>
        </w:rPr>
        <w:t xml:space="preserve"> no afecta los precios de los contratos de la subasta </w:t>
      </w:r>
      <w:r w:rsidR="00304322">
        <w:rPr>
          <w:rFonts w:ascii="Bookman Old Style" w:hAnsi="Bookman Old Style"/>
        </w:rPr>
        <w:t xml:space="preserve">ni los del mecanismo complementario </w:t>
      </w:r>
      <w:r>
        <w:rPr>
          <w:rFonts w:ascii="Bookman Old Style" w:hAnsi="Bookman Old Style"/>
        </w:rPr>
        <w:t xml:space="preserve">del Ministerio de Minas y Energía, ii) el factor </w:t>
      </w:r>
      <m:oMath>
        <m:r>
          <w:rPr>
            <w:rFonts w:ascii="Cambria Math" w:hAnsi="Cambria Math"/>
          </w:rPr>
          <m:t>α</m:t>
        </m:r>
      </m:oMath>
      <w:r>
        <w:rPr>
          <w:rFonts w:ascii="Bookman Old Style" w:hAnsi="Bookman Old Style"/>
        </w:rPr>
        <w:t xml:space="preserve"> que aplica cuando entra al mercado un nuevo comercializador que atiende demanda regulada sigue la fórmula determinada en la Resolución CREG 119 de 2009, así como lo dispuesto en la Resolución CREG 180 de 2014 en cuanto el costo de comercialización y iii)</w:t>
      </w:r>
      <w:r w:rsidRPr="00FB56EC">
        <w:rPr>
          <w:rFonts w:ascii="Bookman Old Style" w:hAnsi="Bookman Old Style"/>
        </w:rPr>
        <w:t xml:space="preserve"> la inclusión de la energía asociada a los contratos resultantes en la subasta </w:t>
      </w:r>
      <w:r w:rsidR="00304322">
        <w:rPr>
          <w:rFonts w:ascii="Bookman Old Style" w:hAnsi="Bookman Old Style"/>
        </w:rPr>
        <w:t xml:space="preserve">y en el mecanismo complementario </w:t>
      </w:r>
      <w:r w:rsidRPr="00FB56EC">
        <w:rPr>
          <w:rFonts w:ascii="Bookman Old Style" w:hAnsi="Bookman Old Style"/>
        </w:rPr>
        <w:t xml:space="preserve">del Ministerio de Minas y Energía, se encuentra limitada al 100% con los ponderadores </w:t>
      </w:r>
      <m:oMath>
        <m:r>
          <m:rPr>
            <m:lit/>
          </m:rPr>
          <w:rPr>
            <w:rFonts w:ascii="Cambria Math" w:hAnsi="Cambria Math"/>
          </w:rPr>
          <m:t xml:space="preserve"> </m:t>
        </m:r>
        <m:sSub>
          <m:sSubPr>
            <m:ctrlPr>
              <w:rPr>
                <w:rFonts w:ascii="Cambria Math" w:hAnsi="Cambria Math"/>
                <w:i/>
              </w:rPr>
            </m:ctrlPr>
          </m:sSubPr>
          <m:e>
            <m:r>
              <w:rPr>
                <w:rFonts w:ascii="Cambria Math" w:hAnsi="Cambria Math"/>
              </w:rPr>
              <m:t>ω</m:t>
            </m:r>
          </m:e>
          <m:sub>
            <m:r>
              <w:rPr>
                <w:rFonts w:ascii="Cambria Math" w:hAnsi="Cambria Math"/>
              </w:rPr>
              <m:t>m-1,i</m:t>
            </m:r>
          </m:sub>
        </m:sSub>
      </m:oMath>
      <w:r w:rsidRPr="00FB56EC">
        <w:rPr>
          <w:rFonts w:ascii="Bookman Old Style" w:hAnsi="Bookman Old Style"/>
        </w:rPr>
        <w:t xml:space="preserve"> y</w:t>
      </w:r>
      <m:oMath>
        <m:r>
          <m:rPr>
            <m:lit/>
          </m:rPr>
          <w:rPr>
            <w:rFonts w:ascii="Cambria Math" w:hAnsi="Cambria Math"/>
          </w:rPr>
          <m:t xml:space="preserve"> </m:t>
        </m:r>
        <m:sSub>
          <m:sSubPr>
            <m:ctrlPr>
              <w:rPr>
                <w:rFonts w:ascii="Cambria Math" w:hAnsi="Cambria Math"/>
                <w:i/>
              </w:rPr>
            </m:ctrlPr>
          </m:sSubPr>
          <m:e>
            <m:r>
              <w:rPr>
                <w:rFonts w:ascii="Cambria Math" w:hAnsi="Cambria Math"/>
              </w:rPr>
              <m:t>1-ω</m:t>
            </m:r>
          </m:e>
          <m:sub>
            <m:r>
              <w:rPr>
                <w:rFonts w:ascii="Cambria Math" w:hAnsi="Cambria Math"/>
              </w:rPr>
              <m:t>m-1,i</m:t>
            </m:r>
          </m:sub>
        </m:sSub>
      </m:oMath>
      <w:r>
        <w:rPr>
          <w:rFonts w:ascii="Bookman Old Style" w:hAnsi="Bookman Old Style"/>
        </w:rPr>
        <w:t>.</w:t>
      </w:r>
      <w:r w:rsidRPr="00FB56EC">
        <w:rPr>
          <w:rFonts w:ascii="Bookman Old Style" w:hAnsi="Bookman Old Style"/>
        </w:rPr>
        <w:t xml:space="preserve"> </w:t>
      </w:r>
    </w:p>
    <w:p w:rsidR="00AC7A83" w:rsidRPr="00155E9A" w:rsidRDefault="00AC7A83" w:rsidP="00304322">
      <w:pPr>
        <w:jc w:val="both"/>
        <w:rPr>
          <w:rFonts w:ascii="Bookman Old Style" w:hAnsi="Bookman Old Style"/>
          <w:highlight w:val="green"/>
        </w:rPr>
      </w:pPr>
    </w:p>
    <w:p w:rsidR="00AC7A83" w:rsidRPr="00C47DA4" w:rsidRDefault="00AC7A83" w:rsidP="00304322">
      <w:pPr>
        <w:pStyle w:val="Prrafodelista"/>
        <w:tabs>
          <w:tab w:val="left" w:pos="0"/>
        </w:tabs>
        <w:ind w:left="567"/>
        <w:jc w:val="both"/>
        <w:rPr>
          <w:rFonts w:ascii="Bookman Old Style" w:hAnsi="Bookman Old Style"/>
          <w:sz w:val="24"/>
          <w:szCs w:val="24"/>
        </w:rPr>
      </w:pPr>
      <w:r w:rsidRPr="00C47DA4">
        <w:rPr>
          <w:rFonts w:ascii="Bookman Old Style" w:hAnsi="Bookman Old Style"/>
          <w:sz w:val="24"/>
          <w:szCs w:val="24"/>
        </w:rPr>
        <w:t>P</w:t>
      </w:r>
      <w:r w:rsidR="00304322">
        <w:rPr>
          <w:rFonts w:ascii="Bookman Old Style" w:hAnsi="Bookman Old Style"/>
          <w:sz w:val="24"/>
          <w:szCs w:val="24"/>
        </w:rPr>
        <w:t>or último</w:t>
      </w:r>
      <w:r>
        <w:rPr>
          <w:rFonts w:ascii="Bookman Old Style" w:hAnsi="Bookman Old Style"/>
          <w:sz w:val="24"/>
          <w:szCs w:val="24"/>
        </w:rPr>
        <w:t>,</w:t>
      </w:r>
      <w:r w:rsidRPr="00C47DA4">
        <w:rPr>
          <w:rFonts w:ascii="Bookman Old Style" w:hAnsi="Bookman Old Style"/>
          <w:sz w:val="24"/>
          <w:szCs w:val="24"/>
        </w:rPr>
        <w:t xml:space="preserve"> la CREG </w:t>
      </w:r>
      <w:r>
        <w:rPr>
          <w:rFonts w:ascii="Bookman Old Style" w:hAnsi="Bookman Old Style"/>
          <w:sz w:val="24"/>
          <w:szCs w:val="24"/>
        </w:rPr>
        <w:t>mencionó que</w:t>
      </w:r>
      <w:r w:rsidRPr="00C47DA4">
        <w:rPr>
          <w:rFonts w:ascii="Bookman Old Style" w:hAnsi="Bookman Old Style"/>
          <w:sz w:val="24"/>
          <w:szCs w:val="24"/>
        </w:rPr>
        <w:t xml:space="preserve"> todos los elementos de la fórmula tarifaria del componente de compras de energía (G) del costo unitario de prestación del servicio (CU) se encuentran bajo análisis, el cual hace parte de la agenda regulatoria del año en curso. </w:t>
      </w:r>
    </w:p>
    <w:p w:rsidR="00AC7A83" w:rsidRDefault="00AC7A83" w:rsidP="00304322">
      <w:pPr>
        <w:jc w:val="both"/>
        <w:rPr>
          <w:rFonts w:ascii="Bookman Old Style" w:hAnsi="Bookman Old Style"/>
        </w:rPr>
      </w:pPr>
    </w:p>
    <w:p w:rsidR="00AC7A83" w:rsidRDefault="00AC7A83" w:rsidP="00304322">
      <w:pPr>
        <w:jc w:val="both"/>
        <w:rPr>
          <w:rFonts w:ascii="Bookman Old Style" w:hAnsi="Bookman Old Style"/>
        </w:rPr>
      </w:pPr>
      <w:r>
        <w:rPr>
          <w:rFonts w:ascii="Bookman Old Style" w:hAnsi="Bookman Old Style"/>
        </w:rPr>
        <w:t>Con relación a la segunda recomendación nos permitimos señalar que</w:t>
      </w:r>
      <w:r w:rsidR="00304322">
        <w:rPr>
          <w:rFonts w:ascii="Bookman Old Style" w:hAnsi="Bookman Old Style"/>
        </w:rPr>
        <w:t>,</w:t>
      </w:r>
      <w:r>
        <w:rPr>
          <w:rFonts w:ascii="Bookman Old Style" w:hAnsi="Bookman Old Style"/>
        </w:rPr>
        <w:t xml:space="preserve"> de acuerdo con el entendimiento de la Comisión, el mecanismo complementario</w:t>
      </w:r>
      <w:r w:rsidR="00934EE4">
        <w:rPr>
          <w:rFonts w:ascii="Bookman Old Style" w:hAnsi="Bookman Old Style"/>
        </w:rPr>
        <w:t xml:space="preserve"> definido por el Ministerio de Minas y Energía</w:t>
      </w:r>
      <w:r>
        <w:rPr>
          <w:rFonts w:ascii="Bookman Old Style" w:hAnsi="Bookman Old Style"/>
        </w:rPr>
        <w:t xml:space="preserve"> se </w:t>
      </w:r>
      <w:r w:rsidR="00934EE4">
        <w:rPr>
          <w:rFonts w:ascii="Bookman Old Style" w:hAnsi="Bookman Old Style"/>
        </w:rPr>
        <w:t>orienta a</w:t>
      </w:r>
      <w:r>
        <w:rPr>
          <w:rFonts w:ascii="Bookman Old Style" w:hAnsi="Bookman Old Style"/>
        </w:rPr>
        <w:t>l cumplimiento de los objetivos de política pública establecidos</w:t>
      </w:r>
      <w:r w:rsidR="00DA6B97">
        <w:rPr>
          <w:rFonts w:ascii="Bookman Old Style" w:hAnsi="Bookman Old Style"/>
        </w:rPr>
        <w:t xml:space="preserve"> en la Ley 1955 de 2019 artículo 296 y los definidos </w:t>
      </w:r>
      <w:r>
        <w:rPr>
          <w:rFonts w:ascii="Bookman Old Style" w:hAnsi="Bookman Old Style"/>
        </w:rPr>
        <w:t xml:space="preserve">por el Gobierno Nacional en cabeza del </w:t>
      </w:r>
      <w:r w:rsidR="00934EE4">
        <w:rPr>
          <w:rFonts w:ascii="Bookman Old Style" w:hAnsi="Bookman Old Style"/>
        </w:rPr>
        <w:t xml:space="preserve">mismo </w:t>
      </w:r>
      <w:r>
        <w:rPr>
          <w:rFonts w:ascii="Bookman Old Style" w:hAnsi="Bookman Old Style"/>
        </w:rPr>
        <w:t>Ministerio</w:t>
      </w:r>
      <w:r w:rsidR="00304322">
        <w:rPr>
          <w:rFonts w:ascii="Bookman Old Style" w:hAnsi="Bookman Old Style"/>
        </w:rPr>
        <w:t xml:space="preserve"> </w:t>
      </w:r>
      <w:r w:rsidR="00DA6B97">
        <w:rPr>
          <w:rFonts w:ascii="Bookman Old Style" w:hAnsi="Bookman Old Style"/>
        </w:rPr>
        <w:t>en el Decreto 0570 de 2018</w:t>
      </w:r>
      <w:r>
        <w:rPr>
          <w:rFonts w:ascii="Bookman Old Style" w:hAnsi="Bookman Old Style"/>
        </w:rPr>
        <w:t>.</w:t>
      </w:r>
    </w:p>
    <w:p w:rsidR="00AC7A83" w:rsidRDefault="00AC7A83" w:rsidP="00304322">
      <w:pPr>
        <w:jc w:val="both"/>
        <w:rPr>
          <w:rFonts w:ascii="Bookman Old Style" w:hAnsi="Bookman Old Style"/>
        </w:rPr>
      </w:pPr>
    </w:p>
    <w:p w:rsidR="00AC7A83" w:rsidRDefault="00AC7A83" w:rsidP="00304322">
      <w:pPr>
        <w:jc w:val="both"/>
        <w:rPr>
          <w:rFonts w:ascii="Bookman Old Style" w:hAnsi="Bookman Old Style"/>
        </w:rPr>
      </w:pPr>
      <w:r>
        <w:rPr>
          <w:rFonts w:ascii="Bookman Old Style" w:hAnsi="Bookman Old Style"/>
        </w:rPr>
        <w:t xml:space="preserve">Ahora bien, </w:t>
      </w:r>
      <w:r w:rsidR="001C0787">
        <w:rPr>
          <w:rFonts w:ascii="Bookman Old Style" w:hAnsi="Bookman Old Style"/>
        </w:rPr>
        <w:t xml:space="preserve">entendiendo que </w:t>
      </w:r>
      <w:r>
        <w:rPr>
          <w:rFonts w:ascii="Bookman Old Style" w:hAnsi="Bookman Old Style"/>
        </w:rPr>
        <w:t xml:space="preserve">la recomendación de la SIC se encuentra encaminada a </w:t>
      </w:r>
      <w:r w:rsidR="00B542B8">
        <w:rPr>
          <w:rFonts w:ascii="Bookman Old Style" w:hAnsi="Bookman Old Style"/>
        </w:rPr>
        <w:t xml:space="preserve">que a los </w:t>
      </w:r>
      <w:r w:rsidR="00B542B8" w:rsidRPr="00217D86">
        <w:rPr>
          <w:rFonts w:ascii="Bookman Old Style" w:hAnsi="Bookman Old Style"/>
        </w:rPr>
        <w:t xml:space="preserve">comercializadores no les sean asignados contratos con precios por fuera de mercado, </w:t>
      </w:r>
      <w:r w:rsidR="00916864" w:rsidRPr="000B2C0B">
        <w:rPr>
          <w:rFonts w:ascii="Bookman Old Style" w:hAnsi="Bookman Old Style"/>
        </w:rPr>
        <w:t xml:space="preserve">con el fin de </w:t>
      </w:r>
      <w:r w:rsidR="00B542B8" w:rsidRPr="00217D86">
        <w:rPr>
          <w:rFonts w:ascii="Bookman Old Style" w:hAnsi="Bookman Old Style"/>
        </w:rPr>
        <w:t>proteger a los usuarios</w:t>
      </w:r>
      <w:r w:rsidRPr="00217D86">
        <w:rPr>
          <w:rFonts w:ascii="Bookman Old Style" w:hAnsi="Bookman Old Style"/>
        </w:rPr>
        <w:t>, es preciso mencionar que, dentro de las</w:t>
      </w:r>
      <w:r>
        <w:rPr>
          <w:rFonts w:ascii="Bookman Old Style" w:hAnsi="Bookman Old Style"/>
        </w:rPr>
        <w:t xml:space="preserve"> condiciones de asignación de contratos contempladas tanto en la subasta como en el mecanismo complementario, </w:t>
      </w:r>
      <w:r w:rsidR="001A577F">
        <w:rPr>
          <w:rFonts w:ascii="Bookman Old Style" w:hAnsi="Bookman Old Style"/>
        </w:rPr>
        <w:t xml:space="preserve">ya se define un medio para mitigar el riesgo asociado a dicha situación al asignar </w:t>
      </w:r>
      <w:r>
        <w:rPr>
          <w:rFonts w:ascii="Bookman Old Style" w:hAnsi="Bookman Old Style"/>
        </w:rPr>
        <w:t xml:space="preserve">a la CREG </w:t>
      </w:r>
      <w:r w:rsidR="001A577F">
        <w:rPr>
          <w:rFonts w:ascii="Bookman Old Style" w:hAnsi="Bookman Old Style"/>
        </w:rPr>
        <w:t xml:space="preserve">la tarea de fijar </w:t>
      </w:r>
      <w:r>
        <w:rPr>
          <w:rFonts w:ascii="Bookman Old Style" w:hAnsi="Bookman Old Style"/>
        </w:rPr>
        <w:t xml:space="preserve">dos (2) precios </w:t>
      </w:r>
      <w:r w:rsidRPr="000B2C0B">
        <w:rPr>
          <w:rFonts w:ascii="Bookman Old Style" w:hAnsi="Bookman Old Style"/>
          <w:i/>
        </w:rPr>
        <w:t>topes máximos</w:t>
      </w:r>
      <w:r>
        <w:rPr>
          <w:rFonts w:ascii="Bookman Old Style" w:hAnsi="Bookman Old Style"/>
        </w:rPr>
        <w:t>.</w:t>
      </w:r>
    </w:p>
    <w:p w:rsidR="00AC7A83" w:rsidRDefault="00AC7A83" w:rsidP="00304322">
      <w:pPr>
        <w:jc w:val="both"/>
        <w:rPr>
          <w:rFonts w:ascii="Bookman Old Style" w:hAnsi="Bookman Old Style"/>
        </w:rPr>
      </w:pPr>
    </w:p>
    <w:p w:rsidR="00AC7A83" w:rsidRDefault="00AC7A83" w:rsidP="00304322">
      <w:pPr>
        <w:jc w:val="both"/>
        <w:rPr>
          <w:rFonts w:ascii="Bookman Old Style" w:hAnsi="Bookman Old Style"/>
        </w:rPr>
      </w:pPr>
      <w:r>
        <w:rPr>
          <w:rFonts w:ascii="Bookman Old Style" w:hAnsi="Bookman Old Style"/>
        </w:rPr>
        <w:t>De acuerdo con lo establecido en la Resolución 40</w:t>
      </w:r>
      <w:r w:rsidR="00667F74">
        <w:rPr>
          <w:rFonts w:ascii="Bookman Old Style" w:hAnsi="Bookman Old Style"/>
        </w:rPr>
        <w:t>590</w:t>
      </w:r>
      <w:r>
        <w:rPr>
          <w:rFonts w:ascii="Bookman Old Style" w:hAnsi="Bookman Old Style"/>
        </w:rPr>
        <w:t xml:space="preserve"> de 2019 del Ministerio de Minas y Energía, la CREG debe definir: i) un Tope Máximo Promedio, mediante el que se determina el máximo precio promedio ponderado que podría ser asignado en</w:t>
      </w:r>
      <w:r w:rsidR="008B4194">
        <w:rPr>
          <w:rFonts w:ascii="Bookman Old Style" w:hAnsi="Bookman Old Style"/>
        </w:rPr>
        <w:t xml:space="preserve"> contratos a un comercializado, </w:t>
      </w:r>
      <w:r>
        <w:rPr>
          <w:rFonts w:ascii="Bookman Old Style" w:hAnsi="Bookman Old Style"/>
        </w:rPr>
        <w:t xml:space="preserve">que aplica tanto para la subasta como el mecanismo complementario y ii) un Tope Máximo Individual, a partir del cual se descartan ofertas con precios superiores. </w:t>
      </w:r>
    </w:p>
    <w:p w:rsidR="00AC7A83" w:rsidRDefault="00AC7A83" w:rsidP="00304322">
      <w:pPr>
        <w:jc w:val="both"/>
        <w:rPr>
          <w:rFonts w:ascii="Bookman Old Style" w:hAnsi="Bookman Old Style"/>
        </w:rPr>
      </w:pPr>
    </w:p>
    <w:p w:rsidR="00AC7A83" w:rsidRDefault="00AC7A83" w:rsidP="00304322">
      <w:pPr>
        <w:jc w:val="both"/>
        <w:rPr>
          <w:rFonts w:ascii="Bookman Old Style" w:hAnsi="Bookman Old Style"/>
        </w:rPr>
      </w:pPr>
      <w:r>
        <w:rPr>
          <w:rFonts w:ascii="Bookman Old Style" w:hAnsi="Bookman Old Style"/>
        </w:rPr>
        <w:t xml:space="preserve">En este sentido, la Comisión entiende que con estos dos </w:t>
      </w:r>
      <w:r w:rsidR="00D3018B">
        <w:rPr>
          <w:rFonts w:ascii="Bookman Old Style" w:hAnsi="Bookman Old Style"/>
        </w:rPr>
        <w:t>precios máximos</w:t>
      </w:r>
      <w:r>
        <w:rPr>
          <w:rFonts w:ascii="Bookman Old Style" w:hAnsi="Bookman Old Style"/>
        </w:rPr>
        <w:t xml:space="preserve"> se </w:t>
      </w:r>
      <w:r w:rsidR="000B2C0B">
        <w:rPr>
          <w:rFonts w:ascii="Bookman Old Style" w:hAnsi="Bookman Old Style"/>
        </w:rPr>
        <w:t>mitiga el riesgo de</w:t>
      </w:r>
      <w:r w:rsidR="005D635B">
        <w:rPr>
          <w:rFonts w:ascii="Bookman Old Style" w:hAnsi="Bookman Old Style"/>
        </w:rPr>
        <w:t xml:space="preserve"> que</w:t>
      </w:r>
      <w:r>
        <w:rPr>
          <w:rFonts w:ascii="Bookman Old Style" w:hAnsi="Bookman Old Style"/>
        </w:rPr>
        <w:t xml:space="preserve"> </w:t>
      </w:r>
      <w:r w:rsidR="000B2C0B">
        <w:rPr>
          <w:rFonts w:ascii="Bookman Old Style" w:hAnsi="Bookman Old Style"/>
        </w:rPr>
        <w:t>los precios</w:t>
      </w:r>
      <w:r>
        <w:rPr>
          <w:rFonts w:ascii="Bookman Old Style" w:hAnsi="Bookman Old Style"/>
        </w:rPr>
        <w:t xml:space="preserve"> resultante</w:t>
      </w:r>
      <w:r w:rsidR="000B2C0B">
        <w:rPr>
          <w:rFonts w:ascii="Bookman Old Style" w:hAnsi="Bookman Old Style"/>
        </w:rPr>
        <w:t>s</w:t>
      </w:r>
      <w:r w:rsidR="005D635B">
        <w:rPr>
          <w:rFonts w:ascii="Bookman Old Style" w:hAnsi="Bookman Old Style"/>
        </w:rPr>
        <w:t>,</w:t>
      </w:r>
      <w:r>
        <w:rPr>
          <w:rFonts w:ascii="Bookman Old Style" w:hAnsi="Bookman Old Style"/>
        </w:rPr>
        <w:t xml:space="preserve"> tanto de la subasta como del mecanismo</w:t>
      </w:r>
      <w:r w:rsidR="000305C1">
        <w:rPr>
          <w:rFonts w:ascii="Bookman Old Style" w:hAnsi="Bookman Old Style"/>
        </w:rPr>
        <w:t xml:space="preserve"> </w:t>
      </w:r>
      <w:r w:rsidR="00667F74">
        <w:rPr>
          <w:rFonts w:ascii="Bookman Old Style" w:hAnsi="Bookman Old Style"/>
        </w:rPr>
        <w:t>complementario</w:t>
      </w:r>
      <w:r w:rsidR="000305C1">
        <w:rPr>
          <w:rFonts w:ascii="Bookman Old Style" w:hAnsi="Bookman Old Style"/>
        </w:rPr>
        <w:t>,</w:t>
      </w:r>
      <w:r>
        <w:rPr>
          <w:rFonts w:ascii="Bookman Old Style" w:hAnsi="Bookman Old Style"/>
        </w:rPr>
        <w:t xml:space="preserve"> resulte</w:t>
      </w:r>
      <w:r w:rsidR="000B2C0B">
        <w:rPr>
          <w:rFonts w:ascii="Bookman Old Style" w:hAnsi="Bookman Old Style"/>
        </w:rPr>
        <w:t>n</w:t>
      </w:r>
      <w:r>
        <w:rPr>
          <w:rFonts w:ascii="Bookman Old Style" w:hAnsi="Bookman Old Style"/>
        </w:rPr>
        <w:t xml:space="preserve"> nocivo</w:t>
      </w:r>
      <w:r w:rsidR="000B2C0B">
        <w:rPr>
          <w:rFonts w:ascii="Bookman Old Style" w:hAnsi="Bookman Old Style"/>
        </w:rPr>
        <w:t>s</w:t>
      </w:r>
      <w:r>
        <w:rPr>
          <w:rFonts w:ascii="Bookman Old Style" w:hAnsi="Bookman Old Style"/>
        </w:rPr>
        <w:t xml:space="preserve"> para los usuarios y que</w:t>
      </w:r>
      <w:r w:rsidR="000305C1">
        <w:rPr>
          <w:rFonts w:ascii="Bookman Old Style" w:hAnsi="Bookman Old Style"/>
        </w:rPr>
        <w:t>,</w:t>
      </w:r>
      <w:r>
        <w:rPr>
          <w:rFonts w:ascii="Bookman Old Style" w:hAnsi="Bookman Old Style"/>
        </w:rPr>
        <w:t xml:space="preserve"> por ende, los comercializadores resulten con contratos con precios por fuera de mercado.</w:t>
      </w:r>
    </w:p>
    <w:p w:rsidR="00AC7A83" w:rsidRDefault="00AC7A83" w:rsidP="00304322">
      <w:pPr>
        <w:jc w:val="both"/>
        <w:rPr>
          <w:rFonts w:ascii="Bookman Old Style" w:hAnsi="Bookman Old Style"/>
        </w:rPr>
      </w:pPr>
    </w:p>
    <w:p w:rsidR="00AC7A83" w:rsidRDefault="00AC7A83" w:rsidP="00304322">
      <w:pPr>
        <w:jc w:val="both"/>
        <w:rPr>
          <w:rFonts w:ascii="Bookman Old Style" w:hAnsi="Bookman Old Style"/>
        </w:rPr>
      </w:pPr>
      <w:r>
        <w:rPr>
          <w:rFonts w:ascii="Bookman Old Style" w:hAnsi="Bookman Old Style"/>
        </w:rPr>
        <w:t>Para finalizar</w:t>
      </w:r>
      <w:r w:rsidR="000305C1">
        <w:rPr>
          <w:rFonts w:ascii="Bookman Old Style" w:hAnsi="Bookman Old Style"/>
        </w:rPr>
        <w:t>,</w:t>
      </w:r>
      <w:r>
        <w:rPr>
          <w:rFonts w:ascii="Bookman Old Style" w:hAnsi="Bookman Old Style"/>
        </w:rPr>
        <w:t xml:space="preserve"> es preciso mencionar </w:t>
      </w:r>
      <w:proofErr w:type="gramStart"/>
      <w:r>
        <w:rPr>
          <w:rFonts w:ascii="Bookman Old Style" w:hAnsi="Bookman Old Style"/>
        </w:rPr>
        <w:t>que</w:t>
      </w:r>
      <w:proofErr w:type="gramEnd"/>
      <w:r>
        <w:rPr>
          <w:rFonts w:ascii="Bookman Old Style" w:hAnsi="Bookman Old Style"/>
        </w:rPr>
        <w:t xml:space="preserve"> </w:t>
      </w:r>
      <w:r w:rsidR="00D3018B">
        <w:rPr>
          <w:rFonts w:ascii="Bookman Old Style" w:hAnsi="Bookman Old Style"/>
        </w:rPr>
        <w:t xml:space="preserve">dado que </w:t>
      </w:r>
      <w:r>
        <w:rPr>
          <w:rFonts w:ascii="Bookman Old Style" w:hAnsi="Bookman Old Style"/>
        </w:rPr>
        <w:t xml:space="preserve">las obligaciones que se derivan del mecanismo complementario no son objeto de elección o gestión por parte de los comercializadores, la fórmula de traslado </w:t>
      </w:r>
      <w:r w:rsidR="00D3018B">
        <w:rPr>
          <w:rFonts w:ascii="Bookman Old Style" w:hAnsi="Bookman Old Style"/>
        </w:rPr>
        <w:t xml:space="preserve">debe permitir </w:t>
      </w:r>
      <w:r>
        <w:rPr>
          <w:rFonts w:ascii="Bookman Old Style" w:hAnsi="Bookman Old Style"/>
        </w:rPr>
        <w:t xml:space="preserve">recuperar los costos </w:t>
      </w:r>
      <w:r w:rsidR="00D3018B">
        <w:rPr>
          <w:rFonts w:ascii="Bookman Old Style" w:hAnsi="Bookman Old Style"/>
        </w:rPr>
        <w:t xml:space="preserve">resultantes del cumplimiento de </w:t>
      </w:r>
      <w:r w:rsidR="00DA395E">
        <w:rPr>
          <w:rFonts w:ascii="Bookman Old Style" w:hAnsi="Bookman Old Style"/>
        </w:rPr>
        <w:t xml:space="preserve">esta </w:t>
      </w:r>
      <w:r w:rsidR="00D3018B">
        <w:rPr>
          <w:rFonts w:ascii="Bookman Old Style" w:hAnsi="Bookman Old Style"/>
        </w:rPr>
        <w:t>obligación</w:t>
      </w:r>
      <w:r>
        <w:rPr>
          <w:rFonts w:ascii="Bookman Old Style" w:hAnsi="Bookman Old Style"/>
        </w:rPr>
        <w:t>.</w:t>
      </w:r>
    </w:p>
    <w:p w:rsidR="00AC7A83" w:rsidRDefault="00AC7A83" w:rsidP="00304322">
      <w:pPr>
        <w:jc w:val="both"/>
        <w:rPr>
          <w:rFonts w:ascii="Bookman Old Style" w:hAnsi="Bookman Old Style"/>
        </w:rPr>
      </w:pPr>
    </w:p>
    <w:p w:rsidR="00847DC6" w:rsidRDefault="00847DC6" w:rsidP="00847DC6">
      <w:pPr>
        <w:ind w:left="0"/>
        <w:jc w:val="both"/>
        <w:rPr>
          <w:rFonts w:ascii="Bookman Old Style" w:hAnsi="Bookman Old Style"/>
        </w:rPr>
      </w:pPr>
      <w:r w:rsidRPr="00E856A9">
        <w:rPr>
          <w:rFonts w:ascii="Bookman Old Style" w:hAnsi="Bookman Old Style"/>
        </w:rPr>
        <w:t xml:space="preserve">La Comisión de Regulación de Energía y Gas, en su sesión </w:t>
      </w:r>
      <w:r w:rsidR="00905EBF" w:rsidRPr="00E856A9">
        <w:rPr>
          <w:rFonts w:ascii="Bookman Old Style" w:hAnsi="Bookman Old Style"/>
        </w:rPr>
        <w:t>95</w:t>
      </w:r>
      <w:r w:rsidR="005D635B">
        <w:rPr>
          <w:rFonts w:ascii="Bookman Old Style" w:hAnsi="Bookman Old Style"/>
        </w:rPr>
        <w:t>3</w:t>
      </w:r>
      <w:r w:rsidR="00905EBF" w:rsidRPr="00E856A9">
        <w:rPr>
          <w:rFonts w:ascii="Bookman Old Style" w:hAnsi="Bookman Old Style"/>
        </w:rPr>
        <w:t xml:space="preserve"> </w:t>
      </w:r>
      <w:r w:rsidRPr="00E856A9">
        <w:rPr>
          <w:rFonts w:ascii="Bookman Old Style" w:hAnsi="Bookman Old Style"/>
        </w:rPr>
        <w:t>del 1</w:t>
      </w:r>
      <w:r w:rsidR="00AC7A83" w:rsidRPr="00E856A9">
        <w:rPr>
          <w:rFonts w:ascii="Bookman Old Style" w:hAnsi="Bookman Old Style"/>
        </w:rPr>
        <w:t>8</w:t>
      </w:r>
      <w:r w:rsidRPr="00E856A9">
        <w:rPr>
          <w:rFonts w:ascii="Bookman Old Style" w:hAnsi="Bookman Old Style"/>
        </w:rPr>
        <w:t xml:space="preserve"> de octubre de 2019, acordó expedir la presente resolución.</w:t>
      </w:r>
    </w:p>
    <w:p w:rsidR="00045D3D" w:rsidRDefault="00045D3D" w:rsidP="00045D3D">
      <w:pPr>
        <w:suppressAutoHyphens/>
        <w:jc w:val="center"/>
        <w:rPr>
          <w:rFonts w:ascii="Bookman Old Style" w:hAnsi="Bookman Old Style"/>
          <w:b/>
          <w:spacing w:val="-3"/>
        </w:rPr>
      </w:pPr>
    </w:p>
    <w:p w:rsidR="00045D3D" w:rsidRPr="00C435C3" w:rsidRDefault="00045D3D" w:rsidP="00045D3D">
      <w:pPr>
        <w:suppressAutoHyphens/>
        <w:jc w:val="center"/>
        <w:rPr>
          <w:rFonts w:ascii="Bookman Old Style" w:hAnsi="Bookman Old Style"/>
          <w:spacing w:val="-3"/>
        </w:rPr>
      </w:pPr>
      <w:r w:rsidRPr="00C435C3">
        <w:rPr>
          <w:rFonts w:ascii="Bookman Old Style" w:hAnsi="Bookman Old Style"/>
          <w:b/>
          <w:spacing w:val="-3"/>
        </w:rPr>
        <w:t>R E S U E L V E:</w:t>
      </w:r>
    </w:p>
    <w:p w:rsidR="00045D3D" w:rsidRDefault="00045D3D" w:rsidP="00045D3D">
      <w:pPr>
        <w:jc w:val="center"/>
        <w:rPr>
          <w:rFonts w:ascii="Bookman Old Style" w:hAnsi="Bookman Old Style"/>
        </w:rPr>
      </w:pPr>
    </w:p>
    <w:p w:rsidR="00045D3D" w:rsidRDefault="00FF07E5" w:rsidP="00DB6388">
      <w:pPr>
        <w:pStyle w:val="Prrafodelista"/>
        <w:numPr>
          <w:ilvl w:val="0"/>
          <w:numId w:val="33"/>
        </w:numPr>
        <w:tabs>
          <w:tab w:val="left" w:pos="0"/>
        </w:tabs>
        <w:ind w:left="0" w:firstLine="0"/>
        <w:jc w:val="both"/>
        <w:rPr>
          <w:rFonts w:ascii="Bookman Old Style" w:hAnsi="Bookman Old Style"/>
          <w:sz w:val="24"/>
        </w:rPr>
      </w:pPr>
      <w:r w:rsidRPr="00F51B84">
        <w:rPr>
          <w:rFonts w:ascii="Bookman Old Style" w:hAnsi="Bookman Old Style" w:cs="Arial"/>
          <w:b/>
          <w:sz w:val="24"/>
          <w:szCs w:val="24"/>
          <w:lang w:val="es-ES_tradnl"/>
        </w:rPr>
        <w:t>Objeto</w:t>
      </w:r>
      <w:r w:rsidRPr="00F51B84">
        <w:rPr>
          <w:rFonts w:ascii="Bookman Old Style" w:hAnsi="Bookman Old Style" w:cs="Arial"/>
          <w:sz w:val="24"/>
          <w:szCs w:val="24"/>
          <w:lang w:val="es-ES_tradnl"/>
        </w:rPr>
        <w:t xml:space="preserve">. </w:t>
      </w:r>
      <w:r w:rsidR="00F544B5">
        <w:rPr>
          <w:rFonts w:ascii="Bookman Old Style" w:hAnsi="Bookman Old Style" w:cs="Arial"/>
          <w:sz w:val="24"/>
          <w:szCs w:val="24"/>
          <w:lang w:val="es-ES_tradnl"/>
        </w:rPr>
        <w:t>En</w:t>
      </w:r>
      <w:r w:rsidR="00882C61" w:rsidRPr="00F51B84">
        <w:rPr>
          <w:rFonts w:ascii="Bookman Old Style" w:hAnsi="Bookman Old Style"/>
          <w:sz w:val="24"/>
        </w:rPr>
        <w:t xml:space="preserve"> esta resolución se </w:t>
      </w:r>
      <w:r w:rsidR="00CB1407" w:rsidRPr="00F51B84">
        <w:rPr>
          <w:rFonts w:ascii="Bookman Old Style" w:hAnsi="Bookman Old Style"/>
          <w:sz w:val="24"/>
        </w:rPr>
        <w:t>establece</w:t>
      </w:r>
      <w:r w:rsidR="00882C61" w:rsidRPr="00F51B84">
        <w:rPr>
          <w:rFonts w:ascii="Bookman Old Style" w:hAnsi="Bookman Old Style"/>
          <w:sz w:val="24"/>
        </w:rPr>
        <w:t xml:space="preserve"> la fórmula de traslado </w:t>
      </w:r>
      <w:r w:rsidR="00F51B84" w:rsidRPr="00F51B84">
        <w:rPr>
          <w:rFonts w:ascii="Bookman Old Style" w:hAnsi="Bookman Old Style"/>
          <w:sz w:val="24"/>
        </w:rPr>
        <w:t xml:space="preserve">en el componente de compras de energía (G) en el costo unitario de prestación del servicio al usuario regulado (CU) de los precios </w:t>
      </w:r>
      <w:r w:rsidR="00CB1407" w:rsidRPr="00F51B84">
        <w:rPr>
          <w:rFonts w:ascii="Bookman Old Style" w:hAnsi="Bookman Old Style"/>
          <w:sz w:val="24"/>
        </w:rPr>
        <w:t xml:space="preserve">de los contratos </w:t>
      </w:r>
      <w:r w:rsidR="00882C61" w:rsidRPr="00F51B84">
        <w:rPr>
          <w:rFonts w:ascii="Bookman Old Style" w:hAnsi="Bookman Old Style"/>
          <w:sz w:val="24"/>
        </w:rPr>
        <w:t xml:space="preserve">resultantes </w:t>
      </w:r>
      <w:r w:rsidR="00F51B84">
        <w:rPr>
          <w:rFonts w:ascii="Bookman Old Style" w:hAnsi="Bookman Old Style"/>
          <w:sz w:val="24"/>
        </w:rPr>
        <w:t>del</w:t>
      </w:r>
      <w:r w:rsidR="00882C61" w:rsidRPr="00F51B84">
        <w:rPr>
          <w:rFonts w:ascii="Bookman Old Style" w:hAnsi="Bookman Old Style"/>
          <w:sz w:val="24"/>
        </w:rPr>
        <w:t xml:space="preserve"> mecanismo </w:t>
      </w:r>
      <w:r w:rsidR="00F51B84">
        <w:rPr>
          <w:rFonts w:ascii="Bookman Old Style" w:hAnsi="Bookman Old Style"/>
          <w:sz w:val="24"/>
        </w:rPr>
        <w:t xml:space="preserve">complementario </w:t>
      </w:r>
      <w:r w:rsidR="004C283F">
        <w:rPr>
          <w:rFonts w:ascii="Bookman Old Style" w:hAnsi="Bookman Old Style"/>
          <w:sz w:val="24"/>
        </w:rPr>
        <w:t>del que trata</w:t>
      </w:r>
      <w:r w:rsidR="00CB1407" w:rsidRPr="00F51B84">
        <w:rPr>
          <w:rFonts w:ascii="Bookman Old Style" w:hAnsi="Bookman Old Style"/>
          <w:sz w:val="24"/>
        </w:rPr>
        <w:t xml:space="preserve"> </w:t>
      </w:r>
      <w:r w:rsidR="00FB3724">
        <w:rPr>
          <w:rFonts w:ascii="Bookman Old Style" w:hAnsi="Bookman Old Style"/>
          <w:sz w:val="24"/>
        </w:rPr>
        <w:t>la Resolución 40725 de 2019 del Ministerio de Minas y Energía.</w:t>
      </w:r>
      <w:r w:rsidR="00CB1407" w:rsidRPr="00F51B84">
        <w:rPr>
          <w:rFonts w:ascii="Bookman Old Style" w:hAnsi="Bookman Old Style"/>
          <w:sz w:val="24"/>
        </w:rPr>
        <w:t xml:space="preserve"> </w:t>
      </w:r>
    </w:p>
    <w:p w:rsidR="008C216F" w:rsidRPr="00F51B84" w:rsidRDefault="008C216F" w:rsidP="008C216F">
      <w:pPr>
        <w:pStyle w:val="Prrafodelista"/>
        <w:tabs>
          <w:tab w:val="left" w:pos="0"/>
        </w:tabs>
        <w:ind w:left="0"/>
        <w:jc w:val="both"/>
        <w:rPr>
          <w:rFonts w:ascii="Bookman Old Style" w:hAnsi="Bookman Old Style"/>
          <w:sz w:val="24"/>
        </w:rPr>
      </w:pPr>
    </w:p>
    <w:p w:rsidR="00045D3D" w:rsidRPr="00C435C3" w:rsidRDefault="00045D3D" w:rsidP="00045D3D">
      <w:pPr>
        <w:rPr>
          <w:rFonts w:ascii="Bookman Old Style" w:hAnsi="Bookman Old Style"/>
        </w:rPr>
      </w:pPr>
    </w:p>
    <w:p w:rsidR="0081174D" w:rsidRDefault="001C5117" w:rsidP="00DB6388">
      <w:pPr>
        <w:pStyle w:val="Prrafodelista"/>
        <w:numPr>
          <w:ilvl w:val="0"/>
          <w:numId w:val="33"/>
        </w:numPr>
        <w:tabs>
          <w:tab w:val="left" w:pos="0"/>
        </w:tabs>
        <w:ind w:left="0" w:firstLine="0"/>
        <w:jc w:val="both"/>
        <w:rPr>
          <w:rFonts w:ascii="Bookman Old Style" w:hAnsi="Bookman Old Style"/>
          <w:sz w:val="24"/>
        </w:rPr>
      </w:pPr>
      <w:r w:rsidRPr="001C5117">
        <w:rPr>
          <w:rFonts w:ascii="Bookman Old Style" w:hAnsi="Bookman Old Style" w:cs="Arial"/>
          <w:b/>
          <w:sz w:val="24"/>
          <w:szCs w:val="24"/>
          <w:lang w:val="es-ES_tradnl"/>
        </w:rPr>
        <w:t>Reconocimiento de costos agregados en la fórmula tarifaria para el usuario regulado.</w:t>
      </w:r>
      <w:r w:rsidRPr="001C5117">
        <w:rPr>
          <w:rFonts w:ascii="Bookman Old Style" w:hAnsi="Bookman Old Style"/>
        </w:rPr>
        <w:t xml:space="preserve"> </w:t>
      </w:r>
      <w:r w:rsidRPr="001C5117">
        <w:rPr>
          <w:rFonts w:ascii="Bookman Old Style" w:hAnsi="Bookman Old Style"/>
          <w:sz w:val="24"/>
        </w:rPr>
        <w:t xml:space="preserve">Los comercializadores que atienden demanda regulada y que suscriban contratos resultantes de la aplicación del mecanismo complementario del que trata </w:t>
      </w:r>
      <w:r w:rsidR="00F544B5">
        <w:rPr>
          <w:rFonts w:ascii="Bookman Old Style" w:hAnsi="Bookman Old Style"/>
          <w:sz w:val="24"/>
        </w:rPr>
        <w:t>la Resolución 40</w:t>
      </w:r>
      <w:r w:rsidR="00FB3724">
        <w:rPr>
          <w:rFonts w:ascii="Bookman Old Style" w:hAnsi="Bookman Old Style"/>
          <w:sz w:val="24"/>
        </w:rPr>
        <w:t>725</w:t>
      </w:r>
      <w:r w:rsidR="00F544B5">
        <w:rPr>
          <w:rFonts w:ascii="Bookman Old Style" w:hAnsi="Bookman Old Style"/>
          <w:sz w:val="24"/>
        </w:rPr>
        <w:t xml:space="preserve"> de 2019</w:t>
      </w:r>
      <w:r w:rsidRPr="001C5117">
        <w:rPr>
          <w:rFonts w:ascii="Bookman Old Style" w:hAnsi="Bookman Old Style"/>
          <w:sz w:val="24"/>
        </w:rPr>
        <w:t xml:space="preserve"> del Ministerio de Minas y Energía pueden trasladar los precios de estos contratos en el componente de costo de energía (G) del costo unitario de prestación del servicio (CU</w:t>
      </w:r>
      <w:r>
        <w:rPr>
          <w:rFonts w:ascii="Bookman Old Style" w:hAnsi="Bookman Old Style"/>
          <w:sz w:val="24"/>
        </w:rPr>
        <w:t>).</w:t>
      </w:r>
    </w:p>
    <w:p w:rsidR="001C5117" w:rsidRPr="001C5117" w:rsidRDefault="001C5117" w:rsidP="001C5117">
      <w:pPr>
        <w:pStyle w:val="Prrafodelista"/>
        <w:tabs>
          <w:tab w:val="left" w:pos="0"/>
        </w:tabs>
        <w:ind w:left="0"/>
        <w:jc w:val="both"/>
        <w:rPr>
          <w:rFonts w:ascii="Bookman Old Style" w:hAnsi="Bookman Old Style"/>
          <w:sz w:val="24"/>
        </w:rPr>
      </w:pPr>
    </w:p>
    <w:p w:rsidR="00DB6388" w:rsidRPr="00743FC0" w:rsidRDefault="00BB673D" w:rsidP="00DB6388">
      <w:pPr>
        <w:pStyle w:val="Prrafodelista"/>
        <w:numPr>
          <w:ilvl w:val="0"/>
          <w:numId w:val="33"/>
        </w:numPr>
        <w:tabs>
          <w:tab w:val="left" w:pos="0"/>
          <w:tab w:val="left" w:pos="284"/>
        </w:tabs>
        <w:ind w:left="0" w:firstLine="0"/>
        <w:jc w:val="both"/>
        <w:rPr>
          <w:rFonts w:ascii="Bookman Old Style" w:hAnsi="Bookman Old Style"/>
          <w:sz w:val="24"/>
        </w:rPr>
      </w:pPr>
      <w:r w:rsidRPr="00FB3724">
        <w:rPr>
          <w:rFonts w:ascii="Bookman Old Style" w:hAnsi="Bookman Old Style"/>
          <w:b/>
          <w:sz w:val="24"/>
        </w:rPr>
        <w:t>Fórmula de traslado</w:t>
      </w:r>
      <w:r w:rsidR="00CB1407" w:rsidRPr="00FB3724">
        <w:rPr>
          <w:rFonts w:ascii="Bookman Old Style" w:hAnsi="Bookman Old Style"/>
          <w:b/>
          <w:sz w:val="24"/>
        </w:rPr>
        <w:t xml:space="preserve">. </w:t>
      </w:r>
      <w:r w:rsidR="00CB1407" w:rsidRPr="00FB3724">
        <w:rPr>
          <w:rFonts w:ascii="Bookman Old Style" w:hAnsi="Bookman Old Style"/>
          <w:sz w:val="24"/>
        </w:rPr>
        <w:t xml:space="preserve">El traslado de los precios de los contratos </w:t>
      </w:r>
      <w:r w:rsidR="006E6F2D" w:rsidRPr="00FB3724">
        <w:rPr>
          <w:rFonts w:ascii="Bookman Old Style" w:hAnsi="Bookman Old Style"/>
          <w:sz w:val="24"/>
        </w:rPr>
        <w:t xml:space="preserve">que el comercializador suscriba como resultado de la aplicación del mecanismo complementario que trata </w:t>
      </w:r>
      <w:r w:rsidR="00FB3724" w:rsidRPr="00FB3724">
        <w:rPr>
          <w:rFonts w:ascii="Bookman Old Style" w:hAnsi="Bookman Old Style"/>
          <w:sz w:val="24"/>
        </w:rPr>
        <w:t>la Resolución 40725 de 2019 del Ministerio de Minas y Energía</w:t>
      </w:r>
      <w:r w:rsidR="00DB6388" w:rsidRPr="00FB3724">
        <w:rPr>
          <w:rFonts w:ascii="Bookman Old Style" w:hAnsi="Bookman Old Style"/>
          <w:sz w:val="24"/>
        </w:rPr>
        <w:t xml:space="preserve"> se realizará de acuerdo con lo previsto en </w:t>
      </w:r>
      <w:r w:rsidR="00FB3724" w:rsidRPr="00FB3724">
        <w:rPr>
          <w:rFonts w:ascii="Bookman Old Style" w:hAnsi="Bookman Old Style"/>
          <w:sz w:val="24"/>
        </w:rPr>
        <w:t>el</w:t>
      </w:r>
      <w:r w:rsidR="00DB6388" w:rsidRPr="00FB3724">
        <w:rPr>
          <w:rFonts w:ascii="Bookman Old Style" w:hAnsi="Bookman Old Style"/>
          <w:sz w:val="24"/>
        </w:rPr>
        <w:t xml:space="preserve"> artículo</w:t>
      </w:r>
      <w:r w:rsidR="00FB3724" w:rsidRPr="00FB3724">
        <w:rPr>
          <w:rFonts w:ascii="Bookman Old Style" w:hAnsi="Bookman Old Style"/>
          <w:sz w:val="24"/>
        </w:rPr>
        <w:t xml:space="preserve"> 3 de la Resolución CREG 129 de 2019</w:t>
      </w:r>
      <w:r w:rsidR="00DB6388" w:rsidRPr="00FB3724">
        <w:rPr>
          <w:rFonts w:ascii="Bookman Old Style" w:hAnsi="Bookman Old Style"/>
          <w:sz w:val="24"/>
          <w:szCs w:val="24"/>
        </w:rPr>
        <w:t>.</w:t>
      </w:r>
    </w:p>
    <w:p w:rsidR="00743FC0" w:rsidRPr="00743FC0" w:rsidRDefault="00743FC0" w:rsidP="00743FC0">
      <w:pPr>
        <w:pStyle w:val="Prrafodelista"/>
        <w:rPr>
          <w:rFonts w:ascii="Bookman Old Style" w:hAnsi="Bookman Old Style"/>
          <w:sz w:val="24"/>
        </w:rPr>
      </w:pPr>
    </w:p>
    <w:p w:rsidR="00743FC0" w:rsidRDefault="00743FC0" w:rsidP="00743FC0">
      <w:pPr>
        <w:tabs>
          <w:tab w:val="left" w:pos="0"/>
          <w:tab w:val="left" w:pos="284"/>
        </w:tabs>
        <w:ind w:left="0"/>
        <w:jc w:val="both"/>
        <w:rPr>
          <w:rFonts w:ascii="Bookman Old Style" w:hAnsi="Bookman Old Style"/>
        </w:rPr>
      </w:pPr>
      <w:r>
        <w:rPr>
          <w:rFonts w:ascii="Bookman Old Style" w:hAnsi="Bookman Old Style"/>
        </w:rPr>
        <w:t>Para la aplicación de la fórmula de traslado, los comercializadores deben entender que cuando se hace referencia a los contratos resultantes de la subasta del Ministerio de Minas y Energía, también deben incluirse los contratos resultantes del mecanismo complementario en caso que le sean adjudicados.</w:t>
      </w:r>
    </w:p>
    <w:p w:rsidR="002B05E0" w:rsidRDefault="002B05E0" w:rsidP="00743FC0">
      <w:pPr>
        <w:tabs>
          <w:tab w:val="left" w:pos="0"/>
          <w:tab w:val="left" w:pos="284"/>
        </w:tabs>
        <w:ind w:left="0"/>
        <w:jc w:val="both"/>
        <w:rPr>
          <w:rFonts w:ascii="Bookman Old Style" w:hAnsi="Bookman Old Style"/>
        </w:rPr>
      </w:pPr>
    </w:p>
    <w:p w:rsidR="002B05E0" w:rsidRPr="00743FC0" w:rsidRDefault="002B05E0" w:rsidP="00743FC0">
      <w:pPr>
        <w:tabs>
          <w:tab w:val="left" w:pos="0"/>
          <w:tab w:val="left" w:pos="284"/>
        </w:tabs>
        <w:ind w:left="0"/>
        <w:jc w:val="both"/>
        <w:rPr>
          <w:rFonts w:ascii="Bookman Old Style" w:hAnsi="Bookman Old Style"/>
        </w:rPr>
      </w:pPr>
      <w:r w:rsidRPr="00E856A9">
        <w:rPr>
          <w:rFonts w:ascii="Bookman Old Style" w:hAnsi="Bookman Old Style"/>
        </w:rPr>
        <w:t>En cuanto a la</w:t>
      </w:r>
      <w:r w:rsidR="00F86F45" w:rsidRPr="00E856A9">
        <w:rPr>
          <w:rFonts w:ascii="Bookman Old Style" w:hAnsi="Bookman Old Style"/>
        </w:rPr>
        <w:t>s</w:t>
      </w:r>
      <w:r w:rsidRPr="00E856A9">
        <w:rPr>
          <w:rFonts w:ascii="Bookman Old Style" w:hAnsi="Bookman Old Style"/>
        </w:rPr>
        <w:t xml:space="preserve"> variable</w:t>
      </w:r>
      <w:r w:rsidR="00F86F45" w:rsidRPr="00C5254D">
        <w:rPr>
          <w:rFonts w:ascii="Bookman Old Style" w:hAnsi="Bookman Old Style"/>
        </w:rPr>
        <w:t>s</w:t>
      </w:r>
      <m:oMath>
        <m:r>
          <w:rPr>
            <w:rFonts w:ascii="Cambria Math" w:hAnsi="Cambria Math"/>
            <w:color w:val="000000" w:themeColor="text1"/>
            <w:lang w:val="es-CO"/>
          </w:rPr>
          <m:t xml:space="preserve"> CU</m:t>
        </m:r>
        <m:sSub>
          <m:sSubPr>
            <m:ctrlPr>
              <w:rPr>
                <w:rFonts w:ascii="Cambria Math" w:hAnsi="Cambria Math"/>
                <w:i/>
                <w:color w:val="000000" w:themeColor="text1"/>
                <w:lang w:val="es-CO"/>
              </w:rPr>
            </m:ctrlPr>
          </m:sSubPr>
          <m:e>
            <m:r>
              <w:rPr>
                <w:rFonts w:ascii="Cambria Math" w:hAnsi="Cambria Math"/>
                <w:color w:val="000000" w:themeColor="text1"/>
                <w:lang w:val="es-CO"/>
              </w:rPr>
              <m:t>G</m:t>
            </m:r>
          </m:e>
          <m:sub>
            <m:r>
              <w:rPr>
                <w:rFonts w:ascii="Cambria Math" w:hAnsi="Cambria Math"/>
                <w:color w:val="000000" w:themeColor="text1"/>
                <w:lang w:val="es-CO"/>
              </w:rPr>
              <m:t>m-1,i</m:t>
            </m:r>
          </m:sub>
        </m:sSub>
      </m:oMath>
      <w:r w:rsidR="00F86F45" w:rsidRPr="00C5254D">
        <w:rPr>
          <w:color w:val="000000" w:themeColor="text1"/>
          <w:lang w:val="es-CO"/>
        </w:rPr>
        <w:t xml:space="preserve"> y</w:t>
      </w:r>
      <w:r w:rsidRPr="00E856A9">
        <w:rPr>
          <w:rFonts w:ascii="Bookman Old Style" w:hAnsi="Bookman Old Style"/>
        </w:rPr>
        <w:t xml:space="preserve"> </w:t>
      </w:r>
      <m:oMath>
        <m:r>
          <w:rPr>
            <w:rFonts w:ascii="Cambria Math" w:hAnsi="Cambria Math"/>
            <w:color w:val="000000" w:themeColor="text1"/>
            <w:lang w:val="es-CO"/>
          </w:rPr>
          <m:t>EG</m:t>
        </m:r>
        <m:sSub>
          <m:sSubPr>
            <m:ctrlPr>
              <w:rPr>
                <w:rFonts w:ascii="Cambria Math" w:hAnsi="Cambria Math"/>
                <w:i/>
                <w:color w:val="000000" w:themeColor="text1"/>
                <w:lang w:val="es-CO"/>
              </w:rPr>
            </m:ctrlPr>
          </m:sSubPr>
          <m:e>
            <m:r>
              <w:rPr>
                <w:rFonts w:ascii="Cambria Math" w:hAnsi="Cambria Math"/>
                <w:color w:val="000000" w:themeColor="text1"/>
                <w:lang w:val="es-CO"/>
              </w:rPr>
              <m:t>P</m:t>
            </m:r>
          </m:e>
          <m:sub>
            <m:r>
              <w:rPr>
                <w:rFonts w:ascii="Cambria Math" w:hAnsi="Cambria Math"/>
                <w:color w:val="000000" w:themeColor="text1"/>
                <w:lang w:val="es-CO"/>
              </w:rPr>
              <m:t>i</m:t>
            </m:r>
          </m:sub>
        </m:sSub>
      </m:oMath>
      <w:r w:rsidRPr="00E856A9">
        <w:rPr>
          <w:rFonts w:ascii="Bookman Old Style" w:hAnsi="Bookman Old Style"/>
          <w:color w:val="000000" w:themeColor="text1"/>
          <w:lang w:val="es-CO"/>
        </w:rPr>
        <w:t xml:space="preserve"> debe entenderse que para el caso de los contratos del mecanismo complementario se hace referencia a la garantía de </w:t>
      </w:r>
      <w:r w:rsidR="00F86F45" w:rsidRPr="00E856A9">
        <w:rPr>
          <w:rFonts w:ascii="Bookman Old Style" w:hAnsi="Bookman Old Style"/>
          <w:color w:val="000000" w:themeColor="text1"/>
          <w:lang w:val="es-CO"/>
        </w:rPr>
        <w:t xml:space="preserve">pago y </w:t>
      </w:r>
      <w:r w:rsidRPr="00E856A9">
        <w:rPr>
          <w:rFonts w:ascii="Bookman Old Style" w:hAnsi="Bookman Old Style"/>
          <w:color w:val="000000" w:themeColor="text1"/>
          <w:lang w:val="es-CO"/>
        </w:rPr>
        <w:t>cumplimiento de la</w:t>
      </w:r>
      <w:r w:rsidR="00F86F45" w:rsidRPr="00E856A9">
        <w:rPr>
          <w:rFonts w:ascii="Bookman Old Style" w:hAnsi="Bookman Old Style"/>
          <w:color w:val="000000" w:themeColor="text1"/>
          <w:lang w:val="es-CO"/>
        </w:rPr>
        <w:t>s</w:t>
      </w:r>
      <w:r w:rsidRPr="00E856A9">
        <w:rPr>
          <w:rFonts w:ascii="Bookman Old Style" w:hAnsi="Bookman Old Style"/>
          <w:color w:val="000000" w:themeColor="text1"/>
          <w:lang w:val="es-CO"/>
        </w:rPr>
        <w:t xml:space="preserve"> que trata</w:t>
      </w:r>
      <w:r w:rsidR="00F86F45" w:rsidRPr="00E856A9">
        <w:rPr>
          <w:rFonts w:ascii="Bookman Old Style" w:hAnsi="Bookman Old Style"/>
          <w:color w:val="000000" w:themeColor="text1"/>
          <w:lang w:val="es-CO"/>
        </w:rPr>
        <w:t>n</w:t>
      </w:r>
      <w:r w:rsidRPr="00E856A9">
        <w:rPr>
          <w:rFonts w:ascii="Bookman Old Style" w:hAnsi="Bookman Old Style"/>
          <w:color w:val="000000" w:themeColor="text1"/>
          <w:lang w:val="es-CO"/>
        </w:rPr>
        <w:t xml:space="preserve"> </w:t>
      </w:r>
      <w:r w:rsidR="00F86F45" w:rsidRPr="00E856A9">
        <w:rPr>
          <w:rFonts w:ascii="Bookman Old Style" w:hAnsi="Bookman Old Style"/>
          <w:color w:val="000000" w:themeColor="text1"/>
          <w:lang w:val="es-CO"/>
        </w:rPr>
        <w:t>los</w:t>
      </w:r>
      <w:r w:rsidRPr="00E856A9">
        <w:rPr>
          <w:rFonts w:ascii="Bookman Old Style" w:hAnsi="Bookman Old Style"/>
          <w:color w:val="000000" w:themeColor="text1"/>
          <w:lang w:val="es-CO"/>
        </w:rPr>
        <w:t xml:space="preserve"> artículo</w:t>
      </w:r>
      <w:r w:rsidR="00F86F45" w:rsidRPr="00E856A9">
        <w:rPr>
          <w:rFonts w:ascii="Bookman Old Style" w:hAnsi="Bookman Old Style"/>
          <w:color w:val="000000" w:themeColor="text1"/>
          <w:lang w:val="es-CO"/>
        </w:rPr>
        <w:t xml:space="preserve">s 11 y </w:t>
      </w:r>
      <w:r w:rsidRPr="00E856A9">
        <w:rPr>
          <w:rFonts w:ascii="Bookman Old Style" w:hAnsi="Bookman Old Style"/>
          <w:color w:val="000000" w:themeColor="text1"/>
          <w:lang w:val="es-CO"/>
        </w:rPr>
        <w:t>9 de la Resolución 40725 de 2019 del Ministerio de Minas y Energía</w:t>
      </w:r>
      <w:r w:rsidR="00F86F45">
        <w:rPr>
          <w:rFonts w:ascii="Bookman Old Style" w:hAnsi="Bookman Old Style"/>
          <w:color w:val="000000" w:themeColor="text1"/>
          <w:lang w:val="es-CO"/>
        </w:rPr>
        <w:t>, respectivamente</w:t>
      </w:r>
      <w:r>
        <w:rPr>
          <w:rFonts w:ascii="Bookman Old Style" w:hAnsi="Bookman Old Style"/>
          <w:color w:val="000000" w:themeColor="text1"/>
          <w:lang w:val="es-CO"/>
        </w:rPr>
        <w:t>.</w:t>
      </w:r>
    </w:p>
    <w:p w:rsidR="00FB3724" w:rsidRPr="00FB3724" w:rsidRDefault="00FB3724" w:rsidP="00FB3724">
      <w:pPr>
        <w:pStyle w:val="Prrafodelista"/>
        <w:rPr>
          <w:rFonts w:ascii="Bookman Old Style" w:hAnsi="Bookman Old Style"/>
          <w:sz w:val="24"/>
          <w:highlight w:val="yellow"/>
        </w:rPr>
      </w:pPr>
    </w:p>
    <w:p w:rsidR="00FF07E5" w:rsidRPr="00CB1407" w:rsidRDefault="00FF07E5" w:rsidP="00FF07E5">
      <w:pPr>
        <w:pStyle w:val="Prrafodelista"/>
        <w:numPr>
          <w:ilvl w:val="0"/>
          <w:numId w:val="33"/>
        </w:numPr>
        <w:tabs>
          <w:tab w:val="left" w:pos="0"/>
          <w:tab w:val="left" w:pos="284"/>
        </w:tabs>
        <w:ind w:left="0" w:firstLine="0"/>
        <w:jc w:val="both"/>
        <w:rPr>
          <w:rFonts w:ascii="Bookman Old Style" w:hAnsi="Bookman Old Style"/>
          <w:b/>
          <w:sz w:val="24"/>
          <w:szCs w:val="24"/>
        </w:rPr>
      </w:pPr>
      <w:r w:rsidRPr="00822F4A">
        <w:rPr>
          <w:rFonts w:ascii="Bookman Old Style" w:hAnsi="Bookman Old Style"/>
          <w:b/>
          <w:sz w:val="24"/>
          <w:szCs w:val="24"/>
        </w:rPr>
        <w:t>Vigencia.</w:t>
      </w:r>
      <w:r w:rsidRPr="00822F4A">
        <w:rPr>
          <w:rFonts w:ascii="Bookman Old Style" w:hAnsi="Bookman Old Style"/>
          <w:sz w:val="24"/>
          <w:szCs w:val="24"/>
        </w:rPr>
        <w:t xml:space="preserve"> La presente resolución </w:t>
      </w:r>
      <w:r w:rsidRPr="00CB1407">
        <w:rPr>
          <w:rFonts w:ascii="Bookman Old Style" w:hAnsi="Bookman Old Style"/>
          <w:sz w:val="24"/>
          <w:szCs w:val="24"/>
        </w:rPr>
        <w:t>rige a partir de su publicación en el Diario</w:t>
      </w:r>
      <w:r w:rsidRPr="00CB1407">
        <w:rPr>
          <w:rFonts w:ascii="Bookman Old Style" w:hAnsi="Bookman Old Style"/>
          <w:i/>
          <w:sz w:val="24"/>
          <w:szCs w:val="24"/>
        </w:rPr>
        <w:t xml:space="preserve"> Oficial</w:t>
      </w:r>
      <w:r w:rsidRPr="00CB1407">
        <w:rPr>
          <w:rFonts w:ascii="Bookman Old Style" w:hAnsi="Bookman Old Style"/>
          <w:sz w:val="24"/>
          <w:szCs w:val="24"/>
        </w:rPr>
        <w:t>.</w:t>
      </w:r>
    </w:p>
    <w:p w:rsidR="006C2A67" w:rsidRDefault="006C2A67" w:rsidP="00045D3D">
      <w:pPr>
        <w:jc w:val="center"/>
        <w:rPr>
          <w:rFonts w:ascii="Bookman Old Style" w:hAnsi="Bookman Old Style"/>
          <w:b/>
        </w:rPr>
      </w:pPr>
    </w:p>
    <w:p w:rsidR="00045D3D" w:rsidRPr="00C435C3" w:rsidRDefault="00045D3D" w:rsidP="00045D3D">
      <w:pPr>
        <w:jc w:val="center"/>
        <w:rPr>
          <w:rFonts w:ascii="Bookman Old Style" w:hAnsi="Bookman Old Style"/>
          <w:b/>
        </w:rPr>
      </w:pPr>
      <w:r w:rsidRPr="00C435C3">
        <w:rPr>
          <w:rFonts w:ascii="Bookman Old Style" w:hAnsi="Bookman Old Style"/>
          <w:b/>
        </w:rPr>
        <w:t>PU</w:t>
      </w:r>
      <w:r w:rsidR="00CA03C8">
        <w:rPr>
          <w:rFonts w:ascii="Bookman Old Style" w:hAnsi="Bookman Old Style"/>
          <w:b/>
        </w:rPr>
        <w:t>B</w:t>
      </w:r>
      <w:r w:rsidRPr="00C435C3">
        <w:rPr>
          <w:rFonts w:ascii="Bookman Old Style" w:hAnsi="Bookman Old Style"/>
          <w:b/>
        </w:rPr>
        <w:t>LÍQUESE Y CÚMPLASE</w:t>
      </w:r>
    </w:p>
    <w:p w:rsidR="006C2A67" w:rsidRDefault="006C2A67" w:rsidP="00246929">
      <w:pPr>
        <w:ind w:left="0"/>
        <w:rPr>
          <w:rFonts w:ascii="Bookman Old Style" w:hAnsi="Bookman Old Style"/>
        </w:rPr>
      </w:pPr>
    </w:p>
    <w:p w:rsidR="005D635B" w:rsidRDefault="00D0475C" w:rsidP="00246929">
      <w:pPr>
        <w:ind w:left="0"/>
        <w:rPr>
          <w:rFonts w:ascii="Bookman Old Style" w:hAnsi="Bookman Old Style"/>
        </w:rPr>
      </w:pPr>
      <w:r w:rsidRPr="00E856A9">
        <w:rPr>
          <w:rFonts w:ascii="Bookman Old Style" w:hAnsi="Bookman Old Style"/>
        </w:rPr>
        <w:t xml:space="preserve">Dada en Bogotá D.C, </w:t>
      </w:r>
    </w:p>
    <w:p w:rsidR="005D635B" w:rsidRDefault="005D635B" w:rsidP="00246929">
      <w:pPr>
        <w:ind w:left="0"/>
        <w:rPr>
          <w:rFonts w:ascii="Bookman Old Style" w:hAnsi="Bookman Old Style"/>
        </w:rPr>
      </w:pPr>
    </w:p>
    <w:p w:rsidR="005D635B" w:rsidRDefault="005D635B" w:rsidP="00246929">
      <w:pPr>
        <w:ind w:left="0"/>
        <w:rPr>
          <w:rFonts w:ascii="Bookman Old Style" w:hAnsi="Bookman Old Style"/>
        </w:rPr>
      </w:pPr>
    </w:p>
    <w:p w:rsidR="005D635B" w:rsidRDefault="005D635B" w:rsidP="00246929">
      <w:pPr>
        <w:ind w:left="0"/>
        <w:rPr>
          <w:rFonts w:ascii="Bookman Old Style" w:hAnsi="Bookman Old Style"/>
        </w:rPr>
      </w:pPr>
    </w:p>
    <w:p w:rsidR="008C216F" w:rsidRDefault="008C216F" w:rsidP="00246929">
      <w:pPr>
        <w:ind w:left="0"/>
        <w:rPr>
          <w:rFonts w:ascii="Bookman Old Style" w:hAnsi="Bookman Old Style"/>
        </w:rPr>
      </w:pPr>
    </w:p>
    <w:p w:rsidR="00FF07E5" w:rsidRDefault="00FF07E5" w:rsidP="00045D3D">
      <w:pPr>
        <w:ind w:left="0"/>
        <w:rPr>
          <w:rFonts w:ascii="Bookman Old Style" w:hAnsi="Bookman Old Style"/>
        </w:rPr>
      </w:pPr>
    </w:p>
    <w:tbl>
      <w:tblPr>
        <w:tblW w:w="9495" w:type="dxa"/>
        <w:tblInd w:w="-147" w:type="dxa"/>
        <w:tblLayout w:type="fixed"/>
        <w:tblCellMar>
          <w:left w:w="0" w:type="dxa"/>
          <w:right w:w="0" w:type="dxa"/>
        </w:tblCellMar>
        <w:tblLook w:val="04A0" w:firstRow="1" w:lastRow="0" w:firstColumn="1" w:lastColumn="0" w:noHBand="0" w:noVBand="1"/>
      </w:tblPr>
      <w:tblGrid>
        <w:gridCol w:w="4962"/>
        <w:gridCol w:w="4533"/>
      </w:tblGrid>
      <w:tr w:rsidR="005D635B" w:rsidTr="00E64D93">
        <w:tc>
          <w:tcPr>
            <w:tcW w:w="4964" w:type="dxa"/>
            <w:hideMark/>
          </w:tcPr>
          <w:p w:rsidR="005D635B" w:rsidRDefault="005D635B" w:rsidP="00E64D93">
            <w:pPr>
              <w:snapToGrid w:val="0"/>
              <w:jc w:val="center"/>
              <w:rPr>
                <w:rFonts w:ascii="Bookman Old Style" w:hAnsi="Bookman Old Style" w:cs="Arial"/>
                <w:b/>
                <w:bCs/>
              </w:rPr>
            </w:pPr>
            <w:r>
              <w:rPr>
                <w:rFonts w:ascii="Bookman Old Style" w:hAnsi="Bookman Old Style" w:cs="Arial"/>
                <w:b/>
                <w:bCs/>
              </w:rPr>
              <w:t>DIEGO MESA PUYO</w:t>
            </w:r>
          </w:p>
        </w:tc>
        <w:tc>
          <w:tcPr>
            <w:tcW w:w="4534" w:type="dxa"/>
            <w:hideMark/>
          </w:tcPr>
          <w:p w:rsidR="005D635B" w:rsidRDefault="005D635B" w:rsidP="00E64D93">
            <w:pPr>
              <w:snapToGrid w:val="0"/>
              <w:ind w:left="141"/>
              <w:jc w:val="center"/>
              <w:rPr>
                <w:rFonts w:ascii="Bookman Old Style" w:hAnsi="Bookman Old Style" w:cs="Arial"/>
                <w:b/>
                <w:bCs/>
              </w:rPr>
            </w:pPr>
            <w:r>
              <w:rPr>
                <w:rFonts w:ascii="Bookman Old Style" w:hAnsi="Bookman Old Style" w:cs="Arial"/>
                <w:b/>
                <w:bCs/>
              </w:rPr>
              <w:t>CHRISTIAN JARAMILLO HERRERA</w:t>
            </w:r>
          </w:p>
        </w:tc>
      </w:tr>
      <w:tr w:rsidR="005D635B" w:rsidTr="00E64D93">
        <w:tc>
          <w:tcPr>
            <w:tcW w:w="4964" w:type="dxa"/>
            <w:hideMark/>
          </w:tcPr>
          <w:p w:rsidR="005D635B" w:rsidRDefault="005D635B" w:rsidP="00E64D93">
            <w:pPr>
              <w:snapToGrid w:val="0"/>
              <w:jc w:val="center"/>
              <w:rPr>
                <w:rFonts w:ascii="Bookman Old Style" w:hAnsi="Bookman Old Style" w:cs="Arial"/>
              </w:rPr>
            </w:pPr>
            <w:r>
              <w:rPr>
                <w:rFonts w:ascii="Bookman Old Style" w:hAnsi="Bookman Old Style" w:cs="Arial"/>
              </w:rPr>
              <w:t>Viceministro de Energía</w:t>
            </w:r>
          </w:p>
          <w:p w:rsidR="005D635B" w:rsidRDefault="005D635B" w:rsidP="00E64D93">
            <w:pPr>
              <w:snapToGrid w:val="0"/>
              <w:jc w:val="center"/>
              <w:rPr>
                <w:rFonts w:ascii="Bookman Old Style" w:hAnsi="Bookman Old Style" w:cs="Arial"/>
              </w:rPr>
            </w:pPr>
            <w:r>
              <w:rPr>
                <w:rFonts w:ascii="Bookman Old Style" w:hAnsi="Bookman Old Style" w:cs="Arial"/>
                <w:spacing w:val="-3"/>
              </w:rPr>
              <w:t>Delegado de la Ministra de Minas y Energía</w:t>
            </w:r>
          </w:p>
          <w:p w:rsidR="005D635B" w:rsidRDefault="005D635B" w:rsidP="00E64D93">
            <w:pPr>
              <w:snapToGrid w:val="0"/>
              <w:jc w:val="center"/>
              <w:rPr>
                <w:rFonts w:ascii="Bookman Old Style" w:hAnsi="Bookman Old Style" w:cs="Arial"/>
              </w:rPr>
            </w:pPr>
            <w:r>
              <w:rPr>
                <w:rFonts w:ascii="Bookman Old Style" w:hAnsi="Bookman Old Style" w:cs="Arial"/>
              </w:rPr>
              <w:t>Presidente</w:t>
            </w:r>
          </w:p>
        </w:tc>
        <w:tc>
          <w:tcPr>
            <w:tcW w:w="4534" w:type="dxa"/>
            <w:hideMark/>
          </w:tcPr>
          <w:p w:rsidR="005D635B" w:rsidRDefault="005D635B" w:rsidP="00E64D93">
            <w:pPr>
              <w:snapToGrid w:val="0"/>
              <w:jc w:val="center"/>
              <w:rPr>
                <w:rFonts w:ascii="Bookman Old Style" w:hAnsi="Bookman Old Style" w:cs="Arial"/>
              </w:rPr>
            </w:pPr>
            <w:r>
              <w:rPr>
                <w:rFonts w:ascii="Bookman Old Style" w:hAnsi="Bookman Old Style" w:cs="Arial"/>
              </w:rPr>
              <w:t>Director Ejecutivo</w:t>
            </w:r>
          </w:p>
        </w:tc>
      </w:tr>
    </w:tbl>
    <w:p w:rsidR="00FF07E5" w:rsidRDefault="00FF07E5" w:rsidP="00045D3D">
      <w:pPr>
        <w:ind w:left="0"/>
        <w:rPr>
          <w:rFonts w:ascii="Bookman Old Style" w:hAnsi="Bookman Old Style"/>
        </w:rPr>
      </w:pPr>
    </w:p>
    <w:p w:rsidR="00E060BE" w:rsidRPr="00E060BE" w:rsidRDefault="00E060BE" w:rsidP="00847DC6">
      <w:pPr>
        <w:ind w:left="0"/>
        <w:rPr>
          <w:rFonts w:ascii="Bookman Old Style" w:hAnsi="Bookman Old Style" w:cs="Arial"/>
        </w:rPr>
      </w:pPr>
    </w:p>
    <w:sectPr w:rsidR="00E060BE" w:rsidRPr="00E060BE" w:rsidSect="005A59EF">
      <w:headerReference w:type="default" r:id="rId11"/>
      <w:headerReference w:type="first" r:id="rId12"/>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56CF2" w:rsidRDefault="00856CF2">
      <w:r>
        <w:separator/>
      </w:r>
    </w:p>
  </w:endnote>
  <w:endnote w:type="continuationSeparator" w:id="0">
    <w:p w:rsidR="00856CF2" w:rsidRDefault="00856C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56CF2" w:rsidRDefault="00856CF2">
      <w:r>
        <w:separator/>
      </w:r>
    </w:p>
  </w:footnote>
  <w:footnote w:type="continuationSeparator" w:id="0">
    <w:p w:rsidR="00856CF2" w:rsidRDefault="00856CF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B6388" w:rsidRDefault="00DB6388" w:rsidP="00951F79">
    <w:pPr>
      <w:pStyle w:val="Ttulo1"/>
      <w:ind w:right="6"/>
      <w:jc w:val="left"/>
      <w:rPr>
        <w:rFonts w:ascii="Bookman Old Style" w:hAnsi="Bookman Old Style" w:cs="Arial"/>
        <w:b w:val="0"/>
        <w:sz w:val="22"/>
        <w:szCs w:val="22"/>
      </w:rPr>
    </w:pPr>
  </w:p>
  <w:p w:rsidR="00DB6388" w:rsidRPr="00951F79" w:rsidRDefault="00DB6388"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C525D4">
      <w:rPr>
        <w:rFonts w:ascii="Bookman Old Style" w:hAnsi="Bookman Old Style" w:cs="Arial"/>
        <w:b w:val="0"/>
        <w:noProof/>
        <w:sz w:val="22"/>
        <w:szCs w:val="22"/>
      </w:rPr>
      <w:t>3</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C525D4">
      <w:fldChar w:fldCharType="begin"/>
    </w:r>
    <w:r w:rsidR="00C525D4">
      <w:instrText xml:space="preserve"> NUMPAGES  \* MERGEFORMAT </w:instrText>
    </w:r>
    <w:r w:rsidR="00C525D4">
      <w:fldChar w:fldCharType="separate"/>
    </w:r>
    <w:r w:rsidR="00C525D4" w:rsidRPr="00C525D4">
      <w:rPr>
        <w:rFonts w:ascii="Bookman Old Style" w:hAnsi="Bookman Old Style" w:cs="Arial"/>
        <w:b w:val="0"/>
        <w:noProof/>
        <w:sz w:val="22"/>
        <w:szCs w:val="22"/>
      </w:rPr>
      <w:t>6</w:t>
    </w:r>
    <w:r w:rsidR="00C525D4">
      <w:rPr>
        <w:rFonts w:ascii="Bookman Old Style" w:hAnsi="Bookman Old Style" w:cs="Arial"/>
        <w:b w:val="0"/>
        <w:noProof/>
        <w:sz w:val="22"/>
        <w:szCs w:val="22"/>
      </w:rPr>
      <w:fldChar w:fldCharType="end"/>
    </w:r>
  </w:p>
  <w:p w:rsidR="00DB6388" w:rsidRPr="00C35EAB" w:rsidRDefault="00DB6388" w:rsidP="00AD01E4">
    <w:pPr>
      <w:ind w:left="142" w:right="148"/>
      <w:rPr>
        <w:rFonts w:ascii="Bookman Old Style" w:hAnsi="Bookman Old Style" w:cs="Arial"/>
        <w:sz w:val="22"/>
      </w:rPr>
    </w:pPr>
    <w:r w:rsidRPr="0042068C">
      <w:rPr>
        <w:noProof/>
        <w:lang w:val="es-CO" w:eastAsia="es-CO"/>
      </w:rPr>
      <mc:AlternateContent>
        <mc:Choice Requires="wps">
          <w:drawing>
            <wp:anchor distT="0" distB="0" distL="114300" distR="114300" simplePos="0" relativeHeight="251657216" behindDoc="0" locked="0" layoutInCell="1" allowOverlap="1">
              <wp:simplePos x="0" y="0"/>
              <wp:positionH relativeFrom="column">
                <wp:posOffset>-175260</wp:posOffset>
              </wp:positionH>
              <wp:positionV relativeFrom="paragraph">
                <wp:posOffset>139065</wp:posOffset>
              </wp:positionV>
              <wp:extent cx="6267450" cy="9900920"/>
              <wp:effectExtent l="9525" t="12065" r="9525" b="1206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08320F"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5D635B" w:rsidRPr="00AC7A83" w:rsidRDefault="005D635B" w:rsidP="005D635B">
    <w:pPr>
      <w:ind w:left="0"/>
      <w:jc w:val="center"/>
      <w:rPr>
        <w:rFonts w:ascii="Bookman Old Style" w:hAnsi="Bookman Old Style"/>
      </w:rPr>
    </w:pPr>
    <w:r w:rsidRPr="00EC1A9B">
      <w:rPr>
        <w:rFonts w:ascii="Bookman Old Style" w:hAnsi="Bookman Old Style"/>
      </w:rPr>
      <w:t xml:space="preserve">Fórmula de traslado en el componente de compras de energía al usuario regulado de los precios de los contratos del mecanismo complementario del que trata </w:t>
    </w:r>
    <w:r w:rsidRPr="00304322">
      <w:rPr>
        <w:rFonts w:ascii="Bookman Old Style" w:hAnsi="Bookman Old Style"/>
      </w:rPr>
      <w:t>la Resolución 40725 de 2019 del</w:t>
    </w:r>
    <w:r w:rsidRPr="00C83E41">
      <w:rPr>
        <w:rFonts w:ascii="Bookman Old Style" w:hAnsi="Bookman Old Style"/>
      </w:rPr>
      <w:t xml:space="preserve"> Ministerio de Minas y Energía.</w:t>
    </w:r>
  </w:p>
  <w:p w:rsidR="006E1DB8" w:rsidRPr="00FB3724" w:rsidRDefault="006E1DB8" w:rsidP="00FB3724">
    <w:pPr>
      <w:ind w:left="0"/>
      <w:jc w:val="center"/>
      <w:rPr>
        <w:rFonts w:ascii="Bookman Old Style" w:hAnsi="Bookman Old Style"/>
        <w:sz w:val="22"/>
      </w:rPr>
    </w:pP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r>
    <w:r>
      <w:rPr>
        <w:rFonts w:ascii="Bookman Old Style" w:hAnsi="Bookman Old Style"/>
        <w:sz w:val="22"/>
      </w:rPr>
      <w:softHyphen/>
      <w:t>__________________________________________________________________________________</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B6388" w:rsidRDefault="00DB6388"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DB6388" w:rsidRDefault="00DB6388">
    <w:pPr>
      <w:pStyle w:val="Encabezado"/>
      <w:jc w:val="center"/>
      <w:rPr>
        <w:rFonts w:ascii="Arial" w:hAnsi="Arial" w:cs="Arial"/>
        <w:spacing w:val="20"/>
        <w:sz w:val="20"/>
      </w:rPr>
    </w:pPr>
  </w:p>
  <w:p w:rsidR="00DB6388" w:rsidRDefault="00DB6388" w:rsidP="00CA77FB">
    <w:pPr>
      <w:pStyle w:val="Encabezado"/>
      <w:jc w:val="center"/>
    </w:pPr>
    <w:r w:rsidRPr="0042068C">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simplePos x="0" y="0"/>
              <wp:positionH relativeFrom="column">
                <wp:posOffset>-213360</wp:posOffset>
              </wp:positionH>
              <wp:positionV relativeFrom="paragraph">
                <wp:posOffset>377190</wp:posOffset>
              </wp:positionV>
              <wp:extent cx="6343650" cy="9839325"/>
              <wp:effectExtent l="9525" t="14605" r="9525" b="1397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48DDCD"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12801E2"/>
    <w:multiLevelType w:val="hybridMultilevel"/>
    <w:tmpl w:val="DBD61922"/>
    <w:lvl w:ilvl="0" w:tplc="240A000F">
      <w:start w:val="1"/>
      <w:numFmt w:val="decimal"/>
      <w:lvlText w:val="%1."/>
      <w:lvlJc w:val="left"/>
      <w:pPr>
        <w:ind w:left="1287" w:hanging="360"/>
      </w:pPr>
    </w:lvl>
    <w:lvl w:ilvl="1" w:tplc="240A0019">
      <w:start w:val="1"/>
      <w:numFmt w:val="lowerLetter"/>
      <w:lvlText w:val="%2."/>
      <w:lvlJc w:val="left"/>
      <w:pPr>
        <w:ind w:left="2007" w:hanging="360"/>
      </w:pPr>
    </w:lvl>
    <w:lvl w:ilvl="2" w:tplc="240A001B">
      <w:start w:val="1"/>
      <w:numFmt w:val="lowerRoman"/>
      <w:lvlText w:val="%3."/>
      <w:lvlJc w:val="right"/>
      <w:pPr>
        <w:ind w:left="2727" w:hanging="180"/>
      </w:pPr>
    </w:lvl>
    <w:lvl w:ilvl="3" w:tplc="240A000F">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3" w15:restartNumberingAfterBreak="0">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4" w15:restartNumberingAfterBreak="0">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6" w15:restartNumberingAfterBreak="0">
    <w:nsid w:val="0A4E167B"/>
    <w:multiLevelType w:val="hybridMultilevel"/>
    <w:tmpl w:val="C9F4302C"/>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0DF34E68"/>
    <w:multiLevelType w:val="hybridMultilevel"/>
    <w:tmpl w:val="AB9E58D8"/>
    <w:lvl w:ilvl="0" w:tplc="2990F024">
      <w:start w:val="1"/>
      <w:numFmt w:val="decimal"/>
      <w:lvlText w:val="Artículo %1."/>
      <w:lvlJc w:val="left"/>
      <w:pPr>
        <w:ind w:left="720" w:hanging="360"/>
      </w:pPr>
      <w:rPr>
        <w:rFonts w:hint="default"/>
        <w:b/>
        <w:i w:val="0"/>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17B704D3"/>
    <w:multiLevelType w:val="hybridMultilevel"/>
    <w:tmpl w:val="BAC227F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199F1C7E"/>
    <w:multiLevelType w:val="hybridMultilevel"/>
    <w:tmpl w:val="AB9E58D8"/>
    <w:lvl w:ilvl="0" w:tplc="2990F024">
      <w:start w:val="1"/>
      <w:numFmt w:val="decimal"/>
      <w:lvlText w:val="Artículo %1."/>
      <w:lvlJc w:val="left"/>
      <w:pPr>
        <w:ind w:left="720" w:hanging="360"/>
      </w:pPr>
      <w:rPr>
        <w:rFonts w:hint="default"/>
        <w:b/>
        <w:i w:val="0"/>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A543BDE"/>
    <w:multiLevelType w:val="hybridMultilevel"/>
    <w:tmpl w:val="88C69FD6"/>
    <w:lvl w:ilvl="0" w:tplc="7EC2704A">
      <w:start w:val="1"/>
      <w:numFmt w:val="decimal"/>
      <w:lvlText w:val="%1."/>
      <w:lvlJc w:val="left"/>
      <w:pPr>
        <w:ind w:left="720" w:hanging="360"/>
      </w:pPr>
      <w:rPr>
        <w:rFonts w:hint="default"/>
        <w:b/>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1E36397C"/>
    <w:multiLevelType w:val="hybridMultilevel"/>
    <w:tmpl w:val="FB64CE52"/>
    <w:lvl w:ilvl="0" w:tplc="240A0001">
      <w:start w:val="1"/>
      <w:numFmt w:val="bullet"/>
      <w:lvlText w:val=""/>
      <w:lvlJc w:val="left"/>
      <w:pPr>
        <w:ind w:left="1522" w:hanging="360"/>
      </w:pPr>
      <w:rPr>
        <w:rFonts w:ascii="Symbol" w:hAnsi="Symbol" w:hint="default"/>
      </w:rPr>
    </w:lvl>
    <w:lvl w:ilvl="1" w:tplc="240A0003" w:tentative="1">
      <w:start w:val="1"/>
      <w:numFmt w:val="bullet"/>
      <w:lvlText w:val="o"/>
      <w:lvlJc w:val="left"/>
      <w:pPr>
        <w:ind w:left="2242" w:hanging="360"/>
      </w:pPr>
      <w:rPr>
        <w:rFonts w:ascii="Courier New" w:hAnsi="Courier New" w:cs="Courier New" w:hint="default"/>
      </w:rPr>
    </w:lvl>
    <w:lvl w:ilvl="2" w:tplc="240A0005" w:tentative="1">
      <w:start w:val="1"/>
      <w:numFmt w:val="bullet"/>
      <w:lvlText w:val=""/>
      <w:lvlJc w:val="left"/>
      <w:pPr>
        <w:ind w:left="2962" w:hanging="360"/>
      </w:pPr>
      <w:rPr>
        <w:rFonts w:ascii="Wingdings" w:hAnsi="Wingdings" w:hint="default"/>
      </w:rPr>
    </w:lvl>
    <w:lvl w:ilvl="3" w:tplc="240A0001" w:tentative="1">
      <w:start w:val="1"/>
      <w:numFmt w:val="bullet"/>
      <w:lvlText w:val=""/>
      <w:lvlJc w:val="left"/>
      <w:pPr>
        <w:ind w:left="3682" w:hanging="360"/>
      </w:pPr>
      <w:rPr>
        <w:rFonts w:ascii="Symbol" w:hAnsi="Symbol" w:hint="default"/>
      </w:rPr>
    </w:lvl>
    <w:lvl w:ilvl="4" w:tplc="240A0003" w:tentative="1">
      <w:start w:val="1"/>
      <w:numFmt w:val="bullet"/>
      <w:lvlText w:val="o"/>
      <w:lvlJc w:val="left"/>
      <w:pPr>
        <w:ind w:left="4402" w:hanging="360"/>
      </w:pPr>
      <w:rPr>
        <w:rFonts w:ascii="Courier New" w:hAnsi="Courier New" w:cs="Courier New" w:hint="default"/>
      </w:rPr>
    </w:lvl>
    <w:lvl w:ilvl="5" w:tplc="240A0005" w:tentative="1">
      <w:start w:val="1"/>
      <w:numFmt w:val="bullet"/>
      <w:lvlText w:val=""/>
      <w:lvlJc w:val="left"/>
      <w:pPr>
        <w:ind w:left="5122" w:hanging="360"/>
      </w:pPr>
      <w:rPr>
        <w:rFonts w:ascii="Wingdings" w:hAnsi="Wingdings" w:hint="default"/>
      </w:rPr>
    </w:lvl>
    <w:lvl w:ilvl="6" w:tplc="240A0001" w:tentative="1">
      <w:start w:val="1"/>
      <w:numFmt w:val="bullet"/>
      <w:lvlText w:val=""/>
      <w:lvlJc w:val="left"/>
      <w:pPr>
        <w:ind w:left="5842" w:hanging="360"/>
      </w:pPr>
      <w:rPr>
        <w:rFonts w:ascii="Symbol" w:hAnsi="Symbol" w:hint="default"/>
      </w:rPr>
    </w:lvl>
    <w:lvl w:ilvl="7" w:tplc="240A0003" w:tentative="1">
      <w:start w:val="1"/>
      <w:numFmt w:val="bullet"/>
      <w:lvlText w:val="o"/>
      <w:lvlJc w:val="left"/>
      <w:pPr>
        <w:ind w:left="6562" w:hanging="360"/>
      </w:pPr>
      <w:rPr>
        <w:rFonts w:ascii="Courier New" w:hAnsi="Courier New" w:cs="Courier New" w:hint="default"/>
      </w:rPr>
    </w:lvl>
    <w:lvl w:ilvl="8" w:tplc="240A0005" w:tentative="1">
      <w:start w:val="1"/>
      <w:numFmt w:val="bullet"/>
      <w:lvlText w:val=""/>
      <w:lvlJc w:val="left"/>
      <w:pPr>
        <w:ind w:left="7282" w:hanging="360"/>
      </w:pPr>
      <w:rPr>
        <w:rFonts w:ascii="Wingdings" w:hAnsi="Wingdings" w:hint="default"/>
      </w:rPr>
    </w:lvl>
  </w:abstractNum>
  <w:abstractNum w:abstractNumId="13" w15:restartNumberingAfterBreak="0">
    <w:nsid w:val="24D95FE5"/>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26205D51"/>
    <w:multiLevelType w:val="hybridMultilevel"/>
    <w:tmpl w:val="80327FD8"/>
    <w:lvl w:ilvl="0" w:tplc="240A0019">
      <w:start w:val="1"/>
      <w:numFmt w:val="lowerLetter"/>
      <w:lvlText w:val="%1."/>
      <w:lvlJc w:val="left"/>
      <w:pPr>
        <w:ind w:left="720" w:hanging="360"/>
      </w:pPr>
    </w:lvl>
    <w:lvl w:ilvl="1" w:tplc="240A001B">
      <w:start w:val="1"/>
      <w:numFmt w:val="lowerRoman"/>
      <w:lvlText w:val="%2."/>
      <w:lvlJc w:val="righ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26ED1131"/>
    <w:multiLevelType w:val="hybridMultilevel"/>
    <w:tmpl w:val="D27A25D0"/>
    <w:lvl w:ilvl="0" w:tplc="240A0001">
      <w:numFmt w:val="bullet"/>
      <w:lvlText w:val=""/>
      <w:lvlJc w:val="left"/>
      <w:pPr>
        <w:ind w:left="720" w:hanging="360"/>
      </w:pPr>
      <w:rPr>
        <w:rFonts w:ascii="Symbol" w:eastAsia="Times New Roman" w:hAnsi="Symbol" w:cs="Times New Roman"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6F3645B"/>
    <w:multiLevelType w:val="hybridMultilevel"/>
    <w:tmpl w:val="1694859A"/>
    <w:lvl w:ilvl="0" w:tplc="C40C8C5C">
      <w:numFmt w:val="bullet"/>
      <w:lvlText w:val=""/>
      <w:lvlJc w:val="left"/>
      <w:pPr>
        <w:ind w:left="645" w:hanging="360"/>
      </w:pPr>
      <w:rPr>
        <w:rFonts w:ascii="Symbol" w:eastAsia="Times New Roman" w:hAnsi="Symbol" w:cs="Times New Roman" w:hint="default"/>
      </w:rPr>
    </w:lvl>
    <w:lvl w:ilvl="1" w:tplc="240A0003" w:tentative="1">
      <w:start w:val="1"/>
      <w:numFmt w:val="bullet"/>
      <w:lvlText w:val="o"/>
      <w:lvlJc w:val="left"/>
      <w:pPr>
        <w:ind w:left="1365" w:hanging="360"/>
      </w:pPr>
      <w:rPr>
        <w:rFonts w:ascii="Courier New" w:hAnsi="Courier New" w:cs="Courier New" w:hint="default"/>
      </w:rPr>
    </w:lvl>
    <w:lvl w:ilvl="2" w:tplc="240A0005" w:tentative="1">
      <w:start w:val="1"/>
      <w:numFmt w:val="bullet"/>
      <w:lvlText w:val=""/>
      <w:lvlJc w:val="left"/>
      <w:pPr>
        <w:ind w:left="2085" w:hanging="360"/>
      </w:pPr>
      <w:rPr>
        <w:rFonts w:ascii="Wingdings" w:hAnsi="Wingdings" w:hint="default"/>
      </w:rPr>
    </w:lvl>
    <w:lvl w:ilvl="3" w:tplc="240A0001" w:tentative="1">
      <w:start w:val="1"/>
      <w:numFmt w:val="bullet"/>
      <w:lvlText w:val=""/>
      <w:lvlJc w:val="left"/>
      <w:pPr>
        <w:ind w:left="2805" w:hanging="360"/>
      </w:pPr>
      <w:rPr>
        <w:rFonts w:ascii="Symbol" w:hAnsi="Symbol" w:hint="default"/>
      </w:rPr>
    </w:lvl>
    <w:lvl w:ilvl="4" w:tplc="240A0003" w:tentative="1">
      <w:start w:val="1"/>
      <w:numFmt w:val="bullet"/>
      <w:lvlText w:val="o"/>
      <w:lvlJc w:val="left"/>
      <w:pPr>
        <w:ind w:left="3525" w:hanging="360"/>
      </w:pPr>
      <w:rPr>
        <w:rFonts w:ascii="Courier New" w:hAnsi="Courier New" w:cs="Courier New" w:hint="default"/>
      </w:rPr>
    </w:lvl>
    <w:lvl w:ilvl="5" w:tplc="240A0005" w:tentative="1">
      <w:start w:val="1"/>
      <w:numFmt w:val="bullet"/>
      <w:lvlText w:val=""/>
      <w:lvlJc w:val="left"/>
      <w:pPr>
        <w:ind w:left="4245" w:hanging="360"/>
      </w:pPr>
      <w:rPr>
        <w:rFonts w:ascii="Wingdings" w:hAnsi="Wingdings" w:hint="default"/>
      </w:rPr>
    </w:lvl>
    <w:lvl w:ilvl="6" w:tplc="240A0001" w:tentative="1">
      <w:start w:val="1"/>
      <w:numFmt w:val="bullet"/>
      <w:lvlText w:val=""/>
      <w:lvlJc w:val="left"/>
      <w:pPr>
        <w:ind w:left="4965" w:hanging="360"/>
      </w:pPr>
      <w:rPr>
        <w:rFonts w:ascii="Symbol" w:hAnsi="Symbol" w:hint="default"/>
      </w:rPr>
    </w:lvl>
    <w:lvl w:ilvl="7" w:tplc="240A0003" w:tentative="1">
      <w:start w:val="1"/>
      <w:numFmt w:val="bullet"/>
      <w:lvlText w:val="o"/>
      <w:lvlJc w:val="left"/>
      <w:pPr>
        <w:ind w:left="5685" w:hanging="360"/>
      </w:pPr>
      <w:rPr>
        <w:rFonts w:ascii="Courier New" w:hAnsi="Courier New" w:cs="Courier New" w:hint="default"/>
      </w:rPr>
    </w:lvl>
    <w:lvl w:ilvl="8" w:tplc="240A0005" w:tentative="1">
      <w:start w:val="1"/>
      <w:numFmt w:val="bullet"/>
      <w:lvlText w:val=""/>
      <w:lvlJc w:val="left"/>
      <w:pPr>
        <w:ind w:left="6405" w:hanging="360"/>
      </w:pPr>
      <w:rPr>
        <w:rFonts w:ascii="Wingdings" w:hAnsi="Wingdings" w:hint="default"/>
      </w:rPr>
    </w:lvl>
  </w:abstractNum>
  <w:abstractNum w:abstractNumId="18" w15:restartNumberingAfterBreak="0">
    <w:nsid w:val="299161C9"/>
    <w:multiLevelType w:val="hybridMultilevel"/>
    <w:tmpl w:val="E5C09086"/>
    <w:lvl w:ilvl="0" w:tplc="CB0AE6F4">
      <w:start w:val="1"/>
      <w:numFmt w:val="decimal"/>
      <w:lvlText w:val="%1."/>
      <w:lvlJc w:val="left"/>
      <w:pPr>
        <w:ind w:left="1800" w:hanging="360"/>
      </w:pPr>
      <w:rPr>
        <w:rFonts w:hint="default"/>
        <w:b/>
      </w:rPr>
    </w:lvl>
    <w:lvl w:ilvl="1" w:tplc="240A0019">
      <w:start w:val="1"/>
      <w:numFmt w:val="lowerLetter"/>
      <w:lvlText w:val="%2."/>
      <w:lvlJc w:val="left"/>
      <w:pPr>
        <w:ind w:left="2520" w:hanging="360"/>
      </w:pPr>
    </w:lvl>
    <w:lvl w:ilvl="2" w:tplc="240A001B" w:tentative="1">
      <w:start w:val="1"/>
      <w:numFmt w:val="lowerRoman"/>
      <w:lvlText w:val="%3."/>
      <w:lvlJc w:val="right"/>
      <w:pPr>
        <w:ind w:left="3240" w:hanging="180"/>
      </w:pPr>
    </w:lvl>
    <w:lvl w:ilvl="3" w:tplc="240A000F" w:tentative="1">
      <w:start w:val="1"/>
      <w:numFmt w:val="decimal"/>
      <w:lvlText w:val="%4."/>
      <w:lvlJc w:val="left"/>
      <w:pPr>
        <w:ind w:left="3960" w:hanging="360"/>
      </w:pPr>
    </w:lvl>
    <w:lvl w:ilvl="4" w:tplc="240A0019" w:tentative="1">
      <w:start w:val="1"/>
      <w:numFmt w:val="lowerLetter"/>
      <w:lvlText w:val="%5."/>
      <w:lvlJc w:val="left"/>
      <w:pPr>
        <w:ind w:left="4680" w:hanging="360"/>
      </w:pPr>
    </w:lvl>
    <w:lvl w:ilvl="5" w:tplc="240A001B" w:tentative="1">
      <w:start w:val="1"/>
      <w:numFmt w:val="lowerRoman"/>
      <w:lvlText w:val="%6."/>
      <w:lvlJc w:val="right"/>
      <w:pPr>
        <w:ind w:left="5400" w:hanging="180"/>
      </w:pPr>
    </w:lvl>
    <w:lvl w:ilvl="6" w:tplc="240A000F" w:tentative="1">
      <w:start w:val="1"/>
      <w:numFmt w:val="decimal"/>
      <w:lvlText w:val="%7."/>
      <w:lvlJc w:val="left"/>
      <w:pPr>
        <w:ind w:left="6120" w:hanging="360"/>
      </w:pPr>
    </w:lvl>
    <w:lvl w:ilvl="7" w:tplc="240A0019" w:tentative="1">
      <w:start w:val="1"/>
      <w:numFmt w:val="lowerLetter"/>
      <w:lvlText w:val="%8."/>
      <w:lvlJc w:val="left"/>
      <w:pPr>
        <w:ind w:left="6840" w:hanging="360"/>
      </w:pPr>
    </w:lvl>
    <w:lvl w:ilvl="8" w:tplc="240A001B" w:tentative="1">
      <w:start w:val="1"/>
      <w:numFmt w:val="lowerRoman"/>
      <w:lvlText w:val="%9."/>
      <w:lvlJc w:val="right"/>
      <w:pPr>
        <w:ind w:left="7560" w:hanging="180"/>
      </w:pPr>
    </w:lvl>
  </w:abstractNum>
  <w:abstractNum w:abstractNumId="19" w15:restartNumberingAfterBreak="0">
    <w:nsid w:val="2BEE0B56"/>
    <w:multiLevelType w:val="multilevel"/>
    <w:tmpl w:val="7F7AFBBE"/>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b/>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3240" w:hanging="144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20" w15:restartNumberingAfterBreak="0">
    <w:nsid w:val="2C323142"/>
    <w:multiLevelType w:val="hybridMultilevel"/>
    <w:tmpl w:val="556225CE"/>
    <w:lvl w:ilvl="0" w:tplc="240A001B">
      <w:start w:val="1"/>
      <w:numFmt w:val="lowerRoman"/>
      <w:lvlText w:val="%1."/>
      <w:lvlJc w:val="right"/>
      <w:pPr>
        <w:ind w:left="927" w:hanging="360"/>
      </w:p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21" w15:restartNumberingAfterBreak="0">
    <w:nsid w:val="338D670D"/>
    <w:multiLevelType w:val="hybridMultilevel"/>
    <w:tmpl w:val="619AD000"/>
    <w:lvl w:ilvl="0" w:tplc="2C8EB58C">
      <w:start w:val="1"/>
      <w:numFmt w:val="lowerLetter"/>
      <w:lvlText w:val="%1."/>
      <w:lvlJc w:val="left"/>
      <w:pPr>
        <w:ind w:left="1068"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7463922"/>
    <w:multiLevelType w:val="hybridMultilevel"/>
    <w:tmpl w:val="23327FA2"/>
    <w:lvl w:ilvl="0" w:tplc="240A0001">
      <w:start w:val="1"/>
      <w:numFmt w:val="bullet"/>
      <w:lvlText w:val=""/>
      <w:lvlJc w:val="left"/>
      <w:pPr>
        <w:ind w:left="1004" w:hanging="360"/>
      </w:pPr>
      <w:rPr>
        <w:rFonts w:ascii="Symbol" w:hAnsi="Symbol" w:hint="default"/>
      </w:rPr>
    </w:lvl>
    <w:lvl w:ilvl="1" w:tplc="240A0003" w:tentative="1">
      <w:start w:val="1"/>
      <w:numFmt w:val="bullet"/>
      <w:lvlText w:val="o"/>
      <w:lvlJc w:val="left"/>
      <w:pPr>
        <w:ind w:left="1724" w:hanging="360"/>
      </w:pPr>
      <w:rPr>
        <w:rFonts w:ascii="Courier New" w:hAnsi="Courier New" w:cs="Courier New" w:hint="default"/>
      </w:rPr>
    </w:lvl>
    <w:lvl w:ilvl="2" w:tplc="240A0005" w:tentative="1">
      <w:start w:val="1"/>
      <w:numFmt w:val="bullet"/>
      <w:lvlText w:val=""/>
      <w:lvlJc w:val="left"/>
      <w:pPr>
        <w:ind w:left="2444" w:hanging="360"/>
      </w:pPr>
      <w:rPr>
        <w:rFonts w:ascii="Wingdings" w:hAnsi="Wingdings" w:hint="default"/>
      </w:rPr>
    </w:lvl>
    <w:lvl w:ilvl="3" w:tplc="240A0001" w:tentative="1">
      <w:start w:val="1"/>
      <w:numFmt w:val="bullet"/>
      <w:lvlText w:val=""/>
      <w:lvlJc w:val="left"/>
      <w:pPr>
        <w:ind w:left="3164" w:hanging="360"/>
      </w:pPr>
      <w:rPr>
        <w:rFonts w:ascii="Symbol" w:hAnsi="Symbol" w:hint="default"/>
      </w:rPr>
    </w:lvl>
    <w:lvl w:ilvl="4" w:tplc="240A0003" w:tentative="1">
      <w:start w:val="1"/>
      <w:numFmt w:val="bullet"/>
      <w:lvlText w:val="o"/>
      <w:lvlJc w:val="left"/>
      <w:pPr>
        <w:ind w:left="3884" w:hanging="360"/>
      </w:pPr>
      <w:rPr>
        <w:rFonts w:ascii="Courier New" w:hAnsi="Courier New" w:cs="Courier New" w:hint="default"/>
      </w:rPr>
    </w:lvl>
    <w:lvl w:ilvl="5" w:tplc="240A0005" w:tentative="1">
      <w:start w:val="1"/>
      <w:numFmt w:val="bullet"/>
      <w:lvlText w:val=""/>
      <w:lvlJc w:val="left"/>
      <w:pPr>
        <w:ind w:left="4604" w:hanging="360"/>
      </w:pPr>
      <w:rPr>
        <w:rFonts w:ascii="Wingdings" w:hAnsi="Wingdings" w:hint="default"/>
      </w:rPr>
    </w:lvl>
    <w:lvl w:ilvl="6" w:tplc="240A0001" w:tentative="1">
      <w:start w:val="1"/>
      <w:numFmt w:val="bullet"/>
      <w:lvlText w:val=""/>
      <w:lvlJc w:val="left"/>
      <w:pPr>
        <w:ind w:left="5324" w:hanging="360"/>
      </w:pPr>
      <w:rPr>
        <w:rFonts w:ascii="Symbol" w:hAnsi="Symbol" w:hint="default"/>
      </w:rPr>
    </w:lvl>
    <w:lvl w:ilvl="7" w:tplc="240A0003" w:tentative="1">
      <w:start w:val="1"/>
      <w:numFmt w:val="bullet"/>
      <w:lvlText w:val="o"/>
      <w:lvlJc w:val="left"/>
      <w:pPr>
        <w:ind w:left="6044" w:hanging="360"/>
      </w:pPr>
      <w:rPr>
        <w:rFonts w:ascii="Courier New" w:hAnsi="Courier New" w:cs="Courier New" w:hint="default"/>
      </w:rPr>
    </w:lvl>
    <w:lvl w:ilvl="8" w:tplc="240A0005" w:tentative="1">
      <w:start w:val="1"/>
      <w:numFmt w:val="bullet"/>
      <w:lvlText w:val=""/>
      <w:lvlJc w:val="left"/>
      <w:pPr>
        <w:ind w:left="6764" w:hanging="360"/>
      </w:pPr>
      <w:rPr>
        <w:rFonts w:ascii="Wingdings" w:hAnsi="Wingdings" w:hint="default"/>
      </w:rPr>
    </w:lvl>
  </w:abstractNum>
  <w:abstractNum w:abstractNumId="24" w15:restartNumberingAfterBreak="0">
    <w:nsid w:val="383C1291"/>
    <w:multiLevelType w:val="hybridMultilevel"/>
    <w:tmpl w:val="0A20DE80"/>
    <w:lvl w:ilvl="0" w:tplc="240A0001">
      <w:start w:val="1"/>
      <w:numFmt w:val="bullet"/>
      <w:lvlText w:val=""/>
      <w:lvlJc w:val="left"/>
      <w:pPr>
        <w:ind w:left="720" w:hanging="360"/>
      </w:pPr>
      <w:rPr>
        <w:rFonts w:ascii="Symbol" w:eastAsia="Times New Roman" w:hAnsi="Symbol"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26" w15:restartNumberingAfterBreak="0">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15:restartNumberingAfterBreak="0">
    <w:nsid w:val="49DB0D2F"/>
    <w:multiLevelType w:val="multilevel"/>
    <w:tmpl w:val="F0CC82C2"/>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28" w15:restartNumberingAfterBreak="0">
    <w:nsid w:val="4A2F3B37"/>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BD56427"/>
    <w:multiLevelType w:val="hybridMultilevel"/>
    <w:tmpl w:val="DC10F046"/>
    <w:lvl w:ilvl="0" w:tplc="240A0019">
      <w:start w:val="1"/>
      <w:numFmt w:val="lowerLetter"/>
      <w:lvlText w:val="%1."/>
      <w:lvlJc w:val="left"/>
      <w:pPr>
        <w:ind w:left="1647" w:hanging="360"/>
      </w:pPr>
    </w:lvl>
    <w:lvl w:ilvl="1" w:tplc="3C5A937A">
      <w:start w:val="1"/>
      <w:numFmt w:val="decimal"/>
      <w:lvlText w:val="%2."/>
      <w:lvlJc w:val="left"/>
      <w:pPr>
        <w:ind w:left="2407" w:hanging="400"/>
      </w:pPr>
      <w:rPr>
        <w:rFonts w:hint="default"/>
        <w:b/>
      </w:rPr>
    </w:lvl>
    <w:lvl w:ilvl="2" w:tplc="240A001B" w:tentative="1">
      <w:start w:val="1"/>
      <w:numFmt w:val="lowerRoman"/>
      <w:lvlText w:val="%3."/>
      <w:lvlJc w:val="right"/>
      <w:pPr>
        <w:ind w:left="3087" w:hanging="180"/>
      </w:pPr>
    </w:lvl>
    <w:lvl w:ilvl="3" w:tplc="240A000F" w:tentative="1">
      <w:start w:val="1"/>
      <w:numFmt w:val="decimal"/>
      <w:lvlText w:val="%4."/>
      <w:lvlJc w:val="left"/>
      <w:pPr>
        <w:ind w:left="3807" w:hanging="360"/>
      </w:pPr>
    </w:lvl>
    <w:lvl w:ilvl="4" w:tplc="240A0019" w:tentative="1">
      <w:start w:val="1"/>
      <w:numFmt w:val="lowerLetter"/>
      <w:lvlText w:val="%5."/>
      <w:lvlJc w:val="left"/>
      <w:pPr>
        <w:ind w:left="4527" w:hanging="360"/>
      </w:pPr>
    </w:lvl>
    <w:lvl w:ilvl="5" w:tplc="240A001B" w:tentative="1">
      <w:start w:val="1"/>
      <w:numFmt w:val="lowerRoman"/>
      <w:lvlText w:val="%6."/>
      <w:lvlJc w:val="right"/>
      <w:pPr>
        <w:ind w:left="5247" w:hanging="180"/>
      </w:pPr>
    </w:lvl>
    <w:lvl w:ilvl="6" w:tplc="240A000F" w:tentative="1">
      <w:start w:val="1"/>
      <w:numFmt w:val="decimal"/>
      <w:lvlText w:val="%7."/>
      <w:lvlJc w:val="left"/>
      <w:pPr>
        <w:ind w:left="5967" w:hanging="360"/>
      </w:pPr>
    </w:lvl>
    <w:lvl w:ilvl="7" w:tplc="240A0019" w:tentative="1">
      <w:start w:val="1"/>
      <w:numFmt w:val="lowerLetter"/>
      <w:lvlText w:val="%8."/>
      <w:lvlJc w:val="left"/>
      <w:pPr>
        <w:ind w:left="6687" w:hanging="360"/>
      </w:pPr>
    </w:lvl>
    <w:lvl w:ilvl="8" w:tplc="240A001B" w:tentative="1">
      <w:start w:val="1"/>
      <w:numFmt w:val="lowerRoman"/>
      <w:lvlText w:val="%9."/>
      <w:lvlJc w:val="right"/>
      <w:pPr>
        <w:ind w:left="7407" w:hanging="180"/>
      </w:pPr>
    </w:lvl>
  </w:abstractNum>
  <w:abstractNum w:abstractNumId="30" w15:restartNumberingAfterBreak="0">
    <w:nsid w:val="524B4D29"/>
    <w:multiLevelType w:val="hybridMultilevel"/>
    <w:tmpl w:val="556225CE"/>
    <w:lvl w:ilvl="0" w:tplc="240A001B">
      <w:start w:val="1"/>
      <w:numFmt w:val="lowerRoman"/>
      <w:lvlText w:val="%1."/>
      <w:lvlJc w:val="right"/>
      <w:pPr>
        <w:ind w:left="927" w:hanging="360"/>
      </w:p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31" w15:restartNumberingAfterBreak="0">
    <w:nsid w:val="559E657D"/>
    <w:multiLevelType w:val="hybridMultilevel"/>
    <w:tmpl w:val="C61803D6"/>
    <w:lvl w:ilvl="0" w:tplc="9ED4A452">
      <w:start w:val="1"/>
      <w:numFmt w:val="decimal"/>
      <w:lvlText w:val="%1."/>
      <w:lvlJc w:val="left"/>
      <w:pPr>
        <w:ind w:left="720" w:hanging="360"/>
      </w:pPr>
      <w:rPr>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5A1F1FB5"/>
    <w:multiLevelType w:val="hybridMultilevel"/>
    <w:tmpl w:val="46C2CFBA"/>
    <w:lvl w:ilvl="0" w:tplc="240A0019">
      <w:start w:val="1"/>
      <w:numFmt w:val="lowerLetter"/>
      <w:lvlText w:val="%1."/>
      <w:lvlJc w:val="left"/>
      <w:pPr>
        <w:ind w:left="1647" w:hanging="360"/>
      </w:pPr>
    </w:lvl>
    <w:lvl w:ilvl="1" w:tplc="240A0019" w:tentative="1">
      <w:start w:val="1"/>
      <w:numFmt w:val="lowerLetter"/>
      <w:lvlText w:val="%2."/>
      <w:lvlJc w:val="left"/>
      <w:pPr>
        <w:ind w:left="2367" w:hanging="360"/>
      </w:pPr>
    </w:lvl>
    <w:lvl w:ilvl="2" w:tplc="240A001B" w:tentative="1">
      <w:start w:val="1"/>
      <w:numFmt w:val="lowerRoman"/>
      <w:lvlText w:val="%3."/>
      <w:lvlJc w:val="right"/>
      <w:pPr>
        <w:ind w:left="3087" w:hanging="180"/>
      </w:pPr>
    </w:lvl>
    <w:lvl w:ilvl="3" w:tplc="240A000F" w:tentative="1">
      <w:start w:val="1"/>
      <w:numFmt w:val="decimal"/>
      <w:lvlText w:val="%4."/>
      <w:lvlJc w:val="left"/>
      <w:pPr>
        <w:ind w:left="3807" w:hanging="360"/>
      </w:pPr>
    </w:lvl>
    <w:lvl w:ilvl="4" w:tplc="240A0019" w:tentative="1">
      <w:start w:val="1"/>
      <w:numFmt w:val="lowerLetter"/>
      <w:lvlText w:val="%5."/>
      <w:lvlJc w:val="left"/>
      <w:pPr>
        <w:ind w:left="4527" w:hanging="360"/>
      </w:pPr>
    </w:lvl>
    <w:lvl w:ilvl="5" w:tplc="240A001B" w:tentative="1">
      <w:start w:val="1"/>
      <w:numFmt w:val="lowerRoman"/>
      <w:lvlText w:val="%6."/>
      <w:lvlJc w:val="right"/>
      <w:pPr>
        <w:ind w:left="5247" w:hanging="180"/>
      </w:pPr>
    </w:lvl>
    <w:lvl w:ilvl="6" w:tplc="240A000F" w:tentative="1">
      <w:start w:val="1"/>
      <w:numFmt w:val="decimal"/>
      <w:lvlText w:val="%7."/>
      <w:lvlJc w:val="left"/>
      <w:pPr>
        <w:ind w:left="5967" w:hanging="360"/>
      </w:pPr>
    </w:lvl>
    <w:lvl w:ilvl="7" w:tplc="240A0019" w:tentative="1">
      <w:start w:val="1"/>
      <w:numFmt w:val="lowerLetter"/>
      <w:lvlText w:val="%8."/>
      <w:lvlJc w:val="left"/>
      <w:pPr>
        <w:ind w:left="6687" w:hanging="360"/>
      </w:pPr>
    </w:lvl>
    <w:lvl w:ilvl="8" w:tplc="240A001B" w:tentative="1">
      <w:start w:val="1"/>
      <w:numFmt w:val="lowerRoman"/>
      <w:lvlText w:val="%9."/>
      <w:lvlJc w:val="right"/>
      <w:pPr>
        <w:ind w:left="7407" w:hanging="180"/>
      </w:pPr>
    </w:lvl>
  </w:abstractNum>
  <w:abstractNum w:abstractNumId="33" w15:restartNumberingAfterBreak="0">
    <w:nsid w:val="5AAC48EB"/>
    <w:multiLevelType w:val="hybridMultilevel"/>
    <w:tmpl w:val="8430B1EE"/>
    <w:lvl w:ilvl="0" w:tplc="6A640600">
      <w:start w:val="1"/>
      <w:numFmt w:val="decimal"/>
      <w:pStyle w:val="Numeracin"/>
      <w:lvlText w:val="%1."/>
      <w:lvlJc w:val="left"/>
      <w:pPr>
        <w:ind w:left="927" w:hanging="360"/>
      </w:pPr>
      <w:rPr>
        <w:rFonts w:hint="default"/>
      </w:rPr>
    </w:lvl>
    <w:lvl w:ilvl="1" w:tplc="240A0019">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34" w15:restartNumberingAfterBreak="0">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5" w15:restartNumberingAfterBreak="0">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36" w15:restartNumberingAfterBreak="0">
    <w:nsid w:val="5F4B150F"/>
    <w:multiLevelType w:val="hybridMultilevel"/>
    <w:tmpl w:val="562099D2"/>
    <w:lvl w:ilvl="0" w:tplc="820C94B4">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7" w15:restartNumberingAfterBreak="0">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38" w15:restartNumberingAfterBreak="0">
    <w:nsid w:val="68D92CEC"/>
    <w:multiLevelType w:val="hybridMultilevel"/>
    <w:tmpl w:val="2C20241E"/>
    <w:lvl w:ilvl="0" w:tplc="137491D6">
      <w:start w:val="1"/>
      <w:numFmt w:val="lowerRoman"/>
      <w:lvlText w:val="%1)"/>
      <w:lvlJc w:val="left"/>
      <w:pPr>
        <w:ind w:left="1287" w:hanging="720"/>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39" w15:restartNumberingAfterBreak="0">
    <w:nsid w:val="6E185A88"/>
    <w:multiLevelType w:val="multilevel"/>
    <w:tmpl w:val="87C28E4E"/>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3240" w:hanging="144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40" w15:restartNumberingAfterBreak="0">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1" w15:restartNumberingAfterBreak="0">
    <w:nsid w:val="78F23FCF"/>
    <w:multiLevelType w:val="multilevel"/>
    <w:tmpl w:val="240A001F"/>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43" w15:restartNumberingAfterBreak="0">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5"/>
  </w:num>
  <w:num w:numId="2">
    <w:abstractNumId w:val="8"/>
  </w:num>
  <w:num w:numId="3">
    <w:abstractNumId w:val="42"/>
  </w:num>
  <w:num w:numId="4">
    <w:abstractNumId w:val="14"/>
  </w:num>
  <w:num w:numId="5">
    <w:abstractNumId w:val="34"/>
  </w:num>
  <w:num w:numId="6">
    <w:abstractNumId w:val="5"/>
  </w:num>
  <w:num w:numId="7">
    <w:abstractNumId w:val="4"/>
  </w:num>
  <w:num w:numId="8">
    <w:abstractNumId w:val="37"/>
  </w:num>
  <w:num w:numId="9">
    <w:abstractNumId w:val="35"/>
  </w:num>
  <w:num w:numId="10">
    <w:abstractNumId w:val="26"/>
  </w:num>
  <w:num w:numId="11">
    <w:abstractNumId w:val="43"/>
  </w:num>
  <w:num w:numId="12">
    <w:abstractNumId w:val="40"/>
  </w:num>
  <w:num w:numId="13">
    <w:abstractNumId w:val="22"/>
  </w:num>
  <w:num w:numId="14">
    <w:abstractNumId w:val="3"/>
  </w:num>
  <w:num w:numId="15">
    <w:abstractNumId w:val="27"/>
  </w:num>
  <w:num w:numId="16">
    <w:abstractNumId w:val="1"/>
  </w:num>
  <w:num w:numId="17">
    <w:abstractNumId w:val="21"/>
  </w:num>
  <w:num w:numId="18">
    <w:abstractNumId w:val="0"/>
  </w:num>
  <w:num w:numId="19">
    <w:abstractNumId w:val="38"/>
  </w:num>
  <w:num w:numId="20">
    <w:abstractNumId w:val="30"/>
  </w:num>
  <w:num w:numId="21">
    <w:abstractNumId w:val="15"/>
  </w:num>
  <w:num w:numId="22">
    <w:abstractNumId w:val="20"/>
  </w:num>
  <w:num w:numId="23">
    <w:abstractNumId w:val="33"/>
  </w:num>
  <w:num w:numId="24">
    <w:abstractNumId w:val="2"/>
  </w:num>
  <w:num w:numId="25">
    <w:abstractNumId w:val="29"/>
  </w:num>
  <w:num w:numId="26">
    <w:abstractNumId w:val="32"/>
  </w:num>
  <w:num w:numId="27">
    <w:abstractNumId w:val="41"/>
  </w:num>
  <w:num w:numId="28">
    <w:abstractNumId w:val="28"/>
  </w:num>
  <w:num w:numId="29">
    <w:abstractNumId w:val="13"/>
  </w:num>
  <w:num w:numId="30">
    <w:abstractNumId w:val="33"/>
    <w:lvlOverride w:ilvl="0">
      <w:startOverride w:val="1"/>
    </w:lvlOverride>
  </w:num>
  <w:num w:numId="31">
    <w:abstractNumId w:val="33"/>
    <w:lvlOverride w:ilvl="0">
      <w:startOverride w:val="1"/>
    </w:lvlOverride>
  </w:num>
  <w:num w:numId="32">
    <w:abstractNumId w:val="10"/>
  </w:num>
  <w:num w:numId="33">
    <w:abstractNumId w:val="7"/>
  </w:num>
  <w:num w:numId="34">
    <w:abstractNumId w:val="19"/>
  </w:num>
  <w:num w:numId="35">
    <w:abstractNumId w:val="6"/>
  </w:num>
  <w:num w:numId="36">
    <w:abstractNumId w:val="12"/>
  </w:num>
  <w:num w:numId="37">
    <w:abstractNumId w:val="9"/>
  </w:num>
  <w:num w:numId="38">
    <w:abstractNumId w:val="39"/>
  </w:num>
  <w:num w:numId="39">
    <w:abstractNumId w:val="11"/>
  </w:num>
  <w:num w:numId="40">
    <w:abstractNumId w:val="36"/>
  </w:num>
  <w:num w:numId="41">
    <w:abstractNumId w:val="18"/>
  </w:num>
  <w:num w:numId="42">
    <w:abstractNumId w:val="23"/>
  </w:num>
  <w:num w:numId="43">
    <w:abstractNumId w:val="31"/>
  </w:num>
  <w:num w:numId="44">
    <w:abstractNumId w:val="17"/>
  </w:num>
  <w:num w:numId="45">
    <w:abstractNumId w:val="16"/>
  </w:num>
  <w:num w:numId="4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s-ES_tradnl" w:vendorID="64" w:dllVersion="131078" w:nlCheck="1" w:checkStyle="0"/>
  <w:activeWritingStyle w:appName="MSWord" w:lang="es-ES" w:vendorID="64" w:dllVersion="131078" w:nlCheck="1" w:checkStyle="0"/>
  <w:activeWritingStyle w:appName="MSWord" w:lang="es-CO" w:vendorID="64" w:dllVersion="131078" w:nlCheck="1" w:checkStyle="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340"/>
    <w:rsid w:val="00005EE8"/>
    <w:rsid w:val="00006AE2"/>
    <w:rsid w:val="000076A1"/>
    <w:rsid w:val="00012259"/>
    <w:rsid w:val="0001333F"/>
    <w:rsid w:val="00025383"/>
    <w:rsid w:val="000305C1"/>
    <w:rsid w:val="0003524B"/>
    <w:rsid w:val="00045CB9"/>
    <w:rsid w:val="00045D3D"/>
    <w:rsid w:val="00063657"/>
    <w:rsid w:val="000675D6"/>
    <w:rsid w:val="00067C79"/>
    <w:rsid w:val="00076680"/>
    <w:rsid w:val="00076A1D"/>
    <w:rsid w:val="0008073E"/>
    <w:rsid w:val="00091CDB"/>
    <w:rsid w:val="000A19AC"/>
    <w:rsid w:val="000B2C0B"/>
    <w:rsid w:val="000B2EC9"/>
    <w:rsid w:val="000C1FB2"/>
    <w:rsid w:val="000D26F8"/>
    <w:rsid w:val="000D526C"/>
    <w:rsid w:val="000E2F69"/>
    <w:rsid w:val="000F08AB"/>
    <w:rsid w:val="00106654"/>
    <w:rsid w:val="00133C2E"/>
    <w:rsid w:val="0013526C"/>
    <w:rsid w:val="001405C6"/>
    <w:rsid w:val="00141013"/>
    <w:rsid w:val="001417B1"/>
    <w:rsid w:val="00143397"/>
    <w:rsid w:val="0014651F"/>
    <w:rsid w:val="00146BE2"/>
    <w:rsid w:val="00157D43"/>
    <w:rsid w:val="00157EDA"/>
    <w:rsid w:val="00177273"/>
    <w:rsid w:val="00177292"/>
    <w:rsid w:val="00192CBF"/>
    <w:rsid w:val="00192FF1"/>
    <w:rsid w:val="001A577F"/>
    <w:rsid w:val="001A5F1B"/>
    <w:rsid w:val="001B1C22"/>
    <w:rsid w:val="001B34C6"/>
    <w:rsid w:val="001C0787"/>
    <w:rsid w:val="001C5117"/>
    <w:rsid w:val="001D7832"/>
    <w:rsid w:val="001E3149"/>
    <w:rsid w:val="001F1DF8"/>
    <w:rsid w:val="00210DC1"/>
    <w:rsid w:val="00211D34"/>
    <w:rsid w:val="00214F04"/>
    <w:rsid w:val="00217D86"/>
    <w:rsid w:val="0022312C"/>
    <w:rsid w:val="00227820"/>
    <w:rsid w:val="002352B9"/>
    <w:rsid w:val="002360AB"/>
    <w:rsid w:val="002435FB"/>
    <w:rsid w:val="00246929"/>
    <w:rsid w:val="00254494"/>
    <w:rsid w:val="00266CD6"/>
    <w:rsid w:val="002673AC"/>
    <w:rsid w:val="002710F5"/>
    <w:rsid w:val="00275DAB"/>
    <w:rsid w:val="00282A84"/>
    <w:rsid w:val="002903C0"/>
    <w:rsid w:val="00291E9D"/>
    <w:rsid w:val="002A38FD"/>
    <w:rsid w:val="002A782A"/>
    <w:rsid w:val="002B05E0"/>
    <w:rsid w:val="002B0907"/>
    <w:rsid w:val="002B11E2"/>
    <w:rsid w:val="002B24B8"/>
    <w:rsid w:val="002C110D"/>
    <w:rsid w:val="002D3AE9"/>
    <w:rsid w:val="002D4510"/>
    <w:rsid w:val="002D4598"/>
    <w:rsid w:val="002E41B4"/>
    <w:rsid w:val="002F0734"/>
    <w:rsid w:val="002F46E7"/>
    <w:rsid w:val="00304322"/>
    <w:rsid w:val="003044A2"/>
    <w:rsid w:val="003101DA"/>
    <w:rsid w:val="003111C3"/>
    <w:rsid w:val="00314757"/>
    <w:rsid w:val="003163BC"/>
    <w:rsid w:val="003211CE"/>
    <w:rsid w:val="0033118E"/>
    <w:rsid w:val="00331265"/>
    <w:rsid w:val="0033176C"/>
    <w:rsid w:val="00344DD9"/>
    <w:rsid w:val="00345D60"/>
    <w:rsid w:val="00347E90"/>
    <w:rsid w:val="0035403A"/>
    <w:rsid w:val="0036394B"/>
    <w:rsid w:val="00366DB6"/>
    <w:rsid w:val="00370799"/>
    <w:rsid w:val="003709B5"/>
    <w:rsid w:val="00374CEA"/>
    <w:rsid w:val="003759C2"/>
    <w:rsid w:val="003811F8"/>
    <w:rsid w:val="00397365"/>
    <w:rsid w:val="0039789E"/>
    <w:rsid w:val="003A31F6"/>
    <w:rsid w:val="003B65D0"/>
    <w:rsid w:val="003C3447"/>
    <w:rsid w:val="003C3C6E"/>
    <w:rsid w:val="003D076C"/>
    <w:rsid w:val="003D4B0F"/>
    <w:rsid w:val="003E78B5"/>
    <w:rsid w:val="003F7032"/>
    <w:rsid w:val="00410E0C"/>
    <w:rsid w:val="00415905"/>
    <w:rsid w:val="00415BAB"/>
    <w:rsid w:val="00415ED2"/>
    <w:rsid w:val="0042068C"/>
    <w:rsid w:val="004237D0"/>
    <w:rsid w:val="00432C1E"/>
    <w:rsid w:val="0044318E"/>
    <w:rsid w:val="00443B35"/>
    <w:rsid w:val="00445B45"/>
    <w:rsid w:val="00451B33"/>
    <w:rsid w:val="0047122B"/>
    <w:rsid w:val="00473B7A"/>
    <w:rsid w:val="004766C7"/>
    <w:rsid w:val="00494D6C"/>
    <w:rsid w:val="004960E9"/>
    <w:rsid w:val="004A2E88"/>
    <w:rsid w:val="004A5305"/>
    <w:rsid w:val="004C283F"/>
    <w:rsid w:val="004D2890"/>
    <w:rsid w:val="004D7634"/>
    <w:rsid w:val="004E611A"/>
    <w:rsid w:val="004F6460"/>
    <w:rsid w:val="00510208"/>
    <w:rsid w:val="005300D3"/>
    <w:rsid w:val="00542A10"/>
    <w:rsid w:val="00544F82"/>
    <w:rsid w:val="005509D2"/>
    <w:rsid w:val="00556303"/>
    <w:rsid w:val="00560208"/>
    <w:rsid w:val="005778AA"/>
    <w:rsid w:val="00583B10"/>
    <w:rsid w:val="00590172"/>
    <w:rsid w:val="00593C4F"/>
    <w:rsid w:val="005946A8"/>
    <w:rsid w:val="005A4407"/>
    <w:rsid w:val="005A59EF"/>
    <w:rsid w:val="005A6182"/>
    <w:rsid w:val="005B1C7E"/>
    <w:rsid w:val="005C0254"/>
    <w:rsid w:val="005C6976"/>
    <w:rsid w:val="005D3884"/>
    <w:rsid w:val="005D62A4"/>
    <w:rsid w:val="005D635B"/>
    <w:rsid w:val="005F6F41"/>
    <w:rsid w:val="00602F23"/>
    <w:rsid w:val="00625DC6"/>
    <w:rsid w:val="00640B15"/>
    <w:rsid w:val="0064391D"/>
    <w:rsid w:val="00650521"/>
    <w:rsid w:val="00651821"/>
    <w:rsid w:val="00654384"/>
    <w:rsid w:val="006675CD"/>
    <w:rsid w:val="00667F74"/>
    <w:rsid w:val="00683BDF"/>
    <w:rsid w:val="00684D9B"/>
    <w:rsid w:val="0068510A"/>
    <w:rsid w:val="00697556"/>
    <w:rsid w:val="006B2722"/>
    <w:rsid w:val="006B4647"/>
    <w:rsid w:val="006B4C2B"/>
    <w:rsid w:val="006B6194"/>
    <w:rsid w:val="006B6D47"/>
    <w:rsid w:val="006C2A67"/>
    <w:rsid w:val="006C5AFE"/>
    <w:rsid w:val="006C657A"/>
    <w:rsid w:val="006E1DB8"/>
    <w:rsid w:val="006E6A60"/>
    <w:rsid w:val="006E6F2D"/>
    <w:rsid w:val="006F2EC8"/>
    <w:rsid w:val="006F6D95"/>
    <w:rsid w:val="00706F13"/>
    <w:rsid w:val="007072E8"/>
    <w:rsid w:val="0071618D"/>
    <w:rsid w:val="007175BC"/>
    <w:rsid w:val="00725854"/>
    <w:rsid w:val="00725FA4"/>
    <w:rsid w:val="007338AF"/>
    <w:rsid w:val="00740446"/>
    <w:rsid w:val="007438A9"/>
    <w:rsid w:val="00743FC0"/>
    <w:rsid w:val="0074491E"/>
    <w:rsid w:val="0076247A"/>
    <w:rsid w:val="00775964"/>
    <w:rsid w:val="007765FE"/>
    <w:rsid w:val="007857C1"/>
    <w:rsid w:val="00785E91"/>
    <w:rsid w:val="00786BF6"/>
    <w:rsid w:val="00794E2E"/>
    <w:rsid w:val="00795BFB"/>
    <w:rsid w:val="007A4A18"/>
    <w:rsid w:val="007B2760"/>
    <w:rsid w:val="007D69FA"/>
    <w:rsid w:val="007E421F"/>
    <w:rsid w:val="00801DC9"/>
    <w:rsid w:val="0080564D"/>
    <w:rsid w:val="00806C01"/>
    <w:rsid w:val="0081174D"/>
    <w:rsid w:val="00812264"/>
    <w:rsid w:val="00813BE7"/>
    <w:rsid w:val="008148CC"/>
    <w:rsid w:val="008211A4"/>
    <w:rsid w:val="00822F4A"/>
    <w:rsid w:val="00835C45"/>
    <w:rsid w:val="0084693A"/>
    <w:rsid w:val="00847DC6"/>
    <w:rsid w:val="0085180C"/>
    <w:rsid w:val="00856B1B"/>
    <w:rsid w:val="00856CF2"/>
    <w:rsid w:val="00873150"/>
    <w:rsid w:val="0087657D"/>
    <w:rsid w:val="008807D5"/>
    <w:rsid w:val="00880832"/>
    <w:rsid w:val="00882C61"/>
    <w:rsid w:val="00885879"/>
    <w:rsid w:val="00886EE1"/>
    <w:rsid w:val="0088727D"/>
    <w:rsid w:val="00897C75"/>
    <w:rsid w:val="008B4194"/>
    <w:rsid w:val="008C1130"/>
    <w:rsid w:val="008C216F"/>
    <w:rsid w:val="008C71D2"/>
    <w:rsid w:val="008C7A04"/>
    <w:rsid w:val="008D068C"/>
    <w:rsid w:val="008D18E6"/>
    <w:rsid w:val="008D7A9B"/>
    <w:rsid w:val="008E0060"/>
    <w:rsid w:val="008E360C"/>
    <w:rsid w:val="008E7091"/>
    <w:rsid w:val="008E76AC"/>
    <w:rsid w:val="008F21F6"/>
    <w:rsid w:val="00905EBF"/>
    <w:rsid w:val="00916864"/>
    <w:rsid w:val="00921870"/>
    <w:rsid w:val="00925491"/>
    <w:rsid w:val="009325BB"/>
    <w:rsid w:val="00934EE4"/>
    <w:rsid w:val="00940C20"/>
    <w:rsid w:val="00951F79"/>
    <w:rsid w:val="00961C05"/>
    <w:rsid w:val="00974AB5"/>
    <w:rsid w:val="0098012B"/>
    <w:rsid w:val="0098706D"/>
    <w:rsid w:val="00991C29"/>
    <w:rsid w:val="009935FB"/>
    <w:rsid w:val="009B2F67"/>
    <w:rsid w:val="009B443C"/>
    <w:rsid w:val="009C2787"/>
    <w:rsid w:val="009D7446"/>
    <w:rsid w:val="009F4A54"/>
    <w:rsid w:val="009F4BEC"/>
    <w:rsid w:val="009F5874"/>
    <w:rsid w:val="00A179DD"/>
    <w:rsid w:val="00A22634"/>
    <w:rsid w:val="00A25FD7"/>
    <w:rsid w:val="00A30765"/>
    <w:rsid w:val="00A312A5"/>
    <w:rsid w:val="00A43AFF"/>
    <w:rsid w:val="00A71FDB"/>
    <w:rsid w:val="00A7382D"/>
    <w:rsid w:val="00A7793A"/>
    <w:rsid w:val="00AA4CC7"/>
    <w:rsid w:val="00AA5E8E"/>
    <w:rsid w:val="00AB2BAD"/>
    <w:rsid w:val="00AB6CA7"/>
    <w:rsid w:val="00AC7A83"/>
    <w:rsid w:val="00AC7E8C"/>
    <w:rsid w:val="00AD01E4"/>
    <w:rsid w:val="00AD0858"/>
    <w:rsid w:val="00AD1538"/>
    <w:rsid w:val="00AE02E3"/>
    <w:rsid w:val="00AE08A4"/>
    <w:rsid w:val="00AE7340"/>
    <w:rsid w:val="00AF1BBD"/>
    <w:rsid w:val="00B01664"/>
    <w:rsid w:val="00B10207"/>
    <w:rsid w:val="00B141E7"/>
    <w:rsid w:val="00B20D8E"/>
    <w:rsid w:val="00B21011"/>
    <w:rsid w:val="00B351B4"/>
    <w:rsid w:val="00B45CD8"/>
    <w:rsid w:val="00B46BCA"/>
    <w:rsid w:val="00B478AA"/>
    <w:rsid w:val="00B542B8"/>
    <w:rsid w:val="00B567F8"/>
    <w:rsid w:val="00B6562C"/>
    <w:rsid w:val="00B84F72"/>
    <w:rsid w:val="00B87806"/>
    <w:rsid w:val="00B87EC9"/>
    <w:rsid w:val="00B94B5C"/>
    <w:rsid w:val="00BA6AA0"/>
    <w:rsid w:val="00BB3F99"/>
    <w:rsid w:val="00BB673D"/>
    <w:rsid w:val="00BC38FD"/>
    <w:rsid w:val="00BD3062"/>
    <w:rsid w:val="00BF7995"/>
    <w:rsid w:val="00C034CB"/>
    <w:rsid w:val="00C051A8"/>
    <w:rsid w:val="00C054BC"/>
    <w:rsid w:val="00C0681D"/>
    <w:rsid w:val="00C077BB"/>
    <w:rsid w:val="00C11D3D"/>
    <w:rsid w:val="00C15D81"/>
    <w:rsid w:val="00C17897"/>
    <w:rsid w:val="00C2093A"/>
    <w:rsid w:val="00C35EAB"/>
    <w:rsid w:val="00C409D5"/>
    <w:rsid w:val="00C433FE"/>
    <w:rsid w:val="00C435C3"/>
    <w:rsid w:val="00C4486D"/>
    <w:rsid w:val="00C44E5F"/>
    <w:rsid w:val="00C51B7C"/>
    <w:rsid w:val="00C5254D"/>
    <w:rsid w:val="00C525D4"/>
    <w:rsid w:val="00C56158"/>
    <w:rsid w:val="00C56F74"/>
    <w:rsid w:val="00C6234B"/>
    <w:rsid w:val="00C63EAE"/>
    <w:rsid w:val="00C73260"/>
    <w:rsid w:val="00C7629F"/>
    <w:rsid w:val="00C83E41"/>
    <w:rsid w:val="00C8661B"/>
    <w:rsid w:val="00CA03C8"/>
    <w:rsid w:val="00CA0DF3"/>
    <w:rsid w:val="00CA139A"/>
    <w:rsid w:val="00CA2899"/>
    <w:rsid w:val="00CA3A3D"/>
    <w:rsid w:val="00CA3AA6"/>
    <w:rsid w:val="00CA4926"/>
    <w:rsid w:val="00CA4B2F"/>
    <w:rsid w:val="00CA77FB"/>
    <w:rsid w:val="00CB1407"/>
    <w:rsid w:val="00CB379B"/>
    <w:rsid w:val="00CB5DD0"/>
    <w:rsid w:val="00CC51D4"/>
    <w:rsid w:val="00CC65DA"/>
    <w:rsid w:val="00CF21B9"/>
    <w:rsid w:val="00CF6BF9"/>
    <w:rsid w:val="00D03800"/>
    <w:rsid w:val="00D0475C"/>
    <w:rsid w:val="00D065D3"/>
    <w:rsid w:val="00D11479"/>
    <w:rsid w:val="00D14C94"/>
    <w:rsid w:val="00D3018B"/>
    <w:rsid w:val="00D32C7D"/>
    <w:rsid w:val="00D342A6"/>
    <w:rsid w:val="00D3586C"/>
    <w:rsid w:val="00D45CA6"/>
    <w:rsid w:val="00D464BF"/>
    <w:rsid w:val="00D53D9C"/>
    <w:rsid w:val="00D53E26"/>
    <w:rsid w:val="00D6235A"/>
    <w:rsid w:val="00D66884"/>
    <w:rsid w:val="00D769A4"/>
    <w:rsid w:val="00D86966"/>
    <w:rsid w:val="00DA395E"/>
    <w:rsid w:val="00DA6B97"/>
    <w:rsid w:val="00DB182C"/>
    <w:rsid w:val="00DB6388"/>
    <w:rsid w:val="00DC0609"/>
    <w:rsid w:val="00DC6851"/>
    <w:rsid w:val="00DD4F0E"/>
    <w:rsid w:val="00DE0EAF"/>
    <w:rsid w:val="00DF0BF0"/>
    <w:rsid w:val="00DF2CD7"/>
    <w:rsid w:val="00DF3CA2"/>
    <w:rsid w:val="00E01463"/>
    <w:rsid w:val="00E03F7C"/>
    <w:rsid w:val="00E05E0A"/>
    <w:rsid w:val="00E060BE"/>
    <w:rsid w:val="00E164FC"/>
    <w:rsid w:val="00E24324"/>
    <w:rsid w:val="00E32450"/>
    <w:rsid w:val="00E534CF"/>
    <w:rsid w:val="00E56DE1"/>
    <w:rsid w:val="00E73859"/>
    <w:rsid w:val="00E74A13"/>
    <w:rsid w:val="00E81CB4"/>
    <w:rsid w:val="00E856A9"/>
    <w:rsid w:val="00E8585B"/>
    <w:rsid w:val="00E865BD"/>
    <w:rsid w:val="00E87F41"/>
    <w:rsid w:val="00EA2F07"/>
    <w:rsid w:val="00EA3F15"/>
    <w:rsid w:val="00EA7481"/>
    <w:rsid w:val="00EA7847"/>
    <w:rsid w:val="00EB464F"/>
    <w:rsid w:val="00EB4C2F"/>
    <w:rsid w:val="00EC1A9B"/>
    <w:rsid w:val="00ED569E"/>
    <w:rsid w:val="00EE2E6E"/>
    <w:rsid w:val="00F03EF9"/>
    <w:rsid w:val="00F0759E"/>
    <w:rsid w:val="00F16A43"/>
    <w:rsid w:val="00F2765F"/>
    <w:rsid w:val="00F32F3D"/>
    <w:rsid w:val="00F3383B"/>
    <w:rsid w:val="00F46780"/>
    <w:rsid w:val="00F51B84"/>
    <w:rsid w:val="00F544B5"/>
    <w:rsid w:val="00F77D2D"/>
    <w:rsid w:val="00F821A3"/>
    <w:rsid w:val="00F86F45"/>
    <w:rsid w:val="00F9314A"/>
    <w:rsid w:val="00F940B2"/>
    <w:rsid w:val="00FB3724"/>
    <w:rsid w:val="00FB4E18"/>
    <w:rsid w:val="00FC58EF"/>
    <w:rsid w:val="00FD0865"/>
    <w:rsid w:val="00FD33DF"/>
    <w:rsid w:val="00FE39D7"/>
    <w:rsid w:val="00FE7E36"/>
    <w:rsid w:val="00FF07E5"/>
    <w:rsid w:val="00FF67B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chartTrackingRefBased/>
  <w15:docId w15:val="{58EB9C1C-D554-40B0-B54C-325747AD9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aliases w:val="Párrafo de lista1"/>
    <w:basedOn w:val="Normal"/>
    <w:link w:val="PrrafodelistaCar"/>
    <w:qFormat/>
    <w:rsid w:val="001405C6"/>
    <w:pPr>
      <w:ind w:left="708"/>
    </w:pPr>
    <w:rPr>
      <w:sz w:val="20"/>
      <w:szCs w:val="20"/>
      <w:lang w:val="es-CO"/>
    </w:rPr>
  </w:style>
  <w:style w:type="character" w:customStyle="1" w:styleId="PrrafodelistaCar">
    <w:name w:val="Párrafo de lista Car"/>
    <w:aliases w:val="Párrafo de lista1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customStyle="1" w:styleId="Epgrafe">
    <w:name w:val="Epígrafe"/>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6"/>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character" w:styleId="Refdenotaalpie">
    <w:name w:val="footnote reference"/>
    <w:aliases w:val="Ref. de nota al pie 2,Texto de nota al pie,Pie de Página,FC,Appel note de bas de page,Footnotes refss,Footnote number,referencia nota al pie,BVI fnr,f,4_G,16 Point,Superscript 6 Point,Texto nota al pie,Texto de nota al pi"/>
    <w:rsid w:val="00785E91"/>
    <w:rPr>
      <w:vertAlign w:val="superscript"/>
    </w:rPr>
  </w:style>
  <w:style w:type="paragraph" w:styleId="Textonotapie">
    <w:name w:val="footnote text"/>
    <w:basedOn w:val="Normal"/>
    <w:link w:val="TextonotapieCar"/>
    <w:uiPriority w:val="99"/>
    <w:semiHidden/>
    <w:rsid w:val="00785E91"/>
    <w:pPr>
      <w:ind w:left="0"/>
      <w:jc w:val="both"/>
    </w:pPr>
    <w:rPr>
      <w:rFonts w:ascii="CG Times (W1)" w:hAnsi="CG Times (W1)"/>
      <w:sz w:val="20"/>
      <w:szCs w:val="20"/>
      <w:lang w:val="es-ES_tradnl"/>
    </w:rPr>
  </w:style>
  <w:style w:type="character" w:customStyle="1" w:styleId="TextonotapieCar">
    <w:name w:val="Texto nota pie Car"/>
    <w:link w:val="Textonotapie"/>
    <w:uiPriority w:val="99"/>
    <w:semiHidden/>
    <w:rsid w:val="00785E91"/>
    <w:rPr>
      <w:rFonts w:ascii="CG Times (W1)" w:hAnsi="CG Times (W1)"/>
      <w:lang w:val="es-ES_tradnl" w:eastAsia="es-ES"/>
    </w:rPr>
  </w:style>
  <w:style w:type="paragraph" w:customStyle="1" w:styleId="Numeracin">
    <w:name w:val="Numeración"/>
    <w:basedOn w:val="Prrafodelista"/>
    <w:link w:val="NumeracinCar"/>
    <w:qFormat/>
    <w:rsid w:val="00FF07E5"/>
    <w:pPr>
      <w:numPr>
        <w:numId w:val="23"/>
      </w:numPr>
      <w:tabs>
        <w:tab w:val="left" w:pos="284"/>
      </w:tabs>
      <w:spacing w:before="120" w:after="120"/>
      <w:ind w:left="924" w:hanging="357"/>
      <w:jc w:val="both"/>
    </w:pPr>
    <w:rPr>
      <w:rFonts w:ascii="Bookman Old Style" w:hAnsi="Bookman Old Style"/>
      <w:sz w:val="24"/>
    </w:rPr>
  </w:style>
  <w:style w:type="character" w:customStyle="1" w:styleId="NumeracinCar">
    <w:name w:val="Numeración Car"/>
    <w:link w:val="Numeracin"/>
    <w:rsid w:val="00FF07E5"/>
    <w:rPr>
      <w:rFonts w:ascii="Bookman Old Style" w:hAnsi="Bookman Old Style"/>
      <w:sz w:val="24"/>
      <w:lang w:eastAsia="es-ES"/>
    </w:rPr>
  </w:style>
  <w:style w:type="character" w:styleId="Refdecomentario">
    <w:name w:val="annotation reference"/>
    <w:uiPriority w:val="99"/>
    <w:semiHidden/>
    <w:unhideWhenUsed/>
    <w:rsid w:val="00560208"/>
    <w:rPr>
      <w:sz w:val="16"/>
      <w:szCs w:val="16"/>
    </w:rPr>
  </w:style>
  <w:style w:type="paragraph" w:styleId="Textocomentario">
    <w:name w:val="annotation text"/>
    <w:basedOn w:val="Normal"/>
    <w:link w:val="TextocomentarioCar"/>
    <w:uiPriority w:val="99"/>
    <w:unhideWhenUsed/>
    <w:rsid w:val="00560208"/>
    <w:rPr>
      <w:sz w:val="20"/>
      <w:szCs w:val="20"/>
    </w:rPr>
  </w:style>
  <w:style w:type="character" w:customStyle="1" w:styleId="TextocomentarioCar">
    <w:name w:val="Texto comentario Car"/>
    <w:link w:val="Textocomentario"/>
    <w:uiPriority w:val="99"/>
    <w:rsid w:val="00560208"/>
    <w:rPr>
      <w:lang w:val="es-ES" w:eastAsia="es-ES"/>
    </w:rPr>
  </w:style>
  <w:style w:type="character" w:styleId="Textodelmarcadordeposicin">
    <w:name w:val="Placeholder Text"/>
    <w:basedOn w:val="Fuentedeprrafopredeter"/>
    <w:uiPriority w:val="99"/>
    <w:semiHidden/>
    <w:rsid w:val="00D66884"/>
    <w:rPr>
      <w:color w:val="808080"/>
    </w:rPr>
  </w:style>
  <w:style w:type="character" w:styleId="Hipervnculo">
    <w:name w:val="Hyperlink"/>
    <w:basedOn w:val="Fuentedeprrafopredeter"/>
    <w:uiPriority w:val="99"/>
    <w:unhideWhenUsed/>
    <w:rsid w:val="003D4B0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9685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lexbase.biz/lexbase/normas/leyes/1994/L0142de1994.htm"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CD291E-EE81-4CAD-AC53-B6EBB36C12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1</TotalTime>
  <Pages>6</Pages>
  <Words>2400</Words>
  <Characters>12465</Characters>
  <Application>Microsoft Office Word</Application>
  <DocSecurity>0</DocSecurity>
  <Lines>103</Lines>
  <Paragraphs>29</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14836</CharactersWithSpaces>
  <SharedDoc>false</SharedDoc>
  <HLinks>
    <vt:vector size="18" baseType="variant">
      <vt:variant>
        <vt:i4>4194325</vt:i4>
      </vt:variant>
      <vt:variant>
        <vt:i4>6</vt:i4>
      </vt:variant>
      <vt:variant>
        <vt:i4>0</vt:i4>
      </vt:variant>
      <vt:variant>
        <vt:i4>5</vt:i4>
      </vt:variant>
      <vt:variant>
        <vt:lpwstr>http://www.lexbase.biz/lexbase/normas/leyes/1994/L0143de1994.htm</vt:lpwstr>
      </vt:variant>
      <vt:variant>
        <vt:lpwstr/>
      </vt:variant>
      <vt:variant>
        <vt:i4>4259861</vt:i4>
      </vt:variant>
      <vt:variant>
        <vt:i4>3</vt:i4>
      </vt:variant>
      <vt:variant>
        <vt:i4>0</vt:i4>
      </vt:variant>
      <vt:variant>
        <vt:i4>5</vt:i4>
      </vt:variant>
      <vt:variant>
        <vt:lpwstr>http://www.lexbase.biz/lexbase/normas/leyes/1994/L0142de1994.htm</vt:lpwstr>
      </vt:variant>
      <vt:variant>
        <vt:lpwstr/>
      </vt:variant>
      <vt:variant>
        <vt:i4>4259861</vt:i4>
      </vt:variant>
      <vt:variant>
        <vt:i4>0</vt:i4>
      </vt:variant>
      <vt:variant>
        <vt:i4>0</vt:i4>
      </vt:variant>
      <vt:variant>
        <vt:i4>5</vt:i4>
      </vt:variant>
      <vt:variant>
        <vt:lpwstr>http://www.lexbase.biz/lexbase/normas/leyes/1994/L0142de1994.htm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cp:lastModifiedBy>Luz Stella Rojas Macias</cp:lastModifiedBy>
  <cp:revision>2</cp:revision>
  <cp:lastPrinted>2019-10-11T18:52:00Z</cp:lastPrinted>
  <dcterms:created xsi:type="dcterms:W3CDTF">2019-10-19T16:21:00Z</dcterms:created>
  <dcterms:modified xsi:type="dcterms:W3CDTF">2019-10-19T16:21:00Z</dcterms:modified>
</cp:coreProperties>
</file>