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EC2D0" w14:textId="46AEB063" w:rsidR="00CA77FB" w:rsidRPr="00576D9E" w:rsidRDefault="0088512C" w:rsidP="00580A20">
      <w:pPr>
        <w:pStyle w:val="Encabezado"/>
        <w:tabs>
          <w:tab w:val="clear" w:pos="8504"/>
          <w:tab w:val="left" w:pos="0"/>
          <w:tab w:val="right" w:pos="9356"/>
        </w:tabs>
        <w:ind w:left="4252" w:hanging="4252"/>
        <w:jc w:val="center"/>
        <w:rPr>
          <w:rFonts w:ascii="Bookman Old Style" w:hAnsi="Bookman Old Style"/>
          <w:b/>
          <w:bCs/>
          <w:noProof/>
          <w:szCs w:val="24"/>
          <w:lang w:val="es-ES"/>
        </w:rPr>
      </w:pPr>
      <w:bookmarkStart w:id="0" w:name="_GoBack"/>
      <w:bookmarkEnd w:id="0"/>
      <w:r>
        <w:rPr>
          <w:rFonts w:ascii="Bookman Old Style" w:hAnsi="Bookman Old Style"/>
          <w:noProof/>
          <w:szCs w:val="24"/>
        </w:rPr>
        <w:object w:dxaOrig="1440" w:dyaOrig="1440" w14:anchorId="2F06E3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7.3pt;margin-top:-62.35pt;width:52.5pt;height:48.75pt;z-index:251658240" fillcolor="#0c9">
            <v:imagedata r:id="rId8" o:title=""/>
          </v:shape>
          <o:OLEObject Type="Embed" ProgID="PBrush" ShapeID="_x0000_s1026" DrawAspect="Content" ObjectID="_1664170977" r:id="rId9"/>
        </w:object>
      </w:r>
      <w:r w:rsidR="00CA77FB" w:rsidRPr="00576D9E">
        <w:rPr>
          <w:rFonts w:ascii="Bookman Old Style" w:hAnsi="Bookman Old Style"/>
          <w:bCs/>
          <w:szCs w:val="24"/>
        </w:rPr>
        <w:t>Ministerio de Minas y Energía</w:t>
      </w:r>
    </w:p>
    <w:p w14:paraId="7D748325" w14:textId="77777777" w:rsidR="00CA77FB" w:rsidRPr="00576D9E" w:rsidRDefault="00CA77FB" w:rsidP="00896383"/>
    <w:p w14:paraId="79D82916" w14:textId="77777777" w:rsidR="00CA77FB" w:rsidRPr="00576D9E" w:rsidRDefault="00CA77FB" w:rsidP="00012259">
      <w:pPr>
        <w:pStyle w:val="Ttulo3"/>
        <w:tabs>
          <w:tab w:val="left" w:pos="0"/>
          <w:tab w:val="right" w:pos="9356"/>
        </w:tabs>
        <w:rPr>
          <w:rFonts w:ascii="Bookman Old Style" w:hAnsi="Bookman Old Style" w:cs="Arial"/>
          <w:spacing w:val="20"/>
          <w:szCs w:val="24"/>
        </w:rPr>
      </w:pPr>
      <w:r w:rsidRPr="00576D9E">
        <w:rPr>
          <w:rFonts w:ascii="Bookman Old Style" w:hAnsi="Bookman Old Style" w:cs="Arial"/>
          <w:spacing w:val="20"/>
          <w:szCs w:val="24"/>
        </w:rPr>
        <w:t>COMISIÓN DE REGULACIÓN DE ENERGÍA Y GAS</w:t>
      </w:r>
    </w:p>
    <w:p w14:paraId="74AD1A90" w14:textId="463BE3CC" w:rsidR="00CA77FB" w:rsidRPr="00576D9E" w:rsidRDefault="00553EC4" w:rsidP="00797912">
      <w:pPr>
        <w:pStyle w:val="Ttulo5"/>
        <w:tabs>
          <w:tab w:val="left" w:pos="0"/>
          <w:tab w:val="left" w:pos="8040"/>
          <w:tab w:val="right" w:pos="9356"/>
        </w:tabs>
        <w:jc w:val="left"/>
        <w:rPr>
          <w:rFonts w:ascii="Bookman Old Style" w:hAnsi="Bookman Old Style"/>
          <w:sz w:val="24"/>
          <w:szCs w:val="24"/>
        </w:rPr>
      </w:pPr>
      <w:r>
        <w:rPr>
          <w:rFonts w:ascii="Bookman Old Style" w:hAnsi="Bookman Old Style"/>
          <w:sz w:val="24"/>
          <w:szCs w:val="24"/>
        </w:rPr>
        <w:tab/>
      </w:r>
    </w:p>
    <w:p w14:paraId="2FE103F8" w14:textId="77777777" w:rsidR="00CA77FB" w:rsidRPr="00576D9E" w:rsidRDefault="00CA77FB" w:rsidP="00012259">
      <w:pPr>
        <w:pStyle w:val="Ttulo5"/>
        <w:tabs>
          <w:tab w:val="left" w:pos="0"/>
          <w:tab w:val="right" w:pos="9356"/>
        </w:tabs>
        <w:rPr>
          <w:rFonts w:ascii="Bookman Old Style" w:hAnsi="Bookman Old Style"/>
          <w:sz w:val="24"/>
          <w:szCs w:val="24"/>
        </w:rPr>
      </w:pPr>
    </w:p>
    <w:p w14:paraId="66620C18" w14:textId="7F996512" w:rsidR="00CA77FB" w:rsidRPr="00576D9E" w:rsidRDefault="00CA77FB" w:rsidP="00012259">
      <w:pPr>
        <w:pStyle w:val="Ttulo5"/>
        <w:tabs>
          <w:tab w:val="left" w:pos="0"/>
          <w:tab w:val="right" w:pos="9356"/>
        </w:tabs>
        <w:rPr>
          <w:rFonts w:ascii="Bookman Old Style" w:hAnsi="Bookman Old Style"/>
          <w:sz w:val="24"/>
          <w:szCs w:val="24"/>
        </w:rPr>
      </w:pPr>
      <w:r w:rsidRPr="00576D9E">
        <w:rPr>
          <w:rFonts w:ascii="Bookman Old Style" w:hAnsi="Bookman Old Style"/>
          <w:sz w:val="24"/>
          <w:szCs w:val="24"/>
        </w:rPr>
        <w:t xml:space="preserve">RESOLUCIÓN No. </w:t>
      </w:r>
      <w:r w:rsidR="00795BFB" w:rsidRPr="00576D9E">
        <w:rPr>
          <w:rFonts w:ascii="Bookman Old Style" w:hAnsi="Bookman Old Style"/>
          <w:sz w:val="24"/>
          <w:szCs w:val="24"/>
        </w:rPr>
        <w:t xml:space="preserve">   </w:t>
      </w:r>
      <w:r w:rsidR="00580A20" w:rsidRPr="00580A20">
        <w:rPr>
          <w:rFonts w:ascii="Bookman Old Style" w:hAnsi="Bookman Old Style"/>
          <w:sz w:val="32"/>
          <w:szCs w:val="32"/>
        </w:rPr>
        <w:t>187</w:t>
      </w:r>
      <w:r w:rsidR="00795BFB" w:rsidRPr="00576D9E">
        <w:rPr>
          <w:rFonts w:ascii="Bookman Old Style" w:hAnsi="Bookman Old Style"/>
          <w:sz w:val="24"/>
          <w:szCs w:val="24"/>
        </w:rPr>
        <w:t xml:space="preserve">     </w:t>
      </w:r>
      <w:r w:rsidRPr="00576D9E">
        <w:rPr>
          <w:rFonts w:ascii="Bookman Old Style" w:hAnsi="Bookman Old Style"/>
          <w:sz w:val="24"/>
          <w:szCs w:val="24"/>
        </w:rPr>
        <w:t>DE 20</w:t>
      </w:r>
      <w:r w:rsidR="007410B1">
        <w:rPr>
          <w:rFonts w:ascii="Bookman Old Style" w:hAnsi="Bookman Old Style"/>
          <w:sz w:val="24"/>
          <w:szCs w:val="24"/>
        </w:rPr>
        <w:t>20</w:t>
      </w:r>
    </w:p>
    <w:p w14:paraId="5A76EE1A" w14:textId="77777777" w:rsidR="00CA77FB" w:rsidRPr="00576D9E" w:rsidRDefault="00CA77FB" w:rsidP="00012259">
      <w:pPr>
        <w:tabs>
          <w:tab w:val="left" w:pos="0"/>
          <w:tab w:val="right" w:pos="9356"/>
        </w:tabs>
        <w:jc w:val="center"/>
        <w:rPr>
          <w:rFonts w:cs="Arial"/>
          <w:b/>
          <w:snapToGrid w:val="0"/>
          <w:color w:val="000000"/>
          <w:lang w:val="es-ES_tradnl"/>
        </w:rPr>
      </w:pPr>
    </w:p>
    <w:p w14:paraId="1F993F2D" w14:textId="46422616" w:rsidR="00CA77FB" w:rsidRPr="00576D9E" w:rsidRDefault="00CA77FB" w:rsidP="0069340F">
      <w:pPr>
        <w:jc w:val="center"/>
      </w:pPr>
      <w:proofErr w:type="gramStart"/>
      <w:r w:rsidRPr="00576D9E">
        <w:t xml:space="preserve">(  </w:t>
      </w:r>
      <w:r w:rsidR="00580A20" w:rsidRPr="00580A20">
        <w:rPr>
          <w:b/>
          <w:bCs/>
          <w:sz w:val="32"/>
          <w:szCs w:val="32"/>
        </w:rPr>
        <w:t>25</w:t>
      </w:r>
      <w:proofErr w:type="gramEnd"/>
      <w:r w:rsidR="00580A20" w:rsidRPr="00580A20">
        <w:rPr>
          <w:b/>
          <w:bCs/>
          <w:sz w:val="32"/>
          <w:szCs w:val="32"/>
        </w:rPr>
        <w:t xml:space="preserve"> SEP. 2020</w:t>
      </w:r>
      <w:r w:rsidRPr="00576D9E">
        <w:t xml:space="preserve">  )</w:t>
      </w:r>
    </w:p>
    <w:p w14:paraId="5519721F" w14:textId="77777777" w:rsidR="00CA77FB" w:rsidRPr="00576D9E" w:rsidRDefault="00CA77FB" w:rsidP="00012259">
      <w:pPr>
        <w:tabs>
          <w:tab w:val="left" w:pos="0"/>
          <w:tab w:val="right" w:pos="9356"/>
        </w:tabs>
        <w:jc w:val="center"/>
        <w:rPr>
          <w:lang w:val="es-ES_tradnl"/>
        </w:rPr>
      </w:pPr>
    </w:p>
    <w:p w14:paraId="5B03C6FE" w14:textId="77777777" w:rsidR="00B351B4" w:rsidRPr="00576D9E" w:rsidRDefault="00B351B4" w:rsidP="00012259">
      <w:pPr>
        <w:rPr>
          <w:bCs/>
          <w:lang w:val="es-CO"/>
        </w:rPr>
      </w:pPr>
    </w:p>
    <w:p w14:paraId="05EC1124" w14:textId="5B8C0B64" w:rsidR="00860320" w:rsidRDefault="00C03EFF" w:rsidP="0069340F">
      <w:pPr>
        <w:jc w:val="center"/>
        <w:rPr>
          <w:rFonts w:cs="Arial"/>
        </w:rPr>
      </w:pPr>
      <w:r w:rsidRPr="00C03EFF">
        <w:rPr>
          <w:rFonts w:cs="Arial"/>
        </w:rPr>
        <w:t xml:space="preserve">Disposiciones para la actualización del esquema de separación </w:t>
      </w:r>
      <w:r w:rsidR="0079678E">
        <w:rPr>
          <w:rFonts w:cs="Arial"/>
        </w:rPr>
        <w:br/>
      </w:r>
      <w:r w:rsidRPr="00C03EFF">
        <w:rPr>
          <w:rFonts w:cs="Arial"/>
        </w:rPr>
        <w:t xml:space="preserve">de áreas de la interconexión </w:t>
      </w:r>
      <w:r w:rsidR="00066334">
        <w:rPr>
          <w:rFonts w:cs="Arial"/>
        </w:rPr>
        <w:t>Colombia</w:t>
      </w:r>
      <w:r w:rsidRPr="00C03EFF">
        <w:rPr>
          <w:rFonts w:cs="Arial"/>
        </w:rPr>
        <w:t xml:space="preserve"> – </w:t>
      </w:r>
      <w:r w:rsidR="00066334">
        <w:rPr>
          <w:rFonts w:cs="Arial"/>
        </w:rPr>
        <w:t xml:space="preserve">Ecuador a </w:t>
      </w:r>
      <w:r w:rsidRPr="00C03EFF">
        <w:rPr>
          <w:rFonts w:cs="Arial"/>
        </w:rPr>
        <w:t>230 kV</w:t>
      </w:r>
    </w:p>
    <w:p w14:paraId="6B8447AD" w14:textId="77777777" w:rsidR="00066334" w:rsidRPr="00CA4A40" w:rsidRDefault="00066334" w:rsidP="0069340F">
      <w:pPr>
        <w:jc w:val="center"/>
        <w:rPr>
          <w:b/>
        </w:rPr>
      </w:pPr>
    </w:p>
    <w:p w14:paraId="4C5A3E36" w14:textId="77777777" w:rsidR="00B25C2A" w:rsidRDefault="00B25C2A" w:rsidP="0069340F">
      <w:pPr>
        <w:jc w:val="center"/>
        <w:rPr>
          <w:b/>
        </w:rPr>
      </w:pPr>
    </w:p>
    <w:p w14:paraId="3D1176EF" w14:textId="77777777" w:rsidR="00E01463" w:rsidRPr="00576D9E" w:rsidRDefault="00E01463" w:rsidP="0069340F">
      <w:pPr>
        <w:jc w:val="center"/>
        <w:rPr>
          <w:b/>
        </w:rPr>
      </w:pPr>
      <w:r w:rsidRPr="00576D9E">
        <w:rPr>
          <w:b/>
        </w:rPr>
        <w:t>LA COMISIÓN DE REGULACIÓN DE ENERGÍA Y GAS</w:t>
      </w:r>
    </w:p>
    <w:p w14:paraId="620C7614" w14:textId="77777777" w:rsidR="00E01463" w:rsidRPr="00576D9E" w:rsidRDefault="00E01463" w:rsidP="00E01463">
      <w:pPr>
        <w:rPr>
          <w:rFonts w:cs="Arial"/>
          <w:b/>
          <w:bCs/>
        </w:rPr>
      </w:pPr>
    </w:p>
    <w:p w14:paraId="131AD381" w14:textId="77777777" w:rsidR="00E01463" w:rsidRPr="00576D9E" w:rsidRDefault="00E01463" w:rsidP="00E01463">
      <w:pPr>
        <w:rPr>
          <w:rFonts w:cs="Arial"/>
        </w:rPr>
      </w:pPr>
    </w:p>
    <w:p w14:paraId="0730C778" w14:textId="2F1168ED" w:rsidR="0044703C" w:rsidRPr="00576D9E" w:rsidRDefault="0044703C" w:rsidP="0044703C">
      <w:pPr>
        <w:jc w:val="center"/>
        <w:rPr>
          <w:b/>
        </w:rPr>
      </w:pPr>
      <w:r w:rsidRPr="00576D9E">
        <w:t>En ejercicio de sus atribuciones constitucionales y legales, en especial las conferidas por las Leyes 142 y 143 de 1994, y en desarrollo de los Decretos 1524, 2253 de 1994</w:t>
      </w:r>
      <w:r w:rsidR="001B6596">
        <w:t xml:space="preserve">, </w:t>
      </w:r>
      <w:r w:rsidR="001B6596" w:rsidRPr="009A0748">
        <w:t>2696 de 2004</w:t>
      </w:r>
      <w:r w:rsidRPr="00576D9E">
        <w:t xml:space="preserve"> y 1260 de 2013.</w:t>
      </w:r>
    </w:p>
    <w:p w14:paraId="756104A2" w14:textId="77777777" w:rsidR="00E01463" w:rsidRPr="00576D9E" w:rsidRDefault="00E01463" w:rsidP="00E01463">
      <w:pPr>
        <w:tabs>
          <w:tab w:val="left" w:pos="624"/>
        </w:tabs>
        <w:rPr>
          <w:rFonts w:cs="Arial"/>
        </w:rPr>
      </w:pPr>
    </w:p>
    <w:p w14:paraId="41CE81AA" w14:textId="77777777" w:rsidR="00860320" w:rsidRPr="00576D9E" w:rsidRDefault="00860320" w:rsidP="00E01463">
      <w:pPr>
        <w:rPr>
          <w:rFonts w:cs="Arial"/>
        </w:rPr>
      </w:pPr>
    </w:p>
    <w:p w14:paraId="2A513A6A" w14:textId="77777777" w:rsidR="00E01463" w:rsidRPr="00576D9E" w:rsidRDefault="00E01463" w:rsidP="00E01463">
      <w:pPr>
        <w:pStyle w:val="TableHeading"/>
        <w:suppressLineNumbers w:val="0"/>
        <w:rPr>
          <w:rFonts w:ascii="Bookman Old Style" w:hAnsi="Bookman Old Style" w:cs="Arial"/>
          <w:bCs w:val="0"/>
          <w:sz w:val="24"/>
        </w:rPr>
      </w:pPr>
      <w:r w:rsidRPr="00576D9E">
        <w:rPr>
          <w:rFonts w:ascii="Bookman Old Style" w:hAnsi="Bookman Old Style" w:cs="Arial"/>
          <w:bCs w:val="0"/>
          <w:sz w:val="24"/>
        </w:rPr>
        <w:t xml:space="preserve">C O N S I D E R A N D O  </w:t>
      </w:r>
      <w:r w:rsidR="00405FB5">
        <w:rPr>
          <w:rFonts w:ascii="Bookman Old Style" w:hAnsi="Bookman Old Style" w:cs="Arial"/>
          <w:bCs w:val="0"/>
          <w:sz w:val="24"/>
        </w:rPr>
        <w:t xml:space="preserve"> </w:t>
      </w:r>
      <w:r w:rsidRPr="00576D9E">
        <w:rPr>
          <w:rFonts w:ascii="Bookman Old Style" w:hAnsi="Bookman Old Style" w:cs="Arial"/>
          <w:bCs w:val="0"/>
          <w:sz w:val="24"/>
        </w:rPr>
        <w:t>Q U E:</w:t>
      </w:r>
    </w:p>
    <w:p w14:paraId="2DA3D9AE" w14:textId="6EDE9B00" w:rsidR="00E01463" w:rsidRDefault="00E01463" w:rsidP="00E01463">
      <w:pPr>
        <w:rPr>
          <w:rFonts w:cs="Arial"/>
          <w:b/>
        </w:rPr>
      </w:pPr>
    </w:p>
    <w:p w14:paraId="598D4F2D" w14:textId="009B89F2" w:rsidR="00AB517F" w:rsidRPr="005538BC" w:rsidRDefault="00304393" w:rsidP="00AB517F">
      <w:pPr>
        <w:rPr>
          <w:rFonts w:cs="Arial"/>
          <w:szCs w:val="20"/>
          <w:lang w:val="es-CO"/>
        </w:rPr>
      </w:pPr>
      <w:r>
        <w:rPr>
          <w:rFonts w:cs="Arial"/>
          <w:szCs w:val="20"/>
          <w:lang w:val="es-CO"/>
        </w:rPr>
        <w:t>E</w:t>
      </w:r>
      <w:r w:rsidR="00AB517F" w:rsidRPr="00AB517F">
        <w:rPr>
          <w:rFonts w:cs="Arial"/>
          <w:szCs w:val="20"/>
          <w:lang w:val="es-CO"/>
        </w:rPr>
        <w:t xml:space="preserve">s deber del Estado, en relación con el servicio de electricidad, abastecer la demanda de energía nacional bajo criterios económicos y viabilidad financiera, asegurando su cubrimiento en un marco de uso racional y eficiente de los diferentes recursos energéticos del país, de acuerdo con lo establecido en el </w:t>
      </w:r>
      <w:r w:rsidR="00AB517F" w:rsidRPr="005538BC">
        <w:rPr>
          <w:rFonts w:cs="Arial"/>
          <w:szCs w:val="20"/>
          <w:lang w:val="es-CO"/>
        </w:rPr>
        <w:t xml:space="preserve">Artículo 4o de la </w:t>
      </w:r>
      <w:r w:rsidRPr="005538BC">
        <w:rPr>
          <w:rFonts w:cs="Arial"/>
          <w:szCs w:val="20"/>
          <w:lang w:val="es-CO"/>
        </w:rPr>
        <w:t>L</w:t>
      </w:r>
      <w:r w:rsidR="00AB517F" w:rsidRPr="005538BC">
        <w:rPr>
          <w:rFonts w:cs="Arial"/>
          <w:szCs w:val="20"/>
          <w:lang w:val="es-CO"/>
        </w:rPr>
        <w:t>ey 143 de 1994;</w:t>
      </w:r>
    </w:p>
    <w:p w14:paraId="1D2366C3" w14:textId="77777777" w:rsidR="00AB517F" w:rsidRPr="005538BC" w:rsidRDefault="00AB517F" w:rsidP="00AB517F">
      <w:pPr>
        <w:rPr>
          <w:rFonts w:cs="Arial"/>
          <w:szCs w:val="20"/>
          <w:lang w:val="es-CO"/>
        </w:rPr>
      </w:pPr>
    </w:p>
    <w:p w14:paraId="722A1284" w14:textId="7D5E4E0D" w:rsidR="00AB517F" w:rsidRDefault="00304393" w:rsidP="00AB517F">
      <w:pPr>
        <w:rPr>
          <w:rFonts w:cs="Arial"/>
          <w:lang w:val="es-CO"/>
        </w:rPr>
      </w:pPr>
      <w:r w:rsidRPr="3F103B3A">
        <w:rPr>
          <w:rFonts w:cs="Arial"/>
          <w:lang w:val="es-CO"/>
        </w:rPr>
        <w:t>P</w:t>
      </w:r>
      <w:r w:rsidR="00AB517F" w:rsidRPr="3F103B3A">
        <w:rPr>
          <w:rFonts w:cs="Arial"/>
          <w:lang w:val="es-CO"/>
        </w:rPr>
        <w:t>ara el cumplimiento del objetivo definido en el Artículo 20 de la Ley 143 de 1994, la Comisión de Regulación de Energía y Gas</w:t>
      </w:r>
      <w:r w:rsidR="2FCEB632" w:rsidRPr="3F103B3A">
        <w:rPr>
          <w:rFonts w:cs="Arial"/>
          <w:lang w:val="es-CO"/>
        </w:rPr>
        <w:t>,</w:t>
      </w:r>
      <w:r w:rsidR="00AB517F" w:rsidRPr="3F103B3A">
        <w:rPr>
          <w:rFonts w:cs="Arial"/>
          <w:lang w:val="es-CO"/>
        </w:rPr>
        <w:t xml:space="preserve"> en relación con el servicio de electricidad, tiene dentro de sus funciones generales la de asegurar la disponibilidad de una oferta energética eficiente, capaz de abastecer la demanda bajo criterios sociales, económicos, ambientales y de viabilidad financiera, y promover y preservar la competencia;</w:t>
      </w:r>
    </w:p>
    <w:p w14:paraId="037C57B0" w14:textId="543CBF92" w:rsidR="00F22811" w:rsidRDefault="00F22811" w:rsidP="00AB517F">
      <w:pPr>
        <w:rPr>
          <w:rFonts w:cs="Arial"/>
          <w:lang w:val="es-CO"/>
        </w:rPr>
      </w:pPr>
    </w:p>
    <w:p w14:paraId="398E2C91" w14:textId="4E201E6B" w:rsidR="00F22811" w:rsidRPr="005538BC" w:rsidRDefault="00F22811" w:rsidP="00AB517F">
      <w:pPr>
        <w:rPr>
          <w:rFonts w:cs="Arial"/>
          <w:lang w:val="es-CO"/>
        </w:rPr>
      </w:pPr>
      <w:r w:rsidRPr="00702D78">
        <w:rPr>
          <w:rFonts w:cs="Arial"/>
          <w:lang w:val="es-CO"/>
        </w:rPr>
        <w:t xml:space="preserve">El artículo 171 de Ley 142 de 1194 establece dentro de las funciones del Centro Nacional de Despacho </w:t>
      </w:r>
      <w:r w:rsidRPr="00702D78">
        <w:rPr>
          <w:rFonts w:cs="Arial"/>
          <w:i/>
          <w:iCs/>
          <w:lang w:val="es-CO"/>
        </w:rPr>
        <w:t>“Ejercer la coordinación, supervisión, control y análisis de la operación conjunta de los recursos de generación, interconexión y transmisión incluyendo las interconexiones internacionales”.</w:t>
      </w:r>
    </w:p>
    <w:p w14:paraId="53153D53" w14:textId="77777777" w:rsidR="00AB517F" w:rsidRPr="005538BC" w:rsidRDefault="00AB517F" w:rsidP="00AB517F">
      <w:pPr>
        <w:rPr>
          <w:sz w:val="22"/>
          <w:lang w:val="es-CO"/>
        </w:rPr>
      </w:pPr>
    </w:p>
    <w:p w14:paraId="229D788C" w14:textId="25E540E9" w:rsidR="00AB517F" w:rsidRPr="00AB517F" w:rsidRDefault="00304393" w:rsidP="00AB517F">
      <w:pPr>
        <w:suppressAutoHyphens/>
        <w:spacing w:before="120"/>
        <w:rPr>
          <w:spacing w:val="-3"/>
          <w:lang w:val="es-CO"/>
        </w:rPr>
      </w:pPr>
      <w:r>
        <w:rPr>
          <w:spacing w:val="-3"/>
          <w:lang w:val="es-CO"/>
        </w:rPr>
        <w:t>L</w:t>
      </w:r>
      <w:r w:rsidR="00AB517F" w:rsidRPr="00AB517F">
        <w:rPr>
          <w:spacing w:val="-3"/>
          <w:lang w:val="es-CO"/>
        </w:rPr>
        <w:t xml:space="preserve">a </w:t>
      </w:r>
      <w:r w:rsidRPr="005538BC">
        <w:rPr>
          <w:spacing w:val="-3"/>
          <w:lang w:val="es-CO"/>
        </w:rPr>
        <w:t>L</w:t>
      </w:r>
      <w:r w:rsidR="00AB517F" w:rsidRPr="005538BC">
        <w:rPr>
          <w:spacing w:val="-3"/>
          <w:lang w:val="es-CO"/>
        </w:rPr>
        <w:t>ey 143 de 1994, en su artículo 34, asignó</w:t>
      </w:r>
      <w:r w:rsidR="00AB517F" w:rsidRPr="00AB517F">
        <w:rPr>
          <w:spacing w:val="-3"/>
          <w:lang w:val="es-CO"/>
        </w:rPr>
        <w:t xml:space="preserve"> al Centro Nacional de Despacho</w:t>
      </w:r>
      <w:r w:rsidR="1DA7AC59" w:rsidRPr="00AB517F">
        <w:rPr>
          <w:spacing w:val="-3"/>
          <w:lang w:val="es-CO"/>
        </w:rPr>
        <w:t>,</w:t>
      </w:r>
      <w:r w:rsidR="00AB517F" w:rsidRPr="00AB517F">
        <w:rPr>
          <w:spacing w:val="-3"/>
          <w:lang w:val="es-CO"/>
        </w:rPr>
        <w:t xml:space="preserve"> CND, </w:t>
      </w:r>
      <w:r w:rsidR="005538BC">
        <w:rPr>
          <w:spacing w:val="-3"/>
          <w:lang w:val="es-CO"/>
        </w:rPr>
        <w:t xml:space="preserve">entre otras, </w:t>
      </w:r>
      <w:r w:rsidR="00AB517F" w:rsidRPr="00AB517F">
        <w:rPr>
          <w:spacing w:val="-3"/>
          <w:lang w:val="es-CO"/>
        </w:rPr>
        <w:t xml:space="preserve">las siguientes funciones: </w:t>
      </w:r>
    </w:p>
    <w:p w14:paraId="0E2667E8" w14:textId="77777777" w:rsidR="00AB517F" w:rsidRPr="00AB517F" w:rsidRDefault="00AB517F" w:rsidP="00580A20">
      <w:pPr>
        <w:suppressAutoHyphens/>
        <w:spacing w:before="120"/>
        <w:ind w:left="426" w:hanging="426"/>
        <w:rPr>
          <w:i/>
          <w:iCs/>
          <w:spacing w:val="-3"/>
          <w:lang w:val="es-CO" w:eastAsia="en-US"/>
        </w:rPr>
      </w:pPr>
      <w:r w:rsidRPr="00AB517F">
        <w:rPr>
          <w:i/>
          <w:iCs/>
          <w:spacing w:val="-3"/>
          <w:lang w:val="es-CO" w:eastAsia="en-US"/>
        </w:rPr>
        <w:t xml:space="preserve">“b. </w:t>
      </w:r>
      <w:r w:rsidRPr="00AB517F">
        <w:rPr>
          <w:i/>
          <w:iCs/>
          <w:spacing w:val="-3"/>
          <w:lang w:val="es-CO" w:eastAsia="en-US"/>
        </w:rPr>
        <w:tab/>
        <w:t>Ejercer la coordinación, supervisión, control y análisis de la operación de los recursos de generación, interconexión y transmisión incluyendo las interconexiones internacionales;</w:t>
      </w:r>
    </w:p>
    <w:p w14:paraId="726CE8F9" w14:textId="66F7EB9B" w:rsidR="00AB517F" w:rsidRPr="00AB517F" w:rsidRDefault="00AB517F" w:rsidP="00580A20">
      <w:pPr>
        <w:suppressAutoHyphens/>
        <w:spacing w:before="120"/>
        <w:ind w:left="426" w:hanging="426"/>
        <w:rPr>
          <w:i/>
          <w:iCs/>
          <w:spacing w:val="-3"/>
          <w:lang w:val="es-CO" w:eastAsia="en-US"/>
        </w:rPr>
      </w:pPr>
      <w:r w:rsidRPr="3F103B3A">
        <w:rPr>
          <w:i/>
          <w:iCs/>
          <w:spacing w:val="-3"/>
          <w:lang w:val="es-CO" w:eastAsia="en-US"/>
        </w:rPr>
        <w:t xml:space="preserve">c. </w:t>
      </w:r>
      <w:r w:rsidRPr="00AB517F">
        <w:rPr>
          <w:i/>
          <w:iCs/>
          <w:spacing w:val="-3"/>
          <w:lang w:val="es-CO" w:eastAsia="en-US"/>
        </w:rPr>
        <w:tab/>
      </w:r>
      <w:r w:rsidRPr="3F103B3A">
        <w:rPr>
          <w:i/>
          <w:iCs/>
          <w:spacing w:val="-3"/>
          <w:lang w:val="es-CO" w:eastAsia="en-US"/>
        </w:rPr>
        <w:t>Determinar el valor de los intercambios resultantes de la operación de los recursos energéticos del sistema interconectado nacional;</w:t>
      </w:r>
    </w:p>
    <w:p w14:paraId="5732936A" w14:textId="501685A7" w:rsidR="00AB517F" w:rsidRPr="00AB517F" w:rsidRDefault="00AB517F" w:rsidP="00580A20">
      <w:pPr>
        <w:suppressAutoHyphens/>
        <w:spacing w:before="120"/>
        <w:ind w:left="426" w:hanging="426"/>
        <w:rPr>
          <w:i/>
          <w:iCs/>
          <w:spacing w:val="-3"/>
          <w:lang w:val="es-CO" w:eastAsia="en-US"/>
        </w:rPr>
      </w:pPr>
      <w:r w:rsidRPr="3F103B3A">
        <w:rPr>
          <w:i/>
          <w:iCs/>
          <w:spacing w:val="-3"/>
          <w:lang w:val="es-CO" w:eastAsia="en-US"/>
        </w:rPr>
        <w:lastRenderedPageBreak/>
        <w:t xml:space="preserve">d. </w:t>
      </w:r>
      <w:r w:rsidRPr="00AB517F">
        <w:rPr>
          <w:i/>
          <w:iCs/>
          <w:spacing w:val="-3"/>
          <w:lang w:val="es-CO" w:eastAsia="en-US"/>
        </w:rPr>
        <w:tab/>
      </w:r>
      <w:r w:rsidRPr="3F103B3A">
        <w:rPr>
          <w:i/>
          <w:iCs/>
          <w:spacing w:val="-3"/>
          <w:lang w:val="es-CO" w:eastAsia="en-US"/>
        </w:rPr>
        <w:t>Coordinar la programación del mantenimiento de las centrales de generación y de las líneas de interconexión y transmisión de la red eléctrica nacional”;</w:t>
      </w:r>
    </w:p>
    <w:p w14:paraId="33A28D1E" w14:textId="7E0C7ACE" w:rsidR="00D40E9D" w:rsidRDefault="00D40E9D" w:rsidP="00E01463">
      <w:pPr>
        <w:rPr>
          <w:rFonts w:cs="Arial"/>
          <w:bCs/>
        </w:rPr>
      </w:pPr>
    </w:p>
    <w:p w14:paraId="297251E9" w14:textId="7C8F1676" w:rsidR="00702D78" w:rsidRDefault="00702D78" w:rsidP="00702D78">
      <w:pPr>
        <w:rPr>
          <w:rFonts w:cs="Arial"/>
          <w:bCs/>
        </w:rPr>
      </w:pPr>
      <w:r>
        <w:rPr>
          <w:rFonts w:cs="Arial"/>
          <w:bCs/>
        </w:rPr>
        <w:t>El artículo 168 de la Ley 142 de 1994 establece que l</w:t>
      </w:r>
      <w:r w:rsidRPr="00304393">
        <w:rPr>
          <w:rFonts w:cs="Arial"/>
          <w:bCs/>
        </w:rPr>
        <w:t xml:space="preserve">as empresas que hagan parte del Sistema Interconectado Nacional deberán cumplir con el </w:t>
      </w:r>
      <w:r w:rsidR="00FD1BD5">
        <w:rPr>
          <w:rFonts w:cs="Arial"/>
          <w:bCs/>
        </w:rPr>
        <w:t>R</w:t>
      </w:r>
      <w:r w:rsidR="00FD1BD5" w:rsidRPr="00304393">
        <w:rPr>
          <w:rFonts w:cs="Arial"/>
          <w:bCs/>
        </w:rPr>
        <w:t xml:space="preserve">eglamento </w:t>
      </w:r>
      <w:r w:rsidRPr="00304393">
        <w:rPr>
          <w:rFonts w:cs="Arial"/>
          <w:bCs/>
        </w:rPr>
        <w:t xml:space="preserve">de </w:t>
      </w:r>
      <w:r w:rsidR="00FD1BD5">
        <w:rPr>
          <w:rFonts w:cs="Arial"/>
          <w:bCs/>
        </w:rPr>
        <w:t>O</w:t>
      </w:r>
      <w:r w:rsidR="00FD1BD5" w:rsidRPr="00304393">
        <w:rPr>
          <w:rFonts w:cs="Arial"/>
          <w:bCs/>
        </w:rPr>
        <w:t xml:space="preserve">peración </w:t>
      </w:r>
      <w:r w:rsidRPr="00304393">
        <w:rPr>
          <w:rFonts w:cs="Arial"/>
          <w:bCs/>
        </w:rPr>
        <w:t>y con los acuerdos adoptados para la operación del mismo</w:t>
      </w:r>
      <w:r>
        <w:rPr>
          <w:rFonts w:cs="Arial"/>
          <w:bCs/>
        </w:rPr>
        <w:t>.</w:t>
      </w:r>
    </w:p>
    <w:p w14:paraId="77103702" w14:textId="441B3A71" w:rsidR="005950E0" w:rsidRDefault="005950E0" w:rsidP="00E01463">
      <w:pPr>
        <w:rPr>
          <w:rFonts w:cs="Arial"/>
          <w:bCs/>
        </w:rPr>
      </w:pPr>
    </w:p>
    <w:p w14:paraId="639DDE7C" w14:textId="01DF5843" w:rsidR="005950E0" w:rsidRDefault="005950E0" w:rsidP="00E01463">
      <w:pPr>
        <w:rPr>
          <w:rFonts w:cs="Arial"/>
          <w:bCs/>
        </w:rPr>
      </w:pPr>
      <w:r>
        <w:rPr>
          <w:rFonts w:cs="Arial"/>
          <w:bCs/>
        </w:rPr>
        <w:t>El literal n) del numeral 3 del artículo 3 de la Resolución CREG 080 de 1999 establece</w:t>
      </w:r>
      <w:r w:rsidR="00FD1BD5">
        <w:rPr>
          <w:rFonts w:cs="Arial"/>
          <w:bCs/>
        </w:rPr>
        <w:t>,</w:t>
      </w:r>
      <w:r>
        <w:rPr>
          <w:rFonts w:cs="Arial"/>
          <w:bCs/>
        </w:rPr>
        <w:t xml:space="preserve"> dentro de las funciones de coordinación operativa: </w:t>
      </w:r>
      <w:r w:rsidRPr="005950E0">
        <w:rPr>
          <w:rFonts w:cs="Arial"/>
          <w:bCs/>
          <w:i/>
          <w:iCs/>
        </w:rPr>
        <w:t>“Coordinar el ajuste de las protecciones de las plantas y/o unidades de generación despachadas centralmente y de aquellas no despachadas centralmente que a su criterio se requiera. Así mismo, coordinar el ajuste de las protecciones de los Activos de Uso del STN y de los Activos de Conexión al STN, de las Interconexiones Internacionales de nivel IV o superior, para asegurar una operación segura y confiable del SIN, respetando los límites de las protecciones declarados por los agentes para sus equipos”</w:t>
      </w:r>
      <w:r>
        <w:rPr>
          <w:rFonts w:cs="Arial"/>
          <w:bCs/>
        </w:rPr>
        <w:t xml:space="preserve">. </w:t>
      </w:r>
    </w:p>
    <w:p w14:paraId="57FF2E51" w14:textId="73A0BB21" w:rsidR="00F5548F" w:rsidRDefault="00F5548F" w:rsidP="00E01463">
      <w:pPr>
        <w:rPr>
          <w:rFonts w:cs="Arial"/>
          <w:bCs/>
        </w:rPr>
      </w:pPr>
    </w:p>
    <w:p w14:paraId="7837DBCB" w14:textId="7049C121" w:rsidR="00F5548F" w:rsidRDefault="00F5548F" w:rsidP="00E01463">
      <w:pPr>
        <w:rPr>
          <w:rFonts w:cs="Arial"/>
          <w:bCs/>
        </w:rPr>
      </w:pPr>
      <w:r>
        <w:rPr>
          <w:rFonts w:cs="Arial"/>
          <w:bCs/>
        </w:rPr>
        <w:t>El literal a) del numeral 2 del artículo 6 de la Resolución CREG 080 de 1999 establece</w:t>
      </w:r>
      <w:r w:rsidR="00FD1BD5">
        <w:rPr>
          <w:rFonts w:cs="Arial"/>
          <w:bCs/>
        </w:rPr>
        <w:t>,</w:t>
      </w:r>
      <w:r>
        <w:rPr>
          <w:rFonts w:cs="Arial"/>
          <w:bCs/>
        </w:rPr>
        <w:t xml:space="preserve"> dentro de las funciones de coordinación operativa de las empresas prestadoras de servicio de transporte de energía eléctrica en el STN y/o servicio de conexión al STN: </w:t>
      </w:r>
      <w:r w:rsidRPr="00F5548F">
        <w:rPr>
          <w:rFonts w:cs="Arial"/>
          <w:bCs/>
          <w:i/>
          <w:iCs/>
        </w:rPr>
        <w:t>“a) Coordinar con el CND el Control Operativo de los Activos de Uso del STN, Activos de Conexión al STN y de las Interconexiones Internacionales con tensión de operación igual o superior a 220 kV que sean de su propiedad y de los activos que le hayan sido encargados por otros Transportadores con tensiones de operación igual o superior a 220 kV”</w:t>
      </w:r>
      <w:r w:rsidRPr="00F5548F">
        <w:rPr>
          <w:rFonts w:cs="Arial"/>
          <w:bCs/>
        </w:rPr>
        <w:t>.</w:t>
      </w:r>
    </w:p>
    <w:p w14:paraId="5FC2578E" w14:textId="77777777" w:rsidR="00702D78" w:rsidRDefault="00702D78" w:rsidP="00E01463">
      <w:pPr>
        <w:rPr>
          <w:rFonts w:cs="Arial"/>
          <w:bCs/>
        </w:rPr>
      </w:pPr>
    </w:p>
    <w:p w14:paraId="2EE8B910" w14:textId="77777777" w:rsidR="00702D78" w:rsidRDefault="00702D78" w:rsidP="00702D78">
      <w:pPr>
        <w:rPr>
          <w:rFonts w:cs="Arial"/>
          <w:bCs/>
        </w:rPr>
      </w:pPr>
      <w:r w:rsidRPr="00304393">
        <w:rPr>
          <w:rFonts w:cs="Arial"/>
          <w:bCs/>
        </w:rPr>
        <w:t>El artículo 4 de la Resolución CREG 004 de 2003</w:t>
      </w:r>
      <w:r>
        <w:rPr>
          <w:rFonts w:cs="Arial"/>
          <w:bCs/>
        </w:rPr>
        <w:t xml:space="preserve"> establece que l</w:t>
      </w:r>
      <w:r w:rsidRPr="00304393">
        <w:rPr>
          <w:rFonts w:cs="Arial"/>
          <w:bCs/>
        </w:rPr>
        <w:t>a planeación, coordinación, supervisión y control de la operación integrada de los Enlaces Internacionales será responsabilidad del Centro Nacional de Despacho, CND, que tendrá como objetivo una operación segura, confiable y económica, con sujeción a la reglamentación vigente, los acuerdos del Consejo Nacional de Operación, CNO, y los criterios establecidos en los Acuerdos Operativos bilaterales.</w:t>
      </w:r>
    </w:p>
    <w:p w14:paraId="74BDE608" w14:textId="7E8C9B35" w:rsidR="00304393" w:rsidRDefault="00304393" w:rsidP="00E01463">
      <w:pPr>
        <w:rPr>
          <w:rFonts w:cs="Arial"/>
          <w:bCs/>
        </w:rPr>
      </w:pPr>
    </w:p>
    <w:p w14:paraId="33D324C6" w14:textId="46368AC8" w:rsidR="00702D78" w:rsidRDefault="00702D78" w:rsidP="00702D78">
      <w:pPr>
        <w:rPr>
          <w:rFonts w:cs="Arial"/>
          <w:bCs/>
        </w:rPr>
      </w:pPr>
      <w:r>
        <w:rPr>
          <w:rFonts w:cs="Arial"/>
          <w:bCs/>
        </w:rPr>
        <w:t>El artículo 13 de la Resolución CREG 004 de 2003 establece que l</w:t>
      </w:r>
      <w:r w:rsidRPr="00D40E9D">
        <w:rPr>
          <w:rFonts w:cs="Arial"/>
          <w:bCs/>
        </w:rPr>
        <w:t>os Acuerdos Operativos suscritos por el CND y los demás operadores, contendrán los criterios de calidad y seguridad, así como las medidas de protección y medidas suplementarias que utilizarán para la operación de cada enlace internacional.</w:t>
      </w:r>
    </w:p>
    <w:p w14:paraId="3577061B" w14:textId="77777777" w:rsidR="00702D78" w:rsidRDefault="00702D78" w:rsidP="00702D78">
      <w:pPr>
        <w:rPr>
          <w:rFonts w:cs="Arial"/>
          <w:bCs/>
        </w:rPr>
      </w:pPr>
    </w:p>
    <w:p w14:paraId="3CD780D1" w14:textId="2D469FC2" w:rsidR="0057000A" w:rsidRPr="00304393" w:rsidRDefault="00DF143B" w:rsidP="0057000A">
      <w:pPr>
        <w:rPr>
          <w:rFonts w:cs="Arial"/>
          <w:bCs/>
        </w:rPr>
      </w:pPr>
      <w:r>
        <w:rPr>
          <w:rFonts w:cs="Arial"/>
          <w:bCs/>
        </w:rPr>
        <w:t xml:space="preserve">El </w:t>
      </w:r>
      <w:r w:rsidR="00745015">
        <w:rPr>
          <w:rFonts w:cs="Arial"/>
          <w:bCs/>
        </w:rPr>
        <w:t xml:space="preserve">numeral 6.2.2. del </w:t>
      </w:r>
      <w:r>
        <w:rPr>
          <w:rFonts w:cs="Arial"/>
          <w:bCs/>
        </w:rPr>
        <w:t>anexo 1 del Acuerdo 1019 del Consejo Nacional de Operación, CNO,</w:t>
      </w:r>
      <w:r w:rsidR="0057000A">
        <w:rPr>
          <w:rFonts w:cs="Arial"/>
          <w:bCs/>
        </w:rPr>
        <w:t xml:space="preserve"> establece que la responsabilidad </w:t>
      </w:r>
      <w:r w:rsidR="009E7590" w:rsidRPr="009E7590">
        <w:rPr>
          <w:rFonts w:cs="Arial"/>
          <w:bCs/>
        </w:rPr>
        <w:t>en la propuesta y diseño conceptual</w:t>
      </w:r>
      <w:r w:rsidR="009E7590">
        <w:rPr>
          <w:rFonts w:cs="Arial"/>
          <w:bCs/>
        </w:rPr>
        <w:t xml:space="preserve"> de </w:t>
      </w:r>
      <w:r w:rsidR="0057000A">
        <w:rPr>
          <w:rFonts w:cs="Arial"/>
          <w:bCs/>
        </w:rPr>
        <w:t xml:space="preserve">los esquemas sistémicos </w:t>
      </w:r>
      <w:r w:rsidR="0057000A" w:rsidRPr="0057000A">
        <w:rPr>
          <w:rFonts w:cs="Arial"/>
          <w:bCs/>
        </w:rPr>
        <w:t xml:space="preserve">que mejoran la seguridad y confiabilidad del </w:t>
      </w:r>
      <w:r w:rsidR="0057000A">
        <w:rPr>
          <w:rFonts w:cs="Arial"/>
          <w:bCs/>
        </w:rPr>
        <w:t>SIN es de los agentes involucrados y el CND. Sin embargo, el</w:t>
      </w:r>
      <w:r w:rsidR="0057000A" w:rsidRPr="0057000A">
        <w:rPr>
          <w:rFonts w:cs="Arial"/>
          <w:bCs/>
        </w:rPr>
        <w:t xml:space="preserve"> operador del sistema</w:t>
      </w:r>
      <w:r w:rsidR="0057000A">
        <w:rPr>
          <w:rFonts w:cs="Arial"/>
          <w:bCs/>
        </w:rPr>
        <w:t xml:space="preserve"> </w:t>
      </w:r>
      <w:r w:rsidR="0057000A" w:rsidRPr="0057000A">
        <w:rPr>
          <w:rFonts w:cs="Arial"/>
          <w:bCs/>
        </w:rPr>
        <w:t>podrá proponer esquemas en la medida que lo considere necesario.</w:t>
      </w:r>
    </w:p>
    <w:p w14:paraId="6B1FDB95" w14:textId="198001B5" w:rsidR="002D2929" w:rsidRPr="002D2929" w:rsidRDefault="002D2929" w:rsidP="002D2929">
      <w:r>
        <w:t xml:space="preserve"> </w:t>
      </w:r>
    </w:p>
    <w:p w14:paraId="06638C96" w14:textId="669C7254" w:rsidR="00DF48BA" w:rsidRDefault="00745015" w:rsidP="00347FA3">
      <w:pPr>
        <w:rPr>
          <w:rFonts w:cs="Arial"/>
          <w:bCs/>
        </w:rPr>
      </w:pPr>
      <w:r w:rsidRPr="00745015">
        <w:rPr>
          <w:rFonts w:cs="Arial"/>
          <w:bCs/>
        </w:rPr>
        <w:t>E</w:t>
      </w:r>
      <w:r>
        <w:rPr>
          <w:rFonts w:cs="Arial"/>
          <w:bCs/>
        </w:rPr>
        <w:t>l numeral 6.2.3. del anexo 1 del Acuerdo 1019 del CNO establece que el</w:t>
      </w:r>
      <w:r w:rsidRPr="00745015">
        <w:rPr>
          <w:rFonts w:cs="Arial"/>
          <w:bCs/>
        </w:rPr>
        <w:t xml:space="preserve"> diseño detallado, implementación, pruebas, mantenimiento y operación</w:t>
      </w:r>
      <w:r>
        <w:rPr>
          <w:rFonts w:cs="Arial"/>
          <w:bCs/>
        </w:rPr>
        <w:t xml:space="preserve"> de los esquemas sistémicos</w:t>
      </w:r>
      <w:r w:rsidRPr="00745015">
        <w:rPr>
          <w:rFonts w:cs="Arial"/>
          <w:bCs/>
        </w:rPr>
        <w:t xml:space="preserve"> es responsabilidad del CND y </w:t>
      </w:r>
      <w:r>
        <w:rPr>
          <w:rFonts w:cs="Arial"/>
          <w:bCs/>
        </w:rPr>
        <w:t xml:space="preserve">de </w:t>
      </w:r>
      <w:r w:rsidRPr="00745015">
        <w:rPr>
          <w:rFonts w:cs="Arial"/>
          <w:bCs/>
        </w:rPr>
        <w:t>los agentes</w:t>
      </w:r>
      <w:r>
        <w:rPr>
          <w:rFonts w:cs="Arial"/>
          <w:bCs/>
        </w:rPr>
        <w:t xml:space="preserve"> involucrados.</w:t>
      </w:r>
    </w:p>
    <w:p w14:paraId="5B4C82E2" w14:textId="7A9382B8" w:rsidR="005538BC" w:rsidRDefault="005538BC" w:rsidP="00347FA3">
      <w:pPr>
        <w:rPr>
          <w:rFonts w:cs="Arial"/>
          <w:bCs/>
        </w:rPr>
      </w:pPr>
    </w:p>
    <w:p w14:paraId="6354D5CE" w14:textId="4978D237" w:rsidR="003D2F72" w:rsidRDefault="005538BC" w:rsidP="003D2F72">
      <w:pPr>
        <w:rPr>
          <w:rFonts w:cs="Arial"/>
          <w:bCs/>
        </w:rPr>
      </w:pPr>
      <w:r>
        <w:rPr>
          <w:rFonts w:cs="Arial"/>
          <w:bCs/>
        </w:rPr>
        <w:t>E</w:t>
      </w:r>
      <w:r w:rsidRPr="005538BC">
        <w:rPr>
          <w:rFonts w:cs="Arial"/>
          <w:bCs/>
        </w:rPr>
        <w:t xml:space="preserve">n el año 2003 se llevó a cabo la interconexión Colombia – Ecuador </w:t>
      </w:r>
      <w:r w:rsidR="00CA0A60">
        <w:rPr>
          <w:rFonts w:cs="Arial"/>
          <w:bCs/>
        </w:rPr>
        <w:t xml:space="preserve">a 230 kV, </w:t>
      </w:r>
      <w:r w:rsidRPr="005538BC">
        <w:rPr>
          <w:rFonts w:cs="Arial"/>
          <w:bCs/>
        </w:rPr>
        <w:t xml:space="preserve">a través de los circuitos 1 y 2 desde la subestación Jamondino </w:t>
      </w:r>
      <w:r w:rsidR="00CA0A60">
        <w:rPr>
          <w:rFonts w:cs="Arial"/>
          <w:bCs/>
        </w:rPr>
        <w:t xml:space="preserve">en Colombia </w:t>
      </w:r>
      <w:r w:rsidRPr="005538BC">
        <w:rPr>
          <w:rFonts w:cs="Arial"/>
          <w:bCs/>
        </w:rPr>
        <w:t xml:space="preserve">hasta </w:t>
      </w:r>
      <w:r w:rsidR="00CA0A60">
        <w:rPr>
          <w:rFonts w:cs="Arial"/>
          <w:bCs/>
        </w:rPr>
        <w:t xml:space="preserve">la subestación </w:t>
      </w:r>
      <w:r w:rsidRPr="005538BC">
        <w:rPr>
          <w:rFonts w:cs="Arial"/>
          <w:bCs/>
        </w:rPr>
        <w:t>Pomasqui</w:t>
      </w:r>
      <w:r w:rsidR="00CA0A60">
        <w:rPr>
          <w:rFonts w:cs="Arial"/>
          <w:bCs/>
        </w:rPr>
        <w:t xml:space="preserve"> en Ecuador</w:t>
      </w:r>
      <w:r w:rsidR="003D2F72">
        <w:rPr>
          <w:rFonts w:cs="Arial"/>
          <w:bCs/>
        </w:rPr>
        <w:t>,</w:t>
      </w:r>
      <w:r w:rsidRPr="005538BC">
        <w:rPr>
          <w:rFonts w:cs="Arial"/>
          <w:bCs/>
        </w:rPr>
        <w:t xml:space="preserve"> por parte de la empresa Interconexión Eléctrica S.A.</w:t>
      </w:r>
      <w:r w:rsidR="00FD1BD5">
        <w:rPr>
          <w:rFonts w:cs="Arial"/>
          <w:bCs/>
        </w:rPr>
        <w:t xml:space="preserve"> E.S.P.</w:t>
      </w:r>
      <w:r w:rsidRPr="005538BC">
        <w:rPr>
          <w:rFonts w:cs="Arial"/>
          <w:bCs/>
        </w:rPr>
        <w:t>, ISA</w:t>
      </w:r>
      <w:r w:rsidR="00CA0A60">
        <w:rPr>
          <w:rFonts w:cs="Arial"/>
          <w:bCs/>
        </w:rPr>
        <w:t>, en Colombia</w:t>
      </w:r>
      <w:r w:rsidR="003D2F72">
        <w:rPr>
          <w:rFonts w:cs="Arial"/>
          <w:bCs/>
        </w:rPr>
        <w:t>. En este mismo año</w:t>
      </w:r>
      <w:r w:rsidR="003D2F72" w:rsidRPr="003D2F72">
        <w:rPr>
          <w:rFonts w:cs="Arial"/>
          <w:bCs/>
        </w:rPr>
        <w:t xml:space="preserve"> se estableció el acuerdo operativo Colombia - Ecuador entre el Centro Nacional de Despacho de Colombia, CND, y el Centro Nacional de Energía de Ecuador, </w:t>
      </w:r>
      <w:r w:rsidR="00012EF9" w:rsidRPr="003D2F72">
        <w:rPr>
          <w:rFonts w:cs="Arial"/>
          <w:bCs/>
        </w:rPr>
        <w:t>CENACE</w:t>
      </w:r>
      <w:r w:rsidR="003D2F72" w:rsidRPr="003D2F72">
        <w:rPr>
          <w:rFonts w:cs="Arial"/>
          <w:bCs/>
        </w:rPr>
        <w:t>.</w:t>
      </w:r>
    </w:p>
    <w:p w14:paraId="4716B3C3" w14:textId="4CFB2957" w:rsidR="00AA7818" w:rsidRDefault="00AA7818" w:rsidP="003D2F72">
      <w:pPr>
        <w:rPr>
          <w:rFonts w:cs="Arial"/>
          <w:bCs/>
        </w:rPr>
      </w:pPr>
    </w:p>
    <w:p w14:paraId="26DB2291" w14:textId="263D2EE8" w:rsidR="00027671" w:rsidRDefault="00AA7818" w:rsidP="00670BA3">
      <w:pPr>
        <w:rPr>
          <w:rFonts w:cs="Arial"/>
          <w:bCs/>
        </w:rPr>
      </w:pPr>
      <w:r>
        <w:rPr>
          <w:rFonts w:cs="Arial"/>
          <w:bCs/>
        </w:rPr>
        <w:t>E</w:t>
      </w:r>
      <w:r w:rsidRPr="00AA7818">
        <w:rPr>
          <w:rFonts w:cs="Arial"/>
          <w:bCs/>
        </w:rPr>
        <w:t xml:space="preserve">l acuerdo operativo Colombia </w:t>
      </w:r>
      <w:r w:rsidR="00FD1BD5">
        <w:rPr>
          <w:rFonts w:cs="Arial"/>
          <w:bCs/>
        </w:rPr>
        <w:t xml:space="preserve">- </w:t>
      </w:r>
      <w:r w:rsidRPr="00AA7818">
        <w:rPr>
          <w:rFonts w:cs="Arial"/>
          <w:bCs/>
        </w:rPr>
        <w:t>Ecuador suscrito en el año 2003</w:t>
      </w:r>
      <w:r>
        <w:rPr>
          <w:rFonts w:cs="Arial"/>
          <w:bCs/>
        </w:rPr>
        <w:t xml:space="preserve">, actualizado en </w:t>
      </w:r>
      <w:r w:rsidRPr="00AA7818">
        <w:rPr>
          <w:rFonts w:cs="Arial"/>
          <w:bCs/>
        </w:rPr>
        <w:t>el año 2008, establece</w:t>
      </w:r>
      <w:r w:rsidR="00670BA3">
        <w:rPr>
          <w:rFonts w:cs="Arial"/>
          <w:bCs/>
        </w:rPr>
        <w:t xml:space="preserve"> que</w:t>
      </w:r>
      <w:r w:rsidR="00027671">
        <w:rPr>
          <w:rFonts w:cs="Arial"/>
          <w:bCs/>
        </w:rPr>
        <w:t>:</w:t>
      </w:r>
    </w:p>
    <w:p w14:paraId="3ED90642" w14:textId="77777777" w:rsidR="00027671" w:rsidRDefault="00027671" w:rsidP="00670BA3">
      <w:pPr>
        <w:rPr>
          <w:rFonts w:cs="Arial"/>
          <w:bCs/>
        </w:rPr>
      </w:pPr>
    </w:p>
    <w:p w14:paraId="6257F7C4" w14:textId="77777777" w:rsidR="00027671" w:rsidRPr="006F655D" w:rsidRDefault="00027671" w:rsidP="00580A20">
      <w:pPr>
        <w:pStyle w:val="Prrafodelista"/>
        <w:numPr>
          <w:ilvl w:val="0"/>
          <w:numId w:val="19"/>
        </w:numPr>
        <w:spacing w:after="120"/>
        <w:ind w:left="284" w:right="142" w:hanging="284"/>
        <w:rPr>
          <w:rFonts w:cs="Arial"/>
          <w:bCs/>
          <w:i/>
          <w:iCs/>
        </w:rPr>
      </w:pPr>
      <w:r w:rsidRPr="006F655D">
        <w:rPr>
          <w:rFonts w:cs="Arial"/>
          <w:bCs/>
          <w:i/>
          <w:iCs/>
        </w:rPr>
        <w:t>E</w:t>
      </w:r>
      <w:r w:rsidR="00670BA3" w:rsidRPr="006F655D">
        <w:rPr>
          <w:rFonts w:cs="Arial"/>
          <w:bCs/>
          <w:i/>
          <w:iCs/>
        </w:rPr>
        <w:t>s responsabilidad de los Operadores de Sistema (XM y CENACE) el planeamiento operativo, la coordinación, supervisión y control de la operación de las Interconexiones, considerando los criterios de seguridad y confiabilidad establecidos en la ley aplicable</w:t>
      </w:r>
      <w:r w:rsidRPr="006F655D">
        <w:rPr>
          <w:rFonts w:cs="Arial"/>
          <w:bCs/>
          <w:i/>
          <w:iCs/>
        </w:rPr>
        <w:t>.</w:t>
      </w:r>
    </w:p>
    <w:p w14:paraId="5A6DBEDA" w14:textId="2E118003" w:rsidR="00AA7818" w:rsidRPr="006F655D" w:rsidRDefault="00027671" w:rsidP="00580A20">
      <w:pPr>
        <w:pStyle w:val="Prrafodelista"/>
        <w:numPr>
          <w:ilvl w:val="0"/>
          <w:numId w:val="19"/>
        </w:numPr>
        <w:spacing w:after="120"/>
        <w:ind w:left="284" w:right="142" w:hanging="284"/>
        <w:rPr>
          <w:rFonts w:cs="Arial"/>
          <w:bCs/>
          <w:i/>
          <w:iCs/>
        </w:rPr>
      </w:pPr>
      <w:r w:rsidRPr="006F655D">
        <w:rPr>
          <w:rFonts w:cs="Arial"/>
          <w:bCs/>
          <w:i/>
          <w:iCs/>
        </w:rPr>
        <w:t>Es</w:t>
      </w:r>
      <w:r w:rsidR="00670BA3" w:rsidRPr="006F655D">
        <w:rPr>
          <w:rFonts w:cs="Arial"/>
          <w:bCs/>
          <w:i/>
          <w:iCs/>
        </w:rPr>
        <w:t xml:space="preserve"> de responsabilidad de los transportadores de cada país, la ejecución de las maniobras operativas de las instalaciones asociadas a la interconexión, el mantenimiento de sus respectivas instalaciones, incluyendo el derecho de vía (servidumbre), reparaciones, reemplazos y otras modificaciones, así como de la seguridad de las personas y de las instalaciones que comprende la misma.</w:t>
      </w:r>
    </w:p>
    <w:p w14:paraId="7068BDA4" w14:textId="2199C99B" w:rsidR="00027671" w:rsidRPr="006F655D" w:rsidRDefault="00027671" w:rsidP="00580A20">
      <w:pPr>
        <w:pStyle w:val="Prrafodelista"/>
        <w:numPr>
          <w:ilvl w:val="0"/>
          <w:numId w:val="19"/>
        </w:numPr>
        <w:spacing w:after="120"/>
        <w:ind w:left="284" w:right="142" w:hanging="284"/>
        <w:rPr>
          <w:rFonts w:cs="Arial"/>
          <w:bCs/>
          <w:i/>
          <w:iCs/>
        </w:rPr>
      </w:pPr>
      <w:r w:rsidRPr="006F655D">
        <w:rPr>
          <w:rFonts w:cs="Arial"/>
          <w:bCs/>
          <w:i/>
          <w:iCs/>
        </w:rPr>
        <w:t>Los Operadores de Sistema realizarán o actualizarán coordinadamente los estudios y las metodologías necesarios para la operación interconectada de los sistemas con una periodicidad de al menos una vez al año. Dichos estudios analizarán y recomendarán las medidas a tomar y/o los equipos adicionales de protección y/o control que serán necesarios instalar en cada país para la operación interconectada de los sistemas, cumpliendo los niveles de calidad, seguridad y confiabilidad establecidos en la Ley Aplicable. Dentro de los estudios mencionados se encuentran los relacionados con el esquema de separación de áreas.</w:t>
      </w:r>
    </w:p>
    <w:p w14:paraId="23D80DE9" w14:textId="3C3AA3CA" w:rsidR="00616577" w:rsidRPr="006F655D" w:rsidRDefault="00616577" w:rsidP="00580A20">
      <w:pPr>
        <w:pStyle w:val="Prrafodelista"/>
        <w:numPr>
          <w:ilvl w:val="0"/>
          <w:numId w:val="19"/>
        </w:numPr>
        <w:spacing w:after="120"/>
        <w:ind w:left="284" w:right="142" w:hanging="284"/>
        <w:rPr>
          <w:rFonts w:cs="Arial"/>
          <w:bCs/>
          <w:i/>
          <w:iCs/>
        </w:rPr>
      </w:pPr>
      <w:r w:rsidRPr="006F655D">
        <w:rPr>
          <w:rFonts w:cs="Arial"/>
          <w:bCs/>
          <w:i/>
          <w:iCs/>
        </w:rPr>
        <w:t>El transportador responsable de cada país deberá instalar en el extremo correspondiente de la interconexión, los equipos de protección necesarios que garanticen la desconexión inmediata y confiable de la misma ante fallas que así lo ameriten.</w:t>
      </w:r>
    </w:p>
    <w:p w14:paraId="576FEC20" w14:textId="7C88C486" w:rsidR="00012EF9" w:rsidRPr="006F655D" w:rsidRDefault="00012EF9" w:rsidP="00580A20">
      <w:pPr>
        <w:pStyle w:val="Prrafodelista"/>
        <w:numPr>
          <w:ilvl w:val="0"/>
          <w:numId w:val="19"/>
        </w:numPr>
        <w:ind w:left="284" w:right="142" w:hanging="284"/>
        <w:rPr>
          <w:rFonts w:cs="Arial"/>
          <w:bCs/>
          <w:i/>
          <w:iCs/>
        </w:rPr>
      </w:pPr>
      <w:r w:rsidRPr="006F655D">
        <w:rPr>
          <w:rFonts w:cs="Arial"/>
          <w:bCs/>
          <w:i/>
          <w:iCs/>
        </w:rPr>
        <w:t>Los estudios de los sistemas de protecciones deben ser coordinados entre los Operadores de Sistema de los dos países, respetando los límites y restricciones en los equipos declarados por los transportadores al respectivo Operador de Sistema.</w:t>
      </w:r>
    </w:p>
    <w:p w14:paraId="0CB42020" w14:textId="77777777" w:rsidR="00FD1BD5" w:rsidRDefault="00FD1BD5" w:rsidP="3F103B3A">
      <w:pPr>
        <w:rPr>
          <w:rFonts w:cs="Arial"/>
        </w:rPr>
      </w:pPr>
    </w:p>
    <w:p w14:paraId="584449BF" w14:textId="3D33F112" w:rsidR="00A93E42" w:rsidRDefault="00A93E42" w:rsidP="3F103B3A">
      <w:pPr>
        <w:rPr>
          <w:rFonts w:cs="Arial"/>
        </w:rPr>
      </w:pPr>
      <w:r w:rsidRPr="3F103B3A">
        <w:rPr>
          <w:rFonts w:cs="Arial"/>
        </w:rPr>
        <w:t xml:space="preserve">La convocatoria UPME 01 de 2005 </w:t>
      </w:r>
      <w:r w:rsidR="22E457E3" w:rsidRPr="3F103B3A">
        <w:rPr>
          <w:rFonts w:cs="Arial"/>
        </w:rPr>
        <w:t>se abrió para adjudicar</w:t>
      </w:r>
      <w:r w:rsidRPr="3F103B3A">
        <w:rPr>
          <w:rFonts w:cs="Arial"/>
        </w:rPr>
        <w:t xml:space="preserve"> el diseño, adquisición de los suministros, construcción, operación y mantenimiento de la línea Betania-Altamira-Mocoa-Jamondino-Frontera, proyecto con el cual se adicionaban los circuitos 3 y 4 a la interconexión entre Colombia y Ecuador. </w:t>
      </w:r>
    </w:p>
    <w:p w14:paraId="4ECE07D1" w14:textId="77777777" w:rsidR="00A93E42" w:rsidRPr="003D2F72" w:rsidRDefault="00A93E42" w:rsidP="00A93E42">
      <w:pPr>
        <w:rPr>
          <w:rFonts w:cs="Arial"/>
          <w:bCs/>
        </w:rPr>
      </w:pPr>
    </w:p>
    <w:p w14:paraId="678C96A6" w14:textId="4C55370B" w:rsidR="594DA090" w:rsidRDefault="594DA090" w:rsidP="70CA88AF">
      <w:pPr>
        <w:rPr>
          <w:rFonts w:cs="Arial"/>
        </w:rPr>
      </w:pPr>
      <w:r w:rsidRPr="70CA88AF">
        <w:rPr>
          <w:rFonts w:cs="Arial"/>
        </w:rPr>
        <w:t>En</w:t>
      </w:r>
      <w:r w:rsidR="575D1317" w:rsidRPr="70CA88AF">
        <w:rPr>
          <w:rFonts w:cs="Arial"/>
        </w:rPr>
        <w:t xml:space="preserve"> el numeral 3 del Anexo 1 de </w:t>
      </w:r>
      <w:r w:rsidRPr="70CA88AF">
        <w:rPr>
          <w:rFonts w:cs="Arial"/>
        </w:rPr>
        <w:t>dicha convocatoria se precisó que</w:t>
      </w:r>
      <w:r w:rsidR="00CA0A60">
        <w:rPr>
          <w:rFonts w:cs="Arial"/>
        </w:rPr>
        <w:t>,</w:t>
      </w:r>
      <w:r w:rsidRPr="70CA88AF">
        <w:rPr>
          <w:rFonts w:cs="Arial"/>
        </w:rPr>
        <w:t xml:space="preserve"> </w:t>
      </w:r>
      <w:r w:rsidR="2E8EA5EB" w:rsidRPr="70CA88AF">
        <w:rPr>
          <w:rFonts w:cs="Arial"/>
        </w:rPr>
        <w:t xml:space="preserve">para la operación de las líneas </w:t>
      </w:r>
      <w:r w:rsidR="5FD3C079" w:rsidRPr="70CA88AF">
        <w:rPr>
          <w:rFonts w:cs="Arial"/>
        </w:rPr>
        <w:t>del proyecto</w:t>
      </w:r>
      <w:r w:rsidR="00CA0A60">
        <w:rPr>
          <w:rFonts w:cs="Arial"/>
        </w:rPr>
        <w:t>,</w:t>
      </w:r>
      <w:r w:rsidR="5FD3C079" w:rsidRPr="70CA88AF">
        <w:rPr>
          <w:rFonts w:cs="Arial"/>
        </w:rPr>
        <w:t xml:space="preserve"> </w:t>
      </w:r>
      <w:r w:rsidRPr="70CA88AF">
        <w:rPr>
          <w:rFonts w:cs="Arial"/>
        </w:rPr>
        <w:t xml:space="preserve">debería </w:t>
      </w:r>
      <w:r w:rsidR="5D0B8F8D" w:rsidRPr="70CA88AF">
        <w:rPr>
          <w:rFonts w:cs="Arial"/>
        </w:rPr>
        <w:t>"tenerse en cuenta el Acuerdo Operativo Colombia – Ecuador- Centro Nacional de Despacho – CND (Colombia) – y Centro Nacional de Energía – CENACE- (Ecuador).”</w:t>
      </w:r>
    </w:p>
    <w:p w14:paraId="30A4F1B5" w14:textId="68C85A21" w:rsidR="3F103B3A" w:rsidRDefault="3F103B3A" w:rsidP="3F103B3A">
      <w:pPr>
        <w:rPr>
          <w:rFonts w:cs="Arial"/>
        </w:rPr>
      </w:pPr>
    </w:p>
    <w:p w14:paraId="510EB830" w14:textId="0B6884DB" w:rsidR="00A93E42" w:rsidRDefault="00A93E42" w:rsidP="00A93E42">
      <w:pPr>
        <w:rPr>
          <w:rFonts w:cs="Arial"/>
          <w:bCs/>
        </w:rPr>
      </w:pPr>
      <w:r>
        <w:rPr>
          <w:rFonts w:cs="Arial"/>
          <w:bCs/>
        </w:rPr>
        <w:t>A l</w:t>
      </w:r>
      <w:r w:rsidRPr="003D2F72">
        <w:rPr>
          <w:rFonts w:cs="Arial"/>
          <w:bCs/>
        </w:rPr>
        <w:t>a Empresa de Energía de Bogotá</w:t>
      </w:r>
      <w:r w:rsidR="00FD1BD5">
        <w:rPr>
          <w:rFonts w:cs="Arial"/>
          <w:bCs/>
        </w:rPr>
        <w:t xml:space="preserve"> S.A. E.S.P.</w:t>
      </w:r>
      <w:r w:rsidRPr="003D2F72">
        <w:rPr>
          <w:rFonts w:cs="Arial"/>
          <w:bCs/>
        </w:rPr>
        <w:t xml:space="preserve">, hoy Grupo Energía Bogotá, GEB, se le adjudicó la convocatoria UPME 01 de 2005. </w:t>
      </w:r>
    </w:p>
    <w:p w14:paraId="3CBCEC6B" w14:textId="77777777" w:rsidR="00A93E42" w:rsidRDefault="00A93E42" w:rsidP="00A93E42">
      <w:pPr>
        <w:rPr>
          <w:rFonts w:cs="Arial"/>
          <w:bCs/>
        </w:rPr>
      </w:pPr>
    </w:p>
    <w:p w14:paraId="36C69CB0" w14:textId="185DAD4C" w:rsidR="00A93E42" w:rsidRDefault="00A93E42" w:rsidP="00A93E42">
      <w:pPr>
        <w:rPr>
          <w:rFonts w:cs="Arial"/>
          <w:bCs/>
        </w:rPr>
      </w:pPr>
      <w:r>
        <w:rPr>
          <w:rFonts w:cs="Arial"/>
          <w:bCs/>
        </w:rPr>
        <w:t>M</w:t>
      </w:r>
      <w:r w:rsidRPr="003D2F72">
        <w:rPr>
          <w:rFonts w:cs="Arial"/>
          <w:bCs/>
        </w:rPr>
        <w:t xml:space="preserve">ediante la Resolución CREG </w:t>
      </w:r>
      <w:r>
        <w:rPr>
          <w:rFonts w:cs="Arial"/>
          <w:bCs/>
        </w:rPr>
        <w:t>077 de 2005, modificada por la Resolución CREG 091 de 2005,</w:t>
      </w:r>
      <w:r w:rsidRPr="003D2F72">
        <w:rPr>
          <w:rFonts w:cs="Arial"/>
          <w:bCs/>
        </w:rPr>
        <w:t xml:space="preserve"> se aprobó el ingreso anual esperado por un </w:t>
      </w:r>
      <w:r w:rsidR="00FD1BD5" w:rsidRPr="003D2F72">
        <w:rPr>
          <w:rFonts w:cs="Arial"/>
          <w:bCs/>
        </w:rPr>
        <w:t>per</w:t>
      </w:r>
      <w:r w:rsidR="00FD1BD5">
        <w:rPr>
          <w:rFonts w:cs="Arial"/>
          <w:bCs/>
        </w:rPr>
        <w:t>í</w:t>
      </w:r>
      <w:r w:rsidR="00FD1BD5" w:rsidRPr="003D2F72">
        <w:rPr>
          <w:rFonts w:cs="Arial"/>
          <w:bCs/>
        </w:rPr>
        <w:t xml:space="preserve">odo </w:t>
      </w:r>
      <w:r w:rsidRPr="003D2F72">
        <w:rPr>
          <w:rFonts w:cs="Arial"/>
          <w:bCs/>
        </w:rPr>
        <w:t>de 25 años para la ejecución y operación de</w:t>
      </w:r>
      <w:r>
        <w:rPr>
          <w:rFonts w:cs="Arial"/>
          <w:bCs/>
        </w:rPr>
        <w:t>l</w:t>
      </w:r>
      <w:r w:rsidRPr="003D2F72">
        <w:rPr>
          <w:rFonts w:cs="Arial"/>
          <w:bCs/>
        </w:rPr>
        <w:t xml:space="preserve"> proyecto</w:t>
      </w:r>
      <w:r>
        <w:rPr>
          <w:rFonts w:cs="Arial"/>
          <w:bCs/>
        </w:rPr>
        <w:t xml:space="preserve"> de la convocatoria UPME 01 de 2005</w:t>
      </w:r>
      <w:r w:rsidRPr="003D2F72">
        <w:rPr>
          <w:rFonts w:cs="Arial"/>
          <w:bCs/>
        </w:rPr>
        <w:t>.</w:t>
      </w:r>
    </w:p>
    <w:p w14:paraId="51505CB9" w14:textId="13020FD5" w:rsidR="00A93E42" w:rsidRDefault="00A93E42" w:rsidP="00A93E42">
      <w:pPr>
        <w:rPr>
          <w:rFonts w:cs="Arial"/>
          <w:bCs/>
        </w:rPr>
      </w:pPr>
    </w:p>
    <w:p w14:paraId="51262410" w14:textId="51DEDE20" w:rsidR="00A93E42" w:rsidRDefault="002979E0" w:rsidP="00A93E42">
      <w:pPr>
        <w:rPr>
          <w:rFonts w:cs="Arial"/>
          <w:bCs/>
        </w:rPr>
      </w:pPr>
      <w:r>
        <w:rPr>
          <w:rFonts w:cs="Arial"/>
          <w:bCs/>
        </w:rPr>
        <w:t xml:space="preserve">En el año 2008 entraron en operación comercial </w:t>
      </w:r>
      <w:r w:rsidR="00B67998">
        <w:rPr>
          <w:rFonts w:cs="Arial"/>
          <w:bCs/>
        </w:rPr>
        <w:t>e</w:t>
      </w:r>
      <w:r w:rsidR="002241DC">
        <w:rPr>
          <w:rFonts w:cs="Arial"/>
          <w:bCs/>
        </w:rPr>
        <w:t xml:space="preserve">l tercer y </w:t>
      </w:r>
      <w:r w:rsidR="00B67998">
        <w:rPr>
          <w:rFonts w:cs="Arial"/>
          <w:bCs/>
        </w:rPr>
        <w:t xml:space="preserve">el </w:t>
      </w:r>
      <w:r w:rsidR="002241DC">
        <w:rPr>
          <w:rFonts w:cs="Arial"/>
          <w:bCs/>
        </w:rPr>
        <w:t>cuarto circuito entre</w:t>
      </w:r>
      <w:r>
        <w:rPr>
          <w:rFonts w:cs="Arial"/>
          <w:bCs/>
        </w:rPr>
        <w:t xml:space="preserve"> </w:t>
      </w:r>
      <w:r w:rsidR="00B67998">
        <w:rPr>
          <w:rFonts w:cs="Arial"/>
          <w:bCs/>
        </w:rPr>
        <w:t>las subestaciones</w:t>
      </w:r>
      <w:r w:rsidR="002241DC">
        <w:rPr>
          <w:rFonts w:cs="Arial"/>
          <w:bCs/>
        </w:rPr>
        <w:t xml:space="preserve"> Jamondino y Pomasqui</w:t>
      </w:r>
      <w:r w:rsidR="00B67998">
        <w:rPr>
          <w:rFonts w:cs="Arial"/>
          <w:bCs/>
        </w:rPr>
        <w:t>,</w:t>
      </w:r>
      <w:r w:rsidR="002241DC">
        <w:rPr>
          <w:rFonts w:cs="Arial"/>
          <w:bCs/>
        </w:rPr>
        <w:t xml:space="preserve"> </w:t>
      </w:r>
      <w:r>
        <w:rPr>
          <w:rFonts w:cs="Arial"/>
          <w:bCs/>
        </w:rPr>
        <w:t>y</w:t>
      </w:r>
      <w:r w:rsidR="002241DC">
        <w:rPr>
          <w:rFonts w:cs="Arial"/>
          <w:bCs/>
        </w:rPr>
        <w:t xml:space="preserve"> entró en operación un segundo </w:t>
      </w:r>
      <w:r w:rsidR="00B67998">
        <w:rPr>
          <w:rFonts w:cs="Arial"/>
          <w:bCs/>
        </w:rPr>
        <w:t xml:space="preserve">equipo </w:t>
      </w:r>
      <w:r w:rsidR="002241DC">
        <w:rPr>
          <w:rFonts w:cs="Arial"/>
          <w:bCs/>
        </w:rPr>
        <w:t>de separación de áreas, instalado</w:t>
      </w:r>
      <w:r w:rsidR="00B67998">
        <w:rPr>
          <w:rFonts w:cs="Arial"/>
          <w:bCs/>
        </w:rPr>
        <w:t xml:space="preserve"> en Colombia</w:t>
      </w:r>
      <w:r w:rsidR="002241DC">
        <w:rPr>
          <w:rFonts w:cs="Arial"/>
          <w:bCs/>
        </w:rPr>
        <w:t xml:space="preserve"> por la Empresa de Energía de Bogotá</w:t>
      </w:r>
      <w:r w:rsidR="00FD1BD5">
        <w:rPr>
          <w:rFonts w:cs="Arial"/>
          <w:bCs/>
        </w:rPr>
        <w:t xml:space="preserve"> S.A. E.S.P</w:t>
      </w:r>
      <w:r w:rsidR="002241DC">
        <w:rPr>
          <w:rFonts w:cs="Arial"/>
          <w:bCs/>
        </w:rPr>
        <w:t>.</w:t>
      </w:r>
    </w:p>
    <w:p w14:paraId="7A6B1EE4" w14:textId="77777777" w:rsidR="002241DC" w:rsidRDefault="002241DC" w:rsidP="00A93E42">
      <w:pPr>
        <w:rPr>
          <w:rFonts w:cs="Arial"/>
          <w:bCs/>
        </w:rPr>
      </w:pPr>
    </w:p>
    <w:p w14:paraId="4CEDF657" w14:textId="6DFC5547" w:rsidR="00D37317" w:rsidRDefault="00801997" w:rsidP="3F103B3A">
      <w:pPr>
        <w:spacing w:after="120"/>
        <w:rPr>
          <w:rFonts w:cs="Arial"/>
        </w:rPr>
      </w:pPr>
      <w:r w:rsidRPr="3F103B3A">
        <w:rPr>
          <w:rFonts w:cs="Arial"/>
        </w:rPr>
        <w:t xml:space="preserve">Sobre el </w:t>
      </w:r>
      <w:r w:rsidR="00D37317" w:rsidRPr="3F103B3A">
        <w:rPr>
          <w:rFonts w:cs="Arial"/>
        </w:rPr>
        <w:t>esquema de separación de áreas</w:t>
      </w:r>
      <w:r w:rsidR="00B67998">
        <w:rPr>
          <w:rFonts w:cs="Arial"/>
        </w:rPr>
        <w:t xml:space="preserve"> entre Colombia y Ecuador</w:t>
      </w:r>
      <w:r w:rsidR="00D37317" w:rsidRPr="3F103B3A">
        <w:rPr>
          <w:rFonts w:cs="Arial"/>
        </w:rPr>
        <w:t xml:space="preserve">, mediante comunicación con radicado número CREG E-2019-013422, XM </w:t>
      </w:r>
      <w:r w:rsidR="00FD1BD5">
        <w:rPr>
          <w:rFonts w:cs="Arial"/>
        </w:rPr>
        <w:t xml:space="preserve">S.A. E.S.P. </w:t>
      </w:r>
      <w:r w:rsidR="00D37317" w:rsidRPr="3F103B3A">
        <w:rPr>
          <w:rFonts w:cs="Arial"/>
        </w:rPr>
        <w:t>informó a la CREG que ha</w:t>
      </w:r>
      <w:r w:rsidR="00B67998">
        <w:rPr>
          <w:rFonts w:cs="Arial"/>
        </w:rPr>
        <w:t>bía</w:t>
      </w:r>
      <w:r w:rsidR="00D37317" w:rsidRPr="3F103B3A">
        <w:rPr>
          <w:rFonts w:cs="Arial"/>
        </w:rPr>
        <w:t xml:space="preserve"> venido trabajando con recursos aprobados por la </w:t>
      </w:r>
      <w:r w:rsidR="00B67998">
        <w:rPr>
          <w:rFonts w:cs="Arial"/>
        </w:rPr>
        <w:t>Comisión</w:t>
      </w:r>
      <w:r w:rsidR="00B67998" w:rsidRPr="3F103B3A">
        <w:rPr>
          <w:rFonts w:cs="Arial"/>
        </w:rPr>
        <w:t xml:space="preserve"> </w:t>
      </w:r>
      <w:r w:rsidR="00D37317" w:rsidRPr="3F103B3A">
        <w:rPr>
          <w:rFonts w:cs="Arial"/>
        </w:rPr>
        <w:t>en el diseño e implementación del prototipo de un nuevo esquema entre Colombia y Ecuador, teniendo en cuenta que la tecnología disponible actualmente hace viable diseñar un esquema que permit</w:t>
      </w:r>
      <w:r w:rsidR="3F9C22F0" w:rsidRPr="3F103B3A">
        <w:rPr>
          <w:rFonts w:cs="Arial"/>
        </w:rPr>
        <w:t>e</w:t>
      </w:r>
      <w:r w:rsidR="00D37317" w:rsidRPr="3F103B3A">
        <w:rPr>
          <w:rFonts w:cs="Arial"/>
        </w:rPr>
        <w:t xml:space="preserve"> mayores transferencias de energía entre ambos países.</w:t>
      </w:r>
    </w:p>
    <w:p w14:paraId="0C5C1E3C" w14:textId="282CBDE2" w:rsidR="00801997" w:rsidRDefault="00801997" w:rsidP="00801997">
      <w:pPr>
        <w:spacing w:after="120"/>
        <w:rPr>
          <w:rFonts w:cs="Arial"/>
          <w:bCs/>
        </w:rPr>
      </w:pPr>
      <w:r>
        <w:rPr>
          <w:rFonts w:cs="Arial"/>
          <w:bCs/>
        </w:rPr>
        <w:t>De acuerdo con los estudios de XM</w:t>
      </w:r>
      <w:r w:rsidR="00FD1BD5">
        <w:rPr>
          <w:rFonts w:cs="Arial"/>
          <w:bCs/>
        </w:rPr>
        <w:t xml:space="preserve"> S.A. E.S.P.</w:t>
      </w:r>
      <w:r>
        <w:rPr>
          <w:rFonts w:cs="Arial"/>
          <w:bCs/>
        </w:rPr>
        <w:t>, la actualización del esquema de separación de áreas permite aumentar los intercambios entre Colombia y Ecuador pasando de tener una capacidad de i</w:t>
      </w:r>
      <w:r w:rsidRPr="00801997">
        <w:rPr>
          <w:rFonts w:cs="Arial"/>
          <w:bCs/>
        </w:rPr>
        <w:t>mportación de 7,2 GWh/día a 9,7 GWh/día</w:t>
      </w:r>
      <w:r>
        <w:rPr>
          <w:rFonts w:cs="Arial"/>
          <w:bCs/>
        </w:rPr>
        <w:t xml:space="preserve"> y una capacidad de e</w:t>
      </w:r>
      <w:r w:rsidRPr="00801997">
        <w:rPr>
          <w:rFonts w:cs="Arial"/>
          <w:bCs/>
        </w:rPr>
        <w:t>xportación de 4,8 GWh/día a 11,2 GWh/día</w:t>
      </w:r>
      <w:r>
        <w:rPr>
          <w:rFonts w:cs="Arial"/>
          <w:bCs/>
        </w:rPr>
        <w:t>.</w:t>
      </w:r>
    </w:p>
    <w:p w14:paraId="1371AF39" w14:textId="577D4A9C" w:rsidR="00C23DFA" w:rsidRDefault="00C23DFA" w:rsidP="3F103B3A">
      <w:pPr>
        <w:spacing w:after="120"/>
        <w:rPr>
          <w:rFonts w:cs="Arial"/>
        </w:rPr>
      </w:pPr>
      <w:r w:rsidRPr="3F103B3A">
        <w:rPr>
          <w:rFonts w:cs="Arial"/>
        </w:rPr>
        <w:t xml:space="preserve">En el encuentro presidencial y VIII gabinete binacional entre Colombia y Ecuador, realizado en la ciudad de Cali </w:t>
      </w:r>
      <w:r w:rsidR="11840BB2" w:rsidRPr="3F103B3A">
        <w:rPr>
          <w:rFonts w:cs="Arial"/>
        </w:rPr>
        <w:t>en</w:t>
      </w:r>
      <w:r w:rsidRPr="3F103B3A">
        <w:rPr>
          <w:rFonts w:cs="Arial"/>
        </w:rPr>
        <w:t xml:space="preserve"> diciembre de 2019, se incluyó en el plan de acción el compromiso de </w:t>
      </w:r>
      <w:r w:rsidRPr="3F103B3A">
        <w:rPr>
          <w:rFonts w:cs="Arial"/>
          <w:i/>
          <w:iCs/>
        </w:rPr>
        <w:t>“Realizar los estudios necesarios que permitan la puesta en operación del nuevo esquema de separación de áreas en la subestación Jamondino de Colombia, a fin de maximizar las transferencias de energía entre ambos países</w:t>
      </w:r>
      <w:r w:rsidRPr="3F103B3A">
        <w:rPr>
          <w:rFonts w:cs="Arial"/>
        </w:rPr>
        <w:t>”</w:t>
      </w:r>
      <w:r w:rsidR="00FD1BD5">
        <w:rPr>
          <w:rFonts w:cs="Arial"/>
        </w:rPr>
        <w:t>.</w:t>
      </w:r>
    </w:p>
    <w:p w14:paraId="12091BE0" w14:textId="046074F7" w:rsidR="00C23DFA" w:rsidRDefault="008043D9" w:rsidP="3F103B3A">
      <w:pPr>
        <w:spacing w:after="120"/>
        <w:rPr>
          <w:rFonts w:cs="Arial"/>
        </w:rPr>
      </w:pPr>
      <w:r w:rsidRPr="3F103B3A">
        <w:rPr>
          <w:rFonts w:cs="Arial"/>
        </w:rPr>
        <w:t>El Ministerio de Minas y Energía</w:t>
      </w:r>
      <w:r w:rsidR="00FD1BD5">
        <w:rPr>
          <w:rFonts w:cs="Arial"/>
        </w:rPr>
        <w:t>,</w:t>
      </w:r>
      <w:r w:rsidRPr="3F103B3A">
        <w:rPr>
          <w:rFonts w:cs="Arial"/>
        </w:rPr>
        <w:t xml:space="preserve"> mediante comunicación </w:t>
      </w:r>
      <w:r w:rsidR="4EB90A2D" w:rsidRPr="3F103B3A">
        <w:rPr>
          <w:rFonts w:cs="Arial"/>
        </w:rPr>
        <w:t xml:space="preserve">con radicado CREG </w:t>
      </w:r>
      <w:r w:rsidRPr="3F103B3A">
        <w:rPr>
          <w:rFonts w:cs="Arial"/>
        </w:rPr>
        <w:t>E</w:t>
      </w:r>
      <w:r w:rsidR="00AD6BB4">
        <w:rPr>
          <w:rFonts w:cs="Arial"/>
        </w:rPr>
        <w:noBreakHyphen/>
      </w:r>
      <w:r w:rsidRPr="3F103B3A">
        <w:rPr>
          <w:rFonts w:cs="Arial"/>
        </w:rPr>
        <w:t>2020-003634</w:t>
      </w:r>
      <w:r w:rsidR="00FD1BD5">
        <w:rPr>
          <w:rFonts w:cs="Arial"/>
        </w:rPr>
        <w:t>,</w:t>
      </w:r>
      <w:r w:rsidRPr="3F103B3A">
        <w:rPr>
          <w:rFonts w:cs="Arial"/>
        </w:rPr>
        <w:t xml:space="preserve"> solicitó </w:t>
      </w:r>
      <w:r w:rsidR="00C676FC" w:rsidRPr="3F103B3A">
        <w:rPr>
          <w:rFonts w:cs="Arial"/>
          <w:i/>
          <w:iCs/>
        </w:rPr>
        <w:t xml:space="preserve">“a la Comisión tener en consideración </w:t>
      </w:r>
      <w:r w:rsidR="002F79EC">
        <w:rPr>
          <w:rFonts w:cs="Arial"/>
          <w:i/>
          <w:iCs/>
        </w:rPr>
        <w:t xml:space="preserve">la comunicación </w:t>
      </w:r>
      <w:r w:rsidR="00C676FC" w:rsidRPr="3F103B3A">
        <w:rPr>
          <w:rFonts w:cs="Arial"/>
          <w:i/>
          <w:iCs/>
        </w:rPr>
        <w:t>enviada por XM el día 10 de diciembre de 2019 a la CREG donde hace</w:t>
      </w:r>
      <w:r w:rsidR="002F79EC">
        <w:rPr>
          <w:rFonts w:cs="Arial"/>
          <w:i/>
          <w:iCs/>
        </w:rPr>
        <w:t>n dicha</w:t>
      </w:r>
      <w:r w:rsidR="00C676FC" w:rsidRPr="3F103B3A">
        <w:rPr>
          <w:rFonts w:cs="Arial"/>
          <w:i/>
          <w:iCs/>
        </w:rPr>
        <w:t xml:space="preserve"> solicitud y validar con XM si la emisión de la regulación constituye un condicionante para que se pueda incrementar el intercambio entre Colombia y Ecuador hasta 10 GWh-día con los nuevos ajustes del ESA”</w:t>
      </w:r>
      <w:r w:rsidR="00C676FC" w:rsidRPr="3F103B3A">
        <w:rPr>
          <w:rFonts w:cs="Arial"/>
        </w:rPr>
        <w:t xml:space="preserve">. </w:t>
      </w:r>
    </w:p>
    <w:p w14:paraId="43DEE37A" w14:textId="5B2A0BF5" w:rsidR="00702D78" w:rsidRDefault="00702D78" w:rsidP="00580A20">
      <w:pPr>
        <w:spacing w:after="120"/>
        <w:rPr>
          <w:rFonts w:cs="Arial"/>
          <w:bCs/>
        </w:rPr>
      </w:pPr>
      <w:r>
        <w:rPr>
          <w:rFonts w:cs="Arial"/>
          <w:bCs/>
        </w:rPr>
        <w:t>El artículo 87 de la Ley 142 de 1994 incluye dentro de los criterios en los que debe estar orientado el régimen tarifario el de eficiencia económica, según el cual</w:t>
      </w:r>
      <w:r w:rsidR="00FD1BD5">
        <w:rPr>
          <w:rFonts w:cs="Arial"/>
          <w:bCs/>
        </w:rPr>
        <w:t>,</w:t>
      </w:r>
      <w:r>
        <w:rPr>
          <w:rFonts w:cs="Arial"/>
          <w:bCs/>
        </w:rPr>
        <w:t xml:space="preserve"> las</w:t>
      </w:r>
      <w:r w:rsidRPr="005538BC">
        <w:rPr>
          <w:rFonts w:cs="Arial"/>
          <w:bCs/>
        </w:rPr>
        <w:t xml:space="preserve"> tarifas </w:t>
      </w:r>
      <w:r>
        <w:rPr>
          <w:rFonts w:cs="Arial"/>
          <w:bCs/>
        </w:rPr>
        <w:t xml:space="preserve">deben </w:t>
      </w:r>
      <w:r w:rsidRPr="005538BC">
        <w:rPr>
          <w:rFonts w:cs="Arial"/>
          <w:bCs/>
        </w:rPr>
        <w:t>aproxim</w:t>
      </w:r>
      <w:r>
        <w:rPr>
          <w:rFonts w:cs="Arial"/>
          <w:bCs/>
        </w:rPr>
        <w:t>arse</w:t>
      </w:r>
      <w:r w:rsidRPr="005538BC">
        <w:rPr>
          <w:rFonts w:cs="Arial"/>
          <w:bCs/>
        </w:rPr>
        <w:t xml:space="preserve"> a lo que serían los precios de un mercado competitivo</w:t>
      </w:r>
      <w:r>
        <w:rPr>
          <w:rFonts w:cs="Arial"/>
          <w:bCs/>
        </w:rPr>
        <w:t>.</w:t>
      </w:r>
    </w:p>
    <w:p w14:paraId="7E6F5A78" w14:textId="129F6B15" w:rsidR="00EB59CA" w:rsidRDefault="00280A4E" w:rsidP="00C676FC">
      <w:pPr>
        <w:spacing w:after="120"/>
        <w:rPr>
          <w:rFonts w:cs="Arial"/>
          <w:bCs/>
        </w:rPr>
      </w:pPr>
      <w:r w:rsidRPr="00280A4E">
        <w:rPr>
          <w:rFonts w:cs="Arial"/>
          <w:bCs/>
        </w:rPr>
        <w:t>Mediante la Resolución CREG 011 de 2009</w:t>
      </w:r>
      <w:r w:rsidR="00FD1BD5">
        <w:rPr>
          <w:rFonts w:cs="Arial"/>
          <w:bCs/>
        </w:rPr>
        <w:t>,</w:t>
      </w:r>
      <w:r w:rsidRPr="00280A4E">
        <w:rPr>
          <w:rFonts w:cs="Arial"/>
          <w:bCs/>
        </w:rPr>
        <w:t xml:space="preserve"> la Comisión de Regulación de Energía y Gas estableció la metodología y fórmulas tarifarias para la remuneración de la actividad de transmisión de energía eléctrica en el </w:t>
      </w:r>
      <w:r w:rsidR="00FD1BD5">
        <w:rPr>
          <w:rFonts w:cs="Arial"/>
          <w:bCs/>
        </w:rPr>
        <w:t>S</w:t>
      </w:r>
      <w:r w:rsidR="00FD1BD5" w:rsidRPr="00280A4E">
        <w:rPr>
          <w:rFonts w:cs="Arial"/>
          <w:bCs/>
        </w:rPr>
        <w:t xml:space="preserve">istema </w:t>
      </w:r>
      <w:r w:rsidRPr="00280A4E">
        <w:rPr>
          <w:rFonts w:cs="Arial"/>
          <w:bCs/>
        </w:rPr>
        <w:t xml:space="preserve">de </w:t>
      </w:r>
      <w:r w:rsidR="00FD1BD5">
        <w:rPr>
          <w:rFonts w:cs="Arial"/>
          <w:bCs/>
        </w:rPr>
        <w:t>T</w:t>
      </w:r>
      <w:r w:rsidR="00FD1BD5" w:rsidRPr="00280A4E">
        <w:rPr>
          <w:rFonts w:cs="Arial"/>
          <w:bCs/>
        </w:rPr>
        <w:t xml:space="preserve">ransmisión </w:t>
      </w:r>
      <w:r w:rsidR="00FD1BD5">
        <w:rPr>
          <w:rFonts w:cs="Arial"/>
          <w:bCs/>
        </w:rPr>
        <w:t>N</w:t>
      </w:r>
      <w:r w:rsidR="00FD1BD5" w:rsidRPr="00280A4E">
        <w:rPr>
          <w:rFonts w:cs="Arial"/>
          <w:bCs/>
        </w:rPr>
        <w:t>acional</w:t>
      </w:r>
      <w:r w:rsidR="00FD1BD5">
        <w:rPr>
          <w:rFonts w:cs="Arial"/>
          <w:bCs/>
        </w:rPr>
        <w:t>, STN</w:t>
      </w:r>
      <w:r w:rsidRPr="00280A4E">
        <w:rPr>
          <w:rFonts w:cs="Arial"/>
          <w:bCs/>
        </w:rPr>
        <w:t>.</w:t>
      </w:r>
    </w:p>
    <w:p w14:paraId="0F4ADA72" w14:textId="2C6EE3FD" w:rsidR="00280A4E" w:rsidRDefault="00280A4E" w:rsidP="00C676FC">
      <w:pPr>
        <w:spacing w:after="120"/>
        <w:rPr>
          <w:rFonts w:cs="Arial"/>
          <w:bCs/>
        </w:rPr>
      </w:pPr>
      <w:r w:rsidRPr="00280A4E">
        <w:rPr>
          <w:rFonts w:cs="Arial"/>
          <w:bCs/>
        </w:rPr>
        <w:t xml:space="preserve">La Resolución CREG 022 de 2001 </w:t>
      </w:r>
      <w:r w:rsidR="00702D78">
        <w:rPr>
          <w:rFonts w:cs="Arial"/>
          <w:bCs/>
        </w:rPr>
        <w:t xml:space="preserve">establece </w:t>
      </w:r>
      <w:r w:rsidRPr="00280A4E">
        <w:rPr>
          <w:rFonts w:cs="Arial"/>
          <w:bCs/>
        </w:rPr>
        <w:t>los principios generales y los procedimientos para definir el Plan de Expansión de Referencia del STN, modificando el numeral 7 del Código de Planeamiento de la Expansión del Sistema de Transmisión Nacional, y establec</w:t>
      </w:r>
      <w:r w:rsidR="00702D78">
        <w:rPr>
          <w:rFonts w:cs="Arial"/>
          <w:bCs/>
        </w:rPr>
        <w:t>e</w:t>
      </w:r>
      <w:r w:rsidRPr="00280A4E">
        <w:rPr>
          <w:rFonts w:cs="Arial"/>
          <w:bCs/>
        </w:rPr>
        <w:t xml:space="preserve"> la metodología para determinar el Ingreso Regulado por concepto del uso de este </w:t>
      </w:r>
      <w:r w:rsidR="00EA2565">
        <w:rPr>
          <w:rFonts w:cs="Arial"/>
          <w:bCs/>
        </w:rPr>
        <w:t>s</w:t>
      </w:r>
      <w:r w:rsidRPr="00280A4E">
        <w:rPr>
          <w:rFonts w:cs="Arial"/>
          <w:bCs/>
        </w:rPr>
        <w:t>istema. Mediante las resoluciones CREG 085 de 2002, 093 de 2007, 147 de 2011 y 064 de 2013 se modificaron algunos apartes de la Resolución CREG 022 de 2001.</w:t>
      </w:r>
    </w:p>
    <w:p w14:paraId="352D2E03" w14:textId="24A73519" w:rsidR="00FA7ED3" w:rsidRDefault="00FA7ED3" w:rsidP="00C676FC">
      <w:pPr>
        <w:spacing w:after="120"/>
        <w:rPr>
          <w:rFonts w:cs="Arial"/>
          <w:bCs/>
        </w:rPr>
      </w:pPr>
      <w:r>
        <w:rPr>
          <w:rFonts w:cs="Arial"/>
          <w:bCs/>
        </w:rPr>
        <w:t>XM</w:t>
      </w:r>
      <w:r w:rsidR="00FD1BD5">
        <w:rPr>
          <w:rFonts w:cs="Arial"/>
          <w:bCs/>
        </w:rPr>
        <w:t xml:space="preserve"> S.A. E.S.P.</w:t>
      </w:r>
      <w:r w:rsidR="00CC6D01">
        <w:rPr>
          <w:rFonts w:cs="Arial"/>
          <w:bCs/>
        </w:rPr>
        <w:t>,</w:t>
      </w:r>
      <w:r>
        <w:rPr>
          <w:rFonts w:cs="Arial"/>
          <w:bCs/>
        </w:rPr>
        <w:t xml:space="preserve"> mediante comunicaciones radicadas en la CREG con los números E-2020-00</w:t>
      </w:r>
      <w:r w:rsidR="007C48AB">
        <w:rPr>
          <w:rFonts w:cs="Arial"/>
          <w:bCs/>
        </w:rPr>
        <w:t>6940 y E-2020-006942</w:t>
      </w:r>
      <w:r w:rsidR="00CC6D01">
        <w:rPr>
          <w:rFonts w:cs="Arial"/>
          <w:bCs/>
        </w:rPr>
        <w:t>,</w:t>
      </w:r>
      <w:r>
        <w:rPr>
          <w:rFonts w:cs="Arial"/>
          <w:bCs/>
        </w:rPr>
        <w:t xml:space="preserve"> suministró información de los costos incurridos para el desarrollo del prototipo del nuevo esquema de separación de áreas requerido en la interconexión Colombia – Ecuador.</w:t>
      </w:r>
    </w:p>
    <w:p w14:paraId="497CD581" w14:textId="08DBC31F" w:rsidR="00066334" w:rsidRDefault="00066334" w:rsidP="00C676FC">
      <w:pPr>
        <w:spacing w:after="120"/>
        <w:rPr>
          <w:rFonts w:cs="Arial"/>
          <w:bCs/>
        </w:rPr>
      </w:pPr>
      <w:r>
        <w:rPr>
          <w:rFonts w:cs="Arial"/>
          <w:bCs/>
        </w:rPr>
        <w:t xml:space="preserve">Mediante la Resolución CREG 139 de 2020 </w:t>
      </w:r>
      <w:r w:rsidR="00CC6D01">
        <w:rPr>
          <w:rFonts w:cs="Arial"/>
          <w:bCs/>
        </w:rPr>
        <w:t>la Comisión</w:t>
      </w:r>
      <w:r>
        <w:rPr>
          <w:rFonts w:cs="Arial"/>
          <w:bCs/>
        </w:rPr>
        <w:t xml:space="preserve"> publicó </w:t>
      </w:r>
      <w:r w:rsidR="002979E0">
        <w:rPr>
          <w:rFonts w:cs="Arial"/>
          <w:bCs/>
        </w:rPr>
        <w:t xml:space="preserve">para consulta </w:t>
      </w:r>
      <w:r>
        <w:rPr>
          <w:rFonts w:cs="Arial"/>
          <w:bCs/>
        </w:rPr>
        <w:t>el proyecto de resolución con las disposiciones propuestas para la a</w:t>
      </w:r>
      <w:r w:rsidRPr="00066334">
        <w:rPr>
          <w:rFonts w:cs="Arial"/>
          <w:bCs/>
        </w:rPr>
        <w:t>ctualización del esquema de separación de áreas de la interconexión Colombia – Ecuador a 230 kV</w:t>
      </w:r>
      <w:r>
        <w:rPr>
          <w:rFonts w:cs="Arial"/>
          <w:bCs/>
        </w:rPr>
        <w:t>.</w:t>
      </w:r>
    </w:p>
    <w:p w14:paraId="5579C04E" w14:textId="1CF97266" w:rsidR="005219AA" w:rsidRPr="005219AA" w:rsidRDefault="00066334" w:rsidP="005219AA">
      <w:pPr>
        <w:spacing w:after="120"/>
        <w:rPr>
          <w:rFonts w:cs="Arial"/>
          <w:bCs/>
        </w:rPr>
      </w:pPr>
      <w:r>
        <w:rPr>
          <w:rFonts w:cs="Arial"/>
          <w:bCs/>
        </w:rPr>
        <w:t xml:space="preserve">Sobre el proyecto puesto en consulta se recibieron comentarios de </w:t>
      </w:r>
      <w:proofErr w:type="spellStart"/>
      <w:r>
        <w:rPr>
          <w:rFonts w:cs="Arial"/>
          <w:bCs/>
        </w:rPr>
        <w:t>Isagen</w:t>
      </w:r>
      <w:proofErr w:type="spellEnd"/>
      <w:r>
        <w:rPr>
          <w:rFonts w:cs="Arial"/>
          <w:bCs/>
        </w:rPr>
        <w:t xml:space="preserve"> S.A. E.S.P., Grupo Energía Bogotá S.A. E.S.P., </w:t>
      </w:r>
      <w:proofErr w:type="spellStart"/>
      <w:r>
        <w:rPr>
          <w:rFonts w:cs="Arial"/>
          <w:bCs/>
        </w:rPr>
        <w:t>Intercolombia</w:t>
      </w:r>
      <w:proofErr w:type="spellEnd"/>
      <w:r>
        <w:rPr>
          <w:rFonts w:cs="Arial"/>
          <w:bCs/>
        </w:rPr>
        <w:t xml:space="preserve"> S.A. E.S.P.</w:t>
      </w:r>
      <w:r w:rsidR="005219AA">
        <w:rPr>
          <w:rFonts w:cs="Arial"/>
          <w:bCs/>
        </w:rPr>
        <w:t xml:space="preserve">, </w:t>
      </w:r>
      <w:proofErr w:type="spellStart"/>
      <w:r w:rsidR="005219AA">
        <w:rPr>
          <w:rFonts w:cs="Arial"/>
          <w:bCs/>
        </w:rPr>
        <w:t>Asoenergía</w:t>
      </w:r>
      <w:proofErr w:type="spellEnd"/>
      <w:r w:rsidR="005219AA">
        <w:rPr>
          <w:rFonts w:cs="Arial"/>
          <w:bCs/>
        </w:rPr>
        <w:t xml:space="preserve"> y el Centro Nacional de Despacho de XM</w:t>
      </w:r>
      <w:r w:rsidR="00FD1BD5">
        <w:rPr>
          <w:rFonts w:cs="Arial"/>
          <w:bCs/>
        </w:rPr>
        <w:t xml:space="preserve"> S.A. E.S.P</w:t>
      </w:r>
      <w:r w:rsidR="005219AA">
        <w:rPr>
          <w:rFonts w:cs="Arial"/>
          <w:bCs/>
        </w:rPr>
        <w:t xml:space="preserve">. </w:t>
      </w:r>
      <w:r w:rsidR="005219AA" w:rsidRPr="005219AA">
        <w:rPr>
          <w:rFonts w:cs="Arial"/>
          <w:bCs/>
        </w:rPr>
        <w:t>El análisis de las observaciones y sugerencias recibidas se encuentra en el respectivo documento de soporte.</w:t>
      </w:r>
    </w:p>
    <w:p w14:paraId="3AD3515E" w14:textId="77777777" w:rsidR="005219AA" w:rsidRPr="005219AA" w:rsidRDefault="005219AA" w:rsidP="005219AA">
      <w:pPr>
        <w:spacing w:after="120"/>
        <w:rPr>
          <w:rFonts w:cs="Arial"/>
          <w:bCs/>
        </w:rPr>
      </w:pPr>
      <w:r w:rsidRPr="005219AA">
        <w:rPr>
          <w:rFonts w:cs="Arial"/>
          <w:bCs/>
        </w:rPr>
        <w:t>Como resultado del diligenciamiento del formulario sobre prácticas restrictivas a la competencia, en cumplimiento de lo establecido en el Decreto 1074 de 2015, se concluyó que esta normatividad no es restrictiva de la competencia. Por lo anterior, no se informó a la Superintendencia de Industria y Comercio, SIC, sobre el proyecto de la presente resolución.</w:t>
      </w:r>
    </w:p>
    <w:p w14:paraId="1F68A339" w14:textId="4D5927EF" w:rsidR="005219AA" w:rsidRDefault="005219AA" w:rsidP="005219AA">
      <w:pPr>
        <w:spacing w:after="120"/>
        <w:rPr>
          <w:rFonts w:cs="Arial"/>
          <w:bCs/>
        </w:rPr>
      </w:pPr>
      <w:r w:rsidRPr="005219AA">
        <w:rPr>
          <w:rFonts w:cs="Arial"/>
          <w:bCs/>
        </w:rPr>
        <w:t xml:space="preserve">Con base en lo anterior, la Comisión de Regulación de Energía y Gas, en su sesión </w:t>
      </w:r>
      <w:r w:rsidR="00580A20">
        <w:rPr>
          <w:rFonts w:cs="Arial"/>
          <w:bCs/>
        </w:rPr>
        <w:t>1049</w:t>
      </w:r>
      <w:r w:rsidRPr="005219AA">
        <w:rPr>
          <w:rFonts w:cs="Arial"/>
          <w:bCs/>
        </w:rPr>
        <w:t xml:space="preserve"> del </w:t>
      </w:r>
      <w:r w:rsidR="00580A20">
        <w:rPr>
          <w:rFonts w:cs="Arial"/>
          <w:bCs/>
        </w:rPr>
        <w:t>25</w:t>
      </w:r>
      <w:r w:rsidRPr="005219AA">
        <w:rPr>
          <w:rFonts w:cs="Arial"/>
          <w:bCs/>
        </w:rPr>
        <w:t xml:space="preserve"> de </w:t>
      </w:r>
      <w:r w:rsidR="00580A20">
        <w:rPr>
          <w:rFonts w:cs="Arial"/>
          <w:bCs/>
        </w:rPr>
        <w:t>septiembre</w:t>
      </w:r>
      <w:r w:rsidRPr="005219AA">
        <w:rPr>
          <w:rFonts w:cs="Arial"/>
          <w:bCs/>
        </w:rPr>
        <w:t xml:space="preserve"> de 20</w:t>
      </w:r>
      <w:r>
        <w:rPr>
          <w:rFonts w:cs="Arial"/>
          <w:bCs/>
        </w:rPr>
        <w:t>20</w:t>
      </w:r>
      <w:r w:rsidRPr="005219AA">
        <w:rPr>
          <w:rFonts w:cs="Arial"/>
          <w:bCs/>
        </w:rPr>
        <w:t>, acordó expedir esta resolución.</w:t>
      </w:r>
    </w:p>
    <w:p w14:paraId="421872C0" w14:textId="77777777" w:rsidR="00E351A1" w:rsidRPr="00576D9E" w:rsidRDefault="00E351A1" w:rsidP="00347FA3">
      <w:pPr>
        <w:rPr>
          <w:rFonts w:cs="Arial"/>
          <w:bCs/>
        </w:rPr>
      </w:pPr>
    </w:p>
    <w:p w14:paraId="34151A3A" w14:textId="77777777" w:rsidR="00E01463" w:rsidRPr="00576D9E" w:rsidRDefault="00E01463" w:rsidP="00580A20">
      <w:pPr>
        <w:spacing w:after="120"/>
        <w:jc w:val="center"/>
        <w:rPr>
          <w:b/>
        </w:rPr>
      </w:pPr>
      <w:r w:rsidRPr="00576D9E">
        <w:rPr>
          <w:b/>
        </w:rPr>
        <w:t>R E S U E L V E:</w:t>
      </w:r>
    </w:p>
    <w:p w14:paraId="363F7E85" w14:textId="77777777" w:rsidR="00E351A1" w:rsidRPr="00580A20" w:rsidRDefault="00E351A1" w:rsidP="0025775B"/>
    <w:p w14:paraId="44AB3D03" w14:textId="5FA21999" w:rsidR="009A4ADE" w:rsidRDefault="009A4ADE" w:rsidP="00797912">
      <w:pPr>
        <w:pStyle w:val="Ttulo1"/>
        <w:numPr>
          <w:ilvl w:val="0"/>
          <w:numId w:val="2"/>
        </w:numPr>
        <w:tabs>
          <w:tab w:val="left" w:pos="1418"/>
        </w:tabs>
        <w:suppressAutoHyphens/>
        <w:ind w:left="0" w:firstLine="0"/>
        <w:jc w:val="both"/>
        <w:rPr>
          <w:rFonts w:ascii="Bookman Old Style" w:hAnsi="Bookman Old Style"/>
          <w:b w:val="0"/>
          <w:bCs/>
        </w:rPr>
      </w:pPr>
      <w:r w:rsidRPr="009A4ADE">
        <w:rPr>
          <w:rFonts w:ascii="Bookman Old Style" w:hAnsi="Bookman Old Style"/>
          <w:b w:val="0"/>
          <w:bCs/>
        </w:rPr>
        <w:t>Los equipos que componen el</w:t>
      </w:r>
      <w:r w:rsidR="00374B82" w:rsidRPr="009A4ADE">
        <w:rPr>
          <w:rFonts w:ascii="Bookman Old Style" w:hAnsi="Bookman Old Style"/>
          <w:b w:val="0"/>
          <w:bCs/>
        </w:rPr>
        <w:t xml:space="preserve"> esquema de </w:t>
      </w:r>
      <w:r w:rsidRPr="009A4ADE">
        <w:rPr>
          <w:rFonts w:ascii="Bookman Old Style" w:hAnsi="Bookman Old Style"/>
          <w:b w:val="0"/>
          <w:bCs/>
        </w:rPr>
        <w:t xml:space="preserve">separación de áreas de la interconexión Colombia – Ecuador deberán ser actualizados o reemplazados </w:t>
      </w:r>
      <w:r w:rsidR="00B714C0">
        <w:rPr>
          <w:rFonts w:ascii="Bookman Old Style" w:hAnsi="Bookman Old Style"/>
          <w:b w:val="0"/>
          <w:bCs/>
        </w:rPr>
        <w:t xml:space="preserve">por </w:t>
      </w:r>
      <w:bookmarkStart w:id="1" w:name="_Hlk51319604"/>
      <w:r w:rsidR="00B714C0">
        <w:rPr>
          <w:rFonts w:ascii="Bookman Old Style" w:hAnsi="Bookman Old Style"/>
          <w:b w:val="0"/>
          <w:bCs/>
        </w:rPr>
        <w:t xml:space="preserve">el </w:t>
      </w:r>
      <w:r w:rsidR="005C78C2">
        <w:rPr>
          <w:rFonts w:ascii="Bookman Old Style" w:hAnsi="Bookman Old Style"/>
          <w:b w:val="0"/>
          <w:bCs/>
        </w:rPr>
        <w:t>Transmisor Nacional (</w:t>
      </w:r>
      <w:r w:rsidR="00B714C0">
        <w:rPr>
          <w:rFonts w:ascii="Bookman Old Style" w:hAnsi="Bookman Old Style"/>
          <w:b w:val="0"/>
          <w:bCs/>
        </w:rPr>
        <w:t>TN</w:t>
      </w:r>
      <w:r w:rsidR="005C78C2">
        <w:rPr>
          <w:rFonts w:ascii="Bookman Old Style" w:hAnsi="Bookman Old Style"/>
          <w:b w:val="0"/>
          <w:bCs/>
        </w:rPr>
        <w:t>)</w:t>
      </w:r>
      <w:r w:rsidR="00B714C0">
        <w:rPr>
          <w:rFonts w:ascii="Bookman Old Style" w:hAnsi="Bookman Old Style"/>
          <w:b w:val="0"/>
          <w:bCs/>
        </w:rPr>
        <w:t xml:space="preserve"> responsable de la interconexión</w:t>
      </w:r>
      <w:bookmarkEnd w:id="1"/>
      <w:r w:rsidR="00B714C0">
        <w:rPr>
          <w:rFonts w:ascii="Bookman Old Style" w:hAnsi="Bookman Old Style"/>
          <w:b w:val="0"/>
          <w:bCs/>
        </w:rPr>
        <w:t xml:space="preserve">, </w:t>
      </w:r>
      <w:r w:rsidRPr="009A4ADE">
        <w:rPr>
          <w:rFonts w:ascii="Bookman Old Style" w:hAnsi="Bookman Old Style"/>
          <w:b w:val="0"/>
          <w:bCs/>
        </w:rPr>
        <w:t>cuando los estudios del CND identifique</w:t>
      </w:r>
      <w:r>
        <w:rPr>
          <w:rFonts w:ascii="Bookman Old Style" w:hAnsi="Bookman Old Style"/>
          <w:b w:val="0"/>
          <w:bCs/>
        </w:rPr>
        <w:t xml:space="preserve">n esta </w:t>
      </w:r>
      <w:r w:rsidRPr="009A4ADE">
        <w:rPr>
          <w:rFonts w:ascii="Bookman Old Style" w:hAnsi="Bookman Old Style"/>
          <w:b w:val="0"/>
          <w:bCs/>
        </w:rPr>
        <w:t>neces</w:t>
      </w:r>
      <w:r>
        <w:rPr>
          <w:rFonts w:ascii="Bookman Old Style" w:hAnsi="Bookman Old Style"/>
          <w:b w:val="0"/>
          <w:bCs/>
        </w:rPr>
        <w:t>idad</w:t>
      </w:r>
      <w:r w:rsidRPr="009A4ADE">
        <w:rPr>
          <w:rFonts w:ascii="Bookman Old Style" w:hAnsi="Bookman Old Style"/>
          <w:b w:val="0"/>
          <w:bCs/>
        </w:rPr>
        <w:t>.</w:t>
      </w:r>
      <w:r w:rsidR="00B714C0">
        <w:rPr>
          <w:rFonts w:ascii="Bookman Old Style" w:hAnsi="Bookman Old Style"/>
          <w:b w:val="0"/>
          <w:bCs/>
        </w:rPr>
        <w:t xml:space="preserve"> </w:t>
      </w:r>
    </w:p>
    <w:p w14:paraId="7AF0E4E2" w14:textId="77777777" w:rsidR="002664A2" w:rsidRDefault="002664A2" w:rsidP="002664A2">
      <w:pPr>
        <w:rPr>
          <w:lang w:val="es-CO"/>
        </w:rPr>
      </w:pPr>
    </w:p>
    <w:p w14:paraId="75011E2D" w14:textId="3DA06476" w:rsidR="002664A2" w:rsidRDefault="002664A2" w:rsidP="002664A2">
      <w:r>
        <w:rPr>
          <w:lang w:val="es-CO"/>
        </w:rPr>
        <w:t>E</w:t>
      </w:r>
      <w:r>
        <w:t>l CND deberá informar al CNO sobre la necesidad de actualización del esquema de separación de áreas</w:t>
      </w:r>
      <w:r w:rsidR="005C78C2">
        <w:t>,</w:t>
      </w:r>
      <w:r>
        <w:t xml:space="preserve"> y ambos deberán acordar el plazo que tendrán los TN responsables de la interconexión para la entrada en operación comercial de estos activos. </w:t>
      </w:r>
    </w:p>
    <w:p w14:paraId="46EF8814" w14:textId="77777777" w:rsidR="002664A2" w:rsidRDefault="002664A2" w:rsidP="002664A2"/>
    <w:p w14:paraId="01D57549" w14:textId="2582B064" w:rsidR="002664A2" w:rsidRPr="002664A2" w:rsidRDefault="002664A2" w:rsidP="002664A2">
      <w:pPr>
        <w:rPr>
          <w:lang w:val="es-CO"/>
        </w:rPr>
      </w:pPr>
      <w:r>
        <w:t xml:space="preserve">Los </w:t>
      </w:r>
      <w:r w:rsidRPr="00534133">
        <w:t>TN responsable</w:t>
      </w:r>
      <w:r>
        <w:t>s</w:t>
      </w:r>
      <w:r w:rsidRPr="00534133">
        <w:t xml:space="preserve"> de la interconexión</w:t>
      </w:r>
      <w:r>
        <w:t xml:space="preserve"> deberán presentar</w:t>
      </w:r>
      <w:r w:rsidR="00CC6D01">
        <w:t>,</w:t>
      </w:r>
      <w:r>
        <w:t xml:space="preserve"> para aprobación del CNO</w:t>
      </w:r>
      <w:r w:rsidR="00CC6D01">
        <w:t>,</w:t>
      </w:r>
      <w:r>
        <w:t xml:space="preserve"> el plan de acción que llevarán a cabo para la actualización del esquema de separación de áreas, incluyendo el cronograma con el detalle de las actividades necesarias para la puesta en operación comercial del nuevo esquema.</w:t>
      </w:r>
    </w:p>
    <w:p w14:paraId="42CBB17E" w14:textId="77777777" w:rsidR="009A4ADE" w:rsidRPr="009A4ADE" w:rsidRDefault="009A4ADE" w:rsidP="009A4ADE">
      <w:pPr>
        <w:rPr>
          <w:lang w:val="es-CO"/>
        </w:rPr>
      </w:pPr>
    </w:p>
    <w:p w14:paraId="21FFD30F" w14:textId="16449837" w:rsidR="00ED023C" w:rsidRDefault="009A4ADE" w:rsidP="00797912">
      <w:pPr>
        <w:pStyle w:val="Ttulo1"/>
        <w:numPr>
          <w:ilvl w:val="0"/>
          <w:numId w:val="2"/>
        </w:numPr>
        <w:tabs>
          <w:tab w:val="left" w:pos="1418"/>
        </w:tabs>
        <w:suppressAutoHyphens/>
        <w:ind w:left="0" w:firstLine="0"/>
        <w:jc w:val="both"/>
        <w:rPr>
          <w:rFonts w:ascii="Bookman Old Style" w:hAnsi="Bookman Old Style"/>
          <w:b w:val="0"/>
        </w:rPr>
      </w:pPr>
      <w:r w:rsidRPr="7F1186F1">
        <w:rPr>
          <w:rFonts w:ascii="Bookman Old Style" w:hAnsi="Bookman Old Style"/>
        </w:rPr>
        <w:t xml:space="preserve"> </w:t>
      </w:r>
      <w:r w:rsidRPr="7F1186F1">
        <w:rPr>
          <w:rFonts w:ascii="Bookman Old Style" w:hAnsi="Bookman Old Style"/>
          <w:b w:val="0"/>
        </w:rPr>
        <w:t>Cuando se identifique la necesidad de actualización del</w:t>
      </w:r>
      <w:r w:rsidRPr="7F1186F1">
        <w:rPr>
          <w:rFonts w:ascii="Bookman Old Style" w:hAnsi="Bookman Old Style"/>
        </w:rPr>
        <w:t xml:space="preserve"> </w:t>
      </w:r>
      <w:r w:rsidRPr="7F1186F1">
        <w:rPr>
          <w:rFonts w:ascii="Bookman Old Style" w:hAnsi="Bookman Old Style"/>
          <w:b w:val="0"/>
        </w:rPr>
        <w:t>esquema de separación de áreas de la interconexión Colombia – Ecuador</w:t>
      </w:r>
      <w:r w:rsidR="005C78C2">
        <w:rPr>
          <w:rFonts w:ascii="Bookman Old Style" w:hAnsi="Bookman Old Style"/>
          <w:b w:val="0"/>
        </w:rPr>
        <w:t>,</w:t>
      </w:r>
      <w:r w:rsidRPr="7F1186F1">
        <w:rPr>
          <w:rFonts w:ascii="Bookman Old Style" w:hAnsi="Bookman Old Style"/>
          <w:b w:val="0"/>
        </w:rPr>
        <w:t xml:space="preserve"> los TN responsables de los activos que lo componen podrán solicitar la inclusión de estos en su </w:t>
      </w:r>
      <w:r w:rsidR="5A784E7C" w:rsidRPr="7F1186F1">
        <w:rPr>
          <w:rFonts w:ascii="Bookman Old Style" w:hAnsi="Bookman Old Style"/>
          <w:b w:val="0"/>
        </w:rPr>
        <w:t>base de activos</w:t>
      </w:r>
      <w:r w:rsidR="00FD1BD5">
        <w:rPr>
          <w:rFonts w:ascii="Bookman Old Style" w:hAnsi="Bookman Old Style"/>
          <w:b w:val="0"/>
        </w:rPr>
        <w:t>,</w:t>
      </w:r>
      <w:r w:rsidRPr="7F1186F1">
        <w:rPr>
          <w:rFonts w:ascii="Bookman Old Style" w:hAnsi="Bookman Old Style"/>
          <w:b w:val="0"/>
        </w:rPr>
        <w:t xml:space="preserve"> siempre que este proyecto haya sido recomendado </w:t>
      </w:r>
      <w:r w:rsidR="5F513F81" w:rsidRPr="7F1186F1">
        <w:rPr>
          <w:rFonts w:ascii="Bookman Old Style" w:hAnsi="Bookman Old Style"/>
          <w:b w:val="0"/>
        </w:rPr>
        <w:t xml:space="preserve">en </w:t>
      </w:r>
      <w:r w:rsidRPr="7F1186F1">
        <w:rPr>
          <w:rFonts w:ascii="Bookman Old Style" w:hAnsi="Bookman Old Style"/>
          <w:b w:val="0"/>
        </w:rPr>
        <w:t>el Plan</w:t>
      </w:r>
      <w:r w:rsidR="00ED023C" w:rsidRPr="7F1186F1">
        <w:rPr>
          <w:rFonts w:ascii="Bookman Old Style" w:hAnsi="Bookman Old Style"/>
          <w:b w:val="0"/>
        </w:rPr>
        <w:t xml:space="preserve"> </w:t>
      </w:r>
      <w:r w:rsidRPr="7F1186F1">
        <w:rPr>
          <w:rFonts w:ascii="Bookman Old Style" w:hAnsi="Bookman Old Style"/>
          <w:b w:val="0"/>
        </w:rPr>
        <w:t xml:space="preserve">de Expansión de Referencia Generación </w:t>
      </w:r>
      <w:r w:rsidR="00ED023C" w:rsidRPr="7F1186F1">
        <w:rPr>
          <w:rFonts w:ascii="Bookman Old Style" w:hAnsi="Bookman Old Style"/>
          <w:b w:val="0"/>
        </w:rPr>
        <w:t>–</w:t>
      </w:r>
      <w:r w:rsidRPr="7F1186F1">
        <w:rPr>
          <w:rFonts w:ascii="Bookman Old Style" w:hAnsi="Bookman Old Style"/>
          <w:b w:val="0"/>
        </w:rPr>
        <w:t xml:space="preserve"> Transmisión</w:t>
      </w:r>
      <w:r w:rsidR="00ED023C" w:rsidRPr="7F1186F1">
        <w:rPr>
          <w:rFonts w:ascii="Bookman Old Style" w:hAnsi="Bookman Old Style"/>
          <w:b w:val="0"/>
        </w:rPr>
        <w:t>,</w:t>
      </w:r>
      <w:r w:rsidRPr="7F1186F1">
        <w:rPr>
          <w:rFonts w:ascii="Bookman Old Style" w:hAnsi="Bookman Old Style"/>
          <w:b w:val="0"/>
        </w:rPr>
        <w:t xml:space="preserve"> elaborado por la UPME</w:t>
      </w:r>
      <w:r w:rsidR="1A52A4A1" w:rsidRPr="7F1186F1">
        <w:rPr>
          <w:rFonts w:ascii="Bookman Old Style" w:hAnsi="Bookman Old Style"/>
          <w:b w:val="0"/>
        </w:rPr>
        <w:t>,</w:t>
      </w:r>
      <w:r w:rsidR="000C70C4" w:rsidRPr="7F1186F1">
        <w:rPr>
          <w:rFonts w:ascii="Bookman Old Style" w:hAnsi="Bookman Old Style"/>
          <w:b w:val="0"/>
        </w:rPr>
        <w:t xml:space="preserve"> y estos activos no estén siendo</w:t>
      </w:r>
      <w:r w:rsidR="005C78C2">
        <w:rPr>
          <w:rFonts w:ascii="Bookman Old Style" w:hAnsi="Bookman Old Style"/>
          <w:b w:val="0"/>
        </w:rPr>
        <w:t xml:space="preserve"> ya</w:t>
      </w:r>
      <w:r w:rsidR="000C70C4" w:rsidRPr="7F1186F1">
        <w:rPr>
          <w:rFonts w:ascii="Bookman Old Style" w:hAnsi="Bookman Old Style"/>
          <w:b w:val="0"/>
        </w:rPr>
        <w:t xml:space="preserve"> remunerados al TN</w:t>
      </w:r>
      <w:r w:rsidRPr="7F1186F1">
        <w:rPr>
          <w:rFonts w:ascii="Bookman Old Style" w:hAnsi="Bookman Old Style"/>
          <w:b w:val="0"/>
        </w:rPr>
        <w:t>.</w:t>
      </w:r>
      <w:r w:rsidR="00ED023C" w:rsidRPr="7F1186F1">
        <w:rPr>
          <w:rFonts w:ascii="Bookman Old Style" w:hAnsi="Bookman Old Style"/>
          <w:b w:val="0"/>
        </w:rPr>
        <w:t xml:space="preserve"> La inclusión de estos activos en el inventario del TN se realizará </w:t>
      </w:r>
      <w:r w:rsidR="692A2D6E" w:rsidRPr="7F1186F1">
        <w:rPr>
          <w:rFonts w:ascii="Bookman Old Style" w:hAnsi="Bookman Old Style"/>
          <w:b w:val="0"/>
        </w:rPr>
        <w:t xml:space="preserve">a </w:t>
      </w:r>
      <w:r w:rsidR="00ED023C" w:rsidRPr="7F1186F1">
        <w:rPr>
          <w:rFonts w:ascii="Bookman Old Style" w:hAnsi="Bookman Old Style"/>
          <w:b w:val="0"/>
        </w:rPr>
        <w:t xml:space="preserve">través del mecanismo de ampliaciones de que trata el </w:t>
      </w:r>
      <w:r w:rsidR="00D51BEF" w:rsidRPr="7F1186F1">
        <w:rPr>
          <w:rFonts w:ascii="Bookman Old Style" w:hAnsi="Bookman Old Style"/>
          <w:b w:val="0"/>
        </w:rPr>
        <w:t>artículo</w:t>
      </w:r>
      <w:r w:rsidR="00ED023C" w:rsidRPr="7F1186F1">
        <w:rPr>
          <w:rFonts w:ascii="Bookman Old Style" w:hAnsi="Bookman Old Style"/>
          <w:b w:val="0"/>
        </w:rPr>
        <w:t xml:space="preserve"> 6 de la Resolución CREG 022 de 2001, o las que la modifiquen o sustituyan.</w:t>
      </w:r>
    </w:p>
    <w:p w14:paraId="56667B20" w14:textId="77777777" w:rsidR="000C70C4" w:rsidRDefault="000C70C4" w:rsidP="00ED023C">
      <w:pPr>
        <w:rPr>
          <w:lang w:val="es-CO"/>
        </w:rPr>
      </w:pPr>
    </w:p>
    <w:p w14:paraId="5741686C" w14:textId="65CF4996" w:rsidR="00F466C7" w:rsidRPr="00F466C7" w:rsidRDefault="000C70C4" w:rsidP="00784C1E">
      <w:pPr>
        <w:rPr>
          <w:lang w:val="es-CO"/>
        </w:rPr>
      </w:pPr>
      <w:r w:rsidRPr="7F1186F1">
        <w:rPr>
          <w:lang w:val="es-CO"/>
        </w:rPr>
        <w:t xml:space="preserve">Se entenderá que los activos que componen el esquema de separación de áreas no están siendo remunerados al TN cuando no se encuentren incluidos dentro de su </w:t>
      </w:r>
      <w:r w:rsidR="36DDFC6F" w:rsidRPr="7F1186F1">
        <w:rPr>
          <w:lang w:val="es-CO"/>
        </w:rPr>
        <w:t>base</w:t>
      </w:r>
      <w:r w:rsidRPr="7F1186F1">
        <w:rPr>
          <w:lang w:val="es-CO"/>
        </w:rPr>
        <w:t xml:space="preserve"> de activos</w:t>
      </w:r>
      <w:r w:rsidR="00FD1BD5">
        <w:rPr>
          <w:lang w:val="es-CO"/>
        </w:rPr>
        <w:t>,</w:t>
      </w:r>
      <w:r w:rsidRPr="7F1186F1">
        <w:rPr>
          <w:lang w:val="es-CO"/>
        </w:rPr>
        <w:t xml:space="preserve"> o cuando </w:t>
      </w:r>
      <w:r w:rsidR="00FE2A1B" w:rsidRPr="7F1186F1">
        <w:rPr>
          <w:lang w:val="es-CO"/>
        </w:rPr>
        <w:t xml:space="preserve">el proyecto de interconexión no haya sido ejecutado a través de los procesos de selección de que trata el artículo 4 de la Resolución CREG 022 de 2001 o </w:t>
      </w:r>
      <w:r w:rsidR="002979E0">
        <w:rPr>
          <w:lang w:val="es-CO"/>
        </w:rPr>
        <w:t xml:space="preserve">aquella </w:t>
      </w:r>
      <w:r w:rsidR="00FE2A1B" w:rsidRPr="7F1186F1">
        <w:rPr>
          <w:lang w:val="es-CO"/>
        </w:rPr>
        <w:t xml:space="preserve">que la modifique o sustituya. </w:t>
      </w:r>
    </w:p>
    <w:p w14:paraId="5990737B" w14:textId="77777777" w:rsidR="00516ADF" w:rsidRPr="00FE2A1B" w:rsidRDefault="00516ADF" w:rsidP="009F2FD7">
      <w:pPr>
        <w:ind w:left="708"/>
        <w:rPr>
          <w:i/>
        </w:rPr>
      </w:pPr>
    </w:p>
    <w:p w14:paraId="7373BE94" w14:textId="27AA9069" w:rsidR="00F466C7" w:rsidRPr="008649BE" w:rsidRDefault="00F466C7" w:rsidP="001814D0">
      <w:pPr>
        <w:pStyle w:val="Ttulo1"/>
        <w:numPr>
          <w:ilvl w:val="0"/>
          <w:numId w:val="2"/>
        </w:numPr>
        <w:tabs>
          <w:tab w:val="left" w:pos="1418"/>
        </w:tabs>
        <w:suppressAutoHyphens/>
        <w:ind w:left="0" w:firstLine="0"/>
        <w:jc w:val="both"/>
        <w:rPr>
          <w:rFonts w:ascii="Bookman Old Style" w:hAnsi="Bookman Old Style"/>
          <w:b w:val="0"/>
          <w:bCs/>
          <w:szCs w:val="24"/>
        </w:rPr>
      </w:pPr>
      <w:r w:rsidRPr="008649BE">
        <w:rPr>
          <w:rFonts w:ascii="Bookman Old Style" w:hAnsi="Bookman Old Style"/>
          <w:b w:val="0"/>
          <w:bCs/>
          <w:szCs w:val="24"/>
        </w:rPr>
        <w:t>A partir de la entrada en vigencia de esta resolución</w:t>
      </w:r>
      <w:r w:rsidR="007F23CA">
        <w:rPr>
          <w:rFonts w:ascii="Bookman Old Style" w:hAnsi="Bookman Old Style"/>
          <w:b w:val="0"/>
          <w:bCs/>
          <w:szCs w:val="24"/>
        </w:rPr>
        <w:t>,</w:t>
      </w:r>
      <w:r w:rsidRPr="008649BE">
        <w:rPr>
          <w:rFonts w:ascii="Bookman Old Style" w:hAnsi="Bookman Old Style"/>
          <w:b w:val="0"/>
          <w:bCs/>
          <w:szCs w:val="24"/>
        </w:rPr>
        <w:t xml:space="preserve"> y hasta que se definan nuevas UC para la actividad de transmisión</w:t>
      </w:r>
      <w:r w:rsidR="009819B0">
        <w:rPr>
          <w:rFonts w:ascii="Bookman Old Style" w:hAnsi="Bookman Old Style"/>
          <w:b w:val="0"/>
          <w:bCs/>
          <w:szCs w:val="24"/>
        </w:rPr>
        <w:t xml:space="preserve">, se utilizará </w:t>
      </w:r>
      <w:r w:rsidRPr="008649BE">
        <w:rPr>
          <w:rFonts w:ascii="Bookman Old Style" w:hAnsi="Bookman Old Style"/>
          <w:b w:val="0"/>
          <w:bCs/>
          <w:szCs w:val="24"/>
        </w:rPr>
        <w:t>la Unidad Con</w:t>
      </w:r>
      <w:r w:rsidR="008E39F8">
        <w:rPr>
          <w:rFonts w:ascii="Bookman Old Style" w:hAnsi="Bookman Old Style"/>
          <w:b w:val="0"/>
          <w:bCs/>
          <w:szCs w:val="24"/>
        </w:rPr>
        <w:t>s</w:t>
      </w:r>
      <w:r w:rsidRPr="008649BE">
        <w:rPr>
          <w:rFonts w:ascii="Bookman Old Style" w:hAnsi="Bookman Old Style"/>
          <w:b w:val="0"/>
          <w:bCs/>
          <w:szCs w:val="24"/>
        </w:rPr>
        <w:t xml:space="preserve">tructiva </w:t>
      </w:r>
      <w:r w:rsidR="009819B0">
        <w:rPr>
          <w:rFonts w:ascii="Bookman Old Style" w:hAnsi="Bookman Old Style"/>
          <w:b w:val="0"/>
          <w:bCs/>
          <w:szCs w:val="24"/>
        </w:rPr>
        <w:t>SE239</w:t>
      </w:r>
      <w:r w:rsidRPr="008649BE">
        <w:rPr>
          <w:rFonts w:ascii="Bookman Old Style" w:hAnsi="Bookman Old Style"/>
          <w:b w:val="0"/>
          <w:bCs/>
          <w:szCs w:val="24"/>
        </w:rPr>
        <w:t xml:space="preserve"> </w:t>
      </w:r>
      <w:r w:rsidR="008649BE" w:rsidRPr="008649BE">
        <w:rPr>
          <w:rFonts w:ascii="Bookman Old Style" w:hAnsi="Bookman Old Style"/>
          <w:b w:val="0"/>
          <w:bCs/>
          <w:szCs w:val="24"/>
        </w:rPr>
        <w:t xml:space="preserve">establecida en el </w:t>
      </w:r>
      <w:r w:rsidR="009819B0">
        <w:rPr>
          <w:rFonts w:ascii="Bookman Old Style" w:hAnsi="Bookman Old Style"/>
          <w:b w:val="0"/>
          <w:bCs/>
          <w:szCs w:val="24"/>
        </w:rPr>
        <w:t>capítulo 3</w:t>
      </w:r>
      <w:r w:rsidR="008649BE">
        <w:rPr>
          <w:rFonts w:ascii="Bookman Old Style" w:hAnsi="Bookman Old Style"/>
          <w:b w:val="0"/>
          <w:bCs/>
          <w:szCs w:val="24"/>
        </w:rPr>
        <w:t xml:space="preserve"> del anexo general de la </w:t>
      </w:r>
      <w:r w:rsidR="009819B0">
        <w:rPr>
          <w:rFonts w:ascii="Bookman Old Style" w:hAnsi="Bookman Old Style"/>
          <w:b w:val="0"/>
          <w:bCs/>
          <w:szCs w:val="24"/>
        </w:rPr>
        <w:t xml:space="preserve">Resolución </w:t>
      </w:r>
      <w:r w:rsidR="008649BE">
        <w:rPr>
          <w:rFonts w:ascii="Bookman Old Style" w:hAnsi="Bookman Old Style"/>
          <w:b w:val="0"/>
          <w:bCs/>
          <w:szCs w:val="24"/>
        </w:rPr>
        <w:t>CREG 011 de 2009</w:t>
      </w:r>
      <w:r w:rsidR="005C78C2">
        <w:rPr>
          <w:rFonts w:ascii="Bookman Old Style" w:hAnsi="Bookman Old Style"/>
          <w:b w:val="0"/>
          <w:bCs/>
          <w:szCs w:val="24"/>
        </w:rPr>
        <w:t>,</w:t>
      </w:r>
      <w:r w:rsidR="009819B0">
        <w:rPr>
          <w:rFonts w:ascii="Bookman Old Style" w:hAnsi="Bookman Old Style"/>
          <w:b w:val="0"/>
          <w:bCs/>
          <w:szCs w:val="24"/>
        </w:rPr>
        <w:t xml:space="preserve"> para la asimilación de los activos que componen </w:t>
      </w:r>
      <w:r w:rsidR="009819B0" w:rsidRPr="008649BE">
        <w:rPr>
          <w:rFonts w:ascii="Bookman Old Style" w:hAnsi="Bookman Old Style"/>
          <w:b w:val="0"/>
          <w:bCs/>
          <w:szCs w:val="24"/>
        </w:rPr>
        <w:t>el esquema de separación de áreas</w:t>
      </w:r>
      <w:r w:rsidR="00B714C0">
        <w:rPr>
          <w:rFonts w:ascii="Bookman Old Style" w:hAnsi="Bookman Old Style"/>
          <w:b w:val="0"/>
          <w:bCs/>
          <w:szCs w:val="24"/>
        </w:rPr>
        <w:t>,</w:t>
      </w:r>
      <w:r w:rsidR="009819B0">
        <w:rPr>
          <w:rFonts w:ascii="Bookman Old Style" w:hAnsi="Bookman Old Style"/>
          <w:b w:val="0"/>
          <w:bCs/>
          <w:szCs w:val="24"/>
        </w:rPr>
        <w:t xml:space="preserve"> en los casos en que sea procedente su inclusión en la base de activos de un TN.</w:t>
      </w:r>
    </w:p>
    <w:p w14:paraId="00A0FB2F" w14:textId="77777777" w:rsidR="00F466C7" w:rsidRPr="00F466C7" w:rsidRDefault="00F466C7" w:rsidP="00F466C7">
      <w:pPr>
        <w:pStyle w:val="Ttulo1"/>
        <w:tabs>
          <w:tab w:val="left" w:pos="1418"/>
        </w:tabs>
        <w:suppressAutoHyphens/>
        <w:jc w:val="both"/>
        <w:rPr>
          <w:rFonts w:ascii="Bookman Old Style" w:hAnsi="Bookman Old Style"/>
          <w:b w:val="0"/>
          <w:szCs w:val="24"/>
        </w:rPr>
      </w:pPr>
    </w:p>
    <w:p w14:paraId="4542F9AA" w14:textId="182EB820" w:rsidR="005219AA" w:rsidRDefault="00534133" w:rsidP="001814D0">
      <w:pPr>
        <w:pStyle w:val="Ttulo1"/>
        <w:numPr>
          <w:ilvl w:val="0"/>
          <w:numId w:val="2"/>
        </w:numPr>
        <w:tabs>
          <w:tab w:val="left" w:pos="1418"/>
        </w:tabs>
        <w:suppressAutoHyphens/>
        <w:ind w:left="0" w:firstLine="0"/>
        <w:jc w:val="both"/>
        <w:rPr>
          <w:rFonts w:ascii="Bookman Old Style" w:hAnsi="Bookman Old Style"/>
          <w:b w:val="0"/>
          <w:szCs w:val="24"/>
        </w:rPr>
      </w:pPr>
      <w:r>
        <w:rPr>
          <w:rFonts w:ascii="Bookman Old Style" w:hAnsi="Bookman Old Style"/>
          <w:b w:val="0"/>
          <w:szCs w:val="24"/>
        </w:rPr>
        <w:t xml:space="preserve">Los </w:t>
      </w:r>
      <w:r w:rsidRPr="00534133">
        <w:rPr>
          <w:rFonts w:ascii="Bookman Old Style" w:hAnsi="Bookman Old Style"/>
          <w:b w:val="0"/>
          <w:szCs w:val="24"/>
        </w:rPr>
        <w:t>TN responsable</w:t>
      </w:r>
      <w:r>
        <w:rPr>
          <w:rFonts w:ascii="Bookman Old Style" w:hAnsi="Bookman Old Style"/>
          <w:b w:val="0"/>
          <w:szCs w:val="24"/>
        </w:rPr>
        <w:t>s</w:t>
      </w:r>
      <w:r w:rsidRPr="00534133">
        <w:rPr>
          <w:rFonts w:ascii="Bookman Old Style" w:hAnsi="Bookman Old Style"/>
          <w:b w:val="0"/>
          <w:szCs w:val="24"/>
        </w:rPr>
        <w:t xml:space="preserve"> de la interconexión</w:t>
      </w:r>
      <w:r>
        <w:rPr>
          <w:rFonts w:ascii="Bookman Old Style" w:hAnsi="Bookman Old Style"/>
          <w:b w:val="0"/>
          <w:szCs w:val="24"/>
        </w:rPr>
        <w:t xml:space="preserve"> deberán </w:t>
      </w:r>
      <w:r w:rsidR="007A52B2">
        <w:rPr>
          <w:rFonts w:ascii="Bookman Old Style" w:hAnsi="Bookman Old Style"/>
          <w:b w:val="0"/>
          <w:szCs w:val="24"/>
        </w:rPr>
        <w:t>llevar a cabo, en sitio, pruebas funcionales de los esquemas de separación de áreas, con la periodicidad y condiciones que para tal fin defina el CND.</w:t>
      </w:r>
    </w:p>
    <w:p w14:paraId="532831BA" w14:textId="77777777" w:rsidR="007A52B2" w:rsidRPr="007A52B2" w:rsidRDefault="007A52B2" w:rsidP="007A52B2">
      <w:pPr>
        <w:rPr>
          <w:lang w:val="es-CO"/>
        </w:rPr>
      </w:pPr>
    </w:p>
    <w:p w14:paraId="7E23E1FC" w14:textId="5C46E851" w:rsidR="00E01463" w:rsidRPr="00576D9E" w:rsidRDefault="00E01463" w:rsidP="001814D0">
      <w:pPr>
        <w:pStyle w:val="Ttulo1"/>
        <w:numPr>
          <w:ilvl w:val="0"/>
          <w:numId w:val="2"/>
        </w:numPr>
        <w:tabs>
          <w:tab w:val="left" w:pos="1418"/>
        </w:tabs>
        <w:suppressAutoHyphens/>
        <w:ind w:left="0" w:firstLine="0"/>
        <w:jc w:val="both"/>
        <w:rPr>
          <w:rFonts w:ascii="Bookman Old Style" w:hAnsi="Bookman Old Style"/>
          <w:b w:val="0"/>
          <w:szCs w:val="24"/>
        </w:rPr>
      </w:pPr>
      <w:r w:rsidRPr="00576D9E">
        <w:rPr>
          <w:rFonts w:ascii="Bookman Old Style" w:hAnsi="Bookman Old Style"/>
          <w:szCs w:val="24"/>
        </w:rPr>
        <w:t>Vigencia.</w:t>
      </w:r>
      <w:r w:rsidRPr="00576D9E">
        <w:rPr>
          <w:rFonts w:ascii="Bookman Old Style" w:hAnsi="Bookman Old Style"/>
          <w:b w:val="0"/>
          <w:szCs w:val="24"/>
        </w:rPr>
        <w:t xml:space="preserve"> </w:t>
      </w:r>
      <w:r w:rsidR="009F5D1B" w:rsidRPr="00576D9E">
        <w:rPr>
          <w:rFonts w:ascii="Bookman Old Style" w:hAnsi="Bookman Old Style"/>
          <w:b w:val="0"/>
          <w:szCs w:val="24"/>
        </w:rPr>
        <w:t>Esta r</w:t>
      </w:r>
      <w:r w:rsidRPr="00576D9E">
        <w:rPr>
          <w:rFonts w:ascii="Bookman Old Style" w:hAnsi="Bookman Old Style"/>
          <w:b w:val="0"/>
          <w:szCs w:val="24"/>
        </w:rPr>
        <w:t xml:space="preserve">esolución </w:t>
      </w:r>
      <w:r w:rsidR="009F5D1B" w:rsidRPr="00576D9E">
        <w:rPr>
          <w:rFonts w:ascii="Bookman Old Style" w:hAnsi="Bookman Old Style"/>
          <w:b w:val="0"/>
          <w:szCs w:val="24"/>
        </w:rPr>
        <w:t xml:space="preserve">rige </w:t>
      </w:r>
      <w:r w:rsidRPr="00576D9E">
        <w:rPr>
          <w:rFonts w:ascii="Bookman Old Style" w:hAnsi="Bookman Old Style"/>
          <w:b w:val="0"/>
          <w:szCs w:val="24"/>
        </w:rPr>
        <w:t xml:space="preserve">a partir de la fecha de su publicación en el </w:t>
      </w:r>
      <w:r w:rsidRPr="00576D9E">
        <w:rPr>
          <w:rFonts w:ascii="Bookman Old Style" w:hAnsi="Bookman Old Style"/>
          <w:b w:val="0"/>
          <w:i/>
          <w:szCs w:val="24"/>
        </w:rPr>
        <w:t>Diario Oficial</w:t>
      </w:r>
      <w:r w:rsidR="002979E0">
        <w:rPr>
          <w:rFonts w:ascii="Bookman Old Style" w:hAnsi="Bookman Old Style"/>
          <w:b w:val="0"/>
          <w:szCs w:val="24"/>
        </w:rPr>
        <w:t>.</w:t>
      </w:r>
    </w:p>
    <w:p w14:paraId="6CD65651" w14:textId="77777777" w:rsidR="00E01463" w:rsidRPr="00576D9E" w:rsidRDefault="00E01463" w:rsidP="00E01463">
      <w:pPr>
        <w:rPr>
          <w:lang w:eastAsia="ar-SA"/>
        </w:rPr>
      </w:pPr>
    </w:p>
    <w:p w14:paraId="3F8C6199" w14:textId="77777777" w:rsidR="00566669" w:rsidRDefault="00566669" w:rsidP="00A023FE">
      <w:pPr>
        <w:jc w:val="center"/>
        <w:rPr>
          <w:rFonts w:cs="Arial"/>
          <w:b/>
        </w:rPr>
      </w:pPr>
    </w:p>
    <w:p w14:paraId="75BA5F4D" w14:textId="54CF6E2C" w:rsidR="00E01463" w:rsidRPr="00576D9E" w:rsidRDefault="00E01463" w:rsidP="00A023FE">
      <w:pPr>
        <w:jc w:val="center"/>
        <w:rPr>
          <w:lang w:eastAsia="ar-SA"/>
        </w:rPr>
      </w:pPr>
      <w:r w:rsidRPr="00576D9E">
        <w:rPr>
          <w:rFonts w:cs="Arial"/>
          <w:b/>
        </w:rPr>
        <w:t>PUBLÍQUESE Y CÚMPLASE</w:t>
      </w:r>
    </w:p>
    <w:p w14:paraId="5C8F1554" w14:textId="77777777" w:rsidR="009D6B50" w:rsidRPr="00576D9E" w:rsidRDefault="009D6B50" w:rsidP="009D6B50">
      <w:pPr>
        <w:rPr>
          <w:rFonts w:cs="Arial"/>
        </w:rPr>
      </w:pPr>
    </w:p>
    <w:p w14:paraId="214AAF82" w14:textId="29DFB206" w:rsidR="005219AA" w:rsidRDefault="005219AA" w:rsidP="005219AA">
      <w:pPr>
        <w:rPr>
          <w:b/>
          <w:bCs/>
        </w:rPr>
      </w:pPr>
      <w:r w:rsidRPr="00BF69C9">
        <w:t xml:space="preserve">Dado en Bogotá D.C., </w:t>
      </w:r>
      <w:r w:rsidR="00580A20" w:rsidRPr="00580A20">
        <w:rPr>
          <w:b/>
          <w:bCs/>
        </w:rPr>
        <w:t>25 SEP. 2020</w:t>
      </w:r>
    </w:p>
    <w:p w14:paraId="05BD66A7" w14:textId="4E17B94F" w:rsidR="00580A20" w:rsidRDefault="00580A20" w:rsidP="005219AA">
      <w:pPr>
        <w:rPr>
          <w:b/>
          <w:bCs/>
        </w:rPr>
      </w:pPr>
    </w:p>
    <w:p w14:paraId="7F2CDEB7" w14:textId="77691C92" w:rsidR="00580A20" w:rsidRDefault="00580A20" w:rsidP="005219AA">
      <w:pPr>
        <w:rPr>
          <w:b/>
          <w:bCs/>
        </w:rPr>
      </w:pPr>
    </w:p>
    <w:p w14:paraId="167A0441" w14:textId="6201E4CA" w:rsidR="00580A20" w:rsidRDefault="00580A20" w:rsidP="005219AA">
      <w:pPr>
        <w:rPr>
          <w:b/>
          <w:bCs/>
        </w:rPr>
      </w:pPr>
    </w:p>
    <w:p w14:paraId="7DB2F58B" w14:textId="5582BF5E" w:rsidR="00580A20" w:rsidRDefault="00580A20" w:rsidP="005219AA">
      <w:pPr>
        <w:rPr>
          <w:b/>
          <w:bCs/>
        </w:rPr>
      </w:pPr>
    </w:p>
    <w:p w14:paraId="13F46C51" w14:textId="22EC19DF" w:rsidR="00580A20" w:rsidRDefault="00580A20" w:rsidP="005219AA">
      <w:pPr>
        <w:rPr>
          <w:b/>
          <w:bCs/>
        </w:rPr>
      </w:pPr>
    </w:p>
    <w:tbl>
      <w:tblPr>
        <w:tblW w:w="9498" w:type="dxa"/>
        <w:jc w:val="center"/>
        <w:tblCellSpacing w:w="0" w:type="dxa"/>
        <w:tblCellMar>
          <w:left w:w="0" w:type="dxa"/>
          <w:right w:w="0" w:type="dxa"/>
        </w:tblCellMar>
        <w:tblLook w:val="04A0" w:firstRow="1" w:lastRow="0" w:firstColumn="1" w:lastColumn="0" w:noHBand="0" w:noVBand="1"/>
      </w:tblPr>
      <w:tblGrid>
        <w:gridCol w:w="4820"/>
        <w:gridCol w:w="4678"/>
      </w:tblGrid>
      <w:tr w:rsidR="00580A20" w14:paraId="7F78EB9A" w14:textId="77777777" w:rsidTr="00B24CC9">
        <w:trPr>
          <w:tblCellSpacing w:w="0" w:type="dxa"/>
          <w:jc w:val="center"/>
        </w:trPr>
        <w:tc>
          <w:tcPr>
            <w:tcW w:w="4820" w:type="dxa"/>
            <w:hideMark/>
          </w:tcPr>
          <w:p w14:paraId="38116714" w14:textId="77777777" w:rsidR="00580A20" w:rsidRDefault="00580A20" w:rsidP="00B24CC9">
            <w:pPr>
              <w:ind w:left="66"/>
              <w:contextualSpacing/>
              <w:jc w:val="center"/>
              <w:rPr>
                <w:rFonts w:cs="Arial"/>
                <w:b/>
              </w:rPr>
            </w:pPr>
            <w:r>
              <w:rPr>
                <w:rFonts w:cs="Arial"/>
                <w:b/>
              </w:rPr>
              <w:t>MIGUEL LOTERO ROBLEDO</w:t>
            </w:r>
          </w:p>
        </w:tc>
        <w:tc>
          <w:tcPr>
            <w:tcW w:w="4678" w:type="dxa"/>
            <w:hideMark/>
          </w:tcPr>
          <w:p w14:paraId="0EAC34F9" w14:textId="77777777" w:rsidR="00580A20" w:rsidRDefault="00580A20" w:rsidP="00B24CC9">
            <w:pPr>
              <w:ind w:left="69"/>
              <w:contextualSpacing/>
              <w:jc w:val="center"/>
              <w:rPr>
                <w:rFonts w:cs="Arial"/>
                <w:b/>
              </w:rPr>
            </w:pPr>
            <w:r>
              <w:rPr>
                <w:rFonts w:cs="Arial"/>
                <w:b/>
              </w:rPr>
              <w:t>JORGE ALBERTO VALENCIA MARÍN</w:t>
            </w:r>
          </w:p>
        </w:tc>
      </w:tr>
      <w:tr w:rsidR="00580A20" w14:paraId="4857B513" w14:textId="77777777" w:rsidTr="00B24CC9">
        <w:trPr>
          <w:tblCellSpacing w:w="0" w:type="dxa"/>
          <w:jc w:val="center"/>
        </w:trPr>
        <w:tc>
          <w:tcPr>
            <w:tcW w:w="4820" w:type="dxa"/>
            <w:hideMark/>
          </w:tcPr>
          <w:p w14:paraId="5CF36728" w14:textId="77777777" w:rsidR="00580A20" w:rsidRDefault="00580A20" w:rsidP="00B24CC9">
            <w:pPr>
              <w:ind w:left="66"/>
              <w:contextualSpacing/>
              <w:jc w:val="center"/>
              <w:rPr>
                <w:rFonts w:eastAsia="Arial Unicode MS" w:cs="Arial"/>
                <w:color w:val="000000"/>
              </w:rPr>
            </w:pPr>
            <w:r>
              <w:rPr>
                <w:rFonts w:cs="Arial"/>
              </w:rPr>
              <w:t xml:space="preserve">Viceministro de Energía, </w:t>
            </w:r>
            <w:proofErr w:type="gramStart"/>
            <w:r>
              <w:rPr>
                <w:rFonts w:cs="Arial"/>
              </w:rPr>
              <w:t>Delegado</w:t>
            </w:r>
            <w:proofErr w:type="gramEnd"/>
            <w:r>
              <w:rPr>
                <w:rFonts w:cs="Arial"/>
              </w:rPr>
              <w:t xml:space="preserve"> del Ministro de Minas y Energía</w:t>
            </w:r>
          </w:p>
        </w:tc>
        <w:tc>
          <w:tcPr>
            <w:tcW w:w="4678" w:type="dxa"/>
            <w:hideMark/>
          </w:tcPr>
          <w:p w14:paraId="00C95F3F" w14:textId="77777777" w:rsidR="00580A20" w:rsidRDefault="00580A20" w:rsidP="00B24CC9">
            <w:pPr>
              <w:contextualSpacing/>
              <w:jc w:val="center"/>
              <w:rPr>
                <w:rFonts w:eastAsia="Arial Unicode MS" w:cs="Arial"/>
                <w:color w:val="000000"/>
              </w:rPr>
            </w:pPr>
            <w:r>
              <w:rPr>
                <w:rFonts w:cs="Arial"/>
              </w:rPr>
              <w:t xml:space="preserve">Director Ejecutivo </w:t>
            </w:r>
          </w:p>
        </w:tc>
      </w:tr>
      <w:tr w:rsidR="00580A20" w14:paraId="659049BC" w14:textId="77777777" w:rsidTr="00B24CC9">
        <w:trPr>
          <w:tblCellSpacing w:w="0" w:type="dxa"/>
          <w:jc w:val="center"/>
        </w:trPr>
        <w:tc>
          <w:tcPr>
            <w:tcW w:w="4820" w:type="dxa"/>
            <w:hideMark/>
          </w:tcPr>
          <w:p w14:paraId="67CA74CA" w14:textId="77777777" w:rsidR="00580A20" w:rsidRDefault="00580A20" w:rsidP="00B24CC9">
            <w:pPr>
              <w:ind w:left="66"/>
              <w:contextualSpacing/>
              <w:jc w:val="center"/>
              <w:rPr>
                <w:rFonts w:eastAsia="Arial Unicode MS" w:cs="Arial"/>
                <w:color w:val="000000"/>
              </w:rPr>
            </w:pPr>
            <w:r>
              <w:rPr>
                <w:rFonts w:cs="Arial"/>
              </w:rPr>
              <w:t>Presidente</w:t>
            </w:r>
          </w:p>
        </w:tc>
        <w:tc>
          <w:tcPr>
            <w:tcW w:w="4678" w:type="dxa"/>
          </w:tcPr>
          <w:p w14:paraId="5CEF5B59" w14:textId="77777777" w:rsidR="00580A20" w:rsidRDefault="00580A20" w:rsidP="00B24CC9">
            <w:pPr>
              <w:contextualSpacing/>
              <w:jc w:val="center"/>
              <w:rPr>
                <w:rFonts w:eastAsia="Arial Unicode MS" w:cs="Arial"/>
                <w:color w:val="000000"/>
              </w:rPr>
            </w:pPr>
          </w:p>
        </w:tc>
      </w:tr>
    </w:tbl>
    <w:p w14:paraId="56A94D90" w14:textId="77777777" w:rsidR="00580A20" w:rsidRPr="00BF69C9" w:rsidRDefault="00580A20" w:rsidP="005219AA"/>
    <w:p w14:paraId="35F2D4A0" w14:textId="77777777" w:rsidR="00E01463" w:rsidRDefault="00E01463" w:rsidP="00E01463">
      <w:pPr>
        <w:rPr>
          <w:rFonts w:cs="Arial"/>
        </w:rPr>
      </w:pPr>
    </w:p>
    <w:p w14:paraId="3FD3BFD6" w14:textId="77777777" w:rsidR="00C101F2" w:rsidRDefault="00C101F2" w:rsidP="00E01463">
      <w:pPr>
        <w:rPr>
          <w:rFonts w:cs="Arial"/>
        </w:rPr>
      </w:pPr>
    </w:p>
    <w:sectPr w:rsidR="00C101F2" w:rsidSect="00554720">
      <w:headerReference w:type="default" r:id="rId10"/>
      <w:headerReference w:type="first" r:id="rId11"/>
      <w:pgSz w:w="12242" w:h="18722" w:code="119"/>
      <w:pgMar w:top="2341" w:right="1185" w:bottom="1758"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C9C51" w16cex:dateUtc="2020-09-28T22: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BA454" w14:textId="77777777" w:rsidR="009D21D0" w:rsidRDefault="009D21D0">
      <w:r>
        <w:separator/>
      </w:r>
    </w:p>
  </w:endnote>
  <w:endnote w:type="continuationSeparator" w:id="0">
    <w:p w14:paraId="530226DD" w14:textId="77777777" w:rsidR="009D21D0" w:rsidRDefault="009D21D0">
      <w:r>
        <w:continuationSeparator/>
      </w:r>
    </w:p>
  </w:endnote>
  <w:endnote w:type="continuationNotice" w:id="1">
    <w:p w14:paraId="6A6C6A21" w14:textId="77777777" w:rsidR="009D21D0" w:rsidRDefault="009D21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Gothic Light">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DC925" w14:textId="77777777" w:rsidR="009D21D0" w:rsidRDefault="009D21D0">
      <w:r>
        <w:separator/>
      </w:r>
    </w:p>
  </w:footnote>
  <w:footnote w:type="continuationSeparator" w:id="0">
    <w:p w14:paraId="3DEA0534" w14:textId="77777777" w:rsidR="009D21D0" w:rsidRDefault="009D21D0">
      <w:r>
        <w:continuationSeparator/>
      </w:r>
    </w:p>
  </w:footnote>
  <w:footnote w:type="continuationNotice" w:id="1">
    <w:p w14:paraId="208BEBCE" w14:textId="77777777" w:rsidR="009D21D0" w:rsidRDefault="009D21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559FA" w14:textId="77777777" w:rsidR="005D7267" w:rsidRDefault="005D7267" w:rsidP="00951F79">
    <w:pPr>
      <w:pStyle w:val="Ttulo1"/>
      <w:ind w:right="6"/>
      <w:jc w:val="left"/>
      <w:rPr>
        <w:rFonts w:ascii="Bookman Old Style" w:hAnsi="Bookman Old Style" w:cs="Arial"/>
        <w:b w:val="0"/>
        <w:sz w:val="22"/>
        <w:szCs w:val="22"/>
      </w:rPr>
    </w:pPr>
  </w:p>
  <w:p w14:paraId="1759B7F2" w14:textId="4645BD58" w:rsidR="005D7267" w:rsidRPr="00951F79" w:rsidRDefault="005D7267" w:rsidP="009F4BEC">
    <w:pPr>
      <w:pStyle w:val="Ttulo1"/>
      <w:ind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Pr="00580A20">
      <w:rPr>
        <w:rFonts w:ascii="Bookman Old Style" w:hAnsi="Bookman Old Style" w:cs="Arial"/>
        <w:bCs/>
        <w:szCs w:val="24"/>
        <w:u w:val="single"/>
      </w:rPr>
      <w:t xml:space="preserve"> </w:t>
    </w:r>
    <w:r w:rsidR="00580A20" w:rsidRPr="00580A20">
      <w:rPr>
        <w:rFonts w:ascii="Bookman Old Style" w:hAnsi="Bookman Old Style" w:cs="Arial"/>
        <w:bCs/>
        <w:szCs w:val="24"/>
        <w:u w:val="single"/>
      </w:rPr>
      <w:t>187</w:t>
    </w:r>
    <w:r w:rsidR="00580A20">
      <w:rPr>
        <w:rFonts w:ascii="Bookman Old Style" w:hAnsi="Bookman Old Style" w:cs="Arial"/>
        <w:bCs/>
        <w:szCs w:val="24"/>
        <w:u w:val="single"/>
      </w:rPr>
      <w:t xml:space="preserve">         </w:t>
    </w:r>
    <w:r>
      <w:rPr>
        <w:rFonts w:ascii="Bookman Old Style" w:hAnsi="Bookman Old Style" w:cs="Arial"/>
        <w:b w:val="0"/>
        <w:sz w:val="22"/>
        <w:szCs w:val="22"/>
      </w:rPr>
      <w:t xml:space="preserve">DE </w:t>
    </w:r>
    <w:r w:rsidR="00580A20">
      <w:rPr>
        <w:rFonts w:ascii="Bookman Old Style" w:hAnsi="Bookman Old Style" w:cs="Arial"/>
        <w:b w:val="0"/>
        <w:sz w:val="22"/>
        <w:szCs w:val="22"/>
      </w:rPr>
      <w:t xml:space="preserve">    </w:t>
    </w:r>
    <w:r w:rsidR="00580A20" w:rsidRPr="00580A20">
      <w:rPr>
        <w:rFonts w:ascii="Bookman Old Style" w:hAnsi="Bookman Old Style" w:cs="Arial"/>
        <w:bCs/>
        <w:szCs w:val="24"/>
        <w:u w:val="single"/>
      </w:rPr>
      <w:t>25 SEP. 2020</w:t>
    </w:r>
    <w:proofErr w:type="gramStart"/>
    <w:r>
      <w:rPr>
        <w:rFonts w:ascii="Bookman Old Style" w:hAnsi="Bookman Old Style" w:cs="Arial"/>
        <w:b w:val="0"/>
        <w:sz w:val="22"/>
        <w:szCs w:val="22"/>
      </w:rPr>
      <w:tab/>
    </w:r>
    <w:r w:rsidR="00580A20">
      <w:rPr>
        <w:rFonts w:ascii="Bookman Old Style" w:hAnsi="Bookman Old Style" w:cs="Arial"/>
        <w:b w:val="0"/>
        <w:sz w:val="22"/>
        <w:szCs w:val="22"/>
      </w:rPr>
      <w:t xml:space="preserve">  </w:t>
    </w:r>
    <w:r w:rsidRPr="00654384">
      <w:rPr>
        <w:rFonts w:ascii="Bookman Old Style" w:hAnsi="Bookman Old Style" w:cs="Arial"/>
        <w:b w:val="0"/>
        <w:sz w:val="22"/>
        <w:szCs w:val="22"/>
      </w:rPr>
      <w:t>HOJA</w:t>
    </w:r>
    <w:proofErr w:type="gramEnd"/>
    <w:r w:rsidRPr="00654384">
      <w:rPr>
        <w:rFonts w:ascii="Bookman Old Style" w:hAnsi="Bookman Old Style" w:cs="Arial"/>
        <w:b w:val="0"/>
        <w:sz w:val="22"/>
        <w:szCs w:val="22"/>
      </w:rPr>
      <w:t xml:space="preserve">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5C78C2">
      <w:rPr>
        <w:rFonts w:ascii="Bookman Old Style" w:hAnsi="Bookman Old Style" w:cs="Arial"/>
        <w:b w:val="0"/>
        <w:noProof/>
        <w:sz w:val="22"/>
        <w:szCs w:val="22"/>
      </w:rPr>
      <w:t>6</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NUMPAGES  \* MERGEFORMAT">
      <w:r w:rsidR="005C78C2" w:rsidRPr="005C78C2">
        <w:rPr>
          <w:rFonts w:ascii="Bookman Old Style" w:hAnsi="Bookman Old Style" w:cs="Arial"/>
          <w:b w:val="0"/>
          <w:noProof/>
          <w:sz w:val="22"/>
          <w:szCs w:val="22"/>
        </w:rPr>
        <w:t>6</w:t>
      </w:r>
    </w:fldSimple>
  </w:p>
  <w:p w14:paraId="67F27695" w14:textId="77777777" w:rsidR="005D7267" w:rsidRDefault="005D7267" w:rsidP="00AD01E4">
    <w:pPr>
      <w:ind w:left="142" w:right="148"/>
      <w:rPr>
        <w:rFonts w:cs="Arial"/>
      </w:rPr>
    </w:pPr>
    <w:r w:rsidRPr="0042068C">
      <w:rPr>
        <w:noProof/>
        <w:lang w:val="es-CO" w:eastAsia="es-CO"/>
      </w:rPr>
      <mc:AlternateContent>
        <mc:Choice Requires="wps">
          <w:drawing>
            <wp:anchor distT="0" distB="0" distL="114300" distR="114300" simplePos="0" relativeHeight="251658240" behindDoc="0" locked="0" layoutInCell="1" allowOverlap="1" wp14:anchorId="41D4A932" wp14:editId="166BAA33">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34770EBA" id="Rectangle 1" o:spid="_x0000_s1026"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5BBC30C2" w14:textId="20C52F14" w:rsidR="005D7267" w:rsidRPr="00580A20" w:rsidRDefault="00066334" w:rsidP="00C03EFF">
    <w:pPr>
      <w:pBdr>
        <w:bottom w:val="single" w:sz="4" w:space="1" w:color="auto"/>
      </w:pBdr>
      <w:ind w:left="142" w:right="148"/>
      <w:rPr>
        <w:b/>
      </w:rPr>
    </w:pPr>
    <w:r w:rsidRPr="00580A20">
      <w:rPr>
        <w:rFonts w:cs="Arial"/>
      </w:rPr>
      <w:t>Disposiciones para la actualización del esquema de separación de áreas de la interconexión Colombia – Ecuador a 230 kV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522E8" w14:textId="6554BDD6" w:rsidR="005D7267" w:rsidRDefault="00784C1E">
    <w:pPr>
      <w:pStyle w:val="Encabezado"/>
      <w:jc w:val="center"/>
      <w:rPr>
        <w:rFonts w:ascii="Arial" w:hAnsi="Arial" w:cs="Arial"/>
        <w:spacing w:val="20"/>
        <w:sz w:val="20"/>
      </w:rPr>
    </w:pPr>
    <w:r>
      <w:rPr>
        <w:rFonts w:ascii="Arial" w:hAnsi="Arial" w:cs="Arial"/>
        <w:spacing w:val="20"/>
        <w:sz w:val="20"/>
      </w:rPr>
      <w:t>República de Colombia</w:t>
    </w:r>
  </w:p>
  <w:p w14:paraId="5AF90B00" w14:textId="77777777" w:rsidR="005D7267" w:rsidRDefault="005D726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3B6D217F" wp14:editId="64AADD1A">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70C0A726"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15:restartNumberingAfterBreak="0">
    <w:nsid w:val="048D4996"/>
    <w:multiLevelType w:val="hybridMultilevel"/>
    <w:tmpl w:val="0DF61196"/>
    <w:lvl w:ilvl="0" w:tplc="892E1982">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0">
    <w:nsid w:val="0D676557"/>
    <w:multiLevelType w:val="hybridMultilevel"/>
    <w:tmpl w:val="01C43A3C"/>
    <w:lvl w:ilvl="0" w:tplc="7644B10A">
      <w:start w:val="1"/>
      <w:numFmt w:val="decimal"/>
      <w:lvlText w:val="%1."/>
      <w:lvlJc w:val="left"/>
      <w:pPr>
        <w:tabs>
          <w:tab w:val="num" w:pos="720"/>
        </w:tabs>
        <w:ind w:left="720" w:hanging="360"/>
      </w:pPr>
    </w:lvl>
    <w:lvl w:ilvl="1" w:tplc="42DE94D8">
      <w:start w:val="1"/>
      <w:numFmt w:val="decimal"/>
      <w:lvlText w:val="%2."/>
      <w:lvlJc w:val="left"/>
      <w:pPr>
        <w:tabs>
          <w:tab w:val="num" w:pos="1440"/>
        </w:tabs>
        <w:ind w:left="1440" w:hanging="360"/>
      </w:pPr>
    </w:lvl>
    <w:lvl w:ilvl="2" w:tplc="977E6A70" w:tentative="1">
      <w:start w:val="1"/>
      <w:numFmt w:val="decimal"/>
      <w:lvlText w:val="%3."/>
      <w:lvlJc w:val="left"/>
      <w:pPr>
        <w:tabs>
          <w:tab w:val="num" w:pos="2160"/>
        </w:tabs>
        <w:ind w:left="2160" w:hanging="360"/>
      </w:pPr>
    </w:lvl>
    <w:lvl w:ilvl="3" w:tplc="D79E73A8" w:tentative="1">
      <w:start w:val="1"/>
      <w:numFmt w:val="decimal"/>
      <w:lvlText w:val="%4."/>
      <w:lvlJc w:val="left"/>
      <w:pPr>
        <w:tabs>
          <w:tab w:val="num" w:pos="2880"/>
        </w:tabs>
        <w:ind w:left="2880" w:hanging="360"/>
      </w:pPr>
    </w:lvl>
    <w:lvl w:ilvl="4" w:tplc="94CAADCC" w:tentative="1">
      <w:start w:val="1"/>
      <w:numFmt w:val="decimal"/>
      <w:lvlText w:val="%5."/>
      <w:lvlJc w:val="left"/>
      <w:pPr>
        <w:tabs>
          <w:tab w:val="num" w:pos="3600"/>
        </w:tabs>
        <w:ind w:left="3600" w:hanging="360"/>
      </w:pPr>
    </w:lvl>
    <w:lvl w:ilvl="5" w:tplc="1B70DBEE" w:tentative="1">
      <w:start w:val="1"/>
      <w:numFmt w:val="decimal"/>
      <w:lvlText w:val="%6."/>
      <w:lvlJc w:val="left"/>
      <w:pPr>
        <w:tabs>
          <w:tab w:val="num" w:pos="4320"/>
        </w:tabs>
        <w:ind w:left="4320" w:hanging="360"/>
      </w:pPr>
    </w:lvl>
    <w:lvl w:ilvl="6" w:tplc="EA263126" w:tentative="1">
      <w:start w:val="1"/>
      <w:numFmt w:val="decimal"/>
      <w:lvlText w:val="%7."/>
      <w:lvlJc w:val="left"/>
      <w:pPr>
        <w:tabs>
          <w:tab w:val="num" w:pos="5040"/>
        </w:tabs>
        <w:ind w:left="5040" w:hanging="360"/>
      </w:pPr>
    </w:lvl>
    <w:lvl w:ilvl="7" w:tplc="E82471D0" w:tentative="1">
      <w:start w:val="1"/>
      <w:numFmt w:val="decimal"/>
      <w:lvlText w:val="%8."/>
      <w:lvlJc w:val="left"/>
      <w:pPr>
        <w:tabs>
          <w:tab w:val="num" w:pos="5760"/>
        </w:tabs>
        <w:ind w:left="5760" w:hanging="360"/>
      </w:pPr>
    </w:lvl>
    <w:lvl w:ilvl="8" w:tplc="9AECD238" w:tentative="1">
      <w:start w:val="1"/>
      <w:numFmt w:val="decimal"/>
      <w:lvlText w:val="%9."/>
      <w:lvlJc w:val="left"/>
      <w:pPr>
        <w:tabs>
          <w:tab w:val="num" w:pos="6480"/>
        </w:tabs>
        <w:ind w:left="6480" w:hanging="360"/>
      </w:pPr>
    </w:lvl>
  </w:abstractNum>
  <w:abstractNum w:abstractNumId="3" w15:restartNumberingAfterBreak="0">
    <w:nsid w:val="12642EBA"/>
    <w:multiLevelType w:val="hybridMultilevel"/>
    <w:tmpl w:val="AC920DB2"/>
    <w:lvl w:ilvl="0" w:tplc="F8021F14">
      <w:start w:val="1"/>
      <w:numFmt w:val="decimal"/>
      <w:lvlText w:val="Artículo %1."/>
      <w:lvlJc w:val="left"/>
      <w:pPr>
        <w:ind w:left="2204" w:hanging="360"/>
      </w:pPr>
      <w:rPr>
        <w:rFonts w:ascii="Bookman Old Style" w:hAnsi="Bookman Old Style" w:hint="default"/>
        <w:b/>
        <w:i w:val="0"/>
        <w:color w:val="auto"/>
        <w:sz w:val="24"/>
        <w:szCs w:val="24"/>
      </w:rPr>
    </w:lvl>
    <w:lvl w:ilvl="1" w:tplc="240A0019" w:tentative="1">
      <w:start w:val="1"/>
      <w:numFmt w:val="lowerLetter"/>
      <w:lvlText w:val="%2."/>
      <w:lvlJc w:val="left"/>
      <w:pPr>
        <w:ind w:left="873" w:hanging="360"/>
      </w:pPr>
    </w:lvl>
    <w:lvl w:ilvl="2" w:tplc="240A001B" w:tentative="1">
      <w:start w:val="1"/>
      <w:numFmt w:val="lowerRoman"/>
      <w:lvlText w:val="%3."/>
      <w:lvlJc w:val="right"/>
      <w:pPr>
        <w:ind w:left="1593" w:hanging="180"/>
      </w:pPr>
    </w:lvl>
    <w:lvl w:ilvl="3" w:tplc="240A000F" w:tentative="1">
      <w:start w:val="1"/>
      <w:numFmt w:val="decimal"/>
      <w:lvlText w:val="%4."/>
      <w:lvlJc w:val="left"/>
      <w:pPr>
        <w:ind w:left="2313" w:hanging="360"/>
      </w:pPr>
    </w:lvl>
    <w:lvl w:ilvl="4" w:tplc="240A0019" w:tentative="1">
      <w:start w:val="1"/>
      <w:numFmt w:val="lowerLetter"/>
      <w:lvlText w:val="%5."/>
      <w:lvlJc w:val="left"/>
      <w:pPr>
        <w:ind w:left="3033" w:hanging="360"/>
      </w:pPr>
    </w:lvl>
    <w:lvl w:ilvl="5" w:tplc="240A001B" w:tentative="1">
      <w:start w:val="1"/>
      <w:numFmt w:val="lowerRoman"/>
      <w:lvlText w:val="%6."/>
      <w:lvlJc w:val="right"/>
      <w:pPr>
        <w:ind w:left="3753" w:hanging="180"/>
      </w:pPr>
    </w:lvl>
    <w:lvl w:ilvl="6" w:tplc="240A000F" w:tentative="1">
      <w:start w:val="1"/>
      <w:numFmt w:val="decimal"/>
      <w:lvlText w:val="%7."/>
      <w:lvlJc w:val="left"/>
      <w:pPr>
        <w:ind w:left="4473" w:hanging="360"/>
      </w:pPr>
    </w:lvl>
    <w:lvl w:ilvl="7" w:tplc="240A0019" w:tentative="1">
      <w:start w:val="1"/>
      <w:numFmt w:val="lowerLetter"/>
      <w:lvlText w:val="%8."/>
      <w:lvlJc w:val="left"/>
      <w:pPr>
        <w:ind w:left="5193" w:hanging="360"/>
      </w:pPr>
    </w:lvl>
    <w:lvl w:ilvl="8" w:tplc="240A001B" w:tentative="1">
      <w:start w:val="1"/>
      <w:numFmt w:val="lowerRoman"/>
      <w:lvlText w:val="%9."/>
      <w:lvlJc w:val="right"/>
      <w:pPr>
        <w:ind w:left="5913" w:hanging="180"/>
      </w:pPr>
    </w:lvl>
  </w:abstractNum>
  <w:abstractNum w:abstractNumId="4" w15:restartNumberingAfterBreak="0">
    <w:nsid w:val="13F72E34"/>
    <w:multiLevelType w:val="hybridMultilevel"/>
    <w:tmpl w:val="578AAE02"/>
    <w:lvl w:ilvl="0" w:tplc="A1888D6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92D7F63"/>
    <w:multiLevelType w:val="hybridMultilevel"/>
    <w:tmpl w:val="81B6A54C"/>
    <w:lvl w:ilvl="0" w:tplc="240A001B">
      <w:start w:val="1"/>
      <w:numFmt w:val="lowerRoman"/>
      <w:lvlText w:val="%1."/>
      <w:lvlJc w:val="righ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 w15:restartNumberingAfterBreak="0">
    <w:nsid w:val="1EFA2457"/>
    <w:multiLevelType w:val="hybridMultilevel"/>
    <w:tmpl w:val="886C05E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3900B77"/>
    <w:multiLevelType w:val="hybridMultilevel"/>
    <w:tmpl w:val="11426176"/>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8" w15:restartNumberingAfterBreak="0">
    <w:nsid w:val="26D15D16"/>
    <w:multiLevelType w:val="hybridMultilevel"/>
    <w:tmpl w:val="BB66B48C"/>
    <w:lvl w:ilvl="0" w:tplc="240A0001">
      <w:start w:val="1"/>
      <w:numFmt w:val="bullet"/>
      <w:lvlText w:val=""/>
      <w:lvlJc w:val="left"/>
      <w:pPr>
        <w:ind w:left="795" w:hanging="360"/>
      </w:pPr>
      <w:rPr>
        <w:rFonts w:ascii="Symbol" w:hAnsi="Symbol" w:hint="default"/>
      </w:rPr>
    </w:lvl>
    <w:lvl w:ilvl="1" w:tplc="240A0003" w:tentative="1">
      <w:start w:val="1"/>
      <w:numFmt w:val="bullet"/>
      <w:lvlText w:val="o"/>
      <w:lvlJc w:val="left"/>
      <w:pPr>
        <w:ind w:left="1515" w:hanging="360"/>
      </w:pPr>
      <w:rPr>
        <w:rFonts w:ascii="Courier New" w:hAnsi="Courier New" w:cs="Courier New"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9" w15:restartNumberingAfterBreak="0">
    <w:nsid w:val="473F76CA"/>
    <w:multiLevelType w:val="singleLevel"/>
    <w:tmpl w:val="8BE8BD84"/>
    <w:lvl w:ilvl="0">
      <w:start w:val="1"/>
      <w:numFmt w:val="lowerLetter"/>
      <w:lvlText w:val="%1)"/>
      <w:lvlJc w:val="left"/>
      <w:pPr>
        <w:tabs>
          <w:tab w:val="num" w:pos="360"/>
        </w:tabs>
        <w:ind w:left="360" w:hanging="360"/>
      </w:pPr>
      <w:rPr>
        <w:b w:val="0"/>
        <w:i w:val="0"/>
      </w:rPr>
    </w:lvl>
  </w:abstractNum>
  <w:abstractNum w:abstractNumId="10" w15:restartNumberingAfterBreak="0">
    <w:nsid w:val="4786178C"/>
    <w:multiLevelType w:val="hybridMultilevel"/>
    <w:tmpl w:val="31223B00"/>
    <w:lvl w:ilvl="0" w:tplc="6138270E">
      <w:start w:val="1"/>
      <w:numFmt w:val="lowerRoman"/>
      <w:lvlText w:val="%1."/>
      <w:lvlJc w:val="right"/>
      <w:pPr>
        <w:ind w:left="1068"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1C11FFD"/>
    <w:multiLevelType w:val="hybridMultilevel"/>
    <w:tmpl w:val="CA64D9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55E2CB8"/>
    <w:multiLevelType w:val="hybridMultilevel"/>
    <w:tmpl w:val="8946B240"/>
    <w:lvl w:ilvl="0" w:tplc="E2C8B584">
      <w:start w:val="7"/>
      <w:numFmt w:val="decimal"/>
      <w:lvlText w:val="%1."/>
      <w:lvlJc w:val="left"/>
      <w:pPr>
        <w:tabs>
          <w:tab w:val="num" w:pos="720"/>
        </w:tabs>
        <w:ind w:left="720" w:hanging="360"/>
      </w:pPr>
    </w:lvl>
    <w:lvl w:ilvl="1" w:tplc="0C20A498">
      <w:start w:val="1"/>
      <w:numFmt w:val="decimal"/>
      <w:lvlText w:val="%2."/>
      <w:lvlJc w:val="left"/>
      <w:pPr>
        <w:tabs>
          <w:tab w:val="num" w:pos="1440"/>
        </w:tabs>
        <w:ind w:left="1440" w:hanging="360"/>
      </w:pPr>
    </w:lvl>
    <w:lvl w:ilvl="2" w:tplc="0A221816" w:tentative="1">
      <w:start w:val="1"/>
      <w:numFmt w:val="decimal"/>
      <w:lvlText w:val="%3."/>
      <w:lvlJc w:val="left"/>
      <w:pPr>
        <w:tabs>
          <w:tab w:val="num" w:pos="2160"/>
        </w:tabs>
        <w:ind w:left="2160" w:hanging="360"/>
      </w:pPr>
    </w:lvl>
    <w:lvl w:ilvl="3" w:tplc="47E0EECC" w:tentative="1">
      <w:start w:val="1"/>
      <w:numFmt w:val="decimal"/>
      <w:lvlText w:val="%4."/>
      <w:lvlJc w:val="left"/>
      <w:pPr>
        <w:tabs>
          <w:tab w:val="num" w:pos="2880"/>
        </w:tabs>
        <w:ind w:left="2880" w:hanging="360"/>
      </w:pPr>
    </w:lvl>
    <w:lvl w:ilvl="4" w:tplc="CE74B3C6" w:tentative="1">
      <w:start w:val="1"/>
      <w:numFmt w:val="decimal"/>
      <w:lvlText w:val="%5."/>
      <w:lvlJc w:val="left"/>
      <w:pPr>
        <w:tabs>
          <w:tab w:val="num" w:pos="3600"/>
        </w:tabs>
        <w:ind w:left="3600" w:hanging="360"/>
      </w:pPr>
    </w:lvl>
    <w:lvl w:ilvl="5" w:tplc="22600370" w:tentative="1">
      <w:start w:val="1"/>
      <w:numFmt w:val="decimal"/>
      <w:lvlText w:val="%6."/>
      <w:lvlJc w:val="left"/>
      <w:pPr>
        <w:tabs>
          <w:tab w:val="num" w:pos="4320"/>
        </w:tabs>
        <w:ind w:left="4320" w:hanging="360"/>
      </w:pPr>
    </w:lvl>
    <w:lvl w:ilvl="6" w:tplc="2DB840D0" w:tentative="1">
      <w:start w:val="1"/>
      <w:numFmt w:val="decimal"/>
      <w:lvlText w:val="%7."/>
      <w:lvlJc w:val="left"/>
      <w:pPr>
        <w:tabs>
          <w:tab w:val="num" w:pos="5040"/>
        </w:tabs>
        <w:ind w:left="5040" w:hanging="360"/>
      </w:pPr>
    </w:lvl>
    <w:lvl w:ilvl="7" w:tplc="E08C0E0E" w:tentative="1">
      <w:start w:val="1"/>
      <w:numFmt w:val="decimal"/>
      <w:lvlText w:val="%8."/>
      <w:lvlJc w:val="left"/>
      <w:pPr>
        <w:tabs>
          <w:tab w:val="num" w:pos="5760"/>
        </w:tabs>
        <w:ind w:left="5760" w:hanging="360"/>
      </w:pPr>
    </w:lvl>
    <w:lvl w:ilvl="8" w:tplc="7952CCFE" w:tentative="1">
      <w:start w:val="1"/>
      <w:numFmt w:val="decimal"/>
      <w:lvlText w:val="%9."/>
      <w:lvlJc w:val="left"/>
      <w:pPr>
        <w:tabs>
          <w:tab w:val="num" w:pos="6480"/>
        </w:tabs>
        <w:ind w:left="6480" w:hanging="360"/>
      </w:pPr>
    </w:lvl>
  </w:abstractNum>
  <w:abstractNum w:abstractNumId="13" w15:restartNumberingAfterBreak="0">
    <w:nsid w:val="56746261"/>
    <w:multiLevelType w:val="hybridMultilevel"/>
    <w:tmpl w:val="B9849750"/>
    <w:lvl w:ilvl="0" w:tplc="240A001B">
      <w:start w:val="1"/>
      <w:numFmt w:val="lowerRoman"/>
      <w:lvlText w:val="%1."/>
      <w:lvlJc w:val="righ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92D65B9"/>
    <w:multiLevelType w:val="hybridMultilevel"/>
    <w:tmpl w:val="86EA649A"/>
    <w:lvl w:ilvl="0" w:tplc="240A001B">
      <w:start w:val="1"/>
      <w:numFmt w:val="lowerRoman"/>
      <w:lvlText w:val="%1."/>
      <w:lvlJc w:val="right"/>
      <w:pPr>
        <w:ind w:left="1068" w:hanging="360"/>
      </w:pPr>
      <w:rPr>
        <w:rFont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5" w15:restartNumberingAfterBreak="0">
    <w:nsid w:val="780B10EA"/>
    <w:multiLevelType w:val="hybridMultilevel"/>
    <w:tmpl w:val="8B048AE8"/>
    <w:lvl w:ilvl="0" w:tplc="51A0B82C">
      <w:start w:val="1"/>
      <w:numFmt w:val="decimal"/>
      <w:pStyle w:val="Artculo"/>
      <w:lvlText w:val="Artículo %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E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EDC2DFC">
      <w:start w:val="1"/>
      <w:numFmt w:val="lowerLetter"/>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78757A18"/>
    <w:multiLevelType w:val="hybridMultilevel"/>
    <w:tmpl w:val="70D0737C"/>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7" w15:restartNumberingAfterBreak="0">
    <w:nsid w:val="7C634162"/>
    <w:multiLevelType w:val="hybridMultilevel"/>
    <w:tmpl w:val="2D36E576"/>
    <w:lvl w:ilvl="0" w:tplc="9B463DA8">
      <w:start w:val="4"/>
      <w:numFmt w:val="lowerRoman"/>
      <w:lvlText w:val="%1."/>
      <w:lvlJc w:val="right"/>
      <w:pPr>
        <w:tabs>
          <w:tab w:val="num" w:pos="720"/>
        </w:tabs>
        <w:ind w:left="720" w:hanging="360"/>
      </w:pPr>
    </w:lvl>
    <w:lvl w:ilvl="1" w:tplc="A8E6F966" w:tentative="1">
      <w:start w:val="1"/>
      <w:numFmt w:val="lowerRoman"/>
      <w:lvlText w:val="%2."/>
      <w:lvlJc w:val="right"/>
      <w:pPr>
        <w:tabs>
          <w:tab w:val="num" w:pos="1440"/>
        </w:tabs>
        <w:ind w:left="1440" w:hanging="360"/>
      </w:pPr>
    </w:lvl>
    <w:lvl w:ilvl="2" w:tplc="820221D0" w:tentative="1">
      <w:start w:val="1"/>
      <w:numFmt w:val="lowerRoman"/>
      <w:lvlText w:val="%3."/>
      <w:lvlJc w:val="right"/>
      <w:pPr>
        <w:tabs>
          <w:tab w:val="num" w:pos="2160"/>
        </w:tabs>
        <w:ind w:left="2160" w:hanging="360"/>
      </w:pPr>
    </w:lvl>
    <w:lvl w:ilvl="3" w:tplc="B0BA5652" w:tentative="1">
      <w:start w:val="1"/>
      <w:numFmt w:val="lowerRoman"/>
      <w:lvlText w:val="%4."/>
      <w:lvlJc w:val="right"/>
      <w:pPr>
        <w:tabs>
          <w:tab w:val="num" w:pos="2880"/>
        </w:tabs>
        <w:ind w:left="2880" w:hanging="360"/>
      </w:pPr>
    </w:lvl>
    <w:lvl w:ilvl="4" w:tplc="0FE2B2D4" w:tentative="1">
      <w:start w:val="1"/>
      <w:numFmt w:val="lowerRoman"/>
      <w:lvlText w:val="%5."/>
      <w:lvlJc w:val="right"/>
      <w:pPr>
        <w:tabs>
          <w:tab w:val="num" w:pos="3600"/>
        </w:tabs>
        <w:ind w:left="3600" w:hanging="360"/>
      </w:pPr>
    </w:lvl>
    <w:lvl w:ilvl="5" w:tplc="0012175C" w:tentative="1">
      <w:start w:val="1"/>
      <w:numFmt w:val="lowerRoman"/>
      <w:lvlText w:val="%6."/>
      <w:lvlJc w:val="right"/>
      <w:pPr>
        <w:tabs>
          <w:tab w:val="num" w:pos="4320"/>
        </w:tabs>
        <w:ind w:left="4320" w:hanging="360"/>
      </w:pPr>
    </w:lvl>
    <w:lvl w:ilvl="6" w:tplc="65FCDCBE" w:tentative="1">
      <w:start w:val="1"/>
      <w:numFmt w:val="lowerRoman"/>
      <w:lvlText w:val="%7."/>
      <w:lvlJc w:val="right"/>
      <w:pPr>
        <w:tabs>
          <w:tab w:val="num" w:pos="5040"/>
        </w:tabs>
        <w:ind w:left="5040" w:hanging="360"/>
      </w:pPr>
    </w:lvl>
    <w:lvl w:ilvl="7" w:tplc="DE90E222" w:tentative="1">
      <w:start w:val="1"/>
      <w:numFmt w:val="lowerRoman"/>
      <w:lvlText w:val="%8."/>
      <w:lvlJc w:val="right"/>
      <w:pPr>
        <w:tabs>
          <w:tab w:val="num" w:pos="5760"/>
        </w:tabs>
        <w:ind w:left="5760" w:hanging="360"/>
      </w:pPr>
    </w:lvl>
    <w:lvl w:ilvl="8" w:tplc="EFBA3406" w:tentative="1">
      <w:start w:val="1"/>
      <w:numFmt w:val="lowerRoman"/>
      <w:lvlText w:val="%9."/>
      <w:lvlJc w:val="right"/>
      <w:pPr>
        <w:tabs>
          <w:tab w:val="num" w:pos="6480"/>
        </w:tabs>
        <w:ind w:left="6480" w:hanging="360"/>
      </w:pPr>
    </w:lvl>
  </w:abstractNum>
  <w:abstractNum w:abstractNumId="18" w15:restartNumberingAfterBreak="0">
    <w:nsid w:val="7F220DC1"/>
    <w:multiLevelType w:val="hybridMultilevel"/>
    <w:tmpl w:val="0DF61196"/>
    <w:lvl w:ilvl="0" w:tplc="892E1982">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0"/>
  </w:num>
  <w:num w:numId="2">
    <w:abstractNumId w:val="3"/>
  </w:num>
  <w:num w:numId="3">
    <w:abstractNumId w:val="14"/>
  </w:num>
  <w:num w:numId="4">
    <w:abstractNumId w:val="13"/>
  </w:num>
  <w:num w:numId="5">
    <w:abstractNumId w:val="10"/>
  </w:num>
  <w:num w:numId="6">
    <w:abstractNumId w:val="6"/>
  </w:num>
  <w:num w:numId="7">
    <w:abstractNumId w:val="17"/>
  </w:num>
  <w:num w:numId="8">
    <w:abstractNumId w:val="4"/>
  </w:num>
  <w:num w:numId="9">
    <w:abstractNumId w:val="5"/>
  </w:num>
  <w:num w:numId="10">
    <w:abstractNumId w:val="7"/>
  </w:num>
  <w:num w:numId="11">
    <w:abstractNumId w:val="16"/>
  </w:num>
  <w:num w:numId="12">
    <w:abstractNumId w:val="15"/>
  </w:num>
  <w:num w:numId="13">
    <w:abstractNumId w:val="9"/>
  </w:num>
  <w:num w:numId="14">
    <w:abstractNumId w:val="11"/>
  </w:num>
  <w:num w:numId="15">
    <w:abstractNumId w:val="18"/>
  </w:num>
  <w:num w:numId="16">
    <w:abstractNumId w:val="2"/>
  </w:num>
  <w:num w:numId="17">
    <w:abstractNumId w:val="12"/>
  </w:num>
  <w:num w:numId="18">
    <w:abstractNumId w:val="1"/>
  </w:num>
  <w:num w:numId="19">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C6"/>
    <w:rsid w:val="0000040C"/>
    <w:rsid w:val="00001D6D"/>
    <w:rsid w:val="00002664"/>
    <w:rsid w:val="00003C64"/>
    <w:rsid w:val="00005638"/>
    <w:rsid w:val="00006AE2"/>
    <w:rsid w:val="00006CAC"/>
    <w:rsid w:val="000076A1"/>
    <w:rsid w:val="00010440"/>
    <w:rsid w:val="000121CB"/>
    <w:rsid w:val="00012259"/>
    <w:rsid w:val="00012D32"/>
    <w:rsid w:val="00012D85"/>
    <w:rsid w:val="00012EF9"/>
    <w:rsid w:val="00013280"/>
    <w:rsid w:val="00013E12"/>
    <w:rsid w:val="0001406A"/>
    <w:rsid w:val="0001550B"/>
    <w:rsid w:val="000164C5"/>
    <w:rsid w:val="00016E86"/>
    <w:rsid w:val="00023611"/>
    <w:rsid w:val="00023907"/>
    <w:rsid w:val="0002398A"/>
    <w:rsid w:val="0002401E"/>
    <w:rsid w:val="00025383"/>
    <w:rsid w:val="00027671"/>
    <w:rsid w:val="00027CC5"/>
    <w:rsid w:val="00031CCD"/>
    <w:rsid w:val="00033D79"/>
    <w:rsid w:val="00036EA4"/>
    <w:rsid w:val="00042252"/>
    <w:rsid w:val="00042861"/>
    <w:rsid w:val="000435EB"/>
    <w:rsid w:val="000445E6"/>
    <w:rsid w:val="00044D8C"/>
    <w:rsid w:val="000453E2"/>
    <w:rsid w:val="00046799"/>
    <w:rsid w:val="0004729E"/>
    <w:rsid w:val="00050CE4"/>
    <w:rsid w:val="00053BBB"/>
    <w:rsid w:val="00053E70"/>
    <w:rsid w:val="00053F7C"/>
    <w:rsid w:val="0005521B"/>
    <w:rsid w:val="0005595C"/>
    <w:rsid w:val="00056093"/>
    <w:rsid w:val="00056F1E"/>
    <w:rsid w:val="00061A0A"/>
    <w:rsid w:val="00062BB4"/>
    <w:rsid w:val="00063657"/>
    <w:rsid w:val="00066334"/>
    <w:rsid w:val="00067595"/>
    <w:rsid w:val="00070146"/>
    <w:rsid w:val="000708DB"/>
    <w:rsid w:val="000731D5"/>
    <w:rsid w:val="00076680"/>
    <w:rsid w:val="00076A1D"/>
    <w:rsid w:val="00076BC5"/>
    <w:rsid w:val="0007724F"/>
    <w:rsid w:val="00077B41"/>
    <w:rsid w:val="0008073E"/>
    <w:rsid w:val="00081A5E"/>
    <w:rsid w:val="0008244E"/>
    <w:rsid w:val="00084245"/>
    <w:rsid w:val="00090071"/>
    <w:rsid w:val="00091CDB"/>
    <w:rsid w:val="000A0AF7"/>
    <w:rsid w:val="000A19AC"/>
    <w:rsid w:val="000A28D3"/>
    <w:rsid w:val="000A3105"/>
    <w:rsid w:val="000A3772"/>
    <w:rsid w:val="000A72C6"/>
    <w:rsid w:val="000B1BAB"/>
    <w:rsid w:val="000B41F6"/>
    <w:rsid w:val="000B4E1C"/>
    <w:rsid w:val="000B5D5F"/>
    <w:rsid w:val="000B5F73"/>
    <w:rsid w:val="000B7949"/>
    <w:rsid w:val="000C0730"/>
    <w:rsid w:val="000C0E7E"/>
    <w:rsid w:val="000C3D4D"/>
    <w:rsid w:val="000C49F3"/>
    <w:rsid w:val="000C5561"/>
    <w:rsid w:val="000C6B30"/>
    <w:rsid w:val="000C70C4"/>
    <w:rsid w:val="000D1608"/>
    <w:rsid w:val="000D26F8"/>
    <w:rsid w:val="000D286A"/>
    <w:rsid w:val="000D3179"/>
    <w:rsid w:val="000D40FF"/>
    <w:rsid w:val="000D582A"/>
    <w:rsid w:val="000D7A06"/>
    <w:rsid w:val="000E115F"/>
    <w:rsid w:val="000E1FF0"/>
    <w:rsid w:val="000E2F10"/>
    <w:rsid w:val="000E5438"/>
    <w:rsid w:val="000E65E5"/>
    <w:rsid w:val="000E6933"/>
    <w:rsid w:val="000E7025"/>
    <w:rsid w:val="000E71C5"/>
    <w:rsid w:val="000F0664"/>
    <w:rsid w:val="000F1281"/>
    <w:rsid w:val="000F1368"/>
    <w:rsid w:val="000F388B"/>
    <w:rsid w:val="000F4B6F"/>
    <w:rsid w:val="000F4DE4"/>
    <w:rsid w:val="0010154C"/>
    <w:rsid w:val="00102198"/>
    <w:rsid w:val="00102CD1"/>
    <w:rsid w:val="00106F49"/>
    <w:rsid w:val="00110796"/>
    <w:rsid w:val="00110E4A"/>
    <w:rsid w:val="00111CAD"/>
    <w:rsid w:val="001127E3"/>
    <w:rsid w:val="00112BF9"/>
    <w:rsid w:val="00115DC3"/>
    <w:rsid w:val="00121296"/>
    <w:rsid w:val="00123017"/>
    <w:rsid w:val="0012307D"/>
    <w:rsid w:val="00124B42"/>
    <w:rsid w:val="0013146B"/>
    <w:rsid w:val="00131C40"/>
    <w:rsid w:val="00134AA8"/>
    <w:rsid w:val="001358BD"/>
    <w:rsid w:val="001358D7"/>
    <w:rsid w:val="00136B1F"/>
    <w:rsid w:val="001405C6"/>
    <w:rsid w:val="00140667"/>
    <w:rsid w:val="00140CE5"/>
    <w:rsid w:val="00141013"/>
    <w:rsid w:val="00144A39"/>
    <w:rsid w:val="00144D88"/>
    <w:rsid w:val="00146B0A"/>
    <w:rsid w:val="00151784"/>
    <w:rsid w:val="00151C40"/>
    <w:rsid w:val="00151E00"/>
    <w:rsid w:val="001545EB"/>
    <w:rsid w:val="001562FC"/>
    <w:rsid w:val="001576D0"/>
    <w:rsid w:val="00160343"/>
    <w:rsid w:val="00162AA3"/>
    <w:rsid w:val="00162E81"/>
    <w:rsid w:val="00163F7D"/>
    <w:rsid w:val="00164215"/>
    <w:rsid w:val="0016513C"/>
    <w:rsid w:val="00172EEE"/>
    <w:rsid w:val="00174FFE"/>
    <w:rsid w:val="00175EF0"/>
    <w:rsid w:val="001767CB"/>
    <w:rsid w:val="001814D0"/>
    <w:rsid w:val="00183235"/>
    <w:rsid w:val="00183341"/>
    <w:rsid w:val="00185827"/>
    <w:rsid w:val="00187F0E"/>
    <w:rsid w:val="00192CBF"/>
    <w:rsid w:val="00192FF1"/>
    <w:rsid w:val="001954F1"/>
    <w:rsid w:val="00195C18"/>
    <w:rsid w:val="001A0068"/>
    <w:rsid w:val="001A2447"/>
    <w:rsid w:val="001A3A67"/>
    <w:rsid w:val="001A5F1B"/>
    <w:rsid w:val="001A6404"/>
    <w:rsid w:val="001A6E19"/>
    <w:rsid w:val="001A79FF"/>
    <w:rsid w:val="001A7FCE"/>
    <w:rsid w:val="001B045D"/>
    <w:rsid w:val="001B1C22"/>
    <w:rsid w:val="001B266B"/>
    <w:rsid w:val="001B34C6"/>
    <w:rsid w:val="001B4C0B"/>
    <w:rsid w:val="001B6596"/>
    <w:rsid w:val="001C0062"/>
    <w:rsid w:val="001C1B9E"/>
    <w:rsid w:val="001C307F"/>
    <w:rsid w:val="001C4100"/>
    <w:rsid w:val="001C6815"/>
    <w:rsid w:val="001D40EF"/>
    <w:rsid w:val="001D4DF0"/>
    <w:rsid w:val="001D540A"/>
    <w:rsid w:val="001D6CF5"/>
    <w:rsid w:val="001D722C"/>
    <w:rsid w:val="001D7832"/>
    <w:rsid w:val="001E3368"/>
    <w:rsid w:val="001E497C"/>
    <w:rsid w:val="001E5215"/>
    <w:rsid w:val="001E7E33"/>
    <w:rsid w:val="001F0466"/>
    <w:rsid w:val="001F1467"/>
    <w:rsid w:val="001F19E0"/>
    <w:rsid w:val="001F35A6"/>
    <w:rsid w:val="001F3E55"/>
    <w:rsid w:val="001F612B"/>
    <w:rsid w:val="002011B1"/>
    <w:rsid w:val="00204272"/>
    <w:rsid w:val="00204604"/>
    <w:rsid w:val="00206952"/>
    <w:rsid w:val="0020718A"/>
    <w:rsid w:val="00211D34"/>
    <w:rsid w:val="002124B7"/>
    <w:rsid w:val="00212D0C"/>
    <w:rsid w:val="002132FC"/>
    <w:rsid w:val="00214333"/>
    <w:rsid w:val="0021490F"/>
    <w:rsid w:val="00214F04"/>
    <w:rsid w:val="0022248D"/>
    <w:rsid w:val="0022269F"/>
    <w:rsid w:val="00222B91"/>
    <w:rsid w:val="002241DC"/>
    <w:rsid w:val="00224788"/>
    <w:rsid w:val="002336CF"/>
    <w:rsid w:val="00234694"/>
    <w:rsid w:val="00235780"/>
    <w:rsid w:val="00235CBD"/>
    <w:rsid w:val="00235F1C"/>
    <w:rsid w:val="00235F40"/>
    <w:rsid w:val="002412EB"/>
    <w:rsid w:val="00244587"/>
    <w:rsid w:val="00244842"/>
    <w:rsid w:val="0024487D"/>
    <w:rsid w:val="002514B9"/>
    <w:rsid w:val="00251779"/>
    <w:rsid w:val="00253F55"/>
    <w:rsid w:val="00257232"/>
    <w:rsid w:val="0025775B"/>
    <w:rsid w:val="00261123"/>
    <w:rsid w:val="00262766"/>
    <w:rsid w:val="00265302"/>
    <w:rsid w:val="002664A2"/>
    <w:rsid w:val="00266B9E"/>
    <w:rsid w:val="00266CD6"/>
    <w:rsid w:val="00266DE7"/>
    <w:rsid w:val="00272516"/>
    <w:rsid w:val="0027264C"/>
    <w:rsid w:val="002746B2"/>
    <w:rsid w:val="00275DAB"/>
    <w:rsid w:val="00276681"/>
    <w:rsid w:val="00280A4E"/>
    <w:rsid w:val="00280F76"/>
    <w:rsid w:val="00281261"/>
    <w:rsid w:val="002823B5"/>
    <w:rsid w:val="00282593"/>
    <w:rsid w:val="00284388"/>
    <w:rsid w:val="00287AB4"/>
    <w:rsid w:val="00287E69"/>
    <w:rsid w:val="002902EF"/>
    <w:rsid w:val="002938F9"/>
    <w:rsid w:val="00296F06"/>
    <w:rsid w:val="002979E0"/>
    <w:rsid w:val="002A2945"/>
    <w:rsid w:val="002A29A6"/>
    <w:rsid w:val="002A34DD"/>
    <w:rsid w:val="002A62C9"/>
    <w:rsid w:val="002A6971"/>
    <w:rsid w:val="002A782A"/>
    <w:rsid w:val="002B0796"/>
    <w:rsid w:val="002B11E2"/>
    <w:rsid w:val="002B24B8"/>
    <w:rsid w:val="002B359B"/>
    <w:rsid w:val="002B372B"/>
    <w:rsid w:val="002B41BB"/>
    <w:rsid w:val="002B5884"/>
    <w:rsid w:val="002B68E7"/>
    <w:rsid w:val="002B7DEE"/>
    <w:rsid w:val="002C0188"/>
    <w:rsid w:val="002C06F4"/>
    <w:rsid w:val="002C1EE3"/>
    <w:rsid w:val="002C3006"/>
    <w:rsid w:val="002C4F33"/>
    <w:rsid w:val="002C6C88"/>
    <w:rsid w:val="002C6FA9"/>
    <w:rsid w:val="002D1911"/>
    <w:rsid w:val="002D1A67"/>
    <w:rsid w:val="002D2929"/>
    <w:rsid w:val="002D3AE9"/>
    <w:rsid w:val="002D4510"/>
    <w:rsid w:val="002D7C5C"/>
    <w:rsid w:val="002E00A3"/>
    <w:rsid w:val="002E5EC9"/>
    <w:rsid w:val="002F0350"/>
    <w:rsid w:val="002F0734"/>
    <w:rsid w:val="002F2388"/>
    <w:rsid w:val="002F2C1C"/>
    <w:rsid w:val="002F3A2B"/>
    <w:rsid w:val="002F41C3"/>
    <w:rsid w:val="002F46E7"/>
    <w:rsid w:val="002F79EC"/>
    <w:rsid w:val="003001B6"/>
    <w:rsid w:val="00303AFD"/>
    <w:rsid w:val="00304393"/>
    <w:rsid w:val="00304F39"/>
    <w:rsid w:val="00306D48"/>
    <w:rsid w:val="00307386"/>
    <w:rsid w:val="003101DA"/>
    <w:rsid w:val="003115FB"/>
    <w:rsid w:val="0031200C"/>
    <w:rsid w:val="00314757"/>
    <w:rsid w:val="00314B48"/>
    <w:rsid w:val="00320BFC"/>
    <w:rsid w:val="003211CE"/>
    <w:rsid w:val="003235FF"/>
    <w:rsid w:val="00324C26"/>
    <w:rsid w:val="00325A07"/>
    <w:rsid w:val="00327381"/>
    <w:rsid w:val="003348CC"/>
    <w:rsid w:val="00334F5D"/>
    <w:rsid w:val="0034267B"/>
    <w:rsid w:val="00342E2F"/>
    <w:rsid w:val="00343D23"/>
    <w:rsid w:val="00344871"/>
    <w:rsid w:val="0034487E"/>
    <w:rsid w:val="0034563F"/>
    <w:rsid w:val="00345658"/>
    <w:rsid w:val="00345F1B"/>
    <w:rsid w:val="0034748C"/>
    <w:rsid w:val="00347FA3"/>
    <w:rsid w:val="003532CF"/>
    <w:rsid w:val="0035403A"/>
    <w:rsid w:val="003546AD"/>
    <w:rsid w:val="00354D0B"/>
    <w:rsid w:val="00357B65"/>
    <w:rsid w:val="003607D7"/>
    <w:rsid w:val="00361947"/>
    <w:rsid w:val="00361BC9"/>
    <w:rsid w:val="00362553"/>
    <w:rsid w:val="00363160"/>
    <w:rsid w:val="0036394B"/>
    <w:rsid w:val="00363C23"/>
    <w:rsid w:val="00363ECF"/>
    <w:rsid w:val="003640B0"/>
    <w:rsid w:val="003648A6"/>
    <w:rsid w:val="00364A61"/>
    <w:rsid w:val="00365DA6"/>
    <w:rsid w:val="00366632"/>
    <w:rsid w:val="00366E12"/>
    <w:rsid w:val="00367BD7"/>
    <w:rsid w:val="003709B5"/>
    <w:rsid w:val="00370BA9"/>
    <w:rsid w:val="00372D0C"/>
    <w:rsid w:val="00374B82"/>
    <w:rsid w:val="003759C2"/>
    <w:rsid w:val="003813DE"/>
    <w:rsid w:val="003908F1"/>
    <w:rsid w:val="003927D1"/>
    <w:rsid w:val="0039281B"/>
    <w:rsid w:val="00394EEB"/>
    <w:rsid w:val="003967D6"/>
    <w:rsid w:val="00397365"/>
    <w:rsid w:val="003A1404"/>
    <w:rsid w:val="003A31F6"/>
    <w:rsid w:val="003A345A"/>
    <w:rsid w:val="003A4E2D"/>
    <w:rsid w:val="003A776A"/>
    <w:rsid w:val="003B19C9"/>
    <w:rsid w:val="003B2987"/>
    <w:rsid w:val="003B372D"/>
    <w:rsid w:val="003B3AEE"/>
    <w:rsid w:val="003B4CAB"/>
    <w:rsid w:val="003B575E"/>
    <w:rsid w:val="003B616F"/>
    <w:rsid w:val="003B6996"/>
    <w:rsid w:val="003C0B58"/>
    <w:rsid w:val="003C17AE"/>
    <w:rsid w:val="003C191F"/>
    <w:rsid w:val="003C2657"/>
    <w:rsid w:val="003C3447"/>
    <w:rsid w:val="003C453B"/>
    <w:rsid w:val="003C4EFE"/>
    <w:rsid w:val="003C67B6"/>
    <w:rsid w:val="003D076C"/>
    <w:rsid w:val="003D0D16"/>
    <w:rsid w:val="003D2F72"/>
    <w:rsid w:val="003D51D2"/>
    <w:rsid w:val="003D5288"/>
    <w:rsid w:val="003D5401"/>
    <w:rsid w:val="003D6146"/>
    <w:rsid w:val="003E051D"/>
    <w:rsid w:val="003E0D73"/>
    <w:rsid w:val="003E169C"/>
    <w:rsid w:val="003E78B5"/>
    <w:rsid w:val="003F0E0F"/>
    <w:rsid w:val="003F1D3A"/>
    <w:rsid w:val="003F4014"/>
    <w:rsid w:val="003F6AD6"/>
    <w:rsid w:val="003F779E"/>
    <w:rsid w:val="00402678"/>
    <w:rsid w:val="004029EF"/>
    <w:rsid w:val="004037AC"/>
    <w:rsid w:val="00403CA2"/>
    <w:rsid w:val="00404683"/>
    <w:rsid w:val="00404AF3"/>
    <w:rsid w:val="00405ED4"/>
    <w:rsid w:val="00405FB5"/>
    <w:rsid w:val="00410619"/>
    <w:rsid w:val="00414D51"/>
    <w:rsid w:val="0041536C"/>
    <w:rsid w:val="00415BAB"/>
    <w:rsid w:val="00415ED2"/>
    <w:rsid w:val="0042068C"/>
    <w:rsid w:val="004228DE"/>
    <w:rsid w:val="004259ED"/>
    <w:rsid w:val="0043021B"/>
    <w:rsid w:val="004364D3"/>
    <w:rsid w:val="00440547"/>
    <w:rsid w:val="00442DA7"/>
    <w:rsid w:val="004437FE"/>
    <w:rsid w:val="0044703C"/>
    <w:rsid w:val="00447B4B"/>
    <w:rsid w:val="004528DC"/>
    <w:rsid w:val="0045363D"/>
    <w:rsid w:val="00453AC7"/>
    <w:rsid w:val="004558BC"/>
    <w:rsid w:val="00457962"/>
    <w:rsid w:val="00457DB5"/>
    <w:rsid w:val="00462B8C"/>
    <w:rsid w:val="004630BE"/>
    <w:rsid w:val="00464758"/>
    <w:rsid w:val="0046519F"/>
    <w:rsid w:val="004657F5"/>
    <w:rsid w:val="0047122B"/>
    <w:rsid w:val="00472971"/>
    <w:rsid w:val="004729A9"/>
    <w:rsid w:val="00472E42"/>
    <w:rsid w:val="00473B7A"/>
    <w:rsid w:val="00475814"/>
    <w:rsid w:val="00476A7F"/>
    <w:rsid w:val="00480518"/>
    <w:rsid w:val="004814DB"/>
    <w:rsid w:val="004834B9"/>
    <w:rsid w:val="0048540D"/>
    <w:rsid w:val="004902BD"/>
    <w:rsid w:val="004929A4"/>
    <w:rsid w:val="004960E9"/>
    <w:rsid w:val="004964CA"/>
    <w:rsid w:val="004A2E88"/>
    <w:rsid w:val="004A3F84"/>
    <w:rsid w:val="004A5305"/>
    <w:rsid w:val="004A7576"/>
    <w:rsid w:val="004A7A5C"/>
    <w:rsid w:val="004B0826"/>
    <w:rsid w:val="004B4CF1"/>
    <w:rsid w:val="004C0AF8"/>
    <w:rsid w:val="004D0B97"/>
    <w:rsid w:val="004D1A65"/>
    <w:rsid w:val="004D1F2A"/>
    <w:rsid w:val="004D204E"/>
    <w:rsid w:val="004D67C2"/>
    <w:rsid w:val="004D69E6"/>
    <w:rsid w:val="004D6BAC"/>
    <w:rsid w:val="004D7634"/>
    <w:rsid w:val="004D7ECF"/>
    <w:rsid w:val="004E0CF2"/>
    <w:rsid w:val="004E113E"/>
    <w:rsid w:val="004E5373"/>
    <w:rsid w:val="004E57AE"/>
    <w:rsid w:val="004E6431"/>
    <w:rsid w:val="004F061E"/>
    <w:rsid w:val="004F1AE2"/>
    <w:rsid w:val="004F7B7D"/>
    <w:rsid w:val="00501604"/>
    <w:rsid w:val="00504A55"/>
    <w:rsid w:val="00506A54"/>
    <w:rsid w:val="005119DE"/>
    <w:rsid w:val="00511BE8"/>
    <w:rsid w:val="0051546B"/>
    <w:rsid w:val="005156A9"/>
    <w:rsid w:val="00515F0E"/>
    <w:rsid w:val="00516129"/>
    <w:rsid w:val="00516ADF"/>
    <w:rsid w:val="00516D98"/>
    <w:rsid w:val="005207B2"/>
    <w:rsid w:val="005216F1"/>
    <w:rsid w:val="005219AA"/>
    <w:rsid w:val="00525BEC"/>
    <w:rsid w:val="00525EA7"/>
    <w:rsid w:val="0052714C"/>
    <w:rsid w:val="00527947"/>
    <w:rsid w:val="005300D3"/>
    <w:rsid w:val="00533E72"/>
    <w:rsid w:val="00534133"/>
    <w:rsid w:val="005358D5"/>
    <w:rsid w:val="005376C9"/>
    <w:rsid w:val="00541CDF"/>
    <w:rsid w:val="00544B06"/>
    <w:rsid w:val="00544F82"/>
    <w:rsid w:val="00545BE1"/>
    <w:rsid w:val="00547741"/>
    <w:rsid w:val="00552278"/>
    <w:rsid w:val="00552894"/>
    <w:rsid w:val="005538BC"/>
    <w:rsid w:val="00553EC4"/>
    <w:rsid w:val="00554720"/>
    <w:rsid w:val="00554A34"/>
    <w:rsid w:val="00557991"/>
    <w:rsid w:val="00561E6E"/>
    <w:rsid w:val="005654A3"/>
    <w:rsid w:val="00565A72"/>
    <w:rsid w:val="00566234"/>
    <w:rsid w:val="00566669"/>
    <w:rsid w:val="0056743A"/>
    <w:rsid w:val="0057000A"/>
    <w:rsid w:val="005700AE"/>
    <w:rsid w:val="00571AD0"/>
    <w:rsid w:val="005732D5"/>
    <w:rsid w:val="00574607"/>
    <w:rsid w:val="00576D07"/>
    <w:rsid w:val="00576D9E"/>
    <w:rsid w:val="00580A20"/>
    <w:rsid w:val="00583790"/>
    <w:rsid w:val="00584A49"/>
    <w:rsid w:val="00586081"/>
    <w:rsid w:val="005871F3"/>
    <w:rsid w:val="00587F09"/>
    <w:rsid w:val="00593AF1"/>
    <w:rsid w:val="00593C0F"/>
    <w:rsid w:val="00593C4F"/>
    <w:rsid w:val="005946A8"/>
    <w:rsid w:val="005950E0"/>
    <w:rsid w:val="005A0795"/>
    <w:rsid w:val="005A2BE5"/>
    <w:rsid w:val="005A4407"/>
    <w:rsid w:val="005A59EF"/>
    <w:rsid w:val="005A6333"/>
    <w:rsid w:val="005B0C05"/>
    <w:rsid w:val="005B1D1C"/>
    <w:rsid w:val="005B478F"/>
    <w:rsid w:val="005B6B1F"/>
    <w:rsid w:val="005C1ECD"/>
    <w:rsid w:val="005C38A5"/>
    <w:rsid w:val="005C5A4E"/>
    <w:rsid w:val="005C6976"/>
    <w:rsid w:val="005C78C2"/>
    <w:rsid w:val="005D1428"/>
    <w:rsid w:val="005D145A"/>
    <w:rsid w:val="005D2A8E"/>
    <w:rsid w:val="005D7267"/>
    <w:rsid w:val="005E20D0"/>
    <w:rsid w:val="005E2BAB"/>
    <w:rsid w:val="005F1BC7"/>
    <w:rsid w:val="005F2806"/>
    <w:rsid w:val="005F51E7"/>
    <w:rsid w:val="005F5D41"/>
    <w:rsid w:val="005F6F41"/>
    <w:rsid w:val="005F73F3"/>
    <w:rsid w:val="006017C0"/>
    <w:rsid w:val="0060472E"/>
    <w:rsid w:val="00604C35"/>
    <w:rsid w:val="00604FCF"/>
    <w:rsid w:val="00605778"/>
    <w:rsid w:val="00606E1E"/>
    <w:rsid w:val="006100D2"/>
    <w:rsid w:val="0061017A"/>
    <w:rsid w:val="006105F4"/>
    <w:rsid w:val="0061136C"/>
    <w:rsid w:val="00614D59"/>
    <w:rsid w:val="00616577"/>
    <w:rsid w:val="0062119A"/>
    <w:rsid w:val="0062367D"/>
    <w:rsid w:val="00624C61"/>
    <w:rsid w:val="00625DC6"/>
    <w:rsid w:val="00635075"/>
    <w:rsid w:val="00635263"/>
    <w:rsid w:val="006402C6"/>
    <w:rsid w:val="006414A9"/>
    <w:rsid w:val="0064391D"/>
    <w:rsid w:val="00644715"/>
    <w:rsid w:val="006454BD"/>
    <w:rsid w:val="00651253"/>
    <w:rsid w:val="00651821"/>
    <w:rsid w:val="00654384"/>
    <w:rsid w:val="0065711A"/>
    <w:rsid w:val="0065718B"/>
    <w:rsid w:val="00657E78"/>
    <w:rsid w:val="006628BA"/>
    <w:rsid w:val="0066478F"/>
    <w:rsid w:val="00666C7F"/>
    <w:rsid w:val="006675CD"/>
    <w:rsid w:val="006677F8"/>
    <w:rsid w:val="00670BA3"/>
    <w:rsid w:val="00671D9E"/>
    <w:rsid w:val="006736D4"/>
    <w:rsid w:val="0067434F"/>
    <w:rsid w:val="00675876"/>
    <w:rsid w:val="006772A6"/>
    <w:rsid w:val="0067782F"/>
    <w:rsid w:val="006806E7"/>
    <w:rsid w:val="00680D85"/>
    <w:rsid w:val="00681E2A"/>
    <w:rsid w:val="00681F47"/>
    <w:rsid w:val="006829E2"/>
    <w:rsid w:val="00684D9B"/>
    <w:rsid w:val="00686375"/>
    <w:rsid w:val="006874BE"/>
    <w:rsid w:val="00692595"/>
    <w:rsid w:val="006928A0"/>
    <w:rsid w:val="00692C71"/>
    <w:rsid w:val="00692F2D"/>
    <w:rsid w:val="0069340F"/>
    <w:rsid w:val="0069381B"/>
    <w:rsid w:val="00694292"/>
    <w:rsid w:val="006959BD"/>
    <w:rsid w:val="00696EAD"/>
    <w:rsid w:val="00697556"/>
    <w:rsid w:val="0069758C"/>
    <w:rsid w:val="006A174F"/>
    <w:rsid w:val="006B05FC"/>
    <w:rsid w:val="006B4647"/>
    <w:rsid w:val="006B4C2B"/>
    <w:rsid w:val="006B56CB"/>
    <w:rsid w:val="006B598E"/>
    <w:rsid w:val="006B6D47"/>
    <w:rsid w:val="006C0267"/>
    <w:rsid w:val="006C42EB"/>
    <w:rsid w:val="006C5AFE"/>
    <w:rsid w:val="006D07C2"/>
    <w:rsid w:val="006D0D50"/>
    <w:rsid w:val="006D3ACD"/>
    <w:rsid w:val="006D540D"/>
    <w:rsid w:val="006D5A47"/>
    <w:rsid w:val="006E10CB"/>
    <w:rsid w:val="006E110E"/>
    <w:rsid w:val="006E176E"/>
    <w:rsid w:val="006E2EDF"/>
    <w:rsid w:val="006E672E"/>
    <w:rsid w:val="006E6A17"/>
    <w:rsid w:val="006F197A"/>
    <w:rsid w:val="006F2E24"/>
    <w:rsid w:val="006F655D"/>
    <w:rsid w:val="006F6D95"/>
    <w:rsid w:val="006F723E"/>
    <w:rsid w:val="00701DE6"/>
    <w:rsid w:val="00702D78"/>
    <w:rsid w:val="00703BCC"/>
    <w:rsid w:val="00706F13"/>
    <w:rsid w:val="007072E8"/>
    <w:rsid w:val="00712275"/>
    <w:rsid w:val="007128CD"/>
    <w:rsid w:val="0071618D"/>
    <w:rsid w:val="00722D5B"/>
    <w:rsid w:val="007235B4"/>
    <w:rsid w:val="0072492A"/>
    <w:rsid w:val="00725FA4"/>
    <w:rsid w:val="0073072D"/>
    <w:rsid w:val="007327C2"/>
    <w:rsid w:val="007339E2"/>
    <w:rsid w:val="0073456D"/>
    <w:rsid w:val="0074040C"/>
    <w:rsid w:val="00740446"/>
    <w:rsid w:val="007410B1"/>
    <w:rsid w:val="0074345B"/>
    <w:rsid w:val="007435E9"/>
    <w:rsid w:val="007438A9"/>
    <w:rsid w:val="0074491E"/>
    <w:rsid w:val="00744FBF"/>
    <w:rsid w:val="00745015"/>
    <w:rsid w:val="00746440"/>
    <w:rsid w:val="00746A28"/>
    <w:rsid w:val="00750758"/>
    <w:rsid w:val="00751627"/>
    <w:rsid w:val="00751EFC"/>
    <w:rsid w:val="00752115"/>
    <w:rsid w:val="00753935"/>
    <w:rsid w:val="00753DF3"/>
    <w:rsid w:val="00755452"/>
    <w:rsid w:val="007558A9"/>
    <w:rsid w:val="007564E8"/>
    <w:rsid w:val="0076247A"/>
    <w:rsid w:val="0076322F"/>
    <w:rsid w:val="00763BC4"/>
    <w:rsid w:val="00764015"/>
    <w:rsid w:val="00766C49"/>
    <w:rsid w:val="00766E74"/>
    <w:rsid w:val="007673AD"/>
    <w:rsid w:val="00774E83"/>
    <w:rsid w:val="00775651"/>
    <w:rsid w:val="00775964"/>
    <w:rsid w:val="007765FE"/>
    <w:rsid w:val="00776FC1"/>
    <w:rsid w:val="007812A5"/>
    <w:rsid w:val="007821EE"/>
    <w:rsid w:val="00782A56"/>
    <w:rsid w:val="0078368B"/>
    <w:rsid w:val="00784C1E"/>
    <w:rsid w:val="00785B2E"/>
    <w:rsid w:val="0078678F"/>
    <w:rsid w:val="007879DB"/>
    <w:rsid w:val="00787DA5"/>
    <w:rsid w:val="00791183"/>
    <w:rsid w:val="00791DF1"/>
    <w:rsid w:val="00795BFB"/>
    <w:rsid w:val="0079678E"/>
    <w:rsid w:val="00797141"/>
    <w:rsid w:val="00797912"/>
    <w:rsid w:val="00797F26"/>
    <w:rsid w:val="007A107D"/>
    <w:rsid w:val="007A125D"/>
    <w:rsid w:val="007A1862"/>
    <w:rsid w:val="007A478B"/>
    <w:rsid w:val="007A47E1"/>
    <w:rsid w:val="007A52B2"/>
    <w:rsid w:val="007B09C2"/>
    <w:rsid w:val="007B0E05"/>
    <w:rsid w:val="007B1833"/>
    <w:rsid w:val="007B1EBE"/>
    <w:rsid w:val="007B2760"/>
    <w:rsid w:val="007B5236"/>
    <w:rsid w:val="007B78C0"/>
    <w:rsid w:val="007C0CFE"/>
    <w:rsid w:val="007C48AB"/>
    <w:rsid w:val="007C5107"/>
    <w:rsid w:val="007D0798"/>
    <w:rsid w:val="007D4898"/>
    <w:rsid w:val="007D620B"/>
    <w:rsid w:val="007D7F24"/>
    <w:rsid w:val="007E176F"/>
    <w:rsid w:val="007E28BD"/>
    <w:rsid w:val="007E3773"/>
    <w:rsid w:val="007E4162"/>
    <w:rsid w:val="007E4CB8"/>
    <w:rsid w:val="007E7611"/>
    <w:rsid w:val="007F23CA"/>
    <w:rsid w:val="007F38C3"/>
    <w:rsid w:val="007F5347"/>
    <w:rsid w:val="008005C1"/>
    <w:rsid w:val="00800D43"/>
    <w:rsid w:val="00801529"/>
    <w:rsid w:val="00801997"/>
    <w:rsid w:val="008019BC"/>
    <w:rsid w:val="00801A0E"/>
    <w:rsid w:val="00802732"/>
    <w:rsid w:val="008043D9"/>
    <w:rsid w:val="00806C01"/>
    <w:rsid w:val="00811021"/>
    <w:rsid w:val="008111C6"/>
    <w:rsid w:val="008148CC"/>
    <w:rsid w:val="00815077"/>
    <w:rsid w:val="0081587B"/>
    <w:rsid w:val="008211A4"/>
    <w:rsid w:val="0082601B"/>
    <w:rsid w:val="00832D93"/>
    <w:rsid w:val="008352AD"/>
    <w:rsid w:val="00837F48"/>
    <w:rsid w:val="00840A9E"/>
    <w:rsid w:val="00843BA6"/>
    <w:rsid w:val="00845176"/>
    <w:rsid w:val="008464FE"/>
    <w:rsid w:val="00851EA2"/>
    <w:rsid w:val="0085298F"/>
    <w:rsid w:val="00854A75"/>
    <w:rsid w:val="0085557E"/>
    <w:rsid w:val="00857447"/>
    <w:rsid w:val="00860320"/>
    <w:rsid w:val="008610B9"/>
    <w:rsid w:val="00862307"/>
    <w:rsid w:val="00862453"/>
    <w:rsid w:val="008649BE"/>
    <w:rsid w:val="008669DD"/>
    <w:rsid w:val="00870421"/>
    <w:rsid w:val="00873150"/>
    <w:rsid w:val="00874D51"/>
    <w:rsid w:val="0087657D"/>
    <w:rsid w:val="008807D5"/>
    <w:rsid w:val="00880832"/>
    <w:rsid w:val="00880CEA"/>
    <w:rsid w:val="00884841"/>
    <w:rsid w:val="0088512C"/>
    <w:rsid w:val="00885541"/>
    <w:rsid w:val="00886EE1"/>
    <w:rsid w:val="0088727D"/>
    <w:rsid w:val="008906F3"/>
    <w:rsid w:val="00890865"/>
    <w:rsid w:val="00891906"/>
    <w:rsid w:val="0089327F"/>
    <w:rsid w:val="008936E4"/>
    <w:rsid w:val="00893B2F"/>
    <w:rsid w:val="00894108"/>
    <w:rsid w:val="00896383"/>
    <w:rsid w:val="0089786E"/>
    <w:rsid w:val="00897C75"/>
    <w:rsid w:val="008A13E9"/>
    <w:rsid w:val="008A4125"/>
    <w:rsid w:val="008A45DD"/>
    <w:rsid w:val="008A47C5"/>
    <w:rsid w:val="008A7101"/>
    <w:rsid w:val="008B1F41"/>
    <w:rsid w:val="008B24EB"/>
    <w:rsid w:val="008B44AE"/>
    <w:rsid w:val="008B490D"/>
    <w:rsid w:val="008B6F85"/>
    <w:rsid w:val="008C1130"/>
    <w:rsid w:val="008C2F03"/>
    <w:rsid w:val="008C3479"/>
    <w:rsid w:val="008C7F5A"/>
    <w:rsid w:val="008D18E6"/>
    <w:rsid w:val="008D220E"/>
    <w:rsid w:val="008D36A6"/>
    <w:rsid w:val="008D3A51"/>
    <w:rsid w:val="008D66DA"/>
    <w:rsid w:val="008D7A9B"/>
    <w:rsid w:val="008E16F8"/>
    <w:rsid w:val="008E2DD6"/>
    <w:rsid w:val="008E2E2A"/>
    <w:rsid w:val="008E39F8"/>
    <w:rsid w:val="008E59AC"/>
    <w:rsid w:val="008E5CF2"/>
    <w:rsid w:val="008E76AC"/>
    <w:rsid w:val="008F0C86"/>
    <w:rsid w:val="008F1001"/>
    <w:rsid w:val="008F21F6"/>
    <w:rsid w:val="008F5E87"/>
    <w:rsid w:val="008F69AB"/>
    <w:rsid w:val="00900BD3"/>
    <w:rsid w:val="00901216"/>
    <w:rsid w:val="0090213B"/>
    <w:rsid w:val="009060EE"/>
    <w:rsid w:val="009070D2"/>
    <w:rsid w:val="009102CD"/>
    <w:rsid w:val="00910D17"/>
    <w:rsid w:val="00911A97"/>
    <w:rsid w:val="009122D0"/>
    <w:rsid w:val="00912CF4"/>
    <w:rsid w:val="00912E69"/>
    <w:rsid w:val="0091701A"/>
    <w:rsid w:val="009215EE"/>
    <w:rsid w:val="00922FB0"/>
    <w:rsid w:val="00927F14"/>
    <w:rsid w:val="009310E3"/>
    <w:rsid w:val="00937830"/>
    <w:rsid w:val="0094066B"/>
    <w:rsid w:val="00941B64"/>
    <w:rsid w:val="00942984"/>
    <w:rsid w:val="009429DE"/>
    <w:rsid w:val="00942FB8"/>
    <w:rsid w:val="009458FE"/>
    <w:rsid w:val="00947CCE"/>
    <w:rsid w:val="00951D77"/>
    <w:rsid w:val="00951DBF"/>
    <w:rsid w:val="00951F79"/>
    <w:rsid w:val="009567DE"/>
    <w:rsid w:val="009572A7"/>
    <w:rsid w:val="00957B9E"/>
    <w:rsid w:val="00957D80"/>
    <w:rsid w:val="00971CCA"/>
    <w:rsid w:val="00974AB5"/>
    <w:rsid w:val="009770BF"/>
    <w:rsid w:val="00977941"/>
    <w:rsid w:val="009809B4"/>
    <w:rsid w:val="00980D15"/>
    <w:rsid w:val="009819B0"/>
    <w:rsid w:val="00981ECB"/>
    <w:rsid w:val="00984136"/>
    <w:rsid w:val="009841C6"/>
    <w:rsid w:val="00985173"/>
    <w:rsid w:val="0098706D"/>
    <w:rsid w:val="00987A82"/>
    <w:rsid w:val="00990A90"/>
    <w:rsid w:val="009930F3"/>
    <w:rsid w:val="009935FB"/>
    <w:rsid w:val="0099651B"/>
    <w:rsid w:val="00997109"/>
    <w:rsid w:val="009A463F"/>
    <w:rsid w:val="009A4806"/>
    <w:rsid w:val="009A4ADE"/>
    <w:rsid w:val="009A4BA6"/>
    <w:rsid w:val="009B030A"/>
    <w:rsid w:val="009B24F2"/>
    <w:rsid w:val="009B404E"/>
    <w:rsid w:val="009C2323"/>
    <w:rsid w:val="009C4D2F"/>
    <w:rsid w:val="009C6077"/>
    <w:rsid w:val="009C7A96"/>
    <w:rsid w:val="009D21D0"/>
    <w:rsid w:val="009D28B3"/>
    <w:rsid w:val="009D2E95"/>
    <w:rsid w:val="009D3479"/>
    <w:rsid w:val="009D61A5"/>
    <w:rsid w:val="009D6B50"/>
    <w:rsid w:val="009D7F7F"/>
    <w:rsid w:val="009E396F"/>
    <w:rsid w:val="009E4F72"/>
    <w:rsid w:val="009E6106"/>
    <w:rsid w:val="009E7590"/>
    <w:rsid w:val="009F2FD7"/>
    <w:rsid w:val="009F4437"/>
    <w:rsid w:val="009F4A54"/>
    <w:rsid w:val="009F4BEC"/>
    <w:rsid w:val="009F5D1B"/>
    <w:rsid w:val="009F6376"/>
    <w:rsid w:val="009F7B54"/>
    <w:rsid w:val="00A023FE"/>
    <w:rsid w:val="00A02D1E"/>
    <w:rsid w:val="00A04817"/>
    <w:rsid w:val="00A05647"/>
    <w:rsid w:val="00A10C2C"/>
    <w:rsid w:val="00A11648"/>
    <w:rsid w:val="00A15AAC"/>
    <w:rsid w:val="00A16A38"/>
    <w:rsid w:val="00A2139A"/>
    <w:rsid w:val="00A21A5D"/>
    <w:rsid w:val="00A25FD7"/>
    <w:rsid w:val="00A33927"/>
    <w:rsid w:val="00A34530"/>
    <w:rsid w:val="00A352D7"/>
    <w:rsid w:val="00A360D1"/>
    <w:rsid w:val="00A41436"/>
    <w:rsid w:val="00A42ACB"/>
    <w:rsid w:val="00A42CC9"/>
    <w:rsid w:val="00A43AFF"/>
    <w:rsid w:val="00A43F4F"/>
    <w:rsid w:val="00A44B56"/>
    <w:rsid w:val="00A465DF"/>
    <w:rsid w:val="00A47801"/>
    <w:rsid w:val="00A63F31"/>
    <w:rsid w:val="00A6673B"/>
    <w:rsid w:val="00A67A6A"/>
    <w:rsid w:val="00A71694"/>
    <w:rsid w:val="00A73073"/>
    <w:rsid w:val="00A7395C"/>
    <w:rsid w:val="00A74454"/>
    <w:rsid w:val="00A74B91"/>
    <w:rsid w:val="00A750A5"/>
    <w:rsid w:val="00A778DE"/>
    <w:rsid w:val="00A7793A"/>
    <w:rsid w:val="00A801A3"/>
    <w:rsid w:val="00A815FC"/>
    <w:rsid w:val="00A83E35"/>
    <w:rsid w:val="00A847EB"/>
    <w:rsid w:val="00A85E2C"/>
    <w:rsid w:val="00A86192"/>
    <w:rsid w:val="00A87C67"/>
    <w:rsid w:val="00A91968"/>
    <w:rsid w:val="00A93E42"/>
    <w:rsid w:val="00A94E5D"/>
    <w:rsid w:val="00AA0FC1"/>
    <w:rsid w:val="00AA175B"/>
    <w:rsid w:val="00AA4CC7"/>
    <w:rsid w:val="00AA5E8E"/>
    <w:rsid w:val="00AA7818"/>
    <w:rsid w:val="00AB1697"/>
    <w:rsid w:val="00AB2EB5"/>
    <w:rsid w:val="00AB517F"/>
    <w:rsid w:val="00AB5624"/>
    <w:rsid w:val="00AB6127"/>
    <w:rsid w:val="00AB6CA7"/>
    <w:rsid w:val="00AB6FAC"/>
    <w:rsid w:val="00AC4BBC"/>
    <w:rsid w:val="00AC6C09"/>
    <w:rsid w:val="00AC71DD"/>
    <w:rsid w:val="00AC770E"/>
    <w:rsid w:val="00AD01E4"/>
    <w:rsid w:val="00AD0858"/>
    <w:rsid w:val="00AD09F0"/>
    <w:rsid w:val="00AD1BE3"/>
    <w:rsid w:val="00AD2A40"/>
    <w:rsid w:val="00AD34DC"/>
    <w:rsid w:val="00AD6BB4"/>
    <w:rsid w:val="00AE1298"/>
    <w:rsid w:val="00AE34A8"/>
    <w:rsid w:val="00AE5B15"/>
    <w:rsid w:val="00AE7340"/>
    <w:rsid w:val="00AF1BBD"/>
    <w:rsid w:val="00AF236B"/>
    <w:rsid w:val="00AF2A0B"/>
    <w:rsid w:val="00AF3BC1"/>
    <w:rsid w:val="00AF4CE8"/>
    <w:rsid w:val="00AF58C5"/>
    <w:rsid w:val="00AF6090"/>
    <w:rsid w:val="00B00DDB"/>
    <w:rsid w:val="00B033F3"/>
    <w:rsid w:val="00B06C80"/>
    <w:rsid w:val="00B06C99"/>
    <w:rsid w:val="00B10207"/>
    <w:rsid w:val="00B127E3"/>
    <w:rsid w:val="00B12E35"/>
    <w:rsid w:val="00B141E7"/>
    <w:rsid w:val="00B1760F"/>
    <w:rsid w:val="00B23548"/>
    <w:rsid w:val="00B246FF"/>
    <w:rsid w:val="00B25C2A"/>
    <w:rsid w:val="00B323AF"/>
    <w:rsid w:val="00B33316"/>
    <w:rsid w:val="00B351B4"/>
    <w:rsid w:val="00B36901"/>
    <w:rsid w:val="00B41230"/>
    <w:rsid w:val="00B416F6"/>
    <w:rsid w:val="00B428D1"/>
    <w:rsid w:val="00B4576C"/>
    <w:rsid w:val="00B46BCA"/>
    <w:rsid w:val="00B5155B"/>
    <w:rsid w:val="00B545DF"/>
    <w:rsid w:val="00B553FD"/>
    <w:rsid w:val="00B6082E"/>
    <w:rsid w:val="00B612FD"/>
    <w:rsid w:val="00B617C2"/>
    <w:rsid w:val="00B671A8"/>
    <w:rsid w:val="00B67998"/>
    <w:rsid w:val="00B70237"/>
    <w:rsid w:val="00B7072B"/>
    <w:rsid w:val="00B714C0"/>
    <w:rsid w:val="00B71A15"/>
    <w:rsid w:val="00B72626"/>
    <w:rsid w:val="00B765EF"/>
    <w:rsid w:val="00B81BD4"/>
    <w:rsid w:val="00B875B3"/>
    <w:rsid w:val="00B87806"/>
    <w:rsid w:val="00B87EC9"/>
    <w:rsid w:val="00BA4D5D"/>
    <w:rsid w:val="00BA4DD3"/>
    <w:rsid w:val="00BA5247"/>
    <w:rsid w:val="00BA5DFA"/>
    <w:rsid w:val="00BB2D01"/>
    <w:rsid w:val="00BB6AF4"/>
    <w:rsid w:val="00BC38FD"/>
    <w:rsid w:val="00BC3E1F"/>
    <w:rsid w:val="00BC449A"/>
    <w:rsid w:val="00BC652E"/>
    <w:rsid w:val="00BC69B9"/>
    <w:rsid w:val="00BC6FC2"/>
    <w:rsid w:val="00BC70DB"/>
    <w:rsid w:val="00BC78B0"/>
    <w:rsid w:val="00BD4241"/>
    <w:rsid w:val="00BE62C6"/>
    <w:rsid w:val="00BF0DDB"/>
    <w:rsid w:val="00BF1A47"/>
    <w:rsid w:val="00BF2016"/>
    <w:rsid w:val="00BF48D1"/>
    <w:rsid w:val="00BF56D1"/>
    <w:rsid w:val="00BF6EA6"/>
    <w:rsid w:val="00C02FA5"/>
    <w:rsid w:val="00C030A8"/>
    <w:rsid w:val="00C034CB"/>
    <w:rsid w:val="00C03EFF"/>
    <w:rsid w:val="00C051A8"/>
    <w:rsid w:val="00C054BC"/>
    <w:rsid w:val="00C058D5"/>
    <w:rsid w:val="00C067E5"/>
    <w:rsid w:val="00C06AA6"/>
    <w:rsid w:val="00C06B43"/>
    <w:rsid w:val="00C101F2"/>
    <w:rsid w:val="00C11EC5"/>
    <w:rsid w:val="00C125E2"/>
    <w:rsid w:val="00C134CC"/>
    <w:rsid w:val="00C159BC"/>
    <w:rsid w:val="00C1748D"/>
    <w:rsid w:val="00C17897"/>
    <w:rsid w:val="00C17A39"/>
    <w:rsid w:val="00C215D0"/>
    <w:rsid w:val="00C223E1"/>
    <w:rsid w:val="00C23BD6"/>
    <w:rsid w:val="00C23DFA"/>
    <w:rsid w:val="00C2614F"/>
    <w:rsid w:val="00C2637C"/>
    <w:rsid w:val="00C26E99"/>
    <w:rsid w:val="00C26F67"/>
    <w:rsid w:val="00C307D6"/>
    <w:rsid w:val="00C324AF"/>
    <w:rsid w:val="00C32ABD"/>
    <w:rsid w:val="00C352C1"/>
    <w:rsid w:val="00C35469"/>
    <w:rsid w:val="00C409D5"/>
    <w:rsid w:val="00C435C3"/>
    <w:rsid w:val="00C43EAD"/>
    <w:rsid w:val="00C45D91"/>
    <w:rsid w:val="00C52A20"/>
    <w:rsid w:val="00C559DB"/>
    <w:rsid w:val="00C55B80"/>
    <w:rsid w:val="00C565B7"/>
    <w:rsid w:val="00C56B40"/>
    <w:rsid w:val="00C60721"/>
    <w:rsid w:val="00C6234B"/>
    <w:rsid w:val="00C62D40"/>
    <w:rsid w:val="00C638C4"/>
    <w:rsid w:val="00C63EAE"/>
    <w:rsid w:val="00C64D15"/>
    <w:rsid w:val="00C66546"/>
    <w:rsid w:val="00C676FC"/>
    <w:rsid w:val="00C7629F"/>
    <w:rsid w:val="00C77F51"/>
    <w:rsid w:val="00C8661B"/>
    <w:rsid w:val="00C8744A"/>
    <w:rsid w:val="00C90040"/>
    <w:rsid w:val="00C91189"/>
    <w:rsid w:val="00C914BB"/>
    <w:rsid w:val="00C93D3C"/>
    <w:rsid w:val="00C93EE4"/>
    <w:rsid w:val="00C96685"/>
    <w:rsid w:val="00C970E0"/>
    <w:rsid w:val="00CA0A60"/>
    <w:rsid w:val="00CA139A"/>
    <w:rsid w:val="00CA161E"/>
    <w:rsid w:val="00CA1919"/>
    <w:rsid w:val="00CA20B0"/>
    <w:rsid w:val="00CA2603"/>
    <w:rsid w:val="00CA2899"/>
    <w:rsid w:val="00CA3A3D"/>
    <w:rsid w:val="00CA4A40"/>
    <w:rsid w:val="00CA4E4F"/>
    <w:rsid w:val="00CA625E"/>
    <w:rsid w:val="00CA77FB"/>
    <w:rsid w:val="00CA7E1B"/>
    <w:rsid w:val="00CB0812"/>
    <w:rsid w:val="00CB379B"/>
    <w:rsid w:val="00CB4A35"/>
    <w:rsid w:val="00CB5BC3"/>
    <w:rsid w:val="00CB5DD0"/>
    <w:rsid w:val="00CB66C0"/>
    <w:rsid w:val="00CB7178"/>
    <w:rsid w:val="00CC0180"/>
    <w:rsid w:val="00CC297C"/>
    <w:rsid w:val="00CC3201"/>
    <w:rsid w:val="00CC51D4"/>
    <w:rsid w:val="00CC65DA"/>
    <w:rsid w:val="00CC65DF"/>
    <w:rsid w:val="00CC6D01"/>
    <w:rsid w:val="00CC6E3B"/>
    <w:rsid w:val="00CC752B"/>
    <w:rsid w:val="00CD2484"/>
    <w:rsid w:val="00CD2DDD"/>
    <w:rsid w:val="00CD3069"/>
    <w:rsid w:val="00CD35F3"/>
    <w:rsid w:val="00CE08F5"/>
    <w:rsid w:val="00CE4E50"/>
    <w:rsid w:val="00CE5443"/>
    <w:rsid w:val="00CE7786"/>
    <w:rsid w:val="00CF02CB"/>
    <w:rsid w:val="00CF0DD2"/>
    <w:rsid w:val="00CF21B9"/>
    <w:rsid w:val="00CF3CB6"/>
    <w:rsid w:val="00CF4FC0"/>
    <w:rsid w:val="00CF51DC"/>
    <w:rsid w:val="00CF5FCF"/>
    <w:rsid w:val="00CF6BF9"/>
    <w:rsid w:val="00D00164"/>
    <w:rsid w:val="00D01A6A"/>
    <w:rsid w:val="00D03071"/>
    <w:rsid w:val="00D03800"/>
    <w:rsid w:val="00D06157"/>
    <w:rsid w:val="00D065D3"/>
    <w:rsid w:val="00D10789"/>
    <w:rsid w:val="00D14C94"/>
    <w:rsid w:val="00D16587"/>
    <w:rsid w:val="00D16CBE"/>
    <w:rsid w:val="00D207B8"/>
    <w:rsid w:val="00D208E5"/>
    <w:rsid w:val="00D22981"/>
    <w:rsid w:val="00D25DBC"/>
    <w:rsid w:val="00D33548"/>
    <w:rsid w:val="00D342A6"/>
    <w:rsid w:val="00D35669"/>
    <w:rsid w:val="00D37317"/>
    <w:rsid w:val="00D406F4"/>
    <w:rsid w:val="00D40E9D"/>
    <w:rsid w:val="00D4169C"/>
    <w:rsid w:val="00D422FB"/>
    <w:rsid w:val="00D42E12"/>
    <w:rsid w:val="00D464BF"/>
    <w:rsid w:val="00D472A2"/>
    <w:rsid w:val="00D50A0D"/>
    <w:rsid w:val="00D51BEF"/>
    <w:rsid w:val="00D5306C"/>
    <w:rsid w:val="00D53E26"/>
    <w:rsid w:val="00D56E3A"/>
    <w:rsid w:val="00D645CD"/>
    <w:rsid w:val="00D7288A"/>
    <w:rsid w:val="00D72C05"/>
    <w:rsid w:val="00D75884"/>
    <w:rsid w:val="00D83077"/>
    <w:rsid w:val="00D8335D"/>
    <w:rsid w:val="00D84157"/>
    <w:rsid w:val="00D87BD8"/>
    <w:rsid w:val="00D90F5B"/>
    <w:rsid w:val="00D92442"/>
    <w:rsid w:val="00DA02D4"/>
    <w:rsid w:val="00DA2506"/>
    <w:rsid w:val="00DA262D"/>
    <w:rsid w:val="00DA2D69"/>
    <w:rsid w:val="00DA4443"/>
    <w:rsid w:val="00DA4C8D"/>
    <w:rsid w:val="00DA4DF1"/>
    <w:rsid w:val="00DB30C9"/>
    <w:rsid w:val="00DB4CCF"/>
    <w:rsid w:val="00DC4F4D"/>
    <w:rsid w:val="00DD09F6"/>
    <w:rsid w:val="00DD17A7"/>
    <w:rsid w:val="00DD201A"/>
    <w:rsid w:val="00DD2C35"/>
    <w:rsid w:val="00DD31FA"/>
    <w:rsid w:val="00DD4F0E"/>
    <w:rsid w:val="00DD511E"/>
    <w:rsid w:val="00DD5E68"/>
    <w:rsid w:val="00DD60C9"/>
    <w:rsid w:val="00DD6835"/>
    <w:rsid w:val="00DD6D31"/>
    <w:rsid w:val="00DE4353"/>
    <w:rsid w:val="00DE4816"/>
    <w:rsid w:val="00DE625E"/>
    <w:rsid w:val="00DE6403"/>
    <w:rsid w:val="00DF0BF0"/>
    <w:rsid w:val="00DF0E69"/>
    <w:rsid w:val="00DF143B"/>
    <w:rsid w:val="00DF1B4F"/>
    <w:rsid w:val="00DF48BA"/>
    <w:rsid w:val="00DF6F72"/>
    <w:rsid w:val="00E0136C"/>
    <w:rsid w:val="00E01463"/>
    <w:rsid w:val="00E03237"/>
    <w:rsid w:val="00E042BB"/>
    <w:rsid w:val="00E043A2"/>
    <w:rsid w:val="00E050A6"/>
    <w:rsid w:val="00E05C01"/>
    <w:rsid w:val="00E05E0A"/>
    <w:rsid w:val="00E0603A"/>
    <w:rsid w:val="00E07D34"/>
    <w:rsid w:val="00E12063"/>
    <w:rsid w:val="00E14DF3"/>
    <w:rsid w:val="00E16267"/>
    <w:rsid w:val="00E17E38"/>
    <w:rsid w:val="00E201BD"/>
    <w:rsid w:val="00E229B1"/>
    <w:rsid w:val="00E254C5"/>
    <w:rsid w:val="00E3385E"/>
    <w:rsid w:val="00E351A1"/>
    <w:rsid w:val="00E35ABA"/>
    <w:rsid w:val="00E37C87"/>
    <w:rsid w:val="00E40398"/>
    <w:rsid w:val="00E42978"/>
    <w:rsid w:val="00E438D3"/>
    <w:rsid w:val="00E43C3B"/>
    <w:rsid w:val="00E534CF"/>
    <w:rsid w:val="00E54EEB"/>
    <w:rsid w:val="00E55F75"/>
    <w:rsid w:val="00E56B77"/>
    <w:rsid w:val="00E60B59"/>
    <w:rsid w:val="00E60CE3"/>
    <w:rsid w:val="00E6352F"/>
    <w:rsid w:val="00E67743"/>
    <w:rsid w:val="00E717EC"/>
    <w:rsid w:val="00E71D55"/>
    <w:rsid w:val="00E72878"/>
    <w:rsid w:val="00E74110"/>
    <w:rsid w:val="00E74899"/>
    <w:rsid w:val="00E748F2"/>
    <w:rsid w:val="00E7590B"/>
    <w:rsid w:val="00E81CB4"/>
    <w:rsid w:val="00E822F7"/>
    <w:rsid w:val="00E85833"/>
    <w:rsid w:val="00E8585B"/>
    <w:rsid w:val="00E861A5"/>
    <w:rsid w:val="00E90D1E"/>
    <w:rsid w:val="00E91CF7"/>
    <w:rsid w:val="00E958EC"/>
    <w:rsid w:val="00EA0AD8"/>
    <w:rsid w:val="00EA2565"/>
    <w:rsid w:val="00EA2778"/>
    <w:rsid w:val="00EA3B9C"/>
    <w:rsid w:val="00EA3F15"/>
    <w:rsid w:val="00EA4AAB"/>
    <w:rsid w:val="00EA5D3F"/>
    <w:rsid w:val="00EA7847"/>
    <w:rsid w:val="00EB056D"/>
    <w:rsid w:val="00EB59CA"/>
    <w:rsid w:val="00EB671C"/>
    <w:rsid w:val="00EB6B28"/>
    <w:rsid w:val="00EC0954"/>
    <w:rsid w:val="00EC0A1C"/>
    <w:rsid w:val="00EC17A8"/>
    <w:rsid w:val="00EC3290"/>
    <w:rsid w:val="00EC3454"/>
    <w:rsid w:val="00EC58CF"/>
    <w:rsid w:val="00EC7C8F"/>
    <w:rsid w:val="00ED023C"/>
    <w:rsid w:val="00ED1AE2"/>
    <w:rsid w:val="00ED44C2"/>
    <w:rsid w:val="00ED5421"/>
    <w:rsid w:val="00ED612D"/>
    <w:rsid w:val="00EE17C6"/>
    <w:rsid w:val="00EE2E6E"/>
    <w:rsid w:val="00EE40D2"/>
    <w:rsid w:val="00EE6790"/>
    <w:rsid w:val="00EE67FB"/>
    <w:rsid w:val="00EF2C85"/>
    <w:rsid w:val="00EF3756"/>
    <w:rsid w:val="00EF39ED"/>
    <w:rsid w:val="00EF4C01"/>
    <w:rsid w:val="00EF5966"/>
    <w:rsid w:val="00F01053"/>
    <w:rsid w:val="00F01F72"/>
    <w:rsid w:val="00F03E48"/>
    <w:rsid w:val="00F0732D"/>
    <w:rsid w:val="00F0759E"/>
    <w:rsid w:val="00F1026F"/>
    <w:rsid w:val="00F10365"/>
    <w:rsid w:val="00F12AF7"/>
    <w:rsid w:val="00F1424B"/>
    <w:rsid w:val="00F156E0"/>
    <w:rsid w:val="00F170CB"/>
    <w:rsid w:val="00F21C25"/>
    <w:rsid w:val="00F22811"/>
    <w:rsid w:val="00F2676C"/>
    <w:rsid w:val="00F31854"/>
    <w:rsid w:val="00F36489"/>
    <w:rsid w:val="00F401B1"/>
    <w:rsid w:val="00F41B2C"/>
    <w:rsid w:val="00F43700"/>
    <w:rsid w:val="00F45216"/>
    <w:rsid w:val="00F466C7"/>
    <w:rsid w:val="00F52D13"/>
    <w:rsid w:val="00F5352E"/>
    <w:rsid w:val="00F549E9"/>
    <w:rsid w:val="00F54AAE"/>
    <w:rsid w:val="00F5548F"/>
    <w:rsid w:val="00F61FE8"/>
    <w:rsid w:val="00F64655"/>
    <w:rsid w:val="00F64DCB"/>
    <w:rsid w:val="00F65D93"/>
    <w:rsid w:val="00F66C29"/>
    <w:rsid w:val="00F67EFE"/>
    <w:rsid w:val="00F70816"/>
    <w:rsid w:val="00F74DEE"/>
    <w:rsid w:val="00F75F03"/>
    <w:rsid w:val="00F76FD9"/>
    <w:rsid w:val="00F80389"/>
    <w:rsid w:val="00F80FD8"/>
    <w:rsid w:val="00F821A3"/>
    <w:rsid w:val="00F83F4E"/>
    <w:rsid w:val="00F85E02"/>
    <w:rsid w:val="00F876AA"/>
    <w:rsid w:val="00F90727"/>
    <w:rsid w:val="00F90B54"/>
    <w:rsid w:val="00F91127"/>
    <w:rsid w:val="00F915CA"/>
    <w:rsid w:val="00F921CF"/>
    <w:rsid w:val="00F92515"/>
    <w:rsid w:val="00F9314A"/>
    <w:rsid w:val="00F973E9"/>
    <w:rsid w:val="00FA03B3"/>
    <w:rsid w:val="00FA0908"/>
    <w:rsid w:val="00FA6298"/>
    <w:rsid w:val="00FA7B8C"/>
    <w:rsid w:val="00FA7ED3"/>
    <w:rsid w:val="00FB2CB4"/>
    <w:rsid w:val="00FB31A6"/>
    <w:rsid w:val="00FC0698"/>
    <w:rsid w:val="00FC0FA4"/>
    <w:rsid w:val="00FC53C8"/>
    <w:rsid w:val="00FC58EF"/>
    <w:rsid w:val="00FC6266"/>
    <w:rsid w:val="00FD1BD5"/>
    <w:rsid w:val="00FD1DDC"/>
    <w:rsid w:val="00FD33DF"/>
    <w:rsid w:val="00FD4467"/>
    <w:rsid w:val="00FD5527"/>
    <w:rsid w:val="00FD58BD"/>
    <w:rsid w:val="00FD7EAF"/>
    <w:rsid w:val="00FE0BEE"/>
    <w:rsid w:val="00FE1EE6"/>
    <w:rsid w:val="00FE200C"/>
    <w:rsid w:val="00FE2A1B"/>
    <w:rsid w:val="00FE2A66"/>
    <w:rsid w:val="00FE39D7"/>
    <w:rsid w:val="00FE4219"/>
    <w:rsid w:val="00FE48FD"/>
    <w:rsid w:val="00FE4C68"/>
    <w:rsid w:val="00FF3AE5"/>
    <w:rsid w:val="00FF4422"/>
    <w:rsid w:val="00FF4AE5"/>
    <w:rsid w:val="00FF53E8"/>
    <w:rsid w:val="00FF5F3A"/>
    <w:rsid w:val="00FF6429"/>
    <w:rsid w:val="00FF6920"/>
    <w:rsid w:val="00FF6DEB"/>
    <w:rsid w:val="00FF7253"/>
    <w:rsid w:val="0177463A"/>
    <w:rsid w:val="05E67787"/>
    <w:rsid w:val="069AC935"/>
    <w:rsid w:val="0AEE996C"/>
    <w:rsid w:val="0DB98E40"/>
    <w:rsid w:val="0F0D8A1A"/>
    <w:rsid w:val="11840BB2"/>
    <w:rsid w:val="12A61CB7"/>
    <w:rsid w:val="19BC5951"/>
    <w:rsid w:val="1A52A4A1"/>
    <w:rsid w:val="1DA7AC59"/>
    <w:rsid w:val="1E02E995"/>
    <w:rsid w:val="22E457E3"/>
    <w:rsid w:val="2AE30034"/>
    <w:rsid w:val="2E8EA5EB"/>
    <w:rsid w:val="2FCEB632"/>
    <w:rsid w:val="36DDFC6F"/>
    <w:rsid w:val="385D69FA"/>
    <w:rsid w:val="39E07C6A"/>
    <w:rsid w:val="3C602FE8"/>
    <w:rsid w:val="3F103B3A"/>
    <w:rsid w:val="3F9C22F0"/>
    <w:rsid w:val="4029EE41"/>
    <w:rsid w:val="44722CAF"/>
    <w:rsid w:val="46DB3018"/>
    <w:rsid w:val="4EB90A2D"/>
    <w:rsid w:val="561B437F"/>
    <w:rsid w:val="575D1317"/>
    <w:rsid w:val="57911FC0"/>
    <w:rsid w:val="594DA090"/>
    <w:rsid w:val="5A784E7C"/>
    <w:rsid w:val="5D0B8F8D"/>
    <w:rsid w:val="5D433106"/>
    <w:rsid w:val="5F513F81"/>
    <w:rsid w:val="5FD3C079"/>
    <w:rsid w:val="692A2D6E"/>
    <w:rsid w:val="6EF2D2DD"/>
    <w:rsid w:val="6F11B12A"/>
    <w:rsid w:val="70242366"/>
    <w:rsid w:val="70CA88AF"/>
    <w:rsid w:val="7675C0E7"/>
    <w:rsid w:val="7890F2C3"/>
    <w:rsid w:val="7F1186F1"/>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B7B11A"/>
  <w15:chartTrackingRefBased/>
  <w15:docId w15:val="{D0107255-4DBC-4833-A482-CE276943B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A6A"/>
    <w:pPr>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DF6F72"/>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A67A6A"/>
    <w:pPr>
      <w:ind w:left="708"/>
    </w:pPr>
    <w:rPr>
      <w:szCs w:val="20"/>
      <w:lang w:val="es-CO"/>
    </w:rPr>
  </w:style>
  <w:style w:type="character" w:customStyle="1" w:styleId="PrrafodelistaCar">
    <w:name w:val="Párrafo de lista Car"/>
    <w:link w:val="Prrafodelista"/>
    <w:uiPriority w:val="34"/>
    <w:rsid w:val="00A67A6A"/>
    <w:rPr>
      <w:rFonts w:ascii="Bookman Old Style" w:hAnsi="Bookman Old Style"/>
      <w:sz w:val="24"/>
      <w:lang w:eastAsia="es-ES"/>
    </w:rPr>
  </w:style>
  <w:style w:type="paragraph" w:styleId="TDC1">
    <w:name w:val="toc 1"/>
    <w:basedOn w:val="Normal"/>
    <w:next w:val="Normal"/>
    <w:autoRedefine/>
    <w:semiHidden/>
    <w:rsid w:val="00D03800"/>
    <w:pPr>
      <w:tabs>
        <w:tab w:val="left" w:pos="480"/>
        <w:tab w:val="right" w:leader="dot" w:pos="8828"/>
      </w:tabs>
      <w:spacing w:before="120"/>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nhideWhenUsed/>
    <w:rsid w:val="00E01463"/>
    <w:pPr>
      <w:spacing w:after="120"/>
      <w:ind w:left="283"/>
    </w:pPr>
  </w:style>
  <w:style w:type="character" w:customStyle="1" w:styleId="SangradetextonormalCar">
    <w:name w:val="Sangría de texto normal Car"/>
    <w:link w:val="Sangradetextonormal"/>
    <w:uiPriority w:val="99"/>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character" w:customStyle="1" w:styleId="Ttulo2Car">
    <w:name w:val="Título 2 Car"/>
    <w:link w:val="Ttulo2"/>
    <w:uiPriority w:val="9"/>
    <w:semiHidden/>
    <w:rsid w:val="00DF6F72"/>
    <w:rPr>
      <w:rFonts w:ascii="Calibri Light" w:eastAsia="Times New Roman" w:hAnsi="Calibri Light" w:cs="Times New Roman"/>
      <w:b/>
      <w:bCs/>
      <w:i/>
      <w:iCs/>
      <w:sz w:val="28"/>
      <w:szCs w:val="28"/>
      <w:lang w:val="es-ES" w:eastAsia="es-ES"/>
    </w:rPr>
  </w:style>
  <w:style w:type="character" w:styleId="Refdecomentario">
    <w:name w:val="annotation reference"/>
    <w:uiPriority w:val="99"/>
    <w:semiHidden/>
    <w:unhideWhenUsed/>
    <w:rsid w:val="00DF6F72"/>
    <w:rPr>
      <w:sz w:val="16"/>
      <w:szCs w:val="16"/>
    </w:rPr>
  </w:style>
  <w:style w:type="paragraph" w:styleId="Textocomentario">
    <w:name w:val="annotation text"/>
    <w:basedOn w:val="Normal"/>
    <w:link w:val="TextocomentarioCar"/>
    <w:uiPriority w:val="99"/>
    <w:unhideWhenUsed/>
    <w:rsid w:val="00DF6F72"/>
    <w:pPr>
      <w:suppressAutoHyphens/>
    </w:pPr>
    <w:rPr>
      <w:rFonts w:ascii="Arial" w:hAnsi="Arial"/>
      <w:sz w:val="20"/>
      <w:szCs w:val="20"/>
      <w:lang w:eastAsia="ar-SA"/>
    </w:rPr>
  </w:style>
  <w:style w:type="character" w:customStyle="1" w:styleId="TextocomentarioCar">
    <w:name w:val="Texto comentario Car"/>
    <w:link w:val="Textocomentario"/>
    <w:uiPriority w:val="99"/>
    <w:rsid w:val="00DF6F72"/>
    <w:rPr>
      <w:rFonts w:ascii="Arial" w:hAnsi="Arial"/>
      <w:lang w:val="es-ES" w:eastAsia="ar-SA"/>
    </w:rPr>
  </w:style>
  <w:style w:type="paragraph" w:customStyle="1" w:styleId="texto">
    <w:name w:val="texto"/>
    <w:rsid w:val="00763BC4"/>
    <w:pPr>
      <w:widowControl w:val="0"/>
      <w:spacing w:line="230" w:lineRule="atLeast"/>
      <w:ind w:firstLine="227"/>
      <w:jc w:val="both"/>
    </w:pPr>
    <w:rPr>
      <w:rFonts w:ascii="Arial" w:hAnsi="Arial"/>
      <w:snapToGrid w:val="0"/>
      <w:color w:val="000000"/>
      <w:sz w:val="19"/>
      <w:lang w:val="es-ES" w:eastAsia="es-ES"/>
    </w:rPr>
  </w:style>
  <w:style w:type="paragraph" w:styleId="Lista">
    <w:name w:val="List"/>
    <w:basedOn w:val="Textoindependiente"/>
    <w:semiHidden/>
    <w:rsid w:val="009E396F"/>
    <w:pPr>
      <w:suppressAutoHyphens/>
      <w:spacing w:after="120"/>
      <w:jc w:val="both"/>
    </w:pPr>
    <w:rPr>
      <w:rFonts w:cs="Tahoma"/>
      <w:b w:val="0"/>
      <w:bCs w:val="0"/>
      <w:sz w:val="22"/>
      <w:lang w:eastAsia="ar-SA"/>
    </w:rPr>
  </w:style>
  <w:style w:type="paragraph" w:customStyle="1" w:styleId="Prrafodelista1">
    <w:name w:val="Párrafo de lista1"/>
    <w:basedOn w:val="Normal"/>
    <w:rsid w:val="009E396F"/>
    <w:pPr>
      <w:ind w:left="720"/>
    </w:pPr>
  </w:style>
  <w:style w:type="character" w:styleId="Hipervnculo">
    <w:name w:val="Hyperlink"/>
    <w:basedOn w:val="Fuentedeprrafopredeter"/>
    <w:uiPriority w:val="99"/>
    <w:unhideWhenUsed/>
    <w:rsid w:val="004D6BAC"/>
    <w:rPr>
      <w:color w:val="0000FF"/>
      <w:u w:val="single"/>
    </w:rPr>
  </w:style>
  <w:style w:type="paragraph" w:customStyle="1" w:styleId="Default">
    <w:name w:val="Default"/>
    <w:rsid w:val="002A6971"/>
    <w:pPr>
      <w:autoSpaceDE w:val="0"/>
      <w:autoSpaceDN w:val="0"/>
      <w:adjustRightInd w:val="0"/>
    </w:pPr>
    <w:rPr>
      <w:rFonts w:ascii="Arial" w:hAnsi="Arial" w:cs="Arial"/>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07724F"/>
    <w:pPr>
      <w:suppressAutoHyphens w:val="0"/>
      <w:ind w:left="567"/>
      <w:jc w:val="left"/>
    </w:pPr>
    <w:rPr>
      <w:rFonts w:ascii="Times New Roman" w:hAnsi="Times New Roman"/>
      <w:b/>
      <w:bCs/>
      <w:lang w:eastAsia="es-ES"/>
    </w:rPr>
  </w:style>
  <w:style w:type="character" w:customStyle="1" w:styleId="AsuntodelcomentarioCar">
    <w:name w:val="Asunto del comentario Car"/>
    <w:basedOn w:val="TextocomentarioCar"/>
    <w:link w:val="Asuntodelcomentario"/>
    <w:uiPriority w:val="99"/>
    <w:semiHidden/>
    <w:rsid w:val="0007724F"/>
    <w:rPr>
      <w:rFonts w:ascii="Arial" w:hAnsi="Arial"/>
      <w:b/>
      <w:bCs/>
      <w:lang w:val="es-ES" w:eastAsia="es-ES"/>
    </w:rPr>
  </w:style>
  <w:style w:type="paragraph" w:styleId="Revisin">
    <w:name w:val="Revision"/>
    <w:hidden/>
    <w:uiPriority w:val="99"/>
    <w:semiHidden/>
    <w:rsid w:val="007564E8"/>
    <w:rPr>
      <w:sz w:val="24"/>
      <w:szCs w:val="24"/>
      <w:lang w:val="es-ES" w:eastAsia="es-ES"/>
    </w:rPr>
  </w:style>
  <w:style w:type="table" w:styleId="Tablaconcuadrculaclara">
    <w:name w:val="Grid Table Light"/>
    <w:basedOn w:val="Tablanormal"/>
    <w:uiPriority w:val="40"/>
    <w:rsid w:val="00C125E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xtodelmarcadordeposicin">
    <w:name w:val="Placeholder Text"/>
    <w:basedOn w:val="Fuentedeprrafopredeter"/>
    <w:uiPriority w:val="99"/>
    <w:semiHidden/>
    <w:rsid w:val="0012307D"/>
    <w:rPr>
      <w:color w:val="808080"/>
    </w:rPr>
  </w:style>
  <w:style w:type="paragraph" w:styleId="NormalWeb">
    <w:name w:val="Normal (Web)"/>
    <w:basedOn w:val="Normal"/>
    <w:uiPriority w:val="99"/>
    <w:unhideWhenUsed/>
    <w:rsid w:val="00606E1E"/>
    <w:pPr>
      <w:spacing w:before="100" w:beforeAutospacing="1" w:after="100" w:afterAutospacing="1"/>
    </w:pPr>
    <w:rPr>
      <w:rFonts w:eastAsiaTheme="minorEastAsia"/>
      <w:lang w:val="es-CO" w:eastAsia="es-CO"/>
    </w:rPr>
  </w:style>
  <w:style w:type="character" w:customStyle="1" w:styleId="baj">
    <w:name w:val="b_aj"/>
    <w:basedOn w:val="Fuentedeprrafopredeter"/>
    <w:rsid w:val="00752115"/>
  </w:style>
  <w:style w:type="paragraph" w:styleId="Citadestacada">
    <w:name w:val="Intense Quote"/>
    <w:basedOn w:val="Normal"/>
    <w:next w:val="Normal"/>
    <w:link w:val="CitadestacadaCar"/>
    <w:uiPriority w:val="30"/>
    <w:qFormat/>
    <w:rsid w:val="000B5F73"/>
    <w:pPr>
      <w:ind w:right="567"/>
    </w:pPr>
    <w:rPr>
      <w:i/>
      <w:lang w:val="es-CO"/>
    </w:rPr>
  </w:style>
  <w:style w:type="character" w:customStyle="1" w:styleId="CitadestacadaCar">
    <w:name w:val="Cita destacada Car"/>
    <w:basedOn w:val="Fuentedeprrafopredeter"/>
    <w:link w:val="Citadestacada"/>
    <w:uiPriority w:val="30"/>
    <w:rsid w:val="000B5F73"/>
    <w:rPr>
      <w:rFonts w:ascii="Bookman Old Style" w:hAnsi="Bookman Old Style"/>
      <w:i/>
      <w:sz w:val="24"/>
      <w:szCs w:val="24"/>
      <w:lang w:eastAsia="es-ES"/>
    </w:rPr>
  </w:style>
  <w:style w:type="character" w:customStyle="1" w:styleId="Ttulo1Car">
    <w:name w:val="Título 1 Car"/>
    <w:basedOn w:val="Fuentedeprrafopredeter"/>
    <w:link w:val="Ttulo1"/>
    <w:rsid w:val="00404AF3"/>
    <w:rPr>
      <w:rFonts w:ascii="CG Times" w:hAnsi="CG Times"/>
      <w:b/>
      <w:sz w:val="24"/>
      <w:lang w:eastAsia="es-ES"/>
    </w:rPr>
  </w:style>
  <w:style w:type="character" w:customStyle="1" w:styleId="PiedepginaCar">
    <w:name w:val="Pie de página Car"/>
    <w:link w:val="Piedepgina"/>
    <w:rsid w:val="00AF3BC1"/>
    <w:rPr>
      <w:sz w:val="24"/>
      <w:szCs w:val="24"/>
      <w:lang w:val="es-ES" w:eastAsia="es-ES"/>
    </w:rPr>
  </w:style>
  <w:style w:type="paragraph" w:customStyle="1" w:styleId="margenizq2punto0">
    <w:name w:val="margen_izq_2punto0"/>
    <w:basedOn w:val="Normal"/>
    <w:rsid w:val="000164C5"/>
    <w:pPr>
      <w:spacing w:before="100" w:beforeAutospacing="1" w:after="100" w:afterAutospacing="1" w:line="270" w:lineRule="atLeast"/>
      <w:ind w:left="1134"/>
    </w:pPr>
    <w:rPr>
      <w:rFonts w:ascii="Arial" w:hAnsi="Arial" w:cs="Arial"/>
      <w:lang w:val="es-CO" w:eastAsia="es-CO"/>
    </w:rPr>
  </w:style>
  <w:style w:type="paragraph" w:styleId="TDC6">
    <w:name w:val="toc 6"/>
    <w:basedOn w:val="Normal"/>
    <w:next w:val="Normal"/>
    <w:autoRedefine/>
    <w:uiPriority w:val="39"/>
    <w:semiHidden/>
    <w:unhideWhenUsed/>
    <w:rsid w:val="008F1001"/>
    <w:pPr>
      <w:spacing w:after="100"/>
      <w:ind w:left="1200"/>
    </w:pPr>
  </w:style>
  <w:style w:type="paragraph" w:styleId="Sangra2detindependiente">
    <w:name w:val="Body Text Indent 2"/>
    <w:basedOn w:val="Normal"/>
    <w:link w:val="Sangra2detindependienteCar"/>
    <w:unhideWhenUsed/>
    <w:rsid w:val="00C1748D"/>
    <w:pPr>
      <w:spacing w:before="240" w:after="120" w:line="480" w:lineRule="auto"/>
      <w:ind w:left="283"/>
    </w:pPr>
  </w:style>
  <w:style w:type="character" w:customStyle="1" w:styleId="Sangra2detindependienteCar">
    <w:name w:val="Sangría 2 de t. independiente Car"/>
    <w:basedOn w:val="Fuentedeprrafopredeter"/>
    <w:link w:val="Sangra2detindependiente"/>
    <w:rsid w:val="00C1748D"/>
    <w:rPr>
      <w:rFonts w:ascii="Bookman Old Style" w:hAnsi="Bookman Old Style"/>
      <w:sz w:val="24"/>
      <w:szCs w:val="24"/>
      <w:lang w:val="es-ES" w:eastAsia="es-ES"/>
    </w:rPr>
  </w:style>
  <w:style w:type="paragraph" w:customStyle="1" w:styleId="Artculo">
    <w:name w:val="Artículo"/>
    <w:basedOn w:val="Normal"/>
    <w:next w:val="articulo"/>
    <w:link w:val="ArtculoCar"/>
    <w:qFormat/>
    <w:rsid w:val="00C1748D"/>
    <w:pPr>
      <w:numPr>
        <w:numId w:val="12"/>
      </w:numPr>
      <w:tabs>
        <w:tab w:val="left" w:pos="1701"/>
      </w:tabs>
      <w:spacing w:before="240" w:after="240"/>
    </w:pPr>
    <w:rPr>
      <w:rFonts w:cs="Arial"/>
      <w:b/>
    </w:rPr>
  </w:style>
  <w:style w:type="character" w:customStyle="1" w:styleId="ArtculoCar">
    <w:name w:val="Artículo Car"/>
    <w:link w:val="Artculo"/>
    <w:rsid w:val="00C1748D"/>
    <w:rPr>
      <w:rFonts w:ascii="Bookman Old Style" w:hAnsi="Bookman Old Style" w:cs="Arial"/>
      <w:b/>
      <w:sz w:val="24"/>
      <w:szCs w:val="24"/>
      <w:lang w:val="es-ES" w:eastAsia="es-ES"/>
    </w:rPr>
  </w:style>
  <w:style w:type="paragraph" w:customStyle="1" w:styleId="articulo">
    <w:name w:val="articulo"/>
    <w:basedOn w:val="Normal"/>
    <w:next w:val="Normal"/>
    <w:autoRedefine/>
    <w:rsid w:val="00C1748D"/>
    <w:pPr>
      <w:suppressAutoHyphens/>
      <w:spacing w:before="240"/>
    </w:pPr>
    <w:rPr>
      <w:rFonts w:cs="Arial"/>
    </w:rPr>
  </w:style>
  <w:style w:type="paragraph" w:styleId="Sangra3detindependiente">
    <w:name w:val="Body Text Indent 3"/>
    <w:basedOn w:val="Normal"/>
    <w:link w:val="Sangra3detindependienteCar"/>
    <w:uiPriority w:val="99"/>
    <w:semiHidden/>
    <w:unhideWhenUsed/>
    <w:rsid w:val="00AB517F"/>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AB517F"/>
    <w:rPr>
      <w:rFonts w:ascii="Bookman Old Style" w:hAnsi="Bookman Old Style"/>
      <w:sz w:val="16"/>
      <w:szCs w:val="16"/>
      <w:lang w:val="es-ES" w:eastAsia="es-ES"/>
    </w:rPr>
  </w:style>
  <w:style w:type="character" w:customStyle="1" w:styleId="Mencinsinresolver1">
    <w:name w:val="Mención sin resolver1"/>
    <w:basedOn w:val="Fuentedeprrafopredeter"/>
    <w:uiPriority w:val="99"/>
    <w:semiHidden/>
    <w:unhideWhenUsed/>
    <w:rsid w:val="00E043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6739">
      <w:bodyDiv w:val="1"/>
      <w:marLeft w:val="0"/>
      <w:marRight w:val="0"/>
      <w:marTop w:val="0"/>
      <w:marBottom w:val="0"/>
      <w:divBdr>
        <w:top w:val="none" w:sz="0" w:space="0" w:color="auto"/>
        <w:left w:val="none" w:sz="0" w:space="0" w:color="auto"/>
        <w:bottom w:val="none" w:sz="0" w:space="0" w:color="auto"/>
        <w:right w:val="none" w:sz="0" w:space="0" w:color="auto"/>
      </w:divBdr>
    </w:div>
    <w:div w:id="3825990">
      <w:bodyDiv w:val="1"/>
      <w:marLeft w:val="0"/>
      <w:marRight w:val="0"/>
      <w:marTop w:val="0"/>
      <w:marBottom w:val="0"/>
      <w:divBdr>
        <w:top w:val="none" w:sz="0" w:space="0" w:color="auto"/>
        <w:left w:val="none" w:sz="0" w:space="0" w:color="auto"/>
        <w:bottom w:val="none" w:sz="0" w:space="0" w:color="auto"/>
        <w:right w:val="none" w:sz="0" w:space="0" w:color="auto"/>
      </w:divBdr>
    </w:div>
    <w:div w:id="10686403">
      <w:bodyDiv w:val="1"/>
      <w:marLeft w:val="0"/>
      <w:marRight w:val="0"/>
      <w:marTop w:val="0"/>
      <w:marBottom w:val="0"/>
      <w:divBdr>
        <w:top w:val="none" w:sz="0" w:space="0" w:color="auto"/>
        <w:left w:val="none" w:sz="0" w:space="0" w:color="auto"/>
        <w:bottom w:val="none" w:sz="0" w:space="0" w:color="auto"/>
        <w:right w:val="none" w:sz="0" w:space="0" w:color="auto"/>
      </w:divBdr>
      <w:divsChild>
        <w:div w:id="300230642">
          <w:marLeft w:val="1166"/>
          <w:marRight w:val="0"/>
          <w:marTop w:val="0"/>
          <w:marBottom w:val="0"/>
          <w:divBdr>
            <w:top w:val="none" w:sz="0" w:space="0" w:color="auto"/>
            <w:left w:val="none" w:sz="0" w:space="0" w:color="auto"/>
            <w:bottom w:val="none" w:sz="0" w:space="0" w:color="auto"/>
            <w:right w:val="none" w:sz="0" w:space="0" w:color="auto"/>
          </w:divBdr>
        </w:div>
        <w:div w:id="708066818">
          <w:marLeft w:val="1267"/>
          <w:marRight w:val="0"/>
          <w:marTop w:val="0"/>
          <w:marBottom w:val="0"/>
          <w:divBdr>
            <w:top w:val="none" w:sz="0" w:space="0" w:color="auto"/>
            <w:left w:val="none" w:sz="0" w:space="0" w:color="auto"/>
            <w:bottom w:val="none" w:sz="0" w:space="0" w:color="auto"/>
            <w:right w:val="none" w:sz="0" w:space="0" w:color="auto"/>
          </w:divBdr>
        </w:div>
        <w:div w:id="1199393434">
          <w:marLeft w:val="1267"/>
          <w:marRight w:val="0"/>
          <w:marTop w:val="0"/>
          <w:marBottom w:val="0"/>
          <w:divBdr>
            <w:top w:val="none" w:sz="0" w:space="0" w:color="auto"/>
            <w:left w:val="none" w:sz="0" w:space="0" w:color="auto"/>
            <w:bottom w:val="none" w:sz="0" w:space="0" w:color="auto"/>
            <w:right w:val="none" w:sz="0" w:space="0" w:color="auto"/>
          </w:divBdr>
        </w:div>
        <w:div w:id="1637685576">
          <w:marLeft w:val="1267"/>
          <w:marRight w:val="0"/>
          <w:marTop w:val="0"/>
          <w:marBottom w:val="0"/>
          <w:divBdr>
            <w:top w:val="none" w:sz="0" w:space="0" w:color="auto"/>
            <w:left w:val="none" w:sz="0" w:space="0" w:color="auto"/>
            <w:bottom w:val="none" w:sz="0" w:space="0" w:color="auto"/>
            <w:right w:val="none" w:sz="0" w:space="0" w:color="auto"/>
          </w:divBdr>
        </w:div>
      </w:divsChild>
    </w:div>
    <w:div w:id="13894631">
      <w:bodyDiv w:val="1"/>
      <w:marLeft w:val="0"/>
      <w:marRight w:val="0"/>
      <w:marTop w:val="0"/>
      <w:marBottom w:val="0"/>
      <w:divBdr>
        <w:top w:val="none" w:sz="0" w:space="0" w:color="auto"/>
        <w:left w:val="none" w:sz="0" w:space="0" w:color="auto"/>
        <w:bottom w:val="none" w:sz="0" w:space="0" w:color="auto"/>
        <w:right w:val="none" w:sz="0" w:space="0" w:color="auto"/>
      </w:divBdr>
    </w:div>
    <w:div w:id="19936271">
      <w:bodyDiv w:val="1"/>
      <w:marLeft w:val="0"/>
      <w:marRight w:val="0"/>
      <w:marTop w:val="0"/>
      <w:marBottom w:val="0"/>
      <w:divBdr>
        <w:top w:val="none" w:sz="0" w:space="0" w:color="auto"/>
        <w:left w:val="none" w:sz="0" w:space="0" w:color="auto"/>
        <w:bottom w:val="none" w:sz="0" w:space="0" w:color="auto"/>
        <w:right w:val="none" w:sz="0" w:space="0" w:color="auto"/>
      </w:divBdr>
    </w:div>
    <w:div w:id="32118220">
      <w:bodyDiv w:val="1"/>
      <w:marLeft w:val="0"/>
      <w:marRight w:val="0"/>
      <w:marTop w:val="0"/>
      <w:marBottom w:val="0"/>
      <w:divBdr>
        <w:top w:val="none" w:sz="0" w:space="0" w:color="auto"/>
        <w:left w:val="none" w:sz="0" w:space="0" w:color="auto"/>
        <w:bottom w:val="none" w:sz="0" w:space="0" w:color="auto"/>
        <w:right w:val="none" w:sz="0" w:space="0" w:color="auto"/>
      </w:divBdr>
    </w:div>
    <w:div w:id="73204637">
      <w:bodyDiv w:val="1"/>
      <w:marLeft w:val="0"/>
      <w:marRight w:val="0"/>
      <w:marTop w:val="0"/>
      <w:marBottom w:val="0"/>
      <w:divBdr>
        <w:top w:val="none" w:sz="0" w:space="0" w:color="auto"/>
        <w:left w:val="none" w:sz="0" w:space="0" w:color="auto"/>
        <w:bottom w:val="none" w:sz="0" w:space="0" w:color="auto"/>
        <w:right w:val="none" w:sz="0" w:space="0" w:color="auto"/>
      </w:divBdr>
    </w:div>
    <w:div w:id="77332784">
      <w:bodyDiv w:val="1"/>
      <w:marLeft w:val="0"/>
      <w:marRight w:val="0"/>
      <w:marTop w:val="0"/>
      <w:marBottom w:val="0"/>
      <w:divBdr>
        <w:top w:val="none" w:sz="0" w:space="0" w:color="auto"/>
        <w:left w:val="none" w:sz="0" w:space="0" w:color="auto"/>
        <w:bottom w:val="none" w:sz="0" w:space="0" w:color="auto"/>
        <w:right w:val="none" w:sz="0" w:space="0" w:color="auto"/>
      </w:divBdr>
    </w:div>
    <w:div w:id="110705953">
      <w:bodyDiv w:val="1"/>
      <w:marLeft w:val="0"/>
      <w:marRight w:val="0"/>
      <w:marTop w:val="0"/>
      <w:marBottom w:val="0"/>
      <w:divBdr>
        <w:top w:val="none" w:sz="0" w:space="0" w:color="auto"/>
        <w:left w:val="none" w:sz="0" w:space="0" w:color="auto"/>
        <w:bottom w:val="none" w:sz="0" w:space="0" w:color="auto"/>
        <w:right w:val="none" w:sz="0" w:space="0" w:color="auto"/>
      </w:divBdr>
    </w:div>
    <w:div w:id="139230473">
      <w:bodyDiv w:val="1"/>
      <w:marLeft w:val="0"/>
      <w:marRight w:val="0"/>
      <w:marTop w:val="0"/>
      <w:marBottom w:val="0"/>
      <w:divBdr>
        <w:top w:val="none" w:sz="0" w:space="0" w:color="auto"/>
        <w:left w:val="none" w:sz="0" w:space="0" w:color="auto"/>
        <w:bottom w:val="none" w:sz="0" w:space="0" w:color="auto"/>
        <w:right w:val="none" w:sz="0" w:space="0" w:color="auto"/>
      </w:divBdr>
    </w:div>
    <w:div w:id="288971292">
      <w:bodyDiv w:val="1"/>
      <w:marLeft w:val="0"/>
      <w:marRight w:val="0"/>
      <w:marTop w:val="0"/>
      <w:marBottom w:val="0"/>
      <w:divBdr>
        <w:top w:val="none" w:sz="0" w:space="0" w:color="auto"/>
        <w:left w:val="none" w:sz="0" w:space="0" w:color="auto"/>
        <w:bottom w:val="none" w:sz="0" w:space="0" w:color="auto"/>
        <w:right w:val="none" w:sz="0" w:space="0" w:color="auto"/>
      </w:divBdr>
    </w:div>
    <w:div w:id="334844044">
      <w:bodyDiv w:val="1"/>
      <w:marLeft w:val="0"/>
      <w:marRight w:val="0"/>
      <w:marTop w:val="0"/>
      <w:marBottom w:val="0"/>
      <w:divBdr>
        <w:top w:val="none" w:sz="0" w:space="0" w:color="auto"/>
        <w:left w:val="none" w:sz="0" w:space="0" w:color="auto"/>
        <w:bottom w:val="none" w:sz="0" w:space="0" w:color="auto"/>
        <w:right w:val="none" w:sz="0" w:space="0" w:color="auto"/>
      </w:divBdr>
    </w:div>
    <w:div w:id="367410663">
      <w:bodyDiv w:val="1"/>
      <w:marLeft w:val="0"/>
      <w:marRight w:val="0"/>
      <w:marTop w:val="0"/>
      <w:marBottom w:val="0"/>
      <w:divBdr>
        <w:top w:val="none" w:sz="0" w:space="0" w:color="auto"/>
        <w:left w:val="none" w:sz="0" w:space="0" w:color="auto"/>
        <w:bottom w:val="none" w:sz="0" w:space="0" w:color="auto"/>
        <w:right w:val="none" w:sz="0" w:space="0" w:color="auto"/>
      </w:divBdr>
    </w:div>
    <w:div w:id="462772753">
      <w:bodyDiv w:val="1"/>
      <w:marLeft w:val="0"/>
      <w:marRight w:val="0"/>
      <w:marTop w:val="0"/>
      <w:marBottom w:val="0"/>
      <w:divBdr>
        <w:top w:val="none" w:sz="0" w:space="0" w:color="auto"/>
        <w:left w:val="none" w:sz="0" w:space="0" w:color="auto"/>
        <w:bottom w:val="none" w:sz="0" w:space="0" w:color="auto"/>
        <w:right w:val="none" w:sz="0" w:space="0" w:color="auto"/>
      </w:divBdr>
    </w:div>
    <w:div w:id="467012135">
      <w:bodyDiv w:val="1"/>
      <w:marLeft w:val="0"/>
      <w:marRight w:val="0"/>
      <w:marTop w:val="0"/>
      <w:marBottom w:val="0"/>
      <w:divBdr>
        <w:top w:val="none" w:sz="0" w:space="0" w:color="auto"/>
        <w:left w:val="none" w:sz="0" w:space="0" w:color="auto"/>
        <w:bottom w:val="none" w:sz="0" w:space="0" w:color="auto"/>
        <w:right w:val="none" w:sz="0" w:space="0" w:color="auto"/>
      </w:divBdr>
      <w:divsChild>
        <w:div w:id="234828697">
          <w:marLeft w:val="1267"/>
          <w:marRight w:val="0"/>
          <w:marTop w:val="0"/>
          <w:marBottom w:val="0"/>
          <w:divBdr>
            <w:top w:val="none" w:sz="0" w:space="0" w:color="auto"/>
            <w:left w:val="none" w:sz="0" w:space="0" w:color="auto"/>
            <w:bottom w:val="none" w:sz="0" w:space="0" w:color="auto"/>
            <w:right w:val="none" w:sz="0" w:space="0" w:color="auto"/>
          </w:divBdr>
        </w:div>
        <w:div w:id="407113323">
          <w:marLeft w:val="1267"/>
          <w:marRight w:val="0"/>
          <w:marTop w:val="0"/>
          <w:marBottom w:val="0"/>
          <w:divBdr>
            <w:top w:val="none" w:sz="0" w:space="0" w:color="auto"/>
            <w:left w:val="none" w:sz="0" w:space="0" w:color="auto"/>
            <w:bottom w:val="none" w:sz="0" w:space="0" w:color="auto"/>
            <w:right w:val="none" w:sz="0" w:space="0" w:color="auto"/>
          </w:divBdr>
        </w:div>
        <w:div w:id="1119490944">
          <w:marLeft w:val="1267"/>
          <w:marRight w:val="0"/>
          <w:marTop w:val="0"/>
          <w:marBottom w:val="0"/>
          <w:divBdr>
            <w:top w:val="none" w:sz="0" w:space="0" w:color="auto"/>
            <w:left w:val="none" w:sz="0" w:space="0" w:color="auto"/>
            <w:bottom w:val="none" w:sz="0" w:space="0" w:color="auto"/>
            <w:right w:val="none" w:sz="0" w:space="0" w:color="auto"/>
          </w:divBdr>
        </w:div>
        <w:div w:id="1140029112">
          <w:marLeft w:val="1267"/>
          <w:marRight w:val="0"/>
          <w:marTop w:val="0"/>
          <w:marBottom w:val="0"/>
          <w:divBdr>
            <w:top w:val="none" w:sz="0" w:space="0" w:color="auto"/>
            <w:left w:val="none" w:sz="0" w:space="0" w:color="auto"/>
            <w:bottom w:val="none" w:sz="0" w:space="0" w:color="auto"/>
            <w:right w:val="none" w:sz="0" w:space="0" w:color="auto"/>
          </w:divBdr>
        </w:div>
        <w:div w:id="1895508691">
          <w:marLeft w:val="1267"/>
          <w:marRight w:val="0"/>
          <w:marTop w:val="0"/>
          <w:marBottom w:val="0"/>
          <w:divBdr>
            <w:top w:val="none" w:sz="0" w:space="0" w:color="auto"/>
            <w:left w:val="none" w:sz="0" w:space="0" w:color="auto"/>
            <w:bottom w:val="none" w:sz="0" w:space="0" w:color="auto"/>
            <w:right w:val="none" w:sz="0" w:space="0" w:color="auto"/>
          </w:divBdr>
        </w:div>
      </w:divsChild>
    </w:div>
    <w:div w:id="534004335">
      <w:bodyDiv w:val="1"/>
      <w:marLeft w:val="0"/>
      <w:marRight w:val="0"/>
      <w:marTop w:val="0"/>
      <w:marBottom w:val="0"/>
      <w:divBdr>
        <w:top w:val="none" w:sz="0" w:space="0" w:color="auto"/>
        <w:left w:val="none" w:sz="0" w:space="0" w:color="auto"/>
        <w:bottom w:val="none" w:sz="0" w:space="0" w:color="auto"/>
        <w:right w:val="none" w:sz="0" w:space="0" w:color="auto"/>
      </w:divBdr>
    </w:div>
    <w:div w:id="565801788">
      <w:bodyDiv w:val="1"/>
      <w:marLeft w:val="0"/>
      <w:marRight w:val="0"/>
      <w:marTop w:val="0"/>
      <w:marBottom w:val="0"/>
      <w:divBdr>
        <w:top w:val="none" w:sz="0" w:space="0" w:color="auto"/>
        <w:left w:val="none" w:sz="0" w:space="0" w:color="auto"/>
        <w:bottom w:val="none" w:sz="0" w:space="0" w:color="auto"/>
        <w:right w:val="none" w:sz="0" w:space="0" w:color="auto"/>
      </w:divBdr>
    </w:div>
    <w:div w:id="627123592">
      <w:bodyDiv w:val="1"/>
      <w:marLeft w:val="0"/>
      <w:marRight w:val="0"/>
      <w:marTop w:val="0"/>
      <w:marBottom w:val="0"/>
      <w:divBdr>
        <w:top w:val="none" w:sz="0" w:space="0" w:color="auto"/>
        <w:left w:val="none" w:sz="0" w:space="0" w:color="auto"/>
        <w:bottom w:val="none" w:sz="0" w:space="0" w:color="auto"/>
        <w:right w:val="none" w:sz="0" w:space="0" w:color="auto"/>
      </w:divBdr>
      <w:divsChild>
        <w:div w:id="844131166">
          <w:marLeft w:val="634"/>
          <w:marRight w:val="0"/>
          <w:marTop w:val="0"/>
          <w:marBottom w:val="0"/>
          <w:divBdr>
            <w:top w:val="none" w:sz="0" w:space="0" w:color="auto"/>
            <w:left w:val="none" w:sz="0" w:space="0" w:color="auto"/>
            <w:bottom w:val="none" w:sz="0" w:space="0" w:color="auto"/>
            <w:right w:val="none" w:sz="0" w:space="0" w:color="auto"/>
          </w:divBdr>
        </w:div>
      </w:divsChild>
    </w:div>
    <w:div w:id="639265228">
      <w:bodyDiv w:val="1"/>
      <w:marLeft w:val="0"/>
      <w:marRight w:val="0"/>
      <w:marTop w:val="0"/>
      <w:marBottom w:val="0"/>
      <w:divBdr>
        <w:top w:val="none" w:sz="0" w:space="0" w:color="auto"/>
        <w:left w:val="none" w:sz="0" w:space="0" w:color="auto"/>
        <w:bottom w:val="none" w:sz="0" w:space="0" w:color="auto"/>
        <w:right w:val="none" w:sz="0" w:space="0" w:color="auto"/>
      </w:divBdr>
    </w:div>
    <w:div w:id="727804468">
      <w:bodyDiv w:val="1"/>
      <w:marLeft w:val="0"/>
      <w:marRight w:val="0"/>
      <w:marTop w:val="0"/>
      <w:marBottom w:val="0"/>
      <w:divBdr>
        <w:top w:val="none" w:sz="0" w:space="0" w:color="auto"/>
        <w:left w:val="none" w:sz="0" w:space="0" w:color="auto"/>
        <w:bottom w:val="none" w:sz="0" w:space="0" w:color="auto"/>
        <w:right w:val="none" w:sz="0" w:space="0" w:color="auto"/>
      </w:divBdr>
    </w:div>
    <w:div w:id="732387404">
      <w:bodyDiv w:val="1"/>
      <w:marLeft w:val="0"/>
      <w:marRight w:val="0"/>
      <w:marTop w:val="0"/>
      <w:marBottom w:val="0"/>
      <w:divBdr>
        <w:top w:val="none" w:sz="0" w:space="0" w:color="auto"/>
        <w:left w:val="none" w:sz="0" w:space="0" w:color="auto"/>
        <w:bottom w:val="none" w:sz="0" w:space="0" w:color="auto"/>
        <w:right w:val="none" w:sz="0" w:space="0" w:color="auto"/>
      </w:divBdr>
    </w:div>
    <w:div w:id="771247624">
      <w:bodyDiv w:val="1"/>
      <w:marLeft w:val="0"/>
      <w:marRight w:val="0"/>
      <w:marTop w:val="0"/>
      <w:marBottom w:val="0"/>
      <w:divBdr>
        <w:top w:val="none" w:sz="0" w:space="0" w:color="auto"/>
        <w:left w:val="none" w:sz="0" w:space="0" w:color="auto"/>
        <w:bottom w:val="none" w:sz="0" w:space="0" w:color="auto"/>
        <w:right w:val="none" w:sz="0" w:space="0" w:color="auto"/>
      </w:divBdr>
    </w:div>
    <w:div w:id="776678306">
      <w:bodyDiv w:val="1"/>
      <w:marLeft w:val="0"/>
      <w:marRight w:val="0"/>
      <w:marTop w:val="0"/>
      <w:marBottom w:val="0"/>
      <w:divBdr>
        <w:top w:val="none" w:sz="0" w:space="0" w:color="auto"/>
        <w:left w:val="none" w:sz="0" w:space="0" w:color="auto"/>
        <w:bottom w:val="none" w:sz="0" w:space="0" w:color="auto"/>
        <w:right w:val="none" w:sz="0" w:space="0" w:color="auto"/>
      </w:divBdr>
    </w:div>
    <w:div w:id="858083115">
      <w:bodyDiv w:val="1"/>
      <w:marLeft w:val="0"/>
      <w:marRight w:val="0"/>
      <w:marTop w:val="0"/>
      <w:marBottom w:val="0"/>
      <w:divBdr>
        <w:top w:val="none" w:sz="0" w:space="0" w:color="auto"/>
        <w:left w:val="none" w:sz="0" w:space="0" w:color="auto"/>
        <w:bottom w:val="none" w:sz="0" w:space="0" w:color="auto"/>
        <w:right w:val="none" w:sz="0" w:space="0" w:color="auto"/>
      </w:divBdr>
    </w:div>
    <w:div w:id="950284763">
      <w:bodyDiv w:val="1"/>
      <w:marLeft w:val="0"/>
      <w:marRight w:val="0"/>
      <w:marTop w:val="0"/>
      <w:marBottom w:val="0"/>
      <w:divBdr>
        <w:top w:val="none" w:sz="0" w:space="0" w:color="auto"/>
        <w:left w:val="none" w:sz="0" w:space="0" w:color="auto"/>
        <w:bottom w:val="none" w:sz="0" w:space="0" w:color="auto"/>
        <w:right w:val="none" w:sz="0" w:space="0" w:color="auto"/>
      </w:divBdr>
    </w:div>
    <w:div w:id="953560065">
      <w:bodyDiv w:val="1"/>
      <w:marLeft w:val="0"/>
      <w:marRight w:val="0"/>
      <w:marTop w:val="0"/>
      <w:marBottom w:val="0"/>
      <w:divBdr>
        <w:top w:val="none" w:sz="0" w:space="0" w:color="auto"/>
        <w:left w:val="none" w:sz="0" w:space="0" w:color="auto"/>
        <w:bottom w:val="none" w:sz="0" w:space="0" w:color="auto"/>
        <w:right w:val="none" w:sz="0" w:space="0" w:color="auto"/>
      </w:divBdr>
    </w:div>
    <w:div w:id="969898630">
      <w:bodyDiv w:val="1"/>
      <w:marLeft w:val="0"/>
      <w:marRight w:val="0"/>
      <w:marTop w:val="0"/>
      <w:marBottom w:val="0"/>
      <w:divBdr>
        <w:top w:val="none" w:sz="0" w:space="0" w:color="auto"/>
        <w:left w:val="none" w:sz="0" w:space="0" w:color="auto"/>
        <w:bottom w:val="none" w:sz="0" w:space="0" w:color="auto"/>
        <w:right w:val="none" w:sz="0" w:space="0" w:color="auto"/>
      </w:divBdr>
    </w:div>
    <w:div w:id="1024207663">
      <w:bodyDiv w:val="1"/>
      <w:marLeft w:val="0"/>
      <w:marRight w:val="0"/>
      <w:marTop w:val="0"/>
      <w:marBottom w:val="0"/>
      <w:divBdr>
        <w:top w:val="none" w:sz="0" w:space="0" w:color="auto"/>
        <w:left w:val="none" w:sz="0" w:space="0" w:color="auto"/>
        <w:bottom w:val="none" w:sz="0" w:space="0" w:color="auto"/>
        <w:right w:val="none" w:sz="0" w:space="0" w:color="auto"/>
      </w:divBdr>
    </w:div>
    <w:div w:id="1067610314">
      <w:bodyDiv w:val="1"/>
      <w:marLeft w:val="0"/>
      <w:marRight w:val="0"/>
      <w:marTop w:val="0"/>
      <w:marBottom w:val="0"/>
      <w:divBdr>
        <w:top w:val="none" w:sz="0" w:space="0" w:color="auto"/>
        <w:left w:val="none" w:sz="0" w:space="0" w:color="auto"/>
        <w:bottom w:val="none" w:sz="0" w:space="0" w:color="auto"/>
        <w:right w:val="none" w:sz="0" w:space="0" w:color="auto"/>
      </w:divBdr>
    </w:div>
    <w:div w:id="1082484221">
      <w:bodyDiv w:val="1"/>
      <w:marLeft w:val="0"/>
      <w:marRight w:val="0"/>
      <w:marTop w:val="0"/>
      <w:marBottom w:val="0"/>
      <w:divBdr>
        <w:top w:val="none" w:sz="0" w:space="0" w:color="auto"/>
        <w:left w:val="none" w:sz="0" w:space="0" w:color="auto"/>
        <w:bottom w:val="none" w:sz="0" w:space="0" w:color="auto"/>
        <w:right w:val="none" w:sz="0" w:space="0" w:color="auto"/>
      </w:divBdr>
    </w:div>
    <w:div w:id="1099519111">
      <w:bodyDiv w:val="1"/>
      <w:marLeft w:val="0"/>
      <w:marRight w:val="0"/>
      <w:marTop w:val="0"/>
      <w:marBottom w:val="0"/>
      <w:divBdr>
        <w:top w:val="none" w:sz="0" w:space="0" w:color="auto"/>
        <w:left w:val="none" w:sz="0" w:space="0" w:color="auto"/>
        <w:bottom w:val="none" w:sz="0" w:space="0" w:color="auto"/>
        <w:right w:val="none" w:sz="0" w:space="0" w:color="auto"/>
      </w:divBdr>
    </w:div>
    <w:div w:id="1126702482">
      <w:bodyDiv w:val="1"/>
      <w:marLeft w:val="0"/>
      <w:marRight w:val="0"/>
      <w:marTop w:val="0"/>
      <w:marBottom w:val="0"/>
      <w:divBdr>
        <w:top w:val="none" w:sz="0" w:space="0" w:color="auto"/>
        <w:left w:val="none" w:sz="0" w:space="0" w:color="auto"/>
        <w:bottom w:val="none" w:sz="0" w:space="0" w:color="auto"/>
        <w:right w:val="none" w:sz="0" w:space="0" w:color="auto"/>
      </w:divBdr>
    </w:div>
    <w:div w:id="1134374196">
      <w:bodyDiv w:val="1"/>
      <w:marLeft w:val="0"/>
      <w:marRight w:val="0"/>
      <w:marTop w:val="0"/>
      <w:marBottom w:val="0"/>
      <w:divBdr>
        <w:top w:val="none" w:sz="0" w:space="0" w:color="auto"/>
        <w:left w:val="none" w:sz="0" w:space="0" w:color="auto"/>
        <w:bottom w:val="none" w:sz="0" w:space="0" w:color="auto"/>
        <w:right w:val="none" w:sz="0" w:space="0" w:color="auto"/>
      </w:divBdr>
    </w:div>
    <w:div w:id="1151484190">
      <w:bodyDiv w:val="1"/>
      <w:marLeft w:val="0"/>
      <w:marRight w:val="0"/>
      <w:marTop w:val="0"/>
      <w:marBottom w:val="0"/>
      <w:divBdr>
        <w:top w:val="none" w:sz="0" w:space="0" w:color="auto"/>
        <w:left w:val="none" w:sz="0" w:space="0" w:color="auto"/>
        <w:bottom w:val="none" w:sz="0" w:space="0" w:color="auto"/>
        <w:right w:val="none" w:sz="0" w:space="0" w:color="auto"/>
      </w:divBdr>
    </w:div>
    <w:div w:id="1182090789">
      <w:bodyDiv w:val="1"/>
      <w:marLeft w:val="0"/>
      <w:marRight w:val="0"/>
      <w:marTop w:val="0"/>
      <w:marBottom w:val="0"/>
      <w:divBdr>
        <w:top w:val="none" w:sz="0" w:space="0" w:color="auto"/>
        <w:left w:val="none" w:sz="0" w:space="0" w:color="auto"/>
        <w:bottom w:val="none" w:sz="0" w:space="0" w:color="auto"/>
        <w:right w:val="none" w:sz="0" w:space="0" w:color="auto"/>
      </w:divBdr>
    </w:div>
    <w:div w:id="1298142616">
      <w:bodyDiv w:val="1"/>
      <w:marLeft w:val="0"/>
      <w:marRight w:val="0"/>
      <w:marTop w:val="0"/>
      <w:marBottom w:val="0"/>
      <w:divBdr>
        <w:top w:val="none" w:sz="0" w:space="0" w:color="auto"/>
        <w:left w:val="none" w:sz="0" w:space="0" w:color="auto"/>
        <w:bottom w:val="none" w:sz="0" w:space="0" w:color="auto"/>
        <w:right w:val="none" w:sz="0" w:space="0" w:color="auto"/>
      </w:divBdr>
    </w:div>
    <w:div w:id="1320889148">
      <w:bodyDiv w:val="1"/>
      <w:marLeft w:val="0"/>
      <w:marRight w:val="0"/>
      <w:marTop w:val="0"/>
      <w:marBottom w:val="0"/>
      <w:divBdr>
        <w:top w:val="none" w:sz="0" w:space="0" w:color="auto"/>
        <w:left w:val="none" w:sz="0" w:space="0" w:color="auto"/>
        <w:bottom w:val="none" w:sz="0" w:space="0" w:color="auto"/>
        <w:right w:val="none" w:sz="0" w:space="0" w:color="auto"/>
      </w:divBdr>
    </w:div>
    <w:div w:id="1323385809">
      <w:bodyDiv w:val="1"/>
      <w:marLeft w:val="0"/>
      <w:marRight w:val="0"/>
      <w:marTop w:val="0"/>
      <w:marBottom w:val="0"/>
      <w:divBdr>
        <w:top w:val="none" w:sz="0" w:space="0" w:color="auto"/>
        <w:left w:val="none" w:sz="0" w:space="0" w:color="auto"/>
        <w:bottom w:val="none" w:sz="0" w:space="0" w:color="auto"/>
        <w:right w:val="none" w:sz="0" w:space="0" w:color="auto"/>
      </w:divBdr>
    </w:div>
    <w:div w:id="1329023223">
      <w:bodyDiv w:val="1"/>
      <w:marLeft w:val="0"/>
      <w:marRight w:val="0"/>
      <w:marTop w:val="0"/>
      <w:marBottom w:val="0"/>
      <w:divBdr>
        <w:top w:val="none" w:sz="0" w:space="0" w:color="auto"/>
        <w:left w:val="none" w:sz="0" w:space="0" w:color="auto"/>
        <w:bottom w:val="none" w:sz="0" w:space="0" w:color="auto"/>
        <w:right w:val="none" w:sz="0" w:space="0" w:color="auto"/>
      </w:divBdr>
    </w:div>
    <w:div w:id="1342320176">
      <w:bodyDiv w:val="1"/>
      <w:marLeft w:val="0"/>
      <w:marRight w:val="0"/>
      <w:marTop w:val="0"/>
      <w:marBottom w:val="0"/>
      <w:divBdr>
        <w:top w:val="none" w:sz="0" w:space="0" w:color="auto"/>
        <w:left w:val="none" w:sz="0" w:space="0" w:color="auto"/>
        <w:bottom w:val="none" w:sz="0" w:space="0" w:color="auto"/>
        <w:right w:val="none" w:sz="0" w:space="0" w:color="auto"/>
      </w:divBdr>
    </w:div>
    <w:div w:id="1382901096">
      <w:bodyDiv w:val="1"/>
      <w:marLeft w:val="0"/>
      <w:marRight w:val="0"/>
      <w:marTop w:val="0"/>
      <w:marBottom w:val="0"/>
      <w:divBdr>
        <w:top w:val="none" w:sz="0" w:space="0" w:color="auto"/>
        <w:left w:val="none" w:sz="0" w:space="0" w:color="auto"/>
        <w:bottom w:val="none" w:sz="0" w:space="0" w:color="auto"/>
        <w:right w:val="none" w:sz="0" w:space="0" w:color="auto"/>
      </w:divBdr>
    </w:div>
    <w:div w:id="1387531873">
      <w:bodyDiv w:val="1"/>
      <w:marLeft w:val="0"/>
      <w:marRight w:val="0"/>
      <w:marTop w:val="0"/>
      <w:marBottom w:val="0"/>
      <w:divBdr>
        <w:top w:val="none" w:sz="0" w:space="0" w:color="auto"/>
        <w:left w:val="none" w:sz="0" w:space="0" w:color="auto"/>
        <w:bottom w:val="none" w:sz="0" w:space="0" w:color="auto"/>
        <w:right w:val="none" w:sz="0" w:space="0" w:color="auto"/>
      </w:divBdr>
    </w:div>
    <w:div w:id="1457140174">
      <w:bodyDiv w:val="1"/>
      <w:marLeft w:val="0"/>
      <w:marRight w:val="0"/>
      <w:marTop w:val="0"/>
      <w:marBottom w:val="0"/>
      <w:divBdr>
        <w:top w:val="none" w:sz="0" w:space="0" w:color="auto"/>
        <w:left w:val="none" w:sz="0" w:space="0" w:color="auto"/>
        <w:bottom w:val="none" w:sz="0" w:space="0" w:color="auto"/>
        <w:right w:val="none" w:sz="0" w:space="0" w:color="auto"/>
      </w:divBdr>
    </w:div>
    <w:div w:id="1508788689">
      <w:bodyDiv w:val="1"/>
      <w:marLeft w:val="0"/>
      <w:marRight w:val="0"/>
      <w:marTop w:val="0"/>
      <w:marBottom w:val="0"/>
      <w:divBdr>
        <w:top w:val="none" w:sz="0" w:space="0" w:color="auto"/>
        <w:left w:val="none" w:sz="0" w:space="0" w:color="auto"/>
        <w:bottom w:val="none" w:sz="0" w:space="0" w:color="auto"/>
        <w:right w:val="none" w:sz="0" w:space="0" w:color="auto"/>
      </w:divBdr>
    </w:div>
    <w:div w:id="1525050224">
      <w:bodyDiv w:val="1"/>
      <w:marLeft w:val="0"/>
      <w:marRight w:val="0"/>
      <w:marTop w:val="0"/>
      <w:marBottom w:val="0"/>
      <w:divBdr>
        <w:top w:val="none" w:sz="0" w:space="0" w:color="auto"/>
        <w:left w:val="none" w:sz="0" w:space="0" w:color="auto"/>
        <w:bottom w:val="none" w:sz="0" w:space="0" w:color="auto"/>
        <w:right w:val="none" w:sz="0" w:space="0" w:color="auto"/>
      </w:divBdr>
    </w:div>
    <w:div w:id="1613705361">
      <w:bodyDiv w:val="1"/>
      <w:marLeft w:val="0"/>
      <w:marRight w:val="0"/>
      <w:marTop w:val="0"/>
      <w:marBottom w:val="0"/>
      <w:divBdr>
        <w:top w:val="none" w:sz="0" w:space="0" w:color="auto"/>
        <w:left w:val="none" w:sz="0" w:space="0" w:color="auto"/>
        <w:bottom w:val="none" w:sz="0" w:space="0" w:color="auto"/>
        <w:right w:val="none" w:sz="0" w:space="0" w:color="auto"/>
      </w:divBdr>
      <w:divsChild>
        <w:div w:id="147982957">
          <w:marLeft w:val="1267"/>
          <w:marRight w:val="0"/>
          <w:marTop w:val="0"/>
          <w:marBottom w:val="0"/>
          <w:divBdr>
            <w:top w:val="none" w:sz="0" w:space="0" w:color="auto"/>
            <w:left w:val="none" w:sz="0" w:space="0" w:color="auto"/>
            <w:bottom w:val="none" w:sz="0" w:space="0" w:color="auto"/>
            <w:right w:val="none" w:sz="0" w:space="0" w:color="auto"/>
          </w:divBdr>
        </w:div>
        <w:div w:id="909776956">
          <w:marLeft w:val="1267"/>
          <w:marRight w:val="0"/>
          <w:marTop w:val="0"/>
          <w:marBottom w:val="0"/>
          <w:divBdr>
            <w:top w:val="none" w:sz="0" w:space="0" w:color="auto"/>
            <w:left w:val="none" w:sz="0" w:space="0" w:color="auto"/>
            <w:bottom w:val="none" w:sz="0" w:space="0" w:color="auto"/>
            <w:right w:val="none" w:sz="0" w:space="0" w:color="auto"/>
          </w:divBdr>
        </w:div>
        <w:div w:id="930772793">
          <w:marLeft w:val="1267"/>
          <w:marRight w:val="0"/>
          <w:marTop w:val="0"/>
          <w:marBottom w:val="0"/>
          <w:divBdr>
            <w:top w:val="none" w:sz="0" w:space="0" w:color="auto"/>
            <w:left w:val="none" w:sz="0" w:space="0" w:color="auto"/>
            <w:bottom w:val="none" w:sz="0" w:space="0" w:color="auto"/>
            <w:right w:val="none" w:sz="0" w:space="0" w:color="auto"/>
          </w:divBdr>
        </w:div>
        <w:div w:id="953485171">
          <w:marLeft w:val="1267"/>
          <w:marRight w:val="0"/>
          <w:marTop w:val="0"/>
          <w:marBottom w:val="0"/>
          <w:divBdr>
            <w:top w:val="none" w:sz="0" w:space="0" w:color="auto"/>
            <w:left w:val="none" w:sz="0" w:space="0" w:color="auto"/>
            <w:bottom w:val="none" w:sz="0" w:space="0" w:color="auto"/>
            <w:right w:val="none" w:sz="0" w:space="0" w:color="auto"/>
          </w:divBdr>
        </w:div>
        <w:div w:id="963272765">
          <w:marLeft w:val="1267"/>
          <w:marRight w:val="0"/>
          <w:marTop w:val="0"/>
          <w:marBottom w:val="0"/>
          <w:divBdr>
            <w:top w:val="none" w:sz="0" w:space="0" w:color="auto"/>
            <w:left w:val="none" w:sz="0" w:space="0" w:color="auto"/>
            <w:bottom w:val="none" w:sz="0" w:space="0" w:color="auto"/>
            <w:right w:val="none" w:sz="0" w:space="0" w:color="auto"/>
          </w:divBdr>
        </w:div>
        <w:div w:id="1207716081">
          <w:marLeft w:val="1267"/>
          <w:marRight w:val="0"/>
          <w:marTop w:val="0"/>
          <w:marBottom w:val="0"/>
          <w:divBdr>
            <w:top w:val="none" w:sz="0" w:space="0" w:color="auto"/>
            <w:left w:val="none" w:sz="0" w:space="0" w:color="auto"/>
            <w:bottom w:val="none" w:sz="0" w:space="0" w:color="auto"/>
            <w:right w:val="none" w:sz="0" w:space="0" w:color="auto"/>
          </w:divBdr>
        </w:div>
      </w:divsChild>
    </w:div>
    <w:div w:id="1615211044">
      <w:bodyDiv w:val="1"/>
      <w:marLeft w:val="0"/>
      <w:marRight w:val="0"/>
      <w:marTop w:val="0"/>
      <w:marBottom w:val="0"/>
      <w:divBdr>
        <w:top w:val="none" w:sz="0" w:space="0" w:color="auto"/>
        <w:left w:val="none" w:sz="0" w:space="0" w:color="auto"/>
        <w:bottom w:val="none" w:sz="0" w:space="0" w:color="auto"/>
        <w:right w:val="none" w:sz="0" w:space="0" w:color="auto"/>
      </w:divBdr>
    </w:div>
    <w:div w:id="1619221560">
      <w:bodyDiv w:val="1"/>
      <w:marLeft w:val="0"/>
      <w:marRight w:val="0"/>
      <w:marTop w:val="0"/>
      <w:marBottom w:val="0"/>
      <w:divBdr>
        <w:top w:val="none" w:sz="0" w:space="0" w:color="auto"/>
        <w:left w:val="none" w:sz="0" w:space="0" w:color="auto"/>
        <w:bottom w:val="none" w:sz="0" w:space="0" w:color="auto"/>
        <w:right w:val="none" w:sz="0" w:space="0" w:color="auto"/>
      </w:divBdr>
    </w:div>
    <w:div w:id="1628268589">
      <w:bodyDiv w:val="1"/>
      <w:marLeft w:val="0"/>
      <w:marRight w:val="0"/>
      <w:marTop w:val="0"/>
      <w:marBottom w:val="0"/>
      <w:divBdr>
        <w:top w:val="none" w:sz="0" w:space="0" w:color="auto"/>
        <w:left w:val="none" w:sz="0" w:space="0" w:color="auto"/>
        <w:bottom w:val="none" w:sz="0" w:space="0" w:color="auto"/>
        <w:right w:val="none" w:sz="0" w:space="0" w:color="auto"/>
      </w:divBdr>
    </w:div>
    <w:div w:id="1641886167">
      <w:bodyDiv w:val="1"/>
      <w:marLeft w:val="0"/>
      <w:marRight w:val="0"/>
      <w:marTop w:val="0"/>
      <w:marBottom w:val="0"/>
      <w:divBdr>
        <w:top w:val="none" w:sz="0" w:space="0" w:color="auto"/>
        <w:left w:val="none" w:sz="0" w:space="0" w:color="auto"/>
        <w:bottom w:val="none" w:sz="0" w:space="0" w:color="auto"/>
        <w:right w:val="none" w:sz="0" w:space="0" w:color="auto"/>
      </w:divBdr>
    </w:div>
    <w:div w:id="1666085388">
      <w:bodyDiv w:val="1"/>
      <w:marLeft w:val="0"/>
      <w:marRight w:val="0"/>
      <w:marTop w:val="0"/>
      <w:marBottom w:val="0"/>
      <w:divBdr>
        <w:top w:val="none" w:sz="0" w:space="0" w:color="auto"/>
        <w:left w:val="none" w:sz="0" w:space="0" w:color="auto"/>
        <w:bottom w:val="none" w:sz="0" w:space="0" w:color="auto"/>
        <w:right w:val="none" w:sz="0" w:space="0" w:color="auto"/>
      </w:divBdr>
    </w:div>
    <w:div w:id="1742829206">
      <w:bodyDiv w:val="1"/>
      <w:marLeft w:val="0"/>
      <w:marRight w:val="0"/>
      <w:marTop w:val="0"/>
      <w:marBottom w:val="0"/>
      <w:divBdr>
        <w:top w:val="none" w:sz="0" w:space="0" w:color="auto"/>
        <w:left w:val="none" w:sz="0" w:space="0" w:color="auto"/>
        <w:bottom w:val="none" w:sz="0" w:space="0" w:color="auto"/>
        <w:right w:val="none" w:sz="0" w:space="0" w:color="auto"/>
      </w:divBdr>
    </w:div>
    <w:div w:id="1792898935">
      <w:bodyDiv w:val="1"/>
      <w:marLeft w:val="0"/>
      <w:marRight w:val="0"/>
      <w:marTop w:val="0"/>
      <w:marBottom w:val="0"/>
      <w:divBdr>
        <w:top w:val="none" w:sz="0" w:space="0" w:color="auto"/>
        <w:left w:val="none" w:sz="0" w:space="0" w:color="auto"/>
        <w:bottom w:val="none" w:sz="0" w:space="0" w:color="auto"/>
        <w:right w:val="none" w:sz="0" w:space="0" w:color="auto"/>
      </w:divBdr>
    </w:div>
    <w:div w:id="1833981223">
      <w:bodyDiv w:val="1"/>
      <w:marLeft w:val="0"/>
      <w:marRight w:val="0"/>
      <w:marTop w:val="0"/>
      <w:marBottom w:val="0"/>
      <w:divBdr>
        <w:top w:val="none" w:sz="0" w:space="0" w:color="auto"/>
        <w:left w:val="none" w:sz="0" w:space="0" w:color="auto"/>
        <w:bottom w:val="none" w:sz="0" w:space="0" w:color="auto"/>
        <w:right w:val="none" w:sz="0" w:space="0" w:color="auto"/>
      </w:divBdr>
    </w:div>
    <w:div w:id="1884097090">
      <w:bodyDiv w:val="1"/>
      <w:marLeft w:val="0"/>
      <w:marRight w:val="0"/>
      <w:marTop w:val="0"/>
      <w:marBottom w:val="0"/>
      <w:divBdr>
        <w:top w:val="none" w:sz="0" w:space="0" w:color="auto"/>
        <w:left w:val="none" w:sz="0" w:space="0" w:color="auto"/>
        <w:bottom w:val="none" w:sz="0" w:space="0" w:color="auto"/>
        <w:right w:val="none" w:sz="0" w:space="0" w:color="auto"/>
      </w:divBdr>
    </w:div>
    <w:div w:id="1910967231">
      <w:bodyDiv w:val="1"/>
      <w:marLeft w:val="0"/>
      <w:marRight w:val="0"/>
      <w:marTop w:val="0"/>
      <w:marBottom w:val="0"/>
      <w:divBdr>
        <w:top w:val="none" w:sz="0" w:space="0" w:color="auto"/>
        <w:left w:val="none" w:sz="0" w:space="0" w:color="auto"/>
        <w:bottom w:val="none" w:sz="0" w:space="0" w:color="auto"/>
        <w:right w:val="none" w:sz="0" w:space="0" w:color="auto"/>
      </w:divBdr>
    </w:div>
    <w:div w:id="2031027711">
      <w:bodyDiv w:val="1"/>
      <w:marLeft w:val="0"/>
      <w:marRight w:val="0"/>
      <w:marTop w:val="0"/>
      <w:marBottom w:val="0"/>
      <w:divBdr>
        <w:top w:val="none" w:sz="0" w:space="0" w:color="auto"/>
        <w:left w:val="none" w:sz="0" w:space="0" w:color="auto"/>
        <w:bottom w:val="none" w:sz="0" w:space="0" w:color="auto"/>
        <w:right w:val="none" w:sz="0" w:space="0" w:color="auto"/>
      </w:divBdr>
    </w:div>
    <w:div w:id="2051761337">
      <w:bodyDiv w:val="1"/>
      <w:marLeft w:val="0"/>
      <w:marRight w:val="0"/>
      <w:marTop w:val="0"/>
      <w:marBottom w:val="0"/>
      <w:divBdr>
        <w:top w:val="none" w:sz="0" w:space="0" w:color="auto"/>
        <w:left w:val="none" w:sz="0" w:space="0" w:color="auto"/>
        <w:bottom w:val="none" w:sz="0" w:space="0" w:color="auto"/>
        <w:right w:val="none" w:sz="0" w:space="0" w:color="auto"/>
      </w:divBdr>
    </w:div>
    <w:div w:id="214592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95641-2191-4CF1-9A7D-9403F9D7B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6</Pages>
  <Words>2449</Words>
  <Characters>12826</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2020-09-29T14:42:00Z</cp:lastPrinted>
  <dcterms:created xsi:type="dcterms:W3CDTF">2020-10-14T13:57:00Z</dcterms:created>
  <dcterms:modified xsi:type="dcterms:W3CDTF">2020-10-14T13:57:00Z</dcterms:modified>
</cp:coreProperties>
</file>