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9A2A" w14:textId="77777777" w:rsidR="00324AD9" w:rsidRPr="00582B18" w:rsidRDefault="00171306" w:rsidP="00324AD9">
      <w:pPr>
        <w:ind w:left="2124" w:firstLine="708"/>
        <w:rPr>
          <w:rFonts w:ascii="Bookman Old Style" w:hAnsi="Bookman Old Style"/>
        </w:rPr>
      </w:pPr>
      <w:r>
        <w:rPr>
          <w:rFonts w:ascii="Bookman Old Style" w:hAnsi="Bookman Old Style"/>
          <w:noProof/>
        </w:rPr>
        <w:object w:dxaOrig="1440" w:dyaOrig="1440" w14:anchorId="7115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8.55pt;margin-top:-48.85pt;width:52.55pt;height:48.8pt;z-index:251658240" fillcolor="#0c9">
            <v:imagedata r:id="rId8" o:title=""/>
          </v:shape>
          <o:OLEObject Type="Embed" ProgID="PBrush" ShapeID="_x0000_s2050" DrawAspect="Content" ObjectID="_1710828952" r:id="rId9"/>
        </w:object>
      </w:r>
      <w:r w:rsidR="00324AD9" w:rsidRPr="00582B18">
        <w:rPr>
          <w:rFonts w:ascii="Bookman Old Style" w:hAnsi="Bookman Old Style"/>
        </w:rPr>
        <w:t>Ministerio de Minas y Energía</w:t>
      </w:r>
    </w:p>
    <w:p w14:paraId="229417A0" w14:textId="250904AC" w:rsidR="00324AD9" w:rsidRPr="00582B18" w:rsidRDefault="00324AD9" w:rsidP="00324AD9">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265B0ADA" w14:textId="77777777" w:rsidR="00324AD9" w:rsidRPr="00582B18" w:rsidRDefault="00324AD9" w:rsidP="00324AD9">
      <w:pPr>
        <w:widowControl w:val="0"/>
        <w:ind w:left="0"/>
        <w:jc w:val="center"/>
        <w:rPr>
          <w:rFonts w:ascii="Bookman Old Style" w:hAnsi="Bookman Old Style"/>
          <w:b/>
        </w:rPr>
      </w:pPr>
      <w:r w:rsidRPr="00582B18">
        <w:rPr>
          <w:rFonts w:ascii="Bookman Old Style" w:hAnsi="Bookman Old Style"/>
          <w:b/>
        </w:rPr>
        <w:t>COMISIÓN DE REGULACIÓN DE ENERGÍA Y GAS</w:t>
      </w:r>
    </w:p>
    <w:p w14:paraId="0DBC09BE" w14:textId="03F670AD" w:rsidR="00324AD9" w:rsidRPr="00582B18" w:rsidRDefault="00324AD9" w:rsidP="00324AD9">
      <w:pPr>
        <w:widowControl w:val="0"/>
        <w:rPr>
          <w:rFonts w:ascii="Bookman Old Style" w:hAnsi="Bookman Old Style"/>
        </w:rPr>
      </w:pPr>
    </w:p>
    <w:p w14:paraId="01CE6883" w14:textId="2AA6772C" w:rsidR="00324AD9" w:rsidRPr="00582B18" w:rsidRDefault="00324AD9" w:rsidP="00324AD9">
      <w:pPr>
        <w:widowControl w:val="0"/>
        <w:ind w:left="0"/>
        <w:jc w:val="center"/>
        <w:rPr>
          <w:rFonts w:ascii="Bookman Old Style" w:hAnsi="Bookman Old Style"/>
          <w:b/>
        </w:rPr>
      </w:pPr>
      <w:r w:rsidRPr="00582B18">
        <w:rPr>
          <w:rFonts w:ascii="Bookman Old Style" w:hAnsi="Bookman Old Style"/>
          <w:b/>
        </w:rPr>
        <w:t>RESOLUCIÓN No.</w:t>
      </w:r>
      <w:r w:rsidR="0047726F" w:rsidRPr="0047726F">
        <w:rPr>
          <w:rFonts w:ascii="Bookman Old Style" w:hAnsi="Bookman Old Style"/>
          <w:b/>
          <w:sz w:val="32"/>
          <w:szCs w:val="32"/>
        </w:rPr>
        <w:t>501 003</w:t>
      </w:r>
      <w:r w:rsidRPr="00582B18">
        <w:rPr>
          <w:rFonts w:ascii="Bookman Old Style" w:hAnsi="Bookman Old Style"/>
          <w:b/>
          <w:sz w:val="32"/>
          <w:szCs w:val="32"/>
        </w:rPr>
        <w:t xml:space="preserve"> </w:t>
      </w:r>
      <w:r w:rsidRPr="00582B18">
        <w:rPr>
          <w:rFonts w:ascii="Bookman Old Style" w:hAnsi="Bookman Old Style"/>
          <w:b/>
        </w:rPr>
        <w:t>DE 202</w:t>
      </w:r>
      <w:r w:rsidR="0089569A">
        <w:rPr>
          <w:rFonts w:ascii="Bookman Old Style" w:hAnsi="Bookman Old Style"/>
          <w:b/>
        </w:rPr>
        <w:t>2</w:t>
      </w:r>
    </w:p>
    <w:p w14:paraId="668C1CB0" w14:textId="77777777" w:rsidR="00324AD9" w:rsidRPr="00582B18" w:rsidRDefault="00324AD9" w:rsidP="00324AD9">
      <w:pPr>
        <w:widowControl w:val="0"/>
        <w:ind w:left="0"/>
        <w:jc w:val="center"/>
        <w:rPr>
          <w:rFonts w:ascii="Bookman Old Style" w:hAnsi="Bookman Old Style" w:cs="Arial"/>
          <w:b/>
          <w:snapToGrid w:val="0"/>
          <w:color w:val="000000"/>
          <w:lang w:val="es-ES_tradnl"/>
        </w:rPr>
      </w:pPr>
    </w:p>
    <w:p w14:paraId="28358780" w14:textId="33D16755" w:rsidR="00324AD9" w:rsidRPr="00582B18" w:rsidRDefault="00324AD9" w:rsidP="00324AD9">
      <w:pPr>
        <w:widowControl w:val="0"/>
        <w:ind w:left="0"/>
        <w:jc w:val="center"/>
        <w:rPr>
          <w:rFonts w:ascii="Bookman Old Style" w:hAnsi="Bookman Old Style"/>
          <w:b/>
        </w:rPr>
      </w:pPr>
      <w:proofErr w:type="gramStart"/>
      <w:r w:rsidRPr="00582B18">
        <w:rPr>
          <w:rFonts w:ascii="Bookman Old Style" w:hAnsi="Bookman Old Style"/>
          <w:b/>
        </w:rPr>
        <w:t>(</w:t>
      </w:r>
      <w:r w:rsidR="0047726F">
        <w:rPr>
          <w:rFonts w:ascii="Bookman Old Style" w:hAnsi="Bookman Old Style"/>
          <w:b/>
        </w:rPr>
        <w:t xml:space="preserve"> </w:t>
      </w:r>
      <w:r w:rsidR="0047726F">
        <w:rPr>
          <w:rFonts w:ascii="Bookman Old Style" w:hAnsi="Bookman Old Style"/>
          <w:b/>
          <w:sz w:val="32"/>
          <w:szCs w:val="32"/>
        </w:rPr>
        <w:t>08</w:t>
      </w:r>
      <w:proofErr w:type="gramEnd"/>
      <w:r w:rsidR="0047726F">
        <w:rPr>
          <w:rFonts w:ascii="Bookman Old Style" w:hAnsi="Bookman Old Style"/>
          <w:b/>
          <w:sz w:val="32"/>
          <w:szCs w:val="32"/>
        </w:rPr>
        <w:t xml:space="preserve"> FEB. </w:t>
      </w:r>
      <w:r w:rsidRPr="00582B18">
        <w:rPr>
          <w:rFonts w:ascii="Bookman Old Style" w:hAnsi="Bookman Old Style"/>
          <w:b/>
          <w:sz w:val="32"/>
          <w:szCs w:val="32"/>
        </w:rPr>
        <w:t>202</w:t>
      </w:r>
      <w:r w:rsidR="007915C7">
        <w:rPr>
          <w:rFonts w:ascii="Bookman Old Style" w:hAnsi="Bookman Old Style"/>
          <w:b/>
          <w:sz w:val="32"/>
          <w:szCs w:val="32"/>
        </w:rPr>
        <w:t>2</w:t>
      </w:r>
      <w:r w:rsidRPr="00582B18">
        <w:rPr>
          <w:rFonts w:ascii="Bookman Old Style" w:hAnsi="Bookman Old Style"/>
          <w:b/>
        </w:rPr>
        <w:t>)</w:t>
      </w:r>
    </w:p>
    <w:p w14:paraId="0196FC38" w14:textId="77777777" w:rsidR="00324AD9" w:rsidRPr="00582B18" w:rsidRDefault="00324AD9" w:rsidP="00A803EF">
      <w:pPr>
        <w:widowControl w:val="0"/>
        <w:ind w:left="0"/>
        <w:rPr>
          <w:rFonts w:ascii="Bookman Old Style" w:hAnsi="Bookman Old Style"/>
          <w:lang w:val="es-ES_tradnl"/>
        </w:rPr>
      </w:pPr>
    </w:p>
    <w:p w14:paraId="1856A82B" w14:textId="779B8EC9" w:rsidR="00324AD9" w:rsidRPr="00582B18" w:rsidRDefault="00324AD9" w:rsidP="00232903">
      <w:pPr>
        <w:pStyle w:val="Textoindependiente"/>
        <w:ind w:left="284" w:right="283"/>
        <w:jc w:val="both"/>
        <w:rPr>
          <w:rFonts w:ascii="Bookman Old Style" w:hAnsi="Bookman Old Style"/>
          <w:b w:val="0"/>
        </w:rPr>
      </w:pPr>
      <w:r w:rsidRPr="00582B18">
        <w:rPr>
          <w:rFonts w:ascii="Bookman Old Style" w:hAnsi="Bookman Old Style"/>
          <w:b w:val="0"/>
        </w:rPr>
        <w:t xml:space="preserve">Por la cual se decide </w:t>
      </w:r>
      <w:r w:rsidRPr="00582B18">
        <w:rPr>
          <w:rFonts w:ascii="Bookman Old Style" w:hAnsi="Bookman Old Style"/>
          <w:b w:val="0"/>
          <w:lang w:val="es-CO"/>
        </w:rPr>
        <w:t xml:space="preserve">la actuación administrativa iniciada por la presunta existencia de discrepancias en valores reportados </w:t>
      </w:r>
      <w:r w:rsidR="00B3353F" w:rsidRPr="00582B18">
        <w:rPr>
          <w:rFonts w:ascii="Bookman Old Style" w:hAnsi="Bookman Old Style"/>
          <w:b w:val="0"/>
          <w:lang w:val="es-CO"/>
        </w:rPr>
        <w:t>por ISAGEN</w:t>
      </w:r>
      <w:r w:rsidRPr="00582B18">
        <w:rPr>
          <w:rFonts w:ascii="Bookman Old Style" w:hAnsi="Bookman Old Style"/>
          <w:b w:val="0"/>
          <w:lang w:val="es-CO"/>
        </w:rPr>
        <w:t xml:space="preserve"> S.A E.S.P., </w:t>
      </w:r>
      <w:r w:rsidR="000E777A" w:rsidRPr="00582B18">
        <w:rPr>
          <w:rFonts w:ascii="Bookman Old Style" w:hAnsi="Bookman Old Style"/>
          <w:b w:val="0"/>
          <w:lang w:val="es-CO"/>
        </w:rPr>
        <w:t xml:space="preserve">Planta </w:t>
      </w:r>
      <w:r w:rsidR="000E777A" w:rsidRPr="00A803EF">
        <w:rPr>
          <w:rFonts w:ascii="Bookman Old Style" w:hAnsi="Bookman Old Style"/>
          <w:b w:val="0"/>
          <w:lang w:val="es-CO"/>
        </w:rPr>
        <w:t>Jaguas</w:t>
      </w:r>
      <w:r w:rsidR="000E777A">
        <w:rPr>
          <w:rFonts w:ascii="Bookman Old Style" w:hAnsi="Bookman Old Style"/>
          <w:b w:val="0"/>
          <w:lang w:val="es-CO"/>
        </w:rPr>
        <w:t>.</w:t>
      </w:r>
      <w:r w:rsidR="000E777A" w:rsidRPr="00A803EF">
        <w:rPr>
          <w:rFonts w:ascii="Bookman Old Style" w:hAnsi="Bookman Old Style"/>
          <w:b w:val="0"/>
          <w:lang w:val="es-CO"/>
        </w:rPr>
        <w:t xml:space="preserve"> </w:t>
      </w:r>
      <w:r w:rsidRPr="00A803EF">
        <w:rPr>
          <w:rFonts w:ascii="Bookman Old Style" w:hAnsi="Bookman Old Style"/>
          <w:b w:val="0"/>
        </w:rPr>
        <w:t>Expediente No. 2021-003</w:t>
      </w:r>
      <w:r w:rsidR="00BF0FE2" w:rsidRPr="00A803EF">
        <w:rPr>
          <w:rFonts w:ascii="Bookman Old Style" w:hAnsi="Bookman Old Style"/>
          <w:b w:val="0"/>
        </w:rPr>
        <w:t>6.</w:t>
      </w:r>
    </w:p>
    <w:p w14:paraId="386F3FEB" w14:textId="77777777" w:rsidR="00324AD9" w:rsidRPr="00232903" w:rsidRDefault="00324AD9" w:rsidP="00232903">
      <w:pPr>
        <w:spacing w:after="120"/>
        <w:ind w:left="0"/>
        <w:jc w:val="center"/>
        <w:rPr>
          <w:rFonts w:ascii="Bookman Old Style" w:hAnsi="Bookman Old Style" w:cs="Arial"/>
          <w:b/>
          <w:bCs/>
          <w:lang w:val="es-CO"/>
        </w:rPr>
      </w:pPr>
    </w:p>
    <w:p w14:paraId="1EF3E6A7" w14:textId="77777777" w:rsidR="00324AD9" w:rsidRPr="00582B18" w:rsidRDefault="00324AD9" w:rsidP="00232903">
      <w:pPr>
        <w:ind w:left="0"/>
        <w:jc w:val="center"/>
        <w:rPr>
          <w:rFonts w:ascii="Bookman Old Style" w:hAnsi="Bookman Old Style" w:cs="Arial"/>
          <w:b/>
          <w:bCs/>
          <w:lang w:val="es-CO"/>
        </w:rPr>
      </w:pPr>
      <w:r w:rsidRPr="00582B18">
        <w:rPr>
          <w:rFonts w:ascii="Bookman Old Style" w:hAnsi="Bookman Old Style" w:cs="Arial"/>
          <w:b/>
          <w:bCs/>
          <w:lang w:val="es-CO"/>
        </w:rPr>
        <w:t>LA COMISIÓN DE REGULACIÓN DE ENERGÍA Y GAS</w:t>
      </w:r>
    </w:p>
    <w:p w14:paraId="0DE444B3" w14:textId="77777777" w:rsidR="00324AD9" w:rsidRPr="00582B18" w:rsidRDefault="00324AD9" w:rsidP="00232903">
      <w:pPr>
        <w:ind w:left="0"/>
        <w:jc w:val="center"/>
        <w:rPr>
          <w:rFonts w:ascii="Bookman Old Style" w:hAnsi="Bookman Old Style" w:cs="Arial"/>
          <w:b/>
          <w:bCs/>
          <w:lang w:val="es-CO"/>
        </w:rPr>
      </w:pPr>
    </w:p>
    <w:p w14:paraId="092C4B11" w14:textId="77777777" w:rsidR="00324AD9" w:rsidRPr="00582B18" w:rsidRDefault="00324AD9" w:rsidP="00232903">
      <w:pPr>
        <w:ind w:left="284" w:right="284"/>
        <w:jc w:val="center"/>
        <w:rPr>
          <w:rFonts w:ascii="Bookman Old Style" w:hAnsi="Bookman Old Style" w:cs="Arial"/>
          <w:lang w:val="es-CO"/>
        </w:rPr>
      </w:pPr>
      <w:r w:rsidRPr="00582B18">
        <w:rPr>
          <w:rFonts w:ascii="Bookman Old Style" w:hAnsi="Bookman Old Style" w:cs="Arial"/>
          <w:lang w:val="es-CO"/>
        </w:rPr>
        <w:t xml:space="preserve">En ejercicio de sus atribuciones legales, en especial las conferidas por las leyes 142 y 143 de 1994, y los decretos 1524 de 1994 y </w:t>
      </w:r>
      <w:r w:rsidRPr="00582B18">
        <w:rPr>
          <w:rFonts w:ascii="Bookman Old Style" w:hAnsi="Bookman Old Style" w:cs="Arial"/>
          <w:bCs/>
          <w:spacing w:val="-3"/>
        </w:rPr>
        <w:t>1260 de 2013 y</w:t>
      </w:r>
      <w:r w:rsidRPr="00582B18">
        <w:rPr>
          <w:rFonts w:ascii="Bookman Old Style" w:hAnsi="Bookman Old Style" w:cs="Arial"/>
          <w:lang w:val="es-CO"/>
        </w:rPr>
        <w:t>,</w:t>
      </w:r>
    </w:p>
    <w:p w14:paraId="03487BF5" w14:textId="77777777" w:rsidR="00324AD9" w:rsidRPr="00582B18" w:rsidRDefault="00324AD9" w:rsidP="00232903">
      <w:pPr>
        <w:spacing w:after="120"/>
        <w:ind w:left="0"/>
        <w:jc w:val="center"/>
        <w:rPr>
          <w:rFonts w:ascii="Bookman Old Style" w:hAnsi="Bookman Old Style" w:cs="Arial"/>
          <w:lang w:val="es-CO"/>
        </w:rPr>
      </w:pPr>
    </w:p>
    <w:p w14:paraId="2EF364EF" w14:textId="77777777" w:rsidR="00324AD9" w:rsidRPr="00582B18" w:rsidRDefault="00324AD9" w:rsidP="00324AD9">
      <w:pPr>
        <w:jc w:val="center"/>
        <w:rPr>
          <w:rFonts w:ascii="Bookman Old Style" w:hAnsi="Bookman Old Style" w:cs="Arial"/>
          <w:b/>
          <w:bCs/>
          <w:lang w:val="it-IT"/>
        </w:rPr>
      </w:pPr>
      <w:r w:rsidRPr="00582B18">
        <w:rPr>
          <w:rFonts w:ascii="Bookman Old Style" w:hAnsi="Bookman Old Style" w:cs="Arial"/>
          <w:b/>
          <w:bCs/>
          <w:lang w:val="it-IT"/>
        </w:rPr>
        <w:t>C O N S I D E R A N D O   Q U E:</w:t>
      </w:r>
    </w:p>
    <w:p w14:paraId="05E1C496" w14:textId="77777777" w:rsidR="00A75208" w:rsidRDefault="00A75208" w:rsidP="00A75208">
      <w:pPr>
        <w:ind w:left="0"/>
        <w:jc w:val="both"/>
        <w:rPr>
          <w:rFonts w:ascii="Bookman Old Style" w:hAnsi="Bookman Old Style"/>
          <w:color w:val="1D2228"/>
          <w:shd w:val="clear" w:color="auto" w:fill="FFFFFF"/>
        </w:rPr>
      </w:pPr>
    </w:p>
    <w:p w14:paraId="6E366E72" w14:textId="59E53CCB" w:rsidR="00A75208" w:rsidRPr="00152705" w:rsidRDefault="000E777A" w:rsidP="00A75208">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C</w:t>
      </w:r>
      <w:r w:rsidR="00A75208">
        <w:rPr>
          <w:rFonts w:ascii="Bookman Old Style" w:hAnsi="Bookman Old Style"/>
          <w:color w:val="1D2228"/>
          <w:shd w:val="clear" w:color="auto" w:fill="FFFFFF"/>
        </w:rPr>
        <w:t xml:space="preserve">on </w:t>
      </w:r>
      <w:r w:rsidR="00A75208" w:rsidRPr="00152705">
        <w:rPr>
          <w:rFonts w:ascii="Bookman Old Style" w:hAnsi="Bookman Old Style"/>
          <w:color w:val="1D2228"/>
          <w:shd w:val="clear" w:color="auto" w:fill="FFFFFF"/>
        </w:rPr>
        <w:t xml:space="preserve">en esta decisión se pone fin a la actuación administrativa </w:t>
      </w:r>
      <w:r w:rsidR="00A75208">
        <w:rPr>
          <w:rFonts w:ascii="Bookman Old Style" w:hAnsi="Bookman Old Style"/>
          <w:color w:val="1D2228"/>
          <w:shd w:val="clear" w:color="auto" w:fill="FFFFFF"/>
        </w:rPr>
        <w:t xml:space="preserve">del </w:t>
      </w:r>
      <w:r w:rsidR="00A75208" w:rsidRPr="00152705">
        <w:rPr>
          <w:rFonts w:ascii="Bookman Old Style" w:hAnsi="Bookman Old Style"/>
          <w:color w:val="1D2228"/>
          <w:shd w:val="clear" w:color="auto" w:fill="FFFFFF"/>
        </w:rPr>
        <w:t xml:space="preserve">expediente </w:t>
      </w:r>
      <w:r w:rsidR="00A75208" w:rsidRPr="00152705">
        <w:rPr>
          <w:rFonts w:ascii="Bookman Old Style" w:hAnsi="Bookman Old Style"/>
        </w:rPr>
        <w:t>2021 – 00</w:t>
      </w:r>
      <w:r w:rsidR="00A803EF">
        <w:rPr>
          <w:rFonts w:ascii="Bookman Old Style" w:hAnsi="Bookman Old Style"/>
        </w:rPr>
        <w:t>36</w:t>
      </w:r>
      <w:r>
        <w:rPr>
          <w:rFonts w:ascii="Bookman Old Style" w:hAnsi="Bookman Old Style"/>
        </w:rPr>
        <w:t>;</w:t>
      </w:r>
      <w:r w:rsidR="00A75208">
        <w:rPr>
          <w:rFonts w:ascii="Bookman Old Style" w:hAnsi="Bookman Old Style"/>
        </w:rPr>
        <w:t xml:space="preserve"> </w:t>
      </w:r>
      <w:r w:rsidR="00A75208">
        <w:rPr>
          <w:rFonts w:ascii="Bookman Old Style" w:hAnsi="Bookman Old Style"/>
          <w:color w:val="1D2228"/>
          <w:shd w:val="clear" w:color="auto" w:fill="FFFFFF"/>
        </w:rPr>
        <w:t xml:space="preserve">precisa a continuación </w:t>
      </w:r>
      <w:r w:rsidR="00A75208" w:rsidRPr="00152705">
        <w:rPr>
          <w:rFonts w:ascii="Bookman Old Style" w:hAnsi="Bookman Old Style"/>
          <w:color w:val="1D2228"/>
          <w:shd w:val="clear" w:color="auto" w:fill="FFFFFF"/>
        </w:rPr>
        <w:t>su competencia</w:t>
      </w:r>
      <w:r w:rsidR="00A75208">
        <w:rPr>
          <w:rFonts w:ascii="Bookman Old Style" w:hAnsi="Bookman Old Style"/>
          <w:color w:val="1D2228"/>
          <w:shd w:val="clear" w:color="auto" w:fill="FFFFFF"/>
        </w:rPr>
        <w:t xml:space="preserve"> para decidir en el presente caso y</w:t>
      </w:r>
      <w:r w:rsidR="00223963">
        <w:rPr>
          <w:rFonts w:ascii="Bookman Old Style" w:hAnsi="Bookman Old Style"/>
          <w:color w:val="1D2228"/>
          <w:shd w:val="clear" w:color="auto" w:fill="FFFFFF"/>
        </w:rPr>
        <w:t>,</w:t>
      </w:r>
      <w:r w:rsidR="00A75208">
        <w:rPr>
          <w:rFonts w:ascii="Bookman Old Style" w:hAnsi="Bookman Old Style"/>
          <w:color w:val="1D2228"/>
          <w:shd w:val="clear" w:color="auto" w:fill="FFFFFF"/>
        </w:rPr>
        <w:t xml:space="preserve"> en</w:t>
      </w:r>
      <w:r w:rsidR="00A75208" w:rsidRPr="00152705">
        <w:rPr>
          <w:rFonts w:ascii="Bookman Old Style" w:hAnsi="Bookman Old Style"/>
          <w:color w:val="1D2228"/>
          <w:shd w:val="clear" w:color="auto" w:fill="FFFFFF"/>
        </w:rPr>
        <w:t xml:space="preserve"> </w:t>
      </w:r>
      <w:r w:rsidR="00A75208">
        <w:rPr>
          <w:rFonts w:ascii="Bookman Old Style" w:hAnsi="Bookman Old Style"/>
          <w:color w:val="1D2228"/>
          <w:shd w:val="clear" w:color="auto" w:fill="FFFFFF"/>
        </w:rPr>
        <w:t>consecuencia</w:t>
      </w:r>
      <w:r w:rsidR="00223963">
        <w:rPr>
          <w:rFonts w:ascii="Bookman Old Style" w:hAnsi="Bookman Old Style"/>
          <w:color w:val="1D2228"/>
          <w:shd w:val="clear" w:color="auto" w:fill="FFFFFF"/>
        </w:rPr>
        <w:t>,</w:t>
      </w:r>
      <w:r w:rsidR="00A75208">
        <w:rPr>
          <w:rFonts w:ascii="Bookman Old Style" w:hAnsi="Bookman Old Style"/>
          <w:color w:val="1D2228"/>
          <w:shd w:val="clear" w:color="auto" w:fill="FFFFFF"/>
        </w:rPr>
        <w:t xml:space="preserve"> transcribe </w:t>
      </w:r>
      <w:r w:rsidR="00A75208" w:rsidRPr="00152705">
        <w:rPr>
          <w:rFonts w:ascii="Bookman Old Style" w:hAnsi="Bookman Old Style"/>
          <w:color w:val="1D2228"/>
          <w:shd w:val="clear" w:color="auto" w:fill="FFFFFF"/>
        </w:rPr>
        <w:t>el contenido pertinente del informe de auditoría</w:t>
      </w:r>
      <w:r w:rsidR="00A75208">
        <w:rPr>
          <w:rFonts w:ascii="Bookman Old Style" w:hAnsi="Bookman Old Style"/>
          <w:color w:val="1D2228"/>
          <w:shd w:val="clear" w:color="auto" w:fill="FFFFFF"/>
        </w:rPr>
        <w:t>;</w:t>
      </w:r>
      <w:r w:rsidR="00A75208" w:rsidRPr="00152705">
        <w:rPr>
          <w:rFonts w:ascii="Bookman Old Style" w:hAnsi="Bookman Old Style"/>
          <w:color w:val="1D2228"/>
          <w:shd w:val="clear" w:color="auto" w:fill="FFFFFF"/>
        </w:rPr>
        <w:t xml:space="preserve"> </w:t>
      </w:r>
      <w:r w:rsidR="00A75208">
        <w:rPr>
          <w:rFonts w:ascii="Bookman Old Style" w:hAnsi="Bookman Old Style"/>
          <w:color w:val="1D2228"/>
          <w:shd w:val="clear" w:color="auto" w:fill="FFFFFF"/>
        </w:rPr>
        <w:t xml:space="preserve">señala </w:t>
      </w:r>
      <w:r w:rsidR="00A75208" w:rsidRPr="00152705">
        <w:rPr>
          <w:rFonts w:ascii="Bookman Old Style" w:hAnsi="Bookman Old Style"/>
          <w:color w:val="1D2228"/>
          <w:shd w:val="clear" w:color="auto" w:fill="FFFFFF"/>
        </w:rPr>
        <w:t xml:space="preserve">el trámite </w:t>
      </w:r>
      <w:r w:rsidR="00A75208">
        <w:rPr>
          <w:rFonts w:ascii="Bookman Old Style" w:hAnsi="Bookman Old Style"/>
          <w:color w:val="1D2228"/>
          <w:shd w:val="clear" w:color="auto" w:fill="FFFFFF"/>
        </w:rPr>
        <w:t>cumplido</w:t>
      </w:r>
      <w:r w:rsidR="00A75208" w:rsidRPr="00152705">
        <w:rPr>
          <w:rFonts w:ascii="Bookman Old Style" w:hAnsi="Bookman Old Style"/>
          <w:color w:val="1D2228"/>
          <w:shd w:val="clear" w:color="auto" w:fill="FFFFFF"/>
        </w:rPr>
        <w:t xml:space="preserve">, las pruebas decretadas y practicadas, y la forma como la sociedad </w:t>
      </w:r>
      <w:r w:rsidR="003A67A8">
        <w:rPr>
          <w:rFonts w:ascii="Bookman Old Style" w:hAnsi="Bookman Old Style"/>
          <w:color w:val="1D2228"/>
          <w:shd w:val="clear" w:color="auto" w:fill="FFFFFF"/>
        </w:rPr>
        <w:t xml:space="preserve">ISAGEN </w:t>
      </w:r>
      <w:r w:rsidR="00A75208" w:rsidRPr="00152705">
        <w:rPr>
          <w:rFonts w:ascii="Bookman Old Style" w:hAnsi="Bookman Old Style"/>
        </w:rPr>
        <w:t xml:space="preserve">S.A. E.S.P., </w:t>
      </w:r>
      <w:r w:rsidRPr="00152705">
        <w:rPr>
          <w:rFonts w:ascii="Bookman Old Style" w:hAnsi="Bookman Old Style"/>
        </w:rPr>
        <w:t xml:space="preserve">Planta </w:t>
      </w:r>
      <w:r>
        <w:rPr>
          <w:rFonts w:ascii="Bookman Old Style" w:hAnsi="Bookman Old Style"/>
        </w:rPr>
        <w:t>Jaguas</w:t>
      </w:r>
      <w:r w:rsidR="00A75208">
        <w:rPr>
          <w:rFonts w:ascii="Bookman Old Style" w:hAnsi="Bookman Old Style"/>
        </w:rPr>
        <w:t>,</w:t>
      </w:r>
      <w:r w:rsidR="00A75208" w:rsidRPr="00152705">
        <w:rPr>
          <w:rFonts w:ascii="Bookman Old Style" w:hAnsi="Bookman Old Style"/>
          <w:color w:val="1D2228"/>
          <w:shd w:val="clear" w:color="auto" w:fill="FFFFFF"/>
        </w:rPr>
        <w:t xml:space="preserve"> ejerció su derecho de contradicción y defensa</w:t>
      </w:r>
      <w:r w:rsidR="00A75208">
        <w:rPr>
          <w:rFonts w:ascii="Bookman Old Style" w:hAnsi="Bookman Old Style"/>
          <w:color w:val="1D2228"/>
          <w:shd w:val="clear" w:color="auto" w:fill="FFFFFF"/>
        </w:rPr>
        <w:t>;</w:t>
      </w:r>
      <w:r w:rsidR="00A75208" w:rsidRPr="00152705">
        <w:rPr>
          <w:rFonts w:ascii="Bookman Old Style" w:hAnsi="Bookman Old Style"/>
          <w:color w:val="1D2228"/>
          <w:shd w:val="clear" w:color="auto" w:fill="FFFFFF"/>
        </w:rPr>
        <w:t xml:space="preserve"> para, finalmente</w:t>
      </w:r>
      <w:r w:rsidR="00A75208">
        <w:rPr>
          <w:rFonts w:ascii="Bookman Old Style" w:hAnsi="Bookman Old Style"/>
          <w:color w:val="1D2228"/>
          <w:shd w:val="clear" w:color="auto" w:fill="FFFFFF"/>
        </w:rPr>
        <w:t>,</w:t>
      </w:r>
      <w:r w:rsidR="00A75208" w:rsidRPr="00152705">
        <w:rPr>
          <w:rFonts w:ascii="Bookman Old Style" w:hAnsi="Bookman Old Style"/>
          <w:color w:val="1D2228"/>
          <w:shd w:val="clear" w:color="auto" w:fill="FFFFFF"/>
        </w:rPr>
        <w:t xml:space="preserve"> y conforme </w:t>
      </w:r>
      <w:r w:rsidR="00A75208">
        <w:rPr>
          <w:rFonts w:ascii="Bookman Old Style" w:hAnsi="Bookman Old Style"/>
          <w:color w:val="1D2228"/>
          <w:shd w:val="clear" w:color="auto" w:fill="FFFFFF"/>
        </w:rPr>
        <w:t>con</w:t>
      </w:r>
      <w:r w:rsidR="00A75208" w:rsidRPr="00152705">
        <w:rPr>
          <w:rFonts w:ascii="Bookman Old Style" w:hAnsi="Bookman Old Style"/>
          <w:color w:val="1D2228"/>
          <w:shd w:val="clear" w:color="auto" w:fill="FFFFFF"/>
        </w:rPr>
        <w:t xml:space="preserve"> la valoración del acervo probatorio, determinar el contenido y alcance de esta resolución.</w:t>
      </w:r>
    </w:p>
    <w:p w14:paraId="310D6D6A" w14:textId="77777777" w:rsidR="00324AD9" w:rsidRPr="00582B18" w:rsidRDefault="00324AD9" w:rsidP="00232903">
      <w:pPr>
        <w:pStyle w:val="Prrafodelista"/>
        <w:spacing w:after="120"/>
        <w:ind w:left="720"/>
        <w:rPr>
          <w:rFonts w:ascii="Bookman Old Style" w:hAnsi="Bookman Old Style"/>
          <w:b/>
          <w:sz w:val="24"/>
          <w:szCs w:val="24"/>
          <w:highlight w:val="red"/>
        </w:rPr>
      </w:pPr>
    </w:p>
    <w:p w14:paraId="6B2B3F3E" w14:textId="58D67DF1" w:rsidR="00324AD9" w:rsidRPr="00A75208" w:rsidRDefault="00A75208" w:rsidP="00232903">
      <w:pPr>
        <w:ind w:left="0"/>
        <w:rPr>
          <w:rFonts w:ascii="Bookman Old Style" w:hAnsi="Bookman Old Style"/>
          <w:b/>
        </w:rPr>
      </w:pPr>
      <w:r>
        <w:rPr>
          <w:rFonts w:ascii="Bookman Old Style" w:hAnsi="Bookman Old Style"/>
          <w:b/>
        </w:rPr>
        <w:t xml:space="preserve">I. </w:t>
      </w:r>
      <w:r w:rsidR="000E777A">
        <w:rPr>
          <w:rFonts w:ascii="Bookman Old Style" w:hAnsi="Bookman Old Style"/>
          <w:b/>
        </w:rPr>
        <w:t xml:space="preserve"> </w:t>
      </w:r>
      <w:r w:rsidR="00324AD9" w:rsidRPr="00A75208">
        <w:rPr>
          <w:rFonts w:ascii="Bookman Old Style" w:hAnsi="Bookman Old Style"/>
          <w:b/>
        </w:rPr>
        <w:t>COMPETENCIA DE LA CREG</w:t>
      </w:r>
    </w:p>
    <w:p w14:paraId="75260F27" w14:textId="77777777" w:rsidR="00324AD9" w:rsidRPr="00582B18" w:rsidRDefault="00324AD9" w:rsidP="00324AD9">
      <w:pPr>
        <w:ind w:left="360"/>
        <w:rPr>
          <w:rFonts w:ascii="Bookman Old Style" w:hAnsi="Bookman Old Style" w:cs="Arial"/>
          <w:lang w:val="it-IT"/>
        </w:rPr>
      </w:pPr>
    </w:p>
    <w:p w14:paraId="50203F15" w14:textId="77777777" w:rsidR="00324AD9" w:rsidRPr="00582B18" w:rsidRDefault="00324AD9" w:rsidP="00324AD9">
      <w:pPr>
        <w:ind w:left="0"/>
        <w:jc w:val="both"/>
        <w:rPr>
          <w:rFonts w:ascii="Bookman Old Style" w:hAnsi="Bookman Old Style" w:cs="Arial"/>
        </w:rPr>
      </w:pPr>
      <w:r w:rsidRPr="00582B18">
        <w:rPr>
          <w:rFonts w:ascii="Bookman Old Style" w:hAnsi="Bookman Old Style" w:cs="Arial"/>
        </w:rPr>
        <w:t>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capacidad de generación de respaldo de la oferta eficiente”, con sujeción a lo establecido en su artículo 23.</w:t>
      </w:r>
    </w:p>
    <w:p w14:paraId="0020E279" w14:textId="77777777" w:rsidR="00324AD9" w:rsidRPr="00582B18" w:rsidRDefault="00324AD9" w:rsidP="00324AD9">
      <w:pPr>
        <w:ind w:left="0"/>
        <w:rPr>
          <w:rFonts w:ascii="Bookman Old Style" w:hAnsi="Bookman Old Style" w:cs="Arial"/>
        </w:rPr>
      </w:pPr>
    </w:p>
    <w:p w14:paraId="089CE745" w14:textId="4BB653C1" w:rsidR="00324AD9" w:rsidRPr="00582B18" w:rsidRDefault="00324AD9" w:rsidP="00324AD9">
      <w:pPr>
        <w:ind w:left="0"/>
        <w:jc w:val="both"/>
        <w:rPr>
          <w:rFonts w:ascii="Bookman Old Style" w:hAnsi="Bookman Old Style" w:cs="Arial"/>
        </w:rPr>
      </w:pPr>
      <w:r w:rsidRPr="00582B18">
        <w:rPr>
          <w:rFonts w:ascii="Bookman Old Style" w:hAnsi="Bookman Old Style" w:cs="Arial"/>
        </w:rPr>
        <w:t>En desarrollo de los precitados mandatos legales, la Comisión de Regulación de Energía y Gas, CREG, mediante la Resolución CREG 071 de 2006</w:t>
      </w:r>
      <w:r w:rsidR="00223963">
        <w:rPr>
          <w:rFonts w:ascii="Bookman Old Style" w:hAnsi="Bookman Old Style" w:cs="Arial"/>
        </w:rPr>
        <w:t>,</w:t>
      </w:r>
      <w:r w:rsidRPr="00582B18">
        <w:rPr>
          <w:rFonts w:ascii="Bookman Old Style" w:hAnsi="Bookman Old Style" w:cs="Arial"/>
        </w:rPr>
        <w:t xml:space="preserve"> </w:t>
      </w:r>
      <w:r w:rsidR="000E777A">
        <w:rPr>
          <w:rFonts w:ascii="Bookman Old Style" w:hAnsi="Bookman Old Style" w:cs="Arial"/>
        </w:rPr>
        <w:t>estableció</w:t>
      </w:r>
      <w:r w:rsidR="000E777A" w:rsidRPr="00582B18">
        <w:rPr>
          <w:rFonts w:ascii="Bookman Old Style" w:hAnsi="Bookman Old Style" w:cs="Arial"/>
        </w:rPr>
        <w:t xml:space="preserve"> </w:t>
      </w:r>
      <w:r w:rsidRPr="00582B18">
        <w:rPr>
          <w:rFonts w:ascii="Bookman Old Style" w:hAnsi="Bookman Old Style" w:cs="Arial"/>
        </w:rPr>
        <w:t xml:space="preserve">el Cargo por Confiabilidad en el Mercado Mayorista de Energía, precisó su método de cálculo y </w:t>
      </w:r>
      <w:r w:rsidR="000E777A">
        <w:rPr>
          <w:rFonts w:ascii="Bookman Old Style" w:hAnsi="Bookman Old Style" w:cs="Arial"/>
        </w:rPr>
        <w:t>definió</w:t>
      </w:r>
      <w:r w:rsidR="000E777A" w:rsidRPr="00582B18">
        <w:rPr>
          <w:rFonts w:ascii="Bookman Old Style" w:hAnsi="Bookman Old Style" w:cs="Arial"/>
        </w:rPr>
        <w:t xml:space="preserve"> </w:t>
      </w:r>
      <w:r w:rsidRPr="00582B18">
        <w:rPr>
          <w:rFonts w:ascii="Bookman Old Style" w:hAnsi="Bookman Old Style" w:cs="Arial"/>
        </w:rPr>
        <w:t xml:space="preserve">un sistema de verificación de los valores de los parámetros que reporten los agentes para </w:t>
      </w:r>
      <w:r w:rsidR="000E777A">
        <w:rPr>
          <w:rFonts w:ascii="Bookman Old Style" w:hAnsi="Bookman Old Style" w:cs="Arial"/>
        </w:rPr>
        <w:t>aplicarlo</w:t>
      </w:r>
      <w:r w:rsidRPr="00582B18">
        <w:rPr>
          <w:rFonts w:ascii="Bookman Old Style" w:hAnsi="Bookman Old Style" w:cs="Arial"/>
        </w:rPr>
        <w:t>.</w:t>
      </w:r>
    </w:p>
    <w:p w14:paraId="0660F519" w14:textId="77777777" w:rsidR="00324AD9" w:rsidRPr="00582B18" w:rsidRDefault="00324AD9" w:rsidP="00324AD9">
      <w:pPr>
        <w:pStyle w:val="Prrafodelista"/>
        <w:ind w:left="720"/>
        <w:rPr>
          <w:rFonts w:ascii="Bookman Old Style" w:hAnsi="Bookman Old Style" w:cs="Arial"/>
          <w:sz w:val="24"/>
          <w:szCs w:val="24"/>
        </w:rPr>
      </w:pPr>
    </w:p>
    <w:p w14:paraId="2EB45BE1" w14:textId="56439FFA" w:rsidR="00324AD9" w:rsidRPr="00582B18" w:rsidRDefault="00324AD9" w:rsidP="00324AD9">
      <w:pPr>
        <w:pStyle w:val="Textoindependiente"/>
        <w:ind w:left="0"/>
        <w:jc w:val="both"/>
        <w:rPr>
          <w:rFonts w:ascii="Bookman Old Style" w:hAnsi="Bookman Old Style"/>
          <w:b w:val="0"/>
          <w:bCs w:val="0"/>
          <w:spacing w:val="-5"/>
          <w:lang w:eastAsia="en-US"/>
        </w:rPr>
      </w:pPr>
      <w:r w:rsidRPr="00562CD4">
        <w:rPr>
          <w:rFonts w:ascii="Bookman Old Style" w:hAnsi="Bookman Old Style"/>
        </w:rPr>
        <w:t xml:space="preserve">Para la verificación de esos parámetros a cargo de la CREG, en el Anexo No. 6 de la Resolución CREG 071 de 2006 se estableció que se </w:t>
      </w:r>
      <w:r w:rsidR="000E777A" w:rsidRPr="00562CD4">
        <w:rPr>
          <w:rFonts w:ascii="Bookman Old Style" w:hAnsi="Bookman Old Style"/>
        </w:rPr>
        <w:t>realizaría</w:t>
      </w:r>
      <w:r w:rsidRPr="00562CD4">
        <w:rPr>
          <w:rFonts w:ascii="Bookman Old Style" w:hAnsi="Bookman Old Style"/>
        </w:rPr>
        <w:t xml:space="preserve"> una auditoría contratada por el CND.</w:t>
      </w:r>
      <w:r w:rsidR="000E777A" w:rsidRPr="00562CD4">
        <w:rPr>
          <w:rFonts w:ascii="Bookman Old Style" w:hAnsi="Bookman Old Style"/>
        </w:rPr>
        <w:t xml:space="preserve"> </w:t>
      </w:r>
      <w:r w:rsidRPr="000E777A">
        <w:rPr>
          <w:rFonts w:ascii="Bookman Old Style" w:hAnsi="Bookman Old Style"/>
          <w:b w:val="0"/>
          <w:bCs w:val="0"/>
          <w:spacing w:val="-5"/>
          <w:lang w:eastAsia="en-US"/>
        </w:rPr>
        <w:t xml:space="preserve">Si en el informe de auditoría se determina la </w:t>
      </w:r>
      <w:r w:rsidRPr="00582B18">
        <w:rPr>
          <w:rFonts w:ascii="Bookman Old Style" w:hAnsi="Bookman Old Style"/>
          <w:b w:val="0"/>
          <w:bCs w:val="0"/>
          <w:spacing w:val="-5"/>
          <w:lang w:eastAsia="en-US"/>
        </w:rPr>
        <w:t xml:space="preserve">existencia de discrepancias, con lo reportado por el agente, la CREG debe establecer su existencia en forma plena y sus consecuencias. En el inciso 5 del </w:t>
      </w:r>
      <w:r w:rsidRPr="00582B18">
        <w:rPr>
          <w:rFonts w:ascii="Bookman Old Style" w:hAnsi="Bookman Old Style"/>
          <w:b w:val="0"/>
          <w:bCs w:val="0"/>
          <w:spacing w:val="-5"/>
          <w:lang w:eastAsia="en-US"/>
        </w:rPr>
        <w:lastRenderedPageBreak/>
        <w:t>artículo 39 de la Resolución CREG 071 de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58359EDA" w14:textId="77777777" w:rsidR="00324AD9" w:rsidRPr="00582B18" w:rsidRDefault="00324AD9" w:rsidP="00324AD9">
      <w:pPr>
        <w:rPr>
          <w:rFonts w:ascii="Bookman Old Style" w:hAnsi="Bookman Old Style" w:cs="Arial"/>
        </w:rPr>
      </w:pPr>
    </w:p>
    <w:p w14:paraId="1C1C026A" w14:textId="3F90EBFE" w:rsidR="00324AD9" w:rsidRPr="00582B18" w:rsidRDefault="00324AD9" w:rsidP="00324AD9">
      <w:pPr>
        <w:ind w:left="0"/>
        <w:jc w:val="both"/>
        <w:rPr>
          <w:rFonts w:ascii="Bookman Old Style" w:hAnsi="Bookman Old Style" w:cs="Arial"/>
          <w:iCs/>
        </w:rPr>
      </w:pPr>
      <w:r w:rsidRPr="00582B18">
        <w:rPr>
          <w:rFonts w:ascii="Bookman Old Style" w:hAnsi="Bookman Old Style" w:cs="Arial"/>
        </w:rPr>
        <w:t>En cumplimiento de lo anterior, mediante la Resolución 030 de 2019 la CREG ordenó la contratación de una auditoría “</w:t>
      </w:r>
      <w:r w:rsidRPr="00582B18">
        <w:rPr>
          <w:rFonts w:ascii="Bookman Old Style" w:hAnsi="Bookman Old Style" w:cs="Arial"/>
          <w:i/>
          <w:iCs/>
        </w:rPr>
        <w:t>sobre los parámetros declarados por las plantas existentes que resultaron con asignaciones de OEF en la subasta 2022</w:t>
      </w:r>
      <w:r w:rsidR="008F3A7D" w:rsidRPr="00582B18">
        <w:rPr>
          <w:rFonts w:ascii="Bookman Old Style" w:hAnsi="Bookman Old Style" w:cs="Arial"/>
          <w:i/>
          <w:iCs/>
        </w:rPr>
        <w:t xml:space="preserve"> - </w:t>
      </w:r>
      <w:r w:rsidRPr="00582B18">
        <w:rPr>
          <w:rFonts w:ascii="Bookman Old Style" w:hAnsi="Bookman Old Style" w:cs="Arial"/>
          <w:i/>
          <w:iCs/>
        </w:rPr>
        <w:t xml:space="preserve">2023 y las plantas que tengan asignaciones previas para este período y que se encuentren en operación, de acuerdo con lo definido en el Anexo 6 de la Resolución CREG 071 de 2006”, </w:t>
      </w:r>
      <w:r w:rsidRPr="00582B18">
        <w:rPr>
          <w:rFonts w:ascii="Bookman Old Style" w:hAnsi="Bookman Old Style" w:cs="Arial"/>
          <w:iCs/>
        </w:rPr>
        <w:t xml:space="preserve">entre ellas, la planta </w:t>
      </w:r>
      <w:r w:rsidR="003C69E1" w:rsidRPr="00582B18">
        <w:rPr>
          <w:rFonts w:ascii="Bookman Old Style" w:hAnsi="Bookman Old Style" w:cs="Arial"/>
          <w:iCs/>
        </w:rPr>
        <w:t>Jaguas</w:t>
      </w:r>
      <w:r w:rsidRPr="00582B18">
        <w:rPr>
          <w:rFonts w:ascii="Bookman Old Style" w:hAnsi="Bookman Old Style" w:cs="Arial"/>
          <w:iCs/>
        </w:rPr>
        <w:t>.</w:t>
      </w:r>
    </w:p>
    <w:p w14:paraId="79956197" w14:textId="73F4D378" w:rsidR="00324AD9" w:rsidRDefault="00324AD9" w:rsidP="00324AD9">
      <w:pPr>
        <w:ind w:left="0"/>
        <w:jc w:val="both"/>
        <w:rPr>
          <w:rFonts w:ascii="Bookman Old Style" w:hAnsi="Bookman Old Style" w:cs="Arial"/>
          <w:iCs/>
        </w:rPr>
      </w:pPr>
    </w:p>
    <w:p w14:paraId="3AACD360" w14:textId="489917EE" w:rsidR="00A75208" w:rsidRPr="00B56CF8" w:rsidRDefault="00A75208" w:rsidP="00A75208">
      <w:pPr>
        <w:ind w:left="0"/>
        <w:jc w:val="both"/>
        <w:rPr>
          <w:rFonts w:ascii="Bookman Old Style" w:hAnsi="Bookman Old Style" w:cs="Arial"/>
          <w:bCs/>
          <w:iCs/>
        </w:rPr>
      </w:pPr>
      <w:r w:rsidRPr="00B56CF8">
        <w:rPr>
          <w:rFonts w:ascii="Bookman Old Style" w:hAnsi="Bookman Old Style" w:cs="Arial"/>
          <w:bCs/>
          <w:iCs/>
        </w:rPr>
        <w:t xml:space="preserve">Finalmente, y como se </w:t>
      </w:r>
      <w:r w:rsidR="003C69E1">
        <w:rPr>
          <w:rFonts w:ascii="Bookman Old Style" w:hAnsi="Bookman Old Style" w:cs="Arial"/>
          <w:bCs/>
          <w:iCs/>
        </w:rPr>
        <w:t>observa más adelante</w:t>
      </w:r>
      <w:r w:rsidRPr="00B56CF8">
        <w:rPr>
          <w:rFonts w:ascii="Bookman Old Style" w:hAnsi="Bookman Old Style" w:cs="Arial"/>
          <w:bCs/>
          <w:iCs/>
        </w:rPr>
        <w:t>, la CREG</w:t>
      </w:r>
      <w:r w:rsidR="00C622A0">
        <w:rPr>
          <w:rFonts w:ascii="Bookman Old Style" w:hAnsi="Bookman Old Style" w:cs="Arial"/>
          <w:bCs/>
          <w:iCs/>
        </w:rPr>
        <w:t>,</w:t>
      </w:r>
      <w:r w:rsidRPr="00B56CF8">
        <w:rPr>
          <w:rFonts w:ascii="Bookman Old Style" w:hAnsi="Bookman Old Style" w:cs="Arial"/>
          <w:bCs/>
          <w:iCs/>
        </w:rPr>
        <w:t xml:space="preserve"> en diversas etapas de la actuación procesal</w:t>
      </w:r>
      <w:r w:rsidR="00C622A0">
        <w:rPr>
          <w:rFonts w:ascii="Bookman Old Style" w:hAnsi="Bookman Old Style" w:cs="Arial"/>
          <w:bCs/>
          <w:iCs/>
        </w:rPr>
        <w:t>,</w:t>
      </w:r>
      <w:r w:rsidRPr="00B56CF8">
        <w:rPr>
          <w:rFonts w:ascii="Bookman Old Style" w:hAnsi="Bookman Old Style" w:cs="Arial"/>
          <w:bCs/>
          <w:iCs/>
        </w:rPr>
        <w:t xml:space="preserve"> y no solo cuando decretó pruebas, acudió a su facultad oficiosa para que se le aportara nueva información, que necesariamente requería de tiempo adicional para que sus destinatarios</w:t>
      </w:r>
      <w:r w:rsidR="003C69E1">
        <w:rPr>
          <w:rFonts w:ascii="Bookman Old Style" w:hAnsi="Bookman Old Style" w:cs="Arial"/>
          <w:bCs/>
          <w:iCs/>
        </w:rPr>
        <w:t xml:space="preserve"> </w:t>
      </w:r>
      <w:r w:rsidRPr="00B56CF8">
        <w:rPr>
          <w:rFonts w:ascii="Bookman Old Style" w:hAnsi="Bookman Old Style" w:cs="Arial"/>
          <w:bCs/>
          <w:iCs/>
        </w:rPr>
        <w:t> la diligenciaran, y llevaron a que el término para decidir se prolongara</w:t>
      </w:r>
      <w:r w:rsidR="00C622A0">
        <w:rPr>
          <w:rFonts w:ascii="Bookman Old Style" w:hAnsi="Bookman Old Style" w:cs="Arial"/>
          <w:bCs/>
          <w:iCs/>
        </w:rPr>
        <w:t>,</w:t>
      </w:r>
      <w:r w:rsidRPr="00B56CF8">
        <w:rPr>
          <w:rFonts w:ascii="Bookman Old Style" w:hAnsi="Bookman Old Style" w:cs="Arial"/>
          <w:bCs/>
          <w:iCs/>
        </w:rPr>
        <w:t xml:space="preserve"> sin que se afectara su competencia</w:t>
      </w:r>
      <w:r>
        <w:rPr>
          <w:rFonts w:ascii="Bookman Old Style" w:hAnsi="Bookman Old Style" w:cs="Arial"/>
          <w:bCs/>
          <w:iCs/>
        </w:rPr>
        <w:t xml:space="preserve"> por tratarse de funciones propias de la entidad</w:t>
      </w:r>
      <w:r w:rsidRPr="00B56CF8">
        <w:rPr>
          <w:rFonts w:ascii="Bookman Old Style" w:hAnsi="Bookman Old Style" w:cs="Arial"/>
          <w:bCs/>
          <w:iCs/>
        </w:rPr>
        <w:t>; a lo cual hay que adicionar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w:t>
      </w:r>
      <w:r>
        <w:rPr>
          <w:rFonts w:ascii="Bookman Old Style" w:hAnsi="Bookman Old Style" w:cs="Arial"/>
          <w:bCs/>
          <w:iCs/>
        </w:rPr>
        <w:t xml:space="preserve"> </w:t>
      </w:r>
      <w:r w:rsidRPr="00B56CF8">
        <w:rPr>
          <w:rFonts w:ascii="Bookman Old Style" w:hAnsi="Bookman Old Style" w:cs="Arial"/>
          <w:bCs/>
          <w:iCs/>
        </w:rPr>
        <w:t>sobre la duración de los términos para poner fin a esas actuaciones, y con mayor razón si, como en este caso, no se trata actos sujetos al silencio administrativo positivo.</w:t>
      </w:r>
    </w:p>
    <w:p w14:paraId="7DE403F8" w14:textId="77777777" w:rsidR="00A75208" w:rsidRPr="00582B18" w:rsidRDefault="00A75208" w:rsidP="00232903">
      <w:pPr>
        <w:spacing w:after="120"/>
        <w:ind w:left="0"/>
        <w:jc w:val="both"/>
        <w:rPr>
          <w:rFonts w:ascii="Bookman Old Style" w:hAnsi="Bookman Old Style" w:cs="Arial"/>
          <w:iCs/>
        </w:rPr>
      </w:pPr>
    </w:p>
    <w:p w14:paraId="72CDC9D3" w14:textId="77777777" w:rsidR="00324AD9" w:rsidRPr="00582B18" w:rsidRDefault="00324AD9" w:rsidP="00324AD9">
      <w:pPr>
        <w:ind w:left="0"/>
        <w:jc w:val="both"/>
        <w:rPr>
          <w:rFonts w:ascii="Bookman Old Style" w:hAnsi="Bookman Old Style" w:cs="Arial"/>
          <w:b/>
          <w:iCs/>
        </w:rPr>
      </w:pPr>
      <w:r w:rsidRPr="00582B18">
        <w:rPr>
          <w:rFonts w:ascii="Bookman Old Style" w:hAnsi="Bookman Old Style" w:cs="Arial"/>
          <w:b/>
          <w:iCs/>
        </w:rPr>
        <w:t>II.  INFORME DE LA AUDITORÍA</w:t>
      </w:r>
    </w:p>
    <w:p w14:paraId="5BC49A1D" w14:textId="77777777" w:rsidR="00324AD9" w:rsidRPr="00582B18" w:rsidRDefault="00324AD9" w:rsidP="00324AD9">
      <w:pPr>
        <w:ind w:left="0"/>
        <w:jc w:val="both"/>
        <w:rPr>
          <w:rFonts w:ascii="Bookman Old Style" w:hAnsi="Bookman Old Style"/>
          <w:b/>
        </w:rPr>
      </w:pPr>
    </w:p>
    <w:p w14:paraId="20592B1F" w14:textId="040C18CC" w:rsidR="00324AD9" w:rsidRPr="00582B18" w:rsidRDefault="00324AD9" w:rsidP="00324AD9">
      <w:pPr>
        <w:ind w:left="0"/>
        <w:jc w:val="both"/>
        <w:rPr>
          <w:rFonts w:ascii="Bookman Old Style" w:hAnsi="Bookman Old Style" w:cs="Arial"/>
          <w:lang w:val="es-CO"/>
        </w:rPr>
      </w:pPr>
      <w:r w:rsidRPr="00582B18">
        <w:rPr>
          <w:rFonts w:ascii="Bookman Old Style" w:hAnsi="Bookman Old Style" w:cs="Arial"/>
          <w:lang w:val="es-CO"/>
        </w:rPr>
        <w:t xml:space="preserve">En cumplimiento de las citadas disposiciones, XM S.A. E.S.P. contrató a la firma HMV </w:t>
      </w:r>
      <w:r w:rsidR="003C69E1" w:rsidRPr="00582B18">
        <w:rPr>
          <w:rFonts w:ascii="Bookman Old Style" w:hAnsi="Bookman Old Style" w:cs="Arial"/>
          <w:lang w:val="es-CO"/>
        </w:rPr>
        <w:t xml:space="preserve">Ingenieros </w:t>
      </w:r>
      <w:r w:rsidRPr="00582B18">
        <w:rPr>
          <w:rFonts w:ascii="Bookman Old Style" w:hAnsi="Bookman Old Style" w:cs="Arial"/>
          <w:lang w:val="es-CO"/>
        </w:rPr>
        <w:t xml:space="preserve">para la realización de la auditoría a esta planta. El día 16 de febrero de 2021, mediante los radicados E-2021-002123, E-2021-002124, E-2021-002126 y E-2021-002131, el auditor presentó el informe final detallado </w:t>
      </w:r>
      <w:r w:rsidR="003C69E1">
        <w:rPr>
          <w:rFonts w:ascii="Bookman Old Style" w:hAnsi="Bookman Old Style" w:cs="Arial"/>
          <w:lang w:val="es-CO"/>
        </w:rPr>
        <w:t xml:space="preserve">de la auditoría </w:t>
      </w:r>
      <w:r w:rsidRPr="00582B18">
        <w:rPr>
          <w:rFonts w:ascii="Bookman Old Style" w:hAnsi="Bookman Old Style" w:cs="Arial"/>
          <w:lang w:val="es-CO"/>
        </w:rPr>
        <w:t>sobre la verificación los parámetros declarados por las plantas y/o unidades de generación hidráulica existentes que resultaron con asignaciones de Obligaciones de Energía Firme</w:t>
      </w:r>
      <w:r w:rsidR="002F2655">
        <w:rPr>
          <w:rFonts w:ascii="Bookman Old Style" w:hAnsi="Bookman Old Style" w:cs="Arial"/>
          <w:lang w:val="es-CO"/>
        </w:rPr>
        <w:t xml:space="preserve">, </w:t>
      </w:r>
      <w:r w:rsidRPr="00582B18">
        <w:rPr>
          <w:rFonts w:ascii="Bookman Old Style" w:hAnsi="Bookman Old Style" w:cs="Arial"/>
          <w:lang w:val="es-CO"/>
        </w:rPr>
        <w:t>OEF</w:t>
      </w:r>
      <w:r w:rsidR="002F2655">
        <w:rPr>
          <w:rFonts w:ascii="Bookman Old Style" w:hAnsi="Bookman Old Style" w:cs="Arial"/>
          <w:lang w:val="es-CO"/>
        </w:rPr>
        <w:t>,</w:t>
      </w:r>
      <w:r w:rsidR="002F2655" w:rsidRPr="00582B18">
        <w:rPr>
          <w:rFonts w:ascii="Bookman Old Style" w:hAnsi="Bookman Old Style" w:cs="Arial"/>
          <w:lang w:val="es-CO"/>
        </w:rPr>
        <w:t xml:space="preserve"> </w:t>
      </w:r>
      <w:r w:rsidRPr="00582B18">
        <w:rPr>
          <w:rFonts w:ascii="Bookman Old Style" w:hAnsi="Bookman Old Style" w:cs="Arial"/>
          <w:lang w:val="es-CO"/>
        </w:rPr>
        <w:t>en la subasta 2022- 2023 y las plantas hidráulicas que tengan asignaciones previas para este período y que se encuentren en operación, de acuerdo con lo definido en el Anexo 6 de la Resolución CREG 071 de 2006.</w:t>
      </w:r>
    </w:p>
    <w:p w14:paraId="17D7FCE9" w14:textId="77777777" w:rsidR="00324AD9" w:rsidRPr="00582B18" w:rsidRDefault="00324AD9" w:rsidP="00324AD9">
      <w:pPr>
        <w:pStyle w:val="Textoindependiente"/>
        <w:rPr>
          <w:rFonts w:ascii="Bookman Old Style" w:hAnsi="Bookman Old Style"/>
        </w:rPr>
      </w:pPr>
    </w:p>
    <w:p w14:paraId="540E3668" w14:textId="77777777" w:rsidR="00324AD9" w:rsidRPr="00582B18" w:rsidRDefault="00324AD9" w:rsidP="00324AD9">
      <w:pPr>
        <w:ind w:left="0"/>
        <w:jc w:val="both"/>
        <w:rPr>
          <w:rFonts w:ascii="Bookman Old Style" w:hAnsi="Bookman Old Style" w:cs="Arial"/>
        </w:rPr>
      </w:pPr>
      <w:r w:rsidRPr="00582B18">
        <w:rPr>
          <w:rFonts w:ascii="Bookman Old Style" w:hAnsi="Bookman Old Style" w:cs="Arial"/>
        </w:rPr>
        <w:t xml:space="preserve">El alcance del contrato incluyó la auditoría de los siguientes 17 parámetros de las plantas hidráulicas: </w:t>
      </w:r>
    </w:p>
    <w:p w14:paraId="77495848"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Capacidad Efectiva Neta </w:t>
      </w:r>
    </w:p>
    <w:p w14:paraId="53CCA775"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Factor de Conversión </w:t>
      </w:r>
    </w:p>
    <w:p w14:paraId="6D412385"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IHF Plantas Hidráulicas </w:t>
      </w:r>
    </w:p>
    <w:p w14:paraId="76FC945B"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lastRenderedPageBreak/>
        <w:t xml:space="preserve">Volumen de Espera </w:t>
      </w:r>
    </w:p>
    <w:p w14:paraId="52D46EC1"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Curva Guía Máxima y Mínima </w:t>
      </w:r>
    </w:p>
    <w:p w14:paraId="2A0ACE2C" w14:textId="77777777" w:rsidR="008F17D7"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lang w:val="es-ES"/>
        </w:rPr>
        <w:t>Arcos de Generación</w:t>
      </w:r>
      <w:r w:rsidRPr="00582B18">
        <w:rPr>
          <w:rFonts w:ascii="Bookman Old Style" w:hAnsi="Bookman Old Style" w:cs="Arial"/>
          <w:sz w:val="24"/>
          <w:szCs w:val="24"/>
        </w:rPr>
        <w:t xml:space="preserve"> </w:t>
      </w:r>
    </w:p>
    <w:p w14:paraId="3AA9BA28" w14:textId="5605729D"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Arcos de Descarga </w:t>
      </w:r>
    </w:p>
    <w:p w14:paraId="1C57546B"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Arcos de Bombeo </w:t>
      </w:r>
    </w:p>
    <w:p w14:paraId="5D4E5613"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Demanda Acueducto y Riego </w:t>
      </w:r>
    </w:p>
    <w:p w14:paraId="21490280"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Factor de Retorno de Acueducto y Riego </w:t>
      </w:r>
    </w:p>
    <w:p w14:paraId="08F1BC0C"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Topología de Plantas Hidráulicas </w:t>
      </w:r>
    </w:p>
    <w:p w14:paraId="3CC7E024"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Filtraciones </w:t>
      </w:r>
    </w:p>
    <w:p w14:paraId="5AEE9F5E"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Descarga Máximas Embalses (aplicable a Bogotá) </w:t>
      </w:r>
    </w:p>
    <w:p w14:paraId="0F64AE45"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Capacidad de Túneles (aplicable a Chivor) </w:t>
      </w:r>
    </w:p>
    <w:p w14:paraId="247E4DBB"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Serie Histórica de Caudales Medios Mensuales </w:t>
      </w:r>
    </w:p>
    <w:p w14:paraId="1C78CF69"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 xml:space="preserve">Embalse Mínimo Técnico </w:t>
      </w:r>
    </w:p>
    <w:p w14:paraId="61B9A5C4" w14:textId="77777777" w:rsidR="00324AD9" w:rsidRPr="00582B18" w:rsidRDefault="00324AD9" w:rsidP="00232903">
      <w:pPr>
        <w:pStyle w:val="Prrafodelista"/>
        <w:numPr>
          <w:ilvl w:val="0"/>
          <w:numId w:val="2"/>
        </w:numPr>
        <w:spacing w:before="120"/>
        <w:jc w:val="both"/>
        <w:rPr>
          <w:rFonts w:ascii="Bookman Old Style" w:hAnsi="Bookman Old Style" w:cs="Arial"/>
          <w:sz w:val="24"/>
          <w:szCs w:val="24"/>
        </w:rPr>
      </w:pPr>
      <w:r w:rsidRPr="00582B18">
        <w:rPr>
          <w:rFonts w:ascii="Bookman Old Style" w:hAnsi="Bookman Old Style" w:cs="Arial"/>
          <w:sz w:val="24"/>
          <w:szCs w:val="24"/>
        </w:rPr>
        <w:t>Embalse Máximo Técnico</w:t>
      </w:r>
    </w:p>
    <w:p w14:paraId="2A193A01" w14:textId="77777777" w:rsidR="00324AD9" w:rsidRPr="00582B18" w:rsidRDefault="00324AD9" w:rsidP="00324AD9">
      <w:pPr>
        <w:ind w:left="0"/>
        <w:jc w:val="both"/>
        <w:rPr>
          <w:rFonts w:ascii="Bookman Old Style" w:hAnsi="Bookman Old Style" w:cs="Arial"/>
          <w:lang w:val="es-CO"/>
        </w:rPr>
      </w:pPr>
    </w:p>
    <w:p w14:paraId="24D2FE20" w14:textId="5F1FFC03" w:rsidR="00324AD9" w:rsidRPr="00582B18" w:rsidRDefault="00324AD9" w:rsidP="00324AD9">
      <w:pPr>
        <w:ind w:left="0"/>
        <w:jc w:val="both"/>
        <w:rPr>
          <w:rFonts w:ascii="Bookman Old Style" w:hAnsi="Bookman Old Style" w:cs="Arial"/>
          <w:lang w:val="es-CO"/>
        </w:rPr>
      </w:pPr>
      <w:r w:rsidRPr="00582B18">
        <w:rPr>
          <w:rFonts w:ascii="Bookman Old Style" w:hAnsi="Bookman Old Style" w:cs="Arial"/>
          <w:lang w:val="es-CO"/>
        </w:rPr>
        <w:t>En el precitado informe, el auditor detalló en la “</w:t>
      </w:r>
      <w:r w:rsidRPr="00582B18">
        <w:rPr>
          <w:rFonts w:ascii="Bookman Old Style" w:hAnsi="Bookman Old Style" w:cs="Arial"/>
        </w:rPr>
        <w:t xml:space="preserve">Tabla </w:t>
      </w:r>
      <w:r w:rsidR="00FC6BAD" w:rsidRPr="00582B18">
        <w:rPr>
          <w:rFonts w:ascii="Bookman Old Style" w:hAnsi="Bookman Old Style" w:cs="Arial"/>
        </w:rPr>
        <w:t>2</w:t>
      </w:r>
      <w:r w:rsidR="00FC6BAD">
        <w:rPr>
          <w:rFonts w:ascii="Bookman Old Style" w:hAnsi="Bookman Old Style" w:cs="Arial"/>
        </w:rPr>
        <w:t>5</w:t>
      </w:r>
      <w:r w:rsidRPr="00582B18">
        <w:rPr>
          <w:rFonts w:ascii="Bookman Old Style" w:hAnsi="Bookman Old Style" w:cs="Arial"/>
        </w:rPr>
        <w:t xml:space="preserve">. Resumen resultados parámetros auditados y condición de discrepancia - Agente </w:t>
      </w:r>
      <w:r w:rsidR="00B3353F" w:rsidRPr="00582B18">
        <w:rPr>
          <w:rFonts w:ascii="Bookman Old Style" w:hAnsi="Bookman Old Style" w:cs="Arial"/>
        </w:rPr>
        <w:t>ISAGEN S.A. E.S.P.</w:t>
      </w:r>
      <w:r w:rsidRPr="00582B18">
        <w:rPr>
          <w:rFonts w:ascii="Bookman Old Style" w:hAnsi="Bookman Old Style" w:cs="Arial"/>
        </w:rPr>
        <w:t xml:space="preserve">”, para la planta </w:t>
      </w:r>
      <w:r w:rsidR="00B3353F" w:rsidRPr="00582B18">
        <w:rPr>
          <w:rFonts w:ascii="Bookman Old Style" w:hAnsi="Bookman Old Style" w:cs="Arial"/>
        </w:rPr>
        <w:t>JAGUAS</w:t>
      </w:r>
      <w:r w:rsidRPr="00582B18">
        <w:rPr>
          <w:rFonts w:ascii="Bookman Old Style" w:hAnsi="Bookman Old Style" w:cs="Arial"/>
        </w:rPr>
        <w:t xml:space="preserve"> </w:t>
      </w:r>
      <w:r w:rsidRPr="00582B18">
        <w:rPr>
          <w:rFonts w:ascii="Bookman Old Style" w:hAnsi="Bookman Old Style" w:cs="Arial"/>
          <w:lang w:val="es-CO"/>
        </w:rPr>
        <w:t xml:space="preserve">lo siguiente: </w:t>
      </w:r>
    </w:p>
    <w:p w14:paraId="4D6BC939" w14:textId="77777777" w:rsidR="00324AD9" w:rsidRPr="00582B18" w:rsidRDefault="00324AD9" w:rsidP="00232903">
      <w:pPr>
        <w:spacing w:after="120"/>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106"/>
        <w:gridCol w:w="1559"/>
      </w:tblGrid>
      <w:tr w:rsidR="00324AD9" w:rsidRPr="003C69E1" w14:paraId="3E6BF44B" w14:textId="77777777" w:rsidTr="00297D1C">
        <w:trPr>
          <w:jc w:val="center"/>
        </w:trPr>
        <w:tc>
          <w:tcPr>
            <w:tcW w:w="4106" w:type="dxa"/>
          </w:tcPr>
          <w:p w14:paraId="3B136101" w14:textId="77777777" w:rsidR="00324AD9" w:rsidRPr="00232903" w:rsidRDefault="00324AD9"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b/>
                <w:bCs/>
                <w:sz w:val="22"/>
                <w:szCs w:val="22"/>
                <w:lang w:val="es-CO"/>
              </w:rPr>
              <w:t>PARÁMETRO</w:t>
            </w:r>
          </w:p>
          <w:p w14:paraId="717D4046" w14:textId="77777777" w:rsidR="00324AD9" w:rsidRPr="00232903" w:rsidRDefault="00324AD9"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b/>
                <w:bCs/>
                <w:sz w:val="22"/>
                <w:szCs w:val="22"/>
                <w:lang w:val="es-CO"/>
              </w:rPr>
              <w:t>CENTRAL-RÍO-EMBALSE-SERIE</w:t>
            </w:r>
          </w:p>
        </w:tc>
        <w:tc>
          <w:tcPr>
            <w:tcW w:w="1559" w:type="dxa"/>
          </w:tcPr>
          <w:p w14:paraId="6D17A042" w14:textId="706E2B96" w:rsidR="00324AD9" w:rsidRPr="00232903" w:rsidRDefault="00A2285D"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b/>
                <w:bCs/>
                <w:sz w:val="22"/>
                <w:szCs w:val="22"/>
                <w:lang w:val="es-CO"/>
              </w:rPr>
              <w:t>JAGUAS</w:t>
            </w:r>
            <w:r w:rsidR="00324AD9" w:rsidRPr="00232903">
              <w:rPr>
                <w:rFonts w:ascii="Bookman Old Style" w:hAnsi="Bookman Old Style" w:cs="Calibri Light"/>
                <w:b/>
                <w:bCs/>
                <w:sz w:val="22"/>
                <w:szCs w:val="22"/>
                <w:lang w:val="es-CO"/>
              </w:rPr>
              <w:t xml:space="preserve"> </w:t>
            </w:r>
          </w:p>
        </w:tc>
      </w:tr>
      <w:tr w:rsidR="00324AD9" w:rsidRPr="003C69E1" w14:paraId="3E8B3F67" w14:textId="77777777" w:rsidTr="00297D1C">
        <w:trPr>
          <w:jc w:val="center"/>
        </w:trPr>
        <w:tc>
          <w:tcPr>
            <w:tcW w:w="4106" w:type="dxa"/>
          </w:tcPr>
          <w:p w14:paraId="4E87C5E0"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Capacidad Efectiva Neta </w:t>
            </w:r>
          </w:p>
        </w:tc>
        <w:tc>
          <w:tcPr>
            <w:tcW w:w="1559" w:type="dxa"/>
          </w:tcPr>
          <w:p w14:paraId="49BEFA0A"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36E1F2FA" w14:textId="77777777" w:rsidTr="00297D1C">
        <w:trPr>
          <w:jc w:val="center"/>
        </w:trPr>
        <w:tc>
          <w:tcPr>
            <w:tcW w:w="4106" w:type="dxa"/>
          </w:tcPr>
          <w:p w14:paraId="7F0C303A"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Factor de Conversión </w:t>
            </w:r>
          </w:p>
        </w:tc>
        <w:tc>
          <w:tcPr>
            <w:tcW w:w="1559" w:type="dxa"/>
          </w:tcPr>
          <w:p w14:paraId="11A30ACC"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4375905A" w14:textId="77777777" w:rsidTr="00297D1C">
        <w:trPr>
          <w:jc w:val="center"/>
        </w:trPr>
        <w:tc>
          <w:tcPr>
            <w:tcW w:w="4106" w:type="dxa"/>
          </w:tcPr>
          <w:p w14:paraId="15332382"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IHF</w:t>
            </w:r>
          </w:p>
        </w:tc>
        <w:tc>
          <w:tcPr>
            <w:tcW w:w="1559" w:type="dxa"/>
          </w:tcPr>
          <w:p w14:paraId="65E5FF07"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014C9D60" w14:textId="77777777" w:rsidTr="00297D1C">
        <w:trPr>
          <w:jc w:val="center"/>
        </w:trPr>
        <w:tc>
          <w:tcPr>
            <w:tcW w:w="4106" w:type="dxa"/>
          </w:tcPr>
          <w:p w14:paraId="102F9A40"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Topología </w:t>
            </w:r>
          </w:p>
        </w:tc>
        <w:tc>
          <w:tcPr>
            <w:tcW w:w="1559" w:type="dxa"/>
          </w:tcPr>
          <w:p w14:paraId="0D3D3CA7"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7060ECCB" w14:textId="77777777" w:rsidTr="00297D1C">
        <w:trPr>
          <w:jc w:val="center"/>
        </w:trPr>
        <w:tc>
          <w:tcPr>
            <w:tcW w:w="4106" w:type="dxa"/>
          </w:tcPr>
          <w:p w14:paraId="733E2305"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Arcos de Generación </w:t>
            </w:r>
          </w:p>
        </w:tc>
        <w:tc>
          <w:tcPr>
            <w:tcW w:w="1559" w:type="dxa"/>
          </w:tcPr>
          <w:p w14:paraId="31D26B08"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30D8712C" w14:textId="77777777" w:rsidTr="00297D1C">
        <w:trPr>
          <w:jc w:val="center"/>
        </w:trPr>
        <w:tc>
          <w:tcPr>
            <w:tcW w:w="4106" w:type="dxa"/>
          </w:tcPr>
          <w:p w14:paraId="51690E3F"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Arcos de Descarga </w:t>
            </w:r>
          </w:p>
        </w:tc>
        <w:tc>
          <w:tcPr>
            <w:tcW w:w="1559" w:type="dxa"/>
          </w:tcPr>
          <w:p w14:paraId="4654734F"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4E32C00F" w14:textId="77777777" w:rsidTr="00297D1C">
        <w:trPr>
          <w:jc w:val="center"/>
        </w:trPr>
        <w:tc>
          <w:tcPr>
            <w:tcW w:w="4106" w:type="dxa"/>
          </w:tcPr>
          <w:p w14:paraId="7A7A65CB"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Arcos de Bombeo</w:t>
            </w:r>
          </w:p>
        </w:tc>
        <w:tc>
          <w:tcPr>
            <w:tcW w:w="1559" w:type="dxa"/>
          </w:tcPr>
          <w:p w14:paraId="44A02185" w14:textId="77777777" w:rsidR="00324AD9" w:rsidRPr="00232903" w:rsidRDefault="00324AD9"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NO</w:t>
            </w:r>
          </w:p>
        </w:tc>
      </w:tr>
      <w:tr w:rsidR="00324AD9" w:rsidRPr="003C69E1" w14:paraId="06E50799" w14:textId="77777777" w:rsidTr="00297D1C">
        <w:trPr>
          <w:jc w:val="center"/>
        </w:trPr>
        <w:tc>
          <w:tcPr>
            <w:tcW w:w="4106" w:type="dxa"/>
          </w:tcPr>
          <w:p w14:paraId="0BFEEA00"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Embalse Mínimo Técnico</w:t>
            </w:r>
          </w:p>
        </w:tc>
        <w:tc>
          <w:tcPr>
            <w:tcW w:w="1559" w:type="dxa"/>
          </w:tcPr>
          <w:p w14:paraId="4D63C0B7" w14:textId="0673F37C" w:rsidR="00324AD9" w:rsidRPr="00232903" w:rsidRDefault="008F3A7D"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w:t>
            </w:r>
          </w:p>
        </w:tc>
      </w:tr>
      <w:tr w:rsidR="00324AD9" w:rsidRPr="003C69E1" w14:paraId="2B3DBEA6" w14:textId="77777777" w:rsidTr="00297D1C">
        <w:trPr>
          <w:jc w:val="center"/>
        </w:trPr>
        <w:tc>
          <w:tcPr>
            <w:tcW w:w="4106" w:type="dxa"/>
          </w:tcPr>
          <w:p w14:paraId="1B612744"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Embalse Máximo Técnico </w:t>
            </w:r>
          </w:p>
        </w:tc>
        <w:tc>
          <w:tcPr>
            <w:tcW w:w="1559" w:type="dxa"/>
          </w:tcPr>
          <w:p w14:paraId="792C1565" w14:textId="10AD8FBA" w:rsidR="00324AD9" w:rsidRPr="00232903" w:rsidRDefault="008F3A7D"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w:t>
            </w:r>
          </w:p>
        </w:tc>
      </w:tr>
      <w:tr w:rsidR="00324AD9" w:rsidRPr="003C69E1" w14:paraId="289472C6" w14:textId="77777777" w:rsidTr="00297D1C">
        <w:trPr>
          <w:jc w:val="center"/>
        </w:trPr>
        <w:tc>
          <w:tcPr>
            <w:tcW w:w="4106" w:type="dxa"/>
          </w:tcPr>
          <w:p w14:paraId="7AC7C2FD"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Volumen de Espera</w:t>
            </w:r>
          </w:p>
        </w:tc>
        <w:tc>
          <w:tcPr>
            <w:tcW w:w="1559" w:type="dxa"/>
          </w:tcPr>
          <w:p w14:paraId="5C905833" w14:textId="6DC08623" w:rsidR="00324AD9" w:rsidRPr="00232903" w:rsidRDefault="008F3A7D"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w:t>
            </w:r>
          </w:p>
        </w:tc>
      </w:tr>
      <w:tr w:rsidR="00324AD9" w:rsidRPr="003C69E1" w14:paraId="76B7F1B3" w14:textId="77777777" w:rsidTr="00297D1C">
        <w:trPr>
          <w:jc w:val="center"/>
        </w:trPr>
        <w:tc>
          <w:tcPr>
            <w:tcW w:w="4106" w:type="dxa"/>
          </w:tcPr>
          <w:p w14:paraId="6203CC07"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Curva Guía Mínima y Máxima </w:t>
            </w:r>
          </w:p>
        </w:tc>
        <w:tc>
          <w:tcPr>
            <w:tcW w:w="1559" w:type="dxa"/>
          </w:tcPr>
          <w:p w14:paraId="46B707ED" w14:textId="6C52E530" w:rsidR="00324AD9" w:rsidRPr="00232903" w:rsidRDefault="008F3A7D"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w:t>
            </w:r>
          </w:p>
        </w:tc>
      </w:tr>
      <w:tr w:rsidR="00324AD9" w:rsidRPr="003C69E1" w14:paraId="1573CFE3" w14:textId="77777777" w:rsidTr="00297D1C">
        <w:trPr>
          <w:jc w:val="center"/>
        </w:trPr>
        <w:tc>
          <w:tcPr>
            <w:tcW w:w="4106" w:type="dxa"/>
          </w:tcPr>
          <w:p w14:paraId="09C061BB"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Demanda de Acueducto y Riego </w:t>
            </w:r>
          </w:p>
        </w:tc>
        <w:tc>
          <w:tcPr>
            <w:tcW w:w="1559" w:type="dxa"/>
          </w:tcPr>
          <w:p w14:paraId="34720698" w14:textId="0AD12BF3" w:rsidR="00324AD9" w:rsidRPr="00232903" w:rsidRDefault="008F3A7D"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sz w:val="22"/>
                <w:szCs w:val="22"/>
                <w:lang w:val="es-CO"/>
              </w:rPr>
              <w:t>-</w:t>
            </w:r>
          </w:p>
        </w:tc>
      </w:tr>
      <w:tr w:rsidR="00324AD9" w:rsidRPr="003C69E1" w14:paraId="3CD87120" w14:textId="77777777" w:rsidTr="00297D1C">
        <w:trPr>
          <w:jc w:val="center"/>
        </w:trPr>
        <w:tc>
          <w:tcPr>
            <w:tcW w:w="4106" w:type="dxa"/>
          </w:tcPr>
          <w:p w14:paraId="16FAE2B4"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Factor de Retorno de Acueducto y Riego </w:t>
            </w:r>
          </w:p>
        </w:tc>
        <w:tc>
          <w:tcPr>
            <w:tcW w:w="1559" w:type="dxa"/>
          </w:tcPr>
          <w:p w14:paraId="31D7BF73" w14:textId="44F8B8EB" w:rsidR="00324AD9" w:rsidRPr="00232903" w:rsidRDefault="008F3A7D" w:rsidP="00297D1C">
            <w:pPr>
              <w:ind w:left="0"/>
              <w:jc w:val="center"/>
              <w:rPr>
                <w:rFonts w:ascii="Bookman Old Style" w:hAnsi="Bookman Old Style" w:cs="Calibri Light"/>
                <w:sz w:val="22"/>
                <w:szCs w:val="22"/>
                <w:lang w:val="es-CO"/>
              </w:rPr>
            </w:pPr>
            <w:r w:rsidRPr="00232903">
              <w:rPr>
                <w:rFonts w:ascii="Bookman Old Style" w:hAnsi="Bookman Old Style" w:cs="Calibri Light"/>
                <w:sz w:val="22"/>
                <w:szCs w:val="22"/>
                <w:lang w:val="es-CO"/>
              </w:rPr>
              <w:t>-</w:t>
            </w:r>
          </w:p>
        </w:tc>
      </w:tr>
      <w:tr w:rsidR="00324AD9" w:rsidRPr="003C69E1" w14:paraId="2D0DB269" w14:textId="77777777" w:rsidTr="00297D1C">
        <w:trPr>
          <w:jc w:val="center"/>
        </w:trPr>
        <w:tc>
          <w:tcPr>
            <w:tcW w:w="4106" w:type="dxa"/>
          </w:tcPr>
          <w:p w14:paraId="5678A400"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 xml:space="preserve">Filtraciones </w:t>
            </w:r>
          </w:p>
        </w:tc>
        <w:tc>
          <w:tcPr>
            <w:tcW w:w="1559" w:type="dxa"/>
          </w:tcPr>
          <w:p w14:paraId="6D3889DC" w14:textId="2AA50BA6" w:rsidR="00324AD9" w:rsidRPr="00232903" w:rsidRDefault="008F3A7D"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sz w:val="22"/>
                <w:szCs w:val="22"/>
                <w:lang w:val="es-CO"/>
              </w:rPr>
              <w:t>-</w:t>
            </w:r>
          </w:p>
        </w:tc>
      </w:tr>
      <w:tr w:rsidR="00324AD9" w:rsidRPr="003C69E1" w14:paraId="7CF2203A" w14:textId="77777777" w:rsidTr="00297D1C">
        <w:trPr>
          <w:jc w:val="center"/>
        </w:trPr>
        <w:tc>
          <w:tcPr>
            <w:tcW w:w="4106" w:type="dxa"/>
          </w:tcPr>
          <w:p w14:paraId="018238CB" w14:textId="77777777" w:rsidR="00324AD9" w:rsidRPr="00232903" w:rsidRDefault="00324AD9" w:rsidP="00297D1C">
            <w:pPr>
              <w:ind w:left="0"/>
              <w:jc w:val="both"/>
              <w:rPr>
                <w:rFonts w:ascii="Bookman Old Style" w:hAnsi="Bookman Old Style" w:cs="Calibri Light"/>
                <w:sz w:val="22"/>
                <w:szCs w:val="22"/>
                <w:lang w:val="es-CO"/>
              </w:rPr>
            </w:pPr>
            <w:r w:rsidRPr="00232903">
              <w:rPr>
                <w:rFonts w:ascii="Bookman Old Style" w:hAnsi="Bookman Old Style" w:cs="Calibri Light"/>
                <w:sz w:val="22"/>
                <w:szCs w:val="22"/>
                <w:lang w:val="es-CO"/>
              </w:rPr>
              <w:t>Series SIN</w:t>
            </w:r>
          </w:p>
        </w:tc>
        <w:tc>
          <w:tcPr>
            <w:tcW w:w="1559" w:type="dxa"/>
          </w:tcPr>
          <w:p w14:paraId="7BC984A1" w14:textId="695FD278" w:rsidR="00324AD9" w:rsidRPr="00232903" w:rsidRDefault="006A06E8" w:rsidP="00297D1C">
            <w:pPr>
              <w:ind w:left="0"/>
              <w:jc w:val="center"/>
              <w:rPr>
                <w:rFonts w:ascii="Bookman Old Style" w:hAnsi="Bookman Old Style" w:cs="Calibri Light"/>
                <w:b/>
                <w:bCs/>
                <w:sz w:val="22"/>
                <w:szCs w:val="22"/>
                <w:lang w:val="es-CO"/>
              </w:rPr>
            </w:pPr>
            <w:r w:rsidRPr="00232903">
              <w:rPr>
                <w:rFonts w:ascii="Bookman Old Style" w:hAnsi="Bookman Old Style" w:cs="Calibri Light"/>
                <w:b/>
                <w:bCs/>
                <w:sz w:val="22"/>
                <w:szCs w:val="22"/>
                <w:lang w:val="es-CO"/>
              </w:rPr>
              <w:t>SI</w:t>
            </w:r>
          </w:p>
        </w:tc>
      </w:tr>
    </w:tbl>
    <w:p w14:paraId="6FCB53AB" w14:textId="77777777" w:rsidR="00324AD9" w:rsidRPr="00582B18" w:rsidRDefault="00324AD9" w:rsidP="00232903">
      <w:pPr>
        <w:spacing w:after="120"/>
        <w:ind w:left="0"/>
        <w:jc w:val="both"/>
        <w:rPr>
          <w:rFonts w:ascii="Bookman Old Style" w:hAnsi="Bookman Old Style" w:cs="Arial"/>
          <w:lang w:val="es-CO"/>
        </w:rPr>
      </w:pPr>
    </w:p>
    <w:p w14:paraId="6655B809" w14:textId="6913D7E1" w:rsidR="00324AD9" w:rsidRPr="00582B18" w:rsidRDefault="00324AD9" w:rsidP="00324AD9">
      <w:pPr>
        <w:pStyle w:val="Textoindependiente"/>
        <w:ind w:left="0"/>
        <w:jc w:val="both"/>
        <w:rPr>
          <w:rFonts w:ascii="Bookman Old Style" w:hAnsi="Bookman Old Style"/>
          <w:b w:val="0"/>
        </w:rPr>
      </w:pPr>
      <w:r w:rsidRPr="00582B18">
        <w:rPr>
          <w:rFonts w:ascii="Bookman Old Style" w:hAnsi="Bookman Old Style"/>
          <w:b w:val="0"/>
        </w:rPr>
        <w:t xml:space="preserve">Que según la versión definitiva del informe final detallado de auditoría, sobre la verificación de parámetros declarados para participar en la subasta del cargo por confiabilidad para el período 2022-2023, entregado por la firma HMV ingenieros el día 16 de febrero de 2021, Radicación CREG E-2021-002123, la </w:t>
      </w:r>
      <w:r w:rsidRPr="00582B18">
        <w:rPr>
          <w:rFonts w:ascii="Bookman Old Style" w:hAnsi="Bookman Old Style"/>
          <w:b w:val="0"/>
        </w:rPr>
        <w:lastRenderedPageBreak/>
        <w:t xml:space="preserve">planta </w:t>
      </w:r>
      <w:r w:rsidR="00AC7499" w:rsidRPr="00582B18">
        <w:rPr>
          <w:rFonts w:ascii="Bookman Old Style" w:hAnsi="Bookman Old Style"/>
          <w:b w:val="0"/>
        </w:rPr>
        <w:t xml:space="preserve">Jaguas </w:t>
      </w:r>
      <w:r w:rsidRPr="00582B18">
        <w:rPr>
          <w:rFonts w:ascii="Bookman Old Style" w:hAnsi="Bookman Old Style"/>
          <w:b w:val="0"/>
        </w:rPr>
        <w:t xml:space="preserve">presenta discrepancias en el reporte del parámetro </w:t>
      </w:r>
      <w:bookmarkStart w:id="0" w:name="_Hlk72339269"/>
      <w:r w:rsidRPr="00582B18">
        <w:rPr>
          <w:rFonts w:ascii="Bookman Old Style" w:hAnsi="Bookman Old Style"/>
          <w:b w:val="0"/>
        </w:rPr>
        <w:t>Serie histórica de caudales medios mensuales de los ríos del SIN</w:t>
      </w:r>
      <w:bookmarkEnd w:id="0"/>
      <w:r w:rsidR="00202318" w:rsidRPr="00582B18">
        <w:rPr>
          <w:rFonts w:ascii="Bookman Old Style" w:hAnsi="Bookman Old Style"/>
          <w:b w:val="0"/>
        </w:rPr>
        <w:t xml:space="preserve">, </w:t>
      </w:r>
      <w:r w:rsidR="00562CD4">
        <w:rPr>
          <w:rFonts w:ascii="Bookman Old Style" w:hAnsi="Bookman Old Style"/>
          <w:b w:val="0"/>
        </w:rPr>
        <w:t>s</w:t>
      </w:r>
      <w:r w:rsidR="00AC7499" w:rsidRPr="00582B18">
        <w:rPr>
          <w:rFonts w:ascii="Bookman Old Style" w:hAnsi="Bookman Old Style"/>
          <w:b w:val="0"/>
        </w:rPr>
        <w:t>erie San Lorenzo</w:t>
      </w:r>
      <w:r w:rsidR="00202318" w:rsidRPr="00582B18">
        <w:rPr>
          <w:rFonts w:ascii="Bookman Old Style" w:hAnsi="Bookman Old Style"/>
          <w:b w:val="0"/>
        </w:rPr>
        <w:t>.</w:t>
      </w:r>
    </w:p>
    <w:p w14:paraId="01822749" w14:textId="77777777" w:rsidR="00324AD9" w:rsidRPr="00582B18" w:rsidRDefault="00324AD9" w:rsidP="00232903">
      <w:pPr>
        <w:pStyle w:val="Textoindependiente"/>
        <w:spacing w:after="120"/>
        <w:rPr>
          <w:rFonts w:ascii="Bookman Old Style" w:hAnsi="Bookman Old Style"/>
          <w:b w:val="0"/>
          <w:sz w:val="22"/>
          <w:szCs w:val="22"/>
        </w:rPr>
      </w:pPr>
    </w:p>
    <w:p w14:paraId="7929D237" w14:textId="77777777" w:rsidR="00324AD9" w:rsidRPr="00582B18" w:rsidRDefault="00324AD9" w:rsidP="00232903">
      <w:pPr>
        <w:ind w:left="426" w:hanging="426"/>
        <w:jc w:val="both"/>
        <w:rPr>
          <w:rFonts w:ascii="Bookman Old Style" w:hAnsi="Bookman Old Style"/>
          <w:b/>
          <w:sz w:val="22"/>
          <w:szCs w:val="22"/>
        </w:rPr>
      </w:pPr>
      <w:r w:rsidRPr="00582B18">
        <w:rPr>
          <w:rFonts w:ascii="Bookman Old Style" w:hAnsi="Bookman Old Style"/>
          <w:b/>
          <w:sz w:val="22"/>
          <w:szCs w:val="22"/>
        </w:rPr>
        <w:t xml:space="preserve">III. PROCEDIMIENTO ADMINISTRATIVO SURTIDO POR LA CREG EN RELACIÓN CON EL INFORME DE LA AUDITORÍA </w:t>
      </w:r>
    </w:p>
    <w:p w14:paraId="547278BF" w14:textId="77777777" w:rsidR="00324AD9" w:rsidRPr="00582B18" w:rsidRDefault="00324AD9" w:rsidP="00324AD9">
      <w:pPr>
        <w:pStyle w:val="Prrafodelista"/>
        <w:ind w:left="720"/>
        <w:jc w:val="both"/>
        <w:rPr>
          <w:rFonts w:ascii="Bookman Old Style" w:hAnsi="Bookman Old Style" w:cs="Arial"/>
        </w:rPr>
      </w:pPr>
    </w:p>
    <w:p w14:paraId="468F2B00" w14:textId="1A34F2C3" w:rsidR="009E392A" w:rsidRPr="00582B18" w:rsidRDefault="00324AD9" w:rsidP="009E392A">
      <w:pPr>
        <w:ind w:left="0"/>
        <w:jc w:val="both"/>
        <w:rPr>
          <w:rFonts w:ascii="Bookman Old Style" w:hAnsi="Bookman Old Style" w:cs="Arial"/>
        </w:rPr>
      </w:pPr>
      <w:r w:rsidRPr="00582B18">
        <w:rPr>
          <w:rFonts w:ascii="Bookman Old Style" w:hAnsi="Bookman Old Style" w:cs="Arial"/>
          <w:bCs/>
        </w:rPr>
        <w:t>La CREG</w:t>
      </w:r>
      <w:r w:rsidR="002F2655">
        <w:rPr>
          <w:rFonts w:ascii="Bookman Old Style" w:hAnsi="Bookman Old Style" w:cs="Arial"/>
          <w:bCs/>
        </w:rPr>
        <w:t>,</w:t>
      </w:r>
      <w:r w:rsidRPr="00582B18">
        <w:rPr>
          <w:rFonts w:ascii="Bookman Old Style" w:hAnsi="Bookman Old Style" w:cs="Arial"/>
          <w:bCs/>
        </w:rPr>
        <w:t xml:space="preserve"> en cumplimiento de sus funciones y con fundamento en el informe de la Auditoría, </w:t>
      </w:r>
      <w:r w:rsidRPr="00582B18">
        <w:rPr>
          <w:rFonts w:ascii="Bookman Old Style" w:hAnsi="Bookman Old Style" w:cs="Arial"/>
        </w:rPr>
        <w:t xml:space="preserve">mediante auto del </w:t>
      </w:r>
      <w:r w:rsidR="00214A67" w:rsidRPr="00582B18">
        <w:rPr>
          <w:rFonts w:ascii="Bookman Old Style" w:hAnsi="Bookman Old Style" w:cs="Arial"/>
        </w:rPr>
        <w:t xml:space="preserve">11 </w:t>
      </w:r>
      <w:r w:rsidRPr="00582B18">
        <w:rPr>
          <w:rFonts w:ascii="Bookman Old Style" w:hAnsi="Bookman Old Style" w:cs="Arial"/>
        </w:rPr>
        <w:t xml:space="preserve">de mayo de 2021, inició la actuación administrativa dirigida a establecer plenamente la existencia de </w:t>
      </w:r>
      <w:r w:rsidRPr="00582B18">
        <w:rPr>
          <w:rFonts w:ascii="Bookman Old Style" w:hAnsi="Bookman Old Style" w:cs="Arial"/>
          <w:iCs/>
        </w:rPr>
        <w:t>discrepancias respecto del parámetro “</w:t>
      </w:r>
      <w:r w:rsidR="00AC7499" w:rsidRPr="00582B18">
        <w:rPr>
          <w:rFonts w:ascii="Bookman Old Style" w:hAnsi="Bookman Old Style" w:cs="Arial"/>
        </w:rPr>
        <w:t xml:space="preserve">Serie </w:t>
      </w:r>
      <w:r w:rsidRPr="00582B18">
        <w:rPr>
          <w:rFonts w:ascii="Bookman Old Style" w:hAnsi="Bookman Old Style" w:cs="Arial"/>
        </w:rPr>
        <w:t xml:space="preserve">histórica de caudales medios mensuales de los ríos del SIN” </w:t>
      </w:r>
      <w:r w:rsidR="00F619FB" w:rsidRPr="00582B18">
        <w:rPr>
          <w:rFonts w:ascii="Bookman Old Style" w:hAnsi="Bookman Old Style" w:cs="Arial"/>
        </w:rPr>
        <w:t xml:space="preserve">en la </w:t>
      </w:r>
      <w:r w:rsidR="00AC7499" w:rsidRPr="00582B18">
        <w:rPr>
          <w:rFonts w:ascii="Bookman Old Style" w:hAnsi="Bookman Old Style" w:cs="Arial"/>
        </w:rPr>
        <w:t>serie San Lorenzo</w:t>
      </w:r>
      <w:r w:rsidR="00F619FB" w:rsidRPr="00582B18">
        <w:rPr>
          <w:rFonts w:ascii="Bookman Old Style" w:hAnsi="Bookman Old Style" w:cs="Arial"/>
        </w:rPr>
        <w:t xml:space="preserve">, </w:t>
      </w:r>
      <w:r w:rsidRPr="00582B18">
        <w:rPr>
          <w:rFonts w:ascii="Bookman Old Style" w:hAnsi="Bookman Old Style" w:cs="Arial"/>
        </w:rPr>
        <w:t xml:space="preserve">y sus consecuencias. </w:t>
      </w:r>
    </w:p>
    <w:p w14:paraId="0CF29744" w14:textId="5B2C77A5" w:rsidR="009E392A" w:rsidRPr="00582B18" w:rsidRDefault="008F17D7" w:rsidP="00A803EF">
      <w:pPr>
        <w:tabs>
          <w:tab w:val="left" w:pos="1001"/>
        </w:tabs>
        <w:ind w:left="0"/>
        <w:jc w:val="both"/>
        <w:rPr>
          <w:rFonts w:ascii="Bookman Old Style" w:hAnsi="Bookman Old Style" w:cs="Arial"/>
        </w:rPr>
      </w:pPr>
      <w:r>
        <w:rPr>
          <w:rFonts w:ascii="Bookman Old Style" w:hAnsi="Bookman Old Style" w:cs="Arial"/>
        </w:rPr>
        <w:tab/>
      </w:r>
    </w:p>
    <w:p w14:paraId="06D897BE" w14:textId="77777777" w:rsidR="00A66120" w:rsidRPr="00232903" w:rsidRDefault="00324AD9" w:rsidP="00AC7499">
      <w:pPr>
        <w:pStyle w:val="Prrafodelista"/>
        <w:numPr>
          <w:ilvl w:val="0"/>
          <w:numId w:val="15"/>
        </w:numPr>
        <w:spacing w:after="2" w:line="260" w:lineRule="auto"/>
        <w:ind w:right="57" w:hanging="436"/>
        <w:jc w:val="both"/>
        <w:rPr>
          <w:rFonts w:ascii="Bookman Old Style" w:hAnsi="Bookman Old Style"/>
          <w:i/>
          <w:sz w:val="24"/>
          <w:szCs w:val="24"/>
        </w:rPr>
      </w:pPr>
      <w:r w:rsidRPr="00582B18">
        <w:rPr>
          <w:rFonts w:ascii="Bookman Old Style" w:hAnsi="Bookman Old Style" w:cs="Arial"/>
          <w:b/>
          <w:sz w:val="24"/>
          <w:szCs w:val="24"/>
        </w:rPr>
        <w:t>Derecho de defensa y de contradicción-.</w:t>
      </w:r>
      <w:r w:rsidRPr="00582B18">
        <w:rPr>
          <w:rFonts w:ascii="Bookman Old Style" w:hAnsi="Bookman Old Style" w:cs="Arial"/>
          <w:sz w:val="24"/>
          <w:szCs w:val="24"/>
        </w:rPr>
        <w:t xml:space="preserve"> </w:t>
      </w:r>
      <w:r w:rsidR="001A6F5F">
        <w:rPr>
          <w:rFonts w:ascii="Bookman Old Style" w:hAnsi="Bookman Old Style" w:cs="Arial"/>
          <w:sz w:val="24"/>
          <w:szCs w:val="24"/>
        </w:rPr>
        <w:t xml:space="preserve">Comunicada en debida </w:t>
      </w:r>
      <w:r w:rsidRPr="00582B18">
        <w:rPr>
          <w:rFonts w:ascii="Bookman Old Style" w:hAnsi="Bookman Old Style" w:cs="Arial"/>
          <w:sz w:val="24"/>
          <w:szCs w:val="24"/>
        </w:rPr>
        <w:t>forma</w:t>
      </w:r>
      <w:r w:rsidR="001B46C9">
        <w:rPr>
          <w:rFonts w:ascii="Bookman Old Style" w:hAnsi="Bookman Old Style" w:cs="Arial"/>
          <w:sz w:val="24"/>
          <w:szCs w:val="24"/>
        </w:rPr>
        <w:t xml:space="preserve"> del inicio de la actuación administrativa a</w:t>
      </w:r>
      <w:r w:rsidRPr="00582B18">
        <w:rPr>
          <w:rFonts w:ascii="Bookman Old Style" w:hAnsi="Bookman Old Style" w:cs="Arial"/>
          <w:sz w:val="24"/>
          <w:szCs w:val="24"/>
        </w:rPr>
        <w:t xml:space="preserve"> la sociedad ISAGEN </w:t>
      </w:r>
      <w:r w:rsidRPr="00582B18">
        <w:rPr>
          <w:rFonts w:ascii="Bookman Old Style" w:hAnsi="Bookman Old Style"/>
          <w:sz w:val="24"/>
          <w:szCs w:val="24"/>
        </w:rPr>
        <w:t>S.A E.S.P.,</w:t>
      </w:r>
      <w:r w:rsidRPr="00582B18">
        <w:rPr>
          <w:rFonts w:ascii="Bookman Old Style" w:hAnsi="Bookman Old Style" w:cs="Arial"/>
          <w:sz w:val="24"/>
          <w:szCs w:val="24"/>
        </w:rPr>
        <w:t xml:space="preserve"> en adelante ISAGEN, </w:t>
      </w:r>
      <w:r w:rsidR="00AC3155" w:rsidRPr="00582B18">
        <w:rPr>
          <w:rFonts w:ascii="Bookman Old Style" w:hAnsi="Bookman Old Style" w:cs="Arial"/>
          <w:sz w:val="24"/>
          <w:szCs w:val="24"/>
        </w:rPr>
        <w:t xml:space="preserve">se pronunció sobre el objeto de la actuación mediante comunicación de 26 </w:t>
      </w:r>
      <w:r w:rsidR="00CE6547" w:rsidRPr="00582B18">
        <w:rPr>
          <w:rFonts w:ascii="Bookman Old Style" w:hAnsi="Bookman Old Style" w:cs="Arial"/>
          <w:sz w:val="24"/>
          <w:szCs w:val="24"/>
        </w:rPr>
        <w:t>de junio d</w:t>
      </w:r>
      <w:r w:rsidR="00AC3155" w:rsidRPr="00582B18">
        <w:rPr>
          <w:rFonts w:ascii="Bookman Old Style" w:hAnsi="Bookman Old Style" w:cs="Arial"/>
          <w:sz w:val="24"/>
          <w:szCs w:val="24"/>
        </w:rPr>
        <w:t>e 202</w:t>
      </w:r>
      <w:r w:rsidR="00AC3155" w:rsidRPr="00582B18">
        <w:rPr>
          <w:rFonts w:ascii="Bookman Old Style" w:hAnsi="Bookman Old Style"/>
          <w:sz w:val="24"/>
          <w:szCs w:val="24"/>
        </w:rPr>
        <w:t>1</w:t>
      </w:r>
      <w:r w:rsidR="00AC3155" w:rsidRPr="00582B18">
        <w:rPr>
          <w:rFonts w:ascii="Bookman Old Style" w:hAnsi="Bookman Old Style" w:cs="Arial"/>
          <w:sz w:val="24"/>
          <w:szCs w:val="24"/>
        </w:rPr>
        <w:t xml:space="preserve"> con radicado </w:t>
      </w:r>
      <w:r w:rsidR="00CE6547" w:rsidRPr="00582B18">
        <w:rPr>
          <w:rFonts w:ascii="Bookman Old Style" w:hAnsi="Bookman Old Style" w:cs="Arial"/>
          <w:sz w:val="24"/>
          <w:szCs w:val="24"/>
        </w:rPr>
        <w:t xml:space="preserve">interno </w:t>
      </w:r>
      <w:r w:rsidR="00CE6547" w:rsidRPr="00582B18">
        <w:rPr>
          <w:rFonts w:ascii="Bookman Old Style" w:eastAsia="Arial" w:hAnsi="Bookman Old Style" w:cs="Arial"/>
          <w:sz w:val="24"/>
          <w:szCs w:val="24"/>
        </w:rPr>
        <w:t>E2021-004022</w:t>
      </w:r>
      <w:r w:rsidR="00F958D2" w:rsidRPr="00582B18">
        <w:rPr>
          <w:rFonts w:ascii="Bookman Old Style" w:eastAsia="Arial" w:hAnsi="Bookman Old Style" w:cs="Arial"/>
          <w:sz w:val="24"/>
          <w:szCs w:val="24"/>
        </w:rPr>
        <w:t>, y manifestó que no comparte la conclusión del Auditor para el período enero 1980 a febrero 1987 de la serie San Lorenzo con fundamento en los siguientes argumentos:</w:t>
      </w:r>
      <w:r w:rsidR="00F958D2" w:rsidRPr="00582B18">
        <w:rPr>
          <w:rFonts w:ascii="Bookman Old Style" w:hAnsi="Bookman Old Style"/>
          <w:sz w:val="24"/>
          <w:szCs w:val="24"/>
        </w:rPr>
        <w:t xml:space="preserve"> </w:t>
      </w:r>
    </w:p>
    <w:p w14:paraId="51A1B1B1" w14:textId="17514618" w:rsidR="00F958D2" w:rsidRPr="00A35412" w:rsidRDefault="00F958D2" w:rsidP="00232903">
      <w:pPr>
        <w:spacing w:before="120" w:after="12" w:line="250" w:lineRule="auto"/>
        <w:ind w:left="709" w:right="57"/>
        <w:jc w:val="both"/>
        <w:rPr>
          <w:rFonts w:ascii="Bookman Old Style" w:hAnsi="Bookman Old Style"/>
          <w:i/>
          <w:iCs/>
        </w:rPr>
      </w:pPr>
      <w:r w:rsidRPr="00232903">
        <w:rPr>
          <w:rFonts w:ascii="Bookman Old Style" w:hAnsi="Bookman Old Style"/>
          <w:i/>
          <w:iCs/>
        </w:rPr>
        <w:t>“(…)</w:t>
      </w:r>
      <w:r w:rsidR="00A35412">
        <w:rPr>
          <w:rFonts w:ascii="Bookman Old Style" w:hAnsi="Bookman Old Style"/>
          <w:i/>
          <w:iCs/>
        </w:rPr>
        <w:t xml:space="preserve"> </w:t>
      </w:r>
      <w:r w:rsidRPr="00232903">
        <w:rPr>
          <w:rFonts w:ascii="Bookman Old Style" w:hAnsi="Bookman Old Style"/>
          <w:i/>
          <w:iCs/>
        </w:rPr>
        <w:t xml:space="preserve">Según lo indicamos en la información suministrada (Ver Anexos del informe del auditor), para el periodo enero 1980 a febrero 1987 </w:t>
      </w:r>
      <w:r w:rsidRPr="00A35412">
        <w:rPr>
          <w:rFonts w:ascii="Bookman Old Style" w:eastAsia="Arial" w:hAnsi="Bookman Old Style" w:cs="Arial"/>
          <w:i/>
          <w:iCs/>
        </w:rPr>
        <w:t>“La metodología empleada en este período se presentó en el SH&amp;PH 84 y la serie correspondiente fue aprobada mediante el Acuerdo CNO 172 del 2001. De acuerdo con lo indicado en el Documento GG-I-007-2001 los caudales naturales afluentes al embalse San Lorenzo entre 1980 y 1987 se obtuvieron a partir de la aplicación del modelo lluvia escorrentía MPAGEN. De este modelo no se dispone más información de la mencionada en el Documento GG-I-007-2001”</w:t>
      </w:r>
      <w:r w:rsidRPr="00A35412">
        <w:rPr>
          <w:rFonts w:ascii="Bookman Old Style" w:hAnsi="Bookman Old Style"/>
          <w:i/>
          <w:iCs/>
        </w:rPr>
        <w:t xml:space="preserve">. </w:t>
      </w:r>
    </w:p>
    <w:p w14:paraId="57C829AC" w14:textId="77777777" w:rsidR="00F958D2" w:rsidRPr="00582B18" w:rsidRDefault="00F958D2" w:rsidP="00232903">
      <w:pPr>
        <w:numPr>
          <w:ilvl w:val="0"/>
          <w:numId w:val="14"/>
        </w:numPr>
        <w:spacing w:before="120" w:after="12" w:line="250" w:lineRule="auto"/>
        <w:ind w:left="993" w:right="57" w:hanging="284"/>
        <w:jc w:val="both"/>
        <w:rPr>
          <w:rFonts w:ascii="Bookman Old Style" w:hAnsi="Bookman Old Style"/>
          <w:i/>
        </w:rPr>
      </w:pPr>
      <w:r w:rsidRPr="00582B18">
        <w:rPr>
          <w:rFonts w:ascii="Bookman Old Style" w:hAnsi="Bookman Old Style"/>
          <w:i/>
        </w:rPr>
        <w:t>La información para este período fue sometida a aprobación del CNO con los respectivos soportes técnicos cumpliendo con los procedimientos establecidos para tal fin.</w:t>
      </w:r>
      <w:r w:rsidRPr="00582B18">
        <w:rPr>
          <w:rFonts w:ascii="Bookman Old Style" w:eastAsia="Arial" w:hAnsi="Bookman Old Style" w:cs="Arial"/>
          <w:b/>
          <w:i/>
        </w:rPr>
        <w:t xml:space="preserve"> </w:t>
      </w:r>
    </w:p>
    <w:p w14:paraId="7CF576D4" w14:textId="77777777" w:rsidR="00F958D2" w:rsidRPr="00582B18" w:rsidRDefault="00F958D2" w:rsidP="00232903">
      <w:pPr>
        <w:numPr>
          <w:ilvl w:val="0"/>
          <w:numId w:val="14"/>
        </w:numPr>
        <w:spacing w:before="120" w:after="12" w:line="250" w:lineRule="auto"/>
        <w:ind w:left="993" w:right="57" w:hanging="284"/>
        <w:jc w:val="both"/>
        <w:rPr>
          <w:rFonts w:ascii="Bookman Old Style" w:hAnsi="Bookman Old Style"/>
          <w:i/>
        </w:rPr>
      </w:pPr>
      <w:r w:rsidRPr="00582B18">
        <w:rPr>
          <w:rFonts w:ascii="Bookman Old Style" w:hAnsi="Bookman Old Style"/>
          <w:i/>
        </w:rPr>
        <w:t xml:space="preserve">El periodo en cuestión no ha presentado modificaciones desde la anterior auditoría de parámetros realizada por la firma SEDIC S.A. en 2008-2009, donde ISAGEN expuso que por obsolescencia tecnológica no se dispone de los resultados detallados del modelo </w:t>
      </w:r>
      <w:r w:rsidRPr="00582B18">
        <w:rPr>
          <w:rFonts w:ascii="Bookman Old Style" w:eastAsia="Arial" w:hAnsi="Bookman Old Style" w:cs="Arial"/>
          <w:i/>
        </w:rPr>
        <w:t xml:space="preserve">MPAGEN </w:t>
      </w:r>
      <w:r w:rsidRPr="00582B18">
        <w:rPr>
          <w:rFonts w:ascii="Bookman Old Style" w:hAnsi="Bookman Old Style"/>
          <w:i/>
        </w:rPr>
        <w:t>y en esa oportunidad se determinó que la serie NO PRESENTA DISCREPANCIA.</w:t>
      </w:r>
      <w:r w:rsidRPr="00582B18">
        <w:rPr>
          <w:rFonts w:ascii="Bookman Old Style" w:eastAsia="Arial" w:hAnsi="Bookman Old Style" w:cs="Arial"/>
          <w:b/>
          <w:i/>
        </w:rPr>
        <w:t xml:space="preserve"> </w:t>
      </w:r>
    </w:p>
    <w:p w14:paraId="0042F817" w14:textId="77777777" w:rsidR="00F958D2" w:rsidRPr="00232903" w:rsidRDefault="00F958D2" w:rsidP="00232903">
      <w:pPr>
        <w:numPr>
          <w:ilvl w:val="0"/>
          <w:numId w:val="14"/>
        </w:numPr>
        <w:spacing w:before="120" w:after="12" w:line="250" w:lineRule="auto"/>
        <w:ind w:left="993" w:right="57" w:hanging="284"/>
        <w:jc w:val="both"/>
        <w:rPr>
          <w:rFonts w:ascii="Bookman Old Style" w:hAnsi="Bookman Old Style"/>
          <w:i/>
        </w:rPr>
      </w:pPr>
      <w:r w:rsidRPr="00232903">
        <w:rPr>
          <w:rFonts w:ascii="Bookman Old Style" w:hAnsi="Bookman Old Style"/>
          <w:i/>
        </w:rPr>
        <w:t xml:space="preserve">Según el Anexo 6 de la Resolución CREG 071 de 2006, para la verificación de las series históricas de caudales: </w:t>
      </w:r>
      <w:r w:rsidRPr="00232903">
        <w:rPr>
          <w:rFonts w:ascii="Bookman Old Style" w:eastAsia="Arial" w:hAnsi="Bookman Old Style" w:cs="Arial"/>
          <w:i/>
        </w:rPr>
        <w:t>“Se considerará discrepancia cualquier valor declarado superior al calculado por la firma auditora”.</w:t>
      </w:r>
      <w:r w:rsidRPr="00232903">
        <w:rPr>
          <w:rFonts w:ascii="Bookman Old Style" w:hAnsi="Bookman Old Style"/>
          <w:i/>
        </w:rPr>
        <w:t xml:space="preserve"> En este caso, en nuestro concepto, la conclusión del auditor debería ser que hay unos períodos con ausencia de información de respaldo en los que no pudieron replicarse los cálculos detallados, no obstante, es posible y viable hacer la verificación y constatar que los caudales medios mensuales reportados a la CREG son los mismos incluidos en los documentos de soporte presentados en su momento al Subcomité correspondiente del CNO.  </w:t>
      </w:r>
    </w:p>
    <w:p w14:paraId="3168F8DA" w14:textId="77777777" w:rsidR="00A803EF" w:rsidRPr="001414FF" w:rsidRDefault="00F958D2" w:rsidP="00232903">
      <w:pPr>
        <w:numPr>
          <w:ilvl w:val="0"/>
          <w:numId w:val="14"/>
        </w:numPr>
        <w:spacing w:before="120" w:after="12" w:line="250" w:lineRule="auto"/>
        <w:ind w:left="993" w:right="57" w:hanging="284"/>
        <w:jc w:val="both"/>
        <w:rPr>
          <w:rFonts w:ascii="Bookman Old Style" w:hAnsi="Bookman Old Style"/>
          <w:i/>
        </w:rPr>
      </w:pPr>
      <w:r w:rsidRPr="00232903">
        <w:rPr>
          <w:rFonts w:ascii="Bookman Old Style" w:hAnsi="Bookman Old Style"/>
          <w:i/>
        </w:rPr>
        <w:lastRenderedPageBreak/>
        <w:t>Teniendo en cuenta lo anteriormente expuesto, ISAGEN no comparte que se concluyan discrepancias cuando la firma auditora no está en capacidad de hacer los cálculos en los períodos de la serie, toda vez que, aunque no se tiene la información de respaldo, deben utilizarse los valores mensuales</w:t>
      </w:r>
      <w:r w:rsidRPr="001414FF">
        <w:rPr>
          <w:rFonts w:ascii="Bookman Old Style" w:hAnsi="Bookman Old Style"/>
          <w:i/>
        </w:rPr>
        <w:t xml:space="preserve"> resultado del estudio hidrológico presentado al CNO, por lo </w:t>
      </w:r>
      <w:bookmarkStart w:id="1" w:name="_Hlk98605122"/>
      <w:r w:rsidRPr="001414FF">
        <w:rPr>
          <w:rFonts w:ascii="Bookman Old Style" w:hAnsi="Bookman Old Style"/>
          <w:i/>
        </w:rPr>
        <w:t>que con base en esta informac</w:t>
      </w:r>
      <w:r w:rsidR="003946CB" w:rsidRPr="001414FF">
        <w:rPr>
          <w:rFonts w:ascii="Bookman Old Style" w:hAnsi="Bookman Old Style"/>
          <w:i/>
        </w:rPr>
        <w:t xml:space="preserve">ión NO SE PRESENTA </w:t>
      </w:r>
      <w:r w:rsidR="00B3353F" w:rsidRPr="001414FF">
        <w:rPr>
          <w:rFonts w:ascii="Bookman Old Style" w:hAnsi="Bookman Old Style"/>
          <w:i/>
        </w:rPr>
        <w:t>DISCREPANCIA.</w:t>
      </w:r>
      <w:r w:rsidR="003946CB" w:rsidRPr="001414FF">
        <w:rPr>
          <w:rFonts w:ascii="Bookman Old Style" w:hAnsi="Bookman Old Style"/>
          <w:i/>
        </w:rPr>
        <w:t>”</w:t>
      </w:r>
      <w:bookmarkEnd w:id="1"/>
      <w:r w:rsidR="003946CB" w:rsidRPr="001414FF">
        <w:rPr>
          <w:rFonts w:ascii="Bookman Old Style" w:hAnsi="Bookman Old Style"/>
          <w:i/>
        </w:rPr>
        <w:t>.</w:t>
      </w:r>
    </w:p>
    <w:p w14:paraId="4369990C" w14:textId="5E59ADAF" w:rsidR="00AC3155" w:rsidRPr="00A803EF" w:rsidRDefault="00AC3155" w:rsidP="00A803EF">
      <w:pPr>
        <w:spacing w:after="12" w:line="250" w:lineRule="auto"/>
        <w:ind w:left="0" w:right="57"/>
        <w:jc w:val="both"/>
        <w:rPr>
          <w:rFonts w:ascii="Bookman Old Style" w:hAnsi="Bookman Old Style"/>
          <w:i/>
        </w:rPr>
      </w:pPr>
      <w:r w:rsidRPr="00A803EF">
        <w:rPr>
          <w:rFonts w:ascii="Bookman Old Style" w:hAnsi="Bookman Old Style"/>
          <w:sz w:val="22"/>
          <w:szCs w:val="22"/>
        </w:rPr>
        <w:t xml:space="preserve">   </w:t>
      </w:r>
    </w:p>
    <w:p w14:paraId="728042AD" w14:textId="69EFC367" w:rsidR="002D5BFD" w:rsidRPr="00582B18" w:rsidRDefault="00611D08" w:rsidP="002D5BFD">
      <w:pPr>
        <w:pStyle w:val="Textoindependiente"/>
        <w:ind w:left="0"/>
        <w:jc w:val="both"/>
        <w:rPr>
          <w:rFonts w:ascii="Bookman Old Style" w:hAnsi="Bookman Old Style"/>
          <w:b w:val="0"/>
        </w:rPr>
      </w:pPr>
      <w:r>
        <w:rPr>
          <w:rFonts w:ascii="Bookman Old Style" w:hAnsi="Bookman Old Style"/>
          <w:spacing w:val="-5"/>
          <w:lang w:val="es-CO" w:eastAsia="en-US"/>
        </w:rPr>
        <w:t>B</w:t>
      </w:r>
      <w:r w:rsidR="00324AD9" w:rsidRPr="00582B18">
        <w:rPr>
          <w:rFonts w:ascii="Bookman Old Style" w:hAnsi="Bookman Old Style"/>
          <w:spacing w:val="-5"/>
          <w:lang w:val="es-CO" w:eastAsia="en-US"/>
        </w:rPr>
        <w:t xml:space="preserve">. Pruebas </w:t>
      </w:r>
      <w:r w:rsidR="00B3353F" w:rsidRPr="00582B18">
        <w:rPr>
          <w:rFonts w:ascii="Bookman Old Style" w:hAnsi="Bookman Old Style"/>
          <w:spacing w:val="-5"/>
          <w:lang w:val="es-CO" w:eastAsia="en-US"/>
        </w:rPr>
        <w:t>decretadas. -</w:t>
      </w:r>
      <w:r w:rsidR="00324AD9" w:rsidRPr="00582B18">
        <w:rPr>
          <w:rFonts w:ascii="Bookman Old Style" w:hAnsi="Bookman Old Style"/>
          <w:b w:val="0"/>
          <w:spacing w:val="-5"/>
          <w:lang w:val="es-CO" w:eastAsia="en-US"/>
        </w:rPr>
        <w:t xml:space="preserve"> La CREG</w:t>
      </w:r>
      <w:r w:rsidR="002F2655">
        <w:rPr>
          <w:rFonts w:ascii="Bookman Old Style" w:hAnsi="Bookman Old Style"/>
          <w:b w:val="0"/>
          <w:spacing w:val="-5"/>
          <w:lang w:val="es-CO" w:eastAsia="en-US"/>
        </w:rPr>
        <w:t>,</w:t>
      </w:r>
      <w:r w:rsidR="00324AD9" w:rsidRPr="00582B18">
        <w:rPr>
          <w:rFonts w:ascii="Bookman Old Style" w:hAnsi="Bookman Old Style"/>
          <w:b w:val="0"/>
          <w:spacing w:val="-5"/>
          <w:lang w:val="es-CO" w:eastAsia="en-US"/>
        </w:rPr>
        <w:t xml:space="preserve"> mediante el auto de</w:t>
      </w:r>
      <w:r w:rsidR="005F3874">
        <w:rPr>
          <w:rFonts w:ascii="Bookman Old Style" w:hAnsi="Bookman Old Style"/>
          <w:b w:val="0"/>
          <w:spacing w:val="-5"/>
          <w:lang w:val="es-CO" w:eastAsia="en-US"/>
        </w:rPr>
        <w:t xml:space="preserve"> 6</w:t>
      </w:r>
      <w:r w:rsidR="00324AD9" w:rsidRPr="00582B18">
        <w:rPr>
          <w:rFonts w:ascii="Bookman Old Style" w:hAnsi="Bookman Old Style"/>
          <w:b w:val="0"/>
          <w:spacing w:val="-5"/>
          <w:lang w:val="es-CO" w:eastAsia="en-US"/>
        </w:rPr>
        <w:t xml:space="preserve"> agosto de 2021, </w:t>
      </w:r>
      <w:r w:rsidR="00B3353F" w:rsidRPr="00582B18">
        <w:rPr>
          <w:rFonts w:ascii="Bookman Old Style" w:hAnsi="Bookman Old Style"/>
          <w:b w:val="0"/>
          <w:spacing w:val="-5"/>
          <w:lang w:val="es-CO" w:eastAsia="en-US"/>
        </w:rPr>
        <w:t>decretó la</w:t>
      </w:r>
      <w:r w:rsidR="00324AD9" w:rsidRPr="00582B18">
        <w:rPr>
          <w:rFonts w:ascii="Bookman Old Style" w:hAnsi="Bookman Old Style"/>
          <w:b w:val="0"/>
          <w:spacing w:val="-5"/>
          <w:lang w:val="es-CO" w:eastAsia="en-US"/>
        </w:rPr>
        <w:t xml:space="preserve"> práctica de pruebas; requiriendo de oficio a</w:t>
      </w:r>
      <w:r w:rsidR="002D5BFD" w:rsidRPr="00582B18">
        <w:rPr>
          <w:rFonts w:ascii="Bookman Old Style" w:hAnsi="Bookman Old Style"/>
          <w:b w:val="0"/>
        </w:rPr>
        <w:t xml:space="preserve"> XM S</w:t>
      </w:r>
      <w:r w:rsidR="008558DA">
        <w:rPr>
          <w:rFonts w:ascii="Bookman Old Style" w:hAnsi="Bookman Old Style"/>
          <w:b w:val="0"/>
        </w:rPr>
        <w:t>.</w:t>
      </w:r>
      <w:r w:rsidR="002D5BFD" w:rsidRPr="00582B18">
        <w:rPr>
          <w:rFonts w:ascii="Bookman Old Style" w:hAnsi="Bookman Old Style"/>
          <w:b w:val="0"/>
        </w:rPr>
        <w:t>A</w:t>
      </w:r>
      <w:r w:rsidR="008558DA">
        <w:rPr>
          <w:rFonts w:ascii="Bookman Old Style" w:hAnsi="Bookman Old Style"/>
          <w:b w:val="0"/>
        </w:rPr>
        <w:t>.</w:t>
      </w:r>
      <w:r w:rsidR="002D5BFD" w:rsidRPr="00582B18">
        <w:rPr>
          <w:rFonts w:ascii="Bookman Old Style" w:hAnsi="Bookman Old Style"/>
          <w:b w:val="0"/>
        </w:rPr>
        <w:t xml:space="preserve"> </w:t>
      </w:r>
      <w:r w:rsidR="00B3353F" w:rsidRPr="00582B18">
        <w:rPr>
          <w:rFonts w:ascii="Bookman Old Style" w:hAnsi="Bookman Old Style"/>
          <w:b w:val="0"/>
        </w:rPr>
        <w:t>E</w:t>
      </w:r>
      <w:r w:rsidR="008558DA">
        <w:rPr>
          <w:rFonts w:ascii="Bookman Old Style" w:hAnsi="Bookman Old Style"/>
          <w:b w:val="0"/>
        </w:rPr>
        <w:t>.</w:t>
      </w:r>
      <w:r w:rsidR="00B3353F" w:rsidRPr="00582B18">
        <w:rPr>
          <w:rFonts w:ascii="Bookman Old Style" w:hAnsi="Bookman Old Style"/>
          <w:b w:val="0"/>
        </w:rPr>
        <w:t>S</w:t>
      </w:r>
      <w:r w:rsidR="008558DA">
        <w:rPr>
          <w:rFonts w:ascii="Bookman Old Style" w:hAnsi="Bookman Old Style"/>
          <w:b w:val="0"/>
        </w:rPr>
        <w:t>.</w:t>
      </w:r>
      <w:r w:rsidR="00B3353F" w:rsidRPr="00582B18">
        <w:rPr>
          <w:rFonts w:ascii="Bookman Old Style" w:hAnsi="Bookman Old Style"/>
          <w:b w:val="0"/>
        </w:rPr>
        <w:t>P</w:t>
      </w:r>
      <w:r w:rsidR="008558DA">
        <w:rPr>
          <w:rFonts w:ascii="Bookman Old Style" w:hAnsi="Bookman Old Style"/>
          <w:b w:val="0"/>
        </w:rPr>
        <w:t>.</w:t>
      </w:r>
      <w:r w:rsidR="00B3353F" w:rsidRPr="00582B18">
        <w:rPr>
          <w:rFonts w:ascii="Bookman Old Style" w:hAnsi="Bookman Old Style"/>
          <w:b w:val="0"/>
        </w:rPr>
        <w:t xml:space="preserve"> para</w:t>
      </w:r>
      <w:r w:rsidR="002D5BFD" w:rsidRPr="00582B18">
        <w:rPr>
          <w:rFonts w:ascii="Bookman Old Style" w:hAnsi="Bookman Old Style"/>
          <w:b w:val="0"/>
        </w:rPr>
        <w:t xml:space="preserve"> que </w:t>
      </w:r>
      <w:bookmarkStart w:id="2" w:name="_Hlk98605311"/>
      <w:r w:rsidR="002D5BFD" w:rsidRPr="00582B18">
        <w:rPr>
          <w:rFonts w:ascii="Bookman Old Style" w:hAnsi="Bookman Old Style"/>
          <w:b w:val="0"/>
        </w:rPr>
        <w:t xml:space="preserve">adelante el cálculo de la ENFICC de la planta Jaguas utilizando el modelo </w:t>
      </w:r>
      <w:r w:rsidR="00A66120" w:rsidRPr="00582B18">
        <w:rPr>
          <w:rFonts w:ascii="Bookman Old Style" w:hAnsi="Bookman Old Style"/>
          <w:b w:val="0"/>
        </w:rPr>
        <w:t>HIDENFICC</w:t>
      </w:r>
      <w:r w:rsidR="002D5BFD" w:rsidRPr="00582B18">
        <w:rPr>
          <w:rFonts w:ascii="Bookman Old Style" w:hAnsi="Bookman Old Style"/>
          <w:b w:val="0"/>
        </w:rPr>
        <w:t>, teniendo en cuenta los resultados de la auditoría de parámetros adelantada por la firma HMV</w:t>
      </w:r>
      <w:bookmarkEnd w:id="2"/>
      <w:r w:rsidR="002F2655">
        <w:rPr>
          <w:rFonts w:ascii="Bookman Old Style" w:hAnsi="Bookman Old Style"/>
          <w:b w:val="0"/>
        </w:rPr>
        <w:t xml:space="preserve"> Ingenieros</w:t>
      </w:r>
      <w:r w:rsidR="002D5BFD" w:rsidRPr="00582B18">
        <w:rPr>
          <w:rFonts w:ascii="Bookman Old Style" w:hAnsi="Bookman Old Style"/>
          <w:b w:val="0"/>
        </w:rPr>
        <w:t xml:space="preserve">.   </w:t>
      </w:r>
    </w:p>
    <w:p w14:paraId="31E1244D" w14:textId="77777777" w:rsidR="00324AD9" w:rsidRPr="00582B18" w:rsidRDefault="00324AD9" w:rsidP="00232903">
      <w:pPr>
        <w:widowControl w:val="0"/>
        <w:adjustRightInd w:val="0"/>
        <w:spacing w:after="120"/>
        <w:ind w:left="0"/>
        <w:jc w:val="both"/>
        <w:textAlignment w:val="baseline"/>
        <w:rPr>
          <w:rFonts w:ascii="Bookman Old Style" w:hAnsi="Bookman Old Style" w:cs="Arial"/>
          <w:spacing w:val="-5"/>
          <w:lang w:val="es-CO" w:eastAsia="en-US"/>
        </w:rPr>
      </w:pPr>
    </w:p>
    <w:p w14:paraId="253A7544" w14:textId="77777777" w:rsidR="00324AD9" w:rsidRPr="00582B18" w:rsidRDefault="00324AD9" w:rsidP="00324AD9">
      <w:pPr>
        <w:ind w:left="0"/>
        <w:rPr>
          <w:rFonts w:ascii="Bookman Old Style" w:hAnsi="Bookman Old Style"/>
          <w:b/>
        </w:rPr>
      </w:pPr>
      <w:r w:rsidRPr="00582B18">
        <w:rPr>
          <w:rFonts w:ascii="Bookman Old Style" w:hAnsi="Bookman Old Style"/>
          <w:b/>
        </w:rPr>
        <w:t>IV. ANÁLISIS PROBATORIO Y CONCLUSIONES</w:t>
      </w:r>
    </w:p>
    <w:p w14:paraId="4EB17CA1" w14:textId="77777777" w:rsidR="00324AD9" w:rsidRPr="00582B18" w:rsidRDefault="00324AD9" w:rsidP="00324AD9">
      <w:pPr>
        <w:rPr>
          <w:rFonts w:ascii="Bookman Old Style" w:hAnsi="Bookman Old Style" w:cs="Arial"/>
          <w:lang w:val="es-CO"/>
        </w:rPr>
      </w:pPr>
    </w:p>
    <w:p w14:paraId="0A071EE8" w14:textId="223CA865" w:rsidR="00324AD9" w:rsidRPr="00582B18" w:rsidRDefault="00324AD9" w:rsidP="00324AD9">
      <w:pPr>
        <w:ind w:left="0"/>
        <w:jc w:val="both"/>
        <w:rPr>
          <w:rFonts w:ascii="Bookman Old Style" w:hAnsi="Bookman Old Style" w:cs="Arial"/>
          <w:lang w:val="es-CO"/>
        </w:rPr>
      </w:pPr>
      <w:r w:rsidRPr="00582B18">
        <w:rPr>
          <w:rFonts w:ascii="Bookman Old Style" w:hAnsi="Bookman Old Style" w:cs="Arial"/>
          <w:lang w:val="es-CO"/>
        </w:rPr>
        <w:t>Con fundamento en las pruebas recaudadas</w:t>
      </w:r>
      <w:r w:rsidR="005D72C3">
        <w:rPr>
          <w:rFonts w:ascii="Bookman Old Style" w:hAnsi="Bookman Old Style" w:cs="Arial"/>
          <w:lang w:val="es-CO"/>
        </w:rPr>
        <w:t>,</w:t>
      </w:r>
      <w:r w:rsidRPr="00582B18">
        <w:rPr>
          <w:rFonts w:ascii="Bookman Old Style" w:hAnsi="Bookman Old Style" w:cs="Arial"/>
          <w:lang w:val="es-CO"/>
        </w:rPr>
        <w:t xml:space="preserve"> se analiza el alcance y efectos de las discrepancias en el parámetro “</w:t>
      </w:r>
      <w:r w:rsidR="00A66120" w:rsidRPr="00582B18">
        <w:rPr>
          <w:rFonts w:ascii="Bookman Old Style" w:hAnsi="Bookman Old Style" w:cs="Arial"/>
          <w:iCs/>
        </w:rPr>
        <w:t xml:space="preserve">Serie </w:t>
      </w:r>
      <w:r w:rsidRPr="00582B18">
        <w:rPr>
          <w:rFonts w:ascii="Bookman Old Style" w:hAnsi="Bookman Old Style" w:cs="Arial"/>
          <w:iCs/>
        </w:rPr>
        <w:t>histórica de caudales medios mensuales de los ríos del SIN</w:t>
      </w:r>
      <w:r w:rsidRPr="00582B18">
        <w:rPr>
          <w:rFonts w:ascii="Bookman Old Style" w:hAnsi="Bookman Old Style" w:cs="Arial"/>
          <w:lang w:val="es-CO"/>
        </w:rPr>
        <w:t xml:space="preserve">”, reportados por la empresa ISAGEN S.A. E.S.P. para su planta </w:t>
      </w:r>
      <w:r w:rsidR="00A66120" w:rsidRPr="00582B18">
        <w:rPr>
          <w:rFonts w:ascii="Bookman Old Style" w:hAnsi="Bookman Old Style" w:cs="Arial"/>
          <w:lang w:val="es-CO"/>
        </w:rPr>
        <w:t>Jaguas</w:t>
      </w:r>
      <w:r w:rsidR="00A66120">
        <w:rPr>
          <w:rFonts w:ascii="Bookman Old Style" w:hAnsi="Bookman Old Style" w:cs="Arial"/>
          <w:lang w:val="es-CO"/>
        </w:rPr>
        <w:t>,</w:t>
      </w:r>
      <w:r w:rsidR="00A66120" w:rsidRPr="00582B18">
        <w:rPr>
          <w:rFonts w:ascii="Bookman Old Style" w:hAnsi="Bookman Old Style" w:cs="Arial"/>
          <w:lang w:val="es-CO"/>
        </w:rPr>
        <w:t xml:space="preserve"> </w:t>
      </w:r>
      <w:r w:rsidR="00A66120">
        <w:rPr>
          <w:rFonts w:ascii="Bookman Old Style" w:hAnsi="Bookman Old Style" w:cs="Arial"/>
          <w:lang w:val="es-CO"/>
        </w:rPr>
        <w:t>s</w:t>
      </w:r>
      <w:r w:rsidR="00A66120" w:rsidRPr="00582B18">
        <w:rPr>
          <w:rFonts w:ascii="Bookman Old Style" w:hAnsi="Bookman Old Style" w:cs="Arial"/>
          <w:lang w:val="es-CO"/>
        </w:rPr>
        <w:t>erie San Lorenzo</w:t>
      </w:r>
      <w:r w:rsidRPr="00582B18">
        <w:rPr>
          <w:rFonts w:ascii="Bookman Old Style" w:hAnsi="Bookman Old Style" w:cs="Arial"/>
          <w:lang w:val="es-CO"/>
        </w:rPr>
        <w:t xml:space="preserve">, se procede a determinar la existencia o no de las presuntas discrepancias, con el propósito de establecer si deben o no confirmarse. </w:t>
      </w:r>
    </w:p>
    <w:p w14:paraId="6644BDBF" w14:textId="77777777" w:rsidR="00324AD9" w:rsidRPr="00582B18" w:rsidRDefault="00324AD9" w:rsidP="00324AD9">
      <w:pPr>
        <w:ind w:left="0"/>
        <w:rPr>
          <w:rFonts w:ascii="Bookman Old Style" w:hAnsi="Bookman Old Style" w:cs="Arial"/>
          <w:lang w:val="es-CO"/>
        </w:rPr>
      </w:pPr>
    </w:p>
    <w:p w14:paraId="46C0A274" w14:textId="69B68872" w:rsidR="004030F8" w:rsidRPr="00643815" w:rsidRDefault="009809A5" w:rsidP="00232903">
      <w:pPr>
        <w:ind w:left="0"/>
        <w:jc w:val="both"/>
        <w:rPr>
          <w:rFonts w:ascii="Bookman Old Style" w:hAnsi="Bookman Old Style" w:cs="Arial"/>
        </w:rPr>
      </w:pPr>
      <w:r w:rsidRPr="00643815">
        <w:rPr>
          <w:rFonts w:ascii="Bookman Old Style" w:hAnsi="Bookman Old Style" w:cs="Arial"/>
        </w:rPr>
        <w:t xml:space="preserve">Al ejercer el derecho </w:t>
      </w:r>
      <w:r w:rsidRPr="00A66120">
        <w:rPr>
          <w:rFonts w:ascii="Bookman Old Style" w:hAnsi="Bookman Old Style" w:cs="Arial"/>
          <w:lang w:val="es-CO"/>
        </w:rPr>
        <w:t>de</w:t>
      </w:r>
      <w:r w:rsidRPr="00643815">
        <w:rPr>
          <w:rFonts w:ascii="Bookman Old Style" w:hAnsi="Bookman Old Style" w:cs="Arial"/>
        </w:rPr>
        <w:t xml:space="preserve"> contradicción</w:t>
      </w:r>
      <w:r w:rsidR="005D72C3">
        <w:rPr>
          <w:rFonts w:ascii="Bookman Old Style" w:hAnsi="Bookman Old Style" w:cs="Arial"/>
        </w:rPr>
        <w:t>,</w:t>
      </w:r>
      <w:r w:rsidR="004030F8" w:rsidRPr="00643815">
        <w:rPr>
          <w:rFonts w:ascii="Bookman Old Style" w:hAnsi="Bookman Old Style" w:cs="Arial"/>
        </w:rPr>
        <w:t xml:space="preserve"> ISAGEN </w:t>
      </w:r>
      <w:r w:rsidR="005D72C3">
        <w:rPr>
          <w:rFonts w:ascii="Bookman Old Style" w:hAnsi="Bookman Old Style" w:cs="Arial"/>
        </w:rPr>
        <w:t xml:space="preserve">S.A. E.S.P. </w:t>
      </w:r>
      <w:r w:rsidR="004030F8" w:rsidRPr="00643815">
        <w:rPr>
          <w:rFonts w:ascii="Bookman Old Style" w:hAnsi="Bookman Old Style" w:cs="Arial"/>
        </w:rPr>
        <w:t>manifiesta lo</w:t>
      </w:r>
      <w:r w:rsidR="004029A1">
        <w:rPr>
          <w:rFonts w:ascii="Bookman Old Style" w:hAnsi="Bookman Old Style" w:cs="Arial"/>
        </w:rPr>
        <w:t xml:space="preserve"> que se cita en el numeral III literal A de la presente resolución</w:t>
      </w:r>
      <w:r w:rsidR="008558DA">
        <w:rPr>
          <w:rFonts w:ascii="Bookman Old Style" w:hAnsi="Bookman Old Style" w:cs="Arial"/>
        </w:rPr>
        <w:t xml:space="preserve">, concluyendo </w:t>
      </w:r>
      <w:r w:rsidR="008558DA" w:rsidRPr="008558DA">
        <w:rPr>
          <w:rFonts w:ascii="Bookman Old Style" w:hAnsi="Bookman Old Style" w:cs="Arial"/>
        </w:rPr>
        <w:t xml:space="preserve">que </w:t>
      </w:r>
      <w:r w:rsidR="008558DA" w:rsidRPr="00232903">
        <w:rPr>
          <w:rFonts w:ascii="Bookman Old Style" w:hAnsi="Bookman Old Style" w:cs="Arial"/>
          <w:i/>
          <w:iCs/>
        </w:rPr>
        <w:t>“con base en esta información NO SE PRESENTA DISCREPANCIA.”</w:t>
      </w:r>
    </w:p>
    <w:p w14:paraId="1DC4829C" w14:textId="14EAF97C" w:rsidR="004030F8" w:rsidRDefault="004030F8" w:rsidP="009809A5">
      <w:pPr>
        <w:ind w:left="0"/>
        <w:jc w:val="both"/>
        <w:rPr>
          <w:rFonts w:ascii="Bookman Old Style" w:hAnsi="Bookman Old Style" w:cs="Arial"/>
        </w:rPr>
      </w:pPr>
    </w:p>
    <w:p w14:paraId="1571D6A0" w14:textId="58EAAF1F" w:rsidR="008558DA" w:rsidRDefault="00592B13" w:rsidP="009809A5">
      <w:pPr>
        <w:ind w:left="0"/>
        <w:jc w:val="both"/>
        <w:rPr>
          <w:rFonts w:ascii="Bookman Old Style" w:hAnsi="Bookman Old Style" w:cs="Arial"/>
        </w:rPr>
      </w:pPr>
      <w:r>
        <w:rPr>
          <w:rFonts w:ascii="Bookman Old Style" w:hAnsi="Bookman Old Style" w:cs="Arial"/>
        </w:rPr>
        <w:t>Por su parte</w:t>
      </w:r>
      <w:r w:rsidRPr="00592B13">
        <w:rPr>
          <w:rFonts w:ascii="Bookman Old Style" w:hAnsi="Bookman Old Style" w:cs="Arial"/>
        </w:rPr>
        <w:t xml:space="preserve"> XM S.A. E.S.P, como consecuencia del requerimiento efectuado por la Comisión en el auto de pruebas, en el sentido</w:t>
      </w:r>
      <w:r>
        <w:rPr>
          <w:rFonts w:ascii="Bookman Old Style" w:hAnsi="Bookman Old Style" w:cs="Arial"/>
        </w:rPr>
        <w:t xml:space="preserve"> de adelantar </w:t>
      </w:r>
      <w:r w:rsidRPr="00592B13">
        <w:rPr>
          <w:rFonts w:ascii="Bookman Old Style" w:hAnsi="Bookman Old Style" w:cs="Arial"/>
        </w:rPr>
        <w:t>el cálculo de la ENFICC de la planta Jaguas utilizando el modelo HIDENFICC, teniendo en cuenta los resultados de la auditoría de parámetros adelantada por la firma HMV</w:t>
      </w:r>
      <w:r w:rsidR="005D72C3">
        <w:rPr>
          <w:rFonts w:ascii="Bookman Old Style" w:hAnsi="Bookman Old Style" w:cs="Arial"/>
        </w:rPr>
        <w:t xml:space="preserve"> Ingenieros</w:t>
      </w:r>
      <w:r>
        <w:rPr>
          <w:rFonts w:ascii="Bookman Old Style" w:hAnsi="Bookman Old Style" w:cs="Arial"/>
        </w:rPr>
        <w:t xml:space="preserve">, mediante </w:t>
      </w:r>
      <w:r w:rsidRPr="00D1644D">
        <w:rPr>
          <w:rFonts w:ascii="Bookman Old Style" w:hAnsi="Bookman Old Style" w:cs="Arial"/>
          <w:spacing w:val="-5"/>
          <w:lang w:eastAsia="en-US"/>
        </w:rPr>
        <w:t xml:space="preserve">oficio </w:t>
      </w:r>
      <w:r w:rsidRPr="00D1644D">
        <w:rPr>
          <w:rFonts w:ascii="Bookman Old Style" w:hAnsi="Bookman Old Style"/>
        </w:rPr>
        <w:t>2111– 11202144021534-3 manifestó lo siguiente</w:t>
      </w:r>
      <w:r>
        <w:rPr>
          <w:rFonts w:ascii="Bookman Old Style" w:hAnsi="Bookman Old Style"/>
        </w:rPr>
        <w:t xml:space="preserve">, </w:t>
      </w:r>
      <w:r w:rsidRPr="00592B13">
        <w:rPr>
          <w:rFonts w:ascii="Bookman Old Style" w:hAnsi="Bookman Old Style" w:cs="Arial"/>
        </w:rPr>
        <w:t>precisando la información utilizada para el cálculo conforme a las indicaciones de la CREG:</w:t>
      </w:r>
    </w:p>
    <w:p w14:paraId="2BB15999" w14:textId="77777777" w:rsidR="008558DA" w:rsidRDefault="008558DA" w:rsidP="009809A5">
      <w:pPr>
        <w:ind w:left="0"/>
        <w:jc w:val="both"/>
        <w:rPr>
          <w:rFonts w:ascii="Bookman Old Style" w:hAnsi="Bookman Old Style" w:cs="Arial"/>
        </w:rPr>
      </w:pPr>
    </w:p>
    <w:p w14:paraId="233E91FA" w14:textId="08A9F2C1" w:rsidR="00BA5A5D" w:rsidRPr="003627A2" w:rsidRDefault="00A66120" w:rsidP="00232903">
      <w:pPr>
        <w:widowControl w:val="0"/>
        <w:adjustRightInd w:val="0"/>
        <w:ind w:left="426"/>
        <w:jc w:val="both"/>
        <w:textAlignment w:val="baseline"/>
        <w:rPr>
          <w:rFonts w:ascii="Bookman Old Style" w:hAnsi="Bookman Old Style" w:cs="Arial"/>
          <w:spacing w:val="-5"/>
          <w:lang w:val="es-CO" w:eastAsia="en-US"/>
        </w:rPr>
      </w:pPr>
      <w:r>
        <w:rPr>
          <w:rFonts w:ascii="Bookman Old Style" w:hAnsi="Bookman Old Style"/>
        </w:rPr>
        <w:t>“</w:t>
      </w:r>
      <w:r w:rsidR="00324AD9" w:rsidRPr="00582B18">
        <w:rPr>
          <w:rFonts w:ascii="Bookman Old Style" w:hAnsi="Bookman Old Style" w:cs="Arial"/>
          <w:spacing w:val="-5"/>
          <w:sz w:val="22"/>
          <w:szCs w:val="22"/>
          <w:lang w:val="es-CO" w:eastAsia="en-US"/>
        </w:rPr>
        <w:t>(…)</w:t>
      </w:r>
      <w:r w:rsidR="00592B13">
        <w:rPr>
          <w:rFonts w:ascii="Bookman Old Style" w:hAnsi="Bookman Old Style" w:cs="Arial"/>
          <w:spacing w:val="-5"/>
          <w:sz w:val="22"/>
          <w:szCs w:val="22"/>
          <w:lang w:val="es-CO" w:eastAsia="en-US"/>
        </w:rPr>
        <w:t xml:space="preserve"> </w:t>
      </w:r>
      <w:r w:rsidR="004029A1">
        <w:rPr>
          <w:rFonts w:ascii="Bookman Old Style" w:hAnsi="Bookman Old Style"/>
        </w:rPr>
        <w:t>1</w:t>
      </w:r>
      <w:r w:rsidR="009A786A">
        <w:rPr>
          <w:rFonts w:ascii="Bookman Old Style" w:hAnsi="Bookman Old Style"/>
        </w:rPr>
        <w:t>.</w:t>
      </w:r>
      <w:r w:rsidR="00592B13">
        <w:rPr>
          <w:rFonts w:ascii="Bookman Old Style" w:hAnsi="Bookman Old Style"/>
        </w:rPr>
        <w:t xml:space="preserve"> </w:t>
      </w:r>
      <w:r w:rsidR="00BA5A5D" w:rsidRPr="00643815">
        <w:rPr>
          <w:rFonts w:ascii="Bookman Old Style" w:hAnsi="Bookman Old Style"/>
        </w:rPr>
        <w:t xml:space="preserve">Para el Parámetro para el cual el Auditor indica que “SI” encontró discrepancias, el CND utilizó, tal como lo indicó la CREG en comunicación CREG S-2021-003803 la serie de caudales mensuales del rio San Lorenzo de la siguiente manera: </w:t>
      </w:r>
      <w:r w:rsidR="00BA5A5D" w:rsidRPr="00232903">
        <w:rPr>
          <w:rFonts w:ascii="Bookman Old Style" w:hAnsi="Bookman Old Style"/>
          <w:i/>
          <w:iCs/>
        </w:rPr>
        <w:t>“Para tal fin se indica utilizar los aportes estimados por la auditoría que se encuentran en la Tabla 2: Serie San Lorenzo (m3/s) calculada por la Auditoría, documento HMV “INFORME DE SERIES HISTÓRICAS DE CAUDALES MEDIOS MENSUALES DE LOS RÍOS DEL SIN – SAN LORENZO CONTRATO XM 4000006</w:t>
      </w:r>
      <w:r w:rsidR="009A786A">
        <w:rPr>
          <w:rFonts w:ascii="Bookman Old Style" w:hAnsi="Bookman Old Style"/>
          <w:i/>
          <w:iCs/>
        </w:rPr>
        <w:t>.</w:t>
      </w:r>
      <w:r w:rsidR="00BA5A5D" w:rsidRPr="00232903">
        <w:rPr>
          <w:rFonts w:ascii="Bookman Old Style" w:hAnsi="Bookman Old Style"/>
          <w:i/>
          <w:iCs/>
        </w:rPr>
        <w:t xml:space="preserve"> </w:t>
      </w:r>
      <w:r w:rsidR="006A6994">
        <w:rPr>
          <w:rFonts w:ascii="Bookman Old Style" w:hAnsi="Bookman Old Style"/>
          <w:i/>
          <w:iCs/>
        </w:rPr>
        <w:t xml:space="preserve"> 2</w:t>
      </w:r>
      <w:r w:rsidR="00592B13">
        <w:rPr>
          <w:rFonts w:ascii="Bookman Old Style" w:hAnsi="Bookman Old Style"/>
          <w:i/>
          <w:iCs/>
        </w:rPr>
        <w:t xml:space="preserve">. </w:t>
      </w:r>
      <w:r w:rsidR="00BA5A5D" w:rsidRPr="00232903">
        <w:rPr>
          <w:rFonts w:ascii="Bookman Old Style" w:hAnsi="Bookman Old Style"/>
          <w:i/>
          <w:iCs/>
        </w:rPr>
        <w:t>Para los períodos no auditados de la anterior tabla comprendidos entre enero de 1980 a febrero de 1987, utilizar la información de la serie San Lorenzo que se tiene en la Circular CREG 031 de 2008”</w:t>
      </w:r>
      <w:r w:rsidR="009A786A">
        <w:rPr>
          <w:rFonts w:ascii="Bookman Old Style" w:hAnsi="Bookman Old Style"/>
        </w:rPr>
        <w:t xml:space="preserve">. </w:t>
      </w:r>
      <w:r w:rsidR="00BA5A5D" w:rsidRPr="00643815">
        <w:rPr>
          <w:rFonts w:ascii="Bookman Old Style" w:hAnsi="Bookman Old Style"/>
        </w:rPr>
        <w:t xml:space="preserve">La serie considerada se incluye en el Anexo 1 de esta comunicación. </w:t>
      </w:r>
      <w:r w:rsidR="009A786A">
        <w:rPr>
          <w:rFonts w:ascii="Bookman Old Style" w:hAnsi="Bookman Old Style"/>
        </w:rPr>
        <w:t xml:space="preserve"> </w:t>
      </w:r>
      <w:r w:rsidR="00BA5A5D" w:rsidRPr="00643815">
        <w:rPr>
          <w:rFonts w:ascii="Bookman Old Style" w:hAnsi="Bookman Old Style"/>
        </w:rPr>
        <w:t xml:space="preserve">3. Para los parámetros para los cuales el Auditor indica que “NO” se presentaron discrepancias, se utilizaron los valores publicados en la Circular CREG 027 de 2019 para las plantas Jaguas y Guatapé, de </w:t>
      </w:r>
      <w:r w:rsidR="00BA5A5D" w:rsidRPr="00643815">
        <w:rPr>
          <w:rFonts w:ascii="Bookman Old Style" w:hAnsi="Bookman Old Style"/>
        </w:rPr>
        <w:lastRenderedPageBreak/>
        <w:t xml:space="preserve">acuerdo con la topología del recurso Jaguas 4. </w:t>
      </w:r>
      <w:r w:rsidR="009A786A">
        <w:rPr>
          <w:rFonts w:ascii="Bookman Old Style" w:hAnsi="Bookman Old Style"/>
        </w:rPr>
        <w:t xml:space="preserve"> </w:t>
      </w:r>
      <w:r w:rsidR="00BA5A5D" w:rsidRPr="00643815">
        <w:rPr>
          <w:rFonts w:ascii="Bookman Old Style" w:hAnsi="Bookman Old Style"/>
        </w:rPr>
        <w:t xml:space="preserve">El modelo HIDENFICC V4.2 fue ejecutado con las características del equipo de cómputo descrito en el Anexo 2 de esta comunicación. </w:t>
      </w:r>
      <w:r w:rsidR="009A786A">
        <w:rPr>
          <w:rFonts w:ascii="Bookman Old Style" w:hAnsi="Bookman Old Style"/>
        </w:rPr>
        <w:t xml:space="preserve"> </w:t>
      </w:r>
      <w:r w:rsidR="00BA5A5D" w:rsidRPr="00643815">
        <w:rPr>
          <w:rFonts w:ascii="Bookman Old Style" w:hAnsi="Bookman Old Style"/>
        </w:rPr>
        <w:t xml:space="preserve">De acuerdo con lo anterior, en la siguiente tabla se presentan los valores de la ENFICC calculados en 2019 para la asignación de Obligaciones de Energía Firme -OEF- de la vigencia 2022-2023, y el valor obtenido para la planta Jaguas de acuerdo con lo </w:t>
      </w:r>
      <w:r w:rsidR="009A786A">
        <w:rPr>
          <w:rFonts w:ascii="Bookman Old Style" w:hAnsi="Bookman Old Style"/>
        </w:rPr>
        <w:t>o</w:t>
      </w:r>
      <w:r w:rsidR="009A786A" w:rsidRPr="00643815">
        <w:rPr>
          <w:rFonts w:ascii="Bookman Old Style" w:hAnsi="Bookman Old Style"/>
        </w:rPr>
        <w:t xml:space="preserve">rdenado </w:t>
      </w:r>
      <w:r w:rsidR="00BA5A5D" w:rsidRPr="00643815">
        <w:rPr>
          <w:rFonts w:ascii="Bookman Old Style" w:hAnsi="Bookman Old Style"/>
        </w:rPr>
        <w:t>por la CREG en la Actuación Administrativa – Expediente 2021-0036 (S-2021-003394) y lo indicado en la comunicación S-2021-003803.</w:t>
      </w:r>
      <w:r w:rsidR="009A786A">
        <w:rPr>
          <w:rFonts w:ascii="Bookman Old Style" w:hAnsi="Bookman Old Style"/>
        </w:rPr>
        <w:t>”</w:t>
      </w:r>
    </w:p>
    <w:p w14:paraId="58ABBF84" w14:textId="77777777" w:rsidR="009A786A" w:rsidRDefault="009A786A" w:rsidP="00324AD9">
      <w:pPr>
        <w:widowControl w:val="0"/>
        <w:adjustRightInd w:val="0"/>
        <w:ind w:left="426"/>
        <w:jc w:val="both"/>
        <w:textAlignment w:val="baseline"/>
        <w:rPr>
          <w:rFonts w:ascii="Bookman Old Style" w:hAnsi="Bookman Old Style" w:cs="Arial"/>
          <w:spacing w:val="-5"/>
          <w:lang w:val="es-CO" w:eastAsia="en-US"/>
        </w:rPr>
      </w:pPr>
    </w:p>
    <w:p w14:paraId="6221147C" w14:textId="3EFF0691" w:rsidR="00324AD9" w:rsidRPr="00582B18" w:rsidRDefault="00324AD9" w:rsidP="00324AD9">
      <w:pPr>
        <w:widowControl w:val="0"/>
        <w:adjustRightInd w:val="0"/>
        <w:ind w:left="426"/>
        <w:jc w:val="both"/>
        <w:textAlignment w:val="baseline"/>
        <w:rPr>
          <w:rFonts w:ascii="Bookman Old Style" w:hAnsi="Bookman Old Style" w:cs="Arial"/>
          <w:spacing w:val="-5"/>
          <w:lang w:val="es-CO" w:eastAsia="en-US"/>
        </w:rPr>
      </w:pPr>
      <w:r w:rsidRPr="00582B18">
        <w:rPr>
          <w:rFonts w:ascii="Bookman Old Style" w:hAnsi="Bookman Old Style" w:cs="Arial"/>
          <w:spacing w:val="-5"/>
          <w:lang w:val="es-CO" w:eastAsia="en-US"/>
        </w:rPr>
        <w:t>“(…)</w:t>
      </w:r>
    </w:p>
    <w:p w14:paraId="2A1BC180" w14:textId="58A9FEC7" w:rsidR="00324AD9" w:rsidRPr="00232903" w:rsidRDefault="00324AD9" w:rsidP="00232903">
      <w:pPr>
        <w:widowControl w:val="0"/>
        <w:adjustRightInd w:val="0"/>
        <w:spacing w:after="120"/>
        <w:ind w:left="426"/>
        <w:jc w:val="center"/>
        <w:textAlignment w:val="baseline"/>
        <w:rPr>
          <w:rFonts w:ascii="Bookman Old Style" w:hAnsi="Bookman Old Style" w:cs="Calibri Light"/>
          <w:b/>
          <w:bCs/>
          <w:spacing w:val="-5"/>
          <w:sz w:val="20"/>
          <w:szCs w:val="20"/>
          <w:lang w:eastAsia="en-US"/>
        </w:rPr>
      </w:pPr>
      <w:r w:rsidRPr="00FE1CCC">
        <w:rPr>
          <w:rFonts w:ascii="Bookman Old Style" w:hAnsi="Bookman Old Style" w:cs="Calibri Light"/>
          <w:b/>
          <w:bCs/>
          <w:spacing w:val="-5"/>
          <w:sz w:val="20"/>
          <w:szCs w:val="20"/>
          <w:lang w:eastAsia="en-US"/>
        </w:rPr>
        <w:t>Tabla 2</w:t>
      </w:r>
      <w:r w:rsidRPr="00232903">
        <w:rPr>
          <w:rFonts w:ascii="Bookman Old Style" w:hAnsi="Bookman Old Style" w:cs="Calibri Light"/>
          <w:b/>
          <w:bCs/>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324AD9" w:rsidRPr="005C7495" w14:paraId="0F8E3BEB" w14:textId="77777777" w:rsidTr="00297D1C">
        <w:tc>
          <w:tcPr>
            <w:tcW w:w="2179" w:type="dxa"/>
          </w:tcPr>
          <w:p w14:paraId="03C2D754" w14:textId="77777777" w:rsidR="00C85E28" w:rsidRDefault="00C85E28" w:rsidP="00297D1C">
            <w:pPr>
              <w:widowControl w:val="0"/>
              <w:adjustRightInd w:val="0"/>
              <w:ind w:left="0"/>
              <w:jc w:val="center"/>
              <w:textAlignment w:val="baseline"/>
              <w:rPr>
                <w:rFonts w:ascii="Bookman Old Style" w:hAnsi="Bookman Old Style" w:cs="Calibri Light"/>
                <w:b/>
                <w:bCs/>
                <w:spacing w:val="-5"/>
                <w:sz w:val="20"/>
                <w:szCs w:val="20"/>
                <w:lang w:eastAsia="en-US"/>
              </w:rPr>
            </w:pPr>
          </w:p>
          <w:p w14:paraId="05DB06EC" w14:textId="7FB5FD49" w:rsidR="00324AD9" w:rsidRPr="005C7495" w:rsidRDefault="00324AD9" w:rsidP="00297D1C">
            <w:pPr>
              <w:widowControl w:val="0"/>
              <w:adjustRightInd w:val="0"/>
              <w:ind w:left="0"/>
              <w:jc w:val="center"/>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Tipo de ENFICC</w:t>
            </w:r>
          </w:p>
        </w:tc>
        <w:tc>
          <w:tcPr>
            <w:tcW w:w="2177" w:type="dxa"/>
          </w:tcPr>
          <w:p w14:paraId="2F15D2C4" w14:textId="77777777" w:rsidR="00C85E28" w:rsidRDefault="00C85E28" w:rsidP="00297D1C">
            <w:pPr>
              <w:widowControl w:val="0"/>
              <w:adjustRightInd w:val="0"/>
              <w:ind w:left="0"/>
              <w:jc w:val="center"/>
              <w:textAlignment w:val="baseline"/>
              <w:rPr>
                <w:rFonts w:ascii="Bookman Old Style" w:hAnsi="Bookman Old Style" w:cs="Calibri Light"/>
                <w:b/>
                <w:bCs/>
                <w:spacing w:val="-5"/>
                <w:sz w:val="20"/>
                <w:szCs w:val="20"/>
                <w:lang w:eastAsia="en-US"/>
              </w:rPr>
            </w:pPr>
          </w:p>
          <w:p w14:paraId="3EA540C9" w14:textId="3EAA8750" w:rsidR="00324AD9" w:rsidRPr="005C7495" w:rsidRDefault="00324AD9" w:rsidP="00297D1C">
            <w:pPr>
              <w:widowControl w:val="0"/>
              <w:adjustRightInd w:val="0"/>
              <w:ind w:left="0"/>
              <w:jc w:val="center"/>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Valor Calculado en 2019</w:t>
            </w:r>
          </w:p>
        </w:tc>
        <w:tc>
          <w:tcPr>
            <w:tcW w:w="2177" w:type="dxa"/>
          </w:tcPr>
          <w:p w14:paraId="547BC2A2" w14:textId="77777777" w:rsidR="00C85E28" w:rsidRDefault="00C85E28" w:rsidP="00297D1C">
            <w:pPr>
              <w:widowControl w:val="0"/>
              <w:adjustRightInd w:val="0"/>
              <w:ind w:left="0"/>
              <w:jc w:val="center"/>
              <w:textAlignment w:val="baseline"/>
              <w:rPr>
                <w:rFonts w:ascii="Bookman Old Style" w:hAnsi="Bookman Old Style" w:cs="Calibri Light"/>
                <w:b/>
                <w:bCs/>
                <w:spacing w:val="-5"/>
                <w:sz w:val="20"/>
                <w:szCs w:val="20"/>
                <w:lang w:eastAsia="en-US"/>
              </w:rPr>
            </w:pPr>
          </w:p>
          <w:p w14:paraId="64B32992" w14:textId="5C5F70EB" w:rsidR="00324AD9" w:rsidRPr="005C7495" w:rsidRDefault="00324AD9" w:rsidP="00297D1C">
            <w:pPr>
              <w:widowControl w:val="0"/>
              <w:adjustRightInd w:val="0"/>
              <w:ind w:left="0"/>
              <w:jc w:val="center"/>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ENFICC Verificada 2019</w:t>
            </w:r>
          </w:p>
        </w:tc>
        <w:tc>
          <w:tcPr>
            <w:tcW w:w="2245" w:type="dxa"/>
          </w:tcPr>
          <w:p w14:paraId="484EBBFA" w14:textId="77777777" w:rsidR="00324AD9" w:rsidRPr="005C7495" w:rsidRDefault="00324AD9" w:rsidP="00297D1C">
            <w:pPr>
              <w:widowControl w:val="0"/>
              <w:adjustRightInd w:val="0"/>
              <w:ind w:left="0"/>
              <w:jc w:val="center"/>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Valor Calculado en atención al Acto Administrativo de la CREG</w:t>
            </w:r>
          </w:p>
        </w:tc>
      </w:tr>
      <w:tr w:rsidR="00324AD9" w:rsidRPr="005C7495" w14:paraId="44B1EF24" w14:textId="77777777" w:rsidTr="00297D1C">
        <w:tc>
          <w:tcPr>
            <w:tcW w:w="2179" w:type="dxa"/>
          </w:tcPr>
          <w:p w14:paraId="5E9D4E88" w14:textId="77777777" w:rsidR="00324AD9" w:rsidRPr="005C7495" w:rsidRDefault="00324AD9" w:rsidP="00297D1C">
            <w:pPr>
              <w:widowControl w:val="0"/>
              <w:adjustRightInd w:val="0"/>
              <w:ind w:left="0"/>
              <w:jc w:val="both"/>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ENFICC-BASE (kWh/día)</w:t>
            </w:r>
          </w:p>
        </w:tc>
        <w:tc>
          <w:tcPr>
            <w:tcW w:w="2177" w:type="dxa"/>
          </w:tcPr>
          <w:p w14:paraId="53DA9F08" w14:textId="5BF8B253" w:rsidR="00324AD9" w:rsidRPr="005C7495" w:rsidRDefault="00FB0AED" w:rsidP="00297D1C">
            <w:pPr>
              <w:widowControl w:val="0"/>
              <w:adjustRightInd w:val="0"/>
              <w:ind w:left="0"/>
              <w:jc w:val="center"/>
              <w:textAlignment w:val="baseline"/>
              <w:rPr>
                <w:rFonts w:ascii="Bookman Old Style" w:hAnsi="Bookman Old Style" w:cs="Calibri Light"/>
                <w:spacing w:val="-5"/>
                <w:sz w:val="20"/>
                <w:szCs w:val="20"/>
                <w:lang w:eastAsia="en-US"/>
              </w:rPr>
            </w:pPr>
            <w:r>
              <w:t>1,174,345</w:t>
            </w:r>
          </w:p>
        </w:tc>
        <w:tc>
          <w:tcPr>
            <w:tcW w:w="2177" w:type="dxa"/>
            <w:vMerge w:val="restart"/>
          </w:tcPr>
          <w:p w14:paraId="76AD489F" w14:textId="77777777" w:rsidR="00C85E28" w:rsidRDefault="00C85E28" w:rsidP="00297D1C">
            <w:pPr>
              <w:widowControl w:val="0"/>
              <w:adjustRightInd w:val="0"/>
              <w:ind w:left="0"/>
              <w:jc w:val="center"/>
              <w:textAlignment w:val="baseline"/>
            </w:pPr>
          </w:p>
          <w:p w14:paraId="0513D7C4" w14:textId="7AD2920D" w:rsidR="00324AD9" w:rsidRPr="005C7495" w:rsidRDefault="007027C2" w:rsidP="00297D1C">
            <w:pPr>
              <w:widowControl w:val="0"/>
              <w:adjustRightInd w:val="0"/>
              <w:ind w:left="0"/>
              <w:jc w:val="center"/>
              <w:textAlignment w:val="baseline"/>
              <w:rPr>
                <w:rFonts w:ascii="Bookman Old Style" w:hAnsi="Bookman Old Style" w:cs="Calibri Light"/>
                <w:spacing w:val="-5"/>
                <w:sz w:val="20"/>
                <w:szCs w:val="20"/>
                <w:lang w:eastAsia="en-US"/>
              </w:rPr>
            </w:pPr>
            <w:r>
              <w:t>1,178,861</w:t>
            </w:r>
            <w:r w:rsidR="00C85E28">
              <w:br/>
            </w:r>
            <w:r>
              <w:t>kWh-día</w:t>
            </w:r>
          </w:p>
        </w:tc>
        <w:tc>
          <w:tcPr>
            <w:tcW w:w="2245" w:type="dxa"/>
          </w:tcPr>
          <w:p w14:paraId="65493638" w14:textId="3B647172" w:rsidR="00324AD9" w:rsidRPr="005C7495" w:rsidRDefault="00E12C01" w:rsidP="00297D1C">
            <w:pPr>
              <w:widowControl w:val="0"/>
              <w:adjustRightInd w:val="0"/>
              <w:ind w:left="0"/>
              <w:jc w:val="center"/>
              <w:textAlignment w:val="baseline"/>
              <w:rPr>
                <w:rFonts w:ascii="Bookman Old Style" w:hAnsi="Bookman Old Style" w:cs="Calibri Light"/>
                <w:spacing w:val="-5"/>
                <w:sz w:val="20"/>
                <w:szCs w:val="20"/>
                <w:lang w:eastAsia="en-US"/>
              </w:rPr>
            </w:pPr>
            <w:r>
              <w:t>1,174,345</w:t>
            </w:r>
          </w:p>
        </w:tc>
      </w:tr>
      <w:tr w:rsidR="00324AD9" w:rsidRPr="00582B18" w14:paraId="144643A1" w14:textId="77777777" w:rsidTr="00297D1C">
        <w:tc>
          <w:tcPr>
            <w:tcW w:w="2179" w:type="dxa"/>
          </w:tcPr>
          <w:p w14:paraId="79300806" w14:textId="77777777" w:rsidR="00324AD9" w:rsidRPr="005C7495" w:rsidRDefault="00324AD9" w:rsidP="00297D1C">
            <w:pPr>
              <w:widowControl w:val="0"/>
              <w:adjustRightInd w:val="0"/>
              <w:ind w:left="0"/>
              <w:jc w:val="both"/>
              <w:textAlignment w:val="baseline"/>
              <w:rPr>
                <w:rFonts w:ascii="Bookman Old Style" w:hAnsi="Bookman Old Style" w:cs="Calibri Light"/>
                <w:b/>
                <w:bCs/>
                <w:spacing w:val="-5"/>
                <w:sz w:val="20"/>
                <w:szCs w:val="20"/>
                <w:lang w:eastAsia="en-US"/>
              </w:rPr>
            </w:pPr>
            <w:r w:rsidRPr="005C7495">
              <w:rPr>
                <w:rFonts w:ascii="Bookman Old Style" w:hAnsi="Bookman Old Style" w:cs="Calibri Light"/>
                <w:b/>
                <w:bCs/>
                <w:spacing w:val="-5"/>
                <w:sz w:val="20"/>
                <w:szCs w:val="20"/>
                <w:lang w:eastAsia="en-US"/>
              </w:rPr>
              <w:t>ENFICC 98PSS (kWh/día)</w:t>
            </w:r>
          </w:p>
        </w:tc>
        <w:tc>
          <w:tcPr>
            <w:tcW w:w="2177" w:type="dxa"/>
          </w:tcPr>
          <w:p w14:paraId="42B0C71D" w14:textId="17610326" w:rsidR="00324AD9" w:rsidRPr="005C7495" w:rsidRDefault="007027C2" w:rsidP="00297D1C">
            <w:pPr>
              <w:widowControl w:val="0"/>
              <w:adjustRightInd w:val="0"/>
              <w:ind w:left="0"/>
              <w:jc w:val="center"/>
              <w:textAlignment w:val="baseline"/>
              <w:rPr>
                <w:rFonts w:ascii="Bookman Old Style" w:hAnsi="Bookman Old Style" w:cs="Calibri Light"/>
                <w:spacing w:val="-5"/>
                <w:sz w:val="20"/>
                <w:szCs w:val="20"/>
                <w:lang w:eastAsia="en-US"/>
              </w:rPr>
            </w:pPr>
            <w:r>
              <w:t>1,178,861</w:t>
            </w:r>
          </w:p>
        </w:tc>
        <w:tc>
          <w:tcPr>
            <w:tcW w:w="2177" w:type="dxa"/>
            <w:vMerge/>
          </w:tcPr>
          <w:p w14:paraId="12D383F9" w14:textId="77777777" w:rsidR="00324AD9" w:rsidRPr="005C7495" w:rsidRDefault="00324AD9" w:rsidP="00297D1C">
            <w:pPr>
              <w:widowControl w:val="0"/>
              <w:adjustRightInd w:val="0"/>
              <w:ind w:left="0"/>
              <w:jc w:val="both"/>
              <w:textAlignment w:val="baseline"/>
              <w:rPr>
                <w:rFonts w:ascii="Bookman Old Style" w:hAnsi="Bookman Old Style" w:cs="Calibri Light"/>
                <w:spacing w:val="-5"/>
                <w:sz w:val="20"/>
                <w:szCs w:val="20"/>
                <w:lang w:eastAsia="en-US"/>
              </w:rPr>
            </w:pPr>
          </w:p>
        </w:tc>
        <w:tc>
          <w:tcPr>
            <w:tcW w:w="2245" w:type="dxa"/>
          </w:tcPr>
          <w:p w14:paraId="577A922A" w14:textId="7FC28F62" w:rsidR="00324AD9" w:rsidRPr="00582B18" w:rsidRDefault="008A7F2A" w:rsidP="00297D1C">
            <w:pPr>
              <w:widowControl w:val="0"/>
              <w:adjustRightInd w:val="0"/>
              <w:ind w:left="0"/>
              <w:jc w:val="center"/>
              <w:textAlignment w:val="baseline"/>
              <w:rPr>
                <w:rFonts w:ascii="Bookman Old Style" w:hAnsi="Bookman Old Style" w:cs="Calibri Light"/>
                <w:spacing w:val="-5"/>
                <w:sz w:val="20"/>
                <w:szCs w:val="20"/>
                <w:lang w:eastAsia="en-US"/>
              </w:rPr>
            </w:pPr>
            <w:r>
              <w:t>1,178,861</w:t>
            </w:r>
          </w:p>
        </w:tc>
      </w:tr>
    </w:tbl>
    <w:p w14:paraId="39B9528C" w14:textId="77777777" w:rsidR="00324AD9" w:rsidRPr="00582B18" w:rsidRDefault="00324AD9" w:rsidP="00232903">
      <w:pPr>
        <w:widowControl w:val="0"/>
        <w:adjustRightInd w:val="0"/>
        <w:spacing w:before="120" w:after="120"/>
        <w:ind w:left="426"/>
        <w:jc w:val="both"/>
        <w:textAlignment w:val="baseline"/>
        <w:rPr>
          <w:rFonts w:ascii="Bookman Old Style" w:hAnsi="Bookman Old Style" w:cs="Arial"/>
          <w:spacing w:val="-5"/>
          <w:lang w:eastAsia="en-US"/>
        </w:rPr>
      </w:pPr>
      <w:r w:rsidRPr="00582B18">
        <w:rPr>
          <w:rFonts w:ascii="Bookman Old Style" w:hAnsi="Bookman Old Style" w:cs="Arial"/>
          <w:spacing w:val="-5"/>
          <w:lang w:eastAsia="en-US"/>
        </w:rPr>
        <w:t>(…)”.</w:t>
      </w:r>
    </w:p>
    <w:p w14:paraId="4A5A5436" w14:textId="7B3A08E9" w:rsidR="00324AD9" w:rsidRPr="00582B18" w:rsidRDefault="00324AD9" w:rsidP="00324AD9">
      <w:pPr>
        <w:widowControl w:val="0"/>
        <w:adjustRightInd w:val="0"/>
        <w:ind w:left="0"/>
        <w:jc w:val="both"/>
        <w:textAlignment w:val="baseline"/>
        <w:rPr>
          <w:rFonts w:ascii="Bookman Old Style" w:hAnsi="Bookman Old Style" w:cs="Arial"/>
        </w:rPr>
      </w:pPr>
      <w:r w:rsidRPr="00582B18">
        <w:rPr>
          <w:rFonts w:ascii="Bookman Old Style" w:hAnsi="Bookman Old Style" w:cs="Arial"/>
          <w:lang w:val="es-CO"/>
        </w:rPr>
        <w:t xml:space="preserve">Se observa en esta Tabla </w:t>
      </w:r>
      <w:r w:rsidR="00B3353F" w:rsidRPr="00582B18">
        <w:rPr>
          <w:rFonts w:ascii="Bookman Old Style" w:hAnsi="Bookman Old Style" w:cs="Arial"/>
          <w:lang w:val="es-CO"/>
        </w:rPr>
        <w:t xml:space="preserve">2 </w:t>
      </w:r>
      <w:r w:rsidR="00FE1CCC">
        <w:rPr>
          <w:rFonts w:ascii="Bookman Old Style" w:hAnsi="Bookman Old Style" w:cs="Arial"/>
          <w:lang w:val="es-CO"/>
        </w:rPr>
        <w:t xml:space="preserve">que </w:t>
      </w:r>
      <w:r w:rsidR="00B3353F" w:rsidRPr="00582B18">
        <w:rPr>
          <w:rFonts w:ascii="Bookman Old Style" w:hAnsi="Bookman Old Style" w:cs="Arial"/>
          <w:lang w:val="es-CO"/>
        </w:rPr>
        <w:t>no</w:t>
      </w:r>
      <w:r w:rsidRPr="00582B18">
        <w:rPr>
          <w:rFonts w:ascii="Bookman Old Style" w:hAnsi="Bookman Old Style" w:cs="Arial"/>
          <w:lang w:val="es-CO"/>
        </w:rPr>
        <w:t xml:space="preserve"> se </w:t>
      </w:r>
      <w:r w:rsidRPr="00582B18">
        <w:rPr>
          <w:rFonts w:ascii="Bookman Old Style" w:hAnsi="Bookman Old Style" w:cs="Arial"/>
        </w:rPr>
        <w:t xml:space="preserve">afecta la ENFICC base o 98%PSS. </w:t>
      </w:r>
    </w:p>
    <w:p w14:paraId="065D8785" w14:textId="77777777" w:rsidR="00324AD9" w:rsidRPr="00582B18" w:rsidRDefault="00324AD9" w:rsidP="00232903">
      <w:pPr>
        <w:widowControl w:val="0"/>
        <w:adjustRightInd w:val="0"/>
        <w:spacing w:after="120"/>
        <w:ind w:left="0"/>
        <w:jc w:val="both"/>
        <w:textAlignment w:val="baseline"/>
        <w:rPr>
          <w:rFonts w:ascii="Bookman Old Style" w:hAnsi="Bookman Old Style" w:cs="Arial"/>
          <w:highlight w:val="green"/>
        </w:rPr>
      </w:pPr>
    </w:p>
    <w:p w14:paraId="20217639" w14:textId="75A1F2D3" w:rsidR="000B3CA1" w:rsidRPr="00582B18" w:rsidRDefault="000B3CA1" w:rsidP="000B3CA1">
      <w:pPr>
        <w:ind w:left="0"/>
        <w:rPr>
          <w:rFonts w:ascii="Bookman Old Style" w:hAnsi="Bookman Old Style"/>
          <w:b/>
        </w:rPr>
      </w:pPr>
      <w:r>
        <w:rPr>
          <w:rFonts w:ascii="Bookman Old Style" w:hAnsi="Bookman Old Style"/>
          <w:b/>
        </w:rPr>
        <w:t>V</w:t>
      </w:r>
      <w:r w:rsidRPr="00582B18">
        <w:rPr>
          <w:rFonts w:ascii="Bookman Old Style" w:hAnsi="Bookman Old Style"/>
          <w:b/>
        </w:rPr>
        <w:t xml:space="preserve">. </w:t>
      </w:r>
      <w:r>
        <w:rPr>
          <w:rFonts w:ascii="Bookman Old Style" w:hAnsi="Bookman Old Style"/>
          <w:b/>
        </w:rPr>
        <w:t>CONSIDERACIONES DE LA CREG</w:t>
      </w:r>
    </w:p>
    <w:p w14:paraId="5D322BA6" w14:textId="77777777" w:rsidR="00D960AB" w:rsidRDefault="00D960AB" w:rsidP="002E6324">
      <w:pPr>
        <w:widowControl w:val="0"/>
        <w:adjustRightInd w:val="0"/>
        <w:ind w:left="0"/>
        <w:jc w:val="both"/>
        <w:textAlignment w:val="baseline"/>
        <w:rPr>
          <w:rFonts w:ascii="Bookman Old Style" w:hAnsi="Bookman Old Style"/>
        </w:rPr>
      </w:pPr>
    </w:p>
    <w:p w14:paraId="0566084A" w14:textId="7289E17A" w:rsidR="00381A69" w:rsidRDefault="00381A69" w:rsidP="00381A69">
      <w:pPr>
        <w:ind w:left="0"/>
        <w:jc w:val="both"/>
        <w:rPr>
          <w:rFonts w:ascii="Bookman Old Style" w:hAnsi="Bookman Old Style" w:cs="Arial"/>
          <w:lang w:val="es-CO"/>
        </w:rPr>
      </w:pPr>
      <w:r>
        <w:rPr>
          <w:rFonts w:ascii="Bookman Old Style" w:hAnsi="Bookman Old Style" w:cs="Arial"/>
          <w:lang w:val="es-CO"/>
        </w:rPr>
        <w:t xml:space="preserve">A partir de los elementos de juicio que obran en la presente actuación, se procederá a analizar la presunta discrepancia en el parámetro </w:t>
      </w:r>
      <w:r w:rsidR="00FE1CCC">
        <w:rPr>
          <w:rFonts w:ascii="Bookman Old Style" w:hAnsi="Bookman Old Style" w:cs="Arial"/>
          <w:iCs/>
        </w:rPr>
        <w:t xml:space="preserve">Serie </w:t>
      </w:r>
      <w:r>
        <w:rPr>
          <w:rFonts w:ascii="Bookman Old Style" w:hAnsi="Bookman Old Style" w:cs="Arial"/>
          <w:iCs/>
        </w:rPr>
        <w:t>histórica de caudales medios mensuales de los ríos del SIN</w:t>
      </w:r>
      <w:r>
        <w:rPr>
          <w:rFonts w:ascii="Bookman Old Style" w:hAnsi="Bookman Old Style" w:cs="Arial"/>
          <w:lang w:val="es-CO"/>
        </w:rPr>
        <w:t xml:space="preserve"> reportados por la empresa ISAGEN S.A. E.S.P. para su planta </w:t>
      </w:r>
      <w:r w:rsidR="001F527F">
        <w:rPr>
          <w:rFonts w:ascii="Bookman Old Style" w:hAnsi="Bookman Old Style" w:cs="Arial"/>
          <w:lang w:val="es-CO"/>
        </w:rPr>
        <w:t>Jaguas</w:t>
      </w:r>
      <w:r>
        <w:rPr>
          <w:rFonts w:ascii="Bookman Old Style" w:hAnsi="Bookman Old Style" w:cs="Arial"/>
          <w:lang w:val="es-CO"/>
        </w:rPr>
        <w:t xml:space="preserve">, con el propósito de establecer si debe o no confirmarse. </w:t>
      </w:r>
    </w:p>
    <w:p w14:paraId="727EC397" w14:textId="4B95FE58" w:rsidR="00D960AB" w:rsidRDefault="00D960AB" w:rsidP="002E6324">
      <w:pPr>
        <w:widowControl w:val="0"/>
        <w:adjustRightInd w:val="0"/>
        <w:ind w:left="0"/>
        <w:jc w:val="both"/>
        <w:textAlignment w:val="baseline"/>
        <w:rPr>
          <w:rFonts w:ascii="Bookman Old Style" w:hAnsi="Bookman Old Style"/>
        </w:rPr>
      </w:pPr>
    </w:p>
    <w:p w14:paraId="3830C056" w14:textId="27EF2A69" w:rsidR="00BD2AAE" w:rsidRDefault="00BD2AAE" w:rsidP="00BD2AAE">
      <w:pPr>
        <w:ind w:left="0"/>
        <w:jc w:val="both"/>
        <w:rPr>
          <w:rFonts w:ascii="Bookman Old Style" w:hAnsi="Bookman Old Style" w:cs="Arial"/>
        </w:rPr>
      </w:pPr>
      <w:r>
        <w:rPr>
          <w:rFonts w:ascii="Bookman Old Style" w:hAnsi="Bookman Old Style" w:cs="Arial"/>
        </w:rPr>
        <w:t>En el informe de auditoría 3281-15-QS-RP-0</w:t>
      </w:r>
      <w:r w:rsidR="003548E7">
        <w:rPr>
          <w:rFonts w:ascii="Bookman Old Style" w:hAnsi="Bookman Old Style" w:cs="Arial"/>
        </w:rPr>
        <w:t>47</w:t>
      </w:r>
      <w:r>
        <w:rPr>
          <w:rFonts w:ascii="Bookman Old Style" w:hAnsi="Bookman Old Style" w:cs="Arial"/>
        </w:rPr>
        <w:t xml:space="preserve"> y su actualización, el auditor reporta discrepancia en el parámetro </w:t>
      </w:r>
      <w:r w:rsidR="00FE1CCC">
        <w:rPr>
          <w:rFonts w:ascii="Bookman Old Style" w:hAnsi="Bookman Old Style" w:cs="Arial"/>
          <w:iCs/>
        </w:rPr>
        <w:t xml:space="preserve">Serie </w:t>
      </w:r>
      <w:r>
        <w:rPr>
          <w:rFonts w:ascii="Bookman Old Style" w:hAnsi="Bookman Old Style" w:cs="Arial"/>
          <w:iCs/>
        </w:rPr>
        <w:t>histórica de caudales medios mensuales de los ríos del SIN</w:t>
      </w:r>
      <w:r>
        <w:rPr>
          <w:rFonts w:ascii="Bookman Old Style" w:hAnsi="Bookman Old Style" w:cs="Arial"/>
        </w:rPr>
        <w:t xml:space="preserve">, dado que </w:t>
      </w:r>
      <w:r w:rsidR="00C85324">
        <w:rPr>
          <w:rFonts w:ascii="Bookman Old Style" w:hAnsi="Bookman Old Style" w:cs="Arial"/>
        </w:rPr>
        <w:t xml:space="preserve">no </w:t>
      </w:r>
      <w:r w:rsidR="001B1A80">
        <w:rPr>
          <w:rFonts w:ascii="Bookman Old Style" w:hAnsi="Bookman Old Style" w:cs="Arial"/>
        </w:rPr>
        <w:t xml:space="preserve">es </w:t>
      </w:r>
      <w:r w:rsidR="00C85324">
        <w:rPr>
          <w:rFonts w:ascii="Bookman Old Style" w:hAnsi="Bookman Old Style" w:cs="Arial"/>
        </w:rPr>
        <w:t xml:space="preserve">posible auditar el </w:t>
      </w:r>
      <w:r w:rsidR="005D72C3">
        <w:rPr>
          <w:rFonts w:ascii="Bookman Old Style" w:hAnsi="Bookman Old Style" w:cs="Arial"/>
        </w:rPr>
        <w:t xml:space="preserve">período </w:t>
      </w:r>
      <w:r w:rsidR="00C85324">
        <w:rPr>
          <w:rFonts w:ascii="Bookman Old Style" w:hAnsi="Bookman Old Style" w:cs="Arial"/>
        </w:rPr>
        <w:t xml:space="preserve">enero </w:t>
      </w:r>
      <w:r w:rsidR="008D0A66">
        <w:rPr>
          <w:rFonts w:ascii="Bookman Old Style" w:hAnsi="Bookman Old Style" w:cs="Arial"/>
        </w:rPr>
        <w:t>198</w:t>
      </w:r>
      <w:r w:rsidR="001B1A80">
        <w:rPr>
          <w:rFonts w:ascii="Bookman Old Style" w:hAnsi="Bookman Old Style" w:cs="Arial"/>
        </w:rPr>
        <w:t>0</w:t>
      </w:r>
      <w:r w:rsidR="008D0A66">
        <w:rPr>
          <w:rFonts w:ascii="Bookman Old Style" w:hAnsi="Bookman Old Style" w:cs="Arial"/>
        </w:rPr>
        <w:t xml:space="preserve"> – febrero 1987 de la serie San Lorenzo</w:t>
      </w:r>
      <w:r w:rsidR="00330DD6">
        <w:rPr>
          <w:rFonts w:ascii="Bookman Old Style" w:hAnsi="Bookman Old Style" w:cs="Arial"/>
        </w:rPr>
        <w:t xml:space="preserve"> por falta de información</w:t>
      </w:r>
      <w:r>
        <w:rPr>
          <w:rFonts w:ascii="Bookman Old Style" w:hAnsi="Bookman Old Style" w:cs="Arial"/>
        </w:rPr>
        <w:t>.</w:t>
      </w:r>
    </w:p>
    <w:p w14:paraId="2C92A21C" w14:textId="6449B068" w:rsidR="00BD2AAE" w:rsidRDefault="00BD2AAE" w:rsidP="002E6324">
      <w:pPr>
        <w:widowControl w:val="0"/>
        <w:adjustRightInd w:val="0"/>
        <w:ind w:left="0"/>
        <w:jc w:val="both"/>
        <w:textAlignment w:val="baseline"/>
        <w:rPr>
          <w:rFonts w:ascii="Bookman Old Style" w:hAnsi="Bookman Old Style"/>
        </w:rPr>
      </w:pPr>
    </w:p>
    <w:p w14:paraId="18E16546" w14:textId="71AB5C30" w:rsidR="00500754" w:rsidRDefault="00500754" w:rsidP="00500754">
      <w:pPr>
        <w:ind w:left="0"/>
        <w:jc w:val="both"/>
        <w:rPr>
          <w:rFonts w:ascii="Bookman Old Style" w:hAnsi="Bookman Old Style" w:cs="Arial"/>
        </w:rPr>
      </w:pPr>
      <w:r>
        <w:rPr>
          <w:rFonts w:ascii="Bookman Old Style" w:hAnsi="Bookman Old Style" w:cs="Arial"/>
        </w:rPr>
        <w:t>Al respecto, la empresa ISAGEN S.A. E.S.</w:t>
      </w:r>
      <w:r w:rsidR="005D72C3">
        <w:rPr>
          <w:rFonts w:ascii="Bookman Old Style" w:hAnsi="Bookman Old Style" w:cs="Arial"/>
        </w:rPr>
        <w:t>P.</w:t>
      </w:r>
      <w:r>
        <w:rPr>
          <w:rFonts w:ascii="Bookman Old Style" w:hAnsi="Bookman Old Style" w:cs="Arial"/>
        </w:rPr>
        <w:t xml:space="preserve"> informa</w:t>
      </w:r>
      <w:r w:rsidR="005D72C3">
        <w:rPr>
          <w:rFonts w:ascii="Bookman Old Style" w:hAnsi="Bookman Old Style" w:cs="Arial"/>
        </w:rPr>
        <w:t>,</w:t>
      </w:r>
      <w:r>
        <w:rPr>
          <w:rFonts w:ascii="Bookman Old Style" w:hAnsi="Bookman Old Style" w:cs="Arial"/>
        </w:rPr>
        <w:t xml:space="preserve"> a través de la </w:t>
      </w:r>
      <w:r w:rsidR="001D4AD4">
        <w:rPr>
          <w:rFonts w:ascii="Bookman Old Style" w:hAnsi="Bookman Old Style" w:cs="Arial"/>
        </w:rPr>
        <w:t xml:space="preserve">comunicación </w:t>
      </w:r>
      <w:r w:rsidR="000B3F58">
        <w:rPr>
          <w:rFonts w:ascii="Bookman Old Style" w:hAnsi="Bookman Old Style" w:cs="Arial"/>
        </w:rPr>
        <w:t>E</w:t>
      </w:r>
      <w:r>
        <w:rPr>
          <w:rFonts w:ascii="Bookman Old Style" w:hAnsi="Bookman Old Style" w:cs="Arial"/>
          <w:lang w:val="es-CO"/>
        </w:rPr>
        <w:t>2021-</w:t>
      </w:r>
      <w:r w:rsidR="000B3F58">
        <w:rPr>
          <w:rFonts w:ascii="Bookman Old Style" w:hAnsi="Bookman Old Style" w:cs="Arial"/>
          <w:lang w:val="es-CO"/>
        </w:rPr>
        <w:t>004022 d</w:t>
      </w:r>
      <w:r>
        <w:rPr>
          <w:rFonts w:ascii="Bookman Old Style" w:hAnsi="Bookman Old Style" w:cs="Arial"/>
          <w:spacing w:val="-5"/>
          <w:lang w:val="es-CO" w:eastAsia="en-US"/>
        </w:rPr>
        <w:t>el 2</w:t>
      </w:r>
      <w:r w:rsidR="000B3F58">
        <w:rPr>
          <w:rFonts w:ascii="Bookman Old Style" w:hAnsi="Bookman Old Style" w:cs="Arial"/>
          <w:spacing w:val="-5"/>
          <w:lang w:val="es-CO" w:eastAsia="en-US"/>
        </w:rPr>
        <w:t>6</w:t>
      </w:r>
      <w:r>
        <w:rPr>
          <w:rFonts w:ascii="Bookman Old Style" w:hAnsi="Bookman Old Style" w:cs="Arial"/>
          <w:spacing w:val="-5"/>
          <w:lang w:val="es-CO" w:eastAsia="en-US"/>
        </w:rPr>
        <w:t xml:space="preserve"> de junio de 2021</w:t>
      </w:r>
      <w:r w:rsidR="005D72C3">
        <w:rPr>
          <w:rFonts w:ascii="Bookman Old Style" w:hAnsi="Bookman Old Style" w:cs="Arial"/>
          <w:spacing w:val="-5"/>
          <w:lang w:val="es-CO" w:eastAsia="en-US"/>
        </w:rPr>
        <w:t>,</w:t>
      </w:r>
      <w:r>
        <w:rPr>
          <w:rFonts w:ascii="Bookman Old Style" w:hAnsi="Bookman Old Style" w:cs="Arial"/>
          <w:spacing w:val="-5"/>
          <w:lang w:val="es-CO" w:eastAsia="en-US"/>
        </w:rPr>
        <w:t xml:space="preserve"> </w:t>
      </w:r>
      <w:r>
        <w:rPr>
          <w:rFonts w:ascii="Bookman Old Style" w:hAnsi="Bookman Old Style" w:cs="Arial"/>
        </w:rPr>
        <w:t xml:space="preserve">que la información </w:t>
      </w:r>
      <w:r w:rsidR="001B1A80">
        <w:rPr>
          <w:rFonts w:ascii="Bookman Old Style" w:hAnsi="Bookman Old Style" w:cs="Arial"/>
        </w:rPr>
        <w:t>del</w:t>
      </w:r>
      <w:r w:rsidR="00F76FA1">
        <w:rPr>
          <w:rFonts w:ascii="Bookman Old Style" w:hAnsi="Bookman Old Style" w:cs="Arial"/>
        </w:rPr>
        <w:t xml:space="preserve"> período </w:t>
      </w:r>
      <w:r w:rsidR="00693586">
        <w:rPr>
          <w:rFonts w:ascii="Bookman Old Style" w:hAnsi="Bookman Old Style" w:cs="Arial"/>
        </w:rPr>
        <w:t xml:space="preserve">enero 1980 a febrero 1987 </w:t>
      </w:r>
      <w:r>
        <w:rPr>
          <w:rFonts w:ascii="Bookman Old Style" w:hAnsi="Bookman Old Style" w:cs="Arial"/>
        </w:rPr>
        <w:t>corresponde a la homologada y validada como información histórica del SIN</w:t>
      </w:r>
      <w:r w:rsidR="001B1A80">
        <w:rPr>
          <w:rFonts w:ascii="Bookman Old Style" w:hAnsi="Bookman Old Style" w:cs="Arial"/>
        </w:rPr>
        <w:t>, que</w:t>
      </w:r>
      <w:r>
        <w:rPr>
          <w:rFonts w:ascii="Bookman Old Style" w:hAnsi="Bookman Old Style" w:cs="Arial"/>
        </w:rPr>
        <w:t xml:space="preserve"> </w:t>
      </w:r>
      <w:r w:rsidR="000351A8">
        <w:rPr>
          <w:rFonts w:ascii="Bookman Old Style" w:hAnsi="Bookman Old Style" w:cs="Arial"/>
        </w:rPr>
        <w:t xml:space="preserve">fue aprobada </w:t>
      </w:r>
      <w:r w:rsidR="00FA647B">
        <w:rPr>
          <w:rFonts w:ascii="Bookman Old Style" w:hAnsi="Bookman Old Style" w:cs="Arial"/>
        </w:rPr>
        <w:t>mediante Acuerdo CNO 172 de 200</w:t>
      </w:r>
      <w:r w:rsidR="007B1B17">
        <w:rPr>
          <w:rFonts w:ascii="Bookman Old Style" w:hAnsi="Bookman Old Style" w:cs="Arial"/>
        </w:rPr>
        <w:t xml:space="preserve">1 con </w:t>
      </w:r>
      <w:r w:rsidR="00583244">
        <w:rPr>
          <w:rFonts w:ascii="Bookman Old Style" w:hAnsi="Bookman Old Style" w:cs="Arial"/>
        </w:rPr>
        <w:t>los respectivos soportes técnicos</w:t>
      </w:r>
      <w:r w:rsidR="005D72C3">
        <w:rPr>
          <w:rFonts w:ascii="Bookman Old Style" w:hAnsi="Bookman Old Style" w:cs="Arial"/>
        </w:rPr>
        <w:t>,</w:t>
      </w:r>
      <w:r w:rsidR="00583244">
        <w:rPr>
          <w:rFonts w:ascii="Bookman Old Style" w:hAnsi="Bookman Old Style" w:cs="Arial"/>
        </w:rPr>
        <w:t xml:space="preserve"> </w:t>
      </w:r>
      <w:r w:rsidR="001B1A80">
        <w:rPr>
          <w:rFonts w:ascii="Bookman Old Style" w:hAnsi="Bookman Old Style" w:cs="Arial"/>
        </w:rPr>
        <w:t xml:space="preserve">en </w:t>
      </w:r>
      <w:r w:rsidR="00583244">
        <w:rPr>
          <w:rFonts w:ascii="Bookman Old Style" w:hAnsi="Bookman Old Style" w:cs="Arial"/>
        </w:rPr>
        <w:t>cumplimiento con los procedimientos establecidos para tal fin</w:t>
      </w:r>
      <w:r w:rsidR="00305AD3">
        <w:rPr>
          <w:rFonts w:ascii="Bookman Old Style" w:hAnsi="Bookman Old Style" w:cs="Arial"/>
        </w:rPr>
        <w:t>.</w:t>
      </w:r>
    </w:p>
    <w:p w14:paraId="3A968426" w14:textId="78F19CB1" w:rsidR="00E23AE4" w:rsidRDefault="00E23AE4" w:rsidP="00500754">
      <w:pPr>
        <w:ind w:left="0"/>
        <w:jc w:val="both"/>
        <w:rPr>
          <w:rFonts w:ascii="Bookman Old Style" w:hAnsi="Bookman Old Style" w:cs="Arial"/>
        </w:rPr>
      </w:pPr>
    </w:p>
    <w:p w14:paraId="69DD379E" w14:textId="5047110F" w:rsidR="001B1A80" w:rsidRDefault="00FD7508" w:rsidP="00305343">
      <w:pPr>
        <w:ind w:left="0"/>
        <w:jc w:val="both"/>
        <w:rPr>
          <w:rFonts w:ascii="Bookman Old Style" w:hAnsi="Bookman Old Style" w:cs="Arial"/>
        </w:rPr>
      </w:pPr>
      <w:r w:rsidRPr="00A8414D">
        <w:rPr>
          <w:rFonts w:ascii="Bookman Old Style" w:hAnsi="Bookman Old Style" w:cs="Segoe UI"/>
          <w:lang w:eastAsia="es-CO"/>
        </w:rPr>
        <w:t xml:space="preserve">Para establecer si las discrepancias identificadas por el auditor tienen efecto sobre la energía firme de la planta </w:t>
      </w:r>
      <w:r>
        <w:rPr>
          <w:rFonts w:ascii="Bookman Old Style" w:hAnsi="Bookman Old Style" w:cs="Segoe UI"/>
          <w:lang w:eastAsia="es-CO"/>
        </w:rPr>
        <w:t>Jaguas</w:t>
      </w:r>
      <w:r w:rsidRPr="00A8414D">
        <w:rPr>
          <w:rFonts w:ascii="Bookman Old Style" w:hAnsi="Bookman Old Style" w:cs="Segoe UI"/>
          <w:lang w:eastAsia="es-CO"/>
        </w:rPr>
        <w:t xml:space="preserve">, se solicitó a XM </w:t>
      </w:r>
      <w:r w:rsidR="005D72C3">
        <w:rPr>
          <w:rFonts w:ascii="Bookman Old Style" w:hAnsi="Bookman Old Style" w:cs="Segoe UI"/>
          <w:lang w:eastAsia="es-CO"/>
        </w:rPr>
        <w:t xml:space="preserve">S.A. E.S.P. </w:t>
      </w:r>
      <w:r w:rsidRPr="00A8414D">
        <w:rPr>
          <w:rFonts w:ascii="Bookman Old Style" w:hAnsi="Bookman Old Style" w:cs="Segoe UI"/>
          <w:lang w:eastAsia="es-CO"/>
        </w:rPr>
        <w:t xml:space="preserve">adelantar el cálculo de la energía firme considerando las estimaciones de caudades determinado por la auditoría y para los periodos en donde el auditor no pudo adelantar la auditoría, utilizar </w:t>
      </w:r>
      <w:r w:rsidR="00E42474">
        <w:rPr>
          <w:rFonts w:ascii="Bookman Old Style" w:hAnsi="Bookman Old Style" w:cs="Segoe UI"/>
          <w:lang w:eastAsia="es-CO"/>
        </w:rPr>
        <w:t>la información de la Circular CREG 031 de 2007</w:t>
      </w:r>
      <w:r w:rsidR="00305343">
        <w:rPr>
          <w:rFonts w:ascii="Bookman Old Style" w:hAnsi="Bookman Old Style" w:cs="Segoe UI"/>
          <w:lang w:eastAsia="es-CO"/>
        </w:rPr>
        <w:t xml:space="preserve"> que </w:t>
      </w:r>
      <w:r w:rsidR="00305343">
        <w:rPr>
          <w:rFonts w:ascii="Bookman Old Style" w:hAnsi="Bookman Old Style" w:cs="Arial"/>
        </w:rPr>
        <w:t>corresponde a los parámetros reportado por los agentes a la CREG en cumplimiento de la Resolución CREG 031 de 2007 “</w:t>
      </w:r>
      <w:r w:rsidR="00305343">
        <w:rPr>
          <w:rFonts w:ascii="Bookman Old Style" w:hAnsi="Bookman Old Style" w:cs="Arial"/>
          <w:i/>
          <w:iCs/>
        </w:rPr>
        <w:t xml:space="preserve">Por la cual se adoptan las </w:t>
      </w:r>
      <w:r w:rsidR="00305343">
        <w:rPr>
          <w:rFonts w:ascii="Bookman Old Style" w:hAnsi="Bookman Old Style" w:cs="Arial"/>
          <w:i/>
          <w:iCs/>
        </w:rPr>
        <w:lastRenderedPageBreak/>
        <w:t>decisiones de que trata el Artículo 18 y demás disposiciones de la Resolución CREG-071 de 2006, para llevar a cabo la primera Subasta para la Asignación de Obligaciones de Energía Firme del Cargo por Confiabilidad en el Mercado Mayorista de Energía</w:t>
      </w:r>
      <w:r w:rsidR="00305343">
        <w:rPr>
          <w:rFonts w:ascii="Bookman Old Style" w:hAnsi="Bookman Old Style" w:cs="Arial"/>
        </w:rPr>
        <w:t>”. La auditoría de los parámetros declarados y publicados con la Circular 031 fue adelantada por la firma SEDIC.</w:t>
      </w:r>
    </w:p>
    <w:p w14:paraId="6C790F16" w14:textId="77777777" w:rsidR="001B1A80" w:rsidRDefault="001B1A80" w:rsidP="00305343">
      <w:pPr>
        <w:ind w:left="0"/>
        <w:jc w:val="both"/>
        <w:rPr>
          <w:rFonts w:ascii="Bookman Old Style" w:hAnsi="Bookman Old Style" w:cs="Arial"/>
        </w:rPr>
      </w:pPr>
    </w:p>
    <w:p w14:paraId="581A798A" w14:textId="55FC8AE8" w:rsidR="00305343" w:rsidRDefault="00305343" w:rsidP="00305343">
      <w:pPr>
        <w:ind w:left="0"/>
        <w:jc w:val="both"/>
        <w:rPr>
          <w:rFonts w:ascii="Bookman Old Style" w:hAnsi="Bookman Old Style" w:cs="Arial"/>
        </w:rPr>
      </w:pPr>
      <w:r>
        <w:rPr>
          <w:rFonts w:ascii="Bookman Old Style" w:hAnsi="Bookman Old Style" w:cs="Arial"/>
        </w:rPr>
        <w:t xml:space="preserve">En lo que respecta al parámetro </w:t>
      </w:r>
      <w:r w:rsidR="00FE1CCC">
        <w:rPr>
          <w:rFonts w:ascii="Bookman Old Style" w:hAnsi="Bookman Old Style" w:cs="Arial"/>
        </w:rPr>
        <w:t xml:space="preserve">Serie </w:t>
      </w:r>
      <w:r>
        <w:rPr>
          <w:rFonts w:ascii="Bookman Old Style" w:hAnsi="Bookman Old Style" w:cs="Arial"/>
        </w:rPr>
        <w:t>histórica de caudales mensuales del SIN, el auditor en su informe entregado en la CREG con radicado E-2009-011813, manifiesta que se fundamentan en el Acuerdo CNO 172 de 2001 mediante el cual se aprobaron las series de las plantas del SIN</w:t>
      </w:r>
      <w:r w:rsidR="002D0B5B">
        <w:rPr>
          <w:rFonts w:ascii="Bookman Old Style" w:hAnsi="Bookman Old Style" w:cs="Arial"/>
        </w:rPr>
        <w:t>,</w:t>
      </w:r>
      <w:r>
        <w:rPr>
          <w:rFonts w:ascii="Bookman Old Style" w:hAnsi="Bookman Old Style" w:cs="Arial"/>
        </w:rPr>
        <w:t xml:space="preserve"> dado que se presentaron, revisaron y aprobaron por el Subcomité Hidrológico y de Plantas Hidráulicas. Sobre el parámetro </w:t>
      </w:r>
      <w:r w:rsidR="00B13F8A">
        <w:rPr>
          <w:rFonts w:ascii="Bookman Old Style" w:hAnsi="Bookman Old Style" w:cs="Arial"/>
        </w:rPr>
        <w:t xml:space="preserve">de </w:t>
      </w:r>
      <w:r w:rsidR="00FE1CCC">
        <w:rPr>
          <w:rFonts w:ascii="Bookman Old Style" w:hAnsi="Bookman Old Style" w:cs="Arial"/>
        </w:rPr>
        <w:t xml:space="preserve">Serie </w:t>
      </w:r>
      <w:r>
        <w:rPr>
          <w:rFonts w:ascii="Bookman Old Style" w:hAnsi="Bookman Old Style" w:cs="Arial"/>
        </w:rPr>
        <w:t>hidrológica San Lorenzo, el auditor encontró que dicha serie no era discrepante.</w:t>
      </w:r>
    </w:p>
    <w:p w14:paraId="6815185A" w14:textId="6170C47A" w:rsidR="00E23AE4" w:rsidRDefault="00E23AE4" w:rsidP="00500754">
      <w:pPr>
        <w:ind w:left="0"/>
        <w:jc w:val="both"/>
        <w:rPr>
          <w:rFonts w:ascii="Bookman Old Style" w:hAnsi="Bookman Old Style" w:cs="Arial"/>
        </w:rPr>
      </w:pPr>
    </w:p>
    <w:p w14:paraId="102DD246" w14:textId="2360E971" w:rsidR="00CB472C" w:rsidRPr="00A8414D" w:rsidRDefault="00CB472C" w:rsidP="00CB472C">
      <w:pPr>
        <w:ind w:left="0"/>
        <w:jc w:val="both"/>
        <w:textAlignment w:val="baseline"/>
        <w:rPr>
          <w:rFonts w:ascii="Segoe UI" w:hAnsi="Segoe UI" w:cs="Segoe UI"/>
          <w:sz w:val="18"/>
          <w:szCs w:val="18"/>
          <w:lang w:val="es-CO" w:eastAsia="es-CO"/>
        </w:rPr>
      </w:pPr>
      <w:r>
        <w:rPr>
          <w:rStyle w:val="normaltextrun"/>
          <w:rFonts w:ascii="Bookman Old Style" w:hAnsi="Bookman Old Style"/>
          <w:color w:val="000000"/>
          <w:shd w:val="clear" w:color="auto" w:fill="FFFFFF"/>
        </w:rPr>
        <w:t>Ahora bien, dados los resultados determinados por XM</w:t>
      </w:r>
      <w:r w:rsidR="002D0B5B">
        <w:rPr>
          <w:rStyle w:val="normaltextrun"/>
          <w:rFonts w:ascii="Bookman Old Style" w:hAnsi="Bookman Old Style"/>
          <w:color w:val="000000"/>
          <w:shd w:val="clear" w:color="auto" w:fill="FFFFFF"/>
        </w:rPr>
        <w:t xml:space="preserve"> S.A. E.S.P.</w:t>
      </w:r>
      <w:r>
        <w:rPr>
          <w:rStyle w:val="normaltextrun"/>
          <w:rFonts w:ascii="Bookman Old Style" w:hAnsi="Bookman Old Style"/>
          <w:color w:val="000000"/>
          <w:shd w:val="clear" w:color="auto" w:fill="FFFFFF"/>
        </w:rPr>
        <w:t xml:space="preserve">, se identifica que la planta </w:t>
      </w:r>
      <w:r w:rsidR="00B13F8A">
        <w:rPr>
          <w:rStyle w:val="normaltextrun"/>
          <w:rFonts w:ascii="Bookman Old Style" w:hAnsi="Bookman Old Style"/>
          <w:color w:val="000000"/>
          <w:shd w:val="clear" w:color="auto" w:fill="FFFFFF"/>
        </w:rPr>
        <w:t xml:space="preserve">Jaguas </w:t>
      </w:r>
      <w:r>
        <w:rPr>
          <w:rStyle w:val="normaltextrun"/>
          <w:rFonts w:ascii="Bookman Old Style" w:hAnsi="Bookman Old Style"/>
          <w:color w:val="000000"/>
          <w:shd w:val="clear" w:color="auto" w:fill="FFFFFF"/>
        </w:rPr>
        <w:t xml:space="preserve">con los parámetros auditados cuenta con una ENFICC base de </w:t>
      </w:r>
      <w:r w:rsidR="000613D9">
        <w:rPr>
          <w:rStyle w:val="normaltextrun"/>
          <w:rFonts w:ascii="Bookman Old Style" w:hAnsi="Bookman Old Style"/>
          <w:color w:val="000000"/>
          <w:shd w:val="clear" w:color="auto" w:fill="FFFFFF"/>
        </w:rPr>
        <w:t>1</w:t>
      </w:r>
      <w:r w:rsidR="00B13F8A">
        <w:rPr>
          <w:rStyle w:val="normaltextrun"/>
          <w:rFonts w:ascii="Bookman Old Style" w:hAnsi="Bookman Old Style"/>
          <w:color w:val="000000"/>
          <w:shd w:val="clear" w:color="auto" w:fill="FFFFFF"/>
        </w:rPr>
        <w:t>,</w:t>
      </w:r>
      <w:r w:rsidR="000613D9">
        <w:rPr>
          <w:rStyle w:val="normaltextrun"/>
          <w:rFonts w:ascii="Bookman Old Style" w:hAnsi="Bookman Old Style"/>
          <w:color w:val="000000"/>
          <w:shd w:val="clear" w:color="auto" w:fill="FFFFFF"/>
        </w:rPr>
        <w:t>174</w:t>
      </w:r>
      <w:r w:rsidR="00B13F8A">
        <w:rPr>
          <w:rStyle w:val="normaltextrun"/>
          <w:rFonts w:ascii="Bookman Old Style" w:hAnsi="Bookman Old Style"/>
          <w:color w:val="000000"/>
          <w:shd w:val="clear" w:color="auto" w:fill="FFFFFF"/>
        </w:rPr>
        <w:t>,</w:t>
      </w:r>
      <w:r w:rsidR="000613D9">
        <w:rPr>
          <w:rStyle w:val="normaltextrun"/>
          <w:rFonts w:ascii="Bookman Old Style" w:hAnsi="Bookman Old Style"/>
          <w:color w:val="000000"/>
          <w:shd w:val="clear" w:color="auto" w:fill="FFFFFF"/>
        </w:rPr>
        <w:t>345</w:t>
      </w:r>
      <w:r>
        <w:rPr>
          <w:rStyle w:val="normaltextrun"/>
          <w:rFonts w:ascii="Bookman Old Style" w:hAnsi="Bookman Old Style"/>
          <w:color w:val="000000"/>
          <w:shd w:val="clear" w:color="auto" w:fill="FFFFFF"/>
        </w:rPr>
        <w:t xml:space="preserve"> kWh-día y una ENFICC 98PSS de </w:t>
      </w:r>
      <w:r w:rsidR="0077520E">
        <w:rPr>
          <w:rStyle w:val="normaltextrun"/>
          <w:rFonts w:ascii="Bookman Old Style" w:hAnsi="Bookman Old Style"/>
          <w:color w:val="000000"/>
          <w:shd w:val="clear" w:color="auto" w:fill="FFFFFF"/>
        </w:rPr>
        <w:t>1</w:t>
      </w:r>
      <w:r w:rsidR="00B13F8A">
        <w:rPr>
          <w:rStyle w:val="normaltextrun"/>
          <w:rFonts w:ascii="Bookman Old Style" w:hAnsi="Bookman Old Style"/>
          <w:color w:val="000000"/>
          <w:shd w:val="clear" w:color="auto" w:fill="FFFFFF"/>
        </w:rPr>
        <w:t>,</w:t>
      </w:r>
      <w:r w:rsidR="0077520E">
        <w:rPr>
          <w:rStyle w:val="normaltextrun"/>
          <w:rFonts w:ascii="Bookman Old Style" w:hAnsi="Bookman Old Style"/>
          <w:color w:val="000000"/>
          <w:shd w:val="clear" w:color="auto" w:fill="FFFFFF"/>
        </w:rPr>
        <w:t>178</w:t>
      </w:r>
      <w:r w:rsidR="00B13F8A">
        <w:rPr>
          <w:rStyle w:val="normaltextrun"/>
          <w:rFonts w:ascii="Bookman Old Style" w:hAnsi="Bookman Old Style"/>
          <w:color w:val="000000"/>
          <w:shd w:val="clear" w:color="auto" w:fill="FFFFFF"/>
        </w:rPr>
        <w:t>,</w:t>
      </w:r>
      <w:r w:rsidR="0077520E">
        <w:rPr>
          <w:rStyle w:val="normaltextrun"/>
          <w:rFonts w:ascii="Bookman Old Style" w:hAnsi="Bookman Old Style"/>
          <w:color w:val="000000"/>
          <w:shd w:val="clear" w:color="auto" w:fill="FFFFFF"/>
        </w:rPr>
        <w:t>861</w:t>
      </w:r>
      <w:r>
        <w:rPr>
          <w:rStyle w:val="normaltextrun"/>
          <w:rFonts w:ascii="Bookman Old Style" w:hAnsi="Bookman Old Style"/>
          <w:color w:val="000000"/>
          <w:shd w:val="clear" w:color="auto" w:fill="FFFFFF"/>
        </w:rPr>
        <w:t xml:space="preserve"> kWh-día, valores que son iguales a lo verificado en 2019.</w:t>
      </w:r>
    </w:p>
    <w:p w14:paraId="3E2E6EA9" w14:textId="77777777" w:rsidR="00CB472C" w:rsidRDefault="00CB472C" w:rsidP="00500754">
      <w:pPr>
        <w:ind w:left="0"/>
        <w:jc w:val="both"/>
        <w:rPr>
          <w:rFonts w:ascii="Bookman Old Style" w:hAnsi="Bookman Old Style" w:cs="Arial"/>
        </w:rPr>
      </w:pPr>
    </w:p>
    <w:p w14:paraId="1AD9B116" w14:textId="6D488A2E" w:rsidR="004E0BA2" w:rsidRPr="004E0BA2" w:rsidRDefault="004E0BA2" w:rsidP="004E0BA2">
      <w:pPr>
        <w:widowControl w:val="0"/>
        <w:adjustRightInd w:val="0"/>
        <w:ind w:left="0"/>
        <w:jc w:val="both"/>
        <w:textAlignment w:val="baseline"/>
        <w:rPr>
          <w:rFonts w:ascii="Bookman Old Style" w:hAnsi="Bookman Old Style"/>
        </w:rPr>
      </w:pPr>
      <w:r w:rsidRPr="004E0BA2">
        <w:rPr>
          <w:rFonts w:ascii="Bookman Old Style" w:hAnsi="Bookman Old Style"/>
        </w:rPr>
        <w:t>Además</w:t>
      </w:r>
      <w:r w:rsidR="002D0B5B">
        <w:rPr>
          <w:rFonts w:ascii="Bookman Old Style" w:hAnsi="Bookman Old Style"/>
        </w:rPr>
        <w:t>,</w:t>
      </w:r>
      <w:r w:rsidRPr="004E0BA2">
        <w:rPr>
          <w:rFonts w:ascii="Bookman Old Style" w:hAnsi="Bookman Old Style"/>
        </w:rPr>
        <w:t xml:space="preserve"> debe tenerse en cuenta que el criterio normativo que se busca garantizar, conforme lo establecido por la CREG</w:t>
      </w:r>
      <w:r w:rsidR="00E13454">
        <w:rPr>
          <w:rFonts w:ascii="Bookman Old Style" w:hAnsi="Bookman Old Style"/>
        </w:rPr>
        <w:t>,</w:t>
      </w:r>
      <w:r w:rsidRPr="004E0BA2">
        <w:rPr>
          <w:rFonts w:ascii="Bookman Old Style" w:hAnsi="Bookman Old Style"/>
        </w:rPr>
        <w:t xml:space="preserve"> es el de no considerar como discrepancias las diferencias en la información declarada</w:t>
      </w:r>
      <w:r w:rsidR="002D0B5B">
        <w:rPr>
          <w:rFonts w:ascii="Bookman Old Style" w:hAnsi="Bookman Old Style"/>
        </w:rPr>
        <w:t>,</w:t>
      </w:r>
      <w:r w:rsidRPr="004E0BA2">
        <w:rPr>
          <w:rFonts w:ascii="Bookman Old Style" w:hAnsi="Bookman Old Style"/>
        </w:rPr>
        <w:t xml:space="preserve"> si la ENFICC calculada con base en los resultados de la auditoría es igual o mayor a la ENFICC declarada por el agente en cumplimiento de lo señalado en la Resolución CREG 142 de 2018 para la asignación del período 2022-2023, pues lo que se está examinando es el correcto cálculo de la ENFICC declarada por el interesado, para prevenir el riesgo de que sea superior a la real</w:t>
      </w:r>
      <w:r w:rsidR="002D0B5B">
        <w:rPr>
          <w:rFonts w:ascii="Bookman Old Style" w:hAnsi="Bookman Old Style"/>
        </w:rPr>
        <w:t>,</w:t>
      </w:r>
      <w:r w:rsidRPr="004E0BA2">
        <w:rPr>
          <w:rFonts w:ascii="Bookman Old Style" w:hAnsi="Bookman Old Style"/>
        </w:rPr>
        <w:t xml:space="preserve"> y no a la inversa, pues lo que se pretende evitar es que se adquiera una obligación de energía firme superior a la verdadera ENFICC de la respectiva planta y/o unidad</w:t>
      </w:r>
      <w:r w:rsidR="002D0B5B">
        <w:rPr>
          <w:rFonts w:ascii="Bookman Old Style" w:hAnsi="Bookman Old Style"/>
        </w:rPr>
        <w:t>.</w:t>
      </w:r>
    </w:p>
    <w:p w14:paraId="5762FCE4" w14:textId="2C6B6B0A" w:rsidR="00343CFB" w:rsidRPr="002E6324" w:rsidRDefault="00343CFB" w:rsidP="002E6324">
      <w:pPr>
        <w:widowControl w:val="0"/>
        <w:adjustRightInd w:val="0"/>
        <w:ind w:left="0"/>
        <w:jc w:val="both"/>
        <w:textAlignment w:val="baseline"/>
        <w:rPr>
          <w:rFonts w:ascii="Bookman Old Style" w:hAnsi="Bookman Old Style"/>
        </w:rPr>
      </w:pPr>
    </w:p>
    <w:p w14:paraId="702C0879" w14:textId="59DF6CB2" w:rsidR="00343CFB" w:rsidRPr="002E6324" w:rsidRDefault="00343CFB" w:rsidP="002E6324">
      <w:pPr>
        <w:widowControl w:val="0"/>
        <w:adjustRightInd w:val="0"/>
        <w:ind w:left="0"/>
        <w:jc w:val="both"/>
        <w:textAlignment w:val="baseline"/>
        <w:rPr>
          <w:rFonts w:ascii="Bookman Old Style" w:hAnsi="Bookman Old Style"/>
        </w:rPr>
      </w:pPr>
      <w:r w:rsidRPr="002E6324">
        <w:rPr>
          <w:rFonts w:ascii="Bookman Old Style" w:hAnsi="Bookman Old Style"/>
        </w:rPr>
        <w:t>En consecuencia, como la CREG no confirma la existencia de la discrepancia advertida por el auditor porque los resultados encontrados por XM S.A. E.S.P</w:t>
      </w:r>
      <w:r w:rsidR="00E13454">
        <w:rPr>
          <w:rFonts w:ascii="Bookman Old Style" w:hAnsi="Bookman Old Style"/>
        </w:rPr>
        <w:t>.</w:t>
      </w:r>
      <w:r w:rsidRPr="002E6324">
        <w:rPr>
          <w:rFonts w:ascii="Bookman Old Style" w:hAnsi="Bookman Old Style"/>
        </w:rPr>
        <w:t xml:space="preserve"> no evidencian que el agente haya declarado una mayor ENFICC base o </w:t>
      </w:r>
      <w:r w:rsidR="00E13454">
        <w:rPr>
          <w:rFonts w:ascii="Bookman Old Style" w:hAnsi="Bookman Old Style"/>
        </w:rPr>
        <w:t xml:space="preserve">ENFICC </w:t>
      </w:r>
      <w:r w:rsidRPr="002E6324">
        <w:rPr>
          <w:rFonts w:ascii="Bookman Old Style" w:hAnsi="Bookman Old Style"/>
        </w:rPr>
        <w:t>98%</w:t>
      </w:r>
      <w:r w:rsidR="006471E4">
        <w:rPr>
          <w:rFonts w:ascii="Bookman Old Style" w:hAnsi="Bookman Old Style"/>
        </w:rPr>
        <w:t xml:space="preserve"> </w:t>
      </w:r>
      <w:r w:rsidRPr="002E6324">
        <w:rPr>
          <w:rFonts w:ascii="Bookman Old Style" w:hAnsi="Bookman Old Style"/>
        </w:rPr>
        <w:t>PSS en cumplimiento de lo señalado en la Resolución CREG 142 de 2018 para la asignación del período 2022-2023, se ordenará el archivo de la actuación; no sin antes advertir que estas valoraciones que se hacen no estaban comprendidas en el trabajo de la auditoría, razón por la cual no las podía tener en cuenta sin que pueda atribuírsele una conducta omisiva al Auditor en el cumplimiento de sus funciones.</w:t>
      </w:r>
    </w:p>
    <w:p w14:paraId="644DEA3D" w14:textId="6B59C041" w:rsidR="00343CFB" w:rsidRPr="002E6324" w:rsidRDefault="00343CFB" w:rsidP="002E6324">
      <w:pPr>
        <w:widowControl w:val="0"/>
        <w:adjustRightInd w:val="0"/>
        <w:ind w:left="0"/>
        <w:jc w:val="both"/>
        <w:textAlignment w:val="baseline"/>
        <w:rPr>
          <w:rFonts w:ascii="Bookman Old Style" w:hAnsi="Bookman Old Style"/>
        </w:rPr>
      </w:pPr>
    </w:p>
    <w:p w14:paraId="38BC2F1C" w14:textId="6D31646A" w:rsidR="006471E4" w:rsidRPr="002E6324" w:rsidRDefault="006471E4" w:rsidP="006471E4">
      <w:pPr>
        <w:widowControl w:val="0"/>
        <w:adjustRightInd w:val="0"/>
        <w:ind w:left="0"/>
        <w:jc w:val="both"/>
        <w:textAlignment w:val="baseline"/>
        <w:rPr>
          <w:rFonts w:ascii="Bookman Old Style" w:hAnsi="Bookman Old Style"/>
        </w:rPr>
      </w:pPr>
      <w:r w:rsidRPr="002E6324">
        <w:rPr>
          <w:rFonts w:ascii="Bookman Old Style" w:hAnsi="Bookman Old Style"/>
        </w:rPr>
        <w:t>Esta decisión no afecta la declaración de parámetros y cálculo de la ENFICC que se haya hecho con posterioridad a la asignación de OEF para el período 2022-2023.</w:t>
      </w:r>
    </w:p>
    <w:p w14:paraId="266829A7" w14:textId="77777777" w:rsidR="006471E4" w:rsidRPr="002E6324" w:rsidRDefault="006471E4" w:rsidP="006471E4">
      <w:pPr>
        <w:widowControl w:val="0"/>
        <w:adjustRightInd w:val="0"/>
        <w:ind w:left="0"/>
        <w:jc w:val="both"/>
        <w:textAlignment w:val="baseline"/>
        <w:rPr>
          <w:rFonts w:ascii="Bookman Old Style" w:hAnsi="Bookman Old Style"/>
        </w:rPr>
      </w:pPr>
    </w:p>
    <w:p w14:paraId="1C200FBD" w14:textId="43A7A3D1" w:rsidR="00343CFB" w:rsidRPr="002E6324" w:rsidRDefault="00343CFB" w:rsidP="00232903">
      <w:pPr>
        <w:adjustRightInd w:val="0"/>
        <w:ind w:left="0"/>
        <w:jc w:val="both"/>
        <w:textAlignment w:val="baseline"/>
        <w:rPr>
          <w:rFonts w:ascii="Bookman Old Style" w:hAnsi="Bookman Old Style"/>
        </w:rPr>
      </w:pPr>
      <w:r w:rsidRPr="002E6324">
        <w:rPr>
          <w:rFonts w:ascii="Bookman Old Style" w:hAnsi="Bookman Old Style"/>
        </w:rPr>
        <w:t>Sin perjuicio de lo anterior, se advierte que en la declaración de parámetros que realice el agente siempre deberá reflejar la situación real de su planta o unidad</w:t>
      </w:r>
      <w:r w:rsidR="000C3926">
        <w:rPr>
          <w:rFonts w:ascii="Bookman Old Style" w:hAnsi="Bookman Old Style"/>
        </w:rPr>
        <w:t>,</w:t>
      </w:r>
      <w:r w:rsidRPr="002E6324">
        <w:rPr>
          <w:rFonts w:ascii="Bookman Old Style" w:hAnsi="Bookman Old Style"/>
        </w:rPr>
        <w:t xml:space="preserve"> de tal forma que se pueda determinar correctamente la ENFICC al momento de la declaración. En consecuencia, teniendo en cuenta los resultados de la </w:t>
      </w:r>
      <w:r w:rsidRPr="002E6324">
        <w:rPr>
          <w:rFonts w:ascii="Bookman Old Style" w:hAnsi="Bookman Old Style"/>
        </w:rPr>
        <w:lastRenderedPageBreak/>
        <w:t>auditoría, el agente deberá hacer los ajustes a la información que considere necesarios.</w:t>
      </w:r>
    </w:p>
    <w:p w14:paraId="0B6E0626" w14:textId="77777777" w:rsidR="00324AD9" w:rsidRPr="002E6324" w:rsidRDefault="00324AD9" w:rsidP="00324AD9">
      <w:pPr>
        <w:widowControl w:val="0"/>
        <w:adjustRightInd w:val="0"/>
        <w:ind w:left="0"/>
        <w:jc w:val="both"/>
        <w:textAlignment w:val="baseline"/>
        <w:rPr>
          <w:rFonts w:ascii="Bookman Old Style" w:hAnsi="Bookman Old Style"/>
        </w:rPr>
      </w:pPr>
    </w:p>
    <w:p w14:paraId="16EE9AC7" w14:textId="14BFD3E3" w:rsidR="00324AD9" w:rsidRPr="00582B18" w:rsidRDefault="00B3353F" w:rsidP="00324AD9">
      <w:pPr>
        <w:ind w:left="0"/>
        <w:jc w:val="both"/>
        <w:rPr>
          <w:rFonts w:ascii="Bookman Old Style" w:hAnsi="Bookman Old Style" w:cs="Arial"/>
          <w:lang w:val="es-CO"/>
        </w:rPr>
      </w:pPr>
      <w:r w:rsidRPr="00582B18">
        <w:rPr>
          <w:rFonts w:ascii="Bookman Old Style" w:hAnsi="Bookman Old Style" w:cs="Arial"/>
        </w:rPr>
        <w:t>Finalmente, con</w:t>
      </w:r>
      <w:r w:rsidR="00324AD9" w:rsidRPr="00582B18">
        <w:rPr>
          <w:rFonts w:ascii="Bookman Old Style" w:hAnsi="Bookman Old Style" w:cs="Arial"/>
        </w:rPr>
        <w:t xml:space="preserve"> base en todo lo anteriormente desarrollado y expresado, la Comisión de Regulación de Energía y Gas, en su sesión No</w:t>
      </w:r>
      <w:r w:rsidR="0047726F">
        <w:rPr>
          <w:rFonts w:ascii="Bookman Old Style" w:hAnsi="Bookman Old Style" w:cs="Arial"/>
        </w:rPr>
        <w:t>.1149</w:t>
      </w:r>
      <w:r w:rsidR="00324AD9" w:rsidRPr="00582B18">
        <w:rPr>
          <w:rFonts w:ascii="Bookman Old Style" w:hAnsi="Bookman Old Style" w:cs="Arial"/>
        </w:rPr>
        <w:t xml:space="preserve"> del </w:t>
      </w:r>
      <w:r w:rsidR="0047726F">
        <w:rPr>
          <w:rFonts w:ascii="Bookman Old Style" w:hAnsi="Bookman Old Style" w:cs="Arial"/>
        </w:rPr>
        <w:t>08</w:t>
      </w:r>
      <w:r w:rsidR="00324AD9" w:rsidRPr="00582B18">
        <w:rPr>
          <w:rFonts w:ascii="Bookman Old Style" w:hAnsi="Bookman Old Style" w:cs="Arial"/>
        </w:rPr>
        <w:t xml:space="preserve"> </w:t>
      </w:r>
      <w:r w:rsidR="00324AD9" w:rsidRPr="0047726F">
        <w:rPr>
          <w:rFonts w:ascii="Bookman Old Style" w:hAnsi="Bookman Old Style" w:cs="Arial"/>
        </w:rPr>
        <w:t xml:space="preserve">de </w:t>
      </w:r>
      <w:r w:rsidR="005E5C4C" w:rsidRPr="0047726F">
        <w:rPr>
          <w:rFonts w:ascii="Bookman Old Style" w:hAnsi="Bookman Old Style" w:cs="Arial"/>
        </w:rPr>
        <w:t>febrero</w:t>
      </w:r>
      <w:r w:rsidR="00324AD9" w:rsidRPr="0047726F">
        <w:rPr>
          <w:rFonts w:ascii="Bookman Old Style" w:hAnsi="Bookman Old Style" w:cs="Arial"/>
        </w:rPr>
        <w:t xml:space="preserve"> de 20</w:t>
      </w:r>
      <w:r w:rsidR="00D717C1" w:rsidRPr="0047726F">
        <w:rPr>
          <w:rFonts w:ascii="Bookman Old Style" w:hAnsi="Bookman Old Style" w:cs="Arial"/>
        </w:rPr>
        <w:t>2</w:t>
      </w:r>
      <w:r w:rsidR="005E5C4C" w:rsidRPr="0047726F">
        <w:rPr>
          <w:rFonts w:ascii="Bookman Old Style" w:hAnsi="Bookman Old Style" w:cs="Arial"/>
        </w:rPr>
        <w:t>2</w:t>
      </w:r>
      <w:r w:rsidR="00324AD9" w:rsidRPr="0047726F">
        <w:rPr>
          <w:rFonts w:ascii="Bookman Old Style" w:hAnsi="Bookman Old Style" w:cs="Arial"/>
        </w:rPr>
        <w:t>, acordó expedir la presente Resolución;</w:t>
      </w:r>
    </w:p>
    <w:p w14:paraId="5AB475E5" w14:textId="77777777" w:rsidR="00324AD9" w:rsidRPr="00582B18" w:rsidRDefault="00324AD9" w:rsidP="00324AD9">
      <w:pPr>
        <w:jc w:val="both"/>
        <w:rPr>
          <w:rFonts w:ascii="Bookman Old Style" w:hAnsi="Bookman Old Style" w:cs="Arial"/>
          <w:lang w:val="es-CO"/>
        </w:rPr>
      </w:pPr>
    </w:p>
    <w:p w14:paraId="581BB578" w14:textId="77777777" w:rsidR="00324AD9" w:rsidRPr="00582B18" w:rsidRDefault="00324AD9" w:rsidP="00324AD9">
      <w:pPr>
        <w:jc w:val="center"/>
        <w:rPr>
          <w:rFonts w:ascii="Bookman Old Style" w:hAnsi="Bookman Old Style" w:cs="Arial"/>
          <w:b/>
          <w:bCs/>
          <w:lang w:val="es-CO"/>
        </w:rPr>
      </w:pPr>
    </w:p>
    <w:p w14:paraId="3A0DB049" w14:textId="77777777" w:rsidR="00324AD9" w:rsidRPr="00582B18" w:rsidRDefault="00324AD9" w:rsidP="00324AD9">
      <w:pPr>
        <w:jc w:val="center"/>
        <w:rPr>
          <w:rFonts w:ascii="Bookman Old Style" w:hAnsi="Bookman Old Style" w:cs="Arial"/>
          <w:b/>
          <w:bCs/>
          <w:lang w:val="es-CO"/>
        </w:rPr>
      </w:pPr>
      <w:r w:rsidRPr="00582B18">
        <w:rPr>
          <w:rFonts w:ascii="Bookman Old Style" w:hAnsi="Bookman Old Style" w:cs="Arial"/>
          <w:b/>
          <w:bCs/>
          <w:lang w:val="es-CO"/>
        </w:rPr>
        <w:t>R E S U E L V E:</w:t>
      </w:r>
    </w:p>
    <w:p w14:paraId="3A30A561" w14:textId="77777777" w:rsidR="00324AD9" w:rsidRPr="00582B18" w:rsidRDefault="00324AD9" w:rsidP="00324AD9">
      <w:pPr>
        <w:rPr>
          <w:rFonts w:ascii="Bookman Old Style" w:hAnsi="Bookman Old Style" w:cs="Arial"/>
          <w:lang w:val="es-CO"/>
        </w:rPr>
      </w:pPr>
    </w:p>
    <w:p w14:paraId="7745514D" w14:textId="77777777" w:rsidR="00324AD9" w:rsidRPr="00582B18" w:rsidRDefault="00324AD9" w:rsidP="00324AD9">
      <w:pPr>
        <w:rPr>
          <w:rFonts w:ascii="Bookman Old Style" w:hAnsi="Bookman Old Style" w:cs="Arial"/>
          <w:sz w:val="14"/>
          <w:lang w:val="es-CO"/>
        </w:rPr>
      </w:pPr>
    </w:p>
    <w:p w14:paraId="394CF9B9" w14:textId="2FA81B6C" w:rsidR="00324AD9" w:rsidRPr="00582B18" w:rsidRDefault="00324AD9" w:rsidP="00324AD9">
      <w:pPr>
        <w:ind w:left="0"/>
        <w:jc w:val="both"/>
        <w:rPr>
          <w:rFonts w:ascii="Bookman Old Style" w:hAnsi="Bookman Old Style" w:cs="Arial"/>
        </w:rPr>
      </w:pPr>
      <w:r w:rsidRPr="00582B18">
        <w:rPr>
          <w:rFonts w:ascii="Bookman Old Style" w:hAnsi="Bookman Old Style" w:cs="Arial"/>
          <w:b/>
          <w:bCs/>
          <w:lang w:val="es-CO"/>
        </w:rPr>
        <w:t xml:space="preserve">ARTÍCULO 1. </w:t>
      </w:r>
      <w:proofErr w:type="gramStart"/>
      <w:r w:rsidRPr="00582B18">
        <w:rPr>
          <w:rFonts w:ascii="Bookman Old Style" w:hAnsi="Bookman Old Style" w:cs="Arial"/>
          <w:lang w:val="es-CO"/>
        </w:rPr>
        <w:t>Declarar</w:t>
      </w:r>
      <w:proofErr w:type="gramEnd"/>
      <w:r w:rsidRPr="00582B18">
        <w:rPr>
          <w:rFonts w:ascii="Bookman Old Style" w:hAnsi="Bookman Old Style" w:cs="Arial"/>
          <w:lang w:val="es-CO"/>
        </w:rPr>
        <w:t xml:space="preserve"> que no se confirmó</w:t>
      </w:r>
      <w:r w:rsidRPr="00582B18">
        <w:rPr>
          <w:rFonts w:ascii="Bookman Old Style" w:hAnsi="Bookman Old Style" w:cs="Arial"/>
          <w:b/>
          <w:bCs/>
          <w:lang w:val="es-CO"/>
        </w:rPr>
        <w:t xml:space="preserve"> </w:t>
      </w:r>
      <w:r w:rsidRPr="00582B18">
        <w:rPr>
          <w:rFonts w:ascii="Bookman Old Style" w:hAnsi="Bookman Old Style" w:cs="Arial"/>
          <w:lang w:val="es-CO"/>
        </w:rPr>
        <w:t xml:space="preserve">la existencia de discrepancias en el valor reportado por la empresa ISAGEN S.A. E.S.P. para el </w:t>
      </w:r>
      <w:r w:rsidRPr="00582B18">
        <w:rPr>
          <w:rFonts w:ascii="Bookman Old Style" w:hAnsi="Bookman Old Style" w:cs="Arial"/>
          <w:iCs/>
        </w:rPr>
        <w:t xml:space="preserve">parámetro </w:t>
      </w:r>
      <w:r w:rsidR="006471E4" w:rsidRPr="00582B18">
        <w:rPr>
          <w:rFonts w:ascii="Bookman Old Style" w:hAnsi="Bookman Old Style" w:cs="Arial"/>
          <w:iCs/>
        </w:rPr>
        <w:t xml:space="preserve">Serie </w:t>
      </w:r>
      <w:r w:rsidRPr="00582B18">
        <w:rPr>
          <w:rFonts w:ascii="Bookman Old Style" w:hAnsi="Bookman Old Style" w:cs="Arial"/>
          <w:iCs/>
        </w:rPr>
        <w:t xml:space="preserve">histórica de caudales medios mensuales de los ríos del SIN </w:t>
      </w:r>
      <w:r w:rsidRPr="00582B18">
        <w:rPr>
          <w:rFonts w:ascii="Bookman Old Style" w:hAnsi="Bookman Old Style" w:cs="Arial"/>
        </w:rPr>
        <w:t xml:space="preserve">que comprometan la ENFICC que respalda las OEF del período 2022-2023 para la planta </w:t>
      </w:r>
      <w:r w:rsidR="006471E4" w:rsidRPr="00582B18">
        <w:rPr>
          <w:rFonts w:ascii="Bookman Old Style" w:hAnsi="Bookman Old Style" w:cs="Arial"/>
        </w:rPr>
        <w:t>Jaguas</w:t>
      </w:r>
      <w:r w:rsidR="001456E6" w:rsidRPr="00582B18">
        <w:rPr>
          <w:rFonts w:ascii="Bookman Old Style" w:hAnsi="Bookman Old Style" w:cs="Arial"/>
        </w:rPr>
        <w:t>.</w:t>
      </w:r>
      <w:r w:rsidRPr="00582B18">
        <w:rPr>
          <w:rFonts w:ascii="Bookman Old Style" w:hAnsi="Bookman Old Style" w:cs="Arial"/>
        </w:rPr>
        <w:t xml:space="preserve"> </w:t>
      </w:r>
    </w:p>
    <w:p w14:paraId="591506B2" w14:textId="77777777" w:rsidR="00324AD9" w:rsidRPr="00582B18" w:rsidRDefault="00324AD9" w:rsidP="00324AD9">
      <w:pPr>
        <w:ind w:left="0"/>
        <w:jc w:val="both"/>
        <w:rPr>
          <w:rFonts w:ascii="Bookman Old Style" w:hAnsi="Bookman Old Style" w:cs="Arial"/>
          <w:b/>
          <w:bCs/>
          <w:color w:val="000000"/>
          <w:lang w:val="es-CO"/>
        </w:rPr>
      </w:pPr>
    </w:p>
    <w:p w14:paraId="16AEC85D" w14:textId="72B2A958" w:rsidR="00324AD9" w:rsidRPr="00582B18" w:rsidRDefault="00324AD9" w:rsidP="00324AD9">
      <w:pPr>
        <w:ind w:left="0"/>
        <w:jc w:val="both"/>
        <w:rPr>
          <w:rFonts w:ascii="Bookman Old Style" w:hAnsi="Bookman Old Style" w:cs="Arial"/>
          <w:color w:val="000000"/>
          <w:lang w:val="es-CO"/>
        </w:rPr>
      </w:pPr>
      <w:r w:rsidRPr="00582B18">
        <w:rPr>
          <w:rFonts w:ascii="Bookman Old Style" w:hAnsi="Bookman Old Style" w:cs="Arial"/>
          <w:b/>
          <w:bCs/>
          <w:color w:val="000000"/>
          <w:lang w:val="es-CO"/>
        </w:rPr>
        <w:t xml:space="preserve">ARTÍCULO 2.  </w:t>
      </w:r>
      <w:r w:rsidRPr="00582B18">
        <w:rPr>
          <w:rFonts w:ascii="Bookman Old Style" w:hAnsi="Bookman Old Style" w:cs="Arial"/>
          <w:bCs/>
          <w:color w:val="000000"/>
          <w:lang w:val="es-CO"/>
        </w:rPr>
        <w:t xml:space="preserve">En </w:t>
      </w:r>
      <w:r w:rsidR="00B3353F" w:rsidRPr="00582B18">
        <w:rPr>
          <w:rFonts w:ascii="Bookman Old Style" w:hAnsi="Bookman Old Style" w:cs="Arial"/>
          <w:bCs/>
          <w:color w:val="000000"/>
          <w:lang w:val="es-CO"/>
        </w:rPr>
        <w:t>consecuencia,</w:t>
      </w:r>
      <w:r w:rsidRPr="00582B18">
        <w:rPr>
          <w:rFonts w:ascii="Bookman Old Style" w:hAnsi="Bookman Old Style" w:cs="Arial"/>
          <w:bCs/>
          <w:color w:val="000000"/>
          <w:lang w:val="es-CO"/>
        </w:rPr>
        <w:t xml:space="preserve"> de lo anterior, o</w:t>
      </w:r>
      <w:r w:rsidRPr="00582B18">
        <w:rPr>
          <w:rFonts w:ascii="Bookman Old Style" w:hAnsi="Bookman Old Style" w:cs="Arial"/>
          <w:color w:val="000000"/>
          <w:lang w:val="es-CO"/>
        </w:rPr>
        <w:t xml:space="preserve">rdenar el archivo de la actuación administrativa de que da </w:t>
      </w:r>
      <w:r w:rsidRPr="00A90621">
        <w:rPr>
          <w:rFonts w:ascii="Bookman Old Style" w:hAnsi="Bookman Old Style" w:cs="Arial"/>
          <w:color w:val="000000"/>
          <w:lang w:val="es-CO"/>
        </w:rPr>
        <w:t>cuenta el expediente 2021-003</w:t>
      </w:r>
      <w:r w:rsidR="00F53D6B" w:rsidRPr="00A90621">
        <w:rPr>
          <w:rFonts w:ascii="Bookman Old Style" w:hAnsi="Bookman Old Style" w:cs="Arial"/>
          <w:color w:val="000000"/>
          <w:lang w:val="es-CO"/>
        </w:rPr>
        <w:t>6</w:t>
      </w:r>
      <w:r w:rsidRPr="00A90621">
        <w:rPr>
          <w:rFonts w:ascii="Bookman Old Style" w:hAnsi="Bookman Old Style" w:cs="Arial"/>
          <w:color w:val="000000"/>
          <w:lang w:val="es-CO"/>
        </w:rPr>
        <w:t>.</w:t>
      </w:r>
    </w:p>
    <w:p w14:paraId="4A494843" w14:textId="77777777" w:rsidR="00324AD9" w:rsidRPr="00582B18" w:rsidRDefault="00324AD9" w:rsidP="00324AD9">
      <w:pPr>
        <w:ind w:left="0"/>
        <w:jc w:val="both"/>
        <w:rPr>
          <w:rFonts w:ascii="Bookman Old Style" w:hAnsi="Bookman Old Style" w:cs="Arial"/>
          <w:lang w:val="es-CO"/>
        </w:rPr>
      </w:pPr>
    </w:p>
    <w:p w14:paraId="7866202E" w14:textId="4CD1D4E8" w:rsidR="00324AD9" w:rsidRPr="00582B18" w:rsidRDefault="00324AD9" w:rsidP="00324AD9">
      <w:pPr>
        <w:ind w:left="0"/>
        <w:jc w:val="both"/>
        <w:rPr>
          <w:rFonts w:ascii="Bookman Old Style" w:hAnsi="Bookman Old Style" w:cs="Arial"/>
          <w:lang w:val="es-CO"/>
        </w:rPr>
      </w:pPr>
      <w:r w:rsidRPr="00582B18">
        <w:rPr>
          <w:rFonts w:ascii="Bookman Old Style" w:hAnsi="Bookman Old Style" w:cs="Arial"/>
          <w:b/>
          <w:bCs/>
          <w:lang w:val="es-CO"/>
        </w:rPr>
        <w:t xml:space="preserve">ARTÍCULO 3.  </w:t>
      </w:r>
      <w:r w:rsidRPr="00582B18">
        <w:rPr>
          <w:rFonts w:ascii="Bookman Old Style" w:hAnsi="Bookman Old Style" w:cs="Arial"/>
          <w:lang w:val="es-CO"/>
        </w:rPr>
        <w:t>La presente Resolución deberá notificarse personalmente al señor CAMILO MARULANDA LÓPEZ en su calidad de representante legal de la empresa ISAGEN S.A. E.S.P.</w:t>
      </w:r>
      <w:r w:rsidR="000C3926">
        <w:rPr>
          <w:rFonts w:ascii="Bookman Old Style" w:hAnsi="Bookman Old Style" w:cs="Arial"/>
          <w:lang w:val="es-CO"/>
        </w:rPr>
        <w:t>,</w:t>
      </w:r>
      <w:r w:rsidRPr="00582B18">
        <w:rPr>
          <w:rFonts w:ascii="Bookman Old Style" w:hAnsi="Bookman Old Style" w:cs="Arial"/>
          <w:lang w:val="es-CO"/>
        </w:rPr>
        <w:t xml:space="preserve"> o quien hagas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00ED8FDB" w14:textId="62D7EF71" w:rsidR="00324AD9" w:rsidRDefault="00324AD9" w:rsidP="00324AD9">
      <w:pPr>
        <w:ind w:left="0"/>
        <w:jc w:val="both"/>
        <w:rPr>
          <w:rFonts w:ascii="Bookman Old Style" w:hAnsi="Bookman Old Style" w:cs="Arial"/>
          <w:lang w:val="es-CO"/>
        </w:rPr>
      </w:pPr>
    </w:p>
    <w:p w14:paraId="1109AB54" w14:textId="77777777" w:rsidR="006471E4" w:rsidRPr="00582B18" w:rsidRDefault="006471E4" w:rsidP="00324AD9">
      <w:pPr>
        <w:ind w:left="0"/>
        <w:jc w:val="both"/>
        <w:rPr>
          <w:rFonts w:ascii="Bookman Old Style" w:hAnsi="Bookman Old Style" w:cs="Arial"/>
          <w:lang w:val="es-CO"/>
        </w:rPr>
      </w:pPr>
    </w:p>
    <w:p w14:paraId="34B483E0" w14:textId="77777777" w:rsidR="00324AD9" w:rsidRPr="00582B18" w:rsidRDefault="00324AD9" w:rsidP="00324AD9">
      <w:pPr>
        <w:ind w:left="0"/>
        <w:jc w:val="center"/>
        <w:rPr>
          <w:rFonts w:ascii="Bookman Old Style" w:hAnsi="Bookman Old Style" w:cs="Arial"/>
          <w:b/>
          <w:bCs/>
          <w:lang w:val="es-CO"/>
        </w:rPr>
      </w:pPr>
      <w:r w:rsidRPr="00582B18">
        <w:rPr>
          <w:rFonts w:ascii="Bookman Old Style" w:hAnsi="Bookman Old Style" w:cs="Arial"/>
          <w:b/>
          <w:bCs/>
          <w:lang w:val="es-CO"/>
        </w:rPr>
        <w:t>NOTIFÍQUESE Y CÚMPLASE</w:t>
      </w:r>
    </w:p>
    <w:p w14:paraId="0C33EE83" w14:textId="77777777" w:rsidR="00324AD9" w:rsidRPr="00582B18" w:rsidRDefault="00324AD9" w:rsidP="00324AD9">
      <w:pPr>
        <w:ind w:left="0"/>
        <w:jc w:val="both"/>
        <w:rPr>
          <w:rFonts w:ascii="Bookman Old Style" w:hAnsi="Bookman Old Style" w:cs="Arial"/>
          <w:lang w:val="es-CO"/>
        </w:rPr>
      </w:pPr>
    </w:p>
    <w:p w14:paraId="3F51D72B" w14:textId="77777777" w:rsidR="00324AD9" w:rsidRPr="00582B18" w:rsidRDefault="00324AD9" w:rsidP="00324AD9">
      <w:pPr>
        <w:ind w:left="0"/>
        <w:jc w:val="both"/>
        <w:rPr>
          <w:rFonts w:ascii="Bookman Old Style" w:hAnsi="Bookman Old Style" w:cs="Arial"/>
          <w:lang w:val="es-CO"/>
        </w:rPr>
      </w:pPr>
    </w:p>
    <w:p w14:paraId="7911A3BE" w14:textId="51FD9079" w:rsidR="00324AD9" w:rsidRPr="00582B18" w:rsidRDefault="00324AD9" w:rsidP="00324AD9">
      <w:pPr>
        <w:ind w:left="0"/>
        <w:jc w:val="both"/>
        <w:rPr>
          <w:rFonts w:ascii="Bookman Old Style" w:hAnsi="Bookman Old Style" w:cs="Arial"/>
          <w:lang w:val="es-CO"/>
        </w:rPr>
      </w:pPr>
      <w:r w:rsidRPr="00582B18">
        <w:rPr>
          <w:rFonts w:ascii="Bookman Old Style" w:hAnsi="Bookman Old Style" w:cs="Arial"/>
        </w:rPr>
        <w:t xml:space="preserve">Dada en Bogotá, D.C. a </w:t>
      </w:r>
      <w:r w:rsidR="0047726F">
        <w:rPr>
          <w:rFonts w:ascii="Bookman Old Style" w:hAnsi="Bookman Old Style" w:cs="Arial"/>
          <w:b/>
          <w:bCs/>
        </w:rPr>
        <w:t>08 FEB. 2022</w:t>
      </w:r>
    </w:p>
    <w:p w14:paraId="34C397BA" w14:textId="77777777" w:rsidR="00324AD9" w:rsidRPr="00582B18" w:rsidRDefault="00324AD9" w:rsidP="00324AD9">
      <w:pPr>
        <w:ind w:left="0"/>
        <w:jc w:val="both"/>
        <w:rPr>
          <w:rFonts w:ascii="Bookman Old Style" w:hAnsi="Bookman Old Style" w:cs="Arial"/>
          <w:lang w:val="es-CO"/>
        </w:rPr>
      </w:pPr>
    </w:p>
    <w:p w14:paraId="4EA07D08" w14:textId="28E19A68" w:rsidR="00324AD9" w:rsidRDefault="00324AD9" w:rsidP="00324AD9">
      <w:pPr>
        <w:ind w:left="0"/>
        <w:jc w:val="both"/>
        <w:rPr>
          <w:rFonts w:ascii="Bookman Old Style" w:hAnsi="Bookman Old Style" w:cs="Arial"/>
          <w:lang w:val="es-CO"/>
        </w:rPr>
      </w:pPr>
    </w:p>
    <w:p w14:paraId="71ED3E40" w14:textId="357A1F7A" w:rsidR="000C3926" w:rsidRDefault="000C3926" w:rsidP="00324AD9">
      <w:pPr>
        <w:ind w:left="0"/>
        <w:jc w:val="both"/>
        <w:rPr>
          <w:rFonts w:ascii="Bookman Old Style" w:hAnsi="Bookman Old Style" w:cs="Arial"/>
          <w:lang w:val="es-CO"/>
        </w:rPr>
      </w:pPr>
    </w:p>
    <w:p w14:paraId="29165979" w14:textId="77777777" w:rsidR="000C3926" w:rsidRPr="00582B18" w:rsidRDefault="000C3926" w:rsidP="00324AD9">
      <w:pPr>
        <w:ind w:left="0"/>
        <w:jc w:val="both"/>
        <w:rPr>
          <w:rFonts w:ascii="Bookman Old Style" w:hAnsi="Bookman Old Style" w:cs="Arial"/>
          <w:lang w:val="es-CO"/>
        </w:rPr>
      </w:pPr>
    </w:p>
    <w:p w14:paraId="7DE97A2A" w14:textId="77777777" w:rsidR="00324AD9" w:rsidRPr="00582B18" w:rsidRDefault="00324AD9" w:rsidP="00324AD9">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324AD9" w:rsidRPr="00582B18" w14:paraId="72C01C2A" w14:textId="77777777" w:rsidTr="00297D1C">
        <w:trPr>
          <w:tblCellSpacing w:w="0" w:type="dxa"/>
          <w:jc w:val="center"/>
        </w:trPr>
        <w:tc>
          <w:tcPr>
            <w:tcW w:w="4111" w:type="dxa"/>
          </w:tcPr>
          <w:p w14:paraId="01008A6F" w14:textId="63E85ADB" w:rsidR="00324AD9" w:rsidRPr="00582B18" w:rsidRDefault="00AA3992" w:rsidP="00297D1C">
            <w:pPr>
              <w:ind w:left="66"/>
              <w:jc w:val="center"/>
              <w:rPr>
                <w:rFonts w:ascii="Bookman Old Style" w:hAnsi="Bookman Old Style" w:cs="Arial"/>
                <w:b/>
              </w:rPr>
            </w:pPr>
            <w:r>
              <w:rPr>
                <w:rFonts w:ascii="Bookman Old Style" w:hAnsi="Bookman Old Style" w:cs="Arial"/>
                <w:b/>
              </w:rPr>
              <w:t>DIEGO MESA PUYO</w:t>
            </w:r>
          </w:p>
        </w:tc>
        <w:tc>
          <w:tcPr>
            <w:tcW w:w="4820" w:type="dxa"/>
          </w:tcPr>
          <w:p w14:paraId="0CCB6A77" w14:textId="77777777" w:rsidR="00324AD9" w:rsidRPr="00582B18" w:rsidRDefault="00324AD9" w:rsidP="00297D1C">
            <w:pPr>
              <w:ind w:left="69"/>
              <w:jc w:val="center"/>
              <w:rPr>
                <w:rFonts w:ascii="Bookman Old Style" w:hAnsi="Bookman Old Style" w:cs="Arial"/>
                <w:b/>
              </w:rPr>
            </w:pPr>
            <w:r w:rsidRPr="00582B18">
              <w:rPr>
                <w:rFonts w:ascii="Bookman Old Style" w:hAnsi="Bookman Old Style" w:cs="Arial"/>
                <w:b/>
              </w:rPr>
              <w:t xml:space="preserve">JORGE ALBERTO VALENCIA MARÍN </w:t>
            </w:r>
          </w:p>
        </w:tc>
      </w:tr>
      <w:tr w:rsidR="00324AD9" w:rsidRPr="000C3926" w14:paraId="0B2BA668" w14:textId="77777777" w:rsidTr="00297D1C">
        <w:trPr>
          <w:tblCellSpacing w:w="0" w:type="dxa"/>
          <w:jc w:val="center"/>
        </w:trPr>
        <w:tc>
          <w:tcPr>
            <w:tcW w:w="4111" w:type="dxa"/>
            <w:hideMark/>
          </w:tcPr>
          <w:p w14:paraId="4F0560CB" w14:textId="63F27CDE" w:rsidR="00324AD9" w:rsidRPr="00232903" w:rsidRDefault="00324AD9" w:rsidP="00297D1C">
            <w:pPr>
              <w:ind w:left="66"/>
              <w:jc w:val="center"/>
              <w:rPr>
                <w:rFonts w:ascii="Bookman Old Style" w:eastAsia="Arial Unicode MS" w:hAnsi="Bookman Old Style" w:cs="Arial"/>
                <w:color w:val="000000"/>
              </w:rPr>
            </w:pPr>
            <w:r w:rsidRPr="00232903">
              <w:rPr>
                <w:rFonts w:ascii="Bookman Old Style" w:hAnsi="Bookman Old Style" w:cs="Arial"/>
              </w:rPr>
              <w:t>Ministro de Minas y Energía</w:t>
            </w:r>
          </w:p>
        </w:tc>
        <w:tc>
          <w:tcPr>
            <w:tcW w:w="4820" w:type="dxa"/>
            <w:hideMark/>
          </w:tcPr>
          <w:p w14:paraId="1C5F32C6" w14:textId="77777777" w:rsidR="00324AD9" w:rsidRPr="00232903" w:rsidRDefault="00324AD9" w:rsidP="00297D1C">
            <w:pPr>
              <w:jc w:val="center"/>
              <w:rPr>
                <w:rFonts w:ascii="Bookman Old Style" w:eastAsia="Arial Unicode MS" w:hAnsi="Bookman Old Style" w:cs="Arial"/>
                <w:color w:val="000000"/>
              </w:rPr>
            </w:pPr>
            <w:r w:rsidRPr="00232903">
              <w:rPr>
                <w:rFonts w:ascii="Bookman Old Style" w:hAnsi="Bookman Old Style" w:cs="Arial"/>
              </w:rPr>
              <w:t xml:space="preserve">Director Ejecutivo </w:t>
            </w:r>
          </w:p>
        </w:tc>
      </w:tr>
      <w:tr w:rsidR="00324AD9" w:rsidRPr="000C3926" w14:paraId="2E75691A" w14:textId="77777777" w:rsidTr="00297D1C">
        <w:trPr>
          <w:tblCellSpacing w:w="0" w:type="dxa"/>
          <w:jc w:val="center"/>
        </w:trPr>
        <w:tc>
          <w:tcPr>
            <w:tcW w:w="4111" w:type="dxa"/>
            <w:hideMark/>
          </w:tcPr>
          <w:p w14:paraId="249B9A68" w14:textId="77777777" w:rsidR="00324AD9" w:rsidRPr="00232903" w:rsidRDefault="00324AD9" w:rsidP="00297D1C">
            <w:pPr>
              <w:ind w:left="66"/>
              <w:jc w:val="center"/>
              <w:rPr>
                <w:rFonts w:ascii="Bookman Old Style" w:eastAsia="Arial Unicode MS" w:hAnsi="Bookman Old Style" w:cs="Arial"/>
                <w:color w:val="000000"/>
              </w:rPr>
            </w:pPr>
            <w:r w:rsidRPr="00232903">
              <w:rPr>
                <w:rFonts w:ascii="Bookman Old Style" w:hAnsi="Bookman Old Style" w:cs="Arial"/>
              </w:rPr>
              <w:t>Presidente</w:t>
            </w:r>
          </w:p>
        </w:tc>
        <w:tc>
          <w:tcPr>
            <w:tcW w:w="4820" w:type="dxa"/>
          </w:tcPr>
          <w:p w14:paraId="007F4B39" w14:textId="77777777" w:rsidR="00324AD9" w:rsidRPr="00232903" w:rsidRDefault="00324AD9" w:rsidP="00297D1C">
            <w:pPr>
              <w:jc w:val="center"/>
              <w:rPr>
                <w:rFonts w:ascii="Bookman Old Style" w:eastAsia="Arial Unicode MS" w:hAnsi="Bookman Old Style" w:cs="Arial"/>
                <w:color w:val="000000"/>
              </w:rPr>
            </w:pPr>
          </w:p>
        </w:tc>
      </w:tr>
    </w:tbl>
    <w:p w14:paraId="694DE868" w14:textId="77777777" w:rsidR="00324AD9" w:rsidRPr="000C3926" w:rsidRDefault="00324AD9" w:rsidP="00324AD9">
      <w:pPr>
        <w:ind w:left="0"/>
        <w:jc w:val="both"/>
        <w:rPr>
          <w:rFonts w:ascii="Bookman Old Style" w:hAnsi="Bookman Old Style" w:cs="Arial"/>
          <w:lang w:val="es-CO"/>
        </w:rPr>
      </w:pPr>
    </w:p>
    <w:p w14:paraId="6CD9BA94" w14:textId="77777777" w:rsidR="00324AD9" w:rsidRPr="00582B18" w:rsidRDefault="00324AD9" w:rsidP="00324AD9">
      <w:pPr>
        <w:pStyle w:val="Textoindependiente"/>
        <w:rPr>
          <w:rFonts w:ascii="Bookman Old Style" w:hAnsi="Bookman Old Style"/>
          <w:sz w:val="22"/>
          <w:szCs w:val="22"/>
        </w:rPr>
      </w:pPr>
    </w:p>
    <w:p w14:paraId="77D7AB5C" w14:textId="77777777" w:rsidR="00324AD9" w:rsidRPr="00582B18" w:rsidRDefault="00324AD9" w:rsidP="00324AD9">
      <w:pPr>
        <w:pStyle w:val="Textoindependiente"/>
        <w:rPr>
          <w:rFonts w:ascii="Bookman Old Style" w:hAnsi="Bookman Old Style"/>
          <w:sz w:val="22"/>
          <w:szCs w:val="22"/>
          <w:u w:val="single"/>
        </w:rPr>
      </w:pPr>
    </w:p>
    <w:p w14:paraId="27D5E255" w14:textId="77777777" w:rsidR="00324AD9" w:rsidRPr="00582B18" w:rsidRDefault="00324AD9" w:rsidP="00324AD9">
      <w:pPr>
        <w:pStyle w:val="Textoindependiente"/>
        <w:rPr>
          <w:rFonts w:ascii="Bookman Old Style" w:hAnsi="Bookman Old Style"/>
          <w:sz w:val="22"/>
          <w:szCs w:val="22"/>
        </w:rPr>
      </w:pPr>
    </w:p>
    <w:p w14:paraId="09CE738F" w14:textId="77777777" w:rsidR="00324AD9" w:rsidRPr="00582B18" w:rsidRDefault="00324AD9" w:rsidP="00324AD9">
      <w:pPr>
        <w:rPr>
          <w:rFonts w:ascii="Bookman Old Style" w:hAnsi="Bookman Old Style"/>
        </w:rPr>
      </w:pPr>
    </w:p>
    <w:p w14:paraId="5033DF95" w14:textId="77777777" w:rsidR="00762781" w:rsidRPr="00582B18" w:rsidRDefault="00171306">
      <w:pPr>
        <w:rPr>
          <w:rFonts w:ascii="Bookman Old Style" w:hAnsi="Bookman Old Style"/>
        </w:rPr>
      </w:pPr>
    </w:p>
    <w:sectPr w:rsidR="00762781" w:rsidRPr="00582B18" w:rsidSect="00C57B32">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88F4" w14:textId="77777777" w:rsidR="00AD326D" w:rsidRDefault="00AD326D" w:rsidP="002B125C">
      <w:r>
        <w:separator/>
      </w:r>
    </w:p>
  </w:endnote>
  <w:endnote w:type="continuationSeparator" w:id="0">
    <w:p w14:paraId="326175AA" w14:textId="77777777" w:rsidR="00AD326D" w:rsidRDefault="00AD326D" w:rsidP="002B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D8A4" w14:textId="77777777" w:rsidR="00AD326D" w:rsidRDefault="00AD326D" w:rsidP="002B125C">
      <w:r>
        <w:separator/>
      </w:r>
    </w:p>
  </w:footnote>
  <w:footnote w:type="continuationSeparator" w:id="0">
    <w:p w14:paraId="7BDA278A" w14:textId="77777777" w:rsidR="00AD326D" w:rsidRDefault="00AD326D" w:rsidP="002B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E451" w14:textId="77777777" w:rsidR="0079088F" w:rsidRDefault="00171306" w:rsidP="00951F79">
    <w:pPr>
      <w:pStyle w:val="Ttulo1"/>
      <w:ind w:right="6"/>
      <w:jc w:val="left"/>
      <w:rPr>
        <w:rFonts w:ascii="Bookman Old Style" w:hAnsi="Bookman Old Style" w:cs="Arial"/>
        <w:b w:val="0"/>
        <w:sz w:val="22"/>
        <w:szCs w:val="22"/>
      </w:rPr>
    </w:pPr>
  </w:p>
  <w:p w14:paraId="55C1B6BD" w14:textId="71BD202B" w:rsidR="0079088F" w:rsidRPr="00951F79" w:rsidRDefault="00362F4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47726F" w:rsidRPr="0047726F">
      <w:rPr>
        <w:rFonts w:ascii="Bookman Old Style" w:hAnsi="Bookman Old Style" w:cs="Arial"/>
        <w:bCs/>
        <w:szCs w:val="24"/>
        <w:u w:val="single"/>
      </w:rPr>
      <w:t>501</w:t>
    </w:r>
    <w:proofErr w:type="gramEnd"/>
    <w:r w:rsidR="0047726F" w:rsidRPr="0047726F">
      <w:rPr>
        <w:rFonts w:ascii="Bookman Old Style" w:hAnsi="Bookman Old Style" w:cs="Arial"/>
        <w:bCs/>
        <w:szCs w:val="24"/>
        <w:u w:val="single"/>
      </w:rPr>
      <w:t xml:space="preserve"> 003</w:t>
    </w:r>
    <w:r w:rsidRPr="00232903">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47726F" w:rsidRPr="0047726F">
      <w:rPr>
        <w:rFonts w:ascii="Bookman Old Style" w:hAnsi="Bookman Old Style" w:cs="Arial"/>
        <w:bCs/>
        <w:szCs w:val="24"/>
        <w:u w:val="single"/>
      </w:rPr>
      <w:t>08 FEB. 2022</w:t>
    </w:r>
    <w:r w:rsidR="0047726F">
      <w:rPr>
        <w:rFonts w:ascii="Bookman Old Style" w:hAnsi="Bookman Old Style" w:cs="Arial"/>
        <w:b w:val="0"/>
        <w:sz w:val="22"/>
        <w:szCs w:val="22"/>
        <w:u w:val="single"/>
      </w:rPr>
      <w:t xml:space="preserve"> </w:t>
    </w:r>
    <w:r w:rsidRPr="00232903">
      <w:rPr>
        <w:rFonts w:ascii="Bookman Old Style" w:hAnsi="Bookman Old Style" w:cs="Arial"/>
        <w:b w:val="0"/>
        <w:sz w:val="22"/>
        <w:szCs w:val="22"/>
      </w:rPr>
      <w:t xml:space="preserve"> 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E31D3">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1E31D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038C5D29" w14:textId="77777777" w:rsidR="0079088F" w:rsidRDefault="00362F46"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2D76A780" wp14:editId="3C04970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E2F3F"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ADEA1F8" w14:textId="210CAFB5" w:rsidR="005B755A" w:rsidRPr="00BC133E" w:rsidRDefault="00362F46" w:rsidP="00232903">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Pr>
        <w:rFonts w:ascii="Bookman Old Style" w:hAnsi="Bookman Old Style" w:cs="Arial"/>
        <w:lang w:val="es-CO"/>
      </w:rPr>
      <w:t xml:space="preserve">iniciada </w:t>
    </w:r>
    <w:r w:rsidRPr="005B755A">
      <w:rPr>
        <w:rFonts w:ascii="Bookman Old Style" w:hAnsi="Bookman Old Style" w:cs="Arial"/>
        <w:lang w:val="es-CO"/>
      </w:rPr>
      <w:t>por la pres</w:t>
    </w:r>
    <w:r>
      <w:rPr>
        <w:rFonts w:ascii="Bookman Old Style" w:hAnsi="Bookman Old Style" w:cs="Arial"/>
        <w:lang w:val="es-CO"/>
      </w:rPr>
      <w:t>u</w:t>
    </w:r>
    <w:r w:rsidRPr="005B755A">
      <w:rPr>
        <w:rFonts w:ascii="Bookman Old Style" w:hAnsi="Bookman Old Style" w:cs="Arial"/>
        <w:lang w:val="es-CO"/>
      </w:rPr>
      <w:t>nta existencia de discrepancias en valor</w:t>
    </w:r>
    <w:r>
      <w:rPr>
        <w:rFonts w:ascii="Bookman Old Style" w:hAnsi="Bookman Old Style" w:cs="Arial"/>
        <w:lang w:val="es-CO"/>
      </w:rPr>
      <w:t>es</w:t>
    </w:r>
    <w:r w:rsidRPr="005B755A">
      <w:rPr>
        <w:rFonts w:ascii="Bookman Old Style" w:hAnsi="Bookman Old Style" w:cs="Arial"/>
        <w:lang w:val="es-CO"/>
      </w:rPr>
      <w:t xml:space="preserve"> reportado</w:t>
    </w:r>
    <w:r>
      <w:rPr>
        <w:rFonts w:ascii="Bookman Old Style" w:hAnsi="Bookman Old Style" w:cs="Arial"/>
        <w:lang w:val="es-CO"/>
      </w:rPr>
      <w:t>s</w:t>
    </w:r>
    <w:r w:rsidRPr="005B755A">
      <w:rPr>
        <w:rFonts w:ascii="Bookman Old Style" w:hAnsi="Bookman Old Style" w:cs="Arial"/>
        <w:lang w:val="es-CO"/>
      </w:rPr>
      <w:t xml:space="preserve"> por</w:t>
    </w:r>
    <w:r>
      <w:rPr>
        <w:rFonts w:ascii="Bookman Old Style" w:hAnsi="Bookman Old Style" w:cs="Arial"/>
        <w:lang w:val="es-CO"/>
      </w:rPr>
      <w:t xml:space="preserve"> </w:t>
    </w:r>
    <w:r w:rsidRPr="00B13398">
      <w:rPr>
        <w:rFonts w:ascii="Bookman Old Style" w:hAnsi="Bookman Old Style" w:cs="Arial"/>
        <w:lang w:val="es-CO"/>
      </w:rPr>
      <w:t xml:space="preserve">ISAGEN </w:t>
    </w:r>
    <w:r w:rsidRPr="00232903">
      <w:rPr>
        <w:rFonts w:ascii="Bookman Old Style" w:hAnsi="Bookman Old Style" w:cs="Arial"/>
      </w:rPr>
      <w:t>S.A. E.S.P</w:t>
    </w:r>
    <w:r>
      <w:rPr>
        <w:rFonts w:cs="Arial"/>
      </w:rPr>
      <w:t xml:space="preserve">, </w:t>
    </w:r>
    <w:r w:rsidR="00B13398" w:rsidRPr="00BC133E">
      <w:rPr>
        <w:rFonts w:ascii="Bookman Old Style" w:hAnsi="Bookman Old Style" w:cs="Arial"/>
      </w:rPr>
      <w:t xml:space="preserve">Planta </w:t>
    </w:r>
    <w:r w:rsidR="00B13398">
      <w:rPr>
        <w:rFonts w:ascii="Bookman Old Style" w:hAnsi="Bookman Old Style" w:cs="Arial"/>
      </w:rPr>
      <w:t>Jaguas.</w:t>
    </w:r>
  </w:p>
  <w:p w14:paraId="09F88A27" w14:textId="3F16231B" w:rsidR="00045572" w:rsidRPr="005B755A" w:rsidRDefault="00362F46" w:rsidP="00232903">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B13398">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1C13" w14:textId="75C7D44C" w:rsidR="0079088F" w:rsidRDefault="00362F46" w:rsidP="00025383">
    <w:pPr>
      <w:pStyle w:val="Encabezado"/>
      <w:jc w:val="both"/>
      <w:rPr>
        <w:rFonts w:ascii="Arial" w:hAnsi="Arial" w:cs="Arial"/>
        <w:spacing w:val="20"/>
        <w:sz w:val="20"/>
      </w:rPr>
    </w:pPr>
    <w:r>
      <w:rPr>
        <w:rFonts w:ascii="Arial" w:hAnsi="Arial" w:cs="Arial"/>
        <w:spacing w:val="20"/>
        <w:sz w:val="20"/>
      </w:rPr>
      <w:t xml:space="preserve">                        </w:t>
    </w:r>
    <w:r w:rsidR="00562CD4">
      <w:rPr>
        <w:rFonts w:ascii="Arial" w:hAnsi="Arial" w:cs="Arial"/>
        <w:spacing w:val="20"/>
        <w:sz w:val="20"/>
      </w:rPr>
      <w:t xml:space="preserve"> </w:t>
    </w:r>
    <w:r>
      <w:rPr>
        <w:rFonts w:ascii="Arial" w:hAnsi="Arial" w:cs="Arial"/>
        <w:spacing w:val="20"/>
        <w:sz w:val="20"/>
      </w:rPr>
      <w:t xml:space="preserve">           República de Colombia</w:t>
    </w:r>
  </w:p>
  <w:p w14:paraId="3B6A0136" w14:textId="77777777" w:rsidR="0079088F" w:rsidRDefault="00171306">
    <w:pPr>
      <w:pStyle w:val="Encabezado"/>
      <w:jc w:val="center"/>
      <w:rPr>
        <w:rFonts w:ascii="Arial" w:hAnsi="Arial" w:cs="Arial"/>
        <w:spacing w:val="20"/>
        <w:sz w:val="20"/>
      </w:rPr>
    </w:pPr>
  </w:p>
  <w:p w14:paraId="6CBD3547" w14:textId="77777777" w:rsidR="0079088F" w:rsidRDefault="00362F4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722532A" wp14:editId="1ADD3C8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F622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58A"/>
    <w:multiLevelType w:val="hybridMultilevel"/>
    <w:tmpl w:val="A8F42F7A"/>
    <w:lvl w:ilvl="0" w:tplc="B82E336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A63D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0D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620C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69E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A025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D453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2AB3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0EF7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B54C6"/>
    <w:multiLevelType w:val="multilevel"/>
    <w:tmpl w:val="C692733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0D3E291A"/>
    <w:multiLevelType w:val="hybridMultilevel"/>
    <w:tmpl w:val="E8AA5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475CDE"/>
    <w:multiLevelType w:val="hybridMultilevel"/>
    <w:tmpl w:val="22822AD2"/>
    <w:lvl w:ilvl="0" w:tplc="55A8A6A8">
      <w:start w:val="1"/>
      <w:numFmt w:val="upperLetter"/>
      <w:lvlText w:val="%1."/>
      <w:lvlJc w:val="left"/>
      <w:pPr>
        <w:ind w:left="720" w:hanging="360"/>
      </w:pPr>
      <w:rPr>
        <w:rFonts w:ascii="Bookman Old Style" w:hAnsi="Bookman Old Style"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9D6E59"/>
    <w:multiLevelType w:val="hybridMultilevel"/>
    <w:tmpl w:val="3FD41E82"/>
    <w:lvl w:ilvl="0" w:tplc="B8B464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CD0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329E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0AB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AA79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D030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63F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20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629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4A4443"/>
    <w:multiLevelType w:val="hybridMultilevel"/>
    <w:tmpl w:val="2F24D5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C203CF"/>
    <w:multiLevelType w:val="hybridMultilevel"/>
    <w:tmpl w:val="8856CE52"/>
    <w:lvl w:ilvl="0" w:tplc="240A0001">
      <w:start w:val="1"/>
      <w:numFmt w:val="bullet"/>
      <w:lvlText w:val=""/>
      <w:lvlJc w:val="left"/>
      <w:pPr>
        <w:ind w:left="1506" w:hanging="360"/>
      </w:pPr>
      <w:rPr>
        <w:rFonts w:ascii="Symbol" w:hAnsi="Symbol" w:hint="default"/>
      </w:rPr>
    </w:lvl>
    <w:lvl w:ilvl="1" w:tplc="240A0003" w:tentative="1">
      <w:start w:val="1"/>
      <w:numFmt w:val="bullet"/>
      <w:lvlText w:val="o"/>
      <w:lvlJc w:val="left"/>
      <w:pPr>
        <w:ind w:left="2226" w:hanging="360"/>
      </w:pPr>
      <w:rPr>
        <w:rFonts w:ascii="Courier New" w:hAnsi="Courier New" w:cs="Courier New" w:hint="default"/>
      </w:rPr>
    </w:lvl>
    <w:lvl w:ilvl="2" w:tplc="240A0005" w:tentative="1">
      <w:start w:val="1"/>
      <w:numFmt w:val="bullet"/>
      <w:lvlText w:val=""/>
      <w:lvlJc w:val="left"/>
      <w:pPr>
        <w:ind w:left="2946" w:hanging="360"/>
      </w:pPr>
      <w:rPr>
        <w:rFonts w:ascii="Wingdings" w:hAnsi="Wingdings" w:hint="default"/>
      </w:rPr>
    </w:lvl>
    <w:lvl w:ilvl="3" w:tplc="240A0001" w:tentative="1">
      <w:start w:val="1"/>
      <w:numFmt w:val="bullet"/>
      <w:lvlText w:val=""/>
      <w:lvlJc w:val="left"/>
      <w:pPr>
        <w:ind w:left="3666" w:hanging="360"/>
      </w:pPr>
      <w:rPr>
        <w:rFonts w:ascii="Symbol" w:hAnsi="Symbol" w:hint="default"/>
      </w:rPr>
    </w:lvl>
    <w:lvl w:ilvl="4" w:tplc="240A0003" w:tentative="1">
      <w:start w:val="1"/>
      <w:numFmt w:val="bullet"/>
      <w:lvlText w:val="o"/>
      <w:lvlJc w:val="left"/>
      <w:pPr>
        <w:ind w:left="4386" w:hanging="360"/>
      </w:pPr>
      <w:rPr>
        <w:rFonts w:ascii="Courier New" w:hAnsi="Courier New" w:cs="Courier New" w:hint="default"/>
      </w:rPr>
    </w:lvl>
    <w:lvl w:ilvl="5" w:tplc="240A0005" w:tentative="1">
      <w:start w:val="1"/>
      <w:numFmt w:val="bullet"/>
      <w:lvlText w:val=""/>
      <w:lvlJc w:val="left"/>
      <w:pPr>
        <w:ind w:left="5106" w:hanging="360"/>
      </w:pPr>
      <w:rPr>
        <w:rFonts w:ascii="Wingdings" w:hAnsi="Wingdings" w:hint="default"/>
      </w:rPr>
    </w:lvl>
    <w:lvl w:ilvl="6" w:tplc="240A0001" w:tentative="1">
      <w:start w:val="1"/>
      <w:numFmt w:val="bullet"/>
      <w:lvlText w:val=""/>
      <w:lvlJc w:val="left"/>
      <w:pPr>
        <w:ind w:left="5826" w:hanging="360"/>
      </w:pPr>
      <w:rPr>
        <w:rFonts w:ascii="Symbol" w:hAnsi="Symbol" w:hint="default"/>
      </w:rPr>
    </w:lvl>
    <w:lvl w:ilvl="7" w:tplc="240A0003" w:tentative="1">
      <w:start w:val="1"/>
      <w:numFmt w:val="bullet"/>
      <w:lvlText w:val="o"/>
      <w:lvlJc w:val="left"/>
      <w:pPr>
        <w:ind w:left="6546" w:hanging="360"/>
      </w:pPr>
      <w:rPr>
        <w:rFonts w:ascii="Courier New" w:hAnsi="Courier New" w:cs="Courier New" w:hint="default"/>
      </w:rPr>
    </w:lvl>
    <w:lvl w:ilvl="8" w:tplc="240A0005" w:tentative="1">
      <w:start w:val="1"/>
      <w:numFmt w:val="bullet"/>
      <w:lvlText w:val=""/>
      <w:lvlJc w:val="left"/>
      <w:pPr>
        <w:ind w:left="7266" w:hanging="360"/>
      </w:pPr>
      <w:rPr>
        <w:rFonts w:ascii="Wingdings" w:hAnsi="Wingdings" w:hint="default"/>
      </w:rPr>
    </w:lvl>
  </w:abstractNum>
  <w:abstractNum w:abstractNumId="8"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550F91"/>
    <w:multiLevelType w:val="hybridMultilevel"/>
    <w:tmpl w:val="CB5C15A6"/>
    <w:lvl w:ilvl="0" w:tplc="ED2668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B826E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6E27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E6D6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C372C">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F4C11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6474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2464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EF92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7E76D6"/>
    <w:multiLevelType w:val="hybridMultilevel"/>
    <w:tmpl w:val="11D8E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0736DE3"/>
    <w:multiLevelType w:val="hybridMultilevel"/>
    <w:tmpl w:val="FBEE7546"/>
    <w:lvl w:ilvl="0" w:tplc="46C8BAA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0E283A"/>
    <w:multiLevelType w:val="hybridMultilevel"/>
    <w:tmpl w:val="10423404"/>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5" w15:restartNumberingAfterBreak="0">
    <w:nsid w:val="78C26A65"/>
    <w:multiLevelType w:val="hybridMultilevel"/>
    <w:tmpl w:val="C9929908"/>
    <w:lvl w:ilvl="0" w:tplc="32ECFA28">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D6652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C382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B234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A0B3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32CFA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DCF9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C5C6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C4CEF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9A21F1"/>
    <w:multiLevelType w:val="hybridMultilevel"/>
    <w:tmpl w:val="7414A7E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23988266">
    <w:abstractNumId w:val="9"/>
  </w:num>
  <w:num w:numId="2" w16cid:durableId="667907038">
    <w:abstractNumId w:val="1"/>
  </w:num>
  <w:num w:numId="3" w16cid:durableId="481894027">
    <w:abstractNumId w:val="2"/>
  </w:num>
  <w:num w:numId="4" w16cid:durableId="1475946858">
    <w:abstractNumId w:val="14"/>
  </w:num>
  <w:num w:numId="5" w16cid:durableId="235433947">
    <w:abstractNumId w:val="8"/>
  </w:num>
  <w:num w:numId="6" w16cid:durableId="283851778">
    <w:abstractNumId w:val="12"/>
  </w:num>
  <w:num w:numId="7" w16cid:durableId="1128163802">
    <w:abstractNumId w:val="5"/>
  </w:num>
  <w:num w:numId="8" w16cid:durableId="659425369">
    <w:abstractNumId w:val="15"/>
  </w:num>
  <w:num w:numId="9" w16cid:durableId="1138260673">
    <w:abstractNumId w:val="10"/>
  </w:num>
  <w:num w:numId="10" w16cid:durableId="316305358">
    <w:abstractNumId w:val="6"/>
  </w:num>
  <w:num w:numId="11" w16cid:durableId="1481918816">
    <w:abstractNumId w:val="11"/>
  </w:num>
  <w:num w:numId="12" w16cid:durableId="91509464">
    <w:abstractNumId w:val="13"/>
  </w:num>
  <w:num w:numId="13" w16cid:durableId="104228698">
    <w:abstractNumId w:val="16"/>
  </w:num>
  <w:num w:numId="14" w16cid:durableId="1899825364">
    <w:abstractNumId w:val="0"/>
  </w:num>
  <w:num w:numId="15" w16cid:durableId="466900983">
    <w:abstractNumId w:val="4"/>
  </w:num>
  <w:num w:numId="16" w16cid:durableId="642858279">
    <w:abstractNumId w:val="7"/>
  </w:num>
  <w:num w:numId="17" w16cid:durableId="98824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D9"/>
    <w:rsid w:val="00010493"/>
    <w:rsid w:val="000351A8"/>
    <w:rsid w:val="000613D9"/>
    <w:rsid w:val="00073A86"/>
    <w:rsid w:val="000868DE"/>
    <w:rsid w:val="000B3931"/>
    <w:rsid w:val="000B3CA1"/>
    <w:rsid w:val="000B3F58"/>
    <w:rsid w:val="000B5C70"/>
    <w:rsid w:val="000C3926"/>
    <w:rsid w:val="000D2A59"/>
    <w:rsid w:val="000E777A"/>
    <w:rsid w:val="001131DD"/>
    <w:rsid w:val="00126551"/>
    <w:rsid w:val="001414FF"/>
    <w:rsid w:val="001456E6"/>
    <w:rsid w:val="00167E6C"/>
    <w:rsid w:val="00171306"/>
    <w:rsid w:val="001864AA"/>
    <w:rsid w:val="001A3D9B"/>
    <w:rsid w:val="001A6F5F"/>
    <w:rsid w:val="001B1A80"/>
    <w:rsid w:val="001B316A"/>
    <w:rsid w:val="001B46C9"/>
    <w:rsid w:val="001C4C22"/>
    <w:rsid w:val="001D4AD4"/>
    <w:rsid w:val="001E31D3"/>
    <w:rsid w:val="001E376D"/>
    <w:rsid w:val="001F527F"/>
    <w:rsid w:val="00202318"/>
    <w:rsid w:val="00210013"/>
    <w:rsid w:val="00210272"/>
    <w:rsid w:val="002129F9"/>
    <w:rsid w:val="00214A67"/>
    <w:rsid w:val="002160E0"/>
    <w:rsid w:val="00223963"/>
    <w:rsid w:val="00232903"/>
    <w:rsid w:val="0026368A"/>
    <w:rsid w:val="0029424B"/>
    <w:rsid w:val="00297DB9"/>
    <w:rsid w:val="002B125C"/>
    <w:rsid w:val="002B2879"/>
    <w:rsid w:val="002C16A7"/>
    <w:rsid w:val="002C3F91"/>
    <w:rsid w:val="002D0B5B"/>
    <w:rsid w:val="002D5BFD"/>
    <w:rsid w:val="002E6324"/>
    <w:rsid w:val="002F2655"/>
    <w:rsid w:val="00303CB2"/>
    <w:rsid w:val="00305343"/>
    <w:rsid w:val="00305AD3"/>
    <w:rsid w:val="00324AD9"/>
    <w:rsid w:val="00330DD6"/>
    <w:rsid w:val="00343CFB"/>
    <w:rsid w:val="003548E7"/>
    <w:rsid w:val="003627A2"/>
    <w:rsid w:val="00362F46"/>
    <w:rsid w:val="00375A88"/>
    <w:rsid w:val="00381A69"/>
    <w:rsid w:val="003946CB"/>
    <w:rsid w:val="003A67A8"/>
    <w:rsid w:val="003B1355"/>
    <w:rsid w:val="003B1AA0"/>
    <w:rsid w:val="003C69E1"/>
    <w:rsid w:val="003D13A4"/>
    <w:rsid w:val="003E1022"/>
    <w:rsid w:val="004029A1"/>
    <w:rsid w:val="004030F8"/>
    <w:rsid w:val="004066EE"/>
    <w:rsid w:val="00415BD2"/>
    <w:rsid w:val="0042667A"/>
    <w:rsid w:val="00444B4A"/>
    <w:rsid w:val="0046286E"/>
    <w:rsid w:val="00476D24"/>
    <w:rsid w:val="0047726F"/>
    <w:rsid w:val="00477F6D"/>
    <w:rsid w:val="004A1424"/>
    <w:rsid w:val="004B374F"/>
    <w:rsid w:val="004D35C3"/>
    <w:rsid w:val="004D73A2"/>
    <w:rsid w:val="004D770D"/>
    <w:rsid w:val="004E0BA2"/>
    <w:rsid w:val="004E45E8"/>
    <w:rsid w:val="00500754"/>
    <w:rsid w:val="00513CB7"/>
    <w:rsid w:val="00527F3C"/>
    <w:rsid w:val="00562CD4"/>
    <w:rsid w:val="00566805"/>
    <w:rsid w:val="00582B18"/>
    <w:rsid w:val="00583244"/>
    <w:rsid w:val="00592B13"/>
    <w:rsid w:val="005C13CE"/>
    <w:rsid w:val="005C18F8"/>
    <w:rsid w:val="005C7495"/>
    <w:rsid w:val="005D72C3"/>
    <w:rsid w:val="005E5C4C"/>
    <w:rsid w:val="005F3874"/>
    <w:rsid w:val="00610732"/>
    <w:rsid w:val="00611D08"/>
    <w:rsid w:val="0064298F"/>
    <w:rsid w:val="00643815"/>
    <w:rsid w:val="006471E4"/>
    <w:rsid w:val="00662A33"/>
    <w:rsid w:val="00686973"/>
    <w:rsid w:val="00693586"/>
    <w:rsid w:val="006942AA"/>
    <w:rsid w:val="006A06E8"/>
    <w:rsid w:val="006A6994"/>
    <w:rsid w:val="006B21F8"/>
    <w:rsid w:val="006D130F"/>
    <w:rsid w:val="006F6848"/>
    <w:rsid w:val="006F7B01"/>
    <w:rsid w:val="0070076B"/>
    <w:rsid w:val="007027C2"/>
    <w:rsid w:val="00710409"/>
    <w:rsid w:val="00764850"/>
    <w:rsid w:val="0077520E"/>
    <w:rsid w:val="007915C7"/>
    <w:rsid w:val="007A2052"/>
    <w:rsid w:val="007B0711"/>
    <w:rsid w:val="007B1B17"/>
    <w:rsid w:val="007B6349"/>
    <w:rsid w:val="007C099C"/>
    <w:rsid w:val="007C5145"/>
    <w:rsid w:val="007C73FE"/>
    <w:rsid w:val="007C7CE1"/>
    <w:rsid w:val="007D7B97"/>
    <w:rsid w:val="007F572F"/>
    <w:rsid w:val="008219F1"/>
    <w:rsid w:val="00842900"/>
    <w:rsid w:val="008558DA"/>
    <w:rsid w:val="008949C8"/>
    <w:rsid w:val="0089569A"/>
    <w:rsid w:val="008975B9"/>
    <w:rsid w:val="008A7F2A"/>
    <w:rsid w:val="008D0A66"/>
    <w:rsid w:val="008E4768"/>
    <w:rsid w:val="008F17D7"/>
    <w:rsid w:val="008F3A7D"/>
    <w:rsid w:val="00904AF6"/>
    <w:rsid w:val="00911B6F"/>
    <w:rsid w:val="00921769"/>
    <w:rsid w:val="009727F5"/>
    <w:rsid w:val="009809A5"/>
    <w:rsid w:val="009938FE"/>
    <w:rsid w:val="009A786A"/>
    <w:rsid w:val="009E17EE"/>
    <w:rsid w:val="009E392A"/>
    <w:rsid w:val="00A2285D"/>
    <w:rsid w:val="00A35412"/>
    <w:rsid w:val="00A566BA"/>
    <w:rsid w:val="00A66120"/>
    <w:rsid w:val="00A75208"/>
    <w:rsid w:val="00A803EF"/>
    <w:rsid w:val="00A90621"/>
    <w:rsid w:val="00AA3992"/>
    <w:rsid w:val="00AB36D9"/>
    <w:rsid w:val="00AC3155"/>
    <w:rsid w:val="00AC7499"/>
    <w:rsid w:val="00AD326D"/>
    <w:rsid w:val="00AE1C4A"/>
    <w:rsid w:val="00AF1427"/>
    <w:rsid w:val="00AF5D18"/>
    <w:rsid w:val="00B13398"/>
    <w:rsid w:val="00B13F8A"/>
    <w:rsid w:val="00B30295"/>
    <w:rsid w:val="00B3353F"/>
    <w:rsid w:val="00B47F71"/>
    <w:rsid w:val="00BA1C6C"/>
    <w:rsid w:val="00BA5A5D"/>
    <w:rsid w:val="00BB11D8"/>
    <w:rsid w:val="00BC5DD1"/>
    <w:rsid w:val="00BD2AAE"/>
    <w:rsid w:val="00BF0FE2"/>
    <w:rsid w:val="00BF74F7"/>
    <w:rsid w:val="00C16FC5"/>
    <w:rsid w:val="00C622A0"/>
    <w:rsid w:val="00C70EEC"/>
    <w:rsid w:val="00C73F8E"/>
    <w:rsid w:val="00C85324"/>
    <w:rsid w:val="00C85E28"/>
    <w:rsid w:val="00C8746D"/>
    <w:rsid w:val="00C93071"/>
    <w:rsid w:val="00CB472C"/>
    <w:rsid w:val="00CE6547"/>
    <w:rsid w:val="00CF30AC"/>
    <w:rsid w:val="00D33020"/>
    <w:rsid w:val="00D44DB6"/>
    <w:rsid w:val="00D45CB7"/>
    <w:rsid w:val="00D717C1"/>
    <w:rsid w:val="00D7526C"/>
    <w:rsid w:val="00D952DF"/>
    <w:rsid w:val="00D960AB"/>
    <w:rsid w:val="00DD1B9A"/>
    <w:rsid w:val="00DF2C52"/>
    <w:rsid w:val="00E047DF"/>
    <w:rsid w:val="00E12C01"/>
    <w:rsid w:val="00E13454"/>
    <w:rsid w:val="00E15395"/>
    <w:rsid w:val="00E23AE4"/>
    <w:rsid w:val="00E42474"/>
    <w:rsid w:val="00E756DB"/>
    <w:rsid w:val="00ED6B52"/>
    <w:rsid w:val="00ED7BDF"/>
    <w:rsid w:val="00F17536"/>
    <w:rsid w:val="00F53D6B"/>
    <w:rsid w:val="00F619FB"/>
    <w:rsid w:val="00F76FA1"/>
    <w:rsid w:val="00F958D2"/>
    <w:rsid w:val="00FA4ECE"/>
    <w:rsid w:val="00FA647B"/>
    <w:rsid w:val="00FB0AED"/>
    <w:rsid w:val="00FC6BAD"/>
    <w:rsid w:val="00FD7508"/>
    <w:rsid w:val="00FE1C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67866F"/>
  <w15:chartTrackingRefBased/>
  <w15:docId w15:val="{A95E23C4-2D1A-4269-9EEC-BE88A66F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D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4AD9"/>
    <w:pPr>
      <w:keepNext/>
      <w:jc w:val="center"/>
      <w:outlineLvl w:val="0"/>
    </w:pPr>
    <w:rPr>
      <w:rFonts w:ascii="CG Times" w:hAnsi="CG Times"/>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4AD9"/>
    <w:rPr>
      <w:rFonts w:ascii="CG Times" w:eastAsia="Times New Roman" w:hAnsi="CG Times" w:cs="Times New Roman"/>
      <w:b/>
      <w:sz w:val="24"/>
      <w:szCs w:val="20"/>
      <w:lang w:eastAsia="es-ES"/>
    </w:rPr>
  </w:style>
  <w:style w:type="paragraph" w:styleId="Encabezado">
    <w:name w:val="header"/>
    <w:basedOn w:val="Normal"/>
    <w:link w:val="EncabezadoCar"/>
    <w:rsid w:val="00324AD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324AD9"/>
    <w:rPr>
      <w:rFonts w:ascii="CG Times" w:eastAsia="Times New Roman" w:hAnsi="CG Times" w:cs="Times New Roman"/>
      <w:sz w:val="24"/>
      <w:szCs w:val="20"/>
      <w:lang w:eastAsia="es-ES"/>
    </w:rPr>
  </w:style>
  <w:style w:type="paragraph" w:styleId="Textoindependiente">
    <w:name w:val="Body Text"/>
    <w:basedOn w:val="Normal"/>
    <w:link w:val="TextoindependienteCar"/>
    <w:rsid w:val="00324AD9"/>
    <w:pPr>
      <w:jc w:val="center"/>
    </w:pPr>
    <w:rPr>
      <w:rFonts w:ascii="Arial" w:hAnsi="Arial" w:cs="Arial"/>
      <w:b/>
      <w:bCs/>
    </w:rPr>
  </w:style>
  <w:style w:type="character" w:customStyle="1" w:styleId="TextoindependienteCar">
    <w:name w:val="Texto independiente Car"/>
    <w:basedOn w:val="Fuentedeprrafopredeter"/>
    <w:link w:val="Textoindependiente"/>
    <w:rsid w:val="00324AD9"/>
    <w:rPr>
      <w:rFonts w:ascii="Arial" w:eastAsia="Times New Roman" w:hAnsi="Arial" w:cs="Arial"/>
      <w:b/>
      <w:bCs/>
      <w:sz w:val="24"/>
      <w:szCs w:val="24"/>
      <w:lang w:val="es-ES" w:eastAsia="es-ES"/>
    </w:rPr>
  </w:style>
  <w:style w:type="table" w:styleId="Tablaconcuadrcula">
    <w:name w:val="Table Grid"/>
    <w:basedOn w:val="Tablanormal"/>
    <w:uiPriority w:val="59"/>
    <w:rsid w:val="00324AD9"/>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324AD9"/>
    <w:pPr>
      <w:ind w:left="708"/>
    </w:pPr>
    <w:rPr>
      <w:sz w:val="20"/>
      <w:szCs w:val="20"/>
      <w:lang w:val="es-CO"/>
    </w:rPr>
  </w:style>
  <w:style w:type="character" w:customStyle="1" w:styleId="PrrafodelistaCar">
    <w:name w:val="Párrafo de lista Car"/>
    <w:link w:val="Prrafodelista"/>
    <w:uiPriority w:val="34"/>
    <w:rsid w:val="00324AD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2B125C"/>
    <w:pPr>
      <w:tabs>
        <w:tab w:val="center" w:pos="4419"/>
        <w:tab w:val="right" w:pos="8838"/>
      </w:tabs>
    </w:pPr>
  </w:style>
  <w:style w:type="character" w:customStyle="1" w:styleId="PiedepginaCar">
    <w:name w:val="Pie de página Car"/>
    <w:basedOn w:val="Fuentedeprrafopredeter"/>
    <w:link w:val="Piedepgina"/>
    <w:uiPriority w:val="99"/>
    <w:rsid w:val="002B125C"/>
    <w:rPr>
      <w:rFonts w:ascii="Times New Roman" w:eastAsia="Times New Roman" w:hAnsi="Times New Roman" w:cs="Times New Roman"/>
      <w:sz w:val="24"/>
      <w:szCs w:val="24"/>
      <w:lang w:val="es-ES" w:eastAsia="es-ES"/>
    </w:rPr>
  </w:style>
  <w:style w:type="paragraph" w:styleId="Revisin">
    <w:name w:val="Revision"/>
    <w:hidden/>
    <w:uiPriority w:val="99"/>
    <w:semiHidden/>
    <w:rsid w:val="0089569A"/>
    <w:pPr>
      <w:spacing w:after="0" w:line="240" w:lineRule="auto"/>
    </w:pPr>
    <w:rPr>
      <w:rFonts w:ascii="Times New Roman" w:eastAsia="Times New Roman" w:hAnsi="Times New Roman" w:cs="Times New Roman"/>
      <w:sz w:val="24"/>
      <w:szCs w:val="24"/>
      <w:lang w:val="es-ES" w:eastAsia="es-ES"/>
    </w:rPr>
  </w:style>
  <w:style w:type="paragraph" w:customStyle="1" w:styleId="paragraph">
    <w:name w:val="paragraph"/>
    <w:basedOn w:val="Normal"/>
    <w:rsid w:val="00343CFB"/>
    <w:pPr>
      <w:spacing w:before="100" w:beforeAutospacing="1" w:after="100" w:afterAutospacing="1"/>
      <w:ind w:left="0"/>
    </w:pPr>
    <w:rPr>
      <w:lang w:val="es-CO" w:eastAsia="es-CO"/>
    </w:rPr>
  </w:style>
  <w:style w:type="character" w:customStyle="1" w:styleId="normaltextrun">
    <w:name w:val="normaltextrun"/>
    <w:basedOn w:val="Fuentedeprrafopredeter"/>
    <w:rsid w:val="00343CFB"/>
  </w:style>
  <w:style w:type="character" w:customStyle="1" w:styleId="eop">
    <w:name w:val="eop"/>
    <w:basedOn w:val="Fuentedeprrafopredeter"/>
    <w:rsid w:val="00343CFB"/>
  </w:style>
  <w:style w:type="character" w:styleId="Refdecomentario">
    <w:name w:val="annotation reference"/>
    <w:basedOn w:val="Fuentedeprrafopredeter"/>
    <w:uiPriority w:val="99"/>
    <w:semiHidden/>
    <w:unhideWhenUsed/>
    <w:rsid w:val="0070076B"/>
    <w:rPr>
      <w:sz w:val="16"/>
      <w:szCs w:val="16"/>
    </w:rPr>
  </w:style>
  <w:style w:type="paragraph" w:styleId="Textocomentario">
    <w:name w:val="annotation text"/>
    <w:basedOn w:val="Normal"/>
    <w:link w:val="TextocomentarioCar"/>
    <w:uiPriority w:val="99"/>
    <w:unhideWhenUsed/>
    <w:rsid w:val="0070076B"/>
    <w:rPr>
      <w:sz w:val="20"/>
      <w:szCs w:val="20"/>
    </w:rPr>
  </w:style>
  <w:style w:type="character" w:customStyle="1" w:styleId="TextocomentarioCar">
    <w:name w:val="Texto comentario Car"/>
    <w:basedOn w:val="Fuentedeprrafopredeter"/>
    <w:link w:val="Textocomentario"/>
    <w:uiPriority w:val="99"/>
    <w:rsid w:val="0070076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0076B"/>
    <w:rPr>
      <w:b/>
      <w:bCs/>
    </w:rPr>
  </w:style>
  <w:style w:type="character" w:customStyle="1" w:styleId="AsuntodelcomentarioCar">
    <w:name w:val="Asunto del comentario Car"/>
    <w:basedOn w:val="TextocomentarioCar"/>
    <w:link w:val="Asuntodelcomentario"/>
    <w:uiPriority w:val="99"/>
    <w:semiHidden/>
    <w:rsid w:val="0070076B"/>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2078">
      <w:bodyDiv w:val="1"/>
      <w:marLeft w:val="0"/>
      <w:marRight w:val="0"/>
      <w:marTop w:val="0"/>
      <w:marBottom w:val="0"/>
      <w:divBdr>
        <w:top w:val="none" w:sz="0" w:space="0" w:color="auto"/>
        <w:left w:val="none" w:sz="0" w:space="0" w:color="auto"/>
        <w:bottom w:val="none" w:sz="0" w:space="0" w:color="auto"/>
        <w:right w:val="none" w:sz="0" w:space="0" w:color="auto"/>
      </w:divBdr>
    </w:div>
    <w:div w:id="1044788056">
      <w:bodyDiv w:val="1"/>
      <w:marLeft w:val="0"/>
      <w:marRight w:val="0"/>
      <w:marTop w:val="0"/>
      <w:marBottom w:val="0"/>
      <w:divBdr>
        <w:top w:val="none" w:sz="0" w:space="0" w:color="auto"/>
        <w:left w:val="none" w:sz="0" w:space="0" w:color="auto"/>
        <w:bottom w:val="none" w:sz="0" w:space="0" w:color="auto"/>
        <w:right w:val="none" w:sz="0" w:space="0" w:color="auto"/>
      </w:divBdr>
    </w:div>
    <w:div w:id="1144004084">
      <w:bodyDiv w:val="1"/>
      <w:marLeft w:val="0"/>
      <w:marRight w:val="0"/>
      <w:marTop w:val="0"/>
      <w:marBottom w:val="0"/>
      <w:divBdr>
        <w:top w:val="none" w:sz="0" w:space="0" w:color="auto"/>
        <w:left w:val="none" w:sz="0" w:space="0" w:color="auto"/>
        <w:bottom w:val="none" w:sz="0" w:space="0" w:color="auto"/>
        <w:right w:val="none" w:sz="0" w:space="0" w:color="auto"/>
      </w:divBdr>
      <w:divsChild>
        <w:div w:id="1795370652">
          <w:marLeft w:val="0"/>
          <w:marRight w:val="0"/>
          <w:marTop w:val="0"/>
          <w:marBottom w:val="0"/>
          <w:divBdr>
            <w:top w:val="none" w:sz="0" w:space="0" w:color="auto"/>
            <w:left w:val="none" w:sz="0" w:space="0" w:color="auto"/>
            <w:bottom w:val="none" w:sz="0" w:space="0" w:color="auto"/>
            <w:right w:val="none" w:sz="0" w:space="0" w:color="auto"/>
          </w:divBdr>
        </w:div>
        <w:div w:id="790245931">
          <w:marLeft w:val="0"/>
          <w:marRight w:val="0"/>
          <w:marTop w:val="0"/>
          <w:marBottom w:val="0"/>
          <w:divBdr>
            <w:top w:val="none" w:sz="0" w:space="0" w:color="auto"/>
            <w:left w:val="none" w:sz="0" w:space="0" w:color="auto"/>
            <w:bottom w:val="none" w:sz="0" w:space="0" w:color="auto"/>
            <w:right w:val="none" w:sz="0" w:space="0" w:color="auto"/>
          </w:divBdr>
        </w:div>
        <w:div w:id="676421171">
          <w:marLeft w:val="0"/>
          <w:marRight w:val="0"/>
          <w:marTop w:val="0"/>
          <w:marBottom w:val="0"/>
          <w:divBdr>
            <w:top w:val="none" w:sz="0" w:space="0" w:color="auto"/>
            <w:left w:val="none" w:sz="0" w:space="0" w:color="auto"/>
            <w:bottom w:val="none" w:sz="0" w:space="0" w:color="auto"/>
            <w:right w:val="none" w:sz="0" w:space="0" w:color="auto"/>
          </w:divBdr>
        </w:div>
        <w:div w:id="2076314946">
          <w:marLeft w:val="0"/>
          <w:marRight w:val="0"/>
          <w:marTop w:val="0"/>
          <w:marBottom w:val="0"/>
          <w:divBdr>
            <w:top w:val="none" w:sz="0" w:space="0" w:color="auto"/>
            <w:left w:val="none" w:sz="0" w:space="0" w:color="auto"/>
            <w:bottom w:val="none" w:sz="0" w:space="0" w:color="auto"/>
            <w:right w:val="none" w:sz="0" w:space="0" w:color="auto"/>
          </w:divBdr>
        </w:div>
        <w:div w:id="920025788">
          <w:marLeft w:val="0"/>
          <w:marRight w:val="0"/>
          <w:marTop w:val="0"/>
          <w:marBottom w:val="0"/>
          <w:divBdr>
            <w:top w:val="none" w:sz="0" w:space="0" w:color="auto"/>
            <w:left w:val="none" w:sz="0" w:space="0" w:color="auto"/>
            <w:bottom w:val="none" w:sz="0" w:space="0" w:color="auto"/>
            <w:right w:val="none" w:sz="0" w:space="0" w:color="auto"/>
          </w:divBdr>
        </w:div>
        <w:div w:id="672685975">
          <w:marLeft w:val="0"/>
          <w:marRight w:val="0"/>
          <w:marTop w:val="0"/>
          <w:marBottom w:val="0"/>
          <w:divBdr>
            <w:top w:val="none" w:sz="0" w:space="0" w:color="auto"/>
            <w:left w:val="none" w:sz="0" w:space="0" w:color="auto"/>
            <w:bottom w:val="none" w:sz="0" w:space="0" w:color="auto"/>
            <w:right w:val="none" w:sz="0" w:space="0" w:color="auto"/>
          </w:divBdr>
        </w:div>
        <w:div w:id="1453861189">
          <w:marLeft w:val="0"/>
          <w:marRight w:val="0"/>
          <w:marTop w:val="0"/>
          <w:marBottom w:val="0"/>
          <w:divBdr>
            <w:top w:val="none" w:sz="0" w:space="0" w:color="auto"/>
            <w:left w:val="none" w:sz="0" w:space="0" w:color="auto"/>
            <w:bottom w:val="none" w:sz="0" w:space="0" w:color="auto"/>
            <w:right w:val="none" w:sz="0" w:space="0" w:color="auto"/>
          </w:divBdr>
        </w:div>
        <w:div w:id="1045301637">
          <w:marLeft w:val="0"/>
          <w:marRight w:val="0"/>
          <w:marTop w:val="0"/>
          <w:marBottom w:val="0"/>
          <w:divBdr>
            <w:top w:val="none" w:sz="0" w:space="0" w:color="auto"/>
            <w:left w:val="none" w:sz="0" w:space="0" w:color="auto"/>
            <w:bottom w:val="none" w:sz="0" w:space="0" w:color="auto"/>
            <w:right w:val="none" w:sz="0" w:space="0" w:color="auto"/>
          </w:divBdr>
        </w:div>
      </w:divsChild>
    </w:div>
    <w:div w:id="1600141259">
      <w:bodyDiv w:val="1"/>
      <w:marLeft w:val="0"/>
      <w:marRight w:val="0"/>
      <w:marTop w:val="0"/>
      <w:marBottom w:val="0"/>
      <w:divBdr>
        <w:top w:val="none" w:sz="0" w:space="0" w:color="auto"/>
        <w:left w:val="none" w:sz="0" w:space="0" w:color="auto"/>
        <w:bottom w:val="none" w:sz="0" w:space="0" w:color="auto"/>
        <w:right w:val="none" w:sz="0" w:space="0" w:color="auto"/>
      </w:divBdr>
    </w:div>
    <w:div w:id="2108110067">
      <w:bodyDiv w:val="1"/>
      <w:marLeft w:val="0"/>
      <w:marRight w:val="0"/>
      <w:marTop w:val="0"/>
      <w:marBottom w:val="0"/>
      <w:divBdr>
        <w:top w:val="none" w:sz="0" w:space="0" w:color="auto"/>
        <w:left w:val="none" w:sz="0" w:space="0" w:color="auto"/>
        <w:bottom w:val="none" w:sz="0" w:space="0" w:color="auto"/>
        <w:right w:val="none" w:sz="0" w:space="0" w:color="auto"/>
      </w:divBdr>
    </w:div>
    <w:div w:id="2120181157">
      <w:bodyDiv w:val="1"/>
      <w:marLeft w:val="0"/>
      <w:marRight w:val="0"/>
      <w:marTop w:val="0"/>
      <w:marBottom w:val="0"/>
      <w:divBdr>
        <w:top w:val="none" w:sz="0" w:space="0" w:color="auto"/>
        <w:left w:val="none" w:sz="0" w:space="0" w:color="auto"/>
        <w:bottom w:val="none" w:sz="0" w:space="0" w:color="auto"/>
        <w:right w:val="none" w:sz="0" w:space="0" w:color="auto"/>
      </w:divBdr>
    </w:div>
    <w:div w:id="2134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F0A4-1DD4-45BD-80C2-B2F0B9AE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2941</Words>
  <Characters>16176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2022-03-31T15:57:00Z</cp:lastPrinted>
  <dcterms:created xsi:type="dcterms:W3CDTF">2022-04-07T14:29:00Z</dcterms:created>
  <dcterms:modified xsi:type="dcterms:W3CDTF">2022-04-07T14:29:00Z</dcterms:modified>
</cp:coreProperties>
</file>