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BF6B9C" w:rsidRDefault="00DD3035"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50923545" r:id="rId9"/>
        </w:object>
      </w:r>
    </w:p>
    <w:p w:rsidR="00625DC6" w:rsidRPr="00BF6B9C" w:rsidRDefault="00625DC6" w:rsidP="00341E8F">
      <w:pPr>
        <w:pStyle w:val="Encabezado"/>
        <w:tabs>
          <w:tab w:val="clear" w:pos="8504"/>
          <w:tab w:val="left" w:pos="0"/>
          <w:tab w:val="right" w:pos="9356"/>
        </w:tabs>
        <w:ind w:left="0"/>
        <w:jc w:val="both"/>
        <w:rPr>
          <w:rFonts w:ascii="Bookman Old Style" w:hAnsi="Bookman Old Style"/>
          <w:szCs w:val="24"/>
        </w:rPr>
      </w:pPr>
    </w:p>
    <w:p w:rsidR="00CA77FB" w:rsidRPr="00BF6B9C" w:rsidRDefault="00CA77FB" w:rsidP="00341E8F">
      <w:pPr>
        <w:pStyle w:val="Ttulo4"/>
        <w:tabs>
          <w:tab w:val="left" w:pos="0"/>
          <w:tab w:val="right" w:pos="9356"/>
        </w:tabs>
        <w:ind w:left="0"/>
        <w:rPr>
          <w:rFonts w:ascii="Bookman Old Style" w:hAnsi="Bookman Old Style"/>
          <w:b w:val="0"/>
          <w:bCs/>
          <w:noProof/>
          <w:sz w:val="24"/>
          <w:szCs w:val="24"/>
          <w:lang w:val="es-ES"/>
        </w:rPr>
      </w:pPr>
      <w:r w:rsidRPr="00BF6B9C">
        <w:rPr>
          <w:rFonts w:ascii="Bookman Old Style" w:hAnsi="Bookman Old Style"/>
          <w:b w:val="0"/>
          <w:bCs/>
          <w:sz w:val="24"/>
          <w:szCs w:val="24"/>
        </w:rPr>
        <w:t>Ministerio de Minas y Energía</w:t>
      </w:r>
    </w:p>
    <w:p w:rsidR="00CA77FB" w:rsidRPr="00BF6B9C" w:rsidRDefault="00CA77FB" w:rsidP="00341E8F">
      <w:pPr>
        <w:pStyle w:val="Ttulo4"/>
        <w:tabs>
          <w:tab w:val="left" w:pos="0"/>
          <w:tab w:val="right" w:pos="9356"/>
        </w:tabs>
        <w:ind w:left="0"/>
        <w:rPr>
          <w:rFonts w:ascii="Bookman Old Style" w:hAnsi="Bookman Old Style"/>
          <w:b w:val="0"/>
          <w:bCs/>
          <w:sz w:val="24"/>
          <w:szCs w:val="24"/>
        </w:rPr>
      </w:pPr>
    </w:p>
    <w:p w:rsidR="00CA77FB" w:rsidRPr="00BF6B9C" w:rsidRDefault="00CA77FB" w:rsidP="00341E8F">
      <w:pPr>
        <w:pStyle w:val="Ttulo3"/>
        <w:tabs>
          <w:tab w:val="left" w:pos="0"/>
          <w:tab w:val="right" w:pos="9356"/>
        </w:tabs>
        <w:ind w:left="0"/>
        <w:rPr>
          <w:rFonts w:ascii="Bookman Old Style" w:hAnsi="Bookman Old Style" w:cs="Arial"/>
          <w:spacing w:val="20"/>
          <w:szCs w:val="24"/>
        </w:rPr>
      </w:pPr>
      <w:r w:rsidRPr="00BF6B9C">
        <w:rPr>
          <w:rFonts w:ascii="Bookman Old Style" w:hAnsi="Bookman Old Style" w:cs="Arial"/>
          <w:spacing w:val="20"/>
          <w:szCs w:val="24"/>
        </w:rPr>
        <w:t>COMISIÓN DE REGULACIÓN DE ENERGÍA Y GAS</w:t>
      </w:r>
    </w:p>
    <w:p w:rsidR="00CA77FB" w:rsidRPr="00BF6B9C" w:rsidRDefault="00CA77FB" w:rsidP="00341E8F">
      <w:pPr>
        <w:pStyle w:val="Ttulo5"/>
        <w:tabs>
          <w:tab w:val="left" w:pos="0"/>
          <w:tab w:val="right" w:pos="9356"/>
        </w:tabs>
        <w:ind w:left="0"/>
        <w:rPr>
          <w:rFonts w:ascii="Bookman Old Style" w:hAnsi="Bookman Old Style"/>
          <w:sz w:val="24"/>
          <w:szCs w:val="24"/>
        </w:rPr>
      </w:pPr>
    </w:p>
    <w:p w:rsidR="00CA77FB" w:rsidRPr="00BF6B9C" w:rsidRDefault="00CA77FB" w:rsidP="00341E8F">
      <w:pPr>
        <w:pStyle w:val="Ttulo5"/>
        <w:tabs>
          <w:tab w:val="left" w:pos="0"/>
          <w:tab w:val="right" w:pos="9356"/>
        </w:tabs>
        <w:ind w:left="0"/>
        <w:rPr>
          <w:rFonts w:ascii="Bookman Old Style" w:hAnsi="Bookman Old Style"/>
          <w:sz w:val="24"/>
          <w:szCs w:val="24"/>
        </w:rPr>
      </w:pPr>
    </w:p>
    <w:p w:rsidR="00CA77FB" w:rsidRPr="00BF6B9C" w:rsidRDefault="00CA77FB" w:rsidP="00341E8F">
      <w:pPr>
        <w:pStyle w:val="Ttulo5"/>
        <w:tabs>
          <w:tab w:val="left" w:pos="0"/>
          <w:tab w:val="right" w:pos="9356"/>
        </w:tabs>
        <w:ind w:left="0"/>
        <w:rPr>
          <w:rFonts w:ascii="Bookman Old Style" w:hAnsi="Bookman Old Style"/>
          <w:sz w:val="24"/>
          <w:szCs w:val="24"/>
        </w:rPr>
      </w:pPr>
      <w:r w:rsidRPr="00BF6B9C">
        <w:rPr>
          <w:rFonts w:ascii="Bookman Old Style" w:hAnsi="Bookman Old Style"/>
          <w:sz w:val="24"/>
          <w:szCs w:val="24"/>
        </w:rPr>
        <w:t xml:space="preserve">RESOLUCIÓN No. </w:t>
      </w:r>
      <w:r w:rsidR="00795BFB" w:rsidRPr="00BF6B9C">
        <w:rPr>
          <w:rFonts w:ascii="Bookman Old Style" w:hAnsi="Bookman Old Style"/>
          <w:sz w:val="24"/>
          <w:szCs w:val="24"/>
        </w:rPr>
        <w:t xml:space="preserve">                  </w:t>
      </w:r>
      <w:r w:rsidRPr="00BF6B9C">
        <w:rPr>
          <w:rFonts w:ascii="Bookman Old Style" w:hAnsi="Bookman Old Style"/>
          <w:sz w:val="24"/>
          <w:szCs w:val="24"/>
        </w:rPr>
        <w:t xml:space="preserve">DE </w:t>
      </w:r>
      <w:r w:rsidR="00872D82" w:rsidRPr="00BF6B9C">
        <w:rPr>
          <w:rFonts w:ascii="Bookman Old Style" w:hAnsi="Bookman Old Style"/>
          <w:sz w:val="24"/>
          <w:szCs w:val="24"/>
        </w:rPr>
        <w:t>201</w:t>
      </w:r>
      <w:r w:rsidR="00341E8F" w:rsidRPr="00BF6B9C">
        <w:rPr>
          <w:rFonts w:ascii="Bookman Old Style" w:hAnsi="Bookman Old Style"/>
          <w:sz w:val="24"/>
          <w:szCs w:val="24"/>
        </w:rPr>
        <w:t>6</w:t>
      </w:r>
    </w:p>
    <w:p w:rsidR="00CA77FB" w:rsidRPr="00BF6B9C"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BF6B9C" w:rsidRDefault="00CA77FB" w:rsidP="00341E8F">
      <w:pPr>
        <w:pStyle w:val="Ttulo3"/>
        <w:tabs>
          <w:tab w:val="left" w:pos="0"/>
          <w:tab w:val="right" w:pos="9356"/>
        </w:tabs>
        <w:ind w:left="0"/>
        <w:rPr>
          <w:rFonts w:ascii="Bookman Old Style" w:hAnsi="Bookman Old Style"/>
          <w:b w:val="0"/>
          <w:szCs w:val="24"/>
        </w:rPr>
      </w:pPr>
      <w:r w:rsidRPr="00BF6B9C">
        <w:rPr>
          <w:rFonts w:ascii="Bookman Old Style" w:hAnsi="Bookman Old Style"/>
          <w:b w:val="0"/>
          <w:szCs w:val="24"/>
        </w:rPr>
        <w:t>(                                  )</w:t>
      </w:r>
    </w:p>
    <w:p w:rsidR="00CA77FB" w:rsidRPr="00BF6B9C" w:rsidRDefault="00CA77FB" w:rsidP="00341E8F">
      <w:pPr>
        <w:tabs>
          <w:tab w:val="left" w:pos="0"/>
          <w:tab w:val="right" w:pos="9356"/>
        </w:tabs>
        <w:ind w:left="0"/>
        <w:jc w:val="center"/>
        <w:rPr>
          <w:rFonts w:ascii="Bookman Old Style" w:hAnsi="Bookman Old Style"/>
          <w:lang w:val="es-ES_tradnl"/>
        </w:rPr>
      </w:pPr>
    </w:p>
    <w:p w:rsidR="0092593B" w:rsidRPr="00BF6B9C" w:rsidRDefault="0092593B" w:rsidP="00341E8F">
      <w:pPr>
        <w:widowControl w:val="0"/>
        <w:adjustRightInd w:val="0"/>
        <w:ind w:left="0" w:right="20"/>
        <w:jc w:val="both"/>
        <w:rPr>
          <w:rFonts w:ascii="Bookman Old Style" w:hAnsi="Bookman Old Style" w:cs="Arial"/>
          <w:lang w:val="es-ES_tradnl"/>
        </w:rPr>
      </w:pPr>
    </w:p>
    <w:p w:rsidR="00FE7A62" w:rsidRPr="00BF6B9C" w:rsidRDefault="00273C2C" w:rsidP="00414B26">
      <w:pPr>
        <w:widowControl w:val="0"/>
        <w:adjustRightInd w:val="0"/>
        <w:ind w:left="0" w:right="20"/>
        <w:jc w:val="both"/>
        <w:rPr>
          <w:rFonts w:ascii="Bookman Old Style" w:hAnsi="Bookman Old Style" w:cs="Arial"/>
          <w:lang w:val="es-ES_tradnl"/>
        </w:rPr>
      </w:pPr>
      <w:r w:rsidRPr="00BF6B9C">
        <w:rPr>
          <w:rFonts w:ascii="Bookman Old Style" w:hAnsi="Bookman Old Style" w:cs="Arial"/>
          <w:lang w:val="es-ES_tradnl"/>
        </w:rPr>
        <w:t>Por la cual se aprueba</w:t>
      </w:r>
      <w:r w:rsidR="0000682F" w:rsidRPr="00BF6B9C">
        <w:rPr>
          <w:rFonts w:ascii="Bookman Old Style" w:hAnsi="Bookman Old Style" w:cs="Arial"/>
          <w:lang w:val="es-ES_tradnl"/>
        </w:rPr>
        <w:t xml:space="preserve"> </w:t>
      </w:r>
      <w:r w:rsidR="00260569" w:rsidRPr="00BF6B9C">
        <w:rPr>
          <w:rFonts w:ascii="Bookman Old Style" w:hAnsi="Bookman Old Style" w:cs="Arial"/>
          <w:lang w:val="es-ES_tradnl"/>
        </w:rPr>
        <w:t>c</w:t>
      </w:r>
      <w:r w:rsidRPr="00BF6B9C">
        <w:rPr>
          <w:rFonts w:ascii="Bookman Old Style" w:hAnsi="Bookman Old Style" w:cs="Arial"/>
          <w:lang w:val="es-ES_tradnl"/>
        </w:rPr>
        <w:t>argo</w:t>
      </w:r>
      <w:r w:rsidR="0073086C" w:rsidRPr="00BF6B9C">
        <w:rPr>
          <w:rFonts w:ascii="Bookman Old Style" w:hAnsi="Bookman Old Style" w:cs="Arial"/>
          <w:lang w:val="es-ES_tradnl"/>
        </w:rPr>
        <w:t xml:space="preserve"> </w:t>
      </w:r>
      <w:r w:rsidRPr="00BF6B9C">
        <w:rPr>
          <w:rFonts w:ascii="Bookman Old Style" w:hAnsi="Bookman Old Style" w:cs="Arial"/>
          <w:lang w:val="es-ES_tradnl"/>
        </w:rPr>
        <w:t xml:space="preserve">de </w:t>
      </w:r>
      <w:r w:rsidR="00260569" w:rsidRPr="00BF6B9C">
        <w:rPr>
          <w:rFonts w:ascii="Bookman Old Style" w:hAnsi="Bookman Old Style" w:cs="Arial"/>
          <w:lang w:val="es-ES_tradnl"/>
        </w:rPr>
        <w:t>d</w:t>
      </w:r>
      <w:r w:rsidRPr="00BF6B9C">
        <w:rPr>
          <w:rFonts w:ascii="Bookman Old Style" w:hAnsi="Bookman Old Style" w:cs="Arial"/>
          <w:lang w:val="es-ES_tradnl"/>
        </w:rPr>
        <w:t xml:space="preserve">istribución </w:t>
      </w:r>
      <w:r w:rsidR="00F01CA3" w:rsidRPr="00BF6B9C">
        <w:rPr>
          <w:rFonts w:ascii="Bookman Old Style" w:hAnsi="Bookman Old Style" w:cs="Arial"/>
          <w:lang w:val="es-ES_tradnl"/>
        </w:rPr>
        <w:t xml:space="preserve">transitorio </w:t>
      </w:r>
      <w:r w:rsidRPr="00BF6B9C">
        <w:rPr>
          <w:rFonts w:ascii="Bookman Old Style" w:hAnsi="Bookman Old Style" w:cs="Arial"/>
          <w:lang w:val="es-ES_tradnl"/>
        </w:rPr>
        <w:t xml:space="preserve">por uso del </w:t>
      </w:r>
      <w:r w:rsidR="00260569" w:rsidRPr="00BF6B9C">
        <w:rPr>
          <w:rFonts w:ascii="Bookman Old Style" w:hAnsi="Bookman Old Style" w:cs="Arial"/>
          <w:lang w:val="es-ES_tradnl"/>
        </w:rPr>
        <w:t>s</w:t>
      </w:r>
      <w:r w:rsidRPr="00BF6B9C">
        <w:rPr>
          <w:rFonts w:ascii="Bookman Old Style" w:hAnsi="Bookman Old Style" w:cs="Arial"/>
          <w:lang w:val="es-ES_tradnl"/>
        </w:rPr>
        <w:t xml:space="preserve">istema de </w:t>
      </w:r>
      <w:r w:rsidR="00260569" w:rsidRPr="00BF6B9C">
        <w:rPr>
          <w:rFonts w:ascii="Bookman Old Style" w:hAnsi="Bookman Old Style" w:cs="Arial"/>
          <w:lang w:val="es-ES_tradnl"/>
        </w:rPr>
        <w:t>d</w:t>
      </w:r>
      <w:r w:rsidRPr="00BF6B9C">
        <w:rPr>
          <w:rFonts w:ascii="Bookman Old Style" w:hAnsi="Bookman Old Style" w:cs="Arial"/>
          <w:lang w:val="es-ES_tradnl"/>
        </w:rPr>
        <w:t xml:space="preserve">istribución de gas combustible por redes de tubería </w:t>
      </w:r>
      <w:r w:rsidR="0000682F" w:rsidRPr="00BF6B9C">
        <w:rPr>
          <w:rFonts w:ascii="Bookman Old Style" w:hAnsi="Bookman Old Style" w:cs="Arial"/>
          <w:lang w:val="es-ES_tradnl"/>
        </w:rPr>
        <w:t>para el mercado relevante conformado</w:t>
      </w:r>
      <w:r w:rsidR="00B22226" w:rsidRPr="00BF6B9C">
        <w:rPr>
          <w:rFonts w:ascii="Bookman Old Style" w:hAnsi="Bookman Old Style" w:cs="Arial"/>
          <w:lang w:val="es-ES_tradnl"/>
        </w:rPr>
        <w:t xml:space="preserve"> </w:t>
      </w:r>
      <w:r w:rsidR="006D2B6B" w:rsidRPr="00BF6B9C">
        <w:rPr>
          <w:rFonts w:ascii="Bookman Old Style" w:hAnsi="Bookman Old Style" w:cs="Arial"/>
          <w:lang w:val="es-ES_tradnl"/>
        </w:rPr>
        <w:t>por el municipio de Cáchira</w:t>
      </w:r>
      <w:r w:rsidR="00602A00" w:rsidRPr="00BF6B9C">
        <w:rPr>
          <w:rFonts w:ascii="Bookman Old Style" w:hAnsi="Bookman Old Style" w:cs="Arial"/>
          <w:lang w:val="es-ES_tradnl"/>
        </w:rPr>
        <w:t xml:space="preserve"> </w:t>
      </w:r>
      <w:r w:rsidR="004A0540" w:rsidRPr="00BF6B9C">
        <w:rPr>
          <w:rFonts w:ascii="Bookman Old Style" w:hAnsi="Bookman Old Style" w:cs="Arial"/>
          <w:lang w:val="es-ES_tradnl"/>
        </w:rPr>
        <w:t>localizado en el</w:t>
      </w:r>
      <w:r w:rsidR="00886F37" w:rsidRPr="00BF6B9C">
        <w:rPr>
          <w:rFonts w:ascii="Bookman Old Style" w:hAnsi="Bookman Old Style" w:cs="Arial"/>
          <w:lang w:val="es-ES_tradnl"/>
        </w:rPr>
        <w:t xml:space="preserve"> </w:t>
      </w:r>
      <w:r w:rsidR="00B22226" w:rsidRPr="00BF6B9C">
        <w:rPr>
          <w:rFonts w:ascii="Bookman Old Style" w:hAnsi="Bookman Old Style" w:cs="Arial"/>
          <w:lang w:val="es-ES_tradnl"/>
        </w:rPr>
        <w:t>departamento de</w:t>
      </w:r>
      <w:r w:rsidR="00886F37" w:rsidRPr="00BF6B9C">
        <w:rPr>
          <w:rFonts w:ascii="Bookman Old Style" w:hAnsi="Bookman Old Style" w:cs="Arial"/>
          <w:lang w:val="es-ES_tradnl"/>
        </w:rPr>
        <w:t xml:space="preserve"> </w:t>
      </w:r>
      <w:r w:rsidR="006D2B6B" w:rsidRPr="00BF6B9C">
        <w:rPr>
          <w:rFonts w:ascii="Bookman Old Style" w:hAnsi="Bookman Old Style" w:cs="Arial"/>
          <w:lang w:val="es-ES_tradnl"/>
        </w:rPr>
        <w:t>Norte de Santander</w:t>
      </w:r>
      <w:r w:rsidR="00B22226" w:rsidRPr="00BF6B9C">
        <w:rPr>
          <w:rFonts w:ascii="Bookman Old Style" w:hAnsi="Bookman Old Style" w:cs="Arial"/>
          <w:lang w:val="es-ES_tradnl"/>
        </w:rPr>
        <w:t xml:space="preserve">, según solicitud tarifaria presentada por </w:t>
      </w:r>
      <w:r w:rsidR="00886F37" w:rsidRPr="00BF6B9C">
        <w:rPr>
          <w:rFonts w:ascii="Bookman Old Style" w:hAnsi="Bookman Old Style" w:cs="Arial"/>
          <w:lang w:val="es-ES_tradnl"/>
        </w:rPr>
        <w:t xml:space="preserve">la empresa </w:t>
      </w:r>
      <w:r w:rsidR="006D2B6B" w:rsidRPr="00BF6B9C">
        <w:rPr>
          <w:rFonts w:ascii="Bookman Old Style" w:hAnsi="Bookman Old Style" w:cs="Arial"/>
          <w:lang w:val="es-ES_tradnl"/>
        </w:rPr>
        <w:t>PROMOTORA DE SERVICIOS PÚBLICOS</w:t>
      </w:r>
      <w:r w:rsidR="00B22226" w:rsidRPr="00BF6B9C">
        <w:rPr>
          <w:rFonts w:ascii="Bookman Old Style" w:hAnsi="Bookman Old Style" w:cs="Arial"/>
          <w:lang w:val="es-ES_tradnl"/>
        </w:rPr>
        <w:t xml:space="preserve"> S.A. E.S.P.</w:t>
      </w:r>
    </w:p>
    <w:p w:rsidR="00273C2C" w:rsidRPr="00BF6B9C" w:rsidRDefault="00273C2C" w:rsidP="00341E8F">
      <w:pPr>
        <w:widowControl w:val="0"/>
        <w:adjustRightInd w:val="0"/>
        <w:ind w:left="0" w:right="20"/>
        <w:jc w:val="both"/>
        <w:rPr>
          <w:rFonts w:ascii="Bookman Old Style" w:hAnsi="Bookman Old Style" w:cs="Arial"/>
          <w:lang w:val="es-ES_tradnl"/>
        </w:rPr>
      </w:pPr>
    </w:p>
    <w:p w:rsidR="00273C2C" w:rsidRPr="00BF6B9C" w:rsidRDefault="00273C2C" w:rsidP="00341E8F">
      <w:pPr>
        <w:widowControl w:val="0"/>
        <w:adjustRightInd w:val="0"/>
        <w:ind w:left="0" w:right="20"/>
        <w:jc w:val="both"/>
        <w:rPr>
          <w:rFonts w:ascii="Bookman Old Style" w:hAnsi="Bookman Old Style" w:cs="Arial"/>
          <w:lang w:val="es-CO"/>
        </w:rPr>
      </w:pPr>
    </w:p>
    <w:p w:rsidR="00273C2C" w:rsidRPr="00BF6B9C" w:rsidRDefault="00273C2C" w:rsidP="00341E8F">
      <w:pPr>
        <w:pStyle w:val="Ttulo7"/>
        <w:spacing w:before="0" w:after="0"/>
        <w:ind w:left="0"/>
        <w:jc w:val="center"/>
        <w:rPr>
          <w:rFonts w:ascii="Bookman Old Style" w:hAnsi="Bookman Old Style"/>
          <w:b/>
        </w:rPr>
      </w:pPr>
      <w:r w:rsidRPr="00BF6B9C">
        <w:rPr>
          <w:rFonts w:ascii="Bookman Old Style" w:hAnsi="Bookman Old Style"/>
          <w:b/>
        </w:rPr>
        <w:t>LA COMISIÓN DE REGULACIÓN DE ENERGÍA Y GAS</w:t>
      </w:r>
    </w:p>
    <w:p w:rsidR="00273C2C" w:rsidRPr="00BF6B9C" w:rsidRDefault="00273C2C" w:rsidP="00341E8F">
      <w:pPr>
        <w:ind w:left="0"/>
        <w:jc w:val="both"/>
        <w:rPr>
          <w:rFonts w:ascii="Bookman Old Style" w:hAnsi="Bookman Old Style" w:cs="Arial"/>
          <w:b/>
        </w:rPr>
      </w:pPr>
    </w:p>
    <w:p w:rsidR="00273C2C" w:rsidRPr="00BF6B9C" w:rsidRDefault="00273C2C" w:rsidP="00341E8F">
      <w:pPr>
        <w:ind w:left="0"/>
        <w:jc w:val="both"/>
        <w:rPr>
          <w:rFonts w:ascii="Bookman Old Style" w:hAnsi="Bookman Old Style" w:cs="Arial"/>
        </w:rPr>
      </w:pPr>
    </w:p>
    <w:p w:rsidR="009D138E" w:rsidRPr="00BF6B9C" w:rsidRDefault="00273C2C" w:rsidP="00B565E2">
      <w:pPr>
        <w:ind w:left="0"/>
        <w:jc w:val="center"/>
        <w:rPr>
          <w:rFonts w:ascii="Bookman Old Style" w:hAnsi="Bookman Old Style" w:cs="Arial"/>
        </w:rPr>
      </w:pPr>
      <w:r w:rsidRPr="00BF6B9C">
        <w:rPr>
          <w:rFonts w:ascii="Bookman Old Style" w:hAnsi="Bookman Old Style" w:cs="Arial"/>
        </w:rPr>
        <w:t xml:space="preserve">En ejercicio de sus atribuciones constitucionales y legales, en especial las conferidas por la Ley </w:t>
      </w:r>
      <w:r w:rsidR="00B639AD" w:rsidRPr="00BF6B9C">
        <w:rPr>
          <w:rFonts w:ascii="Bookman Old Style" w:hAnsi="Bookman Old Style" w:cs="Arial"/>
        </w:rPr>
        <w:t>142 de 1994, y en desarrollo de</w:t>
      </w:r>
      <w:r w:rsidR="00341E8F" w:rsidRPr="00BF6B9C">
        <w:rPr>
          <w:rFonts w:ascii="Bookman Old Style" w:hAnsi="Bookman Old Style" w:cs="Arial"/>
        </w:rPr>
        <w:t xml:space="preserve"> los d</w:t>
      </w:r>
      <w:r w:rsidR="009D138E" w:rsidRPr="00BF6B9C">
        <w:rPr>
          <w:rFonts w:ascii="Bookman Old Style" w:hAnsi="Bookman Old Style" w:cs="Arial"/>
        </w:rPr>
        <w:t>ecretos 2253 de 1994 y 1260 de 2013</w:t>
      </w:r>
      <w:r w:rsidR="00341E8F" w:rsidRPr="00BF6B9C">
        <w:rPr>
          <w:rFonts w:ascii="Bookman Old Style" w:hAnsi="Bookman Old Style" w:cs="Arial"/>
        </w:rPr>
        <w:t>, y</w:t>
      </w:r>
    </w:p>
    <w:p w:rsidR="00273C2C" w:rsidRPr="00BF6B9C" w:rsidRDefault="00273C2C" w:rsidP="00341E8F">
      <w:pPr>
        <w:ind w:left="0"/>
        <w:jc w:val="both"/>
        <w:rPr>
          <w:rFonts w:ascii="Bookman Old Style" w:hAnsi="Bookman Old Style" w:cs="Arial"/>
        </w:rPr>
      </w:pPr>
    </w:p>
    <w:p w:rsidR="009D138E" w:rsidRPr="00BF6B9C" w:rsidRDefault="009D138E" w:rsidP="00341E8F">
      <w:pPr>
        <w:ind w:left="0"/>
        <w:jc w:val="both"/>
        <w:rPr>
          <w:rFonts w:ascii="Bookman Old Style" w:hAnsi="Bookman Old Style" w:cs="Arial"/>
        </w:rPr>
      </w:pPr>
    </w:p>
    <w:p w:rsidR="00273C2C" w:rsidRPr="00BF6B9C" w:rsidRDefault="00273C2C" w:rsidP="00341E8F">
      <w:pPr>
        <w:ind w:left="0"/>
        <w:jc w:val="center"/>
        <w:rPr>
          <w:rFonts w:ascii="Bookman Old Style" w:hAnsi="Bookman Old Style" w:cs="Arial"/>
          <w:b/>
        </w:rPr>
      </w:pPr>
      <w:r w:rsidRPr="00BF6B9C">
        <w:rPr>
          <w:rFonts w:ascii="Bookman Old Style" w:hAnsi="Bookman Old Style" w:cs="Arial"/>
          <w:b/>
          <w:spacing w:val="80"/>
        </w:rPr>
        <w:t>CONSIDERANDO QUE</w:t>
      </w:r>
      <w:r w:rsidRPr="00BF6B9C">
        <w:rPr>
          <w:rFonts w:ascii="Bookman Old Style" w:hAnsi="Bookman Old Style" w:cs="Arial"/>
          <w:b/>
        </w:rPr>
        <w:t>:</w:t>
      </w:r>
    </w:p>
    <w:p w:rsidR="00273C2C" w:rsidRPr="00BF6B9C" w:rsidRDefault="00273C2C" w:rsidP="00341E8F">
      <w:pPr>
        <w:ind w:left="0"/>
        <w:jc w:val="both"/>
        <w:rPr>
          <w:rFonts w:ascii="Bookman Old Style" w:hAnsi="Bookman Old Style" w:cs="Arial"/>
          <w:b/>
        </w:rPr>
      </w:pPr>
    </w:p>
    <w:p w:rsidR="00273C2C" w:rsidRPr="00BF6B9C" w:rsidRDefault="00BF6E67" w:rsidP="00F36B65">
      <w:pPr>
        <w:numPr>
          <w:ilvl w:val="0"/>
          <w:numId w:val="2"/>
        </w:numPr>
        <w:ind w:left="567" w:hanging="567"/>
        <w:jc w:val="both"/>
        <w:rPr>
          <w:rFonts w:ascii="Bookman Old Style" w:hAnsi="Bookman Old Style" w:cs="Arial"/>
          <w:b/>
        </w:rPr>
      </w:pPr>
      <w:r w:rsidRPr="00BF6B9C">
        <w:rPr>
          <w:rFonts w:ascii="Bookman Old Style" w:hAnsi="Bookman Old Style" w:cs="Arial"/>
          <w:b/>
        </w:rPr>
        <w:t xml:space="preserve">Antecedentes </w:t>
      </w:r>
    </w:p>
    <w:p w:rsidR="00BF6E67" w:rsidRPr="00BF6B9C" w:rsidRDefault="00BF6E67" w:rsidP="00341E8F">
      <w:pPr>
        <w:widowControl w:val="0"/>
        <w:adjustRightInd w:val="0"/>
        <w:ind w:left="0"/>
        <w:jc w:val="both"/>
        <w:rPr>
          <w:rFonts w:ascii="Bookman Old Style" w:hAnsi="Bookman Old Style" w:cs="Arial"/>
        </w:rPr>
      </w:pPr>
    </w:p>
    <w:p w:rsidR="00273C2C" w:rsidRPr="00BF6B9C" w:rsidRDefault="00273C2C" w:rsidP="00341E8F">
      <w:pPr>
        <w:widowControl w:val="0"/>
        <w:adjustRightInd w:val="0"/>
        <w:ind w:left="0"/>
        <w:jc w:val="both"/>
        <w:rPr>
          <w:rFonts w:ascii="Bookman Old Style" w:hAnsi="Bookman Old Style" w:cs="Arial"/>
        </w:rPr>
      </w:pPr>
      <w:r w:rsidRPr="00BF6B9C">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BF6B9C" w:rsidRDefault="00273C2C" w:rsidP="00341E8F">
      <w:pPr>
        <w:widowControl w:val="0"/>
        <w:adjustRightInd w:val="0"/>
        <w:ind w:left="0"/>
        <w:jc w:val="both"/>
        <w:rPr>
          <w:rFonts w:ascii="Bookman Old Style" w:hAnsi="Bookman Old Style" w:cs="Arial"/>
          <w:spacing w:val="-3"/>
        </w:rPr>
      </w:pPr>
    </w:p>
    <w:p w:rsidR="00273C2C" w:rsidRPr="00BF6B9C" w:rsidRDefault="00273C2C" w:rsidP="00341E8F">
      <w:pPr>
        <w:widowControl w:val="0"/>
        <w:adjustRightInd w:val="0"/>
        <w:ind w:left="0"/>
        <w:jc w:val="both"/>
        <w:rPr>
          <w:rFonts w:ascii="Bookman Old Style" w:hAnsi="Bookman Old Style" w:cs="Arial"/>
        </w:rPr>
      </w:pPr>
      <w:r w:rsidRPr="00BF6B9C">
        <w:rPr>
          <w:rFonts w:ascii="Bookman Old Style" w:hAnsi="Bookman Old Style" w:cs="Arial"/>
        </w:rPr>
        <w:t>Según lo dispuesto por el artículo 28 de la Ley 142 de 1994, la construcción y</w:t>
      </w:r>
      <w:r w:rsidR="00AE5B7B" w:rsidRPr="00BF6B9C">
        <w:rPr>
          <w:rFonts w:ascii="Bookman Old Style" w:hAnsi="Bookman Old Style" w:cs="Arial"/>
        </w:rPr>
        <w:t xml:space="preserve"> </w:t>
      </w:r>
      <w:r w:rsidRPr="00BF6B9C">
        <w:rPr>
          <w:rFonts w:ascii="Bookman Old Style" w:hAnsi="Bookman Old Style" w:cs="Arial"/>
        </w:rPr>
        <w:t>operación de redes para el transporte de gas, así como el señalamiento de las tarifas por uso, se regirán exclusivamente por esa Ley.</w:t>
      </w:r>
    </w:p>
    <w:p w:rsidR="00273C2C" w:rsidRPr="00BF6B9C" w:rsidRDefault="00273C2C" w:rsidP="00341E8F">
      <w:pPr>
        <w:widowControl w:val="0"/>
        <w:adjustRightInd w:val="0"/>
        <w:ind w:left="0"/>
        <w:jc w:val="both"/>
        <w:rPr>
          <w:rFonts w:ascii="Bookman Old Style" w:hAnsi="Bookman Old Style" w:cs="Arial"/>
        </w:rPr>
      </w:pPr>
    </w:p>
    <w:p w:rsidR="00273C2C" w:rsidRPr="00BF6B9C" w:rsidRDefault="00273C2C" w:rsidP="00341E8F">
      <w:pPr>
        <w:widowControl w:val="0"/>
        <w:adjustRightInd w:val="0"/>
        <w:ind w:left="0"/>
        <w:jc w:val="both"/>
        <w:rPr>
          <w:rFonts w:ascii="Bookman Old Style" w:hAnsi="Bookman Old Style" w:cs="Arial"/>
        </w:rPr>
      </w:pPr>
      <w:r w:rsidRPr="00BF6B9C">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BF6B9C" w:rsidRDefault="00273C2C" w:rsidP="00341E8F">
      <w:pPr>
        <w:widowControl w:val="0"/>
        <w:adjustRightInd w:val="0"/>
        <w:ind w:left="0"/>
        <w:jc w:val="both"/>
        <w:rPr>
          <w:rFonts w:ascii="Bookman Old Style" w:hAnsi="Bookman Old Style" w:cs="Arial"/>
        </w:rPr>
      </w:pPr>
    </w:p>
    <w:p w:rsidR="00273C2C" w:rsidRPr="00BF6B9C" w:rsidRDefault="00273C2C" w:rsidP="00341E8F">
      <w:pPr>
        <w:widowControl w:val="0"/>
        <w:adjustRightInd w:val="0"/>
        <w:ind w:left="0"/>
        <w:jc w:val="both"/>
        <w:rPr>
          <w:rFonts w:ascii="Bookman Old Style" w:hAnsi="Bookman Old Style" w:cs="Arial"/>
        </w:rPr>
      </w:pPr>
      <w:r w:rsidRPr="00BF6B9C">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BF6B9C" w:rsidRDefault="00273C2C" w:rsidP="00341E8F">
      <w:pPr>
        <w:widowControl w:val="0"/>
        <w:adjustRightInd w:val="0"/>
        <w:ind w:left="0"/>
        <w:jc w:val="both"/>
        <w:rPr>
          <w:rFonts w:ascii="Bookman Old Style" w:hAnsi="Bookman Old Style" w:cs="Arial"/>
        </w:rPr>
      </w:pPr>
    </w:p>
    <w:p w:rsidR="00273C2C" w:rsidRPr="00BF6B9C" w:rsidRDefault="00273C2C" w:rsidP="00341E8F">
      <w:pPr>
        <w:widowControl w:val="0"/>
        <w:adjustRightInd w:val="0"/>
        <w:ind w:left="0"/>
        <w:jc w:val="both"/>
        <w:rPr>
          <w:rFonts w:ascii="Bookman Old Style" w:hAnsi="Bookman Old Style" w:cs="Arial"/>
        </w:rPr>
      </w:pPr>
      <w:r w:rsidRPr="00BF6B9C">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A11391" w:rsidRPr="00BF6B9C" w:rsidRDefault="00A11391" w:rsidP="00341E8F">
      <w:pPr>
        <w:widowControl w:val="0"/>
        <w:adjustRightInd w:val="0"/>
        <w:ind w:left="0"/>
        <w:jc w:val="both"/>
        <w:rPr>
          <w:rFonts w:ascii="Bookman Old Style" w:hAnsi="Bookman Old Style" w:cs="Arial"/>
        </w:rPr>
      </w:pPr>
    </w:p>
    <w:p w:rsidR="00A44502" w:rsidRPr="00BF6B9C" w:rsidRDefault="007467F1" w:rsidP="00341E8F">
      <w:pPr>
        <w:widowControl w:val="0"/>
        <w:adjustRightInd w:val="0"/>
        <w:ind w:left="0"/>
        <w:jc w:val="both"/>
        <w:rPr>
          <w:rFonts w:ascii="Bookman Old Style" w:hAnsi="Bookman Old Style" w:cs="Arial"/>
        </w:rPr>
      </w:pPr>
      <w:r w:rsidRPr="00BF6B9C">
        <w:rPr>
          <w:rFonts w:ascii="Bookman Old Style" w:hAnsi="Bookman Old Style" w:cs="Arial"/>
        </w:rPr>
        <w:t xml:space="preserve">A través de la </w:t>
      </w:r>
      <w:r w:rsidR="00A44502" w:rsidRPr="00BF6B9C">
        <w:rPr>
          <w:rFonts w:ascii="Bookman Old Style" w:hAnsi="Bookman Old Style" w:cs="Arial"/>
        </w:rPr>
        <w:t xml:space="preserve">Resolución CREG 202 de 2013 </w:t>
      </w:r>
      <w:r w:rsidR="00AE5B7B" w:rsidRPr="00BF6B9C">
        <w:rPr>
          <w:rFonts w:ascii="Bookman Old Style" w:hAnsi="Bookman Old Style" w:cs="Arial"/>
        </w:rPr>
        <w:t xml:space="preserve">se </w:t>
      </w:r>
      <w:r w:rsidRPr="00BF6B9C">
        <w:rPr>
          <w:rFonts w:ascii="Bookman Old Style" w:hAnsi="Bookman Old Style" w:cs="Arial"/>
        </w:rPr>
        <w:t xml:space="preserve">establecieron </w:t>
      </w:r>
      <w:r w:rsidR="00A44502" w:rsidRPr="00BF6B9C">
        <w:rPr>
          <w:rFonts w:ascii="Bookman Old Style" w:hAnsi="Bookman Old Style" w:cs="Arial"/>
        </w:rPr>
        <w:t>los criterios generales para remunerar la actividad de distribución de gas combustible por redes de tubería</w:t>
      </w:r>
      <w:r w:rsidR="004355FC" w:rsidRPr="00BF6B9C">
        <w:rPr>
          <w:rFonts w:ascii="Bookman Old Style" w:hAnsi="Bookman Old Style" w:cs="Arial"/>
        </w:rPr>
        <w:t xml:space="preserve"> y se dictan otras disposiciones</w:t>
      </w:r>
      <w:r w:rsidR="00A44502" w:rsidRPr="00BF6B9C">
        <w:rPr>
          <w:rFonts w:ascii="Bookman Old Style" w:hAnsi="Bookman Old Style" w:cs="Arial"/>
        </w:rPr>
        <w:t>.</w:t>
      </w:r>
    </w:p>
    <w:p w:rsidR="00563C3D" w:rsidRPr="00BF6B9C" w:rsidRDefault="004F371F" w:rsidP="00563C3D">
      <w:pPr>
        <w:keepNext/>
        <w:spacing w:before="240" w:after="60"/>
        <w:ind w:left="0"/>
        <w:jc w:val="both"/>
        <w:outlineLvl w:val="0"/>
        <w:rPr>
          <w:rFonts w:ascii="Bookman Old Style" w:hAnsi="Bookman Old Style"/>
          <w:bCs/>
        </w:rPr>
      </w:pPr>
      <w:r w:rsidRPr="00BF6B9C">
        <w:rPr>
          <w:rFonts w:ascii="Bookman Old Style" w:hAnsi="Bookman Old Style" w:cs="Arial"/>
        </w:rPr>
        <w:t xml:space="preserve">El artículo 9º de la Resolución 202 de 2013 dispone </w:t>
      </w:r>
      <w:r w:rsidR="004B460E" w:rsidRPr="00BF6B9C">
        <w:rPr>
          <w:rFonts w:ascii="Bookman Old Style" w:hAnsi="Bookman Old Style" w:cs="Arial"/>
        </w:rPr>
        <w:t xml:space="preserve">que la metodología para el cálculo de los cargos de distribución se hará </w:t>
      </w:r>
      <w:r w:rsidR="004B460E" w:rsidRPr="00BF6B9C">
        <w:rPr>
          <w:rFonts w:ascii="Bookman Old Style" w:hAnsi="Bookman Old Style" w:cs="Arial"/>
          <w:bCs/>
        </w:rPr>
        <w:t xml:space="preserve">aplicando </w:t>
      </w:r>
      <w:r w:rsidR="00563C3D" w:rsidRPr="00BF6B9C">
        <w:rPr>
          <w:rFonts w:ascii="Bookman Old Style" w:hAnsi="Bookman Old Style"/>
          <w:bCs/>
        </w:rPr>
        <w:t xml:space="preserve">costos medios históricos y/o los costos medios de mediano plazo, para el Mercado Relevante de Distribución para el Siguiente Período Tarifario, </w:t>
      </w:r>
      <w:r w:rsidR="007F3868" w:rsidRPr="00BF6B9C">
        <w:rPr>
          <w:rFonts w:ascii="Bookman Old Style" w:hAnsi="Bookman Old Style"/>
          <w:bCs/>
        </w:rPr>
        <w:t xml:space="preserve">y </w:t>
      </w:r>
      <w:r w:rsidR="00563C3D" w:rsidRPr="00BF6B9C">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rsidR="002E4DC3" w:rsidRPr="00BF6B9C" w:rsidRDefault="002E4DC3" w:rsidP="00341E8F">
      <w:pPr>
        <w:widowControl w:val="0"/>
        <w:adjustRightInd w:val="0"/>
        <w:ind w:left="0"/>
        <w:jc w:val="both"/>
        <w:rPr>
          <w:rFonts w:ascii="Bookman Old Style" w:hAnsi="Bookman Old Style" w:cs="Arial"/>
        </w:rPr>
      </w:pPr>
    </w:p>
    <w:p w:rsidR="0000682F" w:rsidRPr="00BF6B9C" w:rsidRDefault="0000682F" w:rsidP="00341E8F">
      <w:pPr>
        <w:widowControl w:val="0"/>
        <w:adjustRightInd w:val="0"/>
        <w:ind w:left="0"/>
        <w:jc w:val="both"/>
        <w:rPr>
          <w:rFonts w:ascii="Bookman Old Style" w:hAnsi="Bookman Old Style" w:cs="Arial"/>
        </w:rPr>
      </w:pPr>
      <w:r w:rsidRPr="00BF6B9C">
        <w:rPr>
          <w:rFonts w:ascii="Bookman Old Style" w:hAnsi="Bookman Old Style" w:cs="Arial"/>
        </w:rPr>
        <w:t>Mediante</w:t>
      </w:r>
      <w:r w:rsidR="007467F1" w:rsidRPr="00BF6B9C">
        <w:rPr>
          <w:rFonts w:ascii="Bookman Old Style" w:hAnsi="Bookman Old Style" w:cs="Arial"/>
        </w:rPr>
        <w:t xml:space="preserve"> la </w:t>
      </w:r>
      <w:r w:rsidR="00A44502" w:rsidRPr="00BF6B9C">
        <w:rPr>
          <w:rFonts w:ascii="Bookman Old Style" w:hAnsi="Bookman Old Style" w:cs="Arial"/>
        </w:rPr>
        <w:t xml:space="preserve">Resolución </w:t>
      </w:r>
      <w:r w:rsidRPr="00BF6B9C">
        <w:rPr>
          <w:rFonts w:ascii="Bookman Old Style" w:hAnsi="Bookman Old Style" w:cs="Arial"/>
        </w:rPr>
        <w:t>CREG 052 de 2014, Resolución CREG 138 de 2014, Resolución CREG 112 de 2015, Resolución CREG 125 de 2015 y Resolución CREG 141 de 2015 se modificó y adicionó</w:t>
      </w:r>
      <w:r w:rsidR="00A44502" w:rsidRPr="00BF6B9C">
        <w:rPr>
          <w:rFonts w:ascii="Bookman Old Style" w:hAnsi="Bookman Old Style" w:cs="Arial"/>
        </w:rPr>
        <w:t xml:space="preserve"> la Resolución CREG 202 de 2013.</w:t>
      </w:r>
    </w:p>
    <w:p w:rsidR="004355FC" w:rsidRPr="00BF6B9C" w:rsidRDefault="004355FC" w:rsidP="00341E8F">
      <w:pPr>
        <w:widowControl w:val="0"/>
        <w:adjustRightInd w:val="0"/>
        <w:ind w:left="0"/>
        <w:jc w:val="both"/>
        <w:rPr>
          <w:rFonts w:ascii="Bookman Old Style" w:hAnsi="Bookman Old Style"/>
        </w:rPr>
      </w:pPr>
    </w:p>
    <w:p w:rsidR="001C24F8" w:rsidRPr="00BF6B9C" w:rsidRDefault="001C24F8" w:rsidP="00341E8F">
      <w:pPr>
        <w:ind w:left="0"/>
        <w:jc w:val="both"/>
        <w:rPr>
          <w:rFonts w:ascii="Bookman Old Style" w:hAnsi="Bookman Old Style" w:cs="Arial"/>
        </w:rPr>
      </w:pPr>
      <w:r w:rsidRPr="00BF6B9C">
        <w:rPr>
          <w:rFonts w:ascii="Bookman Old Style" w:hAnsi="Bookman Old Style"/>
          <w:lang w:val="es-ES_tradnl"/>
        </w:rPr>
        <w:t xml:space="preserve">Con la Resolución </w:t>
      </w:r>
      <w:r w:rsidRPr="00BF6B9C">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rsidR="001C24F8" w:rsidRPr="00BF6B9C" w:rsidRDefault="001C24F8" w:rsidP="00341E8F">
      <w:pPr>
        <w:widowControl w:val="0"/>
        <w:adjustRightInd w:val="0"/>
        <w:ind w:left="0"/>
        <w:jc w:val="both"/>
        <w:rPr>
          <w:rFonts w:ascii="Bookman Old Style" w:hAnsi="Bookman Old Style"/>
        </w:rPr>
      </w:pPr>
    </w:p>
    <w:p w:rsidR="001C24F8" w:rsidRPr="00BF6B9C" w:rsidRDefault="001C24F8" w:rsidP="00341E8F">
      <w:pPr>
        <w:ind w:left="0"/>
        <w:jc w:val="both"/>
        <w:rPr>
          <w:rFonts w:ascii="Bookman Old Style" w:hAnsi="Bookman Old Style" w:cs="Arial"/>
        </w:rPr>
      </w:pPr>
      <w:r w:rsidRPr="00BF6B9C">
        <w:rPr>
          <w:rFonts w:ascii="Bookman Old Style" w:hAnsi="Bookman Old Style"/>
        </w:rPr>
        <w:t xml:space="preserve">En la Resolución CREG 096 de 2015 </w:t>
      </w:r>
      <w:r w:rsidRPr="00BF6B9C">
        <w:rPr>
          <w:rFonts w:ascii="Bookman Old Style" w:hAnsi="Bookman Old Style" w:cs="Arial"/>
        </w:rPr>
        <w:t>se definen los valores de la prima por diferencias entre el esquema de remuneración del mercado de referencia y el esquema aplicado en Colombia (</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BF6B9C">
        <w:rPr>
          <w:rFonts w:ascii="Bookman Old Style" w:hAnsi="Bookman Old Style" w:cs="Arial"/>
        </w:rPr>
        <w:t xml:space="preserve">) y la tasa de descuento para la actividad de distribución de gas combustible.  </w:t>
      </w:r>
    </w:p>
    <w:p w:rsidR="001C24F8" w:rsidRPr="00BF6B9C" w:rsidRDefault="001C24F8" w:rsidP="00341E8F">
      <w:pPr>
        <w:widowControl w:val="0"/>
        <w:adjustRightInd w:val="0"/>
        <w:ind w:left="0"/>
        <w:jc w:val="both"/>
        <w:rPr>
          <w:rFonts w:ascii="Bookman Old Style" w:hAnsi="Bookman Old Style"/>
        </w:rPr>
      </w:pPr>
    </w:p>
    <w:p w:rsidR="0000682F" w:rsidRPr="00BF6B9C" w:rsidRDefault="0000682F" w:rsidP="00341E8F">
      <w:pPr>
        <w:widowControl w:val="0"/>
        <w:adjustRightInd w:val="0"/>
        <w:ind w:left="0"/>
        <w:jc w:val="both"/>
        <w:rPr>
          <w:rFonts w:ascii="Bookman Old Style" w:hAnsi="Bookman Old Style" w:cs="Arial"/>
        </w:rPr>
      </w:pPr>
      <w:r w:rsidRPr="00BF6B9C">
        <w:rPr>
          <w:rFonts w:ascii="Bookman Old Style" w:hAnsi="Bookman Old Style" w:cs="Arial"/>
        </w:rPr>
        <w:t>Por medio de la Circular CREG 105 de 2015 se publicó el documento CREG No.</w:t>
      </w:r>
      <w:r w:rsidR="00462211" w:rsidRPr="00BF6B9C">
        <w:rPr>
          <w:rFonts w:ascii="Bookman Old Style" w:hAnsi="Bookman Old Style" w:cs="Arial"/>
        </w:rPr>
        <w:t xml:space="preserve"> </w:t>
      </w:r>
      <w:r w:rsidRPr="00BF6B9C">
        <w:rPr>
          <w:rFonts w:ascii="Bookman Old Style" w:hAnsi="Bookman Old Style" w:cs="Arial"/>
        </w:rPr>
        <w:t xml:space="preserve">095 de 2015, que contiene la definición de las funciones óptimas para determinar la remuneración de los gastos de Administración, Operación  y Mantenimiento </w:t>
      </w:r>
      <w:r w:rsidR="00462211" w:rsidRPr="00BF6B9C">
        <w:rPr>
          <w:rFonts w:ascii="Bookman Old Style" w:hAnsi="Bookman Old Style" w:cs="Arial"/>
        </w:rPr>
        <w:t>–</w:t>
      </w:r>
      <w:r w:rsidRPr="00BF6B9C">
        <w:rPr>
          <w:rFonts w:ascii="Bookman Old Style" w:hAnsi="Bookman Old Style" w:cs="Arial"/>
        </w:rPr>
        <w:t>AOM</w:t>
      </w:r>
      <w:r w:rsidR="00462211" w:rsidRPr="00BF6B9C">
        <w:rPr>
          <w:rFonts w:ascii="Bookman Old Style" w:hAnsi="Bookman Old Style" w:cs="Arial"/>
        </w:rPr>
        <w:t>–</w:t>
      </w:r>
      <w:r w:rsidRPr="00BF6B9C">
        <w:rPr>
          <w:rFonts w:ascii="Bookman Old Style" w:hAnsi="Bookman Old Style" w:cs="Arial"/>
        </w:rPr>
        <w:t xml:space="preserve"> de las actividades de distribución y comercialización de gas combustible por redes de tubería y de Otros Activos para la actividad de distribución conforme a lo definido en el anexo 9 y 10 de la </w:t>
      </w:r>
      <w:r w:rsidR="00A91BF5" w:rsidRPr="00BF6B9C">
        <w:rPr>
          <w:rFonts w:ascii="Bookman Old Style" w:hAnsi="Bookman Old Style" w:cs="Arial"/>
        </w:rPr>
        <w:t>R</w:t>
      </w:r>
      <w:r w:rsidRPr="00BF6B9C">
        <w:rPr>
          <w:rFonts w:ascii="Bookman Old Style" w:hAnsi="Bookman Old Style" w:cs="Arial"/>
        </w:rPr>
        <w:t>esolución CREG 202 de 2013.</w:t>
      </w:r>
    </w:p>
    <w:p w:rsidR="0000682F" w:rsidRPr="00BF6B9C" w:rsidRDefault="0000682F" w:rsidP="00341E8F">
      <w:pPr>
        <w:ind w:left="0"/>
        <w:jc w:val="both"/>
        <w:rPr>
          <w:rFonts w:ascii="Bookman Old Style" w:eastAsia="MS Mincho" w:hAnsi="Bookman Old Style" w:cs="Arial"/>
          <w:lang w:val="es-ES_tradnl" w:eastAsia="en-US"/>
        </w:rPr>
      </w:pPr>
    </w:p>
    <w:p w:rsidR="0000682F" w:rsidRPr="00BF6B9C" w:rsidRDefault="0000682F" w:rsidP="00341E8F">
      <w:pPr>
        <w:widowControl w:val="0"/>
        <w:adjustRightInd w:val="0"/>
        <w:ind w:left="0"/>
        <w:jc w:val="both"/>
        <w:rPr>
          <w:rFonts w:ascii="Bookman Old Style" w:hAnsi="Bookman Old Style" w:cs="Arial"/>
        </w:rPr>
      </w:pPr>
      <w:r w:rsidRPr="00BF6B9C">
        <w:rPr>
          <w:rFonts w:ascii="Bookman Old Style" w:hAnsi="Bookman Old Style" w:cs="Arial"/>
        </w:rPr>
        <w:t>A través de la Circular CREG 111 de 2015 y conforme a lo definido en la Resolución CREG 141 de 2015</w:t>
      </w:r>
      <w:r w:rsidR="00341E8F" w:rsidRPr="00BF6B9C">
        <w:rPr>
          <w:rFonts w:ascii="Bookman Old Style" w:hAnsi="Bookman Old Style" w:cs="Arial"/>
        </w:rPr>
        <w:t>,</w:t>
      </w:r>
      <w:r w:rsidRPr="00BF6B9C">
        <w:rPr>
          <w:rFonts w:ascii="Bookman Old Style" w:hAnsi="Bookman Old Style" w:cs="Arial"/>
        </w:rPr>
        <w:t xml:space="preserve"> la cual modifica la Resolución CREG 202 de 2013, se definió el cronograma comprendido entre el periodo del 7 al 30 de octubre de 2015 para que las empresas que prestan servicio</w:t>
      </w:r>
      <w:r w:rsidR="00341E8F" w:rsidRPr="00BF6B9C">
        <w:rPr>
          <w:rFonts w:ascii="Bookman Old Style" w:hAnsi="Bookman Old Style" w:cs="Arial"/>
        </w:rPr>
        <w:t xml:space="preserve"> de gas combustible por redes</w:t>
      </w:r>
      <w:r w:rsidRPr="00BF6B9C">
        <w:rPr>
          <w:rFonts w:ascii="Bookman Old Style" w:hAnsi="Bookman Old Style" w:cs="Arial"/>
        </w:rPr>
        <w:t xml:space="preserve"> en mercados relevantes de distribución que cumplieron periodo tarifario realizaran el proceso de reporte de información correspondiente a las solicitudes de cargos de distribución de gas combustible por redes de tubería</w:t>
      </w:r>
      <w:r w:rsidR="009B3836" w:rsidRPr="00BF6B9C">
        <w:rPr>
          <w:rFonts w:ascii="Bookman Old Style" w:hAnsi="Bookman Old Style" w:cs="Arial"/>
        </w:rPr>
        <w:t xml:space="preserve"> para los mercados existentes de distribución que concluyeron periodo tarifario o que no hayan cumplido pero que decidieron acogerse a lo establecido en el numeral 6.5. de la Resolución CREG 202 de 2013.</w:t>
      </w:r>
    </w:p>
    <w:p w:rsidR="00B16275" w:rsidRPr="00BF6B9C" w:rsidRDefault="00B16275" w:rsidP="00341E8F">
      <w:pPr>
        <w:widowControl w:val="0"/>
        <w:adjustRightInd w:val="0"/>
        <w:ind w:left="0"/>
        <w:jc w:val="both"/>
        <w:rPr>
          <w:rFonts w:ascii="Bookman Old Style" w:hAnsi="Bookman Old Style" w:cs="Arial"/>
        </w:rPr>
      </w:pPr>
    </w:p>
    <w:p w:rsidR="00E43298" w:rsidRPr="00BF6B9C" w:rsidRDefault="00E43298" w:rsidP="00E6146A">
      <w:pPr>
        <w:widowControl w:val="0"/>
        <w:adjustRightInd w:val="0"/>
        <w:ind w:left="0"/>
        <w:jc w:val="both"/>
        <w:rPr>
          <w:rFonts w:ascii="Bookman Old Style" w:hAnsi="Bookman Old Style" w:cs="Arial"/>
        </w:rPr>
      </w:pPr>
    </w:p>
    <w:p w:rsidR="00E6146A" w:rsidRPr="00BF6B9C" w:rsidRDefault="00E6146A" w:rsidP="00E6146A">
      <w:pPr>
        <w:widowControl w:val="0"/>
        <w:adjustRightInd w:val="0"/>
        <w:ind w:left="0"/>
        <w:jc w:val="both"/>
        <w:rPr>
          <w:rFonts w:ascii="Bookman Old Style" w:hAnsi="Bookman Old Style" w:cs="Arial"/>
          <w:lang w:val="es-ES_tradnl"/>
        </w:rPr>
      </w:pPr>
      <w:r w:rsidRPr="00BF6B9C">
        <w:rPr>
          <w:rFonts w:ascii="Bookman Old Style" w:hAnsi="Bookman Old Style" w:cs="Arial"/>
        </w:rPr>
        <w:t xml:space="preserve">Mediante la Resolución CREG </w:t>
      </w:r>
      <w:r w:rsidR="00601622" w:rsidRPr="00BF6B9C">
        <w:rPr>
          <w:rFonts w:ascii="Bookman Old Style" w:hAnsi="Bookman Old Style" w:cs="Arial"/>
        </w:rPr>
        <w:t>093</w:t>
      </w:r>
      <w:r w:rsidRPr="00BF6B9C">
        <w:rPr>
          <w:rFonts w:ascii="Bookman Old Style" w:hAnsi="Bookman Old Style" w:cs="Arial"/>
        </w:rPr>
        <w:t xml:space="preserve"> de </w:t>
      </w:r>
      <w:r w:rsidR="00601622" w:rsidRPr="00BF6B9C">
        <w:rPr>
          <w:rFonts w:ascii="Bookman Old Style" w:hAnsi="Bookman Old Style" w:cs="Arial"/>
        </w:rPr>
        <w:t>2016</w:t>
      </w:r>
      <w:r w:rsidRPr="00BF6B9C">
        <w:rPr>
          <w:rFonts w:ascii="Bookman Old Style" w:hAnsi="Bookman Old Style" w:cs="Arial"/>
        </w:rPr>
        <w:t xml:space="preserve"> de julio de 2016, se revocó parcialmente la Resolución CREG 202 de 2013, modificada por las Resoluciones CREG 138 de 2014 y 125 de 2015.</w:t>
      </w:r>
    </w:p>
    <w:p w:rsidR="008F1713" w:rsidRPr="00BF6B9C" w:rsidRDefault="008F1713" w:rsidP="00341E8F">
      <w:pPr>
        <w:widowControl w:val="0"/>
        <w:adjustRightInd w:val="0"/>
        <w:ind w:left="0"/>
        <w:jc w:val="both"/>
        <w:rPr>
          <w:rFonts w:ascii="Bookman Old Style" w:hAnsi="Bookman Old Style" w:cs="Arial"/>
        </w:rPr>
      </w:pPr>
    </w:p>
    <w:p w:rsidR="00A51D8F" w:rsidRPr="00BF6B9C" w:rsidRDefault="006328A4" w:rsidP="00F36B65">
      <w:pPr>
        <w:widowControl w:val="0"/>
        <w:numPr>
          <w:ilvl w:val="0"/>
          <w:numId w:val="2"/>
        </w:numPr>
        <w:adjustRightInd w:val="0"/>
        <w:ind w:left="567" w:hanging="567"/>
        <w:jc w:val="both"/>
        <w:rPr>
          <w:rFonts w:ascii="Bookman Old Style" w:hAnsi="Bookman Old Style" w:cs="Arial"/>
          <w:b/>
        </w:rPr>
      </w:pPr>
      <w:r w:rsidRPr="00BF6B9C">
        <w:rPr>
          <w:rFonts w:ascii="Bookman Old Style" w:hAnsi="Bookman Old Style" w:cs="Arial"/>
          <w:b/>
        </w:rPr>
        <w:t xml:space="preserve"> </w:t>
      </w:r>
      <w:r w:rsidR="00A51D8F" w:rsidRPr="00BF6B9C">
        <w:rPr>
          <w:rFonts w:ascii="Bookman Old Style" w:hAnsi="Bookman Old Style" w:cs="Arial"/>
          <w:b/>
        </w:rPr>
        <w:t>Trámite de la actuación administrativa</w:t>
      </w:r>
    </w:p>
    <w:p w:rsidR="0035059A" w:rsidRPr="00BF6B9C" w:rsidRDefault="0035059A" w:rsidP="00341E8F">
      <w:pPr>
        <w:widowControl w:val="0"/>
        <w:adjustRightInd w:val="0"/>
        <w:ind w:left="0" w:right="20"/>
        <w:jc w:val="both"/>
        <w:rPr>
          <w:rFonts w:ascii="Bookman Old Style" w:hAnsi="Bookman Old Style"/>
          <w:sz w:val="20"/>
        </w:rPr>
      </w:pPr>
    </w:p>
    <w:p w:rsidR="0035059A" w:rsidRPr="00BF6B9C" w:rsidRDefault="0035059A" w:rsidP="00341E8F">
      <w:pPr>
        <w:widowControl w:val="0"/>
        <w:adjustRightInd w:val="0"/>
        <w:ind w:left="0" w:right="20"/>
        <w:jc w:val="both"/>
        <w:rPr>
          <w:rFonts w:ascii="Bookman Old Style" w:hAnsi="Bookman Old Style"/>
        </w:rPr>
      </w:pPr>
      <w:r w:rsidRPr="00BF6B9C">
        <w:rPr>
          <w:rFonts w:ascii="Bookman Old Style" w:hAnsi="Bookman Old Style"/>
        </w:rPr>
        <w:t xml:space="preserve">La empresa PROMOTORA DE SERVICIOS PÚBLICOS </w:t>
      </w:r>
      <w:r w:rsidRPr="00BF6B9C">
        <w:rPr>
          <w:rFonts w:ascii="Bookman Old Style" w:hAnsi="Bookman Old Style" w:cs="Arial"/>
        </w:rPr>
        <w:t>S.A. E.S.P., mediante la comunicación con radicado interno CREG E-2015-013808 de fecha 23 de diciembre de 2015, remite copia del radicado de la UPME donde consta la entrega para la evaluación de dicha entidad de la metodología para la determinación de la demanda de gas domiciliario por redes para el mercado conformado por el municipio de Cáchira en el departamento de Norte de Santander.</w:t>
      </w:r>
    </w:p>
    <w:p w:rsidR="0035059A" w:rsidRPr="00BF6B9C" w:rsidRDefault="0035059A" w:rsidP="00341E8F">
      <w:pPr>
        <w:widowControl w:val="0"/>
        <w:adjustRightInd w:val="0"/>
        <w:ind w:left="0" w:right="20"/>
        <w:jc w:val="both"/>
        <w:rPr>
          <w:rFonts w:ascii="Bookman Old Style" w:hAnsi="Bookman Old Style"/>
          <w:sz w:val="18"/>
        </w:rPr>
      </w:pPr>
    </w:p>
    <w:p w:rsidR="005873FD" w:rsidRPr="00BF6B9C" w:rsidRDefault="005873FD" w:rsidP="00341E8F">
      <w:pPr>
        <w:widowControl w:val="0"/>
        <w:adjustRightInd w:val="0"/>
        <w:ind w:left="0" w:right="20"/>
        <w:jc w:val="both"/>
        <w:rPr>
          <w:rFonts w:ascii="Bookman Old Style" w:hAnsi="Bookman Old Style"/>
        </w:rPr>
      </w:pPr>
      <w:r w:rsidRPr="00BF6B9C">
        <w:rPr>
          <w:rFonts w:ascii="Bookman Old Style" w:hAnsi="Bookman Old Style" w:cs="Arial"/>
        </w:rPr>
        <w:t xml:space="preserve">La empresa </w:t>
      </w:r>
      <w:r w:rsidR="006D2B6B" w:rsidRPr="00BF6B9C">
        <w:rPr>
          <w:rFonts w:ascii="Bookman Old Style" w:hAnsi="Bookman Old Style"/>
        </w:rPr>
        <w:t>PROMOTORA DE SERVICIOS PÚBLICOS</w:t>
      </w:r>
      <w:r w:rsidR="00341E8F" w:rsidRPr="00BF6B9C">
        <w:rPr>
          <w:rFonts w:ascii="Bookman Old Style" w:hAnsi="Bookman Old Style"/>
        </w:rPr>
        <w:t xml:space="preserve"> </w:t>
      </w:r>
      <w:r w:rsidRPr="00BF6B9C">
        <w:rPr>
          <w:rFonts w:ascii="Bookman Old Style" w:hAnsi="Bookman Old Style" w:cs="Arial"/>
        </w:rPr>
        <w:t xml:space="preserve">S.A. E.S.P. mediante comunicación con radicado CREG </w:t>
      </w:r>
      <w:r w:rsidRPr="00BF6B9C">
        <w:rPr>
          <w:rFonts w:ascii="Bookman Old Style" w:hAnsi="Bookman Old Style"/>
        </w:rPr>
        <w:t>bajo el número E-201</w:t>
      </w:r>
      <w:r w:rsidR="00EF6BDC" w:rsidRPr="00BF6B9C">
        <w:rPr>
          <w:rFonts w:ascii="Bookman Old Style" w:hAnsi="Bookman Old Style"/>
        </w:rPr>
        <w:t>5</w:t>
      </w:r>
      <w:r w:rsidRPr="00BF6B9C">
        <w:rPr>
          <w:rFonts w:ascii="Bookman Old Style" w:hAnsi="Bookman Old Style"/>
        </w:rPr>
        <w:t>-</w:t>
      </w:r>
      <w:r w:rsidR="0035059A" w:rsidRPr="00BF6B9C">
        <w:rPr>
          <w:rFonts w:ascii="Bookman Old Style" w:hAnsi="Bookman Old Style"/>
        </w:rPr>
        <w:t>013809</w:t>
      </w:r>
      <w:r w:rsidRPr="00BF6B9C">
        <w:rPr>
          <w:rFonts w:ascii="Bookman Old Style" w:hAnsi="Bookman Old Style" w:cs="Arial"/>
        </w:rPr>
        <w:t>,</w:t>
      </w:r>
      <w:r w:rsidRPr="00BF6B9C">
        <w:rPr>
          <w:rFonts w:ascii="Bookman Old Style" w:hAnsi="Bookman Old Style"/>
        </w:rPr>
        <w:t xml:space="preserve"> con base en lo establecido en las resoluciones CREG 202 de 2013 y sus modificaciones y adiciones,</w:t>
      </w:r>
      <w:r w:rsidRPr="00BF6B9C">
        <w:rPr>
          <w:rFonts w:ascii="Bookman Old Style" w:hAnsi="Bookman Old Style" w:cs="Arial"/>
        </w:rPr>
        <w:t xml:space="preserve"> solicitó la aprobación de los cargos de distribución </w:t>
      </w:r>
      <w:r w:rsidRPr="00BF6B9C">
        <w:rPr>
          <w:rFonts w:ascii="Bookman Old Style" w:hAnsi="Bookman Old Style"/>
        </w:rPr>
        <w:t xml:space="preserve">de </w:t>
      </w:r>
      <w:r w:rsidR="00886F37" w:rsidRPr="00BF6B9C">
        <w:rPr>
          <w:rFonts w:ascii="Bookman Old Style" w:hAnsi="Bookman Old Style"/>
        </w:rPr>
        <w:t>gas combustible por</w:t>
      </w:r>
      <w:r w:rsidRPr="00BF6B9C">
        <w:rPr>
          <w:rFonts w:ascii="Bookman Old Style" w:hAnsi="Bookman Old Style"/>
        </w:rPr>
        <w:t xml:space="preserve"> redes</w:t>
      </w:r>
      <w:r w:rsidR="00886F37" w:rsidRPr="00BF6B9C">
        <w:rPr>
          <w:rFonts w:ascii="Bookman Old Style" w:hAnsi="Bookman Old Style"/>
        </w:rPr>
        <w:t xml:space="preserve"> de tubería</w:t>
      </w:r>
      <w:r w:rsidRPr="00BF6B9C">
        <w:rPr>
          <w:rFonts w:ascii="Bookman Old Style" w:hAnsi="Bookman Old Style"/>
        </w:rPr>
        <w:t xml:space="preserve">, para el mercado relevante </w:t>
      </w:r>
      <w:r w:rsidR="00886F37" w:rsidRPr="00BF6B9C">
        <w:rPr>
          <w:rFonts w:ascii="Bookman Old Style" w:hAnsi="Bookman Old Style"/>
        </w:rPr>
        <w:t xml:space="preserve">de distribución para el siguiente periodo tarifario </w:t>
      </w:r>
      <w:r w:rsidRPr="00BF6B9C">
        <w:rPr>
          <w:rFonts w:ascii="Bookman Old Style" w:hAnsi="Bookman Old Style"/>
        </w:rPr>
        <w:t>conformado por los siguientes municipios:</w:t>
      </w:r>
    </w:p>
    <w:p w:rsidR="005873FD" w:rsidRPr="00BF6B9C" w:rsidRDefault="005873FD" w:rsidP="00341E8F">
      <w:pPr>
        <w:widowControl w:val="0"/>
        <w:adjustRightInd w:val="0"/>
        <w:ind w:left="0" w:right="20"/>
        <w:jc w:val="both"/>
        <w:rPr>
          <w:rFonts w:ascii="Bookman Old Style" w:hAnsi="Bookman Old Sty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5"/>
        <w:gridCol w:w="3146"/>
      </w:tblGrid>
      <w:tr w:rsidR="005873FD" w:rsidRPr="00BF6B9C" w:rsidTr="0009160F">
        <w:tc>
          <w:tcPr>
            <w:tcW w:w="2268" w:type="dxa"/>
            <w:tcBorders>
              <w:top w:val="single" w:sz="4" w:space="0" w:color="auto"/>
              <w:left w:val="single" w:sz="4" w:space="0" w:color="auto"/>
              <w:bottom w:val="single" w:sz="4" w:space="0" w:color="auto"/>
              <w:right w:val="single" w:sz="4" w:space="0" w:color="auto"/>
            </w:tcBorders>
            <w:shd w:val="clear" w:color="auto" w:fill="BFBFBF"/>
            <w:hideMark/>
          </w:tcPr>
          <w:p w:rsidR="005873FD" w:rsidRPr="00BF6B9C" w:rsidRDefault="005873FD"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hideMark/>
          </w:tcPr>
          <w:p w:rsidR="005873FD" w:rsidRPr="00BF6B9C" w:rsidRDefault="005873FD"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hideMark/>
          </w:tcPr>
          <w:p w:rsidR="005873FD" w:rsidRPr="00BF6B9C" w:rsidRDefault="005873FD"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DEPARTAMENTO</w:t>
            </w:r>
          </w:p>
        </w:tc>
      </w:tr>
      <w:tr w:rsidR="005873FD" w:rsidRPr="00BF6B9C" w:rsidTr="0009160F">
        <w:tc>
          <w:tcPr>
            <w:tcW w:w="2268"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6D2B6B"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54128</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6D2B6B"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Cáchira</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6D2B6B"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Norte de Santander</w:t>
            </w:r>
          </w:p>
        </w:tc>
      </w:tr>
    </w:tbl>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widowControl w:val="0"/>
        <w:adjustRightInd w:val="0"/>
        <w:ind w:left="0" w:right="20"/>
        <w:jc w:val="both"/>
        <w:rPr>
          <w:rFonts w:ascii="Bookman Old Style" w:hAnsi="Bookman Old Style" w:cs="Arial"/>
        </w:rPr>
      </w:pPr>
      <w:r w:rsidRPr="00BF6B9C">
        <w:rPr>
          <w:rFonts w:ascii="Bookman Old Style" w:hAnsi="Bookman Old Style" w:cs="Arial"/>
        </w:rPr>
        <w:t>En la mencionada comunicación se allegaron l</w:t>
      </w:r>
      <w:r w:rsidR="00886F37" w:rsidRPr="00BF6B9C">
        <w:rPr>
          <w:rFonts w:ascii="Bookman Old Style" w:hAnsi="Bookman Old Style" w:cs="Arial"/>
        </w:rPr>
        <w:t xml:space="preserve">os datos de demanda </w:t>
      </w:r>
      <w:r w:rsidRPr="00BF6B9C">
        <w:rPr>
          <w:rFonts w:ascii="Bookman Old Style" w:hAnsi="Bookman Old Style" w:cs="Arial"/>
        </w:rPr>
        <w:t xml:space="preserve">, </w:t>
      </w:r>
      <w:r w:rsidR="00886F37" w:rsidRPr="00BF6B9C">
        <w:rPr>
          <w:rFonts w:ascii="Bookman Old Style" w:hAnsi="Bookman Old Style" w:cs="Arial"/>
        </w:rPr>
        <w:t xml:space="preserve">gastos de administración operación y mantenimiento AOM y las inversiones </w:t>
      </w:r>
      <w:r w:rsidRPr="00BF6B9C">
        <w:rPr>
          <w:rFonts w:ascii="Bookman Old Style" w:hAnsi="Bookman Old Style" w:cs="Arial"/>
        </w:rPr>
        <w:t>clasificadas según el listado de unidades constructivas establecido en el Anexo No.</w:t>
      </w:r>
      <w:r w:rsidR="00886F37" w:rsidRPr="00BF6B9C">
        <w:rPr>
          <w:rFonts w:ascii="Bookman Old Style" w:hAnsi="Bookman Old Style" w:cs="Arial"/>
        </w:rPr>
        <w:t xml:space="preserve"> 4,5, 6 y </w:t>
      </w:r>
      <w:r w:rsidRPr="00BF6B9C">
        <w:rPr>
          <w:rFonts w:ascii="Bookman Old Style" w:hAnsi="Bookman Old Style" w:cs="Arial"/>
        </w:rPr>
        <w:t xml:space="preserve"> 8 de la Resolución CREG 202 de 2013.</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Igualmente, </w:t>
      </w:r>
      <w:r w:rsidR="00341E8F" w:rsidRPr="00BF6B9C">
        <w:rPr>
          <w:rFonts w:ascii="Bookman Old Style" w:hAnsi="Bookman Old Style" w:cs="Arial"/>
        </w:rPr>
        <w:t xml:space="preserve">dentro de la solicitud tarifaria </w:t>
      </w:r>
      <w:r w:rsidRPr="00BF6B9C">
        <w:rPr>
          <w:rFonts w:ascii="Bookman Old Style" w:hAnsi="Bookman Old Style" w:cs="Arial"/>
        </w:rPr>
        <w:t xml:space="preserve">la empresa </w:t>
      </w:r>
      <w:r w:rsidR="006D2B6B" w:rsidRPr="00BF6B9C">
        <w:rPr>
          <w:rFonts w:ascii="Bookman Old Style" w:hAnsi="Bookman Old Style" w:cs="Arial"/>
        </w:rPr>
        <w:t>PROMOTORA DE SERVICIOS PÚBLICOS</w:t>
      </w:r>
      <w:r w:rsidR="00534F49" w:rsidRPr="00BF6B9C">
        <w:rPr>
          <w:rFonts w:ascii="Bookman Old Style" w:hAnsi="Bookman Old Style" w:cs="Arial"/>
        </w:rPr>
        <w:t xml:space="preserve"> </w:t>
      </w:r>
      <w:r w:rsidRPr="00BF6B9C">
        <w:rPr>
          <w:rFonts w:ascii="Bookman Old Style" w:hAnsi="Bookman Old Style" w:cs="Arial"/>
        </w:rPr>
        <w:t>S.A. E.S.P. inform</w:t>
      </w:r>
      <w:r w:rsidR="00341E8F" w:rsidRPr="00BF6B9C">
        <w:rPr>
          <w:rFonts w:ascii="Bookman Old Style" w:hAnsi="Bookman Old Style" w:cs="Arial"/>
        </w:rPr>
        <w:t>ó</w:t>
      </w:r>
      <w:r w:rsidRPr="00BF6B9C">
        <w:rPr>
          <w:rFonts w:ascii="Bookman Old Style" w:hAnsi="Bookman Old Style" w:cs="Arial"/>
        </w:rPr>
        <w:t xml:space="preserve">  que el proyecto cuenta con recursos de</w:t>
      </w:r>
      <w:r w:rsidR="00AF600C" w:rsidRPr="00BF6B9C">
        <w:rPr>
          <w:rFonts w:ascii="Bookman Old Style" w:hAnsi="Bookman Old Style" w:cs="Arial"/>
        </w:rPr>
        <w:t xml:space="preserve"> la Alcaldía Municipal de Cáchira, </w:t>
      </w:r>
      <w:r w:rsidRPr="00BF6B9C">
        <w:rPr>
          <w:rFonts w:ascii="Bookman Old Style" w:hAnsi="Bookman Old Style" w:cs="Arial"/>
        </w:rPr>
        <w:t xml:space="preserve">para la construcción de infraestructura de distribución </w:t>
      </w:r>
      <w:r w:rsidR="00886F37" w:rsidRPr="00BF6B9C">
        <w:rPr>
          <w:rFonts w:ascii="Bookman Old Style" w:hAnsi="Bookman Old Style" w:cs="Arial"/>
        </w:rPr>
        <w:t xml:space="preserve">de gas </w:t>
      </w:r>
      <w:r w:rsidRPr="00BF6B9C">
        <w:rPr>
          <w:rFonts w:ascii="Bookman Old Style" w:hAnsi="Bookman Old Style" w:cs="Arial"/>
        </w:rPr>
        <w:t xml:space="preserve">por redes para el municipio de </w:t>
      </w:r>
      <w:r w:rsidR="00AF600C" w:rsidRPr="00BF6B9C">
        <w:rPr>
          <w:rFonts w:ascii="Bookman Old Style" w:hAnsi="Bookman Old Style" w:cs="Arial"/>
        </w:rPr>
        <w:t>Cáchira</w:t>
      </w:r>
      <w:r w:rsidRPr="00BF6B9C">
        <w:rPr>
          <w:rFonts w:ascii="Bookman Old Style" w:hAnsi="Bookman Old Style" w:cs="Arial"/>
        </w:rPr>
        <w:t xml:space="preserve">, departamento </w:t>
      </w:r>
      <w:r w:rsidR="00AF600C" w:rsidRPr="00BF6B9C">
        <w:rPr>
          <w:rFonts w:ascii="Bookman Old Style" w:hAnsi="Bookman Old Style" w:cs="Arial"/>
        </w:rPr>
        <w:t>de</w:t>
      </w:r>
      <w:r w:rsidRPr="00BF6B9C">
        <w:rPr>
          <w:rFonts w:ascii="Bookman Old Style" w:hAnsi="Bookman Old Style" w:cs="Arial"/>
        </w:rPr>
        <w:t xml:space="preserve"> </w:t>
      </w:r>
      <w:r w:rsidR="00AF600C" w:rsidRPr="00BF6B9C">
        <w:rPr>
          <w:rFonts w:ascii="Bookman Old Style" w:hAnsi="Bookman Old Style" w:cs="Arial"/>
        </w:rPr>
        <w:t>Norte de Santander</w:t>
      </w:r>
      <w:r w:rsidRPr="00BF6B9C">
        <w:rPr>
          <w:rFonts w:ascii="Bookman Old Style" w:hAnsi="Bookman Old Style" w:cs="Arial"/>
        </w:rPr>
        <w:t>, con un monto de $</w:t>
      </w:r>
      <w:r w:rsidR="00AF600C" w:rsidRPr="00BF6B9C">
        <w:rPr>
          <w:rFonts w:ascii="Bookman Old Style" w:hAnsi="Bookman Old Style" w:cs="Arial"/>
        </w:rPr>
        <w:t xml:space="preserve">300.000.000,00 </w:t>
      </w:r>
      <w:r w:rsidR="009B3836" w:rsidRPr="00BF6B9C">
        <w:rPr>
          <w:rFonts w:ascii="Bookman Old Style" w:hAnsi="Bookman Old Style" w:cs="Arial"/>
        </w:rPr>
        <w:t xml:space="preserve">a pesos de </w:t>
      </w:r>
      <w:r w:rsidR="00AF600C" w:rsidRPr="00BF6B9C">
        <w:rPr>
          <w:rFonts w:ascii="Bookman Old Style" w:hAnsi="Bookman Old Style" w:cs="Arial"/>
        </w:rPr>
        <w:t xml:space="preserve">junio </w:t>
      </w:r>
      <w:r w:rsidR="009B3836" w:rsidRPr="00BF6B9C">
        <w:rPr>
          <w:rFonts w:ascii="Bookman Old Style" w:hAnsi="Bookman Old Style" w:cs="Arial"/>
        </w:rPr>
        <w:t xml:space="preserve">de </w:t>
      </w:r>
      <w:r w:rsidR="00AF600C" w:rsidRPr="00BF6B9C">
        <w:rPr>
          <w:rFonts w:ascii="Bookman Old Style" w:hAnsi="Bookman Old Style" w:cs="Arial"/>
        </w:rPr>
        <w:t>2015</w:t>
      </w:r>
      <w:r w:rsidR="009B3836" w:rsidRPr="00BF6B9C">
        <w:rPr>
          <w:rFonts w:ascii="Bookman Old Style" w:hAnsi="Bookman Old Style" w:cs="Arial"/>
        </w:rPr>
        <w:t>.</w:t>
      </w:r>
    </w:p>
    <w:p w:rsidR="005873FD" w:rsidRPr="00BF6B9C" w:rsidRDefault="005873FD" w:rsidP="00341E8F">
      <w:pPr>
        <w:widowControl w:val="0"/>
        <w:adjustRightInd w:val="0"/>
        <w:ind w:left="0" w:right="20"/>
        <w:jc w:val="both"/>
        <w:textAlignment w:val="baseline"/>
        <w:rPr>
          <w:rFonts w:ascii="Bookman Old Style" w:hAnsi="Bookman Old Style" w:cs="Arial"/>
          <w:sz w:val="20"/>
        </w:rPr>
      </w:pPr>
      <w:r w:rsidRPr="00BF6B9C">
        <w:rPr>
          <w:rFonts w:ascii="Bookman Old Style" w:hAnsi="Bookman Old Style" w:cs="Arial"/>
        </w:rPr>
        <w:t xml:space="preserve"> </w:t>
      </w:r>
    </w:p>
    <w:p w:rsidR="00341E8F" w:rsidRPr="00BF6B9C" w:rsidRDefault="005873FD" w:rsidP="00341E8F">
      <w:pPr>
        <w:pStyle w:val="NormalWeb"/>
        <w:spacing w:before="0" w:beforeAutospacing="0" w:after="0" w:afterAutospacing="0"/>
        <w:jc w:val="both"/>
        <w:rPr>
          <w:rFonts w:ascii="Bookman Old Style" w:hAnsi="Bookman Old Style" w:cs="Arial"/>
          <w:color w:val="auto"/>
        </w:rPr>
      </w:pPr>
      <w:r w:rsidRPr="00BF6B9C">
        <w:rPr>
          <w:rFonts w:ascii="Bookman Old Style" w:hAnsi="Bookman Old Style" w:cs="Arial"/>
        </w:rPr>
        <w:t xml:space="preserve">El numeral 87.9 del artículo 87 de la Ley 142 de 1994, </w:t>
      </w:r>
      <w:r w:rsidRPr="00BF6B9C">
        <w:rPr>
          <w:rFonts w:ascii="Bookman Old Style" w:hAnsi="Bookman Old Style" w:cs="Arial"/>
          <w:color w:val="auto"/>
        </w:rPr>
        <w:t>modificado por el artículo 99 de la Ley 1450 de 2011</w:t>
      </w:r>
      <w:r w:rsidR="00341E8F" w:rsidRPr="00BF6B9C">
        <w:rPr>
          <w:rStyle w:val="Refdenotaalpie"/>
          <w:rFonts w:ascii="Bookman Old Style" w:hAnsi="Bookman Old Style" w:cs="Arial"/>
          <w:color w:val="auto"/>
        </w:rPr>
        <w:footnoteReference w:id="1"/>
      </w:r>
      <w:r w:rsidR="00341E8F" w:rsidRPr="00BF6B9C">
        <w:rPr>
          <w:rFonts w:ascii="Bookman Old Style" w:hAnsi="Bookman Old Style" w:cs="Arial"/>
          <w:color w:val="auto"/>
        </w:rPr>
        <w:t>,</w:t>
      </w:r>
      <w:r w:rsidRPr="00BF6B9C">
        <w:rPr>
          <w:rFonts w:ascii="Bookman Old Style" w:hAnsi="Bookman Old Style" w:cs="Arial"/>
          <w:color w:val="auto"/>
        </w:rPr>
        <w:t xml:space="preserve"> determina que</w:t>
      </w:r>
      <w:r w:rsidR="00341E8F" w:rsidRPr="00BF6B9C">
        <w:rPr>
          <w:rFonts w:ascii="Bookman Old Style" w:hAnsi="Bookman Old Style" w:cs="Arial"/>
          <w:color w:val="auto"/>
        </w:rPr>
        <w:t>:</w:t>
      </w:r>
    </w:p>
    <w:p w:rsidR="00341E8F" w:rsidRPr="00BF6B9C" w:rsidRDefault="00341E8F" w:rsidP="00341E8F">
      <w:pPr>
        <w:pStyle w:val="NormalWeb"/>
        <w:spacing w:before="0" w:beforeAutospacing="0" w:after="0" w:afterAutospacing="0"/>
        <w:jc w:val="both"/>
        <w:rPr>
          <w:rFonts w:ascii="Bookman Old Style" w:hAnsi="Bookman Old Style" w:cs="Arial"/>
          <w:color w:val="auto"/>
          <w:sz w:val="20"/>
        </w:rPr>
      </w:pPr>
    </w:p>
    <w:p w:rsidR="005873FD" w:rsidRPr="00BF6B9C" w:rsidRDefault="005873FD" w:rsidP="00EA2219">
      <w:pPr>
        <w:pStyle w:val="NormalWeb"/>
        <w:spacing w:before="0" w:beforeAutospacing="0" w:after="0" w:afterAutospacing="0"/>
        <w:ind w:left="284" w:right="284"/>
        <w:jc w:val="both"/>
        <w:rPr>
          <w:rFonts w:ascii="Bookman Old Style" w:hAnsi="Bookman Old Style" w:cs="Arial"/>
          <w:color w:val="auto"/>
        </w:rPr>
      </w:pPr>
      <w:r w:rsidRPr="00BF6B9C">
        <w:rPr>
          <w:rFonts w:ascii="Bookman Old Style" w:hAnsi="Bookman Old Style" w:cs="Arial"/>
          <w:color w:val="auto"/>
        </w:rPr>
        <w:t xml:space="preserve"> “</w:t>
      </w:r>
      <w:r w:rsidRPr="00BF6B9C">
        <w:rPr>
          <w:rFonts w:ascii="Bookman Old Style" w:hAnsi="Bookman Old Style" w:cs="Arial"/>
          <w:i/>
          <w:iCs/>
          <w:color w:val="auto"/>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Pr="00BF6B9C">
        <w:rPr>
          <w:rFonts w:ascii="Bookman Old Style" w:hAnsi="Bookman Old Style" w:cs="Arial"/>
          <w:color w:val="auto"/>
        </w:rPr>
        <w:t xml:space="preserve">. </w:t>
      </w:r>
    </w:p>
    <w:p w:rsidR="00E8675F" w:rsidRPr="00BF6B9C" w:rsidRDefault="00E8675F" w:rsidP="00E8675F">
      <w:pPr>
        <w:widowControl w:val="0"/>
        <w:adjustRightInd w:val="0"/>
        <w:ind w:left="0" w:right="20"/>
        <w:jc w:val="both"/>
        <w:rPr>
          <w:rFonts w:ascii="Bookman Old Style" w:hAnsi="Bookman Old Style" w:cs="Arial"/>
        </w:rPr>
      </w:pPr>
    </w:p>
    <w:p w:rsidR="00F300D5" w:rsidRPr="00BF6B9C" w:rsidRDefault="00F300D5" w:rsidP="00E8675F">
      <w:pPr>
        <w:widowControl w:val="0"/>
        <w:adjustRightInd w:val="0"/>
        <w:ind w:left="0" w:right="20"/>
        <w:jc w:val="both"/>
        <w:rPr>
          <w:rFonts w:ascii="Bookman Old Style" w:hAnsi="Bookman Old Style" w:cs="Arial"/>
        </w:rPr>
      </w:pPr>
      <w:r w:rsidRPr="00BF6B9C">
        <w:rPr>
          <w:rFonts w:ascii="Bookman Old Style" w:hAnsi="Bookman Old Style" w:cs="Arial"/>
        </w:rPr>
        <w:t>A través del aplicativo ApliGas dispuesto por la CREG para el reporte de información de solicitudes tarifarias correspondiente, la empresa PROMOTORA DE SERVICIOS PÚBLICOS S.A. E.S.P. confirmó su solicitud con el número 1138.</w:t>
      </w:r>
    </w:p>
    <w:p w:rsidR="00F300D5" w:rsidRPr="00BF6B9C" w:rsidRDefault="00F300D5" w:rsidP="00E8675F">
      <w:pPr>
        <w:widowControl w:val="0"/>
        <w:adjustRightInd w:val="0"/>
        <w:ind w:left="0" w:right="20"/>
        <w:jc w:val="both"/>
        <w:rPr>
          <w:rFonts w:ascii="Bookman Old Style" w:hAnsi="Bookman Old Style" w:cs="Arial"/>
        </w:rPr>
      </w:pPr>
    </w:p>
    <w:p w:rsidR="00E8675F" w:rsidRPr="00BF6B9C" w:rsidRDefault="00E8675F" w:rsidP="00E8675F">
      <w:pPr>
        <w:widowControl w:val="0"/>
        <w:adjustRightInd w:val="0"/>
        <w:ind w:left="0" w:right="20"/>
        <w:jc w:val="both"/>
        <w:rPr>
          <w:rFonts w:ascii="Bookman Old Style" w:hAnsi="Bookman Old Style" w:cs="Arial"/>
        </w:rPr>
      </w:pPr>
      <w:r w:rsidRPr="00BF6B9C">
        <w:rPr>
          <w:rFonts w:ascii="Bookman Old Style" w:hAnsi="Bookman Old Style" w:cs="Arial"/>
        </w:rPr>
        <w:t>La Unidad de Planeación Minero Energética –UPME–, a través de la comunicación con radicado interno CREG E-2016-000888 de fecha 29 de enero de 2016, considera que la metodología de proyección de demanda de gas propuesta por la empresa PROMOTORA DE SERVICIOS PÚBLICOS S.A. E.S.P. cumple con los requerimientos contenidos en el Anexo 13 de la Resolución CREG 202 de 2013.</w:t>
      </w:r>
    </w:p>
    <w:p w:rsidR="00CF3E3F" w:rsidRPr="00BF6B9C" w:rsidRDefault="00CF3E3F" w:rsidP="00341E8F">
      <w:pPr>
        <w:pStyle w:val="NormalWeb"/>
        <w:spacing w:before="0" w:beforeAutospacing="0" w:after="0" w:afterAutospacing="0"/>
        <w:jc w:val="both"/>
        <w:rPr>
          <w:rFonts w:ascii="Bookman Old Style" w:hAnsi="Bookman Old Style" w:cs="Arial"/>
          <w:color w:val="auto"/>
        </w:rPr>
      </w:pPr>
    </w:p>
    <w:p w:rsidR="005873FD" w:rsidRPr="00BF6B9C" w:rsidRDefault="00CF3E3F" w:rsidP="00341E8F">
      <w:pPr>
        <w:pStyle w:val="NormalWeb"/>
        <w:spacing w:before="0" w:beforeAutospacing="0" w:after="0" w:afterAutospacing="0"/>
        <w:jc w:val="both"/>
        <w:rPr>
          <w:rFonts w:ascii="Bookman Old Style" w:hAnsi="Bookman Old Style" w:cs="Arial"/>
          <w:color w:val="auto"/>
        </w:rPr>
      </w:pPr>
      <w:r w:rsidRPr="00BF6B9C">
        <w:rPr>
          <w:rFonts w:ascii="Bookman Old Style" w:hAnsi="Bookman Old Style" w:cs="Arial"/>
          <w:color w:val="auto"/>
        </w:rPr>
        <w:t>Mediante oficio con radicado CREG S-2016-001144 del 9 de febrero de 2016, la Comisión solicitó a PROMOTORA DE SERVICIOS PÚBLICOS S.A. E.S.P. el envío de documentos (Resoluciones, Convenios, Actos administrativos, etc.) que soporten el otorgamiento de los recursos públicos para la financiación de infraestructura de distribución manifestados en la solicitud tarifaria.</w:t>
      </w:r>
    </w:p>
    <w:p w:rsidR="00CF3E3F" w:rsidRPr="00BF6B9C" w:rsidRDefault="00CF3E3F" w:rsidP="00341E8F">
      <w:pPr>
        <w:pStyle w:val="NormalWeb"/>
        <w:spacing w:before="0" w:beforeAutospacing="0" w:after="0" w:afterAutospacing="0"/>
        <w:jc w:val="both"/>
        <w:rPr>
          <w:rFonts w:ascii="Bookman Old Style" w:hAnsi="Bookman Old Style" w:cs="Arial"/>
          <w:color w:val="auto"/>
        </w:rPr>
      </w:pPr>
    </w:p>
    <w:p w:rsidR="00E8675F" w:rsidRPr="00BF6B9C" w:rsidRDefault="00E8675F" w:rsidP="00341E8F">
      <w:pPr>
        <w:pStyle w:val="NormalWeb"/>
        <w:spacing w:before="0" w:beforeAutospacing="0" w:after="0" w:afterAutospacing="0"/>
        <w:jc w:val="both"/>
        <w:rPr>
          <w:rFonts w:ascii="Bookman Old Style" w:hAnsi="Bookman Old Style" w:cs="Arial"/>
          <w:color w:val="auto"/>
        </w:rPr>
      </w:pPr>
      <w:r w:rsidRPr="00BF6B9C">
        <w:rPr>
          <w:rFonts w:ascii="Bookman Old Style" w:hAnsi="Bookman Old Style" w:cs="Arial"/>
          <w:color w:val="auto"/>
        </w:rPr>
        <w:t xml:space="preserve">La empresa PROMOTORA DE SERVICIOS PÚBLICOS S.A. E.S.P. remitió a la Comisión, mediante oficio con radicado CREG </w:t>
      </w:r>
      <w:r w:rsidR="00420042" w:rsidRPr="00BF6B9C">
        <w:rPr>
          <w:rFonts w:ascii="Bookman Old Style" w:hAnsi="Bookman Old Style" w:cs="Arial"/>
          <w:color w:val="auto"/>
        </w:rPr>
        <w:t>E-2016-002501 del 10 de marzo de 2016, la información solicitada mediante el radicado CREG S-2016-001144.</w:t>
      </w:r>
    </w:p>
    <w:p w:rsidR="00E8675F" w:rsidRPr="00BF6B9C" w:rsidRDefault="00E8675F" w:rsidP="00341E8F">
      <w:pPr>
        <w:pStyle w:val="NormalWeb"/>
        <w:spacing w:before="0" w:beforeAutospacing="0" w:after="0" w:afterAutospacing="0"/>
        <w:jc w:val="both"/>
        <w:rPr>
          <w:rFonts w:ascii="Bookman Old Style" w:hAnsi="Bookman Old Style" w:cs="Arial"/>
          <w:color w:val="auto"/>
        </w:rPr>
      </w:pPr>
    </w:p>
    <w:p w:rsidR="005873FD" w:rsidRPr="00BF6B9C" w:rsidRDefault="005873F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Mediante auto proferido el día </w:t>
      </w:r>
      <w:r w:rsidR="00F61755" w:rsidRPr="00BF6B9C">
        <w:rPr>
          <w:rFonts w:ascii="Bookman Old Style" w:hAnsi="Bookman Old Style" w:cs="Arial"/>
        </w:rPr>
        <w:t>5</w:t>
      </w:r>
      <w:r w:rsidR="00847443" w:rsidRPr="00BF6B9C">
        <w:rPr>
          <w:rFonts w:ascii="Bookman Old Style" w:hAnsi="Bookman Old Style" w:cs="Arial"/>
        </w:rPr>
        <w:t xml:space="preserve"> </w:t>
      </w:r>
      <w:r w:rsidRPr="00BF6B9C">
        <w:rPr>
          <w:rFonts w:ascii="Bookman Old Style" w:hAnsi="Bookman Old Style" w:cs="Arial"/>
        </w:rPr>
        <w:t>de</w:t>
      </w:r>
      <w:r w:rsidR="00F61755" w:rsidRPr="00BF6B9C">
        <w:rPr>
          <w:rFonts w:ascii="Bookman Old Style" w:hAnsi="Bookman Old Style" w:cs="Arial"/>
        </w:rPr>
        <w:t xml:space="preserve"> abril</w:t>
      </w:r>
      <w:r w:rsidR="00847443" w:rsidRPr="00BF6B9C">
        <w:rPr>
          <w:rFonts w:ascii="Bookman Old Style" w:hAnsi="Bookman Old Style" w:cs="Arial"/>
        </w:rPr>
        <w:t xml:space="preserve"> </w:t>
      </w:r>
      <w:r w:rsidRPr="00BF6B9C">
        <w:rPr>
          <w:rFonts w:ascii="Bookman Old Style" w:hAnsi="Bookman Old Style" w:cs="Arial"/>
        </w:rPr>
        <w:t xml:space="preserve">de </w:t>
      </w:r>
      <w:r w:rsidR="00847443" w:rsidRPr="00BF6B9C">
        <w:rPr>
          <w:rFonts w:ascii="Bookman Old Style" w:hAnsi="Bookman Old Style" w:cs="Arial"/>
        </w:rPr>
        <w:t>201</w:t>
      </w:r>
      <w:r w:rsidR="00F61755" w:rsidRPr="00BF6B9C">
        <w:rPr>
          <w:rFonts w:ascii="Bookman Old Style" w:hAnsi="Bookman Old Style" w:cs="Arial"/>
        </w:rPr>
        <w:t>6</w:t>
      </w:r>
      <w:r w:rsidRPr="00BF6B9C">
        <w:rPr>
          <w:rFonts w:ascii="Bookman Old Style" w:hAnsi="Bookman Old Style" w:cs="Arial"/>
        </w:rPr>
        <w:t xml:space="preserve">, la Comisión de Regulación de Energía y Gas –CREG- dispuso iniciar la respectiva actuación administrativa con fundamento en la solicitud presentada por </w:t>
      </w:r>
      <w:r w:rsidR="00847443" w:rsidRPr="00BF6B9C">
        <w:rPr>
          <w:rFonts w:ascii="Bookman Old Style" w:hAnsi="Bookman Old Style" w:cs="Arial"/>
        </w:rPr>
        <w:t xml:space="preserve">la empresa </w:t>
      </w:r>
      <w:r w:rsidR="006D2B6B" w:rsidRPr="00BF6B9C">
        <w:rPr>
          <w:rFonts w:ascii="Bookman Old Style" w:hAnsi="Bookman Old Style" w:cs="Arial"/>
        </w:rPr>
        <w:t>PROMOTORA DE SERVICIOS PÚBLICOS</w:t>
      </w:r>
      <w:r w:rsidR="00847443" w:rsidRPr="00BF6B9C">
        <w:rPr>
          <w:rFonts w:ascii="Bookman Old Style" w:hAnsi="Bookman Old Style" w:cs="Arial"/>
        </w:rPr>
        <w:t xml:space="preserve"> </w:t>
      </w:r>
      <w:r w:rsidRPr="00BF6B9C">
        <w:rPr>
          <w:rFonts w:ascii="Bookman Old Style" w:hAnsi="Bookman Old Style" w:cs="Arial"/>
        </w:rPr>
        <w:t xml:space="preserve">S.A E.S.P. para la aprobación de cargos de distribución de gas combustible por redes de tubería para mercado relevante compuesto </w:t>
      </w:r>
      <w:r w:rsidR="006D2B6B" w:rsidRPr="00BF6B9C">
        <w:rPr>
          <w:rFonts w:ascii="Bookman Old Style" w:hAnsi="Bookman Old Style" w:cs="Arial"/>
        </w:rPr>
        <w:t>por el municipio de Cáchira</w:t>
      </w:r>
      <w:r w:rsidRPr="00BF6B9C">
        <w:rPr>
          <w:rFonts w:ascii="Bookman Old Style" w:hAnsi="Bookman Old Style" w:cs="Arial"/>
        </w:rPr>
        <w:t>, departamento de</w:t>
      </w:r>
      <w:r w:rsidR="00534F49" w:rsidRPr="00BF6B9C">
        <w:rPr>
          <w:rFonts w:ascii="Bookman Old Style" w:hAnsi="Bookman Old Style" w:cs="Arial"/>
        </w:rPr>
        <w:t xml:space="preserve"> </w:t>
      </w:r>
      <w:r w:rsidR="006D2B6B" w:rsidRPr="00BF6B9C">
        <w:rPr>
          <w:rFonts w:ascii="Bookman Old Style" w:hAnsi="Bookman Old Style" w:cs="Arial"/>
        </w:rPr>
        <w:t>Norte de Santander</w:t>
      </w:r>
      <w:r w:rsidRPr="00BF6B9C">
        <w:rPr>
          <w:rFonts w:ascii="Bookman Old Style" w:hAnsi="Bookman Old Style" w:cs="Arial"/>
        </w:rPr>
        <w:t xml:space="preserve">. </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C07E9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De acuerdo con lo establecido en el auto del </w:t>
      </w:r>
      <w:r w:rsidR="00114837" w:rsidRPr="00BF6B9C">
        <w:rPr>
          <w:rFonts w:ascii="Bookman Old Style" w:hAnsi="Bookman Old Style" w:cs="Arial"/>
        </w:rPr>
        <w:t xml:space="preserve">5 </w:t>
      </w:r>
      <w:r w:rsidRPr="00BF6B9C">
        <w:rPr>
          <w:rFonts w:ascii="Bookman Old Style" w:hAnsi="Bookman Old Style" w:cs="Arial"/>
        </w:rPr>
        <w:t xml:space="preserve">de </w:t>
      </w:r>
      <w:r w:rsidR="00114837" w:rsidRPr="00BF6B9C">
        <w:rPr>
          <w:rFonts w:ascii="Bookman Old Style" w:hAnsi="Bookman Old Style" w:cs="Arial"/>
        </w:rPr>
        <w:t xml:space="preserve">abril </w:t>
      </w:r>
      <w:r w:rsidRPr="00BF6B9C">
        <w:rPr>
          <w:rFonts w:ascii="Bookman Old Style" w:hAnsi="Bookman Old Style" w:cs="Arial"/>
        </w:rPr>
        <w:t xml:space="preserve">de </w:t>
      </w:r>
      <w:r w:rsidR="00114837" w:rsidRPr="00BF6B9C">
        <w:rPr>
          <w:rFonts w:ascii="Bookman Old Style" w:hAnsi="Bookman Old Style" w:cs="Arial"/>
        </w:rPr>
        <w:t>2016</w:t>
      </w:r>
      <w:r w:rsidRPr="00BF6B9C">
        <w:rPr>
          <w:rFonts w:ascii="Bookman Old Style" w:hAnsi="Bookman Old Style" w:cs="Arial"/>
        </w:rPr>
        <w:t xml:space="preserve">, y para cumplir con lo dispuesto en el artículo 37 del Código de Procedimiento Administrativo y de lo Contencioso Administrativo, en el Diario Oficial </w:t>
      </w:r>
      <w:r w:rsidR="003A79BF" w:rsidRPr="00BF6B9C">
        <w:rPr>
          <w:rFonts w:ascii="Bookman Old Style" w:hAnsi="Bookman Old Style" w:cs="Arial"/>
        </w:rPr>
        <w:t>9.837</w:t>
      </w:r>
      <w:r w:rsidRPr="00BF6B9C">
        <w:rPr>
          <w:rFonts w:ascii="Bookman Old Style" w:hAnsi="Bookman Old Style" w:cs="Arial"/>
        </w:rPr>
        <w:t xml:space="preserve"> del </w:t>
      </w:r>
      <w:r w:rsidR="003A79BF" w:rsidRPr="00BF6B9C">
        <w:rPr>
          <w:rFonts w:ascii="Bookman Old Style" w:hAnsi="Bookman Old Style" w:cs="Arial"/>
        </w:rPr>
        <w:t xml:space="preserve">07 </w:t>
      </w:r>
      <w:r w:rsidRPr="00BF6B9C">
        <w:rPr>
          <w:rFonts w:ascii="Bookman Old Style" w:hAnsi="Bookman Old Style" w:cs="Arial"/>
        </w:rPr>
        <w:t xml:space="preserve">de </w:t>
      </w:r>
      <w:r w:rsidR="003A79BF" w:rsidRPr="00BF6B9C">
        <w:rPr>
          <w:rFonts w:ascii="Bookman Old Style" w:hAnsi="Bookman Old Style" w:cs="Arial"/>
        </w:rPr>
        <w:t xml:space="preserve">abril </w:t>
      </w:r>
      <w:r w:rsidRPr="00BF6B9C">
        <w:rPr>
          <w:rFonts w:ascii="Bookman Old Style" w:hAnsi="Bookman Old Style" w:cs="Arial"/>
        </w:rPr>
        <w:t xml:space="preserve">de </w:t>
      </w:r>
      <w:r w:rsidRPr="00BF6B9C">
        <w:rPr>
          <w:rFonts w:ascii="Bookman Old Style" w:hAnsi="Bookman Old Style" w:cs="Arial"/>
          <w:shd w:val="clear" w:color="auto" w:fill="FFFFFF" w:themeFill="background1"/>
        </w:rPr>
        <w:t>201</w:t>
      </w:r>
      <w:r w:rsidR="003A79BF" w:rsidRPr="00BF6B9C">
        <w:rPr>
          <w:rFonts w:ascii="Bookman Old Style" w:hAnsi="Bookman Old Style" w:cs="Arial"/>
          <w:shd w:val="clear" w:color="auto" w:fill="FFFFFF" w:themeFill="background1"/>
        </w:rPr>
        <w:t>6</w:t>
      </w:r>
      <w:r w:rsidRPr="00BF6B9C">
        <w:rPr>
          <w:rFonts w:ascii="Bookman Old Style" w:hAnsi="Bookman Old Style" w:cs="Arial"/>
        </w:rPr>
        <w:t xml:space="preserve"> se publicó un extracto con el resumen de la actuación administrativa. Así mismo, mediante el aviso No. </w:t>
      </w:r>
      <w:r w:rsidR="00114837" w:rsidRPr="00BF6B9C">
        <w:rPr>
          <w:rFonts w:ascii="Bookman Old Style" w:hAnsi="Bookman Old Style" w:cs="Arial"/>
        </w:rPr>
        <w:t xml:space="preserve">075 </w:t>
      </w:r>
      <w:r w:rsidRPr="00BF6B9C">
        <w:rPr>
          <w:rFonts w:ascii="Bookman Old Style" w:hAnsi="Bookman Old Style" w:cs="Arial"/>
        </w:rPr>
        <w:t xml:space="preserve">del </w:t>
      </w:r>
      <w:r w:rsidR="00114837" w:rsidRPr="00BF6B9C">
        <w:rPr>
          <w:rFonts w:ascii="Bookman Old Style" w:hAnsi="Bookman Old Style" w:cs="Arial"/>
        </w:rPr>
        <w:t xml:space="preserve">5 </w:t>
      </w:r>
      <w:r w:rsidRPr="00BF6B9C">
        <w:rPr>
          <w:rFonts w:ascii="Bookman Old Style" w:hAnsi="Bookman Old Style" w:cs="Arial"/>
        </w:rPr>
        <w:t>de</w:t>
      </w:r>
      <w:r w:rsidR="00114837" w:rsidRPr="00BF6B9C">
        <w:rPr>
          <w:rFonts w:ascii="Bookman Old Style" w:hAnsi="Bookman Old Style" w:cs="Arial"/>
        </w:rPr>
        <w:t xml:space="preserve"> abril</w:t>
      </w:r>
      <w:r w:rsidR="00847443" w:rsidRPr="00BF6B9C">
        <w:rPr>
          <w:rFonts w:ascii="Bookman Old Style" w:hAnsi="Bookman Old Style" w:cs="Arial"/>
        </w:rPr>
        <w:t xml:space="preserve"> </w:t>
      </w:r>
      <w:r w:rsidRPr="00BF6B9C">
        <w:rPr>
          <w:rFonts w:ascii="Bookman Old Style" w:hAnsi="Bookman Old Style" w:cs="Arial"/>
        </w:rPr>
        <w:t>de 201</w:t>
      </w:r>
      <w:r w:rsidR="00114837" w:rsidRPr="00BF6B9C">
        <w:rPr>
          <w:rFonts w:ascii="Bookman Old Style" w:hAnsi="Bookman Old Style" w:cs="Arial"/>
        </w:rPr>
        <w:t>6</w:t>
      </w:r>
      <w:r w:rsidRPr="00BF6B9C">
        <w:rPr>
          <w:rFonts w:ascii="Bookman Old Style" w:hAnsi="Bookman Old Style" w:cs="Arial"/>
        </w:rPr>
        <w:t xml:space="preserve"> se publicó el extracto con el resumen de la actuación administrativa </w:t>
      </w:r>
      <w:r w:rsidR="005873FD" w:rsidRPr="00BF6B9C">
        <w:rPr>
          <w:rFonts w:ascii="Bookman Old Style" w:hAnsi="Bookman Old Style" w:cs="Arial"/>
        </w:rPr>
        <w:t xml:space="preserve">en </w:t>
      </w:r>
      <w:r w:rsidRPr="00BF6B9C">
        <w:rPr>
          <w:rFonts w:ascii="Bookman Old Style" w:hAnsi="Bookman Old Style" w:cs="Arial"/>
        </w:rPr>
        <w:t>relación con</w:t>
      </w:r>
      <w:r w:rsidR="005873FD" w:rsidRPr="00BF6B9C">
        <w:rPr>
          <w:rFonts w:ascii="Bookman Old Style" w:hAnsi="Bookman Old Style" w:cs="Arial"/>
        </w:rPr>
        <w:t xml:space="preserve"> la solicitud presentada por </w:t>
      </w:r>
      <w:r w:rsidR="006D2B6B" w:rsidRPr="00BF6B9C">
        <w:rPr>
          <w:rFonts w:ascii="Bookman Old Style" w:hAnsi="Bookman Old Style" w:cs="Arial"/>
        </w:rPr>
        <w:t>PROMOTORA DE SERVICIOS PÚBLICOS</w:t>
      </w:r>
      <w:r w:rsidR="005873FD" w:rsidRPr="00BF6B9C">
        <w:rPr>
          <w:rFonts w:ascii="Bookman Old Style" w:hAnsi="Bookman Old Style" w:cs="Arial"/>
        </w:rPr>
        <w:t xml:space="preserve"> S.A E.S.P. para la aprobación de cargos de distribución de gas combustible por redes de tubería</w:t>
      </w:r>
      <w:r w:rsidRPr="00BF6B9C">
        <w:rPr>
          <w:rFonts w:ascii="Bookman Old Style" w:hAnsi="Bookman Old Style" w:cs="Arial"/>
        </w:rPr>
        <w:t>. Lo anterior,</w:t>
      </w:r>
      <w:r w:rsidR="005873FD" w:rsidRPr="00BF6B9C">
        <w:rPr>
          <w:rFonts w:ascii="Bookman Old Style" w:hAnsi="Bookman Old Style" w:cs="Arial"/>
        </w:rPr>
        <w:t xml:space="preserve"> a fin de que los terceros interesados </w:t>
      </w:r>
      <w:r w:rsidRPr="00BF6B9C">
        <w:rPr>
          <w:rFonts w:ascii="Bookman Old Style" w:hAnsi="Bookman Old Style" w:cs="Arial"/>
        </w:rPr>
        <w:t xml:space="preserve">pudiesen </w:t>
      </w:r>
      <w:r w:rsidR="005873FD" w:rsidRPr="00BF6B9C">
        <w:rPr>
          <w:rFonts w:ascii="Bookman Old Style" w:hAnsi="Bookman Old Style" w:cs="Arial"/>
        </w:rPr>
        <w:t xml:space="preserve">hacerse parte en la respectiva actuación. </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widowControl w:val="0"/>
        <w:tabs>
          <w:tab w:val="center" w:pos="4512"/>
          <w:tab w:val="left" w:pos="7088"/>
        </w:tabs>
        <w:suppressAutoHyphens/>
        <w:adjustRightInd w:val="0"/>
        <w:ind w:left="0" w:right="51"/>
        <w:jc w:val="both"/>
        <w:textAlignment w:val="baseline"/>
        <w:rPr>
          <w:rFonts w:ascii="Bookman Old Style" w:hAnsi="Bookman Old Style" w:cs="Arial"/>
          <w:lang w:val="es-ES_tradnl"/>
        </w:rPr>
      </w:pPr>
      <w:r w:rsidRPr="00BF6B9C">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BF6B9C">
        <w:rPr>
          <w:rFonts w:ascii="Bookman Old Style" w:hAnsi="Bookman Old Style" w:cs="Arial"/>
        </w:rPr>
        <w:t xml:space="preserve"> </w:t>
      </w:r>
      <w:r w:rsidRPr="00BF6B9C">
        <w:rPr>
          <w:rFonts w:ascii="Bookman Old Style" w:hAnsi="Bookman Old Style" w:cs="Arial"/>
        </w:rPr>
        <w:t>La aplicación de la fórmula tarifaria general inició a partir del 1 de enero de 2014 por un período de cinco años</w:t>
      </w:r>
      <w:r w:rsidR="00C07E9D" w:rsidRPr="00BF6B9C">
        <w:rPr>
          <w:rFonts w:ascii="Bookman Old Style" w:hAnsi="Bookman Old Style" w:cs="Arial"/>
        </w:rPr>
        <w:t>, sin perjuicio de lo establecido en el artículo 126 de la Ley 142 de 1994.</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Como resultado del análisis de la información presentada a la Comisión por </w:t>
      </w:r>
      <w:r w:rsidR="006D2B6B" w:rsidRPr="00BF6B9C">
        <w:rPr>
          <w:rFonts w:ascii="Bookman Old Style" w:hAnsi="Bookman Old Style" w:cs="Arial"/>
        </w:rPr>
        <w:t>PROMOTORA DE SERVICIOS PÚBLICOS</w:t>
      </w:r>
      <w:r w:rsidR="00847443" w:rsidRPr="00BF6B9C">
        <w:rPr>
          <w:rFonts w:ascii="Bookman Old Style" w:hAnsi="Bookman Old Style" w:cs="Arial"/>
        </w:rPr>
        <w:t xml:space="preserve"> </w:t>
      </w:r>
      <w:r w:rsidRPr="00BF6B9C">
        <w:rPr>
          <w:rFonts w:ascii="Bookman Old Style" w:hAnsi="Bookman Old Style" w:cs="Arial"/>
        </w:rPr>
        <w:t>S.A. E.S.P. mediante radicados</w:t>
      </w:r>
      <w:r w:rsidR="00A657D1" w:rsidRPr="00BF6B9C">
        <w:rPr>
          <w:rFonts w:ascii="Bookman Old Style" w:hAnsi="Bookman Old Style" w:cs="Arial"/>
        </w:rPr>
        <w:t xml:space="preserve">            </w:t>
      </w:r>
      <w:r w:rsidRPr="00BF6B9C">
        <w:rPr>
          <w:rFonts w:ascii="Bookman Old Style" w:hAnsi="Bookman Old Style" w:cs="Arial"/>
        </w:rPr>
        <w:t xml:space="preserve"> E-</w:t>
      </w:r>
      <w:r w:rsidR="00847443" w:rsidRPr="00BF6B9C">
        <w:rPr>
          <w:rFonts w:ascii="Bookman Old Style" w:hAnsi="Bookman Old Style" w:cs="Arial"/>
        </w:rPr>
        <w:t>201</w:t>
      </w:r>
      <w:r w:rsidR="00420042" w:rsidRPr="00BF6B9C">
        <w:rPr>
          <w:rFonts w:ascii="Bookman Old Style" w:hAnsi="Bookman Old Style" w:cs="Arial"/>
        </w:rPr>
        <w:t>5</w:t>
      </w:r>
      <w:r w:rsidRPr="00BF6B9C">
        <w:rPr>
          <w:rFonts w:ascii="Bookman Old Style" w:hAnsi="Bookman Old Style" w:cs="Arial"/>
        </w:rPr>
        <w:t>-</w:t>
      </w:r>
      <w:r w:rsidR="00847443" w:rsidRPr="00BF6B9C">
        <w:rPr>
          <w:rFonts w:ascii="Bookman Old Style" w:hAnsi="Bookman Old Style" w:cs="Arial"/>
        </w:rPr>
        <w:t>0</w:t>
      </w:r>
      <w:r w:rsidR="00420042" w:rsidRPr="00BF6B9C">
        <w:rPr>
          <w:rFonts w:ascii="Bookman Old Style" w:hAnsi="Bookman Old Style" w:cs="Arial"/>
        </w:rPr>
        <w:t>13809 y</w:t>
      </w:r>
      <w:r w:rsidRPr="00BF6B9C">
        <w:rPr>
          <w:rFonts w:ascii="Bookman Old Style" w:hAnsi="Bookman Old Style" w:cs="Arial"/>
        </w:rPr>
        <w:t xml:space="preserve"> E-</w:t>
      </w:r>
      <w:r w:rsidR="00847443" w:rsidRPr="00BF6B9C">
        <w:rPr>
          <w:rFonts w:ascii="Bookman Old Style" w:hAnsi="Bookman Old Style" w:cs="Arial"/>
        </w:rPr>
        <w:t>201</w:t>
      </w:r>
      <w:r w:rsidR="00420042" w:rsidRPr="00BF6B9C">
        <w:rPr>
          <w:rFonts w:ascii="Bookman Old Style" w:hAnsi="Bookman Old Style" w:cs="Arial"/>
        </w:rPr>
        <w:t>6</w:t>
      </w:r>
      <w:r w:rsidRPr="00BF6B9C">
        <w:rPr>
          <w:rFonts w:ascii="Bookman Old Style" w:hAnsi="Bookman Old Style" w:cs="Arial"/>
        </w:rPr>
        <w:t>-</w:t>
      </w:r>
      <w:r w:rsidR="00847443" w:rsidRPr="00BF6B9C">
        <w:rPr>
          <w:rFonts w:ascii="Bookman Old Style" w:hAnsi="Bookman Old Style" w:cs="Arial"/>
        </w:rPr>
        <w:t>0</w:t>
      </w:r>
      <w:r w:rsidR="00420042" w:rsidRPr="00BF6B9C">
        <w:rPr>
          <w:rFonts w:ascii="Bookman Old Style" w:hAnsi="Bookman Old Style" w:cs="Arial"/>
        </w:rPr>
        <w:t>02501</w:t>
      </w:r>
      <w:r w:rsidRPr="00BF6B9C">
        <w:rPr>
          <w:rFonts w:ascii="Bookman Old Style" w:hAnsi="Bookman Old Style" w:cs="Arial"/>
        </w:rPr>
        <w:t xml:space="preserve">, se realizaron los ajustes pertinentes a la información requerida para el cálculo del cargo de distribución que trata las resoluciones CREG 202 de 2013 y </w:t>
      </w:r>
      <w:r w:rsidR="00847443" w:rsidRPr="00BF6B9C">
        <w:rPr>
          <w:rFonts w:ascii="Bookman Old Style" w:hAnsi="Bookman Old Style" w:cs="Arial"/>
        </w:rPr>
        <w:t>sus modificaciones</w:t>
      </w:r>
      <w:r w:rsidR="00847443" w:rsidRPr="00BF6B9C">
        <w:rPr>
          <w:rFonts w:ascii="Bookman Old Style" w:hAnsi="Bookman Old Style"/>
        </w:rPr>
        <w:t xml:space="preserve"> y adiciones</w:t>
      </w:r>
      <w:r w:rsidRPr="00BF6B9C">
        <w:rPr>
          <w:rFonts w:ascii="Bookman Old Style" w:hAnsi="Bookman Old Style" w:cs="Arial"/>
        </w:rPr>
        <w:t xml:space="preserve">, según se relacionan, con su respectivo sustento, en el documento soporte de la presente </w:t>
      </w:r>
      <w:r w:rsidR="00494396" w:rsidRPr="00BF6B9C">
        <w:rPr>
          <w:rFonts w:ascii="Bookman Old Style" w:hAnsi="Bookman Old Style" w:cs="Arial"/>
        </w:rPr>
        <w:t>r</w:t>
      </w:r>
      <w:r w:rsidRPr="00BF6B9C">
        <w:rPr>
          <w:rFonts w:ascii="Bookman Old Style" w:hAnsi="Bookman Old Style" w:cs="Arial"/>
        </w:rPr>
        <w:t>esolución.</w:t>
      </w:r>
    </w:p>
    <w:p w:rsidR="009C5BF2" w:rsidRPr="00BF6B9C" w:rsidRDefault="009C5BF2" w:rsidP="009C5BF2">
      <w:pPr>
        <w:ind w:left="0" w:right="-93"/>
        <w:jc w:val="both"/>
        <w:rPr>
          <w:rFonts w:ascii="Bookman Old Style" w:hAnsi="Bookman Old Style" w:cs="Arial"/>
        </w:rPr>
      </w:pPr>
    </w:p>
    <w:p w:rsidR="00C87369" w:rsidRPr="00BF6B9C" w:rsidRDefault="002F5D62" w:rsidP="00F36B65">
      <w:pPr>
        <w:numPr>
          <w:ilvl w:val="0"/>
          <w:numId w:val="2"/>
        </w:numPr>
        <w:ind w:left="567" w:hanging="567"/>
        <w:jc w:val="both"/>
        <w:rPr>
          <w:rFonts w:ascii="Bookman Old Style" w:hAnsi="Bookman Old Style" w:cs="Arial"/>
          <w:b/>
          <w:lang w:val="es-ES_tradnl"/>
        </w:rPr>
      </w:pPr>
      <w:r w:rsidRPr="00BF6B9C">
        <w:rPr>
          <w:rFonts w:ascii="Bookman Old Style" w:hAnsi="Bookman Old Style" w:cs="Arial"/>
          <w:b/>
          <w:lang w:val="es-ES_tradnl"/>
        </w:rPr>
        <w:t xml:space="preserve">Aspectos previos. </w:t>
      </w:r>
      <w:r w:rsidR="00C87369" w:rsidRPr="00BF6B9C">
        <w:rPr>
          <w:rFonts w:ascii="Bookman Old Style" w:hAnsi="Bookman Old Style" w:cs="Arial"/>
          <w:b/>
          <w:lang w:val="es-ES_tradnl"/>
        </w:rPr>
        <w:t>Alcance de las facultades regulatorias de la CREG en el marco de la Ley 142 de 1994</w:t>
      </w:r>
      <w:r w:rsidR="009B3836" w:rsidRPr="00BF6B9C">
        <w:rPr>
          <w:rFonts w:ascii="Bookman Old Style" w:hAnsi="Bookman Old Style" w:cs="Arial"/>
          <w:b/>
          <w:lang w:val="es-ES_tradnl"/>
        </w:rPr>
        <w:t>.</w:t>
      </w:r>
    </w:p>
    <w:p w:rsidR="00C87369" w:rsidRPr="00BF6B9C" w:rsidRDefault="00C87369" w:rsidP="009C5BF2">
      <w:pPr>
        <w:ind w:left="0" w:right="-93"/>
        <w:jc w:val="both"/>
        <w:rPr>
          <w:rFonts w:ascii="Bookman Old Style" w:hAnsi="Bookman Old Style" w:cs="Arial"/>
          <w:lang w:val="es-ES_tradnl"/>
        </w:rPr>
      </w:pPr>
    </w:p>
    <w:p w:rsidR="00253925" w:rsidRPr="00BF6B9C" w:rsidRDefault="00253925" w:rsidP="00253925">
      <w:pPr>
        <w:ind w:left="0"/>
        <w:jc w:val="both"/>
        <w:rPr>
          <w:rFonts w:ascii="Bookman Old Style" w:hAnsi="Bookman Old Style"/>
        </w:rPr>
      </w:pPr>
      <w:r w:rsidRPr="00BF6B9C">
        <w:rPr>
          <w:rFonts w:ascii="Bookman Old Style" w:hAnsi="Bookman Old Style"/>
        </w:rPr>
        <w:t xml:space="preserve">Los principios, finalidades y normas establecidas por el legislador en materia de tarifas, y las funciones que sobre esta materia cumple la CREG, tienen unos fines sociales y económicos, de rango constitucional y legal y sobre los cuales la jurisprudencia constitucional se ha pronunciado de manera general, así: </w:t>
      </w:r>
    </w:p>
    <w:p w:rsidR="00253925" w:rsidRPr="00BF6B9C" w:rsidRDefault="00253925" w:rsidP="00253925">
      <w:pPr>
        <w:tabs>
          <w:tab w:val="left" w:pos="2378"/>
        </w:tabs>
        <w:ind w:left="0"/>
        <w:jc w:val="both"/>
        <w:rPr>
          <w:rFonts w:ascii="Bookman Old Style" w:hAnsi="Bookman Old Style"/>
          <w:i/>
        </w:rPr>
      </w:pPr>
      <w:r w:rsidRPr="00BF6B9C">
        <w:rPr>
          <w:rFonts w:ascii="Bookman Old Style" w:hAnsi="Bookman Old Style"/>
          <w:i/>
        </w:rPr>
        <w:tab/>
      </w:r>
    </w:p>
    <w:p w:rsidR="00253925" w:rsidRPr="00BF6B9C" w:rsidRDefault="00253925" w:rsidP="00253925">
      <w:pPr>
        <w:ind w:left="709"/>
        <w:jc w:val="both"/>
        <w:rPr>
          <w:rFonts w:ascii="Bookman Old Style" w:hAnsi="Bookman Old Style"/>
          <w:i/>
          <w:shd w:val="clear" w:color="auto" w:fill="FFFFFF"/>
        </w:rPr>
      </w:pPr>
      <w:r w:rsidRPr="00BF6B9C">
        <w:rPr>
          <w:rFonts w:ascii="Bookman Old Style" w:hAnsi="Bookman Old Style"/>
          <w:i/>
        </w:rPr>
        <w:t>“</w:t>
      </w:r>
      <w:r w:rsidRPr="00BF6B9C">
        <w:rPr>
          <w:rFonts w:ascii="Bookman Old Style" w:hAnsi="Bookman Old Style"/>
          <w:i/>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0" w:anchor="_ftn87" w:history="1">
        <w:r w:rsidRPr="00BF6B9C">
          <w:rPr>
            <w:rFonts w:ascii="Bookman Old Style" w:hAnsi="Bookman Old Style"/>
            <w:i/>
            <w:u w:val="single"/>
          </w:rPr>
          <w:t>[87]</w:t>
        </w:r>
      </w:hyperlink>
      <w:r w:rsidRPr="00BF6B9C">
        <w:rPr>
          <w:rFonts w:ascii="Bookman Old Style" w:hAnsi="Bookman Old Style"/>
          <w:i/>
        </w:rPr>
        <w:t> </w:t>
      </w:r>
      <w:r w:rsidRPr="00BF6B9C">
        <w:rPr>
          <w:rFonts w:ascii="Bookman Old Style" w:hAnsi="Bookman Old Style"/>
          <w:i/>
          <w:shd w:val="clear" w:color="auto" w:fill="FFFFFF"/>
        </w:rPr>
        <w:t xml:space="preserve">expresamente consagrada en varias disposiciones de la Constitución con miras a alcanzar un "orden político, económico y social justo" (Preámbulo); una función de estabilización económica también consagrada en diversas normas superiores (artículos 334 inc, 1°, 339, 347, 371 y 373 de la C.P.); una función de regulación económica y social de múltiples sectores y actividades específicas según los diversos parámetros trazados en la Constitución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BF6B9C">
          <w:rPr>
            <w:rFonts w:ascii="Bookman Old Style" w:hAnsi="Bookman Old Style"/>
            <w:i/>
            <w:shd w:val="clear" w:color="auto" w:fill="FFFFFF"/>
          </w:rPr>
          <w:t>58 C</w:t>
        </w:r>
      </w:smartTag>
      <w:r w:rsidRPr="00BF6B9C">
        <w:rPr>
          <w:rFonts w:ascii="Bookman Old Style" w:hAnsi="Bookman Old Style"/>
          <w:i/>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BF6B9C">
          <w:rPr>
            <w:rFonts w:ascii="Bookman Old Style" w:hAnsi="Bookman Old Style"/>
            <w:i/>
            <w:shd w:val="clear" w:color="auto" w:fill="FFFFFF"/>
          </w:rPr>
          <w:t>333 C</w:t>
        </w:r>
      </w:smartTag>
      <w:r w:rsidRPr="00BF6B9C">
        <w:rPr>
          <w:rFonts w:ascii="Bookman Old Style" w:hAnsi="Bookman Old Style"/>
          <w:i/>
          <w:shd w:val="clear" w:color="auto" w:fill="FFFFFF"/>
        </w:rPr>
        <w:t xml:space="preserve">.P.) en aras de la "distribución equitativa de las oportunidades y los beneficios del desarrollo" (artículo </w:t>
      </w:r>
      <w:smartTag w:uri="urn:schemas-microsoft-com:office:smarttags" w:element="metricconverter">
        <w:smartTagPr>
          <w:attr w:name="ProductID" w:val="334 C"/>
        </w:smartTagPr>
        <w:r w:rsidRPr="00BF6B9C">
          <w:rPr>
            <w:rFonts w:ascii="Bookman Old Style" w:hAnsi="Bookman Old Style"/>
            <w:i/>
            <w:shd w:val="clear" w:color="auto" w:fill="FFFFFF"/>
          </w:rPr>
          <w:t>334 C</w:t>
        </w:r>
      </w:smartTag>
      <w:r w:rsidRPr="00BF6B9C">
        <w:rPr>
          <w:rFonts w:ascii="Bookman Old Style" w:hAnsi="Bookman Old Style"/>
          <w:i/>
          <w:shd w:val="clear" w:color="auto" w:fill="FFFFFF"/>
        </w:rPr>
        <w:t>.P.)</w:t>
      </w:r>
      <w:hyperlink r:id="rId11" w:anchor="_ftn88" w:history="1">
        <w:r w:rsidRPr="00BF6B9C">
          <w:rPr>
            <w:rFonts w:ascii="Bookman Old Style" w:hAnsi="Bookman Old Style"/>
            <w:i/>
            <w:u w:val="single"/>
          </w:rPr>
          <w:t>[88]</w:t>
        </w:r>
      </w:hyperlink>
      <w:r w:rsidRPr="00BF6B9C">
        <w:rPr>
          <w:rFonts w:ascii="Bookman Old Style" w:hAnsi="Bookman Old Style"/>
          <w:i/>
          <w:shd w:val="clear" w:color="auto" w:fill="FFFFFF"/>
        </w:rPr>
        <w:t>”.</w:t>
      </w:r>
      <w:r w:rsidRPr="00BF6B9C">
        <w:rPr>
          <w:rStyle w:val="Refdenotaalpie"/>
          <w:rFonts w:ascii="Bookman Old Style" w:hAnsi="Bookman Old Style"/>
          <w:i/>
          <w:shd w:val="clear" w:color="auto" w:fill="FFFFFF"/>
        </w:rPr>
        <w:footnoteReference w:id="2"/>
      </w:r>
      <w:r w:rsidRPr="00BF6B9C">
        <w:rPr>
          <w:rFonts w:ascii="Bookman Old Style" w:hAnsi="Bookman Old Style"/>
          <w:i/>
          <w:shd w:val="clear" w:color="auto" w:fill="FFFFFF"/>
        </w:rPr>
        <w:t>.</w:t>
      </w:r>
    </w:p>
    <w:p w:rsidR="00253925" w:rsidRPr="00BF6B9C" w:rsidRDefault="00253925" w:rsidP="00253925">
      <w:pPr>
        <w:ind w:left="0"/>
        <w:jc w:val="both"/>
        <w:rPr>
          <w:rFonts w:ascii="Bookman Old Style" w:hAnsi="Bookman Old Style"/>
          <w:i/>
          <w:shd w:val="clear" w:color="auto" w:fill="FFFFFF"/>
        </w:rPr>
      </w:pPr>
    </w:p>
    <w:p w:rsidR="00253925" w:rsidRPr="00BF6B9C" w:rsidRDefault="00253925" w:rsidP="00253925">
      <w:pPr>
        <w:ind w:left="0"/>
        <w:jc w:val="both"/>
        <w:rPr>
          <w:rFonts w:ascii="Bookman Old Style" w:hAnsi="Bookman Old Style"/>
          <w:shd w:val="clear" w:color="auto" w:fill="FFFFFF"/>
        </w:rPr>
      </w:pPr>
      <w:r w:rsidRPr="00BF6B9C">
        <w:rPr>
          <w:rFonts w:ascii="Bookman Old Style" w:hAnsi="Bookman Old Style"/>
          <w:shd w:val="clear" w:color="auto" w:fill="FFFFFF"/>
        </w:rPr>
        <w:t>Precisamente es este último artículo, 334, el desarrollado por la Ley 142 de 1994 en materia de regulación; que se concreta en la intervención económica del Estado en los servicios públicos domiciliarios mediante la cual se obligan a quienes prestan esos servicios al acatamiento de los principios, normas y reglamentos que se expidan (Ley 142, art. 14.18).</w:t>
      </w:r>
    </w:p>
    <w:p w:rsidR="00253925" w:rsidRPr="00BF6B9C" w:rsidRDefault="00253925" w:rsidP="00253925">
      <w:pPr>
        <w:ind w:left="0"/>
        <w:jc w:val="both"/>
        <w:rPr>
          <w:rFonts w:ascii="Bookman Old Style" w:hAnsi="Bookman Old Style"/>
          <w:shd w:val="clear" w:color="auto" w:fill="FFFFFF"/>
        </w:rPr>
      </w:pPr>
    </w:p>
    <w:p w:rsidR="00253925" w:rsidRPr="00BF6B9C" w:rsidRDefault="00253925" w:rsidP="00253925">
      <w:pPr>
        <w:ind w:left="0"/>
        <w:jc w:val="both"/>
        <w:rPr>
          <w:rFonts w:ascii="Bookman Old Style" w:hAnsi="Bookman Old Style"/>
          <w:shd w:val="clear" w:color="auto" w:fill="FFFFFF"/>
        </w:rPr>
      </w:pPr>
      <w:r w:rsidRPr="00BF6B9C">
        <w:rPr>
          <w:rFonts w:ascii="Bookman Old Style" w:hAnsi="Bookman Old Style"/>
          <w:shd w:val="clear" w:color="auto" w:fill="FFFFFF"/>
        </w:rPr>
        <w:t>La Corte Constitucional se ha referido a este tema en los siguientes términos:</w:t>
      </w:r>
    </w:p>
    <w:p w:rsidR="00253925" w:rsidRPr="00BF6B9C" w:rsidRDefault="00253925" w:rsidP="00253925">
      <w:pPr>
        <w:ind w:left="0"/>
        <w:jc w:val="both"/>
        <w:rPr>
          <w:rFonts w:ascii="Bookman Old Style" w:hAnsi="Bookman Old Style"/>
          <w:i/>
          <w:shd w:val="clear" w:color="auto" w:fill="FFFFFF"/>
        </w:rPr>
      </w:pPr>
    </w:p>
    <w:p w:rsidR="00253925" w:rsidRPr="00BF6B9C" w:rsidRDefault="00253925" w:rsidP="00253925">
      <w:pPr>
        <w:ind w:left="709"/>
        <w:jc w:val="both"/>
        <w:rPr>
          <w:rFonts w:ascii="Bookman Old Style" w:hAnsi="Bookman Old Style"/>
          <w:i/>
          <w:shd w:val="clear" w:color="auto" w:fill="FFFFFF"/>
        </w:rPr>
      </w:pPr>
      <w:r w:rsidRPr="00BF6B9C">
        <w:rPr>
          <w:rFonts w:ascii="Bookman Old Style" w:hAnsi="Bookman Old Style"/>
          <w:i/>
          <w:shd w:val="clear" w:color="auto" w:fill="FFFFFF"/>
        </w:rPr>
        <w:t>“La regulación, en tanto que mecanismo de intervención del estado, busca garantizar la efectividad de los principios sociales y el adecuado funcionamiento del mercado… En este contexto, la Carta indica que los servicios públicos son inherentes a la finalidad social del Estado (art. 365 inc. Primero de la C.P.),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BF6B9C">
        <w:rPr>
          <w:rStyle w:val="Refdenotaalpie"/>
          <w:rFonts w:ascii="Bookman Old Style" w:hAnsi="Bookman Old Style"/>
          <w:i/>
          <w:shd w:val="clear" w:color="auto" w:fill="FFFFFF"/>
        </w:rPr>
        <w:footnoteReference w:id="3"/>
      </w:r>
      <w:r w:rsidRPr="00BF6B9C">
        <w:rPr>
          <w:rFonts w:ascii="Bookman Old Style" w:hAnsi="Bookman Old Style"/>
          <w:i/>
          <w:shd w:val="clear" w:color="auto" w:fill="FFFFFF"/>
        </w:rPr>
        <w:t xml:space="preserve">. </w:t>
      </w:r>
    </w:p>
    <w:p w:rsidR="00253925" w:rsidRPr="00BF6B9C" w:rsidRDefault="00253925" w:rsidP="00253925">
      <w:pPr>
        <w:ind w:left="0"/>
        <w:jc w:val="both"/>
        <w:rPr>
          <w:rFonts w:ascii="Bookman Old Style" w:hAnsi="Bookman Old Style"/>
          <w:i/>
          <w:shd w:val="clear" w:color="auto" w:fill="FFFFFF"/>
        </w:rPr>
      </w:pPr>
    </w:p>
    <w:p w:rsidR="00253925" w:rsidRPr="00BF6B9C" w:rsidRDefault="00253925" w:rsidP="00253925">
      <w:pPr>
        <w:ind w:left="0"/>
        <w:jc w:val="both"/>
        <w:rPr>
          <w:rFonts w:ascii="Bookman Old Style" w:hAnsi="Bookman Old Style"/>
          <w:shd w:val="clear" w:color="auto" w:fill="FFFFFF"/>
        </w:rPr>
      </w:pPr>
      <w:r w:rsidRPr="00BF6B9C">
        <w:rPr>
          <w:rFonts w:ascii="Bookman Old Style" w:hAnsi="Bookman Old Style"/>
          <w:shd w:val="clear" w:color="auto" w:fill="FFFFFF"/>
        </w:rPr>
        <w:t xml:space="preserve">A lo anteriormente señalado por la jurisprudencia, se suma lo dispuesto en el Preámbulo de la Constitución, sobre los fines del Estado cuales son, entre otros: </w:t>
      </w:r>
    </w:p>
    <w:p w:rsidR="00253925" w:rsidRPr="00BF6B9C" w:rsidRDefault="00253925" w:rsidP="00253925">
      <w:pPr>
        <w:ind w:left="0"/>
        <w:jc w:val="both"/>
        <w:rPr>
          <w:rFonts w:ascii="Bookman Old Style" w:hAnsi="Bookman Old Style"/>
          <w:shd w:val="clear" w:color="auto" w:fill="FFFFFF"/>
        </w:rPr>
      </w:pPr>
    </w:p>
    <w:p w:rsidR="00253925" w:rsidRPr="00BF6B9C" w:rsidRDefault="00253925" w:rsidP="00253925">
      <w:pPr>
        <w:ind w:left="709"/>
        <w:jc w:val="both"/>
        <w:rPr>
          <w:rFonts w:ascii="Bookman Old Style" w:hAnsi="Bookman Old Style"/>
          <w:i/>
          <w:shd w:val="clear" w:color="auto" w:fill="FFFFFF"/>
        </w:rPr>
      </w:pPr>
      <w:r w:rsidRPr="00BF6B9C">
        <w:rPr>
          <w:rFonts w:ascii="Bookman Old Style" w:hAnsi="Bookman Old Style"/>
          <w:i/>
          <w:shd w:val="clear" w:color="auto" w:fill="FFFFFF"/>
        </w:rPr>
        <w:t>“asegurar a sus integrantes la vida, la convivencia, el trabajo, la justicia, la igualdad, el conocimiento, la libertad y la paz, dentro de un marco jurídico, democrático y participativo que garantice un orden político, económico y social justo”, que según la Corte Constitucional son “expresiones todas estas del bien común como desiderátum de la sociedad y el estado”</w:t>
      </w:r>
      <w:r w:rsidRPr="00BF6B9C">
        <w:rPr>
          <w:rStyle w:val="Refdenotaalpie"/>
          <w:rFonts w:ascii="Bookman Old Style" w:hAnsi="Bookman Old Style"/>
          <w:i/>
          <w:shd w:val="clear" w:color="auto" w:fill="FFFFFF"/>
        </w:rPr>
        <w:footnoteReference w:id="4"/>
      </w:r>
      <w:r w:rsidRPr="00BF6B9C">
        <w:rPr>
          <w:rFonts w:ascii="Bookman Old Style" w:hAnsi="Bookman Old Style"/>
          <w:i/>
          <w:shd w:val="clear" w:color="auto" w:fill="FFFFFF"/>
        </w:rPr>
        <w:t xml:space="preserve">, y lo dispuesto en el artículo 1º., sobre la organización como estado social de derecho con </w:t>
      </w:r>
      <w:r w:rsidRPr="00BF6B9C">
        <w:rPr>
          <w:rFonts w:ascii="Bookman Old Style" w:hAnsi="Bookman Old Style"/>
          <w:i/>
          <w:u w:val="single"/>
          <w:shd w:val="clear" w:color="auto" w:fill="FFFFFF"/>
        </w:rPr>
        <w:t>prevalencia del interés general</w:t>
      </w:r>
      <w:r w:rsidRPr="00BF6B9C">
        <w:rPr>
          <w:rFonts w:ascii="Bookman Old Style" w:hAnsi="Bookman Old Style"/>
          <w:i/>
          <w:shd w:val="clear" w:color="auto" w:fill="FFFFFF"/>
        </w:rPr>
        <w:t>, y la obligatoriedad del ejercicio de la función administrativa al servicio de los intereses generales, se concluye que la función de regulación debe siempre ejercitarse dentro de ese interés general. La Corte Constitucional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 servidores públicos, tal como lo declara el artículo 123 de la Constitución, está al servicio del Estado y de la comunidad”.</w:t>
      </w:r>
      <w:r w:rsidRPr="00BF6B9C">
        <w:rPr>
          <w:rStyle w:val="Refdenotaalpie"/>
          <w:rFonts w:ascii="Bookman Old Style" w:hAnsi="Bookman Old Style"/>
          <w:i/>
          <w:shd w:val="clear" w:color="auto" w:fill="FFFFFF"/>
        </w:rPr>
        <w:footnoteReference w:id="5"/>
      </w:r>
      <w:r w:rsidRPr="00BF6B9C">
        <w:rPr>
          <w:rFonts w:ascii="Bookman Old Style" w:hAnsi="Bookman Old Style"/>
          <w:i/>
          <w:shd w:val="clear" w:color="auto" w:fill="FFFFFF"/>
        </w:rPr>
        <w:t>.</w:t>
      </w:r>
    </w:p>
    <w:p w:rsidR="00253925" w:rsidRPr="00BF6B9C" w:rsidRDefault="00253925"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 xml:space="preserve">En relación con </w:t>
      </w:r>
      <w:r w:rsidR="00BE76E0" w:rsidRPr="00BF6B9C">
        <w:rPr>
          <w:rFonts w:ascii="Bookman Old Style" w:hAnsi="Bookman Old Style" w:cs="Arial"/>
          <w:lang w:val="es-ES_tradnl"/>
        </w:rPr>
        <w:t xml:space="preserve">el alcance de </w:t>
      </w:r>
      <w:r w:rsidRPr="00BF6B9C">
        <w:rPr>
          <w:rFonts w:ascii="Bookman Old Style" w:hAnsi="Bookman Old Style" w:cs="Arial"/>
          <w:lang w:val="es-ES_tradnl"/>
        </w:rPr>
        <w:t>las atribuciones asignadas a esta Comisión en las leyes 142 y 143 de 1994</w:t>
      </w:r>
      <w:r w:rsidR="006328A4" w:rsidRPr="00BF6B9C">
        <w:rPr>
          <w:rFonts w:ascii="Bookman Old Style" w:hAnsi="Bookman Old Style" w:cs="Arial"/>
          <w:lang w:val="es-ES_tradnl"/>
        </w:rPr>
        <w:t xml:space="preserve"> en materia regulatoria</w:t>
      </w:r>
      <w:r w:rsidRPr="00BF6B9C">
        <w:rPr>
          <w:rFonts w:ascii="Bookman Old Style" w:hAnsi="Bookman Old Style" w:cs="Arial"/>
          <w:lang w:val="es-ES_tradnl"/>
        </w:rPr>
        <w:t>, se t</w:t>
      </w:r>
      <w:r w:rsidR="00EF6BDC" w:rsidRPr="00BF6B9C">
        <w:rPr>
          <w:rFonts w:ascii="Bookman Old Style" w:hAnsi="Bookman Old Style" w:cs="Arial"/>
          <w:lang w:val="es-ES_tradnl"/>
        </w:rPr>
        <w:t>iene</w:t>
      </w:r>
      <w:r w:rsidRPr="00BF6B9C">
        <w:rPr>
          <w:rFonts w:ascii="Bookman Old Style" w:hAnsi="Bookman Old Style" w:cs="Arial"/>
          <w:lang w:val="es-ES_tradnl"/>
        </w:rPr>
        <w:t xml:space="preserve"> en cuenta que el ejercicio de </w:t>
      </w:r>
      <w:r w:rsidR="006328A4" w:rsidRPr="00BF6B9C">
        <w:rPr>
          <w:rFonts w:ascii="Bookman Old Style" w:hAnsi="Bookman Old Style" w:cs="Arial"/>
          <w:lang w:val="es-ES_tradnl"/>
        </w:rPr>
        <w:t>dicha facultad</w:t>
      </w:r>
      <w:r w:rsidRPr="00BF6B9C">
        <w:rPr>
          <w:rFonts w:ascii="Bookman Old Style" w:hAnsi="Bookman Old Style" w:cs="Arial"/>
          <w:lang w:val="es-ES_tradnl"/>
        </w:rPr>
        <w:t xml:space="preserve">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w:t>
      </w:r>
      <w:r w:rsidR="006328A4" w:rsidRPr="00BF6B9C">
        <w:rPr>
          <w:rFonts w:ascii="Bookman Old Style" w:hAnsi="Bookman Old Style" w:cs="Arial"/>
          <w:lang w:val="es-ES_tradnl"/>
        </w:rPr>
        <w:t>ansparente competencia, protegiendo los derechos de los usuarios, así como de</w:t>
      </w:r>
      <w:r w:rsidRPr="00BF6B9C">
        <w:rPr>
          <w:rFonts w:ascii="Bookman Old Style" w:hAnsi="Bookman Old Style" w:cs="Arial"/>
          <w:lang w:val="es-ES_tradnl"/>
        </w:rPr>
        <w:t xml:space="preserv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BF6B9C">
        <w:rPr>
          <w:rFonts w:ascii="Bookman Old Style" w:hAnsi="Bookman Old Style" w:cs="Arial"/>
          <w:vertAlign w:val="superscript"/>
          <w:lang w:val="es-ES_tradnl"/>
        </w:rPr>
        <w:footnoteReference w:id="6"/>
      </w:r>
      <w:r w:rsidRPr="00BF6B9C">
        <w:rPr>
          <w:rFonts w:ascii="Bookman Old Style" w:hAnsi="Bookman Old Style" w:cs="Arial"/>
          <w:lang w:val="es-ES_tradnl"/>
        </w:rPr>
        <w:t xml:space="preserve"> previstos en dichas normas</w:t>
      </w:r>
      <w:r w:rsidR="006328A4" w:rsidRPr="00BF6B9C">
        <w:rPr>
          <w:rFonts w:ascii="Bookman Old Style" w:hAnsi="Bookman Old Style" w:cs="Arial"/>
          <w:lang w:val="es-ES_tradnl"/>
        </w:rPr>
        <w:t>,</w:t>
      </w:r>
      <w:r w:rsidRPr="00BF6B9C">
        <w:rPr>
          <w:rFonts w:ascii="Bookman Old Style" w:eastAsia="Calibri" w:hAnsi="Bookman Old Style"/>
          <w:lang w:val="es-CO" w:eastAsia="en-US"/>
        </w:rPr>
        <w:t xml:space="preserve"> </w:t>
      </w:r>
      <w:r w:rsidRPr="00BF6B9C">
        <w:rPr>
          <w:rFonts w:ascii="Bookman Old Style" w:hAnsi="Bookman Old Style" w:cs="Arial"/>
          <w:lang w:val="es-ES_tradnl"/>
        </w:rPr>
        <w:t>garantizando la efectividad de los principios sociales y el adecuado funcionamiento del mercado.</w:t>
      </w:r>
    </w:p>
    <w:p w:rsidR="009C5BF2" w:rsidRPr="00BF6B9C" w:rsidRDefault="009C5BF2"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BF6B9C">
        <w:rPr>
          <w:rFonts w:ascii="Bookman Old Style" w:eastAsia="Calibri" w:hAnsi="Bookman Old Style" w:cs="Arial"/>
          <w:vertAlign w:val="superscript"/>
          <w:lang w:val="es-ES_tradnl" w:eastAsia="en-US"/>
        </w:rPr>
        <w:footnoteReference w:id="7"/>
      </w:r>
      <w:r w:rsidRPr="00BF6B9C">
        <w:rPr>
          <w:rFonts w:ascii="Bookman Old Style" w:eastAsia="Calibri" w:hAnsi="Bookman Old Style" w:cs="Arial"/>
          <w:lang w:val="es-ES_tradnl" w:eastAsia="en-US"/>
        </w:rPr>
        <w:t>, la corrección de las imperfecciones del mercado</w:t>
      </w:r>
      <w:r w:rsidRPr="00BF6B9C">
        <w:rPr>
          <w:rFonts w:ascii="Bookman Old Style" w:eastAsia="Calibri" w:hAnsi="Bookman Old Style" w:cs="Arial"/>
          <w:vertAlign w:val="superscript"/>
          <w:lang w:val="es-ES_tradnl" w:eastAsia="en-US"/>
        </w:rPr>
        <w:footnoteReference w:id="8"/>
      </w:r>
      <w:r w:rsidRPr="00BF6B9C">
        <w:rPr>
          <w:rFonts w:ascii="Bookman Old Style" w:eastAsia="Calibri" w:hAnsi="Bookman Old Style" w:cs="Arial"/>
          <w:lang w:val="es-ES_tradnl" w:eastAsia="en-US"/>
        </w:rPr>
        <w:t>, así como la satisfacción del interés general</w:t>
      </w:r>
      <w:r w:rsidRPr="00BF6B9C">
        <w:rPr>
          <w:rFonts w:ascii="Bookman Old Style" w:eastAsia="Calibri" w:hAnsi="Bookman Old Style" w:cs="Arial"/>
          <w:vertAlign w:val="superscript"/>
          <w:lang w:val="es-ES_tradnl" w:eastAsia="en-US"/>
        </w:rPr>
        <w:footnoteReference w:id="9"/>
      </w:r>
      <w:r w:rsidRPr="00BF6B9C">
        <w:rPr>
          <w:rFonts w:ascii="Bookman Old Style" w:eastAsia="Calibri" w:hAnsi="Bookman Old Style" w:cs="Arial"/>
          <w:lang w:val="es-ES_tradnl" w:eastAsia="en-US"/>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BF6B9C">
        <w:rPr>
          <w:rFonts w:ascii="Bookman Old Style" w:eastAsia="Calibri" w:hAnsi="Bookman Old Style" w:cs="Arial"/>
          <w:lang w:val="es-CO" w:eastAsia="en-US"/>
        </w:rPr>
        <w:t xml:space="preserve"> </w:t>
      </w:r>
      <w:r w:rsidRPr="00BF6B9C">
        <w:rPr>
          <w:rFonts w:ascii="Bookman Old Style" w:eastAsia="Calibri" w:hAnsi="Bookman Old Style" w:cs="Arial"/>
          <w:lang w:val="es-ES_tradnl" w:eastAsia="en-US"/>
        </w:rPr>
        <w:t>su prestación eficiente asegura condiciones de vida digna de todos los habitantes del territorio nacional</w:t>
      </w:r>
      <w:r w:rsidRPr="00BF6B9C">
        <w:rPr>
          <w:rStyle w:val="Refdenotaalpie"/>
          <w:rFonts w:ascii="Bookman Old Style" w:eastAsia="Calibri" w:hAnsi="Bookman Old Style" w:cs="Arial"/>
          <w:lang w:val="es-ES_tradnl" w:eastAsia="en-US"/>
        </w:rPr>
        <w:footnoteReference w:id="10"/>
      </w:r>
      <w:r w:rsidRPr="00BF6B9C">
        <w:rPr>
          <w:rFonts w:ascii="Bookman Old Style" w:eastAsia="Calibri" w:hAnsi="Bookman Old Style" w:cs="Arial"/>
          <w:lang w:val="es-ES_tradnl" w:eastAsia="en-US"/>
        </w:rPr>
        <w:t xml:space="preserve">. </w:t>
      </w:r>
    </w:p>
    <w:p w:rsidR="009C5BF2" w:rsidRPr="00BF6B9C" w:rsidRDefault="009C5BF2" w:rsidP="009C5BF2">
      <w:pPr>
        <w:ind w:left="0" w:right="-93"/>
        <w:jc w:val="both"/>
        <w:rPr>
          <w:rFonts w:ascii="Bookman Old Style" w:eastAsia="Calibri" w:hAnsi="Bookman Old Style" w:cs="Arial"/>
          <w:lang w:val="es-ES_tradnl" w:eastAsia="en-US"/>
        </w:rPr>
      </w:pPr>
    </w:p>
    <w:p w:rsidR="00253925"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rsidR="00253925" w:rsidRPr="00BF6B9C" w:rsidRDefault="00253925"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BF6B9C">
        <w:rPr>
          <w:rFonts w:ascii="Bookman Old Style" w:hAnsi="Bookman Old Style" w:cs="Arial"/>
          <w:lang w:val="es-ES_tradnl"/>
        </w:rPr>
        <w:t>s</w:t>
      </w:r>
      <w:r w:rsidRPr="00BF6B9C">
        <w:rPr>
          <w:rFonts w:ascii="Bookman Old Style" w:hAnsi="Bookman Old Style" w:cs="Arial"/>
          <w:lang w:val="es-ES_tradnl"/>
        </w:rPr>
        <w:t xml:space="preserve"> 209) y legales (Ley 1437 de 2011 artículo 3) que guían las actuaciones administrativas de esta Comisión</w:t>
      </w:r>
      <w:r w:rsidRPr="00BF6B9C">
        <w:rPr>
          <w:rFonts w:ascii="Bookman Old Style" w:hAnsi="Bookman Old Style" w:cs="Arial"/>
          <w:vertAlign w:val="superscript"/>
          <w:lang w:val="es-ES_tradnl"/>
        </w:rPr>
        <w:footnoteReference w:id="11"/>
      </w:r>
      <w:r w:rsidRPr="00BF6B9C">
        <w:rPr>
          <w:rFonts w:ascii="Bookman Old Style" w:hAnsi="Bookman Old Style" w:cs="Arial"/>
          <w:lang w:val="es-ES_tradnl"/>
        </w:rPr>
        <w:t>. 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rsidR="009C5BF2" w:rsidRPr="00BF6B9C" w:rsidRDefault="009C5BF2"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hAnsi="Bookman Old Style" w:cs="Arial"/>
          <w:lang w:val="es-ES_tradnl"/>
        </w:rPr>
        <w:t xml:space="preserve">En este sentido, dentro de las actuaciones </w:t>
      </w:r>
      <w:r w:rsidR="006328A4" w:rsidRPr="00BF6B9C">
        <w:rPr>
          <w:rFonts w:ascii="Bookman Old Style" w:hAnsi="Bookman Old Style" w:cs="Arial"/>
          <w:lang w:val="es-ES_tradnl"/>
        </w:rPr>
        <w:t xml:space="preserve">administrativas </w:t>
      </w:r>
      <w:r w:rsidRPr="00BF6B9C">
        <w:rPr>
          <w:rFonts w:ascii="Bookman Old Style" w:hAnsi="Bookman Old Style" w:cs="Arial"/>
          <w:lang w:val="es-ES_tradnl"/>
        </w:rPr>
        <w:t xml:space="preserve">que adelante esta Comisión, para </w:t>
      </w:r>
      <w:r w:rsidRPr="00BF6B9C">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BF6B9C">
        <w:rPr>
          <w:rFonts w:ascii="Bookman Old Style" w:eastAsia="Calibri" w:hAnsi="Bookman Old Style" w:cs="Arial"/>
          <w:vertAlign w:val="superscript"/>
          <w:lang w:val="es-ES_tradnl" w:eastAsia="en-US"/>
        </w:rPr>
        <w:footnoteReference w:id="12"/>
      </w:r>
      <w:r w:rsidRPr="00BF6B9C">
        <w:rPr>
          <w:rFonts w:ascii="Bookman Old Style" w:eastAsia="Calibri" w:hAnsi="Bookman Old Style" w:cs="Arial"/>
          <w:lang w:val="es-ES_tradnl" w:eastAsia="en-US"/>
        </w:rPr>
        <w:t xml:space="preserve"> y legales</w:t>
      </w:r>
      <w:r w:rsidRPr="00BF6B9C">
        <w:rPr>
          <w:rFonts w:ascii="Bookman Old Style" w:eastAsia="Calibri" w:hAnsi="Bookman Old Style" w:cs="Arial"/>
          <w:vertAlign w:val="superscript"/>
          <w:lang w:val="es-ES_tradnl" w:eastAsia="en-US"/>
        </w:rPr>
        <w:footnoteReference w:id="13"/>
      </w:r>
      <w:r w:rsidRPr="00BF6B9C">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aquellos intereses de las empresas en relación con la competencia, la iniciativa privada y la libertad de empresa, entendidas como la existencia de “</w:t>
      </w:r>
      <w:r w:rsidRPr="00BF6B9C">
        <w:rPr>
          <w:rFonts w:ascii="Bookman Old Style" w:eastAsia="Calibri" w:hAnsi="Bookman Old Style" w:cs="Arial"/>
          <w:i/>
          <w:lang w:val="es-ES_tradnl" w:eastAsia="en-US"/>
        </w:rPr>
        <w:t>relaciones jurídicas de equilibrio entre usuarios y las empresas prestadoras de servicios públicos domiciliarios”</w:t>
      </w:r>
      <w:r w:rsidRPr="00BF6B9C">
        <w:rPr>
          <w:rFonts w:ascii="Bookman Old Style" w:eastAsia="Calibri" w:hAnsi="Bookman Old Style" w:cs="Arial"/>
          <w:vertAlign w:val="superscript"/>
          <w:lang w:val="es-ES_tradnl" w:eastAsia="en-US"/>
        </w:rPr>
        <w:footnoteReference w:id="14"/>
      </w:r>
      <w:r w:rsidRPr="00BF6B9C">
        <w:rPr>
          <w:rFonts w:ascii="Bookman Old Style" w:eastAsia="Calibri" w:hAnsi="Bookman Old Style" w:cs="Arial"/>
          <w:i/>
          <w:lang w:val="es-ES_tradnl" w:eastAsia="en-US"/>
        </w:rPr>
        <w:t>.</w:t>
      </w:r>
    </w:p>
    <w:p w:rsidR="009C5BF2" w:rsidRPr="00BF6B9C" w:rsidRDefault="009C5BF2" w:rsidP="009C5BF2">
      <w:pPr>
        <w:ind w:left="0" w:right="-142"/>
        <w:jc w:val="both"/>
        <w:rPr>
          <w:rFonts w:ascii="Bookman Old Style" w:eastAsia="Calibri" w:hAnsi="Bookman Old Style"/>
          <w:lang w:val="es-ES_tradnl" w:eastAsia="en-US"/>
        </w:rPr>
      </w:pPr>
    </w:p>
    <w:p w:rsidR="009C5BF2" w:rsidRPr="00BF6B9C" w:rsidRDefault="009C5BF2" w:rsidP="00EA2219">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BF6B9C">
        <w:rPr>
          <w:rFonts w:ascii="Bookman Old Style" w:eastAsia="Calibri" w:hAnsi="Bookman Old Style" w:cs="Arial"/>
          <w:vertAlign w:val="superscript"/>
          <w:lang w:val="es-ES_tradnl" w:eastAsia="en-US"/>
        </w:rPr>
        <w:footnoteReference w:id="15"/>
      </w:r>
      <w:r w:rsidR="006328A4" w:rsidRPr="00BF6B9C">
        <w:rPr>
          <w:rFonts w:ascii="Bookman Old Style" w:eastAsia="Calibri" w:hAnsi="Bookman Old Style" w:cs="Arial"/>
          <w:lang w:val="es-ES_tradnl" w:eastAsia="en-US"/>
        </w:rPr>
        <w:t>.</w:t>
      </w:r>
    </w:p>
    <w:p w:rsidR="009C5BF2" w:rsidRPr="00BF6B9C" w:rsidRDefault="009C5BF2" w:rsidP="009C5BF2">
      <w:pPr>
        <w:ind w:left="0" w:right="-93"/>
        <w:jc w:val="both"/>
        <w:rPr>
          <w:rFonts w:ascii="Bookman Old Style" w:hAnsi="Bookman Old Style" w:cs="Arial"/>
          <w:lang w:val="es-ES_tradnl"/>
        </w:rPr>
      </w:pPr>
    </w:p>
    <w:p w:rsidR="00253925"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BF6B9C">
        <w:rPr>
          <w:rFonts w:ascii="Bookman Old Style" w:hAnsi="Bookman Old Style" w:cs="Arial"/>
          <w:lang w:val="es-ES_tradnl"/>
        </w:rPr>
        <w:t>,</w:t>
      </w:r>
      <w:r w:rsidRPr="00BF6B9C">
        <w:rPr>
          <w:rFonts w:ascii="Bookman Old Style" w:hAnsi="Bookman Old Style" w:cs="Arial"/>
          <w:lang w:val="es-ES_tradnl"/>
        </w:rPr>
        <w:t xml:space="preserve"> ha sido expuesto por parte de la jurisprudencia</w:t>
      </w:r>
      <w:r w:rsidR="00BE76E0" w:rsidRPr="00BF6B9C">
        <w:rPr>
          <w:rFonts w:ascii="Bookman Old Style" w:hAnsi="Bookman Old Style" w:cs="Arial"/>
          <w:lang w:val="es-ES_tradnl"/>
        </w:rPr>
        <w:t xml:space="preserve"> constitucional</w:t>
      </w:r>
      <w:r w:rsidRPr="00BF6B9C">
        <w:rPr>
          <w:rFonts w:ascii="Bookman Old Style" w:hAnsi="Bookman Old Style" w:cs="Arial"/>
          <w:lang w:val="es-ES_tradnl"/>
        </w:rPr>
        <w:t>, en el caso del análisis de constitucionalidad del artículo 74 de la Ley 142 de 1994</w:t>
      </w:r>
      <w:r w:rsidR="006328A4" w:rsidRPr="00BF6B9C">
        <w:rPr>
          <w:rFonts w:ascii="Bookman Old Style" w:hAnsi="Bookman Old Style" w:cs="Arial"/>
          <w:lang w:val="es-ES_tradnl"/>
        </w:rPr>
        <w:t xml:space="preserve"> (normas y tratamientos diferenciales de los agentes según su posición en el mercado)</w:t>
      </w:r>
      <w:r w:rsidRPr="00BF6B9C">
        <w:rPr>
          <w:rFonts w:ascii="Bookman Old Style" w:hAnsi="Bookman Old Style" w:cs="Arial"/>
          <w:lang w:val="es-ES_tradnl"/>
        </w:rPr>
        <w:t>, donde se ha precisado que dichas funciones se deben ejercer dentro del marco fijado en la Constitución, la Ley y el reglamento, lo cual no excluye la posibilidad de dictar actos administrativos para asegurar una prestación eficiente de los servicios</w:t>
      </w:r>
      <w:r w:rsidR="00BE76E0" w:rsidRPr="00BF6B9C">
        <w:rPr>
          <w:rFonts w:ascii="Bookman Old Style" w:hAnsi="Bookman Old Style" w:cs="Arial"/>
          <w:lang w:val="es-ES_tradnl"/>
        </w:rPr>
        <w:t xml:space="preserve">. </w:t>
      </w:r>
    </w:p>
    <w:p w:rsidR="00253925" w:rsidRPr="00BF6B9C" w:rsidRDefault="00253925"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En relación con esta consideración la jurisprudencia reciente en materia constitucional ha consagrado lo siguiente:</w:t>
      </w:r>
    </w:p>
    <w:p w:rsidR="009C5BF2" w:rsidRPr="00BF6B9C" w:rsidRDefault="009C5BF2" w:rsidP="009C5BF2">
      <w:pPr>
        <w:ind w:left="284" w:right="-91"/>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p>
    <w:p w:rsidR="009C5BF2" w:rsidRPr="00BF6B9C" w:rsidRDefault="009C5BF2"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económicas sino que también buscan asegurar ‘la compatibilidad de un mercado eficiente con los principios del Estado social de derecho, dentro de una democracia participativa en la cual los derechos de todos los usuarios sean efectivamente protegidos y garantizados’.</w:t>
      </w:r>
    </w:p>
    <w:p w:rsidR="00414B26" w:rsidRPr="00BF6B9C" w:rsidRDefault="00414B26"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BF6B9C">
        <w:rPr>
          <w:rFonts w:ascii="Bookman Old Style" w:hAnsi="Bookman Old Style" w:cs="Arial"/>
          <w:iCs/>
          <w:vertAlign w:val="superscript"/>
          <w:lang w:val="es-CO" w:eastAsia="es-CO"/>
        </w:rPr>
        <w:footnoteReference w:id="16"/>
      </w:r>
      <w:r w:rsidRPr="00BF6B9C">
        <w:rPr>
          <w:rFonts w:ascii="Bookman Old Style" w:hAnsi="Bookman Old Style" w:cs="Arial"/>
          <w:iCs/>
          <w:lang w:val="es-CO" w:eastAsia="es-CO"/>
        </w:rPr>
        <w:t>.</w:t>
      </w:r>
    </w:p>
    <w:p w:rsidR="009C5BF2" w:rsidRPr="00BF6B9C" w:rsidRDefault="009C5BF2"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 xml:space="preserve">(i) </w:t>
      </w:r>
      <w:r w:rsidRPr="00BF6B9C">
        <w:rPr>
          <w:rFonts w:ascii="Bookman Old Style" w:hAnsi="Bookman Old Style" w:cs="Arial"/>
          <w:iCs/>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BF6B9C">
        <w:rPr>
          <w:rFonts w:ascii="Bookman Old Style" w:hAnsi="Bookman Old Style" w:cs="Arial"/>
          <w:iCs/>
          <w:lang w:val="es-CO" w:eastAsia="es-CO"/>
        </w:rPr>
        <w:t xml:space="preserve"> </w:t>
      </w:r>
    </w:p>
    <w:p w:rsidR="009C5BF2" w:rsidRPr="00BF6B9C" w:rsidRDefault="009C5BF2"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rsidR="009C5BF2" w:rsidRPr="00BF6B9C" w:rsidRDefault="009C5BF2"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rsidR="009C5BF2" w:rsidRPr="00BF6B9C" w:rsidRDefault="009C5BF2" w:rsidP="00EA2219">
      <w:pPr>
        <w:ind w:left="284" w:right="284"/>
        <w:jc w:val="both"/>
        <w:rPr>
          <w:rFonts w:ascii="Bookman Old Style" w:hAnsi="Bookman Old Style" w:cs="Arial"/>
          <w:iCs/>
          <w:lang w:val="es-CO" w:eastAsia="es-CO"/>
        </w:rPr>
      </w:pPr>
    </w:p>
    <w:p w:rsidR="009C5BF2" w:rsidRPr="00BF6B9C" w:rsidRDefault="009C5BF2" w:rsidP="00EA2219">
      <w:pPr>
        <w:ind w:left="284" w:right="284"/>
        <w:jc w:val="both"/>
        <w:rPr>
          <w:rFonts w:ascii="Bookman Old Style" w:hAnsi="Bookman Old Style" w:cs="Arial"/>
          <w:iCs/>
          <w:lang w:val="es-CO" w:eastAsia="es-CO"/>
        </w:rPr>
      </w:pPr>
      <w:r w:rsidRPr="00BF6B9C">
        <w:rPr>
          <w:rFonts w:ascii="Bookman Old Style" w:hAnsi="Bookman Old Style" w:cs="Arial"/>
          <w:iCs/>
          <w:lang w:val="es-CO" w:eastAsia="es-CO"/>
        </w:rPr>
        <w:t xml:space="preserve">(iv) </w:t>
      </w:r>
      <w:r w:rsidRPr="00BF6B9C">
        <w:rPr>
          <w:rFonts w:ascii="Bookman Old Style" w:hAnsi="Bookman Old Style" w:cs="Arial"/>
          <w:iCs/>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BF6B9C">
        <w:rPr>
          <w:rFonts w:ascii="Bookman Old Style" w:hAnsi="Bookman Old Style" w:cs="Arial"/>
          <w:iCs/>
          <w:lang w:val="es-CO" w:eastAsia="es-CO"/>
        </w:rPr>
        <w:t xml:space="preserve"> En esa medida, además de los límites competenciales anotados, existen restricciones de orden fáctico que impiden a las autoridades obrar de manera arbitraria -como se sostiene en la demanda-, al tiempo que brindan la posibilidad de recurrir las decisiones o de ser necesario acudir a instancias judiciales para controlar eventuales excesos”.</w:t>
      </w:r>
      <w:r w:rsidRPr="00BF6B9C">
        <w:rPr>
          <w:rFonts w:ascii="Bookman Old Style" w:hAnsi="Bookman Old Style" w:cs="Arial"/>
          <w:iCs/>
          <w:vertAlign w:val="superscript"/>
          <w:lang w:val="es-CO" w:eastAsia="es-CO"/>
        </w:rPr>
        <w:footnoteReference w:id="17"/>
      </w:r>
      <w:r w:rsidRPr="00BF6B9C">
        <w:rPr>
          <w:rFonts w:ascii="Bookman Old Style" w:hAnsi="Bookman Old Style" w:cs="Arial"/>
          <w:iCs/>
          <w:lang w:val="es-CO" w:eastAsia="es-CO"/>
        </w:rPr>
        <w:t xml:space="preserve"> (Subrayado fuera de texto)</w:t>
      </w:r>
    </w:p>
    <w:p w:rsidR="009C5BF2" w:rsidRPr="00BF6B9C" w:rsidRDefault="009C5BF2" w:rsidP="009C5BF2">
      <w:pPr>
        <w:ind w:left="0" w:right="-93"/>
        <w:jc w:val="both"/>
        <w:rPr>
          <w:rFonts w:ascii="Bookman Old Style" w:hAnsi="Bookman Old Style" w:cs="Arial"/>
          <w:lang w:val="es-CO"/>
        </w:rPr>
      </w:pPr>
    </w:p>
    <w:p w:rsidR="009C5BF2"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BF6B9C">
        <w:rPr>
          <w:rFonts w:ascii="Bookman Old Style" w:hAnsi="Bookman Old Style" w:cs="Arial"/>
          <w:vertAlign w:val="superscript"/>
          <w:lang w:val="es-ES_tradnl"/>
        </w:rPr>
        <w:footnoteReference w:id="18"/>
      </w:r>
      <w:r w:rsidRPr="00BF6B9C">
        <w:rPr>
          <w:rFonts w:ascii="Bookman Old Style" w:hAnsi="Bookman Old Style" w:cs="Arial"/>
          <w:lang w:val="es-ES_tradnl"/>
        </w:rPr>
        <w:t>.</w:t>
      </w:r>
    </w:p>
    <w:p w:rsidR="009C5BF2" w:rsidRPr="00BF6B9C" w:rsidRDefault="009C5BF2" w:rsidP="009C5BF2">
      <w:pPr>
        <w:ind w:left="0"/>
        <w:jc w:val="both"/>
        <w:rPr>
          <w:rFonts w:ascii="Bookman Old Style" w:hAnsi="Bookman Old Style" w:cs="Arial"/>
          <w:vertAlign w:val="superscript"/>
          <w:lang w:val="es-ES_tradnl"/>
        </w:rPr>
      </w:pPr>
    </w:p>
    <w:p w:rsidR="00253925" w:rsidRPr="00BF6B9C" w:rsidRDefault="00253925" w:rsidP="00253925">
      <w:pPr>
        <w:ind w:left="0"/>
        <w:jc w:val="both"/>
        <w:rPr>
          <w:rFonts w:ascii="Bookman Old Style" w:hAnsi="Bookman Old Style" w:cs="Arial"/>
          <w:lang w:val="es-ES_tradnl"/>
        </w:rPr>
      </w:pPr>
      <w:r w:rsidRPr="00BF6B9C">
        <w:rPr>
          <w:rFonts w:ascii="Bookman Old Style" w:hAnsi="Bookman Old Style" w:cs="Arial"/>
          <w:lang w:val="es-ES_tradnl"/>
        </w:rPr>
        <w:t xml:space="preserve">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 </w:t>
      </w:r>
    </w:p>
    <w:p w:rsidR="00BE76E0" w:rsidRPr="00BF6B9C" w:rsidRDefault="00BE76E0" w:rsidP="00EA2219">
      <w:pPr>
        <w:ind w:left="0"/>
        <w:jc w:val="both"/>
        <w:rPr>
          <w:rFonts w:ascii="Bookman Old Style" w:hAnsi="Bookman Old Style" w:cs="Arial"/>
          <w:lang w:val="es-ES_tradnl"/>
        </w:rPr>
      </w:pPr>
    </w:p>
    <w:p w:rsidR="00A716F6" w:rsidRPr="00BF6B9C" w:rsidRDefault="00A716F6" w:rsidP="00A716F6">
      <w:pPr>
        <w:numPr>
          <w:ilvl w:val="0"/>
          <w:numId w:val="2"/>
        </w:numPr>
        <w:ind w:left="567" w:hanging="567"/>
        <w:jc w:val="both"/>
        <w:rPr>
          <w:rFonts w:ascii="Bookman Old Style" w:hAnsi="Bookman Old Style" w:cs="Arial"/>
          <w:b/>
          <w:lang w:val="es-ES_tradnl"/>
        </w:rPr>
      </w:pPr>
      <w:r w:rsidRPr="00BF6B9C">
        <w:rPr>
          <w:rFonts w:ascii="Bookman Old Style" w:hAnsi="Bookman Old Style" w:cs="Arial"/>
          <w:b/>
          <w:lang w:val="es-ES_tradnl"/>
        </w:rPr>
        <w:t xml:space="preserve">Principios constitucionales </w:t>
      </w:r>
      <w:r w:rsidR="00505258" w:rsidRPr="00BF6B9C">
        <w:rPr>
          <w:rFonts w:ascii="Bookman Old Style" w:hAnsi="Bookman Old Style" w:cs="Arial"/>
          <w:b/>
          <w:lang w:val="es-ES_tradnl"/>
        </w:rPr>
        <w:t>que rigen la prestación de los servicios públicos</w:t>
      </w:r>
    </w:p>
    <w:p w:rsidR="00A50F04" w:rsidRPr="00BF6B9C" w:rsidRDefault="00A50F04" w:rsidP="00EA2219">
      <w:pPr>
        <w:ind w:left="0"/>
        <w:jc w:val="both"/>
        <w:rPr>
          <w:rFonts w:ascii="Bookman Old Style" w:hAnsi="Bookman Old Style" w:cs="Arial"/>
          <w:lang w:val="es-ES_tradnl"/>
        </w:rPr>
      </w:pPr>
    </w:p>
    <w:p w:rsidR="00505258" w:rsidRPr="00BF6B9C" w:rsidRDefault="00505258" w:rsidP="00EA2219">
      <w:pPr>
        <w:ind w:left="0"/>
        <w:jc w:val="both"/>
        <w:rPr>
          <w:rFonts w:ascii="Bookman Old Style" w:hAnsi="Bookman Old Style" w:cs="Arial"/>
          <w:lang w:val="es-ES_tradnl"/>
        </w:rPr>
      </w:pPr>
      <w:r w:rsidRPr="00BF6B9C">
        <w:rPr>
          <w:rFonts w:ascii="Bookman Old Style" w:hAnsi="Bookman Old Style" w:cs="Arial"/>
          <w:lang w:val="es-ES_tradnl"/>
        </w:rPr>
        <w:t xml:space="preserve">El constituyente tuvo a bien elevar a rango constitucional los principios rectores que rigen la prestación de los servicios públicos domiciliarios disponiendo entre otros aspectos:  </w:t>
      </w:r>
    </w:p>
    <w:p w:rsidR="00A716F6" w:rsidRPr="00BF6B9C" w:rsidRDefault="00A716F6" w:rsidP="00EA2219">
      <w:pPr>
        <w:ind w:left="0"/>
        <w:jc w:val="both"/>
        <w:rPr>
          <w:rFonts w:ascii="Bookman Old Style" w:hAnsi="Bookman Old Style" w:cs="Arial"/>
          <w:lang w:val="es-ES_tradnl"/>
        </w:rPr>
      </w:pPr>
    </w:p>
    <w:p w:rsidR="00A716F6" w:rsidRPr="00BF6B9C" w:rsidRDefault="00A716F6" w:rsidP="00A50F04">
      <w:pPr>
        <w:ind w:left="284" w:right="284"/>
        <w:jc w:val="both"/>
        <w:rPr>
          <w:rFonts w:ascii="Bookman Old Style" w:hAnsi="Bookman Old Style" w:cs="Arial"/>
          <w:i/>
        </w:rPr>
      </w:pPr>
      <w:r w:rsidRPr="00BF6B9C">
        <w:rPr>
          <w:rFonts w:ascii="Bookman Old Style" w:hAnsi="Bookman Old Style" w:cs="Arial"/>
          <w:i/>
        </w:rPr>
        <w:t>“</w:t>
      </w:r>
      <w:r w:rsidR="00A50F04" w:rsidRPr="00BF6B9C">
        <w:rPr>
          <w:rFonts w:ascii="Bookman Old Style" w:hAnsi="Bookman Old Style" w:cs="Arial"/>
          <w:i/>
        </w:rPr>
        <w:t xml:space="preserve">ARTICULO 365. </w:t>
      </w:r>
      <w:r w:rsidR="00A50F04" w:rsidRPr="00BF6B9C">
        <w:rPr>
          <w:rFonts w:ascii="Bookman Old Style" w:hAnsi="Bookman Old Style" w:cs="Arial"/>
          <w:i/>
          <w:u w:val="single"/>
        </w:rPr>
        <w:t>Los servicios públicos son inherentes a la finalidad social del Estado. Es deber del Estado asegurar su prestación eficiente a todos los habitantes del territorio nacional</w:t>
      </w:r>
      <w:r w:rsidR="00A50F04" w:rsidRPr="00BF6B9C">
        <w:rPr>
          <w:rFonts w:ascii="Bookman Old Style" w:hAnsi="Bookman Old Style" w:cs="Arial"/>
          <w:i/>
        </w:rPr>
        <w:t xml:space="preserve">. </w:t>
      </w:r>
    </w:p>
    <w:p w:rsidR="00A716F6" w:rsidRPr="00BF6B9C" w:rsidRDefault="00A716F6" w:rsidP="00A50F04">
      <w:pPr>
        <w:ind w:left="284" w:right="284"/>
        <w:jc w:val="both"/>
        <w:rPr>
          <w:rFonts w:ascii="Bookman Old Style" w:hAnsi="Bookman Old Style" w:cs="Arial"/>
          <w:i/>
        </w:rPr>
      </w:pPr>
    </w:p>
    <w:p w:rsidR="00A50F04" w:rsidRPr="00BF6B9C" w:rsidRDefault="00A50F04" w:rsidP="00A50F04">
      <w:pPr>
        <w:ind w:left="284" w:right="284"/>
        <w:jc w:val="both"/>
        <w:rPr>
          <w:rFonts w:ascii="Bookman Old Style" w:hAnsi="Bookman Old Style" w:cs="Arial"/>
          <w:i/>
        </w:rPr>
      </w:pPr>
      <w:r w:rsidRPr="00BF6B9C">
        <w:rPr>
          <w:rFonts w:ascii="Bookman Old Style" w:hAnsi="Bookman Old Style" w:cs="Arial"/>
          <w:i/>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A50F04" w:rsidRPr="00BF6B9C" w:rsidRDefault="00A50F04" w:rsidP="00A50F04">
      <w:pPr>
        <w:ind w:left="284" w:right="284"/>
        <w:jc w:val="both"/>
        <w:rPr>
          <w:rFonts w:ascii="Bookman Old Style" w:hAnsi="Bookman Old Style" w:cs="Arial"/>
          <w:i/>
        </w:rPr>
      </w:pPr>
    </w:p>
    <w:p w:rsidR="00BF6B9C" w:rsidRDefault="00BF6B9C" w:rsidP="00A50F04">
      <w:pPr>
        <w:ind w:left="284" w:right="284"/>
        <w:jc w:val="both"/>
        <w:rPr>
          <w:rFonts w:ascii="Bookman Old Style" w:hAnsi="Bookman Old Style" w:cs="Arial"/>
          <w:i/>
        </w:rPr>
      </w:pPr>
    </w:p>
    <w:p w:rsidR="00A50F04" w:rsidRPr="00BF6B9C" w:rsidRDefault="00A50F04" w:rsidP="00A50F04">
      <w:pPr>
        <w:ind w:left="284" w:right="284"/>
        <w:jc w:val="both"/>
        <w:rPr>
          <w:rFonts w:ascii="Bookman Old Style" w:hAnsi="Bookman Old Style" w:cs="Arial"/>
          <w:i/>
        </w:rPr>
      </w:pPr>
      <w:r w:rsidRPr="00BF6B9C">
        <w:rPr>
          <w:rFonts w:ascii="Bookman Old Style" w:hAnsi="Bookman Old Style" w:cs="Arial"/>
          <w:i/>
        </w:rPr>
        <w:t xml:space="preserve">ARTICULO 366. </w:t>
      </w:r>
      <w:r w:rsidRPr="00BF6B9C">
        <w:rPr>
          <w:rFonts w:ascii="Bookman Old Style" w:hAnsi="Bookman Old Style" w:cs="Arial"/>
          <w:i/>
          <w:u w:val="single"/>
        </w:rPr>
        <w:t>El bienestar general y el mejoramiento de la calidad de vida de la población son finalidades sociales del Estado. Será objetivo fundamental de su actividad</w:t>
      </w:r>
      <w:r w:rsidRPr="00BF6B9C">
        <w:rPr>
          <w:rFonts w:ascii="Bookman Old Style" w:hAnsi="Bookman Old Style" w:cs="Arial"/>
          <w:i/>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rsidR="00A50F04" w:rsidRPr="00BF6B9C" w:rsidRDefault="00A50F04" w:rsidP="00A50F04">
      <w:pPr>
        <w:ind w:left="284" w:right="284"/>
        <w:jc w:val="both"/>
        <w:rPr>
          <w:rFonts w:ascii="Bookman Old Style" w:hAnsi="Bookman Old Style" w:cs="Arial"/>
          <w:i/>
        </w:rPr>
      </w:pPr>
    </w:p>
    <w:p w:rsidR="00A50F04" w:rsidRPr="00BF6B9C" w:rsidRDefault="00A50F04" w:rsidP="00A50F04">
      <w:pPr>
        <w:ind w:left="284" w:right="284"/>
        <w:jc w:val="both"/>
        <w:rPr>
          <w:rFonts w:ascii="Bookman Old Style" w:hAnsi="Bookman Old Style" w:cs="Arial"/>
          <w:i/>
        </w:rPr>
      </w:pPr>
      <w:r w:rsidRPr="00BF6B9C">
        <w:rPr>
          <w:rFonts w:ascii="Bookman Old Style" w:hAnsi="Bookman Old Style" w:cs="Arial"/>
          <w:i/>
        </w:rPr>
        <w:t xml:space="preserve">ARTICULO 367. </w:t>
      </w:r>
      <w:r w:rsidRPr="00BF6B9C">
        <w:rPr>
          <w:rFonts w:ascii="Bookman Old Style" w:hAnsi="Bookman Old Style" w:cs="Arial"/>
          <w:i/>
          <w:u w:val="single"/>
        </w:rPr>
        <w:t>La ley fijará las competencias y responsabilidades relativas a la prestación de los servicios públicos domiciliarios,</w:t>
      </w:r>
      <w:r w:rsidRPr="00BF6B9C">
        <w:rPr>
          <w:rFonts w:ascii="Bookman Old Style" w:hAnsi="Bookman Old Style" w:cs="Arial"/>
          <w:i/>
        </w:rPr>
        <w:t xml:space="preserve"> su cobertura, calidad y </w:t>
      </w:r>
      <w:r w:rsidRPr="00BF6B9C">
        <w:rPr>
          <w:rFonts w:ascii="Bookman Old Style" w:hAnsi="Bookman Old Style" w:cs="Arial"/>
          <w:i/>
          <w:u w:val="single"/>
        </w:rPr>
        <w:t>financiación, y el régimen tarifario que tendrá en cuenta además de los criterios de costos</w:t>
      </w:r>
      <w:r w:rsidRPr="00BF6B9C">
        <w:rPr>
          <w:rFonts w:ascii="Bookman Old Style" w:hAnsi="Bookman Old Style" w:cs="Arial"/>
          <w:i/>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coordinación.</w:t>
      </w:r>
      <w:r w:rsidR="00A716F6" w:rsidRPr="00BF6B9C">
        <w:rPr>
          <w:rFonts w:ascii="Bookman Old Style" w:hAnsi="Bookman Old Style" w:cs="Arial"/>
          <w:i/>
        </w:rPr>
        <w:t>”</w:t>
      </w:r>
    </w:p>
    <w:p w:rsidR="00505258" w:rsidRPr="00BF6B9C" w:rsidRDefault="00505258" w:rsidP="00A50F04">
      <w:pPr>
        <w:ind w:left="284" w:right="284"/>
        <w:jc w:val="both"/>
        <w:rPr>
          <w:rFonts w:ascii="Bookman Old Style" w:hAnsi="Bookman Old Style" w:cs="Arial"/>
          <w:i/>
        </w:rPr>
      </w:pPr>
    </w:p>
    <w:p w:rsidR="00505258" w:rsidRPr="00BF6B9C" w:rsidRDefault="00505258" w:rsidP="00A50F04">
      <w:pPr>
        <w:ind w:left="284" w:right="284"/>
        <w:jc w:val="both"/>
        <w:rPr>
          <w:rFonts w:ascii="Bookman Old Style" w:hAnsi="Bookman Old Style" w:cs="Arial"/>
          <w:i/>
          <w:lang w:val="es-ES_tradnl"/>
        </w:rPr>
      </w:pPr>
      <w:r w:rsidRPr="00BF6B9C">
        <w:rPr>
          <w:rFonts w:ascii="Bookman Old Style" w:hAnsi="Bookman Old Style" w:cs="Arial"/>
          <w:i/>
        </w:rPr>
        <w:t>(Subrayas ajenas al texto original de la norma citada)</w:t>
      </w:r>
    </w:p>
    <w:p w:rsidR="00AD1A5B" w:rsidRPr="00BF6B9C" w:rsidRDefault="00AD1A5B" w:rsidP="00EA2219">
      <w:pPr>
        <w:ind w:left="0"/>
        <w:jc w:val="both"/>
        <w:rPr>
          <w:rFonts w:ascii="Bookman Old Style" w:hAnsi="Bookman Old Style" w:cs="Arial"/>
          <w:lang w:val="es-ES_tradnl"/>
        </w:rPr>
      </w:pPr>
    </w:p>
    <w:p w:rsidR="005F04C9" w:rsidRPr="00BF6B9C" w:rsidRDefault="009F609F" w:rsidP="00EA2219">
      <w:pPr>
        <w:ind w:left="0"/>
        <w:jc w:val="both"/>
        <w:rPr>
          <w:rFonts w:ascii="Bookman Old Style" w:hAnsi="Bookman Old Style" w:cs="Arial"/>
          <w:lang w:val="es-ES_tradnl"/>
        </w:rPr>
      </w:pPr>
      <w:r w:rsidRPr="00BF6B9C">
        <w:rPr>
          <w:rFonts w:ascii="Bookman Old Style" w:hAnsi="Bookman Old Style" w:cs="Arial"/>
          <w:lang w:val="es-ES_tradnl"/>
        </w:rPr>
        <w:t>L</w:t>
      </w:r>
      <w:r w:rsidR="00565F71" w:rsidRPr="00BF6B9C">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BF6B9C">
        <w:rPr>
          <w:rFonts w:ascii="Bookman Old Style" w:hAnsi="Bookman Old Style" w:cs="Arial"/>
          <w:lang w:val="es-ES_tradnl"/>
        </w:rPr>
        <w:t xml:space="preserve"> en tanto estos son catalogados como servicios esenciales</w:t>
      </w:r>
      <w:r w:rsidR="00F52B69" w:rsidRPr="00BF6B9C">
        <w:rPr>
          <w:rFonts w:ascii="Bookman Old Style" w:hAnsi="Bookman Old Style" w:cs="Arial"/>
          <w:lang w:val="es-ES_tradnl"/>
        </w:rPr>
        <w:t>,</w:t>
      </w:r>
      <w:r w:rsidR="00B756E7" w:rsidRPr="00BF6B9C">
        <w:rPr>
          <w:rFonts w:ascii="Bookman Old Style" w:hAnsi="Bookman Old Style" w:cs="Arial"/>
          <w:lang w:val="es-ES_tradnl"/>
        </w:rPr>
        <w:t xml:space="preserve"> </w:t>
      </w:r>
      <w:r w:rsidR="00364E6F" w:rsidRPr="00BF6B9C">
        <w:rPr>
          <w:rFonts w:ascii="Bookman Old Style" w:hAnsi="Bookman Old Style" w:cs="Arial"/>
          <w:lang w:val="es-ES_tradnl"/>
        </w:rPr>
        <w:t>en este orden é</w:t>
      </w:r>
      <w:r w:rsidR="00B756E7" w:rsidRPr="00BF6B9C">
        <w:rPr>
          <w:rFonts w:ascii="Bookman Old Style" w:hAnsi="Bookman Old Style" w:cs="Arial"/>
          <w:lang w:val="es-ES_tradnl"/>
        </w:rPr>
        <w:t>ste puede y debe intervenir de una manera efectiva para la consecuci</w:t>
      </w:r>
      <w:r w:rsidR="009E0C30" w:rsidRPr="00BF6B9C">
        <w:rPr>
          <w:rFonts w:ascii="Bookman Old Style" w:hAnsi="Bookman Old Style" w:cs="Arial"/>
          <w:lang w:val="es-ES_tradnl"/>
        </w:rPr>
        <w:t>ón de sus</w:t>
      </w:r>
      <w:r w:rsidR="00364E6F" w:rsidRPr="00BF6B9C">
        <w:rPr>
          <w:rFonts w:ascii="Bookman Old Style" w:hAnsi="Bookman Old Style" w:cs="Arial"/>
          <w:lang w:val="es-ES_tradnl"/>
        </w:rPr>
        <w:t xml:space="preserve"> fines,</w:t>
      </w:r>
      <w:r w:rsidR="00F52B69" w:rsidRPr="00BF6B9C">
        <w:rPr>
          <w:rFonts w:ascii="Bookman Old Style" w:hAnsi="Bookman Old Style" w:cs="Arial"/>
          <w:lang w:val="es-ES_tradnl"/>
        </w:rPr>
        <w:t xml:space="preserve"> así como para asegurar la prestación </w:t>
      </w:r>
      <w:r w:rsidR="00CE66CF" w:rsidRPr="00BF6B9C">
        <w:rPr>
          <w:rFonts w:ascii="Bookman Old Style" w:hAnsi="Bookman Old Style" w:cs="Arial"/>
          <w:lang w:val="es-ES_tradnl"/>
        </w:rPr>
        <w:t>real y práctica</w:t>
      </w:r>
      <w:r w:rsidR="00F52B69" w:rsidRPr="00BF6B9C">
        <w:rPr>
          <w:rFonts w:ascii="Bookman Old Style" w:hAnsi="Bookman Old Style" w:cs="Arial"/>
          <w:lang w:val="es-ES_tradnl"/>
        </w:rPr>
        <w:t xml:space="preserve"> de los mismos, evitando dilaciones que entorpezcan</w:t>
      </w:r>
      <w:r w:rsidRPr="00BF6B9C">
        <w:rPr>
          <w:rFonts w:ascii="Bookman Old Style" w:hAnsi="Bookman Old Style" w:cs="Arial"/>
          <w:lang w:val="es-ES_tradnl"/>
        </w:rPr>
        <w:t xml:space="preserve"> su disfrute</w:t>
      </w:r>
      <w:r w:rsidR="009E0C30" w:rsidRPr="00BF6B9C">
        <w:rPr>
          <w:rFonts w:ascii="Bookman Old Style" w:hAnsi="Bookman Old Style" w:cs="Arial"/>
          <w:lang w:val="es-ES_tradnl"/>
        </w:rPr>
        <w:t>.</w:t>
      </w:r>
    </w:p>
    <w:p w:rsidR="00575330" w:rsidRPr="00BF6B9C" w:rsidRDefault="00575330" w:rsidP="00EA2219">
      <w:pPr>
        <w:ind w:left="0"/>
        <w:jc w:val="both"/>
        <w:rPr>
          <w:rFonts w:ascii="Bookman Old Style" w:hAnsi="Bookman Old Style" w:cs="Arial"/>
          <w:lang w:val="es-ES_tradnl"/>
        </w:rPr>
      </w:pPr>
    </w:p>
    <w:p w:rsidR="00575330" w:rsidRPr="00BF6B9C" w:rsidRDefault="00A06156" w:rsidP="00575330">
      <w:pPr>
        <w:ind w:left="284" w:right="284"/>
        <w:jc w:val="both"/>
        <w:rPr>
          <w:rFonts w:ascii="Bookman Old Style" w:hAnsi="Bookman Old Style" w:cs="Arial"/>
          <w:i/>
          <w:lang w:val="es-CO"/>
        </w:rPr>
      </w:pPr>
      <w:r w:rsidRPr="00BF6B9C">
        <w:rPr>
          <w:rFonts w:ascii="Bookman Old Style" w:hAnsi="Bookman Old Style" w:cs="Arial"/>
          <w:i/>
          <w:lang w:val="es-CO"/>
        </w:rPr>
        <w:t>“…</w:t>
      </w:r>
      <w:r w:rsidR="00575330" w:rsidRPr="00BF6B9C">
        <w:rPr>
          <w:rFonts w:ascii="Bookman Old Style" w:hAnsi="Bookman Old Style" w:cs="Arial"/>
          <w:i/>
          <w:lang w:val="es-CO"/>
        </w:rPr>
        <w:t xml:space="preserve"> lo cierto es que el Estado mantiene las funciones de regulación, control y vigilancia sobre los servicios, de forma que se asegure el cumplimiento de las finalidades sociales del Estado social de derecho (artículo 365 de la C.P.). Esto porque es objetivo fundamental de la actividad estatal la solución de las necesidades básicas insatisfechas de la población (art. 366 de la C.P.).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la C.P.).</w:t>
      </w:r>
    </w:p>
    <w:p w:rsidR="00575330" w:rsidRPr="00BF6B9C" w:rsidRDefault="00575330" w:rsidP="00575330">
      <w:pPr>
        <w:ind w:left="284" w:right="284"/>
        <w:jc w:val="both"/>
        <w:rPr>
          <w:rFonts w:ascii="Bookman Old Style" w:hAnsi="Bookman Old Style" w:cs="Arial"/>
          <w:i/>
          <w:lang w:val="es-CO"/>
        </w:rPr>
      </w:pPr>
      <w:r w:rsidRPr="00BF6B9C">
        <w:rPr>
          <w:rFonts w:ascii="Bookman Old Style" w:hAnsi="Bookman Old Style" w:cs="Arial"/>
          <w:i/>
          <w:lang w:val="es-CO"/>
        </w:rPr>
        <w:t> </w:t>
      </w:r>
    </w:p>
    <w:p w:rsidR="00575330" w:rsidRPr="00BF6B9C" w:rsidRDefault="00575330" w:rsidP="00575330">
      <w:pPr>
        <w:ind w:left="284" w:right="284"/>
        <w:jc w:val="both"/>
        <w:rPr>
          <w:rFonts w:ascii="Bookman Old Style" w:hAnsi="Bookman Old Style" w:cs="Arial"/>
          <w:i/>
          <w:lang w:val="es-CO"/>
        </w:rPr>
      </w:pPr>
      <w:r w:rsidRPr="00BF6B9C">
        <w:rPr>
          <w:rFonts w:ascii="Bookman Old Style" w:hAnsi="Bookman Old Style" w:cs="Arial"/>
          <w:i/>
          <w:lang w:val="es-CO"/>
        </w:rPr>
        <w:t xml:space="preserve">Así pues, la Corte ha puesto de presente que corresponde al legislador establecer el régimen de los servicios públicos de acuerdo con el marco axiológico descrito. En efecto, "[e]n uso de la facultad que </w:t>
      </w:r>
      <w:r w:rsidRPr="00BF6B9C">
        <w:rPr>
          <w:rFonts w:ascii="Bookman Old Style" w:hAnsi="Bookman Old Style" w:cs="Arial"/>
          <w:i/>
          <w:u w:val="single"/>
          <w:lang w:val="es-CO"/>
        </w:rPr>
        <w:t xml:space="preserve">la Carta Política le confirió al Congreso de la República para reglamentar la prestación de los servicios públicos domiciliarios se expidió la Ley 142 del 11 de julio de 1994, que con base en  lo dispuesto en los artículos 334, 336 y </w:t>
      </w:r>
      <w:smartTag w:uri="urn:schemas-microsoft-com:office:smarttags" w:element="metricconverter">
        <w:smartTagPr>
          <w:attr w:name="ProductID" w:val="365 a"/>
        </w:smartTagPr>
        <w:r w:rsidRPr="00BF6B9C">
          <w:rPr>
            <w:rFonts w:ascii="Bookman Old Style" w:hAnsi="Bookman Old Style" w:cs="Arial"/>
            <w:i/>
            <w:u w:val="single"/>
            <w:lang w:val="es-CO"/>
          </w:rPr>
          <w:t>365 a</w:t>
        </w:r>
      </w:smartTag>
      <w:r w:rsidRPr="00BF6B9C">
        <w:rPr>
          <w:rFonts w:ascii="Bookman Old Style" w:hAnsi="Bookman Old Style" w:cs="Arial"/>
          <w:i/>
          <w:u w:val="single"/>
          <w:lang w:val="es-CO"/>
        </w:rPr>
        <w:t xml:space="preserve"> 370 Superiores, desarrolló los fines sociales de la intervención del Estado en la prestación de estos servicios para alcanzar los siguientes objetivos:</w:t>
      </w:r>
      <w:r w:rsidRPr="00BF6B9C">
        <w:rPr>
          <w:rFonts w:ascii="Bookman Old Style" w:hAnsi="Bookman Old Style" w:cs="Arial"/>
          <w:i/>
          <w:lang w:val="es-CO"/>
        </w:rPr>
        <w:t xml:space="preserve"> garantizar la calidad del bien objeto del servicio público y su disposición final para asegurar el mejoramiento de la calidad de vida de los usuarios; </w:t>
      </w:r>
      <w:r w:rsidRPr="00BF6B9C">
        <w:rPr>
          <w:rFonts w:ascii="Bookman Old Style" w:hAnsi="Bookman Old Style" w:cs="Arial"/>
          <w:i/>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BF6B9C">
        <w:rPr>
          <w:rFonts w:ascii="Bookman Old Style" w:hAnsi="Bookman Old Style" w:cs="Arial"/>
          <w:i/>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proporcional para los sectores de bajos ingresos de acuerdo con los preceptos de equidad y solidaridad"</w:t>
      </w:r>
      <w:r w:rsidRPr="00BF6B9C">
        <w:rPr>
          <w:rFonts w:ascii="Bookman Old Style" w:hAnsi="Bookman Old Style" w:cs="Arial"/>
          <w:i/>
          <w:vertAlign w:val="superscript"/>
          <w:lang w:val="es-CO"/>
        </w:rPr>
        <w:footnoteReference w:id="19"/>
      </w:r>
      <w:r w:rsidRPr="00BF6B9C">
        <w:rPr>
          <w:rFonts w:ascii="Bookman Old Style" w:hAnsi="Bookman Old Style" w:cs="Arial"/>
          <w:i/>
          <w:vertAlign w:val="superscript"/>
          <w:lang w:val="es-CO"/>
        </w:rPr>
        <w:t>[148</w:t>
      </w:r>
      <w:r w:rsidR="001947CE" w:rsidRPr="00BF6B9C">
        <w:rPr>
          <w:rStyle w:val="Refdenotaalpie"/>
          <w:rFonts w:ascii="Bookman Old Style" w:hAnsi="Bookman Old Style" w:cs="Arial"/>
          <w:i/>
          <w:lang w:val="es-CO"/>
        </w:rPr>
        <w:footnoteReference w:id="20"/>
      </w:r>
      <w:r w:rsidRPr="00BF6B9C">
        <w:rPr>
          <w:rFonts w:ascii="Bookman Old Style" w:hAnsi="Bookman Old Style" w:cs="Arial"/>
          <w:i/>
          <w:vertAlign w:val="superscript"/>
          <w:lang w:val="es-CO"/>
        </w:rPr>
        <w:t>]</w:t>
      </w:r>
      <w:r w:rsidRPr="00BF6B9C">
        <w:rPr>
          <w:rFonts w:ascii="Bookman Old Style" w:hAnsi="Bookman Old Style" w:cs="Arial"/>
          <w:i/>
          <w:lang w:val="es-CO"/>
        </w:rPr>
        <w:t>.</w:t>
      </w:r>
    </w:p>
    <w:p w:rsidR="00575330" w:rsidRPr="00BF6B9C" w:rsidRDefault="00575330" w:rsidP="00575330">
      <w:pPr>
        <w:ind w:left="284" w:right="284"/>
        <w:jc w:val="both"/>
        <w:rPr>
          <w:rFonts w:ascii="Bookman Old Style" w:hAnsi="Bookman Old Style" w:cs="Arial"/>
          <w:i/>
          <w:lang w:val="es-CO"/>
        </w:rPr>
      </w:pPr>
      <w:r w:rsidRPr="00BF6B9C">
        <w:rPr>
          <w:rFonts w:ascii="Bookman Old Style" w:hAnsi="Bookman Old Style" w:cs="Arial"/>
          <w:i/>
          <w:lang w:val="es-CO"/>
        </w:rPr>
        <w:t> </w:t>
      </w:r>
    </w:p>
    <w:p w:rsidR="00DE018C" w:rsidRPr="00BF6B9C" w:rsidRDefault="00DE018C" w:rsidP="00DE018C">
      <w:pPr>
        <w:ind w:left="284" w:right="284"/>
        <w:jc w:val="both"/>
        <w:rPr>
          <w:rFonts w:ascii="Bookman Old Style" w:hAnsi="Bookman Old Style" w:cs="Arial"/>
          <w:i/>
          <w:lang w:val="es-ES_tradnl"/>
        </w:rPr>
      </w:pPr>
      <w:r w:rsidRPr="00BF6B9C">
        <w:rPr>
          <w:rFonts w:ascii="Bookman Old Style" w:hAnsi="Bookman Old Style" w:cs="Arial"/>
          <w:i/>
        </w:rPr>
        <w:t>(Subrayas ajen</w:t>
      </w:r>
      <w:r w:rsidR="00387A57" w:rsidRPr="00BF6B9C">
        <w:rPr>
          <w:rFonts w:ascii="Bookman Old Style" w:hAnsi="Bookman Old Style" w:cs="Arial"/>
          <w:i/>
        </w:rPr>
        <w:t>as al texto original de la providencia</w:t>
      </w:r>
      <w:r w:rsidRPr="00BF6B9C">
        <w:rPr>
          <w:rFonts w:ascii="Bookman Old Style" w:hAnsi="Bookman Old Style" w:cs="Arial"/>
          <w:i/>
        </w:rPr>
        <w:t xml:space="preserve"> citada)</w:t>
      </w:r>
    </w:p>
    <w:p w:rsidR="00DE018C" w:rsidRPr="00BF6B9C" w:rsidRDefault="00DE018C" w:rsidP="00575330">
      <w:pPr>
        <w:ind w:left="284" w:right="284"/>
        <w:jc w:val="both"/>
        <w:rPr>
          <w:rFonts w:ascii="Bookman Old Style" w:hAnsi="Bookman Old Style" w:cs="Arial"/>
          <w:i/>
          <w:lang w:val="es-ES_tradnl"/>
        </w:rPr>
      </w:pPr>
    </w:p>
    <w:p w:rsidR="009F609F" w:rsidRPr="00BF6B9C" w:rsidRDefault="00F52B69" w:rsidP="00EA2219">
      <w:pPr>
        <w:ind w:left="0"/>
        <w:jc w:val="both"/>
        <w:rPr>
          <w:rFonts w:ascii="Bookman Old Style" w:hAnsi="Bookman Old Style" w:cs="Arial"/>
          <w:lang w:val="es-ES_tradnl"/>
        </w:rPr>
      </w:pPr>
      <w:r w:rsidRPr="00BF6B9C">
        <w:rPr>
          <w:rFonts w:ascii="Bookman Old Style" w:hAnsi="Bookman Old Style" w:cs="Arial"/>
          <w:lang w:val="es-ES_tradnl"/>
        </w:rPr>
        <w:t>Ahora bien</w:t>
      </w:r>
      <w:r w:rsidR="009F609F" w:rsidRPr="00BF6B9C">
        <w:rPr>
          <w:rFonts w:ascii="Bookman Old Style" w:hAnsi="Bookman Old Style" w:cs="Arial"/>
          <w:lang w:val="es-ES_tradnl"/>
        </w:rPr>
        <w:t>, es preciso diferenciar los diferentes tipos de mercados con el fin de establecer el alcance la intervención del regulador en la asignación de cargos de conformidad con la metodología dispuesta por la Resolución CREG 202 de 2013.</w:t>
      </w:r>
    </w:p>
    <w:p w:rsidR="009F609F" w:rsidRPr="00BF6B9C" w:rsidRDefault="009F609F" w:rsidP="00EA2219">
      <w:pPr>
        <w:ind w:left="0"/>
        <w:jc w:val="both"/>
        <w:rPr>
          <w:rFonts w:ascii="Bookman Old Style" w:hAnsi="Bookman Old Style" w:cs="Arial"/>
          <w:lang w:val="es-ES_tradnl"/>
        </w:rPr>
      </w:pPr>
    </w:p>
    <w:p w:rsidR="009F609F" w:rsidRPr="00BF6B9C" w:rsidRDefault="009F609F" w:rsidP="009F609F">
      <w:pPr>
        <w:ind w:left="284" w:right="284"/>
        <w:jc w:val="both"/>
        <w:rPr>
          <w:rFonts w:ascii="Bookman Old Style" w:hAnsi="Bookman Old Style" w:cs="Arial"/>
          <w:b/>
          <w:i/>
          <w:lang w:val="es-ES_tradnl"/>
        </w:rPr>
      </w:pPr>
      <w:r w:rsidRPr="00BF6B9C">
        <w:rPr>
          <w:rFonts w:ascii="Bookman Old Style" w:hAnsi="Bookman Old Style" w:cs="Arial"/>
          <w:b/>
          <w:i/>
          <w:lang w:val="es-ES_tradnl"/>
        </w:rPr>
        <w:t xml:space="preserve">“MERCADO RELEVANTE EXISTENTE DE DISTRIBUCIÓN: </w:t>
      </w:r>
      <w:r w:rsidRPr="00BF6B9C">
        <w:rPr>
          <w:rFonts w:ascii="Bookman Old Style" w:hAnsi="Bookman Old Style"/>
          <w:i/>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rsidR="009F609F" w:rsidRPr="00BF6B9C" w:rsidRDefault="009F609F" w:rsidP="009F609F">
      <w:pPr>
        <w:ind w:left="284" w:right="284"/>
        <w:jc w:val="both"/>
        <w:rPr>
          <w:rFonts w:ascii="Bookman Old Style" w:hAnsi="Bookman Old Style"/>
          <w:i/>
          <w:lang w:val="es-ES_tradnl"/>
        </w:rPr>
      </w:pPr>
    </w:p>
    <w:p w:rsidR="009F609F" w:rsidRPr="00BF6B9C" w:rsidRDefault="009F609F" w:rsidP="009F609F">
      <w:pPr>
        <w:ind w:left="284" w:right="284"/>
        <w:jc w:val="both"/>
        <w:rPr>
          <w:rFonts w:ascii="Bookman Old Style" w:hAnsi="Bookman Old Style"/>
          <w:i/>
          <w:lang w:val="es-ES_tradnl"/>
        </w:rPr>
      </w:pPr>
      <w:r w:rsidRPr="00BF6B9C">
        <w:rPr>
          <w:rFonts w:ascii="Bookman Old Style" w:hAnsi="Bookman Old Style"/>
          <w:b/>
          <w:i/>
          <w:lang w:val="es-ES_tradnl"/>
        </w:rPr>
        <w:t xml:space="preserve">MERCADO RELEVANTE DE DISTRIBUCIÓN PARA EL SIGUIENTE PERÍODO TARIFARIO: </w:t>
      </w:r>
      <w:r w:rsidRPr="00BF6B9C">
        <w:rPr>
          <w:rFonts w:ascii="Bookman Old Style" w:hAnsi="Bookman Old Style"/>
          <w:i/>
          <w:lang w:val="es-ES_tradnl"/>
        </w:rPr>
        <w:t xml:space="preserve">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 </w:t>
      </w:r>
      <w:r w:rsidR="00A43D36" w:rsidRPr="00BF6B9C">
        <w:rPr>
          <w:rFonts w:ascii="Bookman Old Style" w:hAnsi="Bookman Old Style"/>
          <w:i/>
          <w:lang w:val="es-ES_tradnl"/>
        </w:rPr>
        <w:t xml:space="preserve">Artículo 5 </w:t>
      </w:r>
      <w:r w:rsidRPr="00BF6B9C">
        <w:rPr>
          <w:rFonts w:ascii="Bookman Old Style" w:hAnsi="Bookman Old Style"/>
          <w:i/>
          <w:lang w:val="es-ES_tradnl"/>
        </w:rPr>
        <w:t>de la presente resolución.”</w:t>
      </w:r>
    </w:p>
    <w:p w:rsidR="009F609F" w:rsidRPr="00BF6B9C" w:rsidRDefault="009F609F" w:rsidP="00EA2219">
      <w:pPr>
        <w:ind w:left="0"/>
        <w:jc w:val="both"/>
        <w:rPr>
          <w:rFonts w:ascii="Bookman Old Style" w:hAnsi="Bookman Old Style" w:cs="Arial"/>
          <w:lang w:val="es-ES_tradnl"/>
        </w:rPr>
      </w:pPr>
    </w:p>
    <w:p w:rsidR="00F52B69" w:rsidRPr="00BF6B9C" w:rsidRDefault="001947CE" w:rsidP="00EA2219">
      <w:pPr>
        <w:ind w:left="0"/>
        <w:jc w:val="both"/>
        <w:rPr>
          <w:rFonts w:ascii="Bookman Old Style" w:hAnsi="Bookman Old Style" w:cs="Arial"/>
          <w:lang w:val="es-ES_tradnl"/>
        </w:rPr>
      </w:pPr>
      <w:r w:rsidRPr="00BF6B9C">
        <w:rPr>
          <w:rFonts w:ascii="Bookman Old Style" w:hAnsi="Bookman Old Style" w:cs="Arial"/>
          <w:lang w:val="es-ES_tradnl"/>
        </w:rPr>
        <w:t>E</w:t>
      </w:r>
      <w:r w:rsidR="00F52B69" w:rsidRPr="00BF6B9C">
        <w:rPr>
          <w:rFonts w:ascii="Bookman Old Style" w:hAnsi="Bookman Old Style" w:cs="Arial"/>
          <w:lang w:val="es-ES_tradnl"/>
        </w:rPr>
        <w:t xml:space="preserve">n los casos en los que el servicio se viene </w:t>
      </w:r>
      <w:r w:rsidR="00143228" w:rsidRPr="00BF6B9C">
        <w:rPr>
          <w:rFonts w:ascii="Bookman Old Style" w:hAnsi="Bookman Old Style" w:cs="Arial"/>
          <w:lang w:val="es-ES_tradnl"/>
        </w:rPr>
        <w:t xml:space="preserve">prestando de manera regular </w:t>
      </w:r>
      <w:r w:rsidR="00F52B69" w:rsidRPr="00BF6B9C">
        <w:rPr>
          <w:rFonts w:ascii="Bookman Old Style" w:hAnsi="Bookman Old Style" w:cs="Arial"/>
          <w:lang w:val="es-ES_tradnl"/>
        </w:rPr>
        <w:t>en mercados de distribución existentes y con base en una tarifa regularmente expedida, la prestación debe seguirse prestando con la tarifa vigente, aún si el regulador no ha expedido una nueva metodología,</w:t>
      </w:r>
      <w:r w:rsidR="002A345B" w:rsidRPr="00BF6B9C">
        <w:rPr>
          <w:rFonts w:ascii="Bookman Old Style" w:hAnsi="Bookman Old Style" w:cs="Arial"/>
          <w:lang w:val="es-ES_tradnl"/>
        </w:rPr>
        <w:t xml:space="preserve"> o la misma se encue</w:t>
      </w:r>
      <w:r w:rsidR="00387A57" w:rsidRPr="00BF6B9C">
        <w:rPr>
          <w:rFonts w:ascii="Bookman Old Style" w:hAnsi="Bookman Old Style" w:cs="Arial"/>
          <w:lang w:val="es-ES_tradnl"/>
        </w:rPr>
        <w:t>ntra en revisión y/o parcialmente revocada por razones de interés común,</w:t>
      </w:r>
      <w:r w:rsidR="00F52B69" w:rsidRPr="00BF6B9C">
        <w:rPr>
          <w:rFonts w:ascii="Bookman Old Style" w:hAnsi="Bookman Old Style" w:cs="Arial"/>
          <w:lang w:val="es-ES_tradnl"/>
        </w:rPr>
        <w:t xml:space="preserve"> en cuyo caso </w:t>
      </w:r>
      <w:r w:rsidR="00387A57" w:rsidRPr="00BF6B9C">
        <w:rPr>
          <w:rFonts w:ascii="Bookman Old Style" w:hAnsi="Bookman Old Style" w:cs="Arial"/>
          <w:lang w:val="es-ES_tradnl"/>
        </w:rPr>
        <w:t>el usuario no resulta</w:t>
      </w:r>
      <w:r w:rsidR="00F52B69" w:rsidRPr="00BF6B9C">
        <w:rPr>
          <w:rFonts w:ascii="Bookman Old Style" w:hAnsi="Bookman Old Style" w:cs="Arial"/>
          <w:lang w:val="es-ES_tradnl"/>
        </w:rPr>
        <w:t xml:space="preserve"> afecta</w:t>
      </w:r>
      <w:r w:rsidR="00387A57" w:rsidRPr="00BF6B9C">
        <w:rPr>
          <w:rFonts w:ascii="Bookman Old Style" w:hAnsi="Bookman Old Style" w:cs="Arial"/>
          <w:lang w:val="es-ES_tradnl"/>
        </w:rPr>
        <w:t>do</w:t>
      </w:r>
      <w:r w:rsidR="00F52B69" w:rsidRPr="00BF6B9C">
        <w:rPr>
          <w:rFonts w:ascii="Bookman Old Style" w:hAnsi="Bookman Old Style" w:cs="Arial"/>
          <w:lang w:val="es-ES_tradnl"/>
        </w:rPr>
        <w:t>, hasta tanto se fijen las nuevos metodologías, tal como lo dispone el Artículo 126 de la Ley 142 de 1994</w:t>
      </w:r>
      <w:r w:rsidR="00387A57" w:rsidRPr="00BF6B9C">
        <w:rPr>
          <w:rFonts w:ascii="Bookman Old Style" w:hAnsi="Bookman Old Style" w:cs="Arial"/>
          <w:lang w:val="es-ES_tradnl"/>
        </w:rPr>
        <w:t>:</w:t>
      </w:r>
    </w:p>
    <w:p w:rsidR="00387A57" w:rsidRPr="00BF6B9C" w:rsidRDefault="00387A57" w:rsidP="00EA2219">
      <w:pPr>
        <w:ind w:left="0"/>
        <w:jc w:val="both"/>
        <w:rPr>
          <w:rFonts w:ascii="Bookman Old Style" w:hAnsi="Bookman Old Style" w:cs="Arial"/>
          <w:lang w:val="es-ES_tradnl"/>
        </w:rPr>
      </w:pPr>
    </w:p>
    <w:p w:rsidR="00387A57" w:rsidRPr="00BF6B9C" w:rsidRDefault="00387A57" w:rsidP="00387A57">
      <w:pPr>
        <w:ind w:left="284" w:right="284"/>
        <w:jc w:val="both"/>
        <w:rPr>
          <w:rFonts w:ascii="Bookman Old Style" w:hAnsi="Bookman Old Style" w:cs="Arial"/>
          <w:i/>
          <w:lang w:val="es-CO"/>
        </w:rPr>
      </w:pPr>
      <w:r w:rsidRPr="00BF6B9C">
        <w:rPr>
          <w:rFonts w:ascii="Bookman Old Style" w:hAnsi="Bookman Old Style" w:cs="Arial"/>
          <w:b/>
          <w:bCs/>
          <w:i/>
          <w:lang w:val="es-CO"/>
        </w:rPr>
        <w:t>Artículo </w:t>
      </w:r>
      <w:bookmarkStart w:id="1" w:name="126"/>
      <w:r w:rsidRPr="00BF6B9C">
        <w:rPr>
          <w:rFonts w:ascii="Bookman Old Style" w:hAnsi="Bookman Old Style" w:cs="Arial"/>
          <w:b/>
          <w:bCs/>
          <w:i/>
          <w:lang w:val="es-CO"/>
        </w:rPr>
        <w:t> </w:t>
      </w:r>
      <w:bookmarkEnd w:id="1"/>
      <w:r w:rsidRPr="00BF6B9C">
        <w:rPr>
          <w:rFonts w:ascii="Bookman Old Style" w:hAnsi="Bookman Old Style" w:cs="Arial"/>
          <w:b/>
          <w:bCs/>
          <w:i/>
          <w:lang w:val="es-CO"/>
        </w:rPr>
        <w:t>126</w:t>
      </w:r>
      <w:r w:rsidRPr="00BF6B9C">
        <w:rPr>
          <w:rFonts w:ascii="Bookman Old Style" w:hAnsi="Bookman Old Style" w:cs="Arial"/>
          <w:i/>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387A57" w:rsidRPr="00BF6B9C" w:rsidRDefault="00387A57" w:rsidP="00387A57">
      <w:pPr>
        <w:ind w:left="284" w:right="284"/>
        <w:jc w:val="both"/>
        <w:rPr>
          <w:rFonts w:ascii="Bookman Old Style" w:hAnsi="Bookman Old Style" w:cs="Arial"/>
          <w:i/>
          <w:sz w:val="20"/>
          <w:lang w:val="es-CO"/>
        </w:rPr>
      </w:pPr>
    </w:p>
    <w:p w:rsidR="00387A57" w:rsidRPr="00BF6B9C" w:rsidRDefault="00387A57" w:rsidP="00387A57">
      <w:pPr>
        <w:ind w:left="284" w:right="284"/>
        <w:jc w:val="both"/>
        <w:rPr>
          <w:rFonts w:ascii="Bookman Old Style" w:hAnsi="Bookman Old Style" w:cs="Arial"/>
          <w:i/>
          <w:u w:val="single"/>
          <w:lang w:val="es-CO"/>
        </w:rPr>
      </w:pPr>
      <w:r w:rsidRPr="00BF6B9C">
        <w:rPr>
          <w:rFonts w:ascii="Bookman Old Style" w:hAnsi="Bookman Old Style" w:cs="Arial"/>
          <w:i/>
          <w:u w:val="single"/>
          <w:lang w:val="es-CO"/>
        </w:rPr>
        <w:t>Vencido el período de vigencia de las fórmulas tarifarias, continuarán rigiendo mientras la comisión no fije las nuevas.</w:t>
      </w:r>
    </w:p>
    <w:p w:rsidR="00387A57" w:rsidRPr="00BF6B9C" w:rsidRDefault="00387A57" w:rsidP="00EA2219">
      <w:pPr>
        <w:ind w:left="0"/>
        <w:jc w:val="both"/>
        <w:rPr>
          <w:rFonts w:ascii="Bookman Old Style" w:hAnsi="Bookman Old Style" w:cs="Arial"/>
          <w:u w:val="single"/>
          <w:lang w:val="es-CO"/>
        </w:rPr>
      </w:pPr>
    </w:p>
    <w:p w:rsidR="00387A57" w:rsidRPr="00BF6B9C" w:rsidRDefault="00387A57" w:rsidP="00387A57">
      <w:pPr>
        <w:ind w:left="284" w:right="284"/>
        <w:jc w:val="both"/>
        <w:rPr>
          <w:rFonts w:ascii="Bookman Old Style" w:hAnsi="Bookman Old Style" w:cs="Arial"/>
          <w:i/>
          <w:lang w:val="es-ES_tradnl"/>
        </w:rPr>
      </w:pPr>
      <w:r w:rsidRPr="00BF6B9C">
        <w:rPr>
          <w:rFonts w:ascii="Bookman Old Style" w:hAnsi="Bookman Old Style" w:cs="Arial"/>
          <w:i/>
        </w:rPr>
        <w:t>(Subrayas ajenas al texto original de la norma citada)</w:t>
      </w:r>
    </w:p>
    <w:p w:rsidR="00387A57" w:rsidRPr="00BF6B9C" w:rsidRDefault="00387A57" w:rsidP="00EA2219">
      <w:pPr>
        <w:ind w:left="0"/>
        <w:jc w:val="both"/>
        <w:rPr>
          <w:rFonts w:ascii="Bookman Old Style" w:hAnsi="Bookman Old Style" w:cs="Arial"/>
          <w:sz w:val="22"/>
          <w:lang w:val="es-ES_tradnl"/>
        </w:rPr>
      </w:pPr>
    </w:p>
    <w:p w:rsidR="004151A4" w:rsidRPr="00BF6B9C" w:rsidRDefault="004151A4" w:rsidP="004151A4">
      <w:pPr>
        <w:ind w:left="0"/>
        <w:jc w:val="both"/>
        <w:rPr>
          <w:rFonts w:ascii="Bookman Old Style" w:hAnsi="Bookman Old Style" w:cs="Arial"/>
          <w:lang w:val="es-ES_tradnl"/>
        </w:rPr>
      </w:pPr>
      <w:r w:rsidRPr="00BF6B9C">
        <w:rPr>
          <w:rFonts w:ascii="Bookman Old Style" w:hAnsi="Bookman Old Style" w:cs="Arial"/>
          <w:lang w:val="es-ES_tradnl"/>
        </w:rPr>
        <w:t xml:space="preserve">Caso diametralmente opuesto se observa respecto de la prestación del servicio de distribución de gas combustible por red de tuberías en los mercados nuevos, entendidos en la Resolución CREG 202 de 2013 en los siguientes términos: </w:t>
      </w:r>
    </w:p>
    <w:p w:rsidR="004151A4" w:rsidRPr="00BF6B9C" w:rsidRDefault="004151A4" w:rsidP="004151A4">
      <w:pPr>
        <w:ind w:left="0"/>
        <w:jc w:val="both"/>
        <w:rPr>
          <w:rFonts w:ascii="Bookman Old Style" w:hAnsi="Bookman Old Style" w:cs="Arial"/>
          <w:lang w:val="es-ES_tradnl"/>
        </w:rPr>
      </w:pPr>
    </w:p>
    <w:p w:rsidR="004151A4" w:rsidRPr="00BF6B9C" w:rsidRDefault="004151A4" w:rsidP="004151A4">
      <w:pPr>
        <w:ind w:left="284" w:right="284"/>
        <w:jc w:val="both"/>
        <w:rPr>
          <w:rFonts w:ascii="Bookman Old Style" w:hAnsi="Bookman Old Style"/>
          <w:i/>
          <w:lang w:val="es-ES_tradnl"/>
        </w:rPr>
      </w:pPr>
      <w:r w:rsidRPr="00BF6B9C">
        <w:rPr>
          <w:rFonts w:ascii="Bookman Old Style" w:hAnsi="Bookman Old Style"/>
          <w:b/>
          <w:i/>
          <w:lang w:val="es-ES_tradnl"/>
        </w:rPr>
        <w:t xml:space="preserve">“NUEVO MERCADO RELEVANTE DE DISTRIBUCIÓN PARA EL SIGUIENTE PERÍODO TARIFARIO: </w:t>
      </w:r>
      <w:r w:rsidRPr="00BF6B9C">
        <w:rPr>
          <w:rFonts w:ascii="Bookman Old Style" w:hAnsi="Bookman Old Style"/>
          <w:i/>
          <w:lang w:val="es-ES_tradnl"/>
        </w:rPr>
        <w:t>Corresponde al mercado relevante de distribución conformado según el literal iv) del numeral 5.2 del Artículo 5 de la  presente resolución.”</w:t>
      </w:r>
    </w:p>
    <w:p w:rsidR="004151A4" w:rsidRPr="00BF6B9C" w:rsidRDefault="004151A4" w:rsidP="004151A4">
      <w:pPr>
        <w:ind w:left="284" w:right="284"/>
        <w:jc w:val="both"/>
        <w:rPr>
          <w:rFonts w:ascii="Bookman Old Style" w:hAnsi="Bookman Old Style"/>
          <w:i/>
          <w:sz w:val="20"/>
          <w:lang w:val="es-ES_tradnl"/>
        </w:rPr>
      </w:pPr>
    </w:p>
    <w:p w:rsidR="004151A4" w:rsidRPr="00BF6B9C" w:rsidRDefault="004151A4" w:rsidP="004151A4">
      <w:pPr>
        <w:ind w:left="284" w:right="284"/>
        <w:jc w:val="both"/>
        <w:rPr>
          <w:rFonts w:ascii="Bookman Old Style" w:hAnsi="Bookman Old Style"/>
          <w:i/>
          <w:lang w:val="es-ES_tradnl"/>
        </w:rPr>
      </w:pPr>
      <w:r w:rsidRPr="00BF6B9C">
        <w:rPr>
          <w:rFonts w:ascii="Bookman Old Style" w:hAnsi="Bookman Old Style"/>
          <w:i/>
          <w:lang w:val="es-ES_tradnl"/>
        </w:rPr>
        <w:t>(…)</w:t>
      </w:r>
    </w:p>
    <w:p w:rsidR="004151A4" w:rsidRPr="00BF6B9C" w:rsidRDefault="004151A4" w:rsidP="004151A4">
      <w:pPr>
        <w:ind w:left="284" w:right="284"/>
        <w:jc w:val="both"/>
        <w:rPr>
          <w:rFonts w:ascii="Bookman Old Style" w:hAnsi="Bookman Old Style"/>
          <w:i/>
          <w:lang w:val="es-ES_tradnl"/>
        </w:rPr>
      </w:pPr>
    </w:p>
    <w:p w:rsidR="004151A4" w:rsidRPr="00BF6B9C" w:rsidRDefault="004151A4" w:rsidP="004151A4">
      <w:pPr>
        <w:overflowPunct w:val="0"/>
        <w:autoSpaceDE w:val="0"/>
        <w:autoSpaceDN w:val="0"/>
        <w:adjustRightInd w:val="0"/>
        <w:ind w:left="1134" w:hanging="851"/>
        <w:jc w:val="both"/>
        <w:textAlignment w:val="baseline"/>
        <w:outlineLvl w:val="1"/>
        <w:rPr>
          <w:rFonts w:ascii="Bookman Old Style" w:hAnsi="Bookman Old Style"/>
          <w:b/>
          <w:bCs/>
          <w:i/>
        </w:rPr>
      </w:pPr>
      <w:r w:rsidRPr="00BF6B9C">
        <w:rPr>
          <w:rFonts w:ascii="Bookman Old Style" w:hAnsi="Bookman Old Style"/>
          <w:b/>
          <w:bCs/>
        </w:rPr>
        <w:t xml:space="preserve">5.2. </w:t>
      </w:r>
      <w:r w:rsidRPr="00BF6B9C">
        <w:rPr>
          <w:rFonts w:ascii="Bookman Old Style" w:hAnsi="Bookman Old Style"/>
          <w:b/>
          <w:bCs/>
          <w:i/>
        </w:rPr>
        <w:t>CRITERIOS PARA LA CONFORMACIÓN DE LOS MERCADOS RELEVANTES DE DISTRIBUCIÓN PARA EL SIGUIENTE PERÍODO TARIFARIO.</w:t>
      </w:r>
    </w:p>
    <w:p w:rsidR="004151A4" w:rsidRPr="00BF6B9C" w:rsidRDefault="004151A4" w:rsidP="004151A4">
      <w:pPr>
        <w:ind w:left="284" w:right="284"/>
        <w:jc w:val="both"/>
        <w:rPr>
          <w:rFonts w:ascii="Bookman Old Style" w:hAnsi="Bookman Old Style"/>
          <w:i/>
          <w:lang w:val="es-ES_tradnl"/>
        </w:rPr>
      </w:pPr>
    </w:p>
    <w:p w:rsidR="004151A4" w:rsidRPr="00BF6B9C" w:rsidRDefault="004151A4" w:rsidP="004151A4">
      <w:pPr>
        <w:tabs>
          <w:tab w:val="left" w:pos="284"/>
          <w:tab w:val="left" w:pos="1134"/>
        </w:tabs>
        <w:ind w:left="284" w:right="284"/>
        <w:jc w:val="both"/>
        <w:rPr>
          <w:rFonts w:ascii="Bookman Old Style" w:hAnsi="Bookman Old Style"/>
          <w:i/>
        </w:rPr>
      </w:pPr>
      <w:r w:rsidRPr="00BF6B9C">
        <w:rPr>
          <w:rFonts w:ascii="Bookman Old Style" w:hAnsi="Bookman Old Style"/>
          <w:i/>
        </w:rPr>
        <w:t xml:space="preserve">A partir de la entrada en vigencia de la presente resolución, los Distribuidores podrán acogerse a los siguientes criterios para la conformación de los Mercados Relevantes de Distribución para el Siguiente Período Tarifario y proceder a solicitar a la CREG la aprobación de los cargos correspondientes:  </w:t>
      </w:r>
    </w:p>
    <w:p w:rsidR="004151A4" w:rsidRPr="00BF6B9C" w:rsidRDefault="004151A4" w:rsidP="004151A4">
      <w:pPr>
        <w:ind w:left="284" w:right="284"/>
        <w:jc w:val="both"/>
        <w:rPr>
          <w:rFonts w:ascii="Bookman Old Style" w:hAnsi="Bookman Old Style"/>
          <w:i/>
          <w:sz w:val="18"/>
        </w:rPr>
      </w:pPr>
    </w:p>
    <w:p w:rsidR="004151A4" w:rsidRPr="00BF6B9C" w:rsidRDefault="004151A4" w:rsidP="004151A4">
      <w:pPr>
        <w:ind w:left="284" w:right="284"/>
        <w:jc w:val="both"/>
        <w:rPr>
          <w:rFonts w:ascii="Bookman Old Style" w:hAnsi="Bookman Old Style"/>
          <w:i/>
          <w:lang w:val="es-ES_tradnl"/>
        </w:rPr>
      </w:pPr>
      <w:r w:rsidRPr="00BF6B9C">
        <w:rPr>
          <w:rFonts w:ascii="Bookman Old Style" w:hAnsi="Bookman Old Style"/>
          <w:i/>
          <w:lang w:val="es-ES_tradnl"/>
        </w:rPr>
        <w:t>(…)</w:t>
      </w:r>
    </w:p>
    <w:p w:rsidR="004151A4" w:rsidRPr="00BF6B9C" w:rsidRDefault="004151A4" w:rsidP="004151A4">
      <w:pPr>
        <w:ind w:left="284" w:right="284"/>
        <w:jc w:val="both"/>
        <w:rPr>
          <w:rFonts w:ascii="Bookman Old Style" w:hAnsi="Bookman Old Style"/>
          <w:i/>
        </w:rPr>
      </w:pPr>
    </w:p>
    <w:p w:rsidR="004151A4" w:rsidRPr="00BF6B9C" w:rsidRDefault="004151A4" w:rsidP="004151A4">
      <w:pPr>
        <w:tabs>
          <w:tab w:val="left" w:pos="284"/>
        </w:tabs>
        <w:ind w:left="284" w:right="284"/>
        <w:jc w:val="both"/>
        <w:rPr>
          <w:rFonts w:ascii="Bookman Old Style" w:hAnsi="Bookman Old Style"/>
          <w:i/>
        </w:rPr>
      </w:pPr>
      <w:r w:rsidRPr="00BF6B9C">
        <w:rPr>
          <w:rFonts w:ascii="Bookman Old Style" w:hAnsi="Bookman Old Style"/>
          <w:b/>
          <w:i/>
          <w:lang w:val="es-ES_tradnl"/>
        </w:rPr>
        <w:t>iv.  Creación de Nuevos Mercados de Distribución:</w:t>
      </w:r>
      <w:r w:rsidRPr="00BF6B9C">
        <w:rPr>
          <w:rFonts w:ascii="Bookman Old Style" w:hAnsi="Bookman Old Style"/>
          <w:i/>
          <w:lang w:val="es-ES_tradnl"/>
        </w:rPr>
        <w:t xml:space="preserve"> Constituir Nuevos Mercados Relevantes de Distribución para el Siguiente Período Tarifario por Municipios Nuevos, bien sea que la infraestructura esté o no ejecutada. </w:t>
      </w:r>
    </w:p>
    <w:p w:rsidR="004151A4" w:rsidRPr="00BF6B9C" w:rsidRDefault="004151A4" w:rsidP="004151A4">
      <w:pPr>
        <w:ind w:left="284" w:right="284"/>
        <w:jc w:val="both"/>
        <w:rPr>
          <w:rFonts w:ascii="Bookman Old Style" w:hAnsi="Bookman Old Style"/>
          <w:i/>
          <w:sz w:val="20"/>
          <w:lang w:val="es-ES_tradnl"/>
        </w:rPr>
      </w:pPr>
    </w:p>
    <w:p w:rsidR="004151A4" w:rsidRPr="00BF6B9C" w:rsidRDefault="004151A4" w:rsidP="00EA2219">
      <w:pPr>
        <w:ind w:left="0"/>
        <w:jc w:val="both"/>
        <w:rPr>
          <w:rFonts w:ascii="Bookman Old Style" w:hAnsi="Bookman Old Style" w:cs="Arial"/>
          <w:lang w:val="es-ES_tradnl"/>
        </w:rPr>
      </w:pPr>
      <w:r w:rsidRPr="00BF6B9C">
        <w:rPr>
          <w:rFonts w:ascii="Bookman Old Style" w:hAnsi="Bookman Old Style" w:cs="Arial"/>
          <w:lang w:val="es-ES_tradnl"/>
        </w:rPr>
        <w:t>En este orden, un mercado nuevo de distribución de gas combustible es aquel conformado por un municipio, grupo de municipios o centro poblado donde no se ha iniciado la prestación del servicio, en este tipo de mercados, del cual hace parte la presente solicitud, las tarifas necesarias para dar inicio al servicio no se han proferido nunca. En estos casos, las empresas solicitantes de estos nuevos mercados carecen legalmente de la posibilidad de desarrollar cualquier actividad en tanto no cuentan con la herramienta regulatoria que les permita liquidar y facturar tarifa alguna a sus usuarios.</w:t>
      </w:r>
    </w:p>
    <w:p w:rsidR="00505258" w:rsidRPr="00BF6B9C" w:rsidRDefault="00505258" w:rsidP="00EA2219">
      <w:pPr>
        <w:ind w:left="0"/>
        <w:jc w:val="both"/>
        <w:rPr>
          <w:rFonts w:ascii="Bookman Old Style" w:hAnsi="Bookman Old Style" w:cs="Arial"/>
          <w:sz w:val="22"/>
          <w:lang w:val="es-ES_tradnl"/>
        </w:rPr>
      </w:pPr>
    </w:p>
    <w:p w:rsidR="00253925" w:rsidRPr="00BF6B9C" w:rsidRDefault="00253925" w:rsidP="00253925">
      <w:pPr>
        <w:widowControl w:val="0"/>
        <w:adjustRightInd w:val="0"/>
        <w:ind w:left="0"/>
        <w:jc w:val="both"/>
        <w:rPr>
          <w:rFonts w:ascii="Bookman Old Style" w:hAnsi="Bookman Old Style" w:cs="Arial"/>
          <w:lang w:val="es-ES_tradnl"/>
        </w:rPr>
      </w:pPr>
      <w:r w:rsidRPr="00BF6B9C">
        <w:rPr>
          <w:rFonts w:ascii="Bookman Old Style" w:hAnsi="Bookman Old Style" w:cs="Arial"/>
          <w:lang w:val="es-ES_tradnl"/>
        </w:rPr>
        <w:t>En este marco como ya se mencionó en los antecedentes de esta resolución,</w:t>
      </w:r>
      <w:r w:rsidRPr="00BF6B9C">
        <w:rPr>
          <w:rFonts w:ascii="Bookman Old Style" w:hAnsi="Bookman Old Style" w:cs="Arial"/>
        </w:rPr>
        <w:t xml:space="preserve"> mediante la Resolución CREG 093 de 11 de julio de 2016, se revocó parcialmente la Resolución CREG 202 de 2013, modificada por las Resoluciones CREG 138 de 2014 y 125 de 2015.</w:t>
      </w:r>
    </w:p>
    <w:p w:rsidR="005F04C9" w:rsidRPr="00BF6B9C" w:rsidRDefault="005F04C9" w:rsidP="005F04C9">
      <w:pPr>
        <w:widowControl w:val="0"/>
        <w:adjustRightInd w:val="0"/>
        <w:ind w:left="0"/>
        <w:jc w:val="both"/>
        <w:rPr>
          <w:rFonts w:ascii="Bookman Old Style" w:hAnsi="Bookman Old Style" w:cs="Arial"/>
          <w:lang w:val="es-ES_tradnl"/>
        </w:rPr>
      </w:pPr>
    </w:p>
    <w:p w:rsidR="00D1276E" w:rsidRPr="00BF6B9C" w:rsidRDefault="00D1276E" w:rsidP="00D1276E">
      <w:pPr>
        <w:widowControl w:val="0"/>
        <w:adjustRightInd w:val="0"/>
        <w:ind w:left="0"/>
        <w:jc w:val="both"/>
        <w:rPr>
          <w:rFonts w:ascii="Bookman Old Style" w:hAnsi="Bookman Old Style" w:cs="Arial"/>
          <w:lang w:val="es-CO"/>
        </w:rPr>
      </w:pPr>
      <w:r w:rsidRPr="00BF6B9C">
        <w:rPr>
          <w:rFonts w:ascii="Bookman Old Style" w:hAnsi="Bookman Old Style" w:cs="Arial"/>
        </w:rPr>
        <w:t>En el artículo 11 de la Resolución CREG 093 de 2016, mediante el cual se ordenó archivar las actuaciones administrativas iniciadas con fundamento en la solicitud de las empresas distribuidoras, se debe tener en cuenta que al estar</w:t>
      </w:r>
      <w:r w:rsidRPr="00BF6B9C">
        <w:rPr>
          <w:rFonts w:ascii="Bookman Old Style" w:hAnsi="Bookman Old Style" w:cs="Arial"/>
          <w:lang w:val="es-ES_tradnl"/>
        </w:rPr>
        <w:t xml:space="preserve"> en curso la respectiva actuación administrativa de evaluación de las solicitudes de cargos de distribución, sin que se hubieran resuelto de fondo las mismas, y habiendo desaparecido del ordenamiento jurídico</w:t>
      </w:r>
      <w:r w:rsidRPr="00BF6B9C">
        <w:rPr>
          <w:rFonts w:ascii="Bookman Old Style" w:hAnsi="Bookman Old Style" w:cs="Arial"/>
          <w:lang w:val="es-CO"/>
        </w:rPr>
        <w:t xml:space="preserve"> apartes fundamentales de la metodología definida en la Resolución CREG 202 de 2013, relacionados con (i) gastos de Administración, Operación y Mantenimiento (AOM), (ii) Otros Activos, (iii) mercados financiados con recursos públicos, y (iv) demanda, no es viable ni procedente evaluar parcialmente las solicitudes de mercados existentes. </w:t>
      </w:r>
    </w:p>
    <w:p w:rsidR="00D1276E" w:rsidRPr="00BF6B9C" w:rsidRDefault="00D1276E" w:rsidP="0085467A">
      <w:pPr>
        <w:widowControl w:val="0"/>
        <w:adjustRightInd w:val="0"/>
        <w:ind w:left="0"/>
        <w:jc w:val="both"/>
        <w:rPr>
          <w:rFonts w:ascii="Bookman Old Style" w:hAnsi="Bookman Old Style" w:cs="Arial"/>
          <w:lang w:val="es-ES_tradnl"/>
        </w:rPr>
      </w:pPr>
    </w:p>
    <w:p w:rsidR="00D1276E" w:rsidRPr="00BF6B9C" w:rsidRDefault="00D1276E" w:rsidP="00D1276E">
      <w:pPr>
        <w:widowControl w:val="0"/>
        <w:adjustRightInd w:val="0"/>
        <w:ind w:left="0"/>
        <w:jc w:val="both"/>
        <w:rPr>
          <w:rFonts w:ascii="Bookman Old Style" w:hAnsi="Bookman Old Style" w:cs="Arial"/>
          <w:lang w:val="es-CO"/>
        </w:rPr>
      </w:pPr>
      <w:r w:rsidRPr="00BF6B9C">
        <w:rPr>
          <w:rFonts w:ascii="Bookman Old Style" w:hAnsi="Bookman Old Style" w:cs="Arial"/>
          <w:lang w:val="es-CO"/>
        </w:rPr>
        <w:t xml:space="preserve">En consecuencia, dado que los anteriores aspectos de la metodología tarifaria fueron revocados, ello impedía la aplicación de la metodología en cuestión por cuanto sin estos puntos específicos no se puede alcanzar el cálculo de una tarifa. Como resultado, se ordenó archivar las actuaciones administrativas iniciadas para las solicitudes tarifarias de los mercados relevantes de distribución de gas combustible por red de tuberías existentes, que cumplieron periodo tarifario y que realizaron el proceso de reporte de información correspondiente, o que no hubieren cumplido pero que decidieron acogerse a lo establecido en el numeral 6.5. de la Resolución CREG 202 de 2013, </w:t>
      </w:r>
      <w:r w:rsidRPr="00BF6B9C">
        <w:rPr>
          <w:rFonts w:ascii="Bookman Old Style" w:hAnsi="Bookman Old Style" w:cs="Arial"/>
        </w:rPr>
        <w:t>sin perjuicio de que se pudiera hacer una nueva solicitud tarifaria una vez se expidan la nuevas normas que complementen la metodología para la remuneración de la actividad de distribución de gas combustible por redes de tubería.</w:t>
      </w:r>
    </w:p>
    <w:p w:rsidR="0085467A" w:rsidRPr="00BF6B9C" w:rsidRDefault="0085467A" w:rsidP="00414B26">
      <w:pPr>
        <w:widowControl w:val="0"/>
        <w:adjustRightInd w:val="0"/>
        <w:ind w:left="0"/>
        <w:jc w:val="both"/>
        <w:rPr>
          <w:rFonts w:ascii="Bookman Old Style" w:hAnsi="Bookman Old Style" w:cs="Arial"/>
        </w:rPr>
      </w:pPr>
    </w:p>
    <w:p w:rsidR="00253925" w:rsidRPr="00BF6B9C" w:rsidRDefault="00253925" w:rsidP="00253925">
      <w:pPr>
        <w:widowControl w:val="0"/>
        <w:adjustRightInd w:val="0"/>
        <w:ind w:left="0" w:right="20"/>
        <w:jc w:val="both"/>
        <w:rPr>
          <w:rFonts w:ascii="Bookman Old Style" w:hAnsi="Bookman Old Style" w:cs="Arial"/>
        </w:rPr>
      </w:pPr>
      <w:r w:rsidRPr="00BF6B9C">
        <w:rPr>
          <w:rFonts w:ascii="Bookman Old Style" w:hAnsi="Bookman Old Style" w:cs="Arial"/>
        </w:rPr>
        <w:t>No obstante 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 de distribución transitorios aplicando criterios con este mismo carácter transitorio para las disposiciones revocadas mediante la Resolución CREG 093 de 11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rsidR="00E404D6" w:rsidRPr="00BF6B9C" w:rsidRDefault="00E404D6" w:rsidP="006B381F">
      <w:pPr>
        <w:widowControl w:val="0"/>
        <w:adjustRightInd w:val="0"/>
        <w:ind w:left="0" w:right="20"/>
        <w:jc w:val="both"/>
        <w:rPr>
          <w:rFonts w:ascii="Bookman Old Style" w:hAnsi="Bookman Old Style" w:cs="Arial"/>
        </w:rPr>
      </w:pPr>
    </w:p>
    <w:p w:rsidR="005F04C9" w:rsidRPr="00BF6B9C" w:rsidRDefault="00E404D6" w:rsidP="006B381F">
      <w:pPr>
        <w:widowControl w:val="0"/>
        <w:adjustRightInd w:val="0"/>
        <w:ind w:left="0" w:right="20"/>
        <w:jc w:val="both"/>
        <w:rPr>
          <w:rFonts w:ascii="Bookman Old Style" w:hAnsi="Bookman Old Style" w:cs="Arial"/>
        </w:rPr>
      </w:pPr>
      <w:r w:rsidRPr="00BF6B9C">
        <w:rPr>
          <w:rFonts w:ascii="Bookman Old Style" w:hAnsi="Bookman Old Style" w:cs="Arial"/>
        </w:rPr>
        <w:t>De esta manera</w:t>
      </w:r>
      <w:r w:rsidR="00886913" w:rsidRPr="00BF6B9C">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BF6B9C">
        <w:rPr>
          <w:rFonts w:ascii="Bookman Old Style" w:hAnsi="Bookman Old Style" w:cs="Arial"/>
        </w:rPr>
        <w:t>de nuevos mercados relevantes de distribución.</w:t>
      </w:r>
    </w:p>
    <w:p w:rsidR="00505258" w:rsidRPr="00BF6B9C" w:rsidRDefault="00505258" w:rsidP="00EA2219">
      <w:pPr>
        <w:ind w:left="0"/>
        <w:jc w:val="both"/>
        <w:rPr>
          <w:rFonts w:ascii="Bookman Old Style" w:hAnsi="Bookman Old Style" w:cs="Arial"/>
          <w:lang w:val="es-ES_tradnl"/>
        </w:rPr>
      </w:pPr>
    </w:p>
    <w:p w:rsidR="00C87369" w:rsidRPr="00BF6B9C" w:rsidRDefault="00C87369" w:rsidP="00F36B65">
      <w:pPr>
        <w:numPr>
          <w:ilvl w:val="0"/>
          <w:numId w:val="2"/>
        </w:numPr>
        <w:ind w:left="567" w:hanging="567"/>
        <w:jc w:val="both"/>
        <w:rPr>
          <w:rFonts w:ascii="Bookman Old Style" w:hAnsi="Bookman Old Style" w:cs="Arial"/>
          <w:b/>
          <w:lang w:val="es-ES_tradnl"/>
        </w:rPr>
      </w:pPr>
      <w:r w:rsidRPr="00BF6B9C">
        <w:rPr>
          <w:rFonts w:ascii="Bookman Old Style" w:hAnsi="Bookman Old Style" w:cs="Arial"/>
          <w:b/>
          <w:lang w:val="es-ES_tradnl"/>
        </w:rPr>
        <w:t>Aplicación del régimen tarifario y los criterios tarifarios por parte de la CREG dentro de sus actuaciones administrativas</w:t>
      </w:r>
    </w:p>
    <w:p w:rsidR="00C87369" w:rsidRPr="00BF6B9C" w:rsidRDefault="00C87369" w:rsidP="00EA2219">
      <w:pPr>
        <w:ind w:left="0"/>
        <w:jc w:val="both"/>
        <w:rPr>
          <w:rFonts w:ascii="Bookman Old Style" w:hAnsi="Bookman Old Style" w:cs="Arial"/>
          <w:lang w:val="es-ES_tradnl"/>
        </w:rPr>
      </w:pPr>
    </w:p>
    <w:p w:rsidR="009C5BF2" w:rsidRPr="00BF6B9C" w:rsidRDefault="00BE76E0" w:rsidP="00EA2219">
      <w:pPr>
        <w:ind w:left="0"/>
        <w:jc w:val="both"/>
        <w:rPr>
          <w:rFonts w:ascii="Bookman Old Style" w:hAnsi="Bookman Old Style" w:cs="Arial"/>
          <w:lang w:val="es-ES_tradnl"/>
        </w:rPr>
      </w:pPr>
      <w:r w:rsidRPr="00BF6B9C">
        <w:rPr>
          <w:rFonts w:ascii="Bookman Old Style" w:hAnsi="Bookman Old Style" w:cs="Arial"/>
          <w:lang w:val="es-ES_tradnl"/>
        </w:rPr>
        <w:t>Ahora bien, en relación con la a</w:t>
      </w:r>
      <w:r w:rsidR="009C5BF2" w:rsidRPr="00BF6B9C">
        <w:rPr>
          <w:rFonts w:ascii="Bookman Old Style" w:eastAsia="Calibri" w:hAnsi="Bookman Old Style" w:cs="Arial"/>
          <w:lang w:val="es-ES_tradnl" w:eastAsia="en-US"/>
        </w:rPr>
        <w:t>plicación del régimen tarifario y los criterios tarifarios por parte de la CREG dentro de sus actuaciones administrativas</w:t>
      </w:r>
      <w:r w:rsidRPr="00BF6B9C">
        <w:rPr>
          <w:rFonts w:ascii="Bookman Old Style" w:eastAsia="Calibri" w:hAnsi="Bookman Old Style" w:cs="Arial"/>
          <w:lang w:val="es-ES_tradnl" w:eastAsia="en-US"/>
        </w:rPr>
        <w:t>,</w:t>
      </w:r>
      <w:r w:rsidRPr="00BF6B9C">
        <w:rPr>
          <w:rFonts w:ascii="Bookman Old Style" w:hAnsi="Bookman Old Style" w:cs="Arial"/>
          <w:lang w:val="es-ES_tradnl"/>
        </w:rPr>
        <w:t xml:space="preserve"> se debe tener en cuenta que</w:t>
      </w:r>
      <w:r w:rsidR="009C5BF2" w:rsidRPr="00BF6B9C">
        <w:rPr>
          <w:rFonts w:ascii="Bookman Old Style" w:eastAsia="Calibri" w:hAnsi="Bookman Old Style" w:cs="Arial"/>
          <w:lang w:val="es-CO" w:eastAsia="en-US"/>
        </w:rPr>
        <w:t xml:space="preserve"> del contenido de la Ley 142 de 1994</w:t>
      </w:r>
      <w:r w:rsidRPr="00BF6B9C">
        <w:rPr>
          <w:rFonts w:ascii="Bookman Old Style" w:eastAsia="Calibri" w:hAnsi="Bookman Old Style" w:cs="Arial"/>
          <w:lang w:val="es-CO" w:eastAsia="en-US"/>
        </w:rPr>
        <w:t xml:space="preserve"> se han</w:t>
      </w:r>
      <w:r w:rsidR="009C5BF2" w:rsidRPr="00BF6B9C">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rsidR="009C5BF2" w:rsidRPr="00BF6B9C" w:rsidRDefault="009C5BF2" w:rsidP="009C5BF2">
      <w:pPr>
        <w:ind w:left="0" w:right="-93"/>
        <w:jc w:val="both"/>
        <w:rPr>
          <w:rFonts w:ascii="Bookman Old Style" w:hAnsi="Bookman Old Style" w:cs="Arial"/>
          <w:color w:val="000000"/>
          <w:lang w:val="es-CO"/>
        </w:rPr>
      </w:pPr>
    </w:p>
    <w:p w:rsidR="009C5BF2" w:rsidRPr="00BF6B9C" w:rsidRDefault="009C5BF2" w:rsidP="00EA2219">
      <w:pPr>
        <w:ind w:left="284" w:right="284"/>
        <w:jc w:val="both"/>
        <w:rPr>
          <w:rFonts w:ascii="Bookman Old Style" w:hAnsi="Bookman Old Style" w:cs="Arial"/>
          <w:color w:val="000000"/>
          <w:lang w:val="es-CO"/>
        </w:rPr>
      </w:pPr>
      <w:r w:rsidRPr="00BF6B9C">
        <w:rPr>
          <w:rFonts w:ascii="Bookman Old Style" w:hAnsi="Bookman Old Style" w:cs="Arial"/>
          <w:color w:val="000000"/>
          <w:lang w:val="es-CO"/>
        </w:rPr>
        <w:t>“</w:t>
      </w:r>
      <w:r w:rsidRPr="00BF6B9C">
        <w:rPr>
          <w:rFonts w:ascii="Bookman Old Style" w:hAnsi="Bookman Old Style" w:cs="Arial"/>
          <w:b/>
          <w:color w:val="000000"/>
          <w:lang w:val="es-CO"/>
        </w:rPr>
        <w:t>Artículo 86. El régimen tarifario.</w:t>
      </w:r>
      <w:r w:rsidRPr="00BF6B9C">
        <w:rPr>
          <w:rFonts w:ascii="Bookman Old Style" w:hAnsi="Bookman Old Style" w:cs="Arial"/>
          <w:color w:val="000000"/>
          <w:lang w:val="es-CO"/>
        </w:rPr>
        <w:t xml:space="preserve"> </w:t>
      </w:r>
      <w:r w:rsidRPr="00BF6B9C">
        <w:rPr>
          <w:rFonts w:ascii="Bookman Old Style" w:hAnsi="Bookman Old Style" w:cs="Arial"/>
          <w:color w:val="000000"/>
          <w:u w:val="single"/>
          <w:lang w:val="es-CO"/>
        </w:rPr>
        <w:t>El régimen tarifario</w:t>
      </w:r>
      <w:r w:rsidRPr="00BF6B9C">
        <w:rPr>
          <w:rFonts w:ascii="Bookman Old Style" w:hAnsi="Bookman Old Style" w:cs="Arial"/>
          <w:color w:val="000000"/>
          <w:lang w:val="es-CO"/>
        </w:rPr>
        <w:t xml:space="preserve"> en los servicios públicos a los que esta Ley </w:t>
      </w:r>
      <w:r w:rsidRPr="00BF6B9C">
        <w:rPr>
          <w:rFonts w:ascii="Bookman Old Style" w:hAnsi="Bookman Old Style" w:cs="Arial"/>
          <w:color w:val="000000"/>
          <w:u w:val="single"/>
          <w:lang w:val="es-CO"/>
        </w:rPr>
        <w:t>se refiere</w:t>
      </w:r>
      <w:r w:rsidRPr="00BF6B9C">
        <w:rPr>
          <w:rFonts w:ascii="Bookman Old Style" w:hAnsi="Bookman Old Style" w:cs="Arial"/>
          <w:color w:val="000000"/>
          <w:lang w:val="es-CO"/>
        </w:rPr>
        <w:t>, está compuesto por reglas relativas a:</w:t>
      </w:r>
    </w:p>
    <w:p w:rsidR="009C5BF2" w:rsidRPr="00BF6B9C" w:rsidRDefault="009C5BF2" w:rsidP="00EA2219">
      <w:pPr>
        <w:ind w:left="284" w:right="284"/>
        <w:jc w:val="both"/>
        <w:rPr>
          <w:rFonts w:ascii="Bookman Old Style" w:hAnsi="Bookman Old Style" w:cs="Arial"/>
          <w:color w:val="000000"/>
          <w:lang w:val="es-CO"/>
        </w:rPr>
      </w:pPr>
    </w:p>
    <w:p w:rsidR="009C5BF2" w:rsidRPr="00BF6B9C" w:rsidRDefault="009C5BF2" w:rsidP="00EA2219">
      <w:pPr>
        <w:ind w:left="284" w:right="284"/>
        <w:jc w:val="both"/>
        <w:rPr>
          <w:rFonts w:ascii="Bookman Old Style" w:hAnsi="Bookman Old Style" w:cs="Arial"/>
          <w:color w:val="000000"/>
          <w:lang w:val="es-CO"/>
        </w:rPr>
      </w:pPr>
      <w:r w:rsidRPr="00BF6B9C">
        <w:rPr>
          <w:rFonts w:ascii="Bookman Old Style" w:hAnsi="Bookman Old Style" w:cs="Arial"/>
          <w:color w:val="000000"/>
          <w:lang w:val="es-CO"/>
        </w:rPr>
        <w:t>(…)</w:t>
      </w:r>
    </w:p>
    <w:p w:rsidR="009C5BF2" w:rsidRPr="00BF6B9C" w:rsidRDefault="009C5BF2" w:rsidP="00EA2219">
      <w:pPr>
        <w:ind w:left="284" w:right="284"/>
        <w:jc w:val="both"/>
        <w:rPr>
          <w:rFonts w:ascii="Bookman Old Style" w:hAnsi="Bookman Old Style" w:cs="Arial"/>
          <w:color w:val="000000"/>
          <w:lang w:val="es-CO"/>
        </w:rPr>
      </w:pPr>
    </w:p>
    <w:p w:rsidR="009C5BF2" w:rsidRPr="00BF6B9C" w:rsidRDefault="009C5BF2" w:rsidP="00EA2219">
      <w:pPr>
        <w:ind w:left="284" w:right="284"/>
        <w:jc w:val="both"/>
        <w:rPr>
          <w:rFonts w:ascii="Bookman Old Style" w:hAnsi="Bookman Old Style" w:cs="Arial"/>
          <w:color w:val="000000"/>
          <w:lang w:val="es-CO"/>
        </w:rPr>
      </w:pPr>
      <w:r w:rsidRPr="00BF6B9C">
        <w:rPr>
          <w:rFonts w:ascii="Bookman Old Style" w:hAnsi="Bookman Old Style" w:cs="Arial"/>
          <w:color w:val="000000"/>
          <w:lang w:val="es-CO"/>
        </w:rPr>
        <w:t xml:space="preserve">86.4. </w:t>
      </w:r>
      <w:r w:rsidRPr="00BF6B9C">
        <w:rPr>
          <w:rFonts w:ascii="Bookman Old Style" w:hAnsi="Bookman Old Style" w:cs="Arial"/>
          <w:color w:val="000000"/>
          <w:u w:val="single"/>
          <w:lang w:val="es-CO"/>
        </w:rPr>
        <w:t>Las reglas relativas a procedimientos, metodologías, formulas, estructuras</w:t>
      </w:r>
      <w:r w:rsidRPr="00BF6B9C">
        <w:rPr>
          <w:rFonts w:ascii="Bookman Old Style" w:hAnsi="Bookman Old Style" w:cs="Arial"/>
          <w:color w:val="000000"/>
          <w:lang w:val="es-CO"/>
        </w:rPr>
        <w:t xml:space="preserve">, estratos, facturación, </w:t>
      </w:r>
      <w:r w:rsidRPr="00BF6B9C">
        <w:rPr>
          <w:rFonts w:ascii="Bookman Old Style" w:hAnsi="Bookman Old Style" w:cs="Arial"/>
          <w:color w:val="000000"/>
          <w:u w:val="single"/>
          <w:lang w:val="es-CO"/>
        </w:rPr>
        <w:t>opciones, valores</w:t>
      </w:r>
      <w:r w:rsidRPr="00BF6B9C">
        <w:rPr>
          <w:rFonts w:ascii="Bookman Old Style" w:hAnsi="Bookman Old Style" w:cs="Arial"/>
          <w:color w:val="000000"/>
          <w:lang w:val="es-CO"/>
        </w:rPr>
        <w:t xml:space="preserve"> </w:t>
      </w:r>
      <w:r w:rsidRPr="00BF6B9C">
        <w:rPr>
          <w:rFonts w:ascii="Bookman Old Style" w:hAnsi="Bookman Old Style" w:cs="Arial"/>
          <w:b/>
          <w:color w:val="000000"/>
          <w:u w:val="single"/>
          <w:lang w:val="es-CO"/>
        </w:rPr>
        <w:t>y, en general, todos los aspectos que determinan el cobro de las tarifas</w:t>
      </w:r>
      <w:r w:rsidRPr="00BF6B9C">
        <w:rPr>
          <w:rFonts w:ascii="Bookman Old Style" w:hAnsi="Bookman Old Style" w:cs="Arial"/>
          <w:color w:val="000000"/>
          <w:lang w:val="es-CO"/>
        </w:rPr>
        <w:t>”.</w:t>
      </w:r>
    </w:p>
    <w:p w:rsidR="009C5BF2" w:rsidRPr="00BF6B9C" w:rsidRDefault="009C5BF2" w:rsidP="009C5BF2">
      <w:pPr>
        <w:ind w:left="0" w:right="-93"/>
        <w:jc w:val="both"/>
        <w:rPr>
          <w:rFonts w:ascii="Bookman Old Style" w:hAnsi="Bookman Old Style" w:cs="Arial"/>
          <w:color w:val="000000"/>
          <w:lang w:val="es-CO"/>
        </w:rPr>
      </w:pPr>
    </w:p>
    <w:p w:rsidR="006E1C54" w:rsidRPr="00BF6B9C" w:rsidRDefault="006E1C54"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En concordancia con lo anterior, el artículo 87 de la Ley 142 de 1994 establece lo siguiente:</w:t>
      </w:r>
    </w:p>
    <w:p w:rsidR="006E1C54" w:rsidRPr="00BF6B9C" w:rsidRDefault="006E1C54" w:rsidP="009C5BF2">
      <w:pPr>
        <w:ind w:left="0" w:right="-93"/>
        <w:jc w:val="both"/>
        <w:rPr>
          <w:rFonts w:ascii="Bookman Old Style" w:hAnsi="Bookman Old Style" w:cs="Arial"/>
          <w:color w:val="000000"/>
          <w:lang w:val="es-CO"/>
        </w:rPr>
      </w:pPr>
    </w:p>
    <w:p w:rsidR="006E1C54" w:rsidRPr="00BF6B9C" w:rsidRDefault="006E1C54" w:rsidP="00EA2219">
      <w:pPr>
        <w:ind w:left="284" w:right="284"/>
        <w:jc w:val="both"/>
        <w:rPr>
          <w:rFonts w:ascii="Bookman Old Style" w:hAnsi="Bookman Old Style" w:cs="Arial"/>
          <w:color w:val="000000"/>
          <w:lang w:val="es-CO"/>
        </w:rPr>
      </w:pPr>
      <w:r w:rsidRPr="00BF6B9C">
        <w:rPr>
          <w:rFonts w:ascii="Bookman Old Style" w:hAnsi="Bookman Old Style" w:cs="Arial"/>
          <w:color w:val="000000"/>
          <w:lang w:val="es-CO"/>
        </w:rPr>
        <w:t>“</w:t>
      </w:r>
      <w:r w:rsidRPr="00BF6B9C">
        <w:rPr>
          <w:rFonts w:ascii="Bookman Old Style" w:hAnsi="Bookman Old Style" w:cs="Arial"/>
          <w:b/>
          <w:color w:val="000000"/>
          <w:lang w:val="es-CO"/>
        </w:rPr>
        <w:t>Artículo  87. Criterios para definir el régimen tarifario.</w:t>
      </w:r>
      <w:r w:rsidRPr="00BF6B9C">
        <w:rPr>
          <w:rFonts w:ascii="Bookman Old Style" w:hAnsi="Bookman Old Style" w:cs="Arial"/>
          <w:color w:val="000000"/>
          <w:lang w:val="es-CO"/>
        </w:rPr>
        <w:t xml:space="preserve"> </w:t>
      </w:r>
      <w:r w:rsidRPr="00BF6B9C">
        <w:rPr>
          <w:rFonts w:ascii="Bookman Old Style" w:hAnsi="Bookman Old Style" w:cs="Arial"/>
          <w:b/>
          <w:color w:val="000000"/>
          <w:u w:val="single"/>
          <w:lang w:val="es-CO"/>
        </w:rPr>
        <w:t>El régimen tarifario estará orientado por los criterios</w:t>
      </w:r>
      <w:r w:rsidRPr="00BF6B9C">
        <w:rPr>
          <w:rFonts w:ascii="Bookman Old Style" w:hAnsi="Bookman Old Style" w:cs="Arial"/>
          <w:color w:val="000000"/>
          <w:u w:val="single"/>
          <w:lang w:val="es-CO"/>
        </w:rPr>
        <w:t xml:space="preserve"> de eficiencia económica, neutralidad, solidaridad, redistribución, suficiencia financiera, simplicidad y transparencia</w:t>
      </w:r>
      <w:r w:rsidRPr="00BF6B9C">
        <w:rPr>
          <w:rFonts w:ascii="Bookman Old Style" w:hAnsi="Bookman Old Style" w:cs="Arial"/>
          <w:color w:val="000000"/>
          <w:lang w:val="es-CO"/>
        </w:rPr>
        <w:t xml:space="preserve"> (…)” (</w:t>
      </w:r>
      <w:r w:rsidR="00160B5E" w:rsidRPr="00BF6B9C">
        <w:rPr>
          <w:rFonts w:ascii="Bookman Old Style" w:hAnsi="Bookman Old Style" w:cs="Arial"/>
          <w:color w:val="000000"/>
          <w:lang w:val="es-CO"/>
        </w:rPr>
        <w:t>Resaltado</w:t>
      </w:r>
      <w:r w:rsidRPr="00BF6B9C">
        <w:rPr>
          <w:rFonts w:ascii="Bookman Old Style" w:hAnsi="Bookman Old Style" w:cs="Arial"/>
          <w:color w:val="000000"/>
          <w:lang w:val="es-CO"/>
        </w:rPr>
        <w:t xml:space="preserve"> fuera de texto)</w:t>
      </w:r>
    </w:p>
    <w:p w:rsidR="006E1C54" w:rsidRPr="00BF6B9C" w:rsidRDefault="006E1C54" w:rsidP="009C5BF2">
      <w:pPr>
        <w:ind w:left="0" w:right="-93"/>
        <w:jc w:val="both"/>
        <w:rPr>
          <w:rFonts w:ascii="Bookman Old Style" w:hAnsi="Bookman Old Style" w:cs="Arial"/>
          <w:color w:val="000000"/>
          <w:lang w:val="es-CO"/>
        </w:rPr>
      </w:pPr>
    </w:p>
    <w:p w:rsidR="009C5BF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La misma Ley 142 de 1994 en su artículo 87 ha precisado que el régimen tarifario</w:t>
      </w:r>
      <w:r w:rsidRPr="00BF6B9C">
        <w:rPr>
          <w:rFonts w:ascii="Bookman Old Style" w:eastAsia="Calibri" w:hAnsi="Bookman Old Style"/>
          <w:lang w:val="es-CO" w:eastAsia="en-US"/>
        </w:rPr>
        <w:t xml:space="preserve"> </w:t>
      </w:r>
      <w:r w:rsidRPr="00BF6B9C">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BF6B9C">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rsidR="009C5BF2" w:rsidRPr="00BF6B9C" w:rsidRDefault="009C5BF2" w:rsidP="009C5BF2">
      <w:pPr>
        <w:ind w:left="0" w:right="-93"/>
        <w:jc w:val="both"/>
        <w:rPr>
          <w:rFonts w:ascii="Bookman Old Style" w:hAnsi="Bookman Old Style" w:cs="Arial"/>
          <w:color w:val="000000"/>
          <w:lang w:val="es-CO"/>
        </w:rPr>
      </w:pPr>
    </w:p>
    <w:p w:rsidR="009C5BF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 xml:space="preserve">De estas normas se desprende entonces que le corresponde a las comisiones de regulación dar cumplimiento </w:t>
      </w:r>
      <w:r w:rsidR="007F4922" w:rsidRPr="00BF6B9C">
        <w:rPr>
          <w:rFonts w:ascii="Bookman Old Style" w:hAnsi="Bookman Old Style" w:cs="Arial"/>
          <w:color w:val="000000"/>
          <w:lang w:val="es-CO"/>
        </w:rPr>
        <w:t>a</w:t>
      </w:r>
      <w:r w:rsidRPr="00BF6B9C">
        <w:rPr>
          <w:rFonts w:ascii="Bookman Old Style" w:hAnsi="Bookman Old Style" w:cs="Arial"/>
          <w:color w:val="000000"/>
          <w:lang w:val="es-CO"/>
        </w:rPr>
        <w:t xml:space="preserve"> los criterios tarifarios en aquellos aspectos definidos específicamente por el legislador </w:t>
      </w:r>
      <w:r w:rsidR="007F4922" w:rsidRPr="00BF6B9C">
        <w:rPr>
          <w:rFonts w:ascii="Bookman Old Style" w:hAnsi="Bookman Old Style" w:cs="Arial"/>
          <w:color w:val="000000"/>
          <w:lang w:val="es-CO"/>
        </w:rPr>
        <w:t xml:space="preserve">y </w:t>
      </w:r>
      <w:r w:rsidRPr="00BF6B9C">
        <w:rPr>
          <w:rFonts w:ascii="Bookman Old Style" w:hAnsi="Bookman Old Style" w:cs="Arial"/>
          <w:color w:val="000000"/>
          <w:lang w:val="es-CO"/>
        </w:rPr>
        <w:t>que hacen parte del régimen ta</w:t>
      </w:r>
      <w:r w:rsidR="007F4922" w:rsidRPr="00BF6B9C">
        <w:rPr>
          <w:rFonts w:ascii="Bookman Old Style" w:hAnsi="Bookman Old Style" w:cs="Arial"/>
          <w:color w:val="000000"/>
          <w:lang w:val="es-CO"/>
        </w:rPr>
        <w:t>rifario, como es el caso de los:</w:t>
      </w:r>
      <w:r w:rsidRPr="00BF6B9C">
        <w:rPr>
          <w:rFonts w:ascii="Bookman Old Style" w:hAnsi="Bookman Old Style" w:cs="Arial"/>
          <w:color w:val="000000"/>
          <w:lang w:val="es-CO"/>
        </w:rPr>
        <w:t xml:space="preserve"> i) procedimientos, ii) metodologías, iii) formulas, iv) estructuras, v) estratos, vi) facturació</w:t>
      </w:r>
      <w:r w:rsidR="00160B5E" w:rsidRPr="00BF6B9C">
        <w:rPr>
          <w:rFonts w:ascii="Bookman Old Style" w:hAnsi="Bookman Old Style" w:cs="Arial"/>
          <w:color w:val="000000"/>
          <w:lang w:val="es-CO"/>
        </w:rPr>
        <w:t>n, vii) opciones, viii) valores;</w:t>
      </w:r>
      <w:r w:rsidRPr="00BF6B9C">
        <w:rPr>
          <w:rFonts w:ascii="Bookman Old Style" w:hAnsi="Bookman Old Style" w:cs="Arial"/>
          <w:color w:val="000000"/>
          <w:lang w:val="es-CO"/>
        </w:rPr>
        <w:t xml:space="preserve"> así como en aquellos eventos que de manera general se ajusten a un </w:t>
      </w:r>
      <w:r w:rsidR="005027FE" w:rsidRPr="00BF6B9C">
        <w:rPr>
          <w:rFonts w:ascii="Bookman Old Style" w:hAnsi="Bookman Old Style" w:cs="Arial"/>
          <w:color w:val="000000"/>
          <w:lang w:val="es-CO"/>
        </w:rPr>
        <w:t>“</w:t>
      </w:r>
      <w:r w:rsidR="007F4922" w:rsidRPr="00BF6B9C">
        <w:rPr>
          <w:rFonts w:ascii="Bookman Old Style" w:hAnsi="Bookman Old Style" w:cs="Arial"/>
          <w:color w:val="000000"/>
          <w:lang w:val="es-CO"/>
        </w:rPr>
        <w:t>aspecto que determine</w:t>
      </w:r>
      <w:r w:rsidRPr="00BF6B9C">
        <w:rPr>
          <w:rFonts w:ascii="Bookman Old Style" w:hAnsi="Bookman Old Style" w:cs="Arial"/>
          <w:color w:val="000000"/>
          <w:lang w:val="es-CO"/>
        </w:rPr>
        <w:t xml:space="preserve"> el cobro de las tarifas</w:t>
      </w:r>
      <w:r w:rsidR="005027FE" w:rsidRPr="00BF6B9C">
        <w:rPr>
          <w:rFonts w:ascii="Bookman Old Style" w:hAnsi="Bookman Old Style" w:cs="Arial"/>
          <w:color w:val="000000"/>
          <w:lang w:val="es-CO"/>
        </w:rPr>
        <w:t>”</w:t>
      </w:r>
      <w:r w:rsidRPr="00BF6B9C">
        <w:rPr>
          <w:rFonts w:ascii="Bookman Old Style" w:hAnsi="Bookman Old Style" w:cs="Arial"/>
          <w:color w:val="000000"/>
          <w:lang w:val="es-CO"/>
        </w:rPr>
        <w:t xml:space="preserve">, atendiendo el marco de sus competencias. </w:t>
      </w:r>
    </w:p>
    <w:p w:rsidR="00160B5E" w:rsidRPr="00BF6B9C" w:rsidRDefault="00160B5E" w:rsidP="009C5BF2">
      <w:pPr>
        <w:ind w:left="0" w:right="-93"/>
        <w:jc w:val="both"/>
        <w:rPr>
          <w:rFonts w:ascii="Bookman Old Style" w:hAnsi="Bookman Old Style" w:cs="Arial"/>
          <w:color w:val="000000"/>
          <w:lang w:val="es-CO"/>
        </w:rPr>
      </w:pPr>
    </w:p>
    <w:p w:rsidR="009C5BF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 xml:space="preserve">Es por esto que </w:t>
      </w:r>
      <w:r w:rsidR="00160B5E" w:rsidRPr="00BF6B9C">
        <w:rPr>
          <w:rFonts w:ascii="Bookman Old Style" w:hAnsi="Bookman Old Style" w:cs="Arial"/>
          <w:color w:val="000000"/>
          <w:lang w:val="es-CO"/>
        </w:rPr>
        <w:t xml:space="preserve">de acuerdo con la Ley 142 de 1994, </w:t>
      </w:r>
      <w:r w:rsidRPr="00BF6B9C">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BF6B9C">
        <w:rPr>
          <w:rFonts w:ascii="Bookman Old Style" w:hAnsi="Bookman Old Style" w:cs="Arial"/>
          <w:color w:val="000000"/>
          <w:lang w:val="es-CO"/>
        </w:rPr>
        <w:t xml:space="preserve"> y de las fórmulas que de estas hacen parte</w:t>
      </w:r>
      <w:r w:rsidRPr="00BF6B9C">
        <w:rPr>
          <w:rFonts w:ascii="Bookman Old Style" w:hAnsi="Bookman Old Style" w:cs="Arial"/>
          <w:color w:val="000000"/>
          <w:lang w:val="es-CO"/>
        </w:rPr>
        <w:t>, ya que el mismo legislador le otorgó a las entidades que hacen parte del régimen de los servicios públicos domiciliarios</w:t>
      </w:r>
      <w:r w:rsidR="000435F2" w:rsidRPr="00BF6B9C">
        <w:rPr>
          <w:rFonts w:ascii="Bookman Old Style" w:hAnsi="Bookman Old Style" w:cs="Arial"/>
          <w:color w:val="000000"/>
          <w:lang w:val="es-CO"/>
        </w:rPr>
        <w:t>,</w:t>
      </w:r>
      <w:r w:rsidRPr="00BF6B9C">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 </w:t>
      </w:r>
    </w:p>
    <w:p w:rsidR="009C5BF2" w:rsidRPr="00BF6B9C" w:rsidRDefault="009C5BF2" w:rsidP="009C5BF2">
      <w:pPr>
        <w:ind w:left="0" w:right="-93"/>
        <w:jc w:val="both"/>
        <w:rPr>
          <w:rFonts w:ascii="Bookman Old Style" w:hAnsi="Bookman Old Style" w:cs="Arial"/>
          <w:color w:val="000000"/>
          <w:lang w:val="es-CO"/>
        </w:rPr>
      </w:pPr>
    </w:p>
    <w:p w:rsidR="007F492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BF6B9C">
        <w:rPr>
          <w:rFonts w:ascii="Bookman Old Style" w:hAnsi="Bookman Old Style" w:cs="Arial"/>
          <w:color w:val="000000"/>
          <w:lang w:val="es-CO"/>
        </w:rPr>
        <w:t>en</w:t>
      </w:r>
      <w:r w:rsidRPr="00BF6B9C">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prestación eficiente del servicio. </w:t>
      </w:r>
    </w:p>
    <w:p w:rsidR="00FA0D0D" w:rsidRPr="00BF6B9C" w:rsidRDefault="00FA0D0D" w:rsidP="00FA0D0D">
      <w:pPr>
        <w:keepNext/>
        <w:spacing w:before="240" w:after="60"/>
        <w:ind w:left="0"/>
        <w:jc w:val="both"/>
        <w:outlineLvl w:val="0"/>
        <w:rPr>
          <w:rFonts w:ascii="Bookman Old Style" w:hAnsi="Bookman Old Style"/>
          <w:bCs/>
        </w:rPr>
      </w:pPr>
      <w:r w:rsidRPr="00BF6B9C">
        <w:rPr>
          <w:rFonts w:ascii="Bookman Old Style" w:hAnsi="Bookman Old Style" w:cs="Arial"/>
          <w:lang w:val="es-CO"/>
        </w:rPr>
        <w:t>E</w:t>
      </w:r>
      <w:r w:rsidRPr="00BF6B9C">
        <w:rPr>
          <w:rFonts w:ascii="Bookman Old Style" w:hAnsi="Bookman Old Style" w:cs="Arial"/>
        </w:rPr>
        <w:t>n el mismo</w:t>
      </w:r>
      <w:r w:rsidR="00A50F04" w:rsidRPr="00BF6B9C">
        <w:rPr>
          <w:rFonts w:ascii="Bookman Old Style" w:hAnsi="Bookman Old Style" w:cs="Arial"/>
        </w:rPr>
        <w:t xml:space="preserve"> sentido lo incluyó</w:t>
      </w:r>
      <w:r w:rsidR="00560B56" w:rsidRPr="00BF6B9C">
        <w:rPr>
          <w:rFonts w:ascii="Bookman Old Style" w:hAnsi="Bookman Old Style" w:cs="Arial"/>
        </w:rPr>
        <w:t xml:space="preserve"> la Resolución CREG 202</w:t>
      </w:r>
      <w:r w:rsidRPr="00BF6B9C">
        <w:rPr>
          <w:rFonts w:ascii="Bookman Old Style" w:hAnsi="Bookman Old Style" w:cs="Arial"/>
        </w:rPr>
        <w:t xml:space="preserve"> de 2013, al señalar</w:t>
      </w:r>
      <w:r w:rsidR="00A50F04" w:rsidRPr="00BF6B9C">
        <w:rPr>
          <w:rFonts w:ascii="Bookman Old Style" w:hAnsi="Bookman Old Style" w:cs="Arial"/>
        </w:rPr>
        <w:t xml:space="preserve">  que</w:t>
      </w:r>
      <w:r w:rsidRPr="00BF6B9C">
        <w:rPr>
          <w:rFonts w:ascii="Bookman Old Style" w:hAnsi="Bookman Old Style" w:cs="Arial"/>
        </w:rPr>
        <w:t xml:space="preserve"> la metodología para el cálculo de los cargos de distribución se hará </w:t>
      </w:r>
      <w:r w:rsidRPr="00BF6B9C">
        <w:rPr>
          <w:rFonts w:ascii="Bookman Old Style" w:hAnsi="Bookman Old Style" w:cs="Arial"/>
          <w:bCs/>
        </w:rPr>
        <w:t xml:space="preserve">aplicando </w:t>
      </w:r>
      <w:r w:rsidRPr="00BF6B9C">
        <w:rPr>
          <w:rFonts w:ascii="Bookman Old Style" w:hAnsi="Bookman Old Style"/>
          <w:bCs/>
        </w:rPr>
        <w:t>los criterios tarifarios establecidos en la Ley 142 de 1994 y de acuerdo a la conformación del Mercado Relevante de Distribución.</w:t>
      </w:r>
      <w:r w:rsidRPr="00BF6B9C">
        <w:rPr>
          <w:rStyle w:val="Refdenotaalpie"/>
          <w:rFonts w:ascii="Bookman Old Style" w:hAnsi="Bookman Old Style"/>
          <w:bCs/>
        </w:rPr>
        <w:footnoteReference w:id="21"/>
      </w:r>
    </w:p>
    <w:p w:rsidR="00FA0D0D" w:rsidRPr="00BF6B9C" w:rsidRDefault="00FA0D0D" w:rsidP="009C5BF2">
      <w:pPr>
        <w:ind w:left="0" w:right="-93"/>
        <w:jc w:val="both"/>
        <w:rPr>
          <w:rFonts w:ascii="Bookman Old Style" w:hAnsi="Bookman Old Style" w:cs="Arial"/>
          <w:color w:val="000000"/>
          <w:lang w:val="es-CO"/>
        </w:rPr>
      </w:pPr>
    </w:p>
    <w:p w:rsidR="009C5BF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De la misma forma, la Ley 142 de 1994 ha dispuesto que todas las decisiones de las autoridades en materia de servicios públicos, incluida esta Comisión, deben fundarse en los motivos que determina la Ley, los cuales deben ser comprobables, por lo que dicho fundamento está relacionado con la aplicación de los criterios tarifarios dentro de</w:t>
      </w:r>
      <w:r w:rsidR="007F4922" w:rsidRPr="00BF6B9C">
        <w:rPr>
          <w:rFonts w:ascii="Bookman Old Style" w:hAnsi="Bookman Old Style" w:cs="Arial"/>
          <w:color w:val="000000"/>
          <w:lang w:val="es-CO"/>
        </w:rPr>
        <w:t xml:space="preserve"> un aspecto específico, ya sea en</w:t>
      </w:r>
      <w:r w:rsidRPr="00BF6B9C">
        <w:rPr>
          <w:rFonts w:ascii="Bookman Old Style" w:hAnsi="Bookman Old Style" w:cs="Arial"/>
          <w:color w:val="000000"/>
          <w:lang w:val="es-CO"/>
        </w:rPr>
        <w:t xml:space="preserve"> un acto de carácter general o com</w:t>
      </w:r>
      <w:r w:rsidR="007F4922" w:rsidRPr="00BF6B9C">
        <w:rPr>
          <w:rFonts w:ascii="Bookman Old Style" w:hAnsi="Bookman Old Style" w:cs="Arial"/>
          <w:color w:val="000000"/>
          <w:lang w:val="es-CO"/>
        </w:rPr>
        <w:t>o parte de una decisión que deba</w:t>
      </w:r>
      <w:r w:rsidRPr="00BF6B9C">
        <w:rPr>
          <w:rFonts w:ascii="Bookman Old Style" w:hAnsi="Bookman Old Style" w:cs="Arial"/>
          <w:color w:val="000000"/>
          <w:lang w:val="es-CO"/>
        </w:rPr>
        <w:t xml:space="preserve"> ser adoptada dentro de una actuación administrativa.</w:t>
      </w:r>
    </w:p>
    <w:p w:rsidR="009C5BF2" w:rsidRPr="00BF6B9C" w:rsidRDefault="009C5BF2" w:rsidP="009C5BF2">
      <w:pPr>
        <w:ind w:left="0" w:right="-93"/>
        <w:jc w:val="both"/>
        <w:rPr>
          <w:rFonts w:ascii="Bookman Old Style" w:hAnsi="Bookman Old Style" w:cs="Arial"/>
          <w:color w:val="000000"/>
          <w:lang w:val="es-CO"/>
        </w:rPr>
      </w:pPr>
    </w:p>
    <w:p w:rsidR="009C5BF2" w:rsidRPr="00BF6B9C" w:rsidRDefault="009C5BF2" w:rsidP="009C5BF2">
      <w:pPr>
        <w:ind w:left="0" w:right="-93"/>
        <w:jc w:val="both"/>
        <w:rPr>
          <w:rFonts w:ascii="Bookman Old Style" w:hAnsi="Bookman Old Style" w:cs="Arial"/>
          <w:color w:val="000000"/>
          <w:lang w:val="es-CO"/>
        </w:rPr>
      </w:pPr>
      <w:r w:rsidRPr="00BF6B9C">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rsidR="009C5BF2" w:rsidRPr="00BF6B9C" w:rsidRDefault="009C5BF2" w:rsidP="009C5BF2">
      <w:pPr>
        <w:ind w:left="0" w:right="-93"/>
        <w:jc w:val="both"/>
        <w:rPr>
          <w:rFonts w:ascii="Bookman Old Style" w:hAnsi="Bookman Old Style" w:cs="Arial"/>
          <w:color w:val="000000"/>
          <w:lang w:val="es-CO"/>
        </w:rPr>
      </w:pPr>
    </w:p>
    <w:p w:rsidR="00876D3E"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color w:val="000000"/>
          <w:lang w:val="es-CO"/>
        </w:rPr>
        <w:t xml:space="preserve">Ahora, esta disposición debe recibir el mismo análisis y tratamiento que se ha hecho por parte de </w:t>
      </w:r>
      <w:r w:rsidR="009B3836" w:rsidRPr="00BF6B9C">
        <w:rPr>
          <w:rFonts w:ascii="Bookman Old Style" w:hAnsi="Bookman Old Style" w:cs="Arial"/>
          <w:color w:val="000000"/>
          <w:lang w:val="es-CO"/>
        </w:rPr>
        <w:t>esta</w:t>
      </w:r>
      <w:r w:rsidRPr="00BF6B9C">
        <w:rPr>
          <w:rFonts w:ascii="Bookman Old Style" w:hAnsi="Bookman Old Style" w:cs="Arial"/>
          <w:color w:val="000000"/>
          <w:lang w:val="es-CO"/>
        </w:rPr>
        <w:t xml:space="preserve"> Comisión en relación con la forma en que se deben interpretar y aplicar aquellas disposiciones que atribuyen facultades regulatorias a esta Comisión</w:t>
      </w:r>
      <w:r w:rsidR="00B04CFB" w:rsidRPr="00BF6B9C">
        <w:rPr>
          <w:rFonts w:ascii="Bookman Old Style" w:hAnsi="Bookman Old Style" w:cs="Arial"/>
          <w:color w:val="000000"/>
          <w:lang w:val="es-CO"/>
        </w:rPr>
        <w:t xml:space="preserve"> en el marco de la Ley 142 de 1994</w:t>
      </w:r>
      <w:r w:rsidR="007F4922" w:rsidRPr="00BF6B9C">
        <w:rPr>
          <w:rFonts w:ascii="Bookman Old Style" w:hAnsi="Bookman Old Style" w:cs="Arial"/>
          <w:color w:val="000000"/>
          <w:lang w:val="es-CO"/>
        </w:rPr>
        <w:t>, incluyendo aquellas en materia tarifaria</w:t>
      </w:r>
      <w:r w:rsidRPr="00BF6B9C">
        <w:rPr>
          <w:rFonts w:ascii="Bookman Old Style" w:hAnsi="Bookman Old Style" w:cs="Arial"/>
          <w:color w:val="000000"/>
          <w:lang w:val="es-CO"/>
        </w:rPr>
        <w:t xml:space="preserve">; razón por la cual, </w:t>
      </w:r>
      <w:r w:rsidRPr="00BF6B9C">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BF6B9C">
        <w:rPr>
          <w:rFonts w:ascii="Bookman Old Style" w:hAnsi="Bookman Old Style" w:cs="Arial"/>
          <w:lang w:val="es-ES_tradnl"/>
        </w:rPr>
        <w:t xml:space="preserve"> los principios legales</w:t>
      </w:r>
      <w:r w:rsidRPr="00BF6B9C">
        <w:rPr>
          <w:rFonts w:ascii="Bookman Old Style" w:hAnsi="Bookman Old Style" w:cs="Arial"/>
          <w:lang w:val="es-ES_tradnl"/>
        </w:rPr>
        <w:t xml:space="preserve">, así como los principios constitucionales que guían las actuaciones administrativas de esta Comisión. </w:t>
      </w:r>
    </w:p>
    <w:p w:rsidR="00876D3E" w:rsidRPr="00BF6B9C" w:rsidRDefault="00876D3E" w:rsidP="009C5BF2">
      <w:pPr>
        <w:ind w:left="0" w:right="-93"/>
        <w:jc w:val="both"/>
        <w:rPr>
          <w:rFonts w:ascii="Bookman Old Style" w:hAnsi="Bookman Old Style" w:cs="Arial"/>
          <w:lang w:val="es-ES_tradnl"/>
        </w:rPr>
      </w:pPr>
    </w:p>
    <w:p w:rsidR="009C5BF2" w:rsidRPr="00BF6B9C" w:rsidRDefault="009C5BF2" w:rsidP="009C5BF2">
      <w:pPr>
        <w:ind w:left="0" w:right="-93"/>
        <w:jc w:val="both"/>
        <w:rPr>
          <w:rFonts w:ascii="Bookman Old Style" w:hAnsi="Bookman Old Style" w:cs="Arial"/>
          <w:lang w:val="es-ES_tradnl"/>
        </w:rPr>
      </w:pPr>
      <w:r w:rsidRPr="00BF6B9C">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BF6B9C">
        <w:rPr>
          <w:rFonts w:ascii="Bookman Old Style" w:hAnsi="Bookman Old Style" w:cs="Arial"/>
          <w:vertAlign w:val="superscript"/>
          <w:lang w:val="es-ES_tradnl"/>
        </w:rPr>
        <w:footnoteReference w:id="22"/>
      </w:r>
      <w:r w:rsidRPr="00BF6B9C">
        <w:rPr>
          <w:rFonts w:ascii="Bookman Old Style" w:hAnsi="Bookman Old Style" w:cs="Arial"/>
          <w:lang w:val="es-ES_tradnl"/>
        </w:rPr>
        <w:t>, así como en materia de resolución de conflictos a que hace referencia el numeral 10 del artículo 73 de la Ley 142 de 1994</w:t>
      </w:r>
      <w:r w:rsidR="006E1C54" w:rsidRPr="00BF6B9C">
        <w:rPr>
          <w:rStyle w:val="Refdenotaalpie"/>
          <w:rFonts w:ascii="Bookman Old Style" w:hAnsi="Bookman Old Style" w:cs="Arial"/>
          <w:lang w:val="es-ES_tradnl"/>
        </w:rPr>
        <w:footnoteReference w:id="23"/>
      </w:r>
      <w:r w:rsidRPr="00BF6B9C">
        <w:rPr>
          <w:rFonts w:ascii="Bookman Old Style" w:hAnsi="Bookman Old Style" w:cs="Arial"/>
          <w:lang w:val="es-ES_tradnl"/>
        </w:rPr>
        <w:t xml:space="preserve">. </w:t>
      </w:r>
    </w:p>
    <w:p w:rsidR="009C5BF2" w:rsidRPr="00BF6B9C" w:rsidRDefault="009C5BF2" w:rsidP="009C5BF2">
      <w:pPr>
        <w:ind w:left="0"/>
        <w:jc w:val="both"/>
        <w:rPr>
          <w:rFonts w:ascii="Bookman Old Style" w:hAnsi="Bookman Old Style" w:cs="Arial"/>
          <w:lang w:val="es-ES_tradnl"/>
        </w:rPr>
      </w:pPr>
    </w:p>
    <w:p w:rsidR="009C5BF2" w:rsidRPr="00BF6B9C" w:rsidRDefault="009C5BF2" w:rsidP="009C5BF2">
      <w:pPr>
        <w:ind w:left="0"/>
        <w:jc w:val="both"/>
        <w:rPr>
          <w:rFonts w:ascii="Bookman Old Style" w:hAnsi="Bookman Old Style" w:cs="Arial"/>
          <w:lang w:val="es-ES_tradnl"/>
        </w:rPr>
      </w:pPr>
      <w:r w:rsidRPr="00BF6B9C">
        <w:rPr>
          <w:rFonts w:ascii="Bookman Old Style" w:hAnsi="Bookman Old Style" w:cs="Arial"/>
          <w:lang w:val="es-ES_tradnl"/>
        </w:rPr>
        <w:t>Teniendo en cuenta la obligatoriedad de lleva</w:t>
      </w:r>
      <w:r w:rsidR="006E1C54" w:rsidRPr="00BF6B9C">
        <w:rPr>
          <w:rFonts w:ascii="Bookman Old Style" w:hAnsi="Bookman Old Style" w:cs="Arial"/>
          <w:lang w:val="es-ES_tradnl"/>
        </w:rPr>
        <w:t>r</w:t>
      </w:r>
      <w:r w:rsidRPr="00BF6B9C">
        <w:rPr>
          <w:rFonts w:ascii="Bookman Old Style" w:hAnsi="Bookman Old Style" w:cs="Arial"/>
          <w:lang w:val="es-ES_tradnl"/>
        </w:rPr>
        <w:t xml:space="preserve"> a cabo la aplicación de los criterios tarifarios a </w:t>
      </w:r>
      <w:r w:rsidRPr="00BF6B9C">
        <w:rPr>
          <w:rFonts w:ascii="Bookman Old Style" w:hAnsi="Bookman Old Style" w:cs="Arial"/>
          <w:color w:val="000000"/>
          <w:lang w:val="es-ES_tradnl"/>
        </w:rPr>
        <w:t>todos los aspectos que determinan el cobro de las tarifas, respeto del</w:t>
      </w:r>
      <w:r w:rsidRPr="00BF6B9C">
        <w:rPr>
          <w:rFonts w:ascii="Bookman Old Style" w:hAnsi="Bookman Old Style" w:cs="Arial"/>
          <w:color w:val="000000"/>
          <w:lang w:val="es-CO"/>
        </w:rPr>
        <w:t xml:space="preserve"> criterio de eficiencia el artículo 87.1 de la Ley 142 de 1994 lo ha definido de la siguiente forma:</w:t>
      </w:r>
    </w:p>
    <w:p w:rsidR="009C5BF2" w:rsidRPr="00BF6B9C" w:rsidRDefault="009C5BF2" w:rsidP="009C5BF2">
      <w:pPr>
        <w:ind w:left="0" w:right="-93"/>
        <w:jc w:val="both"/>
        <w:rPr>
          <w:rFonts w:ascii="Bookman Old Style" w:hAnsi="Bookman Old Style" w:cs="Arial"/>
          <w:i/>
          <w:color w:val="000000"/>
          <w:lang w:val="es-CO"/>
        </w:rPr>
      </w:pPr>
    </w:p>
    <w:p w:rsidR="009C5BF2" w:rsidRPr="00BF6B9C" w:rsidRDefault="009C5BF2" w:rsidP="00EA2219">
      <w:pPr>
        <w:ind w:left="284" w:right="284"/>
        <w:jc w:val="both"/>
        <w:rPr>
          <w:rFonts w:ascii="Bookman Old Style" w:hAnsi="Bookman Old Style" w:cs="Arial"/>
          <w:color w:val="000000"/>
        </w:rPr>
      </w:pPr>
      <w:r w:rsidRPr="00BF6B9C">
        <w:rPr>
          <w:rFonts w:ascii="Bookman Old Style" w:hAnsi="Bookman Old Style" w:cs="Arial"/>
          <w:color w:val="000000"/>
        </w:rPr>
        <w:t>“</w:t>
      </w:r>
      <w:r w:rsidRPr="00BF6B9C">
        <w:rPr>
          <w:rFonts w:ascii="Bookman Old Style" w:hAnsi="Bookman Old Style" w:cs="Arial"/>
          <w:b/>
          <w:color w:val="000000"/>
        </w:rPr>
        <w:t>Artículo </w:t>
      </w:r>
      <w:bookmarkStart w:id="2" w:name="87"/>
      <w:r w:rsidRPr="00BF6B9C">
        <w:rPr>
          <w:rFonts w:ascii="Bookman Old Style" w:hAnsi="Bookman Old Style" w:cs="Arial"/>
          <w:b/>
          <w:color w:val="000000"/>
        </w:rPr>
        <w:t> </w:t>
      </w:r>
      <w:bookmarkEnd w:id="2"/>
      <w:r w:rsidRPr="00BF6B9C">
        <w:rPr>
          <w:rFonts w:ascii="Bookman Old Style" w:hAnsi="Bookman Old Style" w:cs="Arial"/>
          <w:b/>
          <w:color w:val="000000"/>
        </w:rPr>
        <w:t>87. Criterios para definir el régimen tarifario.</w:t>
      </w:r>
      <w:r w:rsidRPr="00BF6B9C">
        <w:rPr>
          <w:rFonts w:ascii="Bookman Old Style" w:hAnsi="Bookman Old Style" w:cs="Arial"/>
          <w:color w:val="000000"/>
        </w:rPr>
        <w:t xml:space="preserve"> El régimen tarifario estará orientado por los criterios de eficiencia económica, neutralidad, solidaridad, redistribución, suficiencia financiera, simplicidad y transparencia. </w:t>
      </w:r>
    </w:p>
    <w:p w:rsidR="009C5BF2" w:rsidRPr="00BF6B9C" w:rsidRDefault="009C5BF2" w:rsidP="00EA2219">
      <w:pPr>
        <w:ind w:left="284" w:right="284"/>
        <w:jc w:val="both"/>
        <w:rPr>
          <w:rFonts w:ascii="Bookman Old Style" w:hAnsi="Bookman Old Style" w:cs="Arial"/>
          <w:color w:val="000000"/>
        </w:rPr>
      </w:pPr>
    </w:p>
    <w:p w:rsidR="009C5BF2" w:rsidRPr="00BF6B9C" w:rsidRDefault="009C5BF2" w:rsidP="00EA2219">
      <w:pPr>
        <w:ind w:left="284" w:right="284"/>
        <w:jc w:val="both"/>
        <w:rPr>
          <w:rFonts w:ascii="Bookman Old Style" w:hAnsi="Bookman Old Style" w:cs="Arial"/>
          <w:color w:val="000000"/>
        </w:rPr>
      </w:pPr>
      <w:r w:rsidRPr="00BF6B9C">
        <w:rPr>
          <w:rFonts w:ascii="Bookman Old Style" w:hAnsi="Bookman Old Style" w:cs="Arial"/>
          <w:color w:val="000000"/>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rsidR="009C5BF2" w:rsidRPr="00BF6B9C" w:rsidRDefault="009C5BF2" w:rsidP="009C5BF2">
      <w:pPr>
        <w:ind w:left="0" w:right="-93"/>
        <w:jc w:val="both"/>
        <w:rPr>
          <w:rFonts w:ascii="Bookman Old Style" w:eastAsia="Calibri" w:hAnsi="Bookman Old Style" w:cs="Arial"/>
          <w:lang w:val="es-CO" w:eastAsia="en-US"/>
        </w:rPr>
      </w:pPr>
    </w:p>
    <w:p w:rsidR="00076DF2" w:rsidRPr="00BF6B9C" w:rsidRDefault="00076DF2" w:rsidP="00076DF2">
      <w:pPr>
        <w:ind w:left="0" w:right="-93"/>
        <w:jc w:val="both"/>
        <w:rPr>
          <w:rFonts w:ascii="Bookman Old Style" w:hAnsi="Bookman Old Style"/>
          <w:bCs/>
        </w:rPr>
      </w:pPr>
      <w:r w:rsidRPr="00BF6B9C">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BF6B9C">
        <w:rPr>
          <w:rFonts w:ascii="Bookman Old Style" w:hAnsi="Bookman Old Style" w:cs="Arial"/>
          <w:color w:val="000000"/>
        </w:rPr>
        <w:t>usuarios</w:t>
      </w:r>
      <w:r w:rsidRPr="00BF6B9C">
        <w:rPr>
          <w:rFonts w:ascii="Bookman Old Style" w:hAnsi="Bookman Old Style"/>
          <w:bCs/>
        </w:rPr>
        <w:t xml:space="preserve"> los costos de una gestión ineficiente; y iii) las tarifas deben reflejar tanto el nivel y la estructura de los costos económicos de prestar el servicio. </w:t>
      </w:r>
    </w:p>
    <w:p w:rsidR="00076DF2" w:rsidRPr="00BF6B9C" w:rsidRDefault="00076DF2" w:rsidP="009C5BF2">
      <w:pPr>
        <w:ind w:left="0" w:right="-93"/>
        <w:jc w:val="both"/>
        <w:rPr>
          <w:rFonts w:ascii="Bookman Old Style" w:hAnsi="Bookman Old Style" w:cs="Arial"/>
          <w:color w:val="000000"/>
        </w:rPr>
      </w:pPr>
    </w:p>
    <w:p w:rsidR="009C5BF2" w:rsidRPr="00BF6B9C" w:rsidRDefault="009C5BF2" w:rsidP="009C5BF2">
      <w:pPr>
        <w:ind w:left="0" w:right="-93"/>
        <w:jc w:val="both"/>
        <w:rPr>
          <w:rFonts w:ascii="Bookman Old Style" w:hAnsi="Bookman Old Style" w:cs="Arial"/>
          <w:color w:val="000000"/>
        </w:rPr>
      </w:pPr>
      <w:r w:rsidRPr="00BF6B9C">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BF6B9C">
        <w:rPr>
          <w:rFonts w:ascii="Bookman Old Style" w:hAnsi="Bookman Old Style"/>
          <w:bCs/>
        </w:rPr>
        <w:t xml:space="preserve"> Es por esto que, la definición de las formulas y los cargos o tarifas deben reflejar estos elementos previstos por la Ley 142 de 1994.</w:t>
      </w:r>
    </w:p>
    <w:p w:rsidR="009C5BF2" w:rsidRPr="00BF6B9C" w:rsidRDefault="009C5BF2" w:rsidP="009C5BF2">
      <w:pPr>
        <w:ind w:left="0" w:right="-93"/>
        <w:jc w:val="both"/>
        <w:rPr>
          <w:rFonts w:ascii="Bookman Old Style" w:hAnsi="Bookman Old Style" w:cs="Arial"/>
          <w:color w:val="000000"/>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BF6B9C">
        <w:rPr>
          <w:rFonts w:ascii="Bookman Old Style" w:eastAsia="Calibri" w:hAnsi="Bookman Old Style" w:cs="Arial"/>
          <w:lang w:val="es-ES_tradnl" w:eastAsia="en-US"/>
        </w:rPr>
        <w:t xml:space="preserve"> finalidad constitucional</w:t>
      </w:r>
      <w:r w:rsidRPr="00BF6B9C">
        <w:rPr>
          <w:rFonts w:ascii="Bookman Old Style" w:eastAsia="Calibri" w:hAnsi="Bookman Old Style" w:cs="Arial"/>
          <w:lang w:val="es-ES_tradnl" w:eastAsia="en-US"/>
        </w:rPr>
        <w:t xml:space="preserve"> </w:t>
      </w:r>
      <w:r w:rsidR="00BA73E3" w:rsidRPr="00BF6B9C">
        <w:rPr>
          <w:rFonts w:ascii="Bookman Old Style" w:eastAsia="Calibri" w:hAnsi="Bookman Old Style" w:cs="Arial"/>
          <w:lang w:val="es-ES_tradnl" w:eastAsia="en-US"/>
        </w:rPr>
        <w:t xml:space="preserve">de prestación eficiente </w:t>
      </w:r>
      <w:r w:rsidRPr="00BF6B9C">
        <w:rPr>
          <w:rFonts w:ascii="Bookman Old Style" w:eastAsia="Calibri" w:hAnsi="Bookman Old Style" w:cs="Arial"/>
          <w:lang w:val="es-ES_tradnl" w:eastAsia="en-US"/>
        </w:rPr>
        <w:t>en materia de servicios públicos domiciliarios</w:t>
      </w:r>
      <w:r w:rsidR="00203B82" w:rsidRPr="00BF6B9C">
        <w:rPr>
          <w:rStyle w:val="Refdenotaalpie"/>
          <w:rFonts w:ascii="Bookman Old Style" w:eastAsia="Calibri" w:hAnsi="Bookman Old Style" w:cs="Arial"/>
          <w:lang w:val="es-ES_tradnl" w:eastAsia="en-US"/>
        </w:rPr>
        <w:footnoteReference w:id="24"/>
      </w:r>
      <w:r w:rsidRPr="00BF6B9C">
        <w:rPr>
          <w:rFonts w:ascii="Bookman Old Style" w:eastAsia="Calibri" w:hAnsi="Bookman Old Style" w:cs="Arial"/>
          <w:lang w:val="es-ES_tradnl" w:eastAsia="en-US"/>
        </w:rPr>
        <w:t>, debido a que la Honorable Corte Constitucional ha considerado dentro de su jurisprudencia</w:t>
      </w:r>
      <w:r w:rsidRPr="00BF6B9C">
        <w:rPr>
          <w:rFonts w:ascii="Bookman Old Style" w:eastAsia="Calibri" w:hAnsi="Bookman Old Style" w:cs="Arial"/>
          <w:vertAlign w:val="superscript"/>
          <w:lang w:val="es-ES_tradnl" w:eastAsia="en-US"/>
        </w:rPr>
        <w:footnoteReference w:id="25"/>
      </w:r>
      <w:r w:rsidRPr="00BF6B9C">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BF6B9C">
        <w:rPr>
          <w:rFonts w:ascii="Bookman Old Style" w:eastAsia="Calibri" w:hAnsi="Bookman Old Style" w:cs="Arial"/>
          <w:lang w:val="es-ES_tradnl" w:eastAsia="en-US"/>
        </w:rPr>
        <w:t>u prestación debe ser eficiente,</w:t>
      </w:r>
      <w:r w:rsidRPr="00BF6B9C">
        <w:rPr>
          <w:rFonts w:ascii="Bookman Old Style" w:eastAsia="Calibri" w:hAnsi="Bookman Old Style" w:cs="Arial"/>
          <w:lang w:val="es-ES_tradnl" w:eastAsia="en-US"/>
        </w:rPr>
        <w:t xml:space="preserve"> donde el Estado mantendrá siempre su r</w:t>
      </w:r>
      <w:r w:rsidR="004460A6" w:rsidRPr="00BF6B9C">
        <w:rPr>
          <w:rFonts w:ascii="Bookman Old Style" w:eastAsia="Calibri" w:hAnsi="Bookman Old Style" w:cs="Arial"/>
          <w:lang w:val="es-ES_tradnl" w:eastAsia="en-US"/>
        </w:rPr>
        <w:t>egulación, control y vigilancia,</w:t>
      </w:r>
      <w:r w:rsidRPr="00BF6B9C">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BF6B9C">
        <w:rPr>
          <w:rFonts w:ascii="Bookman Old Style" w:eastAsia="Calibri" w:hAnsi="Bookman Old Style" w:cs="Arial"/>
          <w:lang w:val="es-ES_tradnl" w:eastAsia="en-US"/>
        </w:rPr>
        <w:t>De acuerdo con lo anterior</w:t>
      </w:r>
      <w:r w:rsidRPr="00BF6B9C">
        <w:rPr>
          <w:rFonts w:ascii="Bookman Old Style" w:eastAsia="Calibri" w:hAnsi="Bookman Old Style" w:cs="Arial"/>
          <w:lang w:val="es-ES_tradnl" w:eastAsia="en-US"/>
        </w:rPr>
        <w:t>, es deber del Estado asegurar su prestación eficiente.</w:t>
      </w:r>
    </w:p>
    <w:p w:rsidR="009C5BF2" w:rsidRPr="00BF6B9C" w:rsidRDefault="009C5BF2" w:rsidP="009C5BF2">
      <w:pPr>
        <w:ind w:left="0" w:right="-93"/>
        <w:jc w:val="both"/>
        <w:rPr>
          <w:rFonts w:ascii="Bookman Old Style" w:eastAsia="Calibri" w:hAnsi="Bookman Old Style" w:cs="Arial"/>
          <w:lang w:val="es-ES_tradnl" w:eastAsia="en-US"/>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 es decir, su remuneración debe permitir recuperar los costos </w:t>
      </w:r>
      <w:r w:rsidR="00B04CFB" w:rsidRPr="00BF6B9C">
        <w:rPr>
          <w:rFonts w:ascii="Bookman Old Style" w:eastAsia="Calibri" w:hAnsi="Bookman Old Style" w:cs="Arial"/>
          <w:lang w:val="es-ES_tradnl" w:eastAsia="en-US"/>
        </w:rPr>
        <w:t xml:space="preserve">eficientes </w:t>
      </w:r>
      <w:r w:rsidRPr="00BF6B9C">
        <w:rPr>
          <w:rFonts w:ascii="Bookman Old Style" w:eastAsia="Calibri" w:hAnsi="Bookman Old Style" w:cs="Arial"/>
          <w:lang w:val="es-ES_tradnl" w:eastAsia="en-US"/>
        </w:rPr>
        <w:t>en que incurran</w:t>
      </w:r>
      <w:r w:rsidR="004460A6" w:rsidRPr="00BF6B9C">
        <w:rPr>
          <w:rFonts w:ascii="Bookman Old Style" w:eastAsia="Calibri" w:hAnsi="Bookman Old Style" w:cs="Arial"/>
          <w:lang w:val="es-ES_tradnl" w:eastAsia="en-US"/>
        </w:rPr>
        <w:t>, así como tener en cuenta</w:t>
      </w:r>
      <w:r w:rsidRPr="00BF6B9C">
        <w:rPr>
          <w:rFonts w:ascii="Bookman Old Style" w:eastAsia="Calibri" w:hAnsi="Bookman Old Style" w:cs="Arial"/>
          <w:lang w:val="es-ES_tradnl" w:eastAsia="en-US"/>
        </w:rPr>
        <w:t xml:space="preserve"> </w:t>
      </w:r>
      <w:r w:rsidR="004460A6" w:rsidRPr="00BF6B9C">
        <w:rPr>
          <w:rFonts w:ascii="Bookman Old Style" w:eastAsia="Calibri" w:hAnsi="Bookman Old Style" w:cs="Arial"/>
          <w:lang w:val="es-ES_tradnl" w:eastAsia="en-US"/>
        </w:rPr>
        <w:t>los aumentos de productividad esperados, los cuales deben distribuirse entre la empresa y los usuarios, entre otros, a fin de que</w:t>
      </w:r>
      <w:r w:rsidRPr="00BF6B9C">
        <w:rPr>
          <w:rFonts w:ascii="Bookman Old Style" w:eastAsia="Calibri" w:hAnsi="Bookman Old Style" w:cs="Arial"/>
          <w:lang w:val="es-ES_tradnl" w:eastAsia="en-US"/>
        </w:rPr>
        <w:t xml:space="preserve"> los recursos que se obtengan puedan ser invertidos en el mismo sector con el </w:t>
      </w:r>
      <w:r w:rsidR="004460A6" w:rsidRPr="00BF6B9C">
        <w:rPr>
          <w:rFonts w:ascii="Bookman Old Style" w:eastAsia="Calibri" w:hAnsi="Bookman Old Style" w:cs="Arial"/>
          <w:lang w:val="es-ES_tradnl" w:eastAsia="en-US"/>
        </w:rPr>
        <w:t>objetivo</w:t>
      </w:r>
      <w:r w:rsidRPr="00BF6B9C">
        <w:rPr>
          <w:rFonts w:ascii="Bookman Old Style" w:eastAsia="Calibri" w:hAnsi="Bookman Old Style" w:cs="Arial"/>
          <w:lang w:val="es-ES_tradnl" w:eastAsia="en-US"/>
        </w:rPr>
        <w:t xml:space="preserve"> de tener unos mínimos beneficios que se traduzcan en mayor competitividad y mejores </w:t>
      </w:r>
      <w:r w:rsidR="004460A6" w:rsidRPr="00BF6B9C">
        <w:rPr>
          <w:rFonts w:ascii="Bookman Old Style" w:eastAsia="Calibri" w:hAnsi="Bookman Old Style" w:cs="Arial"/>
          <w:lang w:val="es-ES_tradnl" w:eastAsia="en-US"/>
        </w:rPr>
        <w:t>condiciones</w:t>
      </w:r>
      <w:r w:rsidRPr="00BF6B9C">
        <w:rPr>
          <w:rFonts w:ascii="Bookman Old Style" w:eastAsia="Calibri" w:hAnsi="Bookman Old Style" w:cs="Arial"/>
          <w:lang w:val="es-ES_tradnl" w:eastAsia="en-US"/>
        </w:rPr>
        <w:t xml:space="preserve"> para los usuarios. </w:t>
      </w:r>
    </w:p>
    <w:p w:rsidR="004460A6" w:rsidRPr="00BF6B9C" w:rsidRDefault="004460A6" w:rsidP="009C5BF2">
      <w:pPr>
        <w:ind w:left="0" w:right="-93"/>
        <w:jc w:val="both"/>
        <w:rPr>
          <w:rFonts w:ascii="Bookman Old Style" w:eastAsia="Calibri" w:hAnsi="Bookman Old Style" w:cs="Arial"/>
          <w:lang w:val="es-ES_tradnl" w:eastAsia="en-US"/>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BF6B9C">
        <w:rPr>
          <w:rFonts w:ascii="Bookman Old Style" w:eastAsia="Calibri" w:hAnsi="Bookman Old Style" w:cs="Arial"/>
          <w:lang w:val="es-ES_tradnl" w:eastAsia="en-US"/>
        </w:rPr>
        <w:t xml:space="preserve">eficientes </w:t>
      </w:r>
      <w:r w:rsidRPr="00BF6B9C">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rsidR="009C5BF2" w:rsidRPr="00BF6B9C" w:rsidRDefault="009C5BF2" w:rsidP="009C5BF2">
      <w:pPr>
        <w:ind w:left="0" w:right="-93"/>
        <w:jc w:val="both"/>
        <w:rPr>
          <w:rFonts w:ascii="Bookman Old Style" w:eastAsia="Calibri" w:hAnsi="Bookman Old Style" w:cs="Arial"/>
          <w:lang w:val="es-ES_tradnl" w:eastAsia="en-US"/>
        </w:rPr>
      </w:pPr>
    </w:p>
    <w:p w:rsidR="009C5BF2" w:rsidRPr="00BF6B9C" w:rsidRDefault="009C5BF2" w:rsidP="009C5BF2">
      <w:pPr>
        <w:ind w:left="0"/>
        <w:jc w:val="both"/>
        <w:rPr>
          <w:rFonts w:ascii="Bookman Old Style" w:hAnsi="Bookman Old Style" w:cs="Arial"/>
          <w:color w:val="000000"/>
        </w:rPr>
      </w:pPr>
      <w:r w:rsidRPr="00BF6B9C">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BF6B9C">
        <w:rPr>
          <w:rFonts w:ascii="Bookman Old Style" w:hAnsi="Bookman Old Style" w:cs="Arial"/>
          <w:color w:val="000000"/>
        </w:rPr>
        <w:t>, no todo activo ni todo costo</w:t>
      </w:r>
      <w:r w:rsidRPr="00BF6B9C">
        <w:rPr>
          <w:rFonts w:ascii="Bookman Old Style" w:hAnsi="Bookman Old Style" w:cs="Arial"/>
          <w:color w:val="000000"/>
        </w:rPr>
        <w:t xml:space="preserve"> o gasto destinado a la prestación del servicio debe ser remunerado</w:t>
      </w:r>
      <w:r w:rsidR="006D764D" w:rsidRPr="00BF6B9C">
        <w:rPr>
          <w:rFonts w:ascii="Bookman Old Style" w:hAnsi="Bookman Old Style" w:cs="Arial"/>
          <w:color w:val="000000"/>
        </w:rPr>
        <w:t>,</w:t>
      </w:r>
      <w:r w:rsidRPr="00BF6B9C">
        <w:rPr>
          <w:rFonts w:ascii="Bookman Old Style" w:hAnsi="Bookman Old Style" w:cs="Arial"/>
          <w:color w:val="000000"/>
        </w:rPr>
        <w:t xml:space="preserve"> sino sólo aquel que se encuentre en condiciones de eficiencia de acuerdo con lo previsto en cada metodología</w:t>
      </w:r>
      <w:r w:rsidR="00076DF2" w:rsidRPr="00BF6B9C">
        <w:rPr>
          <w:rFonts w:ascii="Bookman Old Style" w:hAnsi="Bookman Old Style" w:cs="Arial"/>
          <w:color w:val="000000"/>
        </w:rPr>
        <w:t>, así como parte de la aplicación del régimen tarifario</w:t>
      </w:r>
      <w:r w:rsidRPr="00BF6B9C">
        <w:rPr>
          <w:rFonts w:ascii="Bookman Old Style" w:hAnsi="Bookman Old Style" w:cs="Arial"/>
          <w:color w:val="000000"/>
        </w:rPr>
        <w:t>.</w:t>
      </w:r>
    </w:p>
    <w:p w:rsidR="004460A6" w:rsidRPr="00BF6B9C" w:rsidRDefault="004460A6" w:rsidP="009C5BF2">
      <w:pPr>
        <w:ind w:left="0"/>
        <w:jc w:val="both"/>
        <w:rPr>
          <w:rFonts w:ascii="Bookman Old Style" w:hAnsi="Bookman Old Style" w:cs="Arial"/>
          <w:color w:val="000000"/>
        </w:rPr>
      </w:pPr>
    </w:p>
    <w:p w:rsidR="00253925" w:rsidRPr="00BF6B9C" w:rsidRDefault="00253925" w:rsidP="00253925">
      <w:pPr>
        <w:ind w:left="0"/>
        <w:jc w:val="both"/>
        <w:rPr>
          <w:rFonts w:ascii="Bookman Old Style" w:hAnsi="Bookman Old Style" w:cs="Arial"/>
          <w:color w:val="000000"/>
        </w:rPr>
      </w:pPr>
      <w:r w:rsidRPr="00BF6B9C">
        <w:rPr>
          <w:rFonts w:ascii="Bookman Old Style" w:hAnsi="Bookman Old Style" w:cs="Arial"/>
          <w:color w:val="000000"/>
        </w:rPr>
        <w:t>En este orden de ideas, nótese como la idea central del proceso tarifario no es reconocer un costo “real” o registrado contablemente sino uno eficiente para todas las partes. En relación con lo anterior, esta Comisión se ha pronunciado en el siguiente sentido:</w:t>
      </w:r>
    </w:p>
    <w:p w:rsidR="007D6341" w:rsidRDefault="007D6341" w:rsidP="009C5BF2">
      <w:pPr>
        <w:ind w:left="0"/>
        <w:jc w:val="both"/>
        <w:rPr>
          <w:rFonts w:ascii="Bookman Old Style" w:hAnsi="Bookman Old Style" w:cs="Arial"/>
          <w:color w:val="000000"/>
        </w:rPr>
      </w:pPr>
    </w:p>
    <w:p w:rsidR="00BF6B9C" w:rsidRDefault="00BF6B9C" w:rsidP="009C5BF2">
      <w:pPr>
        <w:ind w:left="0"/>
        <w:jc w:val="both"/>
        <w:rPr>
          <w:rFonts w:ascii="Bookman Old Style" w:hAnsi="Bookman Old Style" w:cs="Arial"/>
          <w:color w:val="000000"/>
        </w:rPr>
      </w:pPr>
    </w:p>
    <w:p w:rsidR="00BF6B9C" w:rsidRPr="00BF6B9C" w:rsidRDefault="00BF6B9C" w:rsidP="009C5BF2">
      <w:pPr>
        <w:ind w:left="0"/>
        <w:jc w:val="both"/>
        <w:rPr>
          <w:rFonts w:ascii="Bookman Old Style" w:hAnsi="Bookman Old Style" w:cs="Arial"/>
          <w:color w:val="000000"/>
        </w:rPr>
      </w:pPr>
    </w:p>
    <w:p w:rsidR="009C5BF2" w:rsidRPr="00BF6B9C" w:rsidRDefault="004460A6" w:rsidP="00EA2219">
      <w:pPr>
        <w:spacing w:before="120" w:after="120"/>
        <w:ind w:left="284" w:right="284"/>
        <w:jc w:val="both"/>
        <w:rPr>
          <w:rFonts w:ascii="Bookman Old Style" w:hAnsi="Bookman Old Style" w:cs="Arial"/>
          <w:color w:val="000000"/>
        </w:rPr>
      </w:pPr>
      <w:r w:rsidRPr="00BF6B9C">
        <w:rPr>
          <w:rFonts w:ascii="Bookman Old Style" w:hAnsi="Bookman Old Style"/>
          <w:iCs/>
        </w:rPr>
        <w:t>“Como primera medida es importante resaltar que la metodología para valorar la inversión que la CREG ha adoptado a través de la Resolución CREG 11 de 2003, no</w:t>
      </w:r>
      <w:r w:rsidR="00076DF2" w:rsidRPr="00BF6B9C">
        <w:rPr>
          <w:rFonts w:ascii="Bookman Old Style" w:hAnsi="Bookman Old Style"/>
          <w:iCs/>
        </w:rPr>
        <w:t xml:space="preserve"> pretende reconocer los costos ‘</w:t>
      </w:r>
      <w:r w:rsidRPr="00BF6B9C">
        <w:rPr>
          <w:rFonts w:ascii="Bookman Old Style" w:hAnsi="Bookman Old Style"/>
          <w:iCs/>
        </w:rPr>
        <w:t>reales</w:t>
      </w:r>
      <w:r w:rsidR="00076DF2" w:rsidRPr="00BF6B9C">
        <w:rPr>
          <w:rFonts w:ascii="Bookman Old Style" w:hAnsi="Bookman Old Style"/>
          <w:iCs/>
        </w:rPr>
        <w:t>’</w:t>
      </w:r>
      <w:r w:rsidRPr="00BF6B9C">
        <w:rPr>
          <w:rFonts w:ascii="Bookman Old Style" w:hAnsi="Bookman Old Style"/>
          <w:iCs/>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BF6B9C">
        <w:rPr>
          <w:rFonts w:ascii="Bookman Old Style" w:hAnsi="Bookman Old Style"/>
          <w:b/>
          <w:iCs/>
          <w:u w:val="single"/>
        </w:rPr>
        <w:t>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w:t>
      </w:r>
      <w:r w:rsidRPr="00BF6B9C">
        <w:rPr>
          <w:rStyle w:val="Refdenotaalpie"/>
          <w:rFonts w:ascii="Bookman Old Style" w:hAnsi="Bookman Old Style"/>
          <w:b/>
          <w:iCs/>
          <w:u w:val="single"/>
        </w:rPr>
        <w:footnoteReference w:id="26"/>
      </w:r>
      <w:r w:rsidRPr="00BF6B9C">
        <w:rPr>
          <w:rFonts w:ascii="Bookman Old Style" w:hAnsi="Bookman Old Style" w:cs="Arial"/>
          <w:color w:val="000000"/>
        </w:rPr>
        <w:t xml:space="preserve">” (Resaltado fuera de texto) </w:t>
      </w:r>
    </w:p>
    <w:p w:rsidR="00BF6B9C" w:rsidRPr="00BF6B9C" w:rsidRDefault="00BF6B9C" w:rsidP="00BF6E67">
      <w:pPr>
        <w:ind w:left="0" w:right="-93"/>
        <w:jc w:val="both"/>
        <w:rPr>
          <w:rFonts w:ascii="Bookman Old Style" w:eastAsia="Calibri" w:hAnsi="Bookman Old Style" w:cs="Arial"/>
          <w:lang w:val="es-ES_tradnl" w:eastAsia="en-US"/>
        </w:rPr>
      </w:pPr>
    </w:p>
    <w:p w:rsidR="009C5BF2" w:rsidRPr="00BF6B9C" w:rsidRDefault="00BF6E67" w:rsidP="00BF6E67">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Así mismo</w:t>
      </w:r>
      <w:r w:rsidR="00DD39A2" w:rsidRPr="00BF6B9C">
        <w:rPr>
          <w:rFonts w:ascii="Bookman Old Style" w:eastAsia="Calibri" w:hAnsi="Bookman Old Style" w:cs="Arial"/>
          <w:lang w:val="es-ES_tradnl" w:eastAsia="en-US"/>
        </w:rPr>
        <w:t>,</w:t>
      </w:r>
      <w:r w:rsidR="009C5BF2" w:rsidRPr="00BF6B9C">
        <w:rPr>
          <w:rFonts w:ascii="Bookman Old Style" w:eastAsia="Calibri" w:hAnsi="Bookman Old Style" w:cs="Arial"/>
          <w:lang w:val="es-ES_tradnl" w:eastAsia="en-US"/>
        </w:rPr>
        <w:t xml:space="preserve"> y </w:t>
      </w:r>
      <w:r w:rsidRPr="00BF6B9C">
        <w:rPr>
          <w:rFonts w:ascii="Bookman Old Style" w:eastAsia="Calibri" w:hAnsi="Bookman Old Style" w:cs="Arial"/>
          <w:lang w:val="es-ES_tradnl" w:eastAsia="en-US"/>
        </w:rPr>
        <w:t xml:space="preserve">frente a </w:t>
      </w:r>
      <w:r w:rsidR="009C5BF2" w:rsidRPr="00BF6B9C">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rsidR="009C5BF2" w:rsidRPr="00BF6B9C" w:rsidRDefault="009C5BF2" w:rsidP="009C5BF2">
      <w:pPr>
        <w:ind w:left="0" w:right="-93"/>
        <w:jc w:val="both"/>
        <w:rPr>
          <w:rFonts w:ascii="Bookman Old Style" w:eastAsia="Calibri" w:hAnsi="Bookman Old Style" w:cs="Arial"/>
          <w:lang w:val="es-ES_tradnl" w:eastAsia="en-US"/>
        </w:rPr>
      </w:pPr>
    </w:p>
    <w:p w:rsidR="009C5BF2" w:rsidRPr="00BF6B9C" w:rsidRDefault="009C5BF2" w:rsidP="00EA2219">
      <w:pPr>
        <w:ind w:left="284" w:right="284"/>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 xml:space="preserve">“la eficiencia económica consiste en que: (i) </w:t>
      </w:r>
      <w:r w:rsidRPr="00BF6B9C">
        <w:rPr>
          <w:rFonts w:ascii="Bookman Old Style" w:eastAsia="Calibri" w:hAnsi="Bookman Old Style" w:cs="Arial"/>
          <w:b/>
          <w:lang w:val="es-ES_tradnl" w:eastAsia="en-US"/>
        </w:rPr>
        <w:t>las tarifas de los servicios públicos se aproximen a lo que serían los precios de un mercado competitivo; (ii) las fórmulas tarifarias tengan en cuenta los costos y los aumentos de productividad esperados;</w:t>
      </w:r>
      <w:r w:rsidRPr="00BF6B9C">
        <w:rPr>
          <w:rFonts w:ascii="Bookman Old Style" w:eastAsia="Calibri" w:hAnsi="Bookman Old Style" w:cs="Arial"/>
          <w:lang w:val="es-ES_tradnl" w:eastAsia="en-US"/>
        </w:rPr>
        <w:t xml:space="preserve"> (iii) </w:t>
      </w:r>
      <w:r w:rsidRPr="00BF6B9C">
        <w:rPr>
          <w:rFonts w:ascii="Bookman Old Style" w:eastAsia="Calibri" w:hAnsi="Bookman Old Style" w:cs="Arial"/>
          <w:b/>
          <w:lang w:val="es-ES_tradnl" w:eastAsia="en-US"/>
        </w:rPr>
        <w:t>los aumentos de productividad esperados se distribuyan entre la empresa y los usuarios tal como ocurriría en un mercado competitivo</w:t>
      </w:r>
      <w:r w:rsidRPr="00BF6B9C">
        <w:rPr>
          <w:rFonts w:ascii="Bookman Old Style" w:eastAsia="Calibri" w:hAnsi="Bookman Old Style" w:cs="Arial"/>
          <w:b/>
          <w:u w:val="single"/>
          <w:lang w:val="es-ES_tradnl" w:eastAsia="en-US"/>
        </w:rPr>
        <w:t>;</w:t>
      </w:r>
      <w:r w:rsidRPr="00BF6B9C">
        <w:rPr>
          <w:rFonts w:ascii="Bookman Old Style" w:eastAsia="Calibri" w:hAnsi="Bookman Old Style" w:cs="Arial"/>
          <w:lang w:val="es-ES_tradnl" w:eastAsia="en-US"/>
        </w:rPr>
        <w:t xml:space="preserve"> (</w:t>
      </w:r>
      <w:r w:rsidRPr="00BF6B9C">
        <w:rPr>
          <w:rFonts w:ascii="Bookman Old Style" w:eastAsia="Calibri" w:hAnsi="Bookman Old Style" w:cs="Arial"/>
          <w:b/>
          <w:u w:val="single"/>
          <w:lang w:val="es-ES_tradnl" w:eastAsia="en-US"/>
        </w:rPr>
        <w:t>iv) las fórmulas tarifarias no trasladen a los usuarios los costos de una gestión ineficiente;</w:t>
      </w:r>
      <w:r w:rsidRPr="00BF6B9C">
        <w:rPr>
          <w:rFonts w:ascii="Bookman Old Style" w:eastAsia="Calibri" w:hAnsi="Bookman Old Style" w:cs="Arial"/>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BF6B9C">
        <w:rPr>
          <w:rFonts w:ascii="Bookman Old Style" w:eastAsia="Calibri" w:hAnsi="Bookman Old Style" w:cs="Arial"/>
          <w:b/>
          <w:lang w:val="es-ES_tradnl" w:eastAsia="en-US"/>
        </w:rPr>
        <w:t>la estructura de los costos económicos de prestar el servicio</w:t>
      </w:r>
      <w:r w:rsidRPr="00BF6B9C">
        <w:rPr>
          <w:rFonts w:ascii="Bookman Old Style" w:eastAsia="Calibri" w:hAnsi="Bookman Old Style" w:cs="Arial"/>
          <w:lang w:val="es-ES_tradnl" w:eastAsia="en-US"/>
        </w:rPr>
        <w:t xml:space="preserve">, </w:t>
      </w:r>
      <w:r w:rsidRPr="00BF6B9C">
        <w:rPr>
          <w:rFonts w:ascii="Bookman Old Style" w:eastAsia="Calibri" w:hAnsi="Bookman Old Style" w:cs="Arial"/>
          <w:b/>
          <w:lang w:val="es-ES_tradnl" w:eastAsia="en-US"/>
        </w:rPr>
        <w:t>como la demanda por éste’ versa sobre el ámbito de aplicación de los anteriores elementos</w:t>
      </w:r>
      <w:r w:rsidRPr="00BF6B9C">
        <w:rPr>
          <w:rFonts w:ascii="Bookman Old Style" w:eastAsia="Calibri" w:hAnsi="Bookman Old Style" w:cs="Arial"/>
          <w:lang w:val="es-ES_tradnl" w:eastAsia="en-US"/>
        </w:rPr>
        <w:t>”. (Resaltado fuera de texto)</w:t>
      </w:r>
    </w:p>
    <w:p w:rsidR="009C5BF2" w:rsidRPr="00BF6B9C" w:rsidRDefault="009C5BF2" w:rsidP="009C5BF2">
      <w:pPr>
        <w:ind w:left="0" w:right="-93"/>
        <w:jc w:val="both"/>
        <w:rPr>
          <w:rFonts w:ascii="Bookman Old Style" w:hAnsi="Bookman Old Style" w:cs="Arial"/>
          <w:bCs/>
          <w:lang w:val="es-ES_tradnl"/>
        </w:rPr>
      </w:pPr>
    </w:p>
    <w:p w:rsidR="009C5BF2" w:rsidRPr="00BF6B9C" w:rsidRDefault="009C5BF2" w:rsidP="009C5BF2">
      <w:pPr>
        <w:ind w:left="0" w:right="-93"/>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Ahora, en cuanto al contenido de este criterio y la constitucionalidad del mismo en el marco de las tarifas que rigen los servicios públicos domiciliarios de energía eléctrica y gas combustible, ligado con el alcance constitucional que éste tiene en materia de dichos servicios, conforme a los elementos que lo componen en virtud de la referencia anterior, la H. Corte Constitucional ha precisado lo siguiente:</w:t>
      </w:r>
    </w:p>
    <w:p w:rsidR="009C5BF2" w:rsidRPr="00BF6B9C" w:rsidRDefault="009C5BF2" w:rsidP="009C5BF2">
      <w:pPr>
        <w:ind w:left="0" w:right="-93"/>
        <w:jc w:val="both"/>
        <w:rPr>
          <w:rFonts w:ascii="Bookman Old Style" w:eastAsia="Calibri" w:hAnsi="Bookman Old Style" w:cs="Arial"/>
          <w:i/>
          <w:lang w:val="es-ES_tradnl" w:eastAsia="en-US"/>
        </w:rPr>
      </w:pPr>
    </w:p>
    <w:p w:rsidR="009C5BF2" w:rsidRPr="00BF6B9C" w:rsidRDefault="009C5BF2" w:rsidP="00EA2219">
      <w:pPr>
        <w:ind w:left="284" w:right="284"/>
        <w:jc w:val="both"/>
        <w:rPr>
          <w:rFonts w:ascii="Bookman Old Style" w:eastAsia="Calibri" w:hAnsi="Bookman Old Style" w:cs="Arial"/>
          <w:b/>
          <w:u w:val="single"/>
          <w:lang w:val="es-ES_tradnl" w:eastAsia="en-US"/>
        </w:rPr>
      </w:pPr>
      <w:r w:rsidRPr="00BF6B9C">
        <w:rPr>
          <w:rFonts w:ascii="Bookman Old Style" w:eastAsia="Calibri" w:hAnsi="Bookman Old Style" w:cs="Arial"/>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BF6B9C">
        <w:rPr>
          <w:rFonts w:ascii="Bookman Old Style" w:eastAsia="Calibri" w:hAnsi="Bookman Old Style" w:cs="Arial"/>
          <w:b/>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9C5BF2" w:rsidRPr="00BF6B9C" w:rsidRDefault="009C5BF2" w:rsidP="00EA2219">
      <w:pPr>
        <w:ind w:left="284" w:right="284"/>
        <w:jc w:val="both"/>
        <w:rPr>
          <w:rFonts w:ascii="Bookman Old Style" w:eastAsia="Calibri" w:hAnsi="Bookman Old Style" w:cs="Arial"/>
          <w:lang w:val="es-ES_tradnl" w:eastAsia="en-US"/>
        </w:rPr>
      </w:pPr>
    </w:p>
    <w:p w:rsidR="009C5BF2" w:rsidRPr="00BF6B9C" w:rsidRDefault="009C5BF2" w:rsidP="00EA2219">
      <w:pPr>
        <w:ind w:left="284" w:right="284"/>
        <w:jc w:val="both"/>
        <w:rPr>
          <w:rFonts w:ascii="Bookman Old Style" w:eastAsia="Calibri" w:hAnsi="Bookman Old Style" w:cs="Arial"/>
          <w:lang w:val="es-ES_tradnl" w:eastAsia="en-US"/>
        </w:rPr>
      </w:pPr>
      <w:r w:rsidRPr="00BF6B9C">
        <w:rPr>
          <w:rFonts w:ascii="Bookman Old Style" w:eastAsia="Calibri" w:hAnsi="Bookman Old Style" w:cs="Arial"/>
          <w:lang w:val="es-ES_tradnl" w:eastAsia="en-US"/>
        </w:rPr>
        <w:t>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condiciones para garantizar la eficiencia del mercado en beneficio de los usuarios.</w:t>
      </w:r>
    </w:p>
    <w:p w:rsidR="009C5BF2" w:rsidRPr="00BF6B9C" w:rsidRDefault="009C5BF2" w:rsidP="00EA2219">
      <w:pPr>
        <w:ind w:left="284" w:right="284"/>
        <w:jc w:val="both"/>
        <w:rPr>
          <w:rFonts w:ascii="Bookman Old Style" w:eastAsia="Calibri" w:hAnsi="Bookman Old Style" w:cs="Arial"/>
          <w:lang w:val="es-ES_tradnl" w:eastAsia="en-US"/>
        </w:rPr>
      </w:pPr>
    </w:p>
    <w:p w:rsidR="009C5BF2" w:rsidRPr="00BF6B9C" w:rsidRDefault="009C5BF2" w:rsidP="00EA2219">
      <w:pPr>
        <w:ind w:left="284" w:right="284"/>
        <w:jc w:val="both"/>
        <w:rPr>
          <w:rFonts w:ascii="Bookman Old Style" w:eastAsia="Calibri" w:hAnsi="Bookman Old Style" w:cs="Arial"/>
          <w:i/>
          <w:lang w:val="es-ES_tradnl" w:eastAsia="en-US"/>
        </w:rPr>
      </w:pPr>
      <w:r w:rsidRPr="00BF6B9C">
        <w:rPr>
          <w:rFonts w:ascii="Bookman Old Style" w:eastAsia="Calibri" w:hAnsi="Bookman Old Style" w:cs="Arial"/>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BF6B9C">
        <w:rPr>
          <w:rFonts w:ascii="Bookman Old Style" w:eastAsia="Calibri" w:hAnsi="Bookman Old Style" w:cs="Arial"/>
          <w:b/>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BF6B9C">
        <w:rPr>
          <w:rFonts w:ascii="Bookman Old Style" w:eastAsia="Calibri" w:hAnsi="Bookman Old Style" w:cs="Arial"/>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BF6B9C">
        <w:rPr>
          <w:rFonts w:ascii="Bookman Old Style" w:eastAsia="Calibri" w:hAnsi="Bookman Old Style" w:cs="Arial"/>
          <w:b/>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BF6B9C">
        <w:rPr>
          <w:rFonts w:ascii="Bookman Old Style" w:eastAsia="Calibri" w:hAnsi="Bookman Old Style" w:cs="Arial"/>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BF6B9C">
        <w:rPr>
          <w:rFonts w:ascii="Bookman Old Style" w:eastAsia="Calibri" w:hAnsi="Bookman Old Style" w:cs="Arial"/>
          <w:vertAlign w:val="superscript"/>
          <w:lang w:val="es-ES_tradnl" w:eastAsia="en-US"/>
        </w:rPr>
        <w:footnoteReference w:id="27"/>
      </w:r>
      <w:r w:rsidRPr="00BF6B9C">
        <w:rPr>
          <w:rFonts w:ascii="Bookman Old Style" w:eastAsia="Calibri" w:hAnsi="Bookman Old Style" w:cs="Arial"/>
          <w:lang w:val="es-ES_tradnl" w:eastAsia="en-US"/>
        </w:rPr>
        <w:t>. (Resaltado fuera de texto)</w:t>
      </w:r>
      <w:r w:rsidR="00BF6B9C">
        <w:rPr>
          <w:rFonts w:ascii="Bookman Old Style" w:eastAsia="Calibri" w:hAnsi="Bookman Old Style" w:cs="Arial"/>
          <w:lang w:val="es-ES_tradnl" w:eastAsia="en-US"/>
        </w:rPr>
        <w:t>.</w:t>
      </w:r>
    </w:p>
    <w:p w:rsidR="009C5BF2" w:rsidRPr="00BF6B9C" w:rsidRDefault="009C5BF2" w:rsidP="009C5BF2">
      <w:pPr>
        <w:ind w:left="0" w:right="-93"/>
        <w:jc w:val="both"/>
        <w:rPr>
          <w:rFonts w:ascii="Bookman Old Style" w:hAnsi="Bookman Old Style" w:cs="Arial"/>
          <w:color w:val="000000"/>
          <w:lang w:val="es-ES_tradnl"/>
        </w:rPr>
      </w:pPr>
    </w:p>
    <w:p w:rsidR="00BF6B9C" w:rsidRDefault="00BF6B9C" w:rsidP="009C5BF2">
      <w:pPr>
        <w:ind w:left="0"/>
        <w:jc w:val="both"/>
        <w:rPr>
          <w:rFonts w:ascii="Bookman Old Style" w:hAnsi="Bookman Old Style" w:cs="Arial"/>
          <w:color w:val="000000"/>
        </w:rPr>
      </w:pPr>
    </w:p>
    <w:p w:rsidR="00BF6B9C" w:rsidRDefault="00BF6B9C" w:rsidP="009C5BF2">
      <w:pPr>
        <w:ind w:left="0"/>
        <w:jc w:val="both"/>
        <w:rPr>
          <w:rFonts w:ascii="Bookman Old Style" w:hAnsi="Bookman Old Style" w:cs="Arial"/>
          <w:color w:val="000000"/>
        </w:rPr>
      </w:pPr>
    </w:p>
    <w:p w:rsidR="009C5BF2" w:rsidRPr="00BF6B9C" w:rsidRDefault="009C5BF2" w:rsidP="009C5BF2">
      <w:pPr>
        <w:ind w:left="0"/>
        <w:jc w:val="both"/>
        <w:rPr>
          <w:rFonts w:ascii="Bookman Old Style" w:hAnsi="Bookman Old Style" w:cs="Arial"/>
          <w:color w:val="000000"/>
        </w:rPr>
      </w:pPr>
      <w:r w:rsidRPr="00BF6B9C">
        <w:rPr>
          <w:rFonts w:ascii="Bookman Old Style" w:hAnsi="Bookman Old Style" w:cs="Arial"/>
          <w:color w:val="000000"/>
        </w:rPr>
        <w:t xml:space="preserve">En esta misma línea la Corte ha precisado lo siguiente en relación con </w:t>
      </w:r>
      <w:r w:rsidRPr="00BF6B9C">
        <w:rPr>
          <w:rFonts w:ascii="Bookman Old Style" w:eastAsia="Calibri" w:hAnsi="Bookman Old Style" w:cs="Arial"/>
          <w:lang w:val="es-ES_tradnl" w:eastAsia="en-US"/>
        </w:rPr>
        <w:t>el régimen tarifario:</w:t>
      </w:r>
    </w:p>
    <w:p w:rsidR="009C5BF2" w:rsidRPr="00BF6B9C" w:rsidRDefault="009C5BF2" w:rsidP="009C5BF2">
      <w:pPr>
        <w:ind w:left="0" w:right="-93"/>
        <w:jc w:val="both"/>
        <w:rPr>
          <w:rFonts w:ascii="Bookman Old Style" w:eastAsia="Calibri" w:hAnsi="Bookman Old Style" w:cs="Arial"/>
          <w:lang w:val="es-ES_tradnl" w:eastAsia="en-US"/>
        </w:rPr>
      </w:pPr>
    </w:p>
    <w:p w:rsidR="009C5BF2" w:rsidRPr="00BF6B9C" w:rsidRDefault="009C5BF2" w:rsidP="00EA2219">
      <w:pPr>
        <w:ind w:left="284" w:right="284"/>
        <w:jc w:val="both"/>
        <w:rPr>
          <w:rFonts w:ascii="Bookman Old Style" w:eastAsia="Calibri" w:hAnsi="Bookman Old Style" w:cs="Arial"/>
          <w:b/>
          <w:u w:val="single"/>
          <w:lang w:val="es-ES_tradnl" w:eastAsia="en-US"/>
        </w:rPr>
      </w:pPr>
      <w:r w:rsidRPr="00BF6B9C">
        <w:rPr>
          <w:rFonts w:ascii="Bookman Old Style" w:eastAsia="Calibri" w:hAnsi="Bookman Old Style" w:cs="Arial"/>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BF6B9C">
        <w:rPr>
          <w:rFonts w:ascii="Bookman Old Style" w:eastAsia="Calibri" w:hAnsi="Bookman Old Style" w:cs="Arial"/>
          <w:b/>
          <w:lang w:val="es-ES_tradnl" w:eastAsia="en-US"/>
        </w:rPr>
        <w:t xml:space="preserve">según el artículo 73 de la Ley </w:t>
      </w:r>
      <w:r w:rsidR="00B04CFB" w:rsidRPr="00BF6B9C">
        <w:rPr>
          <w:rFonts w:ascii="Bookman Old Style" w:eastAsia="Calibri" w:hAnsi="Bookman Old Style" w:cs="Arial"/>
          <w:b/>
          <w:lang w:val="es-ES_tradnl" w:eastAsia="en-US"/>
        </w:rPr>
        <w:t>142 de 1994, las comisiones de r</w:t>
      </w:r>
      <w:r w:rsidRPr="00BF6B9C">
        <w:rPr>
          <w:rFonts w:ascii="Bookman Old Style" w:eastAsia="Calibri" w:hAnsi="Bookman Old Style" w:cs="Arial"/>
          <w:b/>
          <w:lang w:val="es-ES_tradnl" w:eastAsia="en-US"/>
        </w:rPr>
        <w:t xml:space="preserve">egulación tienen como finalidad promover la libre competencia y regular los monopolios, en orden a una prestación eficiente de los servicios públicos. </w:t>
      </w:r>
      <w:r w:rsidRPr="00BF6B9C">
        <w:rPr>
          <w:rFonts w:ascii="Bookman Old Style" w:eastAsia="Calibri" w:hAnsi="Bookman Old Style" w:cs="Arial"/>
          <w:b/>
          <w:u w:val="single"/>
          <w:lang w:val="es-ES_tradnl" w:eastAsia="en-US"/>
        </w:rPr>
        <w:t>En cumplimiento de esos objetivos, tales órganos deben asegurar la calidad de los servicios, evitar conductas arbitrarias de los prestadores del servicio y defender los derechos de los usuarios.</w:t>
      </w:r>
    </w:p>
    <w:p w:rsidR="009C5BF2" w:rsidRPr="00BF6B9C" w:rsidRDefault="009C5BF2" w:rsidP="00EA2219">
      <w:pPr>
        <w:ind w:left="284" w:right="284"/>
        <w:jc w:val="both"/>
        <w:rPr>
          <w:rFonts w:ascii="Bookman Old Style" w:eastAsia="Calibri" w:hAnsi="Bookman Old Style" w:cs="Arial"/>
          <w:lang w:val="es-ES_tradnl" w:eastAsia="en-US"/>
        </w:rPr>
      </w:pPr>
    </w:p>
    <w:p w:rsidR="009C5BF2" w:rsidRPr="00BF6B9C" w:rsidRDefault="009C5BF2" w:rsidP="00EA2219">
      <w:pPr>
        <w:ind w:left="284" w:right="284"/>
        <w:jc w:val="both"/>
        <w:rPr>
          <w:rFonts w:ascii="Bookman Old Style" w:eastAsia="Calibri" w:hAnsi="Bookman Old Style" w:cs="Arial"/>
          <w:i/>
          <w:lang w:val="es-ES_tradnl" w:eastAsia="en-US"/>
        </w:rPr>
      </w:pPr>
      <w:r w:rsidRPr="00BF6B9C">
        <w:rPr>
          <w:rFonts w:ascii="Bookman Old Style" w:eastAsia="Calibri" w:hAnsi="Bookman Old Style" w:cs="Arial"/>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BF6B9C">
        <w:rPr>
          <w:rFonts w:ascii="Bookman Old Style" w:eastAsia="Calibri" w:hAnsi="Bookman Old Style" w:cs="Arial"/>
          <w:b/>
          <w:u w:val="single"/>
          <w:lang w:val="es-ES_tradnl" w:eastAsia="en-US"/>
        </w:rPr>
        <w:t>Precisamente la Ley 142 de 1994</w:t>
      </w:r>
      <w:r w:rsidR="00B04CFB" w:rsidRPr="00BF6B9C">
        <w:rPr>
          <w:rFonts w:ascii="Bookman Old Style" w:eastAsia="Calibri" w:hAnsi="Bookman Old Style" w:cs="Arial"/>
          <w:b/>
          <w:u w:val="single"/>
          <w:lang w:val="es-ES_tradnl" w:eastAsia="en-US"/>
        </w:rPr>
        <w:t xml:space="preserve"> dispone que las comisiones de r</w:t>
      </w:r>
      <w:r w:rsidRPr="00BF6B9C">
        <w:rPr>
          <w:rFonts w:ascii="Bookman Old Style" w:eastAsia="Calibri" w:hAnsi="Bookman Old Style" w:cs="Arial"/>
          <w:b/>
          <w:u w:val="single"/>
          <w:lang w:val="es-ES_tradnl" w:eastAsia="en-US"/>
        </w:rPr>
        <w:t xml:space="preserve">egulación son las llamadas a establecer las tarifas, de acuerdo con las previsiones que allí se consagran y respetando los principios que en la materia consagró la Constitución”. </w:t>
      </w:r>
      <w:r w:rsidRPr="00BF6B9C">
        <w:rPr>
          <w:rFonts w:ascii="Bookman Old Style" w:eastAsia="Calibri" w:hAnsi="Bookman Old Style" w:cs="Arial"/>
          <w:lang w:val="es-ES_tradnl" w:eastAsia="en-US"/>
        </w:rPr>
        <w:t>(Resaltado fuera de texto)</w:t>
      </w:r>
      <w:r w:rsidRPr="00BF6B9C">
        <w:rPr>
          <w:rFonts w:ascii="Bookman Old Style" w:eastAsia="Calibri" w:hAnsi="Bookman Old Style" w:cs="Arial"/>
          <w:vertAlign w:val="superscript"/>
          <w:lang w:val="es-ES_tradnl" w:eastAsia="en-US"/>
        </w:rPr>
        <w:footnoteReference w:id="28"/>
      </w:r>
    </w:p>
    <w:p w:rsidR="009C5BF2" w:rsidRPr="00BF6B9C" w:rsidRDefault="009C5BF2" w:rsidP="009C5BF2">
      <w:pPr>
        <w:ind w:left="0"/>
        <w:jc w:val="both"/>
        <w:rPr>
          <w:rFonts w:ascii="Bookman Old Style" w:hAnsi="Bookman Old Style" w:cs="Arial"/>
          <w:color w:val="000000"/>
        </w:rPr>
      </w:pPr>
    </w:p>
    <w:p w:rsidR="009C5BF2" w:rsidRPr="00BF6B9C" w:rsidRDefault="009C5BF2" w:rsidP="009C5BF2">
      <w:pPr>
        <w:ind w:left="0"/>
        <w:jc w:val="both"/>
        <w:rPr>
          <w:rFonts w:ascii="Bookman Old Style" w:hAnsi="Bookman Old Style" w:cs="Arial"/>
          <w:color w:val="000000"/>
        </w:rPr>
      </w:pPr>
      <w:r w:rsidRPr="00BF6B9C">
        <w:rPr>
          <w:rFonts w:ascii="Bookman Old Style" w:hAnsi="Bookman Old Style" w:cs="Arial"/>
          <w:color w:val="000000"/>
        </w:rPr>
        <w:t>De acuerdo con lo expuesto, el criterio de eficiencia económica</w:t>
      </w:r>
      <w:r w:rsidR="00951123" w:rsidRPr="00BF6B9C">
        <w:rPr>
          <w:rFonts w:ascii="Bookman Old Style" w:hAnsi="Bookman Old Style" w:cs="Arial"/>
          <w:color w:val="000000"/>
        </w:rPr>
        <w:t>, incluido este como parte del régimen tarifario y su aplicación en los aspectos que determinan el cobro de las tarifas,</w:t>
      </w:r>
      <w:r w:rsidRPr="00BF6B9C">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BF6B9C">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rsidR="00076DF2" w:rsidRPr="00BF6B9C" w:rsidRDefault="00076DF2" w:rsidP="009C5BF2">
      <w:pPr>
        <w:ind w:left="0"/>
        <w:jc w:val="both"/>
        <w:rPr>
          <w:rFonts w:ascii="Bookman Old Style" w:hAnsi="Bookman Old Style" w:cs="Arial"/>
          <w:color w:val="000000"/>
        </w:rPr>
      </w:pPr>
    </w:p>
    <w:p w:rsidR="00076DF2" w:rsidRPr="00BF6B9C" w:rsidRDefault="00076DF2" w:rsidP="00076DF2">
      <w:pPr>
        <w:ind w:left="0"/>
        <w:jc w:val="both"/>
        <w:rPr>
          <w:rFonts w:ascii="Bookman Old Style" w:hAnsi="Bookman Old Style" w:cs="Arial"/>
          <w:color w:val="000000"/>
        </w:rPr>
      </w:pPr>
      <w:r w:rsidRPr="00BF6B9C">
        <w:rPr>
          <w:rFonts w:ascii="Bookman Old Style" w:hAnsi="Bookman Old Style" w:cs="Arial"/>
          <w:color w:val="000000"/>
        </w:rPr>
        <w:t>Frente a esto último, la jurisprudencia administrativa ha declarado la legalidad de aquellas decisiones regulatorias expedidas por parte de esta Comisión, en las 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rsidR="009C5BF2" w:rsidRDefault="009C5BF2" w:rsidP="00EA2219">
      <w:pPr>
        <w:ind w:left="284" w:right="284"/>
        <w:jc w:val="both"/>
        <w:rPr>
          <w:rFonts w:ascii="Bookman Old Style" w:hAnsi="Bookman Old Style" w:cs="Arial"/>
          <w:color w:val="000000"/>
        </w:rPr>
      </w:pPr>
    </w:p>
    <w:p w:rsidR="00BF6B9C" w:rsidRDefault="00BF6B9C" w:rsidP="00EA2219">
      <w:pPr>
        <w:ind w:left="284" w:right="284"/>
        <w:jc w:val="both"/>
        <w:rPr>
          <w:rFonts w:ascii="Bookman Old Style" w:hAnsi="Bookman Old Style" w:cs="Arial"/>
          <w:color w:val="000000"/>
        </w:rPr>
      </w:pPr>
    </w:p>
    <w:p w:rsidR="00BF6B9C" w:rsidRPr="00BF6B9C" w:rsidRDefault="00BF6B9C"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rPr>
      </w:pPr>
      <w:r w:rsidRPr="00BF6B9C">
        <w:rPr>
          <w:rFonts w:ascii="Bookman Old Style" w:hAnsi="Bookman Old Style" w:cs="Arial"/>
          <w:color w:val="000000"/>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rPr>
      </w:pPr>
      <w:r w:rsidRPr="00BF6B9C">
        <w:rPr>
          <w:rFonts w:ascii="Bookman Old Style" w:hAnsi="Bookman Old Style" w:cs="Arial"/>
          <w:color w:val="000000"/>
        </w:rPr>
        <w:t xml:space="preserve">Al respecto, conviene señalar que la actuación de la CREG no evadió el cumplimiento de la ley, ni fue arbitraria, ilegal e inconstitucional, ni sobrepuso la prohibición de la reformatio in pejus al principio de la eficiencia económica, pues a través de la Resolución núm. 121 de 2012 acusada, dicha entidad sujetó la valoración de las tarifas solamente a los costos eficientes de los </w:t>
      </w:r>
      <w:r w:rsidRPr="00BF6B9C">
        <w:rPr>
          <w:rFonts w:ascii="Bookman Old Style" w:hAnsi="Bookman Old Style" w:cs="Arial"/>
          <w:i/>
          <w:color w:val="000000"/>
        </w:rPr>
        <w:t>loops</w:t>
      </w:r>
      <w:r w:rsidRPr="00BF6B9C">
        <w:rPr>
          <w:rFonts w:ascii="Bookman Old Style" w:hAnsi="Bookman Old Style" w:cs="Arial"/>
          <w:color w:val="000000"/>
        </w:rPr>
        <w:t xml:space="preserve"> y demás inversiones realizada por la sociedad actora, teniendo en cuenta que de acuerdo con la Corte Constitucional, dentro de las tarifas no se han de trasladar costos a los usuarios por una gestión ineficiente, en armonía con el citado principio de eficiencia. </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u w:val="single"/>
        </w:rPr>
      </w:pPr>
      <w:r w:rsidRPr="00BF6B9C">
        <w:rPr>
          <w:rFonts w:ascii="Bookman Old Style" w:hAnsi="Bookman Old Style" w:cs="Arial"/>
          <w:color w:val="000000"/>
          <w:u w:val="single"/>
        </w:rPr>
        <w:t xml:space="preserve">Por tal razón, reconocer para los </w:t>
      </w:r>
      <w:r w:rsidRPr="00BF6B9C">
        <w:rPr>
          <w:rFonts w:ascii="Bookman Old Style" w:hAnsi="Bookman Old Style" w:cs="Arial"/>
          <w:i/>
          <w:color w:val="000000"/>
          <w:u w:val="single"/>
        </w:rPr>
        <w:t>loops</w:t>
      </w:r>
      <w:r w:rsidRPr="00BF6B9C">
        <w:rPr>
          <w:rFonts w:ascii="Bookman Old Style" w:hAnsi="Bookman Old Style" w:cs="Arial"/>
          <w:color w:val="000000"/>
          <w:u w:val="single"/>
        </w:rPr>
        <w:t xml:space="preserve"> otros valores diferentes a los fijados mediante la mencionada Resolución, </w:t>
      </w:r>
      <w:r w:rsidRPr="00BF6B9C">
        <w:rPr>
          <w:rFonts w:ascii="Bookman Old Style" w:hAnsi="Bookman Old Style" w:cs="Arial"/>
          <w:b/>
          <w:color w:val="000000"/>
          <w:u w:val="single"/>
        </w:rPr>
        <w:t>implicaría reconocer valores por fuera de los que se entienden como eficientes y, por ende, constituye un desconocimiento del criterio de eficiencia económica,</w:t>
      </w:r>
      <w:r w:rsidRPr="00BF6B9C">
        <w:rPr>
          <w:rFonts w:ascii="Bookman Old Style" w:hAnsi="Bookman Old Style" w:cs="Arial"/>
          <w:color w:val="000000"/>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rPr>
      </w:pPr>
      <w:r w:rsidRPr="00BF6B9C">
        <w:rPr>
          <w:rFonts w:ascii="Bookman Old Style" w:hAnsi="Bookman Old Style" w:cs="Arial"/>
          <w:color w:val="000000"/>
        </w:rPr>
        <w:t>Sobre este asunto, es preciso traer a colación la sentencia C- 150 de 25 de febrero de 2003 (Magistrado ponente doctor Manuel José Cepeda Espinosa), en la que la Corte Constitucional señaló:</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rPr>
      </w:pPr>
      <w:r w:rsidRPr="00BF6B9C">
        <w:rPr>
          <w:rFonts w:ascii="Bookman Old Style" w:hAnsi="Bookman Old Style" w:cs="Arial"/>
          <w:color w:val="000000"/>
        </w:rPr>
        <w:t>(…)</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b/>
          <w:color w:val="000000"/>
          <w:u w:val="single"/>
        </w:rPr>
      </w:pPr>
      <w:r w:rsidRPr="00BF6B9C">
        <w:rPr>
          <w:rFonts w:ascii="Bookman Old Style" w:hAnsi="Bookman Old Style" w:cs="Arial"/>
          <w:color w:val="000000"/>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BF6B9C">
        <w:rPr>
          <w:rFonts w:ascii="Bookman Old Style" w:hAnsi="Bookman Old Style" w:cs="Arial"/>
          <w:b/>
          <w:color w:val="000000"/>
          <w:u w:val="single"/>
        </w:rPr>
        <w:t>además de los costos eficientes.</w:t>
      </w:r>
    </w:p>
    <w:p w:rsidR="00076DF2" w:rsidRPr="00BF6B9C" w:rsidRDefault="00076DF2" w:rsidP="00EA2219">
      <w:pPr>
        <w:ind w:left="284" w:right="284"/>
        <w:jc w:val="both"/>
        <w:rPr>
          <w:rFonts w:ascii="Bookman Old Style" w:hAnsi="Bookman Old Style" w:cs="Arial"/>
          <w:color w:val="000000"/>
        </w:rPr>
      </w:pPr>
    </w:p>
    <w:p w:rsidR="00076DF2" w:rsidRPr="00BF6B9C" w:rsidRDefault="00076DF2" w:rsidP="00EA2219">
      <w:pPr>
        <w:ind w:left="284" w:right="284"/>
        <w:jc w:val="both"/>
        <w:rPr>
          <w:rFonts w:ascii="Bookman Old Style" w:hAnsi="Bookman Old Style" w:cs="Arial"/>
          <w:color w:val="000000"/>
        </w:rPr>
      </w:pPr>
      <w:r w:rsidRPr="00BF6B9C">
        <w:rPr>
          <w:rFonts w:ascii="Bookman Old Style" w:hAnsi="Bookman Old Style" w:cs="Arial"/>
          <w:color w:val="000000"/>
        </w:rPr>
        <w:t xml:space="preserve">Así las cosas, para la Sala, en el presente caso, no se evidencian las violaciones aducidas por la actora, </w:t>
      </w:r>
      <w:r w:rsidRPr="00BF6B9C">
        <w:rPr>
          <w:rFonts w:ascii="Bookman Old Style" w:hAnsi="Bookman Old Style" w:cs="Arial"/>
          <w:b/>
          <w:color w:val="000000"/>
          <w:u w:val="single"/>
        </w:rPr>
        <w:t>razón por la cual debe mantenerse incólume la presunción de legalidad que ampara a los actos acusados y confirmarse la sentencia apelada, como en efecto se dispondrá en la parte resolutiva de esta providencia</w:t>
      </w:r>
      <w:r w:rsidRPr="00BF6B9C">
        <w:rPr>
          <w:rFonts w:ascii="Bookman Old Style" w:hAnsi="Bookman Old Style" w:cs="Arial"/>
          <w:color w:val="000000"/>
        </w:rPr>
        <w:t>.”</w:t>
      </w:r>
      <w:r w:rsidR="00951123" w:rsidRPr="00BF6B9C">
        <w:rPr>
          <w:rFonts w:ascii="Bookman Old Style" w:hAnsi="Bookman Old Style" w:cs="Arial"/>
          <w:color w:val="000000"/>
        </w:rPr>
        <w:t xml:space="preserve"> (Resaltado fuera de texto)</w:t>
      </w:r>
    </w:p>
    <w:p w:rsidR="00076DF2" w:rsidRPr="00BF6B9C" w:rsidRDefault="00076DF2" w:rsidP="009C5BF2">
      <w:pPr>
        <w:ind w:left="0"/>
        <w:jc w:val="both"/>
        <w:rPr>
          <w:rFonts w:ascii="Bookman Old Style" w:hAnsi="Bookman Old Style" w:cs="Arial"/>
          <w:color w:val="000000"/>
        </w:rPr>
      </w:pPr>
    </w:p>
    <w:p w:rsidR="00253925" w:rsidRPr="00BF6B9C" w:rsidRDefault="00635BCB" w:rsidP="009C5BF2">
      <w:pPr>
        <w:ind w:left="0"/>
        <w:jc w:val="both"/>
        <w:rPr>
          <w:rFonts w:ascii="Bookman Old Style" w:hAnsi="Bookman Old Style" w:cs="Arial"/>
          <w:color w:val="000000"/>
        </w:rPr>
      </w:pPr>
      <w:r w:rsidRPr="00BF6B9C">
        <w:rPr>
          <w:rFonts w:ascii="Bookman Old Style" w:hAnsi="Bookman Old Style" w:cs="Arial"/>
          <w:color w:val="000000"/>
        </w:rPr>
        <w:t>De acuerdo con lo expuesto</w:t>
      </w:r>
      <w:r w:rsidR="009C5BF2" w:rsidRPr="00BF6B9C">
        <w:rPr>
          <w:rFonts w:ascii="Bookman Old Style" w:hAnsi="Bookman Old Style" w:cs="Arial"/>
          <w:color w:val="000000"/>
        </w:rPr>
        <w:t>,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w:t>
      </w:r>
    </w:p>
    <w:p w:rsidR="00253925" w:rsidRPr="00BF6B9C" w:rsidRDefault="00253925" w:rsidP="009C5BF2">
      <w:pPr>
        <w:ind w:left="0"/>
        <w:jc w:val="both"/>
        <w:rPr>
          <w:rFonts w:ascii="Bookman Old Style" w:hAnsi="Bookman Old Style" w:cs="Arial"/>
          <w:color w:val="000000"/>
        </w:rPr>
      </w:pPr>
    </w:p>
    <w:p w:rsidR="009C5BF2" w:rsidRPr="00BF6B9C" w:rsidRDefault="009C5BF2" w:rsidP="009C5BF2">
      <w:pPr>
        <w:ind w:left="0"/>
        <w:jc w:val="both"/>
        <w:rPr>
          <w:rFonts w:ascii="Bookman Old Style" w:hAnsi="Bookman Old Style" w:cs="Arial"/>
          <w:color w:val="000000"/>
        </w:rPr>
      </w:pPr>
      <w:r w:rsidRPr="00BF6B9C">
        <w:rPr>
          <w:rFonts w:ascii="Bookman Old Style" w:hAnsi="Bookman Old Style" w:cs="Arial"/>
          <w:color w:val="000000"/>
        </w:rPr>
        <w:t xml:space="preserve">Esto, bajo </w:t>
      </w:r>
      <w:r w:rsidR="00E116AC" w:rsidRPr="00BF6B9C">
        <w:rPr>
          <w:rFonts w:ascii="Bookman Old Style" w:hAnsi="Bookman Old Style" w:cs="Arial"/>
          <w:color w:val="000000"/>
        </w:rPr>
        <w:t>justificaciones</w:t>
      </w:r>
      <w:r w:rsidRPr="00BF6B9C">
        <w:rPr>
          <w:rFonts w:ascii="Bookman Old Style" w:hAnsi="Bookman Old Style" w:cs="Arial"/>
          <w:color w:val="000000"/>
        </w:rPr>
        <w:t xml:space="preserve"> </w:t>
      </w:r>
      <w:r w:rsidR="00E116AC" w:rsidRPr="00BF6B9C">
        <w:rPr>
          <w:rFonts w:ascii="Bookman Old Style" w:hAnsi="Bookman Old Style" w:cs="Arial"/>
          <w:color w:val="000000"/>
        </w:rPr>
        <w:t xml:space="preserve">relativas a que dicho reconocimiento permitiría </w:t>
      </w:r>
      <w:r w:rsidRPr="00BF6B9C">
        <w:rPr>
          <w:rFonts w:ascii="Bookman Old Style" w:hAnsi="Bookman Old Style" w:cs="Arial"/>
          <w:color w:val="000000"/>
        </w:rPr>
        <w:t>llevar a cabo la prestación continúa e ininterrumpida del servicio</w:t>
      </w:r>
      <w:r w:rsidR="009B3836" w:rsidRPr="00BF6B9C">
        <w:rPr>
          <w:rFonts w:ascii="Bookman Old Style" w:hAnsi="Bookman Old Style" w:cs="Arial"/>
          <w:color w:val="000000"/>
        </w:rPr>
        <w:t xml:space="preserve"> o utilización eficiente de los mismos</w:t>
      </w:r>
      <w:r w:rsidRPr="00BF6B9C">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BF6B9C">
        <w:rPr>
          <w:rFonts w:ascii="Bookman Old Style" w:hAnsi="Bookman Old Style" w:cs="Arial"/>
          <w:color w:val="000000"/>
        </w:rPr>
        <w:t xml:space="preserve">lo anterior, </w:t>
      </w:r>
      <w:r w:rsidRPr="00BF6B9C">
        <w:rPr>
          <w:rFonts w:ascii="Bookman Old Style" w:hAnsi="Bookman Old Style" w:cs="Arial"/>
          <w:color w:val="000000"/>
        </w:rPr>
        <w:t>bajo la justificación de garantizar la prestación del servicio.</w:t>
      </w:r>
    </w:p>
    <w:p w:rsidR="009C5BF2" w:rsidRPr="00BF6B9C" w:rsidRDefault="009C5BF2" w:rsidP="009C5BF2">
      <w:pPr>
        <w:ind w:left="0"/>
        <w:jc w:val="both"/>
        <w:rPr>
          <w:rFonts w:ascii="Bookman Old Style" w:hAnsi="Bookman Old Style" w:cs="Arial"/>
          <w:color w:val="000000"/>
        </w:rPr>
      </w:pPr>
    </w:p>
    <w:p w:rsidR="009C5BF2" w:rsidRPr="00BF6B9C" w:rsidRDefault="009C5BF2" w:rsidP="009C5BF2">
      <w:pPr>
        <w:ind w:left="0"/>
        <w:jc w:val="both"/>
        <w:rPr>
          <w:rFonts w:ascii="Bookman Old Style" w:hAnsi="Bookman Old Style" w:cs="Arial"/>
          <w:color w:val="000000"/>
        </w:rPr>
      </w:pPr>
      <w:r w:rsidRPr="00BF6B9C">
        <w:rPr>
          <w:rFonts w:ascii="Bookman Old Style" w:hAnsi="Bookman Old Style" w:cs="Arial"/>
          <w:color w:val="000000"/>
        </w:rPr>
        <w:t xml:space="preserve">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instrumentos y los fines a los cuales se sujeta dicha intervención, dicha actividad sería una actividad desregulada y libre al actuar de los agentes. </w:t>
      </w:r>
    </w:p>
    <w:p w:rsidR="009C5BF2" w:rsidRPr="00BF6B9C" w:rsidRDefault="009C5BF2" w:rsidP="009C5BF2">
      <w:pPr>
        <w:ind w:left="0"/>
        <w:jc w:val="both"/>
        <w:rPr>
          <w:rFonts w:ascii="Bookman Old Style" w:hAnsi="Bookman Old Style" w:cs="Arial"/>
          <w:color w:val="000000"/>
        </w:rPr>
      </w:pPr>
    </w:p>
    <w:p w:rsidR="00635BCB" w:rsidRPr="00BF6B9C" w:rsidRDefault="009C5BF2" w:rsidP="00635BCB">
      <w:pPr>
        <w:ind w:left="0" w:right="-93"/>
        <w:jc w:val="both"/>
        <w:rPr>
          <w:rFonts w:ascii="Bookman Old Style" w:eastAsia="Calibri" w:hAnsi="Bookman Old Style" w:cs="Arial"/>
          <w:lang w:val="es-CO" w:eastAsia="en-US"/>
        </w:rPr>
      </w:pPr>
      <w:r w:rsidRPr="00BF6B9C">
        <w:rPr>
          <w:rFonts w:ascii="Bookman Old Style" w:hAnsi="Bookman Old Style" w:cs="Arial"/>
          <w:color w:val="000000"/>
        </w:rPr>
        <w:t>No sobra reiterar que atendiendo los lineamientos de la jurisprudencia constitucional</w:t>
      </w:r>
      <w:r w:rsidRPr="00BF6B9C">
        <w:rPr>
          <w:rFonts w:ascii="Bookman Old Style" w:hAnsi="Bookman Old Style" w:cs="Arial"/>
          <w:color w:val="000000"/>
          <w:vertAlign w:val="superscript"/>
        </w:rPr>
        <w:footnoteReference w:id="29"/>
      </w:r>
      <w:r w:rsidRPr="00BF6B9C">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BF6B9C">
        <w:rPr>
          <w:rFonts w:ascii="Bookman Old Style" w:hAnsi="Bookman Old Style" w:cs="Arial"/>
          <w:color w:val="000000"/>
        </w:rPr>
        <w:t>es socialmente apreciadas; iv) que l</w:t>
      </w:r>
      <w:r w:rsidRPr="00BF6B9C">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BF6B9C">
        <w:rPr>
          <w:rFonts w:ascii="Bookman Old Style" w:eastAsia="Calibri" w:hAnsi="Bookman Old Style" w:cs="Arial"/>
          <w:lang w:val="es-CO" w:eastAsia="en-US"/>
        </w:rPr>
        <w:t>que dicho activo o gasto pueda estar destinado para la prestación del servicio, estaría actuando en contra de la Ley y la regulación.</w:t>
      </w:r>
    </w:p>
    <w:p w:rsidR="00635BCB" w:rsidRPr="00BF6B9C" w:rsidRDefault="00635BCB" w:rsidP="00635BCB">
      <w:pPr>
        <w:ind w:left="0" w:right="-93"/>
        <w:jc w:val="both"/>
        <w:rPr>
          <w:rFonts w:ascii="Bookman Old Style" w:hAnsi="Bookman Old Style" w:cs="Arial"/>
          <w:color w:val="000000"/>
          <w:lang w:val="es-CO"/>
        </w:rPr>
      </w:pPr>
    </w:p>
    <w:p w:rsidR="00635BCB" w:rsidRPr="00BF6B9C" w:rsidRDefault="00635BCB" w:rsidP="00635BCB">
      <w:pPr>
        <w:ind w:left="0" w:right="-93"/>
        <w:jc w:val="both"/>
        <w:rPr>
          <w:rFonts w:ascii="Bookman Old Style" w:hAnsi="Bookman Old Style" w:cs="Arial"/>
          <w:color w:val="000000"/>
        </w:rPr>
      </w:pPr>
      <w:r w:rsidRPr="00BF6B9C">
        <w:rPr>
          <w:rFonts w:ascii="Bookman Old Style" w:hAnsi="Bookman Old Style" w:cs="Arial"/>
          <w:color w:val="000000"/>
        </w:rPr>
        <w:t>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el regulador dentro de las decisiones y las actuaciones administrativas que desarrolla.</w:t>
      </w:r>
    </w:p>
    <w:p w:rsidR="00635BCB" w:rsidRPr="00BF6B9C" w:rsidRDefault="00635BCB" w:rsidP="00635BCB">
      <w:pPr>
        <w:ind w:left="0" w:right="-93"/>
        <w:jc w:val="both"/>
        <w:rPr>
          <w:rFonts w:ascii="Bookman Old Style" w:hAnsi="Bookman Old Style" w:cs="Arial"/>
          <w:color w:val="000000"/>
        </w:rPr>
      </w:pPr>
    </w:p>
    <w:p w:rsidR="00635BCB" w:rsidRPr="00BF6B9C" w:rsidRDefault="00635BCB" w:rsidP="00635BCB">
      <w:pPr>
        <w:ind w:left="0" w:right="-93"/>
        <w:jc w:val="both"/>
        <w:rPr>
          <w:rFonts w:ascii="Bookman Old Style" w:eastAsia="Calibri" w:hAnsi="Bookman Old Style" w:cs="Arial"/>
          <w:lang w:val="es-ES_tradnl" w:eastAsia="en-US"/>
        </w:rPr>
      </w:pPr>
      <w:r w:rsidRPr="00BF6B9C">
        <w:rPr>
          <w:rFonts w:ascii="Bookman Old Style" w:hAnsi="Bookman Old Style" w:cs="Arial"/>
          <w:color w:val="000000"/>
        </w:rPr>
        <w:t xml:space="preserve">Es por esto que las decisiones que adopten atendiendo este análisis permiten </w:t>
      </w:r>
      <w:r w:rsidRPr="00BF6B9C">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BF6B9C">
        <w:rPr>
          <w:rStyle w:val="Refdenotaalpie"/>
          <w:rFonts w:ascii="Bookman Old Style" w:eastAsia="Calibri" w:hAnsi="Bookman Old Style" w:cs="Arial"/>
          <w:lang w:val="es-ES_tradnl" w:eastAsia="en-US"/>
        </w:rPr>
        <w:footnoteReference w:id="30"/>
      </w:r>
      <w:r w:rsidRPr="00BF6B9C">
        <w:rPr>
          <w:rFonts w:ascii="Bookman Old Style" w:eastAsia="Calibri" w:hAnsi="Bookman Old Style" w:cs="Arial"/>
          <w:lang w:val="es-ES_tradnl" w:eastAsia="en-US"/>
        </w:rPr>
        <w:t>.</w:t>
      </w:r>
    </w:p>
    <w:p w:rsidR="00635BCB" w:rsidRPr="00BF6B9C" w:rsidRDefault="00635BCB" w:rsidP="00635BCB">
      <w:pPr>
        <w:ind w:left="0" w:right="-93"/>
        <w:jc w:val="both"/>
        <w:rPr>
          <w:rFonts w:ascii="Bookman Old Style" w:hAnsi="Bookman Old Style" w:cs="Arial"/>
          <w:color w:val="000000"/>
        </w:rPr>
      </w:pPr>
    </w:p>
    <w:p w:rsidR="008800C1" w:rsidRPr="00BF6B9C" w:rsidRDefault="00635BCB" w:rsidP="00635BCB">
      <w:pPr>
        <w:ind w:left="0" w:right="-93"/>
        <w:jc w:val="both"/>
        <w:rPr>
          <w:rFonts w:ascii="Bookman Old Style" w:hAnsi="Bookman Old Style" w:cs="Arial"/>
          <w:color w:val="000000"/>
        </w:rPr>
      </w:pPr>
      <w:r w:rsidRPr="00BF6B9C">
        <w:rPr>
          <w:rFonts w:ascii="Bookman Old Style" w:hAnsi="Bookman Old Style" w:cs="Arial"/>
          <w:color w:val="000000"/>
        </w:rPr>
        <w:t>Se concluye entonces que le corresponde a esta Comisión garantizar dentro de la remuneración de las tarifas</w:t>
      </w:r>
      <w:r w:rsidR="00B22BD3" w:rsidRPr="00BF6B9C">
        <w:rPr>
          <w:rFonts w:ascii="Bookman Old Style" w:hAnsi="Bookman Old Style" w:cs="Arial"/>
          <w:color w:val="000000"/>
        </w:rPr>
        <w:t>,</w:t>
      </w:r>
      <w:r w:rsidRPr="00BF6B9C">
        <w:rPr>
          <w:rFonts w:ascii="Bookman Old Style" w:hAnsi="Bookman Old Style" w:cs="Arial"/>
          <w:color w:val="000000"/>
        </w:rPr>
        <w:t xml:space="preserve">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 </w:t>
      </w:r>
    </w:p>
    <w:p w:rsidR="008800C1" w:rsidRPr="00BF6B9C" w:rsidRDefault="008800C1" w:rsidP="00635BCB">
      <w:pPr>
        <w:ind w:left="0" w:right="-93"/>
        <w:jc w:val="both"/>
        <w:rPr>
          <w:rFonts w:ascii="Bookman Old Style" w:hAnsi="Bookman Old Style" w:cs="Arial"/>
          <w:color w:val="000000"/>
        </w:rPr>
      </w:pPr>
    </w:p>
    <w:p w:rsidR="00635BCB" w:rsidRPr="00BF6B9C" w:rsidRDefault="00635BCB" w:rsidP="00635BCB">
      <w:pPr>
        <w:ind w:left="0" w:right="-93"/>
        <w:jc w:val="both"/>
        <w:rPr>
          <w:rFonts w:ascii="Bookman Old Style" w:hAnsi="Bookman Old Style" w:cs="Arial"/>
          <w:color w:val="000000"/>
        </w:rPr>
      </w:pPr>
      <w:r w:rsidRPr="00BF6B9C">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BF6B9C">
        <w:rPr>
          <w:rStyle w:val="Refdenotaalpie"/>
          <w:rFonts w:ascii="Bookman Old Style" w:hAnsi="Bookman Old Style" w:cs="Arial"/>
          <w:color w:val="000000"/>
        </w:rPr>
        <w:footnoteReference w:id="31"/>
      </w:r>
      <w:r w:rsidRPr="00BF6B9C">
        <w:rPr>
          <w:rFonts w:ascii="Bookman Old Style" w:hAnsi="Bookman Old Style" w:cs="Arial"/>
          <w:color w:val="000000"/>
        </w:rPr>
        <w:t xml:space="preserve">. </w:t>
      </w:r>
    </w:p>
    <w:p w:rsidR="009C5BF2" w:rsidRPr="00BF6B9C" w:rsidRDefault="009C5BF2" w:rsidP="009C5BF2">
      <w:pPr>
        <w:ind w:left="0" w:right="-93"/>
        <w:jc w:val="both"/>
        <w:rPr>
          <w:rFonts w:ascii="Bookman Old Style" w:hAnsi="Bookman Old Style" w:cs="Arial"/>
          <w:color w:val="000000"/>
        </w:rPr>
      </w:pPr>
    </w:p>
    <w:p w:rsidR="009C5BF2" w:rsidRPr="00BF6B9C" w:rsidRDefault="009C5BF2" w:rsidP="00635BCB">
      <w:pPr>
        <w:ind w:left="0" w:right="-93"/>
        <w:jc w:val="both"/>
        <w:rPr>
          <w:rFonts w:ascii="Bookman Old Style" w:hAnsi="Bookman Old Style" w:cs="Arial"/>
          <w:color w:val="000000"/>
        </w:rPr>
      </w:pPr>
      <w:r w:rsidRPr="00BF6B9C">
        <w:rPr>
          <w:rFonts w:ascii="Bookman Old Style" w:hAnsi="Bookman Old Style" w:cs="Arial"/>
          <w:color w:val="000000"/>
        </w:rPr>
        <w:t xml:space="preserve">La no inclusión de la totalidad de los activos </w:t>
      </w:r>
      <w:r w:rsidR="00BF6E67" w:rsidRPr="00BF6B9C">
        <w:rPr>
          <w:rFonts w:ascii="Bookman Old Style" w:hAnsi="Bookman Old Style" w:cs="Arial"/>
          <w:color w:val="000000"/>
        </w:rPr>
        <w:t xml:space="preserve">o de costos o gastos </w:t>
      </w:r>
      <w:r w:rsidRPr="00BF6B9C">
        <w:rPr>
          <w:rFonts w:ascii="Bookman Old Style" w:hAnsi="Bookman Old Style" w:cs="Arial"/>
          <w:color w:val="000000"/>
        </w:rPr>
        <w:t xml:space="preserve">que se deben remunerar en condiciones de eficiencia para prestar el servicio de acuerdo con lo previsto en las metodologías tarifarias, genera en un actuar del regulador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 </w:t>
      </w:r>
    </w:p>
    <w:p w:rsidR="00C87369" w:rsidRPr="00BF6B9C" w:rsidRDefault="00C87369" w:rsidP="009C5BF2">
      <w:pPr>
        <w:ind w:left="0" w:right="-93"/>
        <w:jc w:val="both"/>
        <w:rPr>
          <w:rFonts w:ascii="Bookman Old Style" w:eastAsia="Calibri" w:hAnsi="Bookman Old Style" w:cs="Arial"/>
          <w:lang w:val="es-CO" w:eastAsia="en-US"/>
        </w:rPr>
      </w:pPr>
    </w:p>
    <w:p w:rsidR="00414B26" w:rsidRPr="00BF6B9C" w:rsidRDefault="00414B26" w:rsidP="009C5BF2">
      <w:pPr>
        <w:ind w:left="0" w:right="-93"/>
        <w:jc w:val="both"/>
        <w:rPr>
          <w:rFonts w:ascii="Bookman Old Style" w:eastAsia="Calibri" w:hAnsi="Bookman Old Style" w:cs="Arial"/>
          <w:lang w:val="es-CO" w:eastAsia="en-US"/>
        </w:rPr>
      </w:pPr>
    </w:p>
    <w:p w:rsidR="00831A1E" w:rsidRPr="00BF6B9C" w:rsidRDefault="00831A1E" w:rsidP="001E2FAE">
      <w:pPr>
        <w:numPr>
          <w:ilvl w:val="0"/>
          <w:numId w:val="2"/>
        </w:numPr>
        <w:ind w:left="425" w:right="-91" w:hanging="425"/>
        <w:contextualSpacing/>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 xml:space="preserve">Análisis de la solicitud tarifaria </w:t>
      </w:r>
      <w:r w:rsidR="00847443" w:rsidRPr="00BF6B9C">
        <w:rPr>
          <w:rFonts w:ascii="Bookman Old Style" w:eastAsia="Calibri" w:hAnsi="Bookman Old Style" w:cs="Arial"/>
          <w:b/>
          <w:lang w:val="es-CO" w:eastAsia="en-US"/>
        </w:rPr>
        <w:t xml:space="preserve">presentada por la </w:t>
      </w:r>
      <w:r w:rsidRPr="00BF6B9C">
        <w:rPr>
          <w:rFonts w:ascii="Bookman Old Style" w:eastAsia="Calibri" w:hAnsi="Bookman Old Style" w:cs="Arial"/>
          <w:b/>
          <w:lang w:val="es-CO" w:eastAsia="en-US"/>
        </w:rPr>
        <w:t xml:space="preserve">empresa </w:t>
      </w:r>
      <w:r w:rsidR="006D2B6B" w:rsidRPr="00BF6B9C">
        <w:rPr>
          <w:rFonts w:ascii="Bookman Old Style" w:eastAsia="Calibri" w:hAnsi="Bookman Old Style" w:cs="Arial"/>
          <w:b/>
          <w:lang w:val="es-CO" w:eastAsia="en-US"/>
        </w:rPr>
        <w:t>PROMOTORA DE SERVICIOS PÚBLICOS</w:t>
      </w:r>
      <w:r w:rsidR="00847443" w:rsidRPr="00BF6B9C">
        <w:rPr>
          <w:rFonts w:ascii="Bookman Old Style" w:eastAsia="Calibri" w:hAnsi="Bookman Old Style" w:cs="Arial"/>
          <w:b/>
          <w:lang w:val="es-CO" w:eastAsia="en-US"/>
        </w:rPr>
        <w:t xml:space="preserve"> S.A. E.S.P. </w:t>
      </w:r>
      <w:r w:rsidRPr="00BF6B9C">
        <w:rPr>
          <w:rFonts w:ascii="Bookman Old Style" w:eastAsia="Calibri" w:hAnsi="Bookman Old Style" w:cs="Arial"/>
          <w:b/>
          <w:lang w:val="es-CO" w:eastAsia="en-US"/>
        </w:rPr>
        <w:t>y definición de los cargos máximos para la actividad de distribución de gas combustible</w:t>
      </w:r>
    </w:p>
    <w:p w:rsidR="00831A1E" w:rsidRPr="00BF6B9C" w:rsidRDefault="00831A1E" w:rsidP="00831A1E">
      <w:pPr>
        <w:ind w:left="0" w:right="-93"/>
        <w:jc w:val="both"/>
        <w:rPr>
          <w:rFonts w:ascii="Bookman Old Style" w:hAnsi="Bookman Old Style" w:cs="Arial"/>
          <w:bCs/>
          <w:lang w:val="es-CO"/>
        </w:rPr>
      </w:pPr>
    </w:p>
    <w:p w:rsidR="00D80817" w:rsidRPr="00BF6B9C" w:rsidRDefault="00D80817" w:rsidP="00D80817">
      <w:pPr>
        <w:ind w:left="0"/>
        <w:jc w:val="both"/>
        <w:rPr>
          <w:rFonts w:ascii="Bookman Old Style" w:hAnsi="Bookman Old Style" w:cs="Arial"/>
          <w:color w:val="000000"/>
        </w:rPr>
      </w:pPr>
      <w:r w:rsidRPr="00BF6B9C">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rsidR="00886F37" w:rsidRPr="00BF6B9C" w:rsidRDefault="00886F37" w:rsidP="00D80817">
      <w:pPr>
        <w:ind w:left="0"/>
        <w:jc w:val="both"/>
        <w:rPr>
          <w:rFonts w:ascii="Bookman Old Style" w:hAnsi="Bookman Old Style" w:cs="Arial"/>
          <w:color w:val="000000"/>
        </w:rPr>
      </w:pPr>
    </w:p>
    <w:p w:rsidR="00D80817" w:rsidRPr="00BF6B9C" w:rsidRDefault="00D80817" w:rsidP="00D80817">
      <w:pPr>
        <w:ind w:left="0"/>
        <w:jc w:val="both"/>
        <w:rPr>
          <w:rFonts w:ascii="Bookman Old Style" w:hAnsi="Bookman Old Style" w:cs="Arial"/>
          <w:color w:val="000000"/>
        </w:rPr>
      </w:pPr>
      <w:r w:rsidRPr="00BF6B9C">
        <w:rPr>
          <w:rFonts w:ascii="Bookman Old Style" w:hAnsi="Bookman Old Style" w:cs="Arial"/>
          <w:color w:val="000000"/>
        </w:rPr>
        <w:t>Esta metodología es de precio máximo, el cual se establece a través de los cargos de distribución que son calculado</w:t>
      </w:r>
      <w:r w:rsidR="00541722" w:rsidRPr="00BF6B9C">
        <w:rPr>
          <w:rFonts w:ascii="Bookman Old Style" w:hAnsi="Bookman Old Style" w:cs="Arial"/>
          <w:color w:val="000000"/>
        </w:rPr>
        <w:t>s</w:t>
      </w:r>
      <w:r w:rsidRPr="00BF6B9C">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demanda futura, según corresponda. </w:t>
      </w:r>
    </w:p>
    <w:p w:rsidR="00D80817" w:rsidRPr="00BF6B9C" w:rsidRDefault="00D80817" w:rsidP="00D80817">
      <w:pPr>
        <w:ind w:left="0"/>
        <w:jc w:val="both"/>
        <w:rPr>
          <w:rFonts w:ascii="Bookman Old Style" w:hAnsi="Bookman Old Style" w:cs="Arial"/>
          <w:color w:val="000000"/>
        </w:rPr>
      </w:pPr>
    </w:p>
    <w:p w:rsidR="009B3836" w:rsidRPr="00BF6B9C" w:rsidRDefault="004D0BC0" w:rsidP="009B3836">
      <w:pPr>
        <w:ind w:left="0"/>
        <w:jc w:val="both"/>
        <w:rPr>
          <w:rFonts w:ascii="Bookman Old Style" w:hAnsi="Bookman Old Style" w:cs="Arial"/>
          <w:color w:val="000000"/>
        </w:rPr>
      </w:pPr>
      <w:r w:rsidRPr="00BF6B9C">
        <w:rPr>
          <w:rFonts w:ascii="Bookman Old Style" w:hAnsi="Bookman Old Style" w:cs="Arial"/>
          <w:color w:val="000000"/>
        </w:rPr>
        <w:t xml:space="preserve">Los </w:t>
      </w:r>
      <w:r w:rsidR="00D80817" w:rsidRPr="00BF6B9C">
        <w:rPr>
          <w:rFonts w:ascii="Bookman Old Style" w:hAnsi="Bookman Old Style" w:cs="Arial"/>
          <w:color w:val="000000"/>
        </w:rPr>
        <w:t>cargo</w:t>
      </w:r>
      <w:r w:rsidRPr="00BF6B9C">
        <w:rPr>
          <w:rFonts w:ascii="Bookman Old Style" w:hAnsi="Bookman Old Style" w:cs="Arial"/>
          <w:color w:val="000000"/>
        </w:rPr>
        <w:t>s</w:t>
      </w:r>
      <w:r w:rsidR="00D80817" w:rsidRPr="00BF6B9C">
        <w:rPr>
          <w:rFonts w:ascii="Bookman Old Style" w:hAnsi="Bookman Old Style" w:cs="Arial"/>
          <w:color w:val="000000"/>
        </w:rPr>
        <w:t xml:space="preserve"> de distribución se obtiene</w:t>
      </w:r>
      <w:r w:rsidRPr="00BF6B9C">
        <w:rPr>
          <w:rFonts w:ascii="Bookman Old Style" w:hAnsi="Bookman Old Style" w:cs="Arial"/>
          <w:color w:val="000000"/>
        </w:rPr>
        <w:t>n</w:t>
      </w:r>
      <w:r w:rsidR="00D80817" w:rsidRPr="00BF6B9C">
        <w:rPr>
          <w:rFonts w:ascii="Bookman Old Style" w:hAnsi="Bookman Old Style" w:cs="Arial"/>
          <w:color w:val="000000"/>
        </w:rPr>
        <w:t xml:space="preserve"> básicamente como la relación entre el costo anual equivalente de las inversiones </w:t>
      </w:r>
      <w:r w:rsidR="005376A6" w:rsidRPr="00BF6B9C">
        <w:rPr>
          <w:rFonts w:ascii="Bookman Old Style" w:hAnsi="Bookman Old Style" w:cs="Arial"/>
          <w:color w:val="000000"/>
        </w:rPr>
        <w:t xml:space="preserve">eficientes, incluyendo las inversiones </w:t>
      </w:r>
      <w:r w:rsidR="00D80817" w:rsidRPr="00BF6B9C">
        <w:rPr>
          <w:rFonts w:ascii="Bookman Old Style" w:hAnsi="Bookman Old Style" w:cs="Arial"/>
          <w:color w:val="000000"/>
        </w:rPr>
        <w:t>existentes</w:t>
      </w:r>
      <w:r w:rsidRPr="00BF6B9C">
        <w:rPr>
          <w:rFonts w:ascii="Bookman Old Style" w:hAnsi="Bookman Old Style" w:cs="Arial"/>
          <w:color w:val="000000"/>
        </w:rPr>
        <w:t xml:space="preserve"> </w:t>
      </w:r>
      <w:r w:rsidR="00D80817" w:rsidRPr="00BF6B9C">
        <w:rPr>
          <w:rFonts w:ascii="Bookman Old Style" w:hAnsi="Bookman Old Style" w:cs="Arial"/>
          <w:color w:val="000000"/>
        </w:rPr>
        <w:t>o el valor presente descontado de las inversiones proyectadas más los gastos eficientes anuales de la administración, operación y mantenimiento (AOM)</w:t>
      </w:r>
      <w:r w:rsidRPr="00BF6B9C">
        <w:rPr>
          <w:rFonts w:ascii="Bookman Old Style" w:hAnsi="Bookman Old Style" w:cs="Arial"/>
          <w:color w:val="000000"/>
        </w:rPr>
        <w:t xml:space="preserve"> o el valor presente descontado de los AOM proyectados </w:t>
      </w:r>
      <w:r w:rsidR="00D80817" w:rsidRPr="00BF6B9C">
        <w:rPr>
          <w:rFonts w:ascii="Bookman Old Style" w:hAnsi="Bookman Old Style" w:cs="Arial"/>
          <w:color w:val="000000"/>
        </w:rPr>
        <w:t>y la demanda real obtenida en el año de corte o de la proyección de demanda.</w:t>
      </w:r>
      <w:r w:rsidRPr="00BF6B9C">
        <w:rPr>
          <w:rFonts w:ascii="Bookman Old Style" w:hAnsi="Bookman Old Style" w:cs="Arial"/>
          <w:color w:val="000000"/>
        </w:rPr>
        <w:t xml:space="preserve"> </w:t>
      </w:r>
      <w:r w:rsidR="005376A6" w:rsidRPr="00BF6B9C">
        <w:rPr>
          <w:rFonts w:ascii="Bookman Old Style" w:hAnsi="Bookman Old Style" w:cs="Arial"/>
          <w:color w:val="000000"/>
        </w:rPr>
        <w:t>Lo anterior,</w:t>
      </w:r>
      <w:r w:rsidRPr="00BF6B9C">
        <w:rPr>
          <w:rFonts w:ascii="Bookman Old Style" w:hAnsi="Bookman Old Style" w:cs="Arial"/>
          <w:color w:val="000000"/>
        </w:rPr>
        <w:t xml:space="preserve"> utilizando una tasa de descuento o WACC</w:t>
      </w:r>
      <w:r w:rsidR="009B3836" w:rsidRPr="00BF6B9C">
        <w:rPr>
          <w:rFonts w:ascii="Bookman Old Style" w:hAnsi="Bookman Old Style" w:cs="Arial"/>
          <w:color w:val="000000"/>
        </w:rPr>
        <w:t xml:space="preserve"> (por sus siglas en inglés).</w:t>
      </w:r>
    </w:p>
    <w:p w:rsidR="00D80817" w:rsidRPr="00BF6B9C" w:rsidRDefault="00D80817" w:rsidP="00D80817">
      <w:pPr>
        <w:ind w:left="0"/>
        <w:jc w:val="both"/>
        <w:rPr>
          <w:rFonts w:ascii="Bookman Old Style" w:hAnsi="Bookman Old Style" w:cs="Arial"/>
          <w:color w:val="000000"/>
        </w:rPr>
      </w:pPr>
    </w:p>
    <w:p w:rsidR="00D80817" w:rsidRPr="00BF6B9C" w:rsidRDefault="00D80817" w:rsidP="00D80817">
      <w:pPr>
        <w:ind w:left="0"/>
        <w:jc w:val="both"/>
        <w:rPr>
          <w:rFonts w:ascii="Bookman Old Style" w:hAnsi="Bookman Old Style" w:cs="Arial"/>
          <w:color w:val="000000"/>
        </w:rPr>
      </w:pPr>
      <w:r w:rsidRPr="00BF6B9C">
        <w:rPr>
          <w:rFonts w:ascii="Bookman Old Style" w:hAnsi="Bookman Old Style" w:cs="Arial"/>
          <w:color w:val="000000"/>
        </w:rPr>
        <w:t xml:space="preserve">La metodología señalada reconoce </w:t>
      </w:r>
      <w:r w:rsidR="009C5B8E" w:rsidRPr="00BF6B9C">
        <w:rPr>
          <w:rFonts w:ascii="Bookman Old Style" w:hAnsi="Bookman Old Style" w:cs="Arial"/>
          <w:color w:val="000000"/>
        </w:rPr>
        <w:t>las inversiones eficie</w:t>
      </w:r>
      <w:r w:rsidR="00980272" w:rsidRPr="00BF6B9C">
        <w:rPr>
          <w:rFonts w:ascii="Bookman Old Style" w:hAnsi="Bookman Old Style" w:cs="Arial"/>
          <w:color w:val="000000"/>
        </w:rPr>
        <w:t>ntes, de las cuales hacen parte</w:t>
      </w:r>
      <w:r w:rsidR="009C5B8E" w:rsidRPr="00BF6B9C">
        <w:rPr>
          <w:rFonts w:ascii="Bookman Old Style" w:hAnsi="Bookman Old Style" w:cs="Arial"/>
          <w:color w:val="000000"/>
        </w:rPr>
        <w:t xml:space="preserve"> </w:t>
      </w:r>
      <w:r w:rsidRPr="00BF6B9C">
        <w:rPr>
          <w:rFonts w:ascii="Bookman Old Style" w:hAnsi="Bookman Old Style" w:cs="Arial"/>
          <w:color w:val="000000"/>
        </w:rPr>
        <w:t>la inversión base que corresponde a la inversión en activos existentes a una fecha de corte o el programa de inversiones que propone ejecutar el distribuidor en el periodo tarifario. La valoración de los activos se hace a través de los costos eficientes que se han determinado previamente para unidades constructivas y que se encuentran señaladas previamente en las Resoluciones CREG 011 de 2003 y 202 de 2013.</w:t>
      </w:r>
    </w:p>
    <w:p w:rsidR="00D80817" w:rsidRPr="00BF6B9C" w:rsidRDefault="00D80817" w:rsidP="00D80817">
      <w:pPr>
        <w:ind w:left="0"/>
        <w:jc w:val="both"/>
        <w:rPr>
          <w:rFonts w:ascii="Bookman Old Style" w:hAnsi="Bookman Old Style" w:cs="Arial"/>
          <w:color w:val="000000"/>
        </w:rPr>
      </w:pPr>
    </w:p>
    <w:p w:rsidR="00D80817" w:rsidRPr="00BF6B9C" w:rsidRDefault="00D80817" w:rsidP="00D80817">
      <w:pPr>
        <w:ind w:left="0"/>
        <w:jc w:val="both"/>
        <w:rPr>
          <w:rFonts w:ascii="Bookman Old Style" w:hAnsi="Bookman Old Style" w:cs="Arial"/>
          <w:color w:val="000000"/>
        </w:rPr>
      </w:pPr>
      <w:r w:rsidRPr="00BF6B9C">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BF6B9C">
        <w:rPr>
          <w:rFonts w:ascii="Bookman Old Style" w:hAnsi="Bookman Old Style" w:cs="Arial"/>
          <w:color w:val="000000"/>
        </w:rPr>
        <w:t xml:space="preserve">uso diferente al residencial, </w:t>
      </w:r>
      <w:r w:rsidRPr="00BF6B9C">
        <w:rPr>
          <w:rFonts w:ascii="Bookman Old Style" w:hAnsi="Bookman Old Style" w:cs="Arial"/>
          <w:color w:val="000000"/>
        </w:rPr>
        <w:t xml:space="preserve"> con este último las empresas podrán estructurar una canasta de tarifas por tipo de usuario y consumo.</w:t>
      </w:r>
    </w:p>
    <w:p w:rsidR="00D80817" w:rsidRPr="00BF6B9C" w:rsidRDefault="00D80817" w:rsidP="00831A1E">
      <w:pPr>
        <w:ind w:left="0" w:right="-93"/>
        <w:jc w:val="both"/>
        <w:rPr>
          <w:rFonts w:ascii="Bookman Old Style" w:hAnsi="Bookman Old Style" w:cs="Arial"/>
          <w:bCs/>
          <w:lang w:val="es-ES_tradnl"/>
        </w:rPr>
      </w:pPr>
    </w:p>
    <w:p w:rsidR="00431A8E" w:rsidRPr="00BF6B9C" w:rsidRDefault="00D80817" w:rsidP="00831A1E">
      <w:pPr>
        <w:ind w:left="0" w:right="-93"/>
        <w:jc w:val="both"/>
        <w:rPr>
          <w:rFonts w:ascii="Bookman Old Style" w:hAnsi="Bookman Old Style" w:cs="Arial"/>
          <w:bCs/>
          <w:lang w:val="es-ES_tradnl"/>
        </w:rPr>
      </w:pPr>
      <w:r w:rsidRPr="00BF6B9C">
        <w:rPr>
          <w:rFonts w:ascii="Bookman Old Style" w:hAnsi="Bookman Old Style" w:cs="Arial"/>
          <w:bCs/>
          <w:lang w:val="es-ES_tradnl"/>
        </w:rPr>
        <w:t>De acuerdo con lo anterior y c</w:t>
      </w:r>
      <w:r w:rsidR="00431A8E" w:rsidRPr="00BF6B9C">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BF6B9C">
        <w:rPr>
          <w:rFonts w:ascii="Bookman Old Style" w:hAnsi="Bookman Old Style" w:cs="Arial"/>
          <w:bCs/>
          <w:lang w:val="es-ES_tradnl"/>
        </w:rPr>
        <w:t xml:space="preserve">la Ley 142 de 1994 y </w:t>
      </w:r>
      <w:r w:rsidR="00431A8E" w:rsidRPr="00BF6B9C">
        <w:rPr>
          <w:rFonts w:ascii="Bookman Old Style" w:hAnsi="Bookman Old Style" w:cs="Arial"/>
          <w:bCs/>
          <w:lang w:val="es-ES_tradnl"/>
        </w:rPr>
        <w:t xml:space="preserve">el esquema de incentivos para la actividad de </w:t>
      </w:r>
      <w:r w:rsidR="005D4178" w:rsidRPr="00BF6B9C">
        <w:rPr>
          <w:rFonts w:ascii="Bookman Old Style" w:hAnsi="Bookman Old Style" w:cs="Arial"/>
          <w:bCs/>
          <w:lang w:val="es-ES_tradnl"/>
        </w:rPr>
        <w:t>distribución de gas combustible</w:t>
      </w:r>
      <w:r w:rsidR="00980272" w:rsidRPr="00BF6B9C">
        <w:rPr>
          <w:rFonts w:ascii="Bookman Old Style" w:hAnsi="Bookman Old Style" w:cs="Arial"/>
          <w:bCs/>
          <w:lang w:val="es-ES_tradnl"/>
        </w:rPr>
        <w:t>,</w:t>
      </w:r>
      <w:r w:rsidR="005D4178" w:rsidRPr="00BF6B9C">
        <w:rPr>
          <w:rFonts w:ascii="Bookman Old Style" w:hAnsi="Bookman Old Style" w:cs="Arial"/>
          <w:bCs/>
          <w:lang w:val="es-ES_tradnl"/>
        </w:rPr>
        <w:t xml:space="preserve"> </w:t>
      </w:r>
      <w:r w:rsidR="00431A8E" w:rsidRPr="00BF6B9C">
        <w:rPr>
          <w:rFonts w:ascii="Bookman Old Style" w:hAnsi="Bookman Old Style" w:cs="Arial"/>
          <w:bCs/>
          <w:lang w:val="es-ES_tradnl"/>
        </w:rPr>
        <w:t xml:space="preserve">le corresponde a la CREG establecer: i) </w:t>
      </w:r>
      <w:r w:rsidRPr="00BF6B9C">
        <w:rPr>
          <w:rFonts w:ascii="Bookman Old Style" w:hAnsi="Bookman Old Style" w:cs="Arial"/>
          <w:bCs/>
          <w:lang w:val="es-ES_tradnl"/>
        </w:rPr>
        <w:t>M</w:t>
      </w:r>
      <w:r w:rsidR="005D4178" w:rsidRPr="00BF6B9C">
        <w:rPr>
          <w:rFonts w:ascii="Bookman Old Style" w:hAnsi="Bookman Old Style" w:cs="Arial"/>
          <w:bCs/>
          <w:lang w:val="es-ES_tradnl"/>
        </w:rPr>
        <w:t xml:space="preserve">ercado relevante </w:t>
      </w:r>
      <w:r w:rsidRPr="00BF6B9C">
        <w:rPr>
          <w:rFonts w:ascii="Bookman Old Style" w:hAnsi="Bookman Old Style" w:cs="Arial"/>
          <w:bCs/>
          <w:lang w:val="es-ES_tradnl"/>
        </w:rPr>
        <w:t xml:space="preserve">de distribución para el siguiente periodo tarifario y para </w:t>
      </w:r>
      <w:r w:rsidR="005D4178" w:rsidRPr="00BF6B9C">
        <w:rPr>
          <w:rFonts w:ascii="Bookman Old Style" w:hAnsi="Bookman Old Style" w:cs="Arial"/>
          <w:bCs/>
          <w:lang w:val="es-ES_tradnl"/>
        </w:rPr>
        <w:t xml:space="preserve">al cual se le </w:t>
      </w:r>
      <w:r w:rsidRPr="00BF6B9C">
        <w:rPr>
          <w:rFonts w:ascii="Bookman Old Style" w:hAnsi="Bookman Old Style" w:cs="Arial"/>
          <w:bCs/>
          <w:lang w:val="es-ES_tradnl"/>
        </w:rPr>
        <w:t>definirán</w:t>
      </w:r>
      <w:r w:rsidR="005D4178" w:rsidRPr="00BF6B9C">
        <w:rPr>
          <w:rFonts w:ascii="Bookman Old Style" w:hAnsi="Bookman Old Style" w:cs="Arial"/>
          <w:bCs/>
          <w:lang w:val="es-ES_tradnl"/>
        </w:rPr>
        <w:t xml:space="preserve"> cargo</w:t>
      </w:r>
      <w:r w:rsidRPr="00BF6B9C">
        <w:rPr>
          <w:rFonts w:ascii="Bookman Old Style" w:hAnsi="Bookman Old Style" w:cs="Arial"/>
          <w:bCs/>
          <w:lang w:val="es-ES_tradnl"/>
        </w:rPr>
        <w:t>s</w:t>
      </w:r>
      <w:r w:rsidR="005D4178" w:rsidRPr="00BF6B9C">
        <w:rPr>
          <w:rFonts w:ascii="Bookman Old Style" w:hAnsi="Bookman Old Style" w:cs="Arial"/>
          <w:bCs/>
          <w:lang w:val="es-ES_tradnl"/>
        </w:rPr>
        <w:t xml:space="preserve"> de distribución; ii) las demandas de volumen</w:t>
      </w:r>
      <w:r w:rsidRPr="00BF6B9C">
        <w:rPr>
          <w:rFonts w:ascii="Bookman Old Style" w:hAnsi="Bookman Old Style" w:cs="Arial"/>
          <w:bCs/>
          <w:lang w:val="es-ES_tradnl"/>
        </w:rPr>
        <w:t xml:space="preserve"> en metros cúbicos de cada mercado</w:t>
      </w:r>
      <w:r w:rsidR="005D4178" w:rsidRPr="00BF6B9C">
        <w:rPr>
          <w:rFonts w:ascii="Bookman Old Style" w:hAnsi="Bookman Old Style" w:cs="Arial"/>
          <w:bCs/>
          <w:lang w:val="es-ES_tradnl"/>
        </w:rPr>
        <w:t xml:space="preserve">; iii) </w:t>
      </w:r>
      <w:r w:rsidR="00431A8E" w:rsidRPr="00BF6B9C">
        <w:rPr>
          <w:rFonts w:ascii="Bookman Old Style" w:hAnsi="Bookman Old Style" w:cs="Arial"/>
          <w:bCs/>
          <w:lang w:val="es-ES_tradnl"/>
        </w:rPr>
        <w:t>el valor</w:t>
      </w:r>
      <w:r w:rsidR="005D4178" w:rsidRPr="00BF6B9C">
        <w:rPr>
          <w:rFonts w:ascii="Bookman Old Style" w:hAnsi="Bookman Old Style" w:cs="Arial"/>
          <w:bCs/>
          <w:lang w:val="es-ES_tradnl"/>
        </w:rPr>
        <w:t xml:space="preserve"> eficiente de las inversiones a reconocer, incluyendo la inversión base y el programa de nuevas inversiones, donde se aplicable, así como;</w:t>
      </w:r>
      <w:r w:rsidR="00431A8E" w:rsidRPr="00BF6B9C">
        <w:rPr>
          <w:rFonts w:ascii="Bookman Old Style" w:hAnsi="Bookman Old Style" w:cs="Arial"/>
          <w:bCs/>
          <w:lang w:val="es-ES_tradnl"/>
        </w:rPr>
        <w:t xml:space="preserve"> </w:t>
      </w:r>
      <w:r w:rsidR="005D4178" w:rsidRPr="00BF6B9C">
        <w:rPr>
          <w:rFonts w:ascii="Bookman Old Style" w:hAnsi="Bookman Old Style" w:cs="Arial"/>
          <w:bCs/>
          <w:lang w:val="es-ES_tradnl"/>
        </w:rPr>
        <w:t>i</w:t>
      </w:r>
      <w:r w:rsidR="00431A8E" w:rsidRPr="00BF6B9C">
        <w:rPr>
          <w:rFonts w:ascii="Bookman Old Style" w:hAnsi="Bookman Old Style" w:cs="Arial"/>
          <w:bCs/>
          <w:lang w:val="es-ES_tradnl"/>
        </w:rPr>
        <w:t xml:space="preserve">ii) los valores eficientes de los gastos de AOM. </w:t>
      </w:r>
    </w:p>
    <w:p w:rsidR="00A16BA2" w:rsidRPr="00BF6B9C" w:rsidRDefault="00A16BA2" w:rsidP="00831A1E">
      <w:pPr>
        <w:ind w:left="0" w:right="-93"/>
        <w:jc w:val="both"/>
        <w:rPr>
          <w:rFonts w:ascii="Bookman Old Style" w:hAnsi="Bookman Old Style" w:cs="Arial"/>
          <w:bCs/>
          <w:lang w:val="es-ES_tradnl"/>
        </w:rPr>
      </w:pPr>
    </w:p>
    <w:p w:rsidR="00E43298" w:rsidRPr="00BF6B9C" w:rsidRDefault="00E43298" w:rsidP="00A16BA2">
      <w:pPr>
        <w:ind w:left="0" w:right="-93"/>
        <w:jc w:val="both"/>
        <w:rPr>
          <w:rFonts w:ascii="Bookman Old Style" w:hAnsi="Bookman Old Style" w:cs="Arial"/>
          <w:bCs/>
          <w:lang w:val="es-ES_tradnl"/>
        </w:rPr>
      </w:pPr>
    </w:p>
    <w:p w:rsidR="00A16BA2" w:rsidRPr="00BF6B9C" w:rsidRDefault="00A16BA2" w:rsidP="00A16BA2">
      <w:pPr>
        <w:ind w:left="0" w:right="-93"/>
        <w:jc w:val="both"/>
        <w:rPr>
          <w:rFonts w:ascii="Bookman Old Style" w:hAnsi="Bookman Old Style" w:cs="Arial"/>
          <w:bCs/>
          <w:lang w:val="es-ES_tradnl"/>
        </w:rPr>
      </w:pPr>
      <w:r w:rsidRPr="00BF6B9C">
        <w:rPr>
          <w:rFonts w:ascii="Bookman Old Style" w:hAnsi="Bookman Old Style" w:cs="Arial"/>
          <w:bCs/>
          <w:lang w:val="es-ES_tradnl"/>
        </w:rPr>
        <w:t xml:space="preserve">Se debe tener en cuenta que dentro de la remuneración de esta actividad el regulador fija una tarifa máxima para cada mercado </w:t>
      </w:r>
      <w:r w:rsidR="00217844" w:rsidRPr="00BF6B9C">
        <w:rPr>
          <w:rFonts w:ascii="Bookman Old Style" w:hAnsi="Bookman Old Style" w:cs="Arial"/>
          <w:bCs/>
          <w:lang w:val="es-ES_tradnl"/>
        </w:rPr>
        <w:t xml:space="preserve">relevante </w:t>
      </w:r>
      <w:r w:rsidRPr="00BF6B9C">
        <w:rPr>
          <w:rFonts w:ascii="Bookman Old Style" w:hAnsi="Bookman Old Style" w:cs="Arial"/>
          <w:bCs/>
          <w:lang w:val="es-ES_tradnl"/>
        </w:rPr>
        <w:t xml:space="preserve">de distribución, definiendo el valor </w:t>
      </w:r>
      <w:r w:rsidR="00217844" w:rsidRPr="00BF6B9C">
        <w:rPr>
          <w:rFonts w:ascii="Bookman Old Style" w:hAnsi="Bookman Old Style" w:cs="Arial"/>
          <w:bCs/>
          <w:lang w:val="es-ES_tradnl"/>
        </w:rPr>
        <w:t xml:space="preserve">eficiente </w:t>
      </w:r>
      <w:r w:rsidRPr="00BF6B9C">
        <w:rPr>
          <w:rFonts w:ascii="Bookman Old Style" w:hAnsi="Bookman Old Style" w:cs="Arial"/>
          <w:bCs/>
          <w:lang w:val="es-ES_tradnl"/>
        </w:rPr>
        <w:t>de las inversiones</w:t>
      </w:r>
      <w:r w:rsidR="00217844" w:rsidRPr="00BF6B9C">
        <w:rPr>
          <w:rFonts w:ascii="Bookman Old Style" w:hAnsi="Bookman Old Style" w:cs="Arial"/>
          <w:bCs/>
          <w:lang w:val="es-ES_tradnl"/>
        </w:rPr>
        <w:t xml:space="preserve"> y de los gastos de AOM para una demanda real o futura</w:t>
      </w:r>
      <w:r w:rsidR="00980272" w:rsidRPr="00BF6B9C">
        <w:rPr>
          <w:rFonts w:ascii="Bookman Old Style" w:hAnsi="Bookman Old Style" w:cs="Arial"/>
          <w:bCs/>
          <w:lang w:val="es-ES_tradnl"/>
        </w:rPr>
        <w:t>,</w:t>
      </w:r>
      <w:r w:rsidRPr="00BF6B9C">
        <w:rPr>
          <w:rFonts w:ascii="Bookman Old Style" w:hAnsi="Bookman Old Style" w:cs="Arial"/>
          <w:bCs/>
          <w:lang w:val="es-ES_tradnl"/>
        </w:rPr>
        <w:t xml:space="preserve"> </w:t>
      </w:r>
      <w:r w:rsidR="00217844" w:rsidRPr="00BF6B9C">
        <w:rPr>
          <w:rFonts w:ascii="Bookman Old Style" w:hAnsi="Bookman Old Style" w:cs="Arial"/>
          <w:bCs/>
          <w:lang w:val="es-ES_tradnl"/>
        </w:rPr>
        <w:t xml:space="preserve">esto </w:t>
      </w:r>
      <w:r w:rsidRPr="00BF6B9C">
        <w:rPr>
          <w:rFonts w:ascii="Bookman Old Style" w:hAnsi="Bookman Old Style" w:cs="Arial"/>
          <w:bCs/>
          <w:lang w:val="es-ES_tradnl"/>
        </w:rPr>
        <w:t>por un periodo tarifario</w:t>
      </w:r>
      <w:r w:rsidR="00980272" w:rsidRPr="00BF6B9C">
        <w:rPr>
          <w:rFonts w:ascii="Bookman Old Style" w:hAnsi="Bookman Old Style" w:cs="Arial"/>
          <w:bCs/>
          <w:lang w:val="es-ES_tradnl"/>
        </w:rPr>
        <w:t>,</w:t>
      </w:r>
      <w:r w:rsidRPr="00BF6B9C">
        <w:rPr>
          <w:rFonts w:ascii="Bookman Old Style" w:hAnsi="Bookman Old Style" w:cs="Arial"/>
          <w:bCs/>
          <w:lang w:val="es-ES_tradnl"/>
        </w:rPr>
        <w:t xml:space="preserve"> y el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 </w:t>
      </w:r>
    </w:p>
    <w:p w:rsidR="00A16BA2" w:rsidRPr="00BF6B9C" w:rsidRDefault="00A16BA2" w:rsidP="00A16BA2">
      <w:pPr>
        <w:ind w:left="0" w:right="-93"/>
        <w:jc w:val="both"/>
        <w:rPr>
          <w:rFonts w:ascii="Bookman Old Style" w:hAnsi="Bookman Old Style" w:cs="Arial"/>
          <w:bCs/>
          <w:lang w:val="es-ES_tradnl"/>
        </w:rPr>
      </w:pPr>
    </w:p>
    <w:p w:rsidR="00A16BA2" w:rsidRPr="00BF6B9C" w:rsidRDefault="00A16BA2" w:rsidP="00A16BA2">
      <w:pPr>
        <w:ind w:left="0" w:right="-93"/>
        <w:jc w:val="both"/>
        <w:rPr>
          <w:rFonts w:ascii="Bookman Old Style" w:hAnsi="Bookman Old Style" w:cs="Arial"/>
          <w:bCs/>
          <w:lang w:val="es-ES_tradnl"/>
        </w:rPr>
      </w:pPr>
      <w:r w:rsidRPr="00BF6B9C">
        <w:rPr>
          <w:rFonts w:ascii="Bookman Old Style" w:hAnsi="Bookman Old Style" w:cs="Arial"/>
          <w:bCs/>
          <w:lang w:val="es-ES_tradnl"/>
        </w:rPr>
        <w:t xml:space="preserve">De acuerdo con lo anterior, se procede a hacer un análisis de la solicitud tarifaria de la empresa de acuerdo con los elementos que hacen parte de la metodología tarifaria d la Resolución CREG 202 de 2013 a efectos de establecer el cargo </w:t>
      </w:r>
      <w:r w:rsidR="009C5B8E" w:rsidRPr="00BF6B9C">
        <w:rPr>
          <w:rFonts w:ascii="Bookman Old Style" w:hAnsi="Bookman Old Style" w:cs="Arial"/>
          <w:bCs/>
          <w:lang w:val="es-ES_tradnl"/>
        </w:rPr>
        <w:t xml:space="preserve">para el mercado relevante al cual se ha </w:t>
      </w:r>
      <w:r w:rsidRPr="00BF6B9C">
        <w:rPr>
          <w:rFonts w:ascii="Bookman Old Style" w:hAnsi="Bookman Old Style" w:cs="Arial"/>
          <w:bCs/>
          <w:lang w:val="es-ES_tradnl"/>
        </w:rPr>
        <w:t>solicitado</w:t>
      </w:r>
      <w:r w:rsidR="009C5B8E" w:rsidRPr="00BF6B9C">
        <w:rPr>
          <w:rFonts w:ascii="Bookman Old Style" w:hAnsi="Bookman Old Style" w:cs="Arial"/>
          <w:bCs/>
          <w:lang w:val="es-ES_tradnl"/>
        </w:rPr>
        <w:t xml:space="preserve"> los cargos de distribución</w:t>
      </w:r>
      <w:r w:rsidRPr="00BF6B9C">
        <w:rPr>
          <w:rFonts w:ascii="Bookman Old Style" w:hAnsi="Bookman Old Style" w:cs="Arial"/>
          <w:bCs/>
          <w:lang w:val="es-ES_tradnl"/>
        </w:rPr>
        <w:t>:</w:t>
      </w:r>
    </w:p>
    <w:p w:rsidR="00831A1E" w:rsidRPr="00BF6B9C" w:rsidRDefault="00831A1E" w:rsidP="00F36B65">
      <w:pPr>
        <w:spacing w:after="200" w:line="276" w:lineRule="auto"/>
        <w:ind w:left="0" w:right="-93"/>
        <w:contextualSpacing/>
        <w:jc w:val="both"/>
        <w:rPr>
          <w:rFonts w:ascii="Bookman Old Style" w:eastAsia="Calibri" w:hAnsi="Bookman Old Style" w:cs="Arial"/>
          <w:b/>
          <w:lang w:val="es-CO" w:eastAsia="en-US"/>
        </w:rPr>
      </w:pPr>
    </w:p>
    <w:p w:rsidR="004D0BC0" w:rsidRPr="00BF6B9C" w:rsidRDefault="008800C1" w:rsidP="00F36B65">
      <w:pPr>
        <w:spacing w:after="200" w:line="276" w:lineRule="auto"/>
        <w:ind w:left="0" w:right="-93"/>
        <w:contextualSpacing/>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4D0BC0" w:rsidRPr="00BF6B9C">
        <w:rPr>
          <w:rFonts w:ascii="Bookman Old Style" w:eastAsia="Calibri" w:hAnsi="Bookman Old Style" w:cs="Arial"/>
          <w:b/>
          <w:lang w:val="es-CO" w:eastAsia="en-US"/>
        </w:rPr>
        <w:t xml:space="preserve">.1. </w:t>
      </w:r>
      <w:r w:rsidR="00AF577E" w:rsidRPr="00BF6B9C">
        <w:rPr>
          <w:rFonts w:ascii="Bookman Old Style" w:eastAsia="Calibri" w:hAnsi="Bookman Old Style" w:cs="Arial"/>
          <w:b/>
          <w:lang w:val="es-CO" w:eastAsia="en-US"/>
        </w:rPr>
        <w:t xml:space="preserve">Nuevo </w:t>
      </w:r>
      <w:r w:rsidR="004D0BC0" w:rsidRPr="00BF6B9C">
        <w:rPr>
          <w:rFonts w:ascii="Bookman Old Style" w:eastAsia="Calibri" w:hAnsi="Bookman Old Style" w:cs="Arial"/>
          <w:b/>
          <w:lang w:val="es-CO" w:eastAsia="en-US"/>
        </w:rPr>
        <w:t xml:space="preserve">Mercado relevante de distribución para el siguiente periodo </w:t>
      </w:r>
      <w:r w:rsidR="00956824" w:rsidRPr="00BF6B9C">
        <w:rPr>
          <w:rFonts w:ascii="Bookman Old Style" w:eastAsia="Calibri" w:hAnsi="Bookman Old Style" w:cs="Arial"/>
          <w:b/>
          <w:lang w:val="es-CO" w:eastAsia="en-US"/>
        </w:rPr>
        <w:t>tarifario</w:t>
      </w:r>
    </w:p>
    <w:p w:rsidR="00847443" w:rsidRPr="00BF6B9C" w:rsidRDefault="00847443" w:rsidP="00F36B65">
      <w:pPr>
        <w:spacing w:after="200" w:line="276" w:lineRule="auto"/>
        <w:ind w:left="0" w:right="-93"/>
        <w:contextualSpacing/>
        <w:jc w:val="both"/>
        <w:rPr>
          <w:rFonts w:ascii="Bookman Old Style" w:eastAsia="Calibri" w:hAnsi="Bookman Old Style" w:cs="Arial"/>
          <w:b/>
          <w:lang w:val="es-CO" w:eastAsia="en-US"/>
        </w:rPr>
      </w:pPr>
    </w:p>
    <w:p w:rsidR="00956824" w:rsidRPr="00BF6B9C" w:rsidRDefault="007C2022" w:rsidP="00956824">
      <w:pPr>
        <w:spacing w:after="200"/>
        <w:ind w:left="0"/>
        <w:jc w:val="both"/>
        <w:rPr>
          <w:rFonts w:ascii="Bookman Old Style" w:hAnsi="Bookman Old Style"/>
          <w:bCs/>
          <w:lang w:val="es-ES_tradnl"/>
        </w:rPr>
      </w:pPr>
      <w:r w:rsidRPr="00BF6B9C">
        <w:rPr>
          <w:rFonts w:ascii="Bookman Old Style" w:eastAsia="Calibri" w:hAnsi="Bookman Old Style" w:cs="Arial"/>
          <w:lang w:val="es-CO" w:eastAsia="en-US"/>
        </w:rPr>
        <w:t xml:space="preserve">La Resolución CREG 202 de 2013 determina </w:t>
      </w:r>
      <w:r w:rsidR="00AF577E" w:rsidRPr="00BF6B9C">
        <w:rPr>
          <w:rFonts w:ascii="Bookman Old Style" w:eastAsia="Calibri" w:hAnsi="Bookman Old Style" w:cs="Arial"/>
          <w:lang w:val="es-CO" w:eastAsia="en-US"/>
        </w:rPr>
        <w:t xml:space="preserve">como criterios para la conformación de </w:t>
      </w:r>
      <w:r w:rsidR="00956824" w:rsidRPr="00BF6B9C">
        <w:rPr>
          <w:rFonts w:ascii="Bookman Old Style" w:eastAsia="Calibri" w:hAnsi="Bookman Old Style" w:cs="Arial"/>
          <w:lang w:val="es-CO" w:eastAsia="en-US"/>
        </w:rPr>
        <w:t xml:space="preserve">Mercado Relevante de Distribución para el </w:t>
      </w:r>
      <w:r w:rsidR="0073055C" w:rsidRPr="00BF6B9C">
        <w:rPr>
          <w:rFonts w:ascii="Bookman Old Style" w:eastAsia="Calibri" w:hAnsi="Bookman Old Style" w:cs="Arial"/>
          <w:lang w:val="es-CO" w:eastAsia="en-US"/>
        </w:rPr>
        <w:t>siguiente período tarifario</w:t>
      </w:r>
      <w:r w:rsidR="00AF577E" w:rsidRPr="00BF6B9C">
        <w:rPr>
          <w:rFonts w:ascii="Bookman Old Style" w:eastAsia="Calibri" w:hAnsi="Bookman Old Style" w:cs="Arial"/>
          <w:lang w:val="es-CO" w:eastAsia="en-US"/>
        </w:rPr>
        <w:t>, la creación de Nuevos Mercados de Distribución</w:t>
      </w:r>
      <w:r w:rsidR="00956824" w:rsidRPr="00BF6B9C">
        <w:rPr>
          <w:rFonts w:ascii="Bookman Old Style" w:eastAsia="Calibri" w:hAnsi="Bookman Old Style" w:cs="Arial"/>
          <w:lang w:val="es-CO" w:eastAsia="en-US"/>
        </w:rPr>
        <w:t xml:space="preserve">. Así mismo, se podrá constituir </w:t>
      </w:r>
      <w:r w:rsidR="00956824" w:rsidRPr="00BF6B9C">
        <w:rPr>
          <w:rFonts w:ascii="Bookman Old Style" w:hAnsi="Bookman Old Style"/>
          <w:bCs/>
          <w:lang w:val="es-ES_tradnl"/>
        </w:rPr>
        <w:t xml:space="preserve">un (v) </w:t>
      </w:r>
      <w:r w:rsidR="009C5B8E" w:rsidRPr="00BF6B9C">
        <w:rPr>
          <w:rFonts w:ascii="Bookman Old Style" w:hAnsi="Bookman Old Style"/>
          <w:bCs/>
          <w:lang w:val="es-ES_tradnl"/>
        </w:rPr>
        <w:t>mercado relevante de distribución especial</w:t>
      </w:r>
      <w:r w:rsidR="00956824" w:rsidRPr="00BF6B9C">
        <w:rPr>
          <w:rFonts w:ascii="Bookman Old Style" w:hAnsi="Bookman Old Style"/>
          <w:bCs/>
          <w:lang w:val="es-ES_tradnl"/>
        </w:rPr>
        <w:t xml:space="preserve">, para corregimientos, caseríos o inspecciones de policía, que forman parte de municipios que se encuentran conformando </w:t>
      </w:r>
      <w:r w:rsidR="009C5B8E" w:rsidRPr="00BF6B9C">
        <w:rPr>
          <w:rFonts w:ascii="Bookman Old Style" w:hAnsi="Bookman Old Style"/>
          <w:bCs/>
          <w:lang w:val="es-ES_tradnl"/>
        </w:rPr>
        <w:t xml:space="preserve">mercados relevantes existentes </w:t>
      </w:r>
      <w:r w:rsidR="00956824" w:rsidRPr="00BF6B9C">
        <w:rPr>
          <w:rFonts w:ascii="Bookman Old Style" w:hAnsi="Bookman Old Style"/>
          <w:bCs/>
          <w:lang w:val="es-ES_tradnl"/>
        </w:rPr>
        <w:t>siempre y cuando se cumplan con las condiciones  establecidas en la resolución CREG 202 de 2013 para estos.</w:t>
      </w:r>
    </w:p>
    <w:p w:rsidR="00956824" w:rsidRPr="00BF6B9C" w:rsidRDefault="00956824" w:rsidP="00956824">
      <w:pPr>
        <w:ind w:left="0"/>
        <w:jc w:val="both"/>
        <w:rPr>
          <w:rFonts w:ascii="Bookman Old Style" w:hAnsi="Bookman Old Style"/>
          <w:lang w:val="es-ES_tradnl"/>
        </w:rPr>
      </w:pPr>
      <w:r w:rsidRPr="00BF6B9C">
        <w:rPr>
          <w:rFonts w:ascii="Bookman Old Style" w:hAnsi="Bookman Old Style"/>
          <w:lang w:val="es-ES_tradnl"/>
        </w:rPr>
        <w:t>E</w:t>
      </w:r>
      <w:r w:rsidR="007C2022" w:rsidRPr="00BF6B9C">
        <w:rPr>
          <w:rFonts w:ascii="Bookman Old Style" w:hAnsi="Bookman Old Style"/>
          <w:lang w:val="es-ES_tradnl"/>
        </w:rPr>
        <w:t>n este sentido e</w:t>
      </w:r>
      <w:r w:rsidRPr="00BF6B9C">
        <w:rPr>
          <w:rFonts w:ascii="Bookman Old Style" w:hAnsi="Bookman Old Style"/>
          <w:lang w:val="es-ES_tradnl"/>
        </w:rPr>
        <w:t xml:space="preserve">l Mercado Relevante de Distribución para el </w:t>
      </w:r>
      <w:r w:rsidR="00E13617" w:rsidRPr="00BF6B9C">
        <w:rPr>
          <w:rFonts w:ascii="Bookman Old Style" w:hAnsi="Bookman Old Style"/>
          <w:lang w:val="es-ES_tradnl"/>
        </w:rPr>
        <w:t>siguiente período tarifario</w:t>
      </w:r>
      <w:r w:rsidRPr="00BF6B9C">
        <w:rPr>
          <w:rFonts w:ascii="Bookman Old Style" w:hAnsi="Bookman Old Style"/>
          <w:lang w:val="es-ES_tradnl"/>
        </w:rPr>
        <w:t xml:space="preserve">  solicitado por la empresa </w:t>
      </w:r>
      <w:r w:rsidR="006D2B6B" w:rsidRPr="00BF6B9C">
        <w:rPr>
          <w:rFonts w:ascii="Bookman Old Style" w:hAnsi="Bookman Old Style"/>
          <w:lang w:val="es-ES_tradnl"/>
        </w:rPr>
        <w:t>PROMOTORA DE SERVICIOS PÚBLICOS</w:t>
      </w:r>
      <w:r w:rsidRPr="00BF6B9C">
        <w:rPr>
          <w:rFonts w:ascii="Bookman Old Style" w:hAnsi="Bookman Old Style"/>
          <w:lang w:val="es-ES_tradnl"/>
        </w:rPr>
        <w:t xml:space="preserve"> S.A. E.S.P. </w:t>
      </w:r>
      <w:r w:rsidR="00357DAB" w:rsidRPr="00BF6B9C">
        <w:rPr>
          <w:rFonts w:ascii="Bookman Old Style" w:hAnsi="Bookman Old Style"/>
          <w:lang w:val="es-ES_tradnl"/>
        </w:rPr>
        <w:t>está</w:t>
      </w:r>
      <w:r w:rsidRPr="00BF6B9C">
        <w:rPr>
          <w:rFonts w:ascii="Bookman Old Style" w:hAnsi="Bookman Old Style"/>
          <w:lang w:val="es-ES_tradnl"/>
        </w:rPr>
        <w:t xml:space="preserve"> conformado por </w:t>
      </w:r>
      <w:r w:rsidR="00AC2AA3" w:rsidRPr="00BF6B9C">
        <w:rPr>
          <w:rFonts w:ascii="Bookman Old Style" w:hAnsi="Bookman Old Style"/>
          <w:lang w:val="es-ES_tradnl"/>
        </w:rPr>
        <w:t xml:space="preserve"> los siguientes municipios</w:t>
      </w:r>
      <w:r w:rsidRPr="00BF6B9C">
        <w:rPr>
          <w:rFonts w:ascii="Bookman Old Style" w:hAnsi="Bookman Old Style"/>
          <w:lang w:val="es-ES_tradnl"/>
        </w:rPr>
        <w:t>:</w:t>
      </w:r>
    </w:p>
    <w:p w:rsidR="00956824" w:rsidRPr="00BF6B9C" w:rsidRDefault="00956824" w:rsidP="00956824">
      <w:pPr>
        <w:ind w:left="0"/>
        <w:jc w:val="center"/>
        <w:rPr>
          <w:rFonts w:ascii="Arial" w:eastAsia="MS Mincho" w:hAnsi="Arial" w:cs="Arial"/>
          <w:b/>
          <w:lang w:val="es-ES_tradnl" w:eastAsia="en-US"/>
        </w:rPr>
      </w:pP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3874"/>
        <w:gridCol w:w="2997"/>
      </w:tblGrid>
      <w:tr w:rsidR="00A657D1" w:rsidRPr="00BF6B9C" w:rsidTr="00414B26">
        <w:tc>
          <w:tcPr>
            <w:tcW w:w="2367" w:type="dxa"/>
            <w:tcBorders>
              <w:top w:val="single" w:sz="4" w:space="0" w:color="auto"/>
              <w:left w:val="single" w:sz="4" w:space="0" w:color="auto"/>
              <w:bottom w:val="single" w:sz="4" w:space="0" w:color="auto"/>
              <w:right w:val="single" w:sz="4" w:space="0" w:color="auto"/>
            </w:tcBorders>
            <w:shd w:val="clear" w:color="auto" w:fill="BFBFBF"/>
            <w:hideMark/>
          </w:tcPr>
          <w:p w:rsidR="00A657D1" w:rsidRPr="00BF6B9C" w:rsidRDefault="00A657D1" w:rsidP="0010512E">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CODIGO DANE DEL MUNICIPIO</w:t>
            </w:r>
          </w:p>
        </w:tc>
        <w:tc>
          <w:tcPr>
            <w:tcW w:w="3874" w:type="dxa"/>
            <w:tcBorders>
              <w:top w:val="single" w:sz="4" w:space="0" w:color="auto"/>
              <w:left w:val="single" w:sz="4" w:space="0" w:color="auto"/>
              <w:bottom w:val="single" w:sz="4" w:space="0" w:color="auto"/>
              <w:right w:val="single" w:sz="4" w:space="0" w:color="auto"/>
            </w:tcBorders>
            <w:shd w:val="clear" w:color="auto" w:fill="BFBFBF"/>
            <w:hideMark/>
          </w:tcPr>
          <w:p w:rsidR="00A657D1" w:rsidRPr="00BF6B9C" w:rsidRDefault="00A657D1" w:rsidP="0010512E">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MUNICIPIO</w:t>
            </w:r>
          </w:p>
        </w:tc>
        <w:tc>
          <w:tcPr>
            <w:tcW w:w="2997" w:type="dxa"/>
            <w:tcBorders>
              <w:top w:val="single" w:sz="4" w:space="0" w:color="auto"/>
              <w:left w:val="single" w:sz="4" w:space="0" w:color="auto"/>
              <w:bottom w:val="single" w:sz="4" w:space="0" w:color="auto"/>
              <w:right w:val="single" w:sz="4" w:space="0" w:color="auto"/>
            </w:tcBorders>
            <w:shd w:val="clear" w:color="auto" w:fill="BFBFBF"/>
            <w:hideMark/>
          </w:tcPr>
          <w:p w:rsidR="00A657D1" w:rsidRPr="00BF6B9C" w:rsidRDefault="00A657D1" w:rsidP="0010512E">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DEPARTAMENTO</w:t>
            </w:r>
          </w:p>
        </w:tc>
      </w:tr>
      <w:tr w:rsidR="00A657D1" w:rsidRPr="00BF6B9C" w:rsidTr="00414B26">
        <w:tc>
          <w:tcPr>
            <w:tcW w:w="2367" w:type="dxa"/>
            <w:tcBorders>
              <w:top w:val="single" w:sz="4" w:space="0" w:color="auto"/>
              <w:left w:val="single" w:sz="4" w:space="0" w:color="auto"/>
              <w:bottom w:val="single" w:sz="4" w:space="0" w:color="auto"/>
              <w:right w:val="single" w:sz="4" w:space="0" w:color="auto"/>
            </w:tcBorders>
            <w:shd w:val="clear" w:color="auto" w:fill="auto"/>
          </w:tcPr>
          <w:p w:rsidR="00A657D1" w:rsidRPr="00BF6B9C" w:rsidRDefault="00A657D1" w:rsidP="0010512E">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54128</w:t>
            </w:r>
          </w:p>
        </w:tc>
        <w:tc>
          <w:tcPr>
            <w:tcW w:w="3874" w:type="dxa"/>
            <w:tcBorders>
              <w:top w:val="single" w:sz="4" w:space="0" w:color="auto"/>
              <w:left w:val="single" w:sz="4" w:space="0" w:color="auto"/>
              <w:bottom w:val="single" w:sz="4" w:space="0" w:color="auto"/>
              <w:right w:val="single" w:sz="4" w:space="0" w:color="auto"/>
            </w:tcBorders>
            <w:shd w:val="clear" w:color="auto" w:fill="auto"/>
          </w:tcPr>
          <w:p w:rsidR="00A657D1" w:rsidRPr="00BF6B9C" w:rsidRDefault="00A657D1" w:rsidP="0010512E">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Cáchira</w:t>
            </w:r>
          </w:p>
        </w:tc>
        <w:tc>
          <w:tcPr>
            <w:tcW w:w="2997" w:type="dxa"/>
            <w:tcBorders>
              <w:top w:val="single" w:sz="4" w:space="0" w:color="auto"/>
              <w:left w:val="single" w:sz="4" w:space="0" w:color="auto"/>
              <w:bottom w:val="single" w:sz="4" w:space="0" w:color="auto"/>
              <w:right w:val="single" w:sz="4" w:space="0" w:color="auto"/>
            </w:tcBorders>
            <w:shd w:val="clear" w:color="auto" w:fill="auto"/>
          </w:tcPr>
          <w:p w:rsidR="00A657D1" w:rsidRPr="00BF6B9C" w:rsidRDefault="00A657D1" w:rsidP="0010512E">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Norte de Santander</w:t>
            </w:r>
          </w:p>
        </w:tc>
      </w:tr>
    </w:tbl>
    <w:p w:rsidR="00AC2AA3" w:rsidRPr="00BF6B9C" w:rsidRDefault="00AC2AA3" w:rsidP="00F36B65">
      <w:pPr>
        <w:spacing w:after="200" w:line="276" w:lineRule="auto"/>
        <w:ind w:left="0" w:right="-93"/>
        <w:contextualSpacing/>
        <w:jc w:val="both"/>
        <w:rPr>
          <w:rFonts w:ascii="Bookman Old Style" w:eastAsia="Calibri" w:hAnsi="Bookman Old Style" w:cs="Arial"/>
          <w:lang w:val="es-ES_tradnl" w:eastAsia="en-US"/>
        </w:rPr>
      </w:pPr>
    </w:p>
    <w:p w:rsidR="00886F37" w:rsidRPr="00BF6B9C" w:rsidRDefault="008800C1" w:rsidP="00886F37">
      <w:pPr>
        <w:ind w:left="0" w:right="-93"/>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886F37" w:rsidRPr="00BF6B9C">
        <w:rPr>
          <w:rFonts w:ascii="Bookman Old Style" w:eastAsia="Calibri" w:hAnsi="Bookman Old Style" w:cs="Arial"/>
          <w:b/>
          <w:lang w:val="es-CO" w:eastAsia="en-US"/>
        </w:rPr>
        <w:t>.2.  Gastos de administración, operación y mantenimiento - AOM</w:t>
      </w:r>
    </w:p>
    <w:p w:rsidR="00886F37" w:rsidRPr="00BF6B9C" w:rsidRDefault="00886F37" w:rsidP="00886F37">
      <w:pPr>
        <w:ind w:left="0" w:right="-93"/>
        <w:jc w:val="both"/>
        <w:rPr>
          <w:rFonts w:ascii="Bookman Old Style" w:eastAsia="Calibri" w:hAnsi="Bookman Old Style" w:cs="Arial"/>
          <w:lang w:val="es-CO" w:eastAsia="en-US"/>
        </w:rPr>
      </w:pPr>
    </w:p>
    <w:p w:rsidR="00886F37" w:rsidRPr="00BF6B9C" w:rsidRDefault="00886F37" w:rsidP="00B565E2">
      <w:pPr>
        <w:ind w:left="0" w:right="-91"/>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BF6B9C">
        <w:rPr>
          <w:rFonts w:ascii="Bookman Old Style" w:eastAsia="Calibri" w:hAnsi="Bookman Old Style"/>
          <w:lang w:val="es-CO" w:eastAsia="en-US"/>
        </w:rPr>
        <w:t xml:space="preserve"> “</w:t>
      </w:r>
      <w:r w:rsidRPr="00BF6B9C">
        <w:rPr>
          <w:rFonts w:ascii="Bookman Old Style" w:eastAsia="Calibri" w:hAnsi="Bookman Old Style" w:cs="Arial"/>
          <w:lang w:val="es-CO" w:eastAsia="en-US"/>
        </w:rPr>
        <w:t xml:space="preserve">los gastos de administración, operación y mantenimiento (AOM) de cada mercado se determinarán con base en la metodología Frontera Estocástica que se describe en el </w:t>
      </w:r>
      <w:r w:rsidR="00E13617" w:rsidRPr="00BF6B9C">
        <w:rPr>
          <w:rFonts w:ascii="Bookman Old Style" w:eastAsia="Calibri" w:hAnsi="Bookman Old Style" w:cs="Arial"/>
          <w:lang w:val="es-CO" w:eastAsia="en-US"/>
        </w:rPr>
        <w:t xml:space="preserve">Anexo </w:t>
      </w:r>
      <w:r w:rsidRPr="00BF6B9C">
        <w:rPr>
          <w:rFonts w:ascii="Bookman Old Style" w:eastAsia="Calibri" w:hAnsi="Bookman Old Style" w:cs="Arial"/>
          <w:lang w:val="es-CO" w:eastAsia="en-US"/>
        </w:rPr>
        <w:t>10 de la presente resolución”</w:t>
      </w:r>
      <w:r w:rsidR="00E13617" w:rsidRPr="00BF6B9C">
        <w:rPr>
          <w:rFonts w:ascii="Bookman Old Style" w:eastAsia="Calibri" w:hAnsi="Bookman Old Style" w:cs="Arial"/>
          <w:lang w:val="es-CO" w:eastAsia="en-US"/>
        </w:rPr>
        <w:t>. En dicho Anexo</w:t>
      </w:r>
      <w:r w:rsidRPr="00BF6B9C">
        <w:rPr>
          <w:rFonts w:ascii="Bookman Old Style" w:eastAsia="Calibri" w:hAnsi="Bookman Old Style" w:cs="Arial"/>
          <w:lang w:val="es-CO" w:eastAsia="en-US"/>
        </w:rPr>
        <w:t xml:space="preserve"> se dispuso que “para establecer los gastos eficientes de Administración, Operación y Mantenimiento que se remunerarán en los </w:t>
      </w:r>
      <w:r w:rsidR="00E13617" w:rsidRPr="00BF6B9C">
        <w:rPr>
          <w:rFonts w:ascii="Bookman Old Style" w:eastAsia="Calibri" w:hAnsi="Bookman Old Style" w:cs="Arial"/>
          <w:lang w:val="es-CO" w:eastAsia="en-US"/>
        </w:rPr>
        <w:t xml:space="preserve">cargos de distribución </w:t>
      </w:r>
      <w:r w:rsidRPr="00BF6B9C">
        <w:rPr>
          <w:rFonts w:ascii="Bookman Old Style" w:eastAsia="Calibri" w:hAnsi="Bookman Old Style" w:cs="Arial"/>
          <w:lang w:val="es-CO" w:eastAsia="en-US"/>
        </w:rPr>
        <w:t xml:space="preserve">de gas combustible, se adoptará la metodología de </w:t>
      </w:r>
      <w:r w:rsidR="00E13617" w:rsidRPr="00BF6B9C">
        <w:rPr>
          <w:rFonts w:ascii="Bookman Old Style" w:eastAsia="Calibri" w:hAnsi="Bookman Old Style" w:cs="Arial"/>
          <w:lang w:val="es-CO" w:eastAsia="en-US"/>
        </w:rPr>
        <w:t>frontera estocástica de costos</w:t>
      </w:r>
      <w:r w:rsidRPr="00BF6B9C">
        <w:rPr>
          <w:rFonts w:ascii="Bookman Old Style" w:eastAsia="Calibri" w:hAnsi="Bookman Old Style" w:cs="Arial"/>
          <w:lang w:val="es-CO" w:eastAsia="en-US"/>
        </w:rPr>
        <w:t xml:space="preserve"> y se aplicará de acuerdo con la conformación de los </w:t>
      </w:r>
      <w:r w:rsidR="00E13617" w:rsidRPr="00BF6B9C">
        <w:rPr>
          <w:rFonts w:ascii="Bookman Old Style" w:eastAsia="Calibri" w:hAnsi="Bookman Old Style" w:cs="Arial"/>
          <w:lang w:val="es-CO" w:eastAsia="en-US"/>
        </w:rPr>
        <w:t xml:space="preserve">mercado(s) relevante(s) </w:t>
      </w:r>
      <w:r w:rsidRPr="00BF6B9C">
        <w:rPr>
          <w:rFonts w:ascii="Bookman Old Style" w:eastAsia="Calibri" w:hAnsi="Bookman Old Style" w:cs="Arial"/>
          <w:lang w:val="es-CO" w:eastAsia="en-US"/>
        </w:rPr>
        <w:t xml:space="preserve">de </w:t>
      </w:r>
      <w:r w:rsidR="00E13617" w:rsidRPr="00BF6B9C">
        <w:rPr>
          <w:rFonts w:ascii="Bookman Old Style" w:eastAsia="Calibri" w:hAnsi="Bookman Old Style" w:cs="Arial"/>
          <w:lang w:val="es-CO" w:eastAsia="en-US"/>
        </w:rPr>
        <w:t xml:space="preserve">distribución </w:t>
      </w:r>
      <w:r w:rsidRPr="00BF6B9C">
        <w:rPr>
          <w:rFonts w:ascii="Bookman Old Style" w:eastAsia="Calibri" w:hAnsi="Bookman Old Style" w:cs="Arial"/>
          <w:lang w:val="es-CO" w:eastAsia="en-US"/>
        </w:rPr>
        <w:t xml:space="preserve">para el </w:t>
      </w:r>
      <w:r w:rsidR="00E13617" w:rsidRPr="00BF6B9C">
        <w:rPr>
          <w:rFonts w:ascii="Bookman Old Style" w:eastAsia="Calibri" w:hAnsi="Bookman Old Style" w:cs="Arial"/>
          <w:lang w:val="es-CO" w:eastAsia="en-US"/>
        </w:rPr>
        <w:t>siguiente periodo tarifario</w:t>
      </w:r>
      <w:r w:rsidRPr="00BF6B9C">
        <w:rPr>
          <w:rFonts w:ascii="Bookman Old Style" w:eastAsia="Calibri" w:hAnsi="Bookman Old Style" w:cs="Arial"/>
          <w:lang w:val="es-CO" w:eastAsia="en-US"/>
        </w:rPr>
        <w:t>” para lo cual en los numerales 4. 5 y 6 de dicho anexo 10 esta Comisión dispuso que:</w:t>
      </w:r>
    </w:p>
    <w:p w:rsidR="00886F37" w:rsidRPr="00BF6B9C" w:rsidRDefault="00886F37" w:rsidP="00886F37">
      <w:pPr>
        <w:ind w:left="0" w:right="-93"/>
        <w:jc w:val="both"/>
        <w:rPr>
          <w:rFonts w:ascii="Bookman Old Style" w:eastAsia="Calibri" w:hAnsi="Bookman Old Style" w:cs="Arial"/>
          <w:lang w:val="es-CO" w:eastAsia="en-US"/>
        </w:rPr>
      </w:pPr>
    </w:p>
    <w:p w:rsidR="00886F37" w:rsidRPr="00BF6B9C" w:rsidRDefault="00886F37" w:rsidP="00886F37">
      <w:pPr>
        <w:ind w:left="284" w:right="284"/>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“4.</w:t>
      </w:r>
      <w:r w:rsidRPr="00BF6B9C">
        <w:rPr>
          <w:rFonts w:ascii="Bookman Old Style" w:eastAsia="Calibri" w:hAnsi="Bookman Old Style" w:cs="Arial"/>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rsidR="00886F37" w:rsidRPr="00BF6B9C" w:rsidRDefault="00886F37" w:rsidP="00886F37">
      <w:pPr>
        <w:ind w:left="284" w:right="284"/>
        <w:jc w:val="both"/>
        <w:rPr>
          <w:rFonts w:ascii="Bookman Old Style" w:eastAsia="Calibri" w:hAnsi="Bookman Old Style" w:cs="Arial"/>
          <w:lang w:val="es-CO" w:eastAsia="en-US"/>
        </w:rPr>
      </w:pPr>
    </w:p>
    <w:p w:rsidR="00886F37" w:rsidRPr="00BF6B9C" w:rsidRDefault="00886F37" w:rsidP="00886F37">
      <w:pPr>
        <w:ind w:left="284" w:right="284"/>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5.</w:t>
      </w:r>
      <w:r w:rsidRPr="00BF6B9C">
        <w:rPr>
          <w:rFonts w:ascii="Bookman Old Style" w:eastAsia="Calibri" w:hAnsi="Bookman Old Style" w:cs="Arial"/>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rsidR="00886F37" w:rsidRPr="00BF6B9C" w:rsidRDefault="00886F37" w:rsidP="00886F37">
      <w:pPr>
        <w:ind w:left="284" w:right="284"/>
        <w:jc w:val="both"/>
        <w:rPr>
          <w:rFonts w:ascii="Bookman Old Style" w:eastAsia="Calibri" w:hAnsi="Bookman Old Style" w:cs="Arial"/>
          <w:lang w:val="es-CO" w:eastAsia="en-US"/>
        </w:rPr>
      </w:pPr>
    </w:p>
    <w:p w:rsidR="00886F37" w:rsidRPr="00BF6B9C" w:rsidRDefault="00886F37" w:rsidP="00886F37">
      <w:pPr>
        <w:ind w:left="284" w:right="284"/>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6.</w:t>
      </w:r>
      <w:r w:rsidRPr="00BF6B9C">
        <w:rPr>
          <w:rFonts w:ascii="Bookman Old Style" w:eastAsia="Calibri" w:hAnsi="Bookman Old Style" w:cs="Arial"/>
          <w:lang w:val="es-CO" w:eastAsia="en-US"/>
        </w:rPr>
        <w:tab/>
        <w:t>Conforme la función seleccionada se asignará a cada una de las empresas un AOM estimado.”</w:t>
      </w:r>
    </w:p>
    <w:p w:rsidR="00886F37" w:rsidRPr="00BF6B9C" w:rsidRDefault="00886F37" w:rsidP="00886F37">
      <w:pPr>
        <w:ind w:left="0" w:right="-93"/>
        <w:jc w:val="both"/>
        <w:rPr>
          <w:rFonts w:ascii="Bookman Old Style" w:eastAsia="Calibri" w:hAnsi="Bookman Old Style" w:cs="Arial"/>
          <w:lang w:val="es-CO" w:eastAsia="en-US"/>
        </w:rPr>
      </w:pPr>
    </w:p>
    <w:p w:rsidR="00886F37" w:rsidRPr="00BF6B9C" w:rsidRDefault="00886F37" w:rsidP="00886F37">
      <w:pPr>
        <w:ind w:left="0" w:right="-93"/>
        <w:jc w:val="both"/>
        <w:rPr>
          <w:rFonts w:ascii="Bookman Old Style" w:hAnsi="Bookman Old Style" w:cs="Arial"/>
          <w:bCs/>
        </w:rPr>
      </w:pPr>
      <w:r w:rsidRPr="00BF6B9C">
        <w:rPr>
          <w:rFonts w:ascii="Bookman Old Style" w:hAnsi="Bookman Old Style" w:cs="Arial"/>
          <w:bCs/>
        </w:rPr>
        <w:t>Para estos efectos se expidió la Circular CREG 105 de 2015 en la cual se publicó el documento CREG No.</w:t>
      </w:r>
      <w:r w:rsidR="004B0488" w:rsidRPr="00BF6B9C">
        <w:rPr>
          <w:rFonts w:ascii="Bookman Old Style" w:hAnsi="Bookman Old Style" w:cs="Arial"/>
          <w:bCs/>
        </w:rPr>
        <w:t xml:space="preserve"> </w:t>
      </w:r>
      <w:r w:rsidRPr="00BF6B9C">
        <w:rPr>
          <w:rFonts w:ascii="Bookman Old Style" w:hAnsi="Bookman Old Style" w:cs="Arial"/>
          <w:bCs/>
        </w:rPr>
        <w:t xml:space="preserve">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el anexo 9 y 10 de la </w:t>
      </w:r>
      <w:r w:rsidR="00E13617" w:rsidRPr="00BF6B9C">
        <w:rPr>
          <w:rFonts w:ascii="Bookman Old Style" w:hAnsi="Bookman Old Style" w:cs="Arial"/>
          <w:bCs/>
        </w:rPr>
        <w:t>R</w:t>
      </w:r>
      <w:r w:rsidRPr="00BF6B9C">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rsidR="00886F37" w:rsidRPr="00BF6B9C" w:rsidRDefault="00886F37" w:rsidP="00886F37">
      <w:pPr>
        <w:ind w:left="0" w:right="-93"/>
        <w:jc w:val="both"/>
        <w:rPr>
          <w:rFonts w:ascii="Bookman Old Style" w:hAnsi="Bookman Old Style" w:cs="Arial"/>
          <w:bCs/>
        </w:rPr>
      </w:pPr>
    </w:p>
    <w:p w:rsidR="00AF577E" w:rsidRPr="00BF6B9C" w:rsidRDefault="00940FD7" w:rsidP="001954E9">
      <w:pPr>
        <w:ind w:left="0" w:right="-93"/>
        <w:jc w:val="both"/>
        <w:rPr>
          <w:rFonts w:ascii="Bookman Old Style" w:eastAsia="MS Mincho" w:hAnsi="Bookman Old Style" w:cs="Arial"/>
          <w:lang w:val="es-ES_tradnl" w:eastAsia="en-US"/>
        </w:rPr>
      </w:pPr>
      <w:r w:rsidRPr="00BF6B9C">
        <w:rPr>
          <w:rFonts w:ascii="Bookman Old Style" w:hAnsi="Bookman Old Style" w:cs="Arial"/>
          <w:bCs/>
        </w:rPr>
        <w:t>Ahora bien</w:t>
      </w:r>
      <w:r w:rsidR="00E13617" w:rsidRPr="00BF6B9C">
        <w:rPr>
          <w:rFonts w:ascii="Bookman Old Style" w:hAnsi="Bookman Old Style" w:cs="Arial"/>
          <w:bCs/>
        </w:rPr>
        <w:t xml:space="preserve">, </w:t>
      </w:r>
      <w:r w:rsidR="00AF577E" w:rsidRPr="00BF6B9C">
        <w:rPr>
          <w:rFonts w:ascii="Bookman Old Style" w:hAnsi="Bookman Old Style" w:cs="Arial"/>
          <w:bCs/>
        </w:rPr>
        <w:t xml:space="preserve">mediante la Resolución CREG </w:t>
      </w:r>
      <w:r w:rsidR="00601622" w:rsidRPr="00BF6B9C">
        <w:rPr>
          <w:rFonts w:ascii="Bookman Old Style" w:hAnsi="Bookman Old Style" w:cs="Arial"/>
          <w:bCs/>
        </w:rPr>
        <w:t>093 de 2016</w:t>
      </w:r>
      <w:r w:rsidR="00AF577E" w:rsidRPr="00BF6B9C">
        <w:rPr>
          <w:rFonts w:ascii="Bookman Old Style" w:hAnsi="Bookman Old Style" w:cs="Arial"/>
          <w:bCs/>
        </w:rPr>
        <w:t xml:space="preserve"> se revocó el numeral 9.7 y el Anexo 10 en donde se define el procedimiento para el establecimiento de los gastos de AOM eficientes, esto teniendo en cuenta que m</w:t>
      </w:r>
      <w:r w:rsidR="00AF577E" w:rsidRPr="00BF6B9C">
        <w:rPr>
          <w:rFonts w:ascii="Bookman Old Style" w:eastAsia="MS Mincho" w:hAnsi="Bookman Old Style" w:cs="Arial"/>
          <w:lang w:val="es-ES_tradnl" w:eastAsia="en-US"/>
        </w:rPr>
        <w:t xml:space="preserve">ediante un análisis de la información requerida a través de las solicitudes de aprobación de cargos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 y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rsidR="00AF577E" w:rsidRPr="00BF6B9C" w:rsidRDefault="00AF577E" w:rsidP="00AF577E">
      <w:pPr>
        <w:ind w:left="0"/>
        <w:jc w:val="both"/>
        <w:rPr>
          <w:rFonts w:ascii="Bookman Old Style" w:eastAsia="MS Mincho" w:hAnsi="Bookman Old Style" w:cs="Arial"/>
          <w:lang w:val="es-ES_tradnl" w:eastAsia="en-US"/>
        </w:rPr>
      </w:pPr>
    </w:p>
    <w:p w:rsidR="00886F37" w:rsidRPr="00BF6B9C" w:rsidRDefault="00886F37" w:rsidP="00886F37">
      <w:pPr>
        <w:ind w:left="0" w:right="-93"/>
        <w:jc w:val="both"/>
        <w:rPr>
          <w:rFonts w:ascii="Bookman Old Style" w:eastAsia="MS Mincho" w:hAnsi="Bookman Old Style" w:cs="Arial"/>
          <w:lang w:val="es-ES_tradnl" w:eastAsia="en-US"/>
        </w:rPr>
      </w:pPr>
      <w:r w:rsidRPr="00BF6B9C">
        <w:rPr>
          <w:rFonts w:ascii="Bookman Old Style" w:hAnsi="Bookman Old Style" w:cs="Arial"/>
          <w:bCs/>
        </w:rPr>
        <w:t>En este sentido y de acuerdo con lo expuesto,</w:t>
      </w:r>
      <w:r w:rsidR="00AF577E" w:rsidRPr="00BF6B9C">
        <w:rPr>
          <w:rFonts w:ascii="Bookman Old Style" w:hAnsi="Bookman Old Style" w:cs="Arial"/>
          <w:bCs/>
        </w:rPr>
        <w:t xml:space="preserve"> para establecer los cargos en Nuevos Mercados de Distribución</w:t>
      </w:r>
      <w:r w:rsidRPr="00BF6B9C">
        <w:rPr>
          <w:rFonts w:ascii="Bookman Old Style" w:hAnsi="Bookman Old Style" w:cs="Arial"/>
          <w:bCs/>
        </w:rPr>
        <w:t xml:space="preserve"> </w:t>
      </w:r>
      <w:r w:rsidR="00AF577E" w:rsidRPr="00BF6B9C">
        <w:rPr>
          <w:rFonts w:ascii="Bookman Old Style" w:hAnsi="Bookman Old Style" w:cs="Arial"/>
          <w:bCs/>
        </w:rPr>
        <w:t xml:space="preserve">de </w:t>
      </w:r>
      <w:r w:rsidRPr="00BF6B9C">
        <w:rPr>
          <w:rFonts w:ascii="Bookman Old Style" w:hAnsi="Bookman Old Style" w:cs="Arial"/>
          <w:bCs/>
        </w:rPr>
        <w:t xml:space="preserve">las solicitudes tarifarias </w:t>
      </w:r>
      <w:r w:rsidR="00AF577E" w:rsidRPr="00BF6B9C">
        <w:rPr>
          <w:rFonts w:ascii="Bookman Old Style" w:hAnsi="Bookman Old Style" w:cs="Arial"/>
          <w:bCs/>
        </w:rPr>
        <w:t xml:space="preserve">presentadas </w:t>
      </w:r>
      <w:r w:rsidRPr="00BF6B9C">
        <w:rPr>
          <w:rFonts w:ascii="Bookman Old Style" w:hAnsi="Bookman Old Style" w:cs="Arial"/>
          <w:bCs/>
        </w:rPr>
        <w:t xml:space="preserve">para el caso de la definición de los gastos de AOM, </w:t>
      </w:r>
      <w:r w:rsidR="00AF577E" w:rsidRPr="00BF6B9C">
        <w:rPr>
          <w:rFonts w:ascii="Bookman Old Style" w:hAnsi="Bookman Old Style" w:cs="Arial"/>
          <w:bCs/>
        </w:rPr>
        <w:t xml:space="preserve">se </w:t>
      </w:r>
      <w:r w:rsidRPr="00BF6B9C">
        <w:rPr>
          <w:rFonts w:ascii="Bookman Old Style" w:eastAsia="MS Mincho" w:hAnsi="Bookman Old Style" w:cs="Arial"/>
          <w:lang w:val="es-ES_tradnl" w:eastAsia="en-US"/>
        </w:rPr>
        <w:t>incorpora</w:t>
      </w:r>
      <w:r w:rsidR="00AF577E" w:rsidRPr="00BF6B9C">
        <w:rPr>
          <w:rFonts w:ascii="Bookman Old Style" w:eastAsia="MS Mincho" w:hAnsi="Bookman Old Style" w:cs="Arial"/>
          <w:lang w:val="es-ES_tradnl" w:eastAsia="en-US"/>
        </w:rPr>
        <w:t xml:space="preserve">rá </w:t>
      </w:r>
      <w:r w:rsidRPr="00BF6B9C">
        <w:rPr>
          <w:rFonts w:ascii="Bookman Old Style" w:eastAsia="MS Mincho" w:hAnsi="Bookman Old Style" w:cs="Arial"/>
          <w:lang w:val="es-ES_tradnl" w:eastAsia="en-US"/>
        </w:rPr>
        <w:t xml:space="preserve">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BF6B9C">
        <w:rPr>
          <w:rFonts w:ascii="Bookman Old Style" w:eastAsia="MS Mincho" w:hAnsi="Bookman Old Style" w:cs="Arial"/>
          <w:lang w:val="es-ES_tradnl" w:eastAsia="en-US"/>
        </w:rPr>
        <w:t xml:space="preserve">que se </w:t>
      </w:r>
      <w:r w:rsidRPr="00BF6B9C">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rsidR="00886F37" w:rsidRPr="00BF6B9C" w:rsidRDefault="00886F37" w:rsidP="00886F37">
      <w:pPr>
        <w:ind w:left="0" w:right="-93"/>
        <w:jc w:val="both"/>
        <w:rPr>
          <w:rFonts w:ascii="Bookman Old Style" w:eastAsia="MS Mincho" w:hAnsi="Bookman Old Style" w:cs="Arial"/>
          <w:lang w:val="es-ES_tradnl" w:eastAsia="en-US"/>
        </w:rPr>
      </w:pPr>
    </w:p>
    <w:p w:rsidR="00886F37" w:rsidRPr="00BF6B9C" w:rsidRDefault="00886F37" w:rsidP="00886F37">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BF6B9C">
        <w:rPr>
          <w:rFonts w:ascii="Bookman Old Style" w:eastAsia="MS Mincho" w:hAnsi="Bookman Old Style" w:cs="Arial"/>
          <w:lang w:val="es-ES_tradnl" w:eastAsia="en-US"/>
        </w:rPr>
        <w:t xml:space="preserve">86 </w:t>
      </w:r>
      <w:r w:rsidRPr="00BF6B9C">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BF6B9C">
        <w:rPr>
          <w:rFonts w:ascii="Bookman Old Style" w:eastAsia="MS Mincho" w:hAnsi="Bookman Old Style" w:cs="Arial"/>
          <w:lang w:val="es-ES_tradnl" w:eastAsia="en-US"/>
        </w:rPr>
        <w:t xml:space="preserve"> y de forma transitoria para definir esta variable</w:t>
      </w:r>
      <w:r w:rsidRPr="00BF6B9C">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BF6B9C">
        <w:rPr>
          <w:rFonts w:ascii="Bookman Old Style" w:eastAsia="MS Mincho" w:hAnsi="Bookman Old Style" w:cs="Arial"/>
          <w:lang w:val="es-ES_tradnl" w:eastAsia="en-US"/>
        </w:rPr>
        <w:t xml:space="preserve">reportados por las empresas </w:t>
      </w:r>
      <w:r w:rsidRPr="00BF6B9C">
        <w:rPr>
          <w:rFonts w:ascii="Bookman Old Style" w:eastAsia="MS Mincho" w:hAnsi="Bookman Old Style" w:cs="Arial"/>
          <w:lang w:val="es-ES_tradnl" w:eastAsia="en-US"/>
        </w:rPr>
        <w:t xml:space="preserve"> </w:t>
      </w:r>
      <w:r w:rsidR="00AF577E" w:rsidRPr="00BF6B9C">
        <w:rPr>
          <w:rFonts w:ascii="Bookman Old Style" w:eastAsia="MS Mincho" w:hAnsi="Bookman Old Style" w:cs="Arial"/>
          <w:lang w:val="es-ES_tradnl" w:eastAsia="en-US"/>
        </w:rPr>
        <w:t>y depurados por la Comisión de los Nuevos Mercados con estos.</w:t>
      </w:r>
    </w:p>
    <w:p w:rsidR="00886F37" w:rsidRPr="00BF6B9C" w:rsidRDefault="00886F37" w:rsidP="00886F37">
      <w:pPr>
        <w:ind w:left="0" w:right="-93"/>
        <w:jc w:val="both"/>
        <w:rPr>
          <w:rFonts w:ascii="Bookman Old Style" w:eastAsia="MS Mincho" w:hAnsi="Bookman Old Style" w:cs="Arial"/>
          <w:lang w:val="es-ES_tradnl" w:eastAsia="en-US"/>
        </w:rPr>
      </w:pPr>
    </w:p>
    <w:p w:rsidR="00AF577E" w:rsidRPr="00BF6B9C" w:rsidRDefault="002F7643" w:rsidP="00AF577E">
      <w:pPr>
        <w:pStyle w:val="Prrafodelista"/>
        <w:ind w:left="0"/>
        <w:jc w:val="both"/>
        <w:rPr>
          <w:rFonts w:ascii="Bookman Old Style" w:hAnsi="Bookman Old Style"/>
          <w:sz w:val="24"/>
          <w:szCs w:val="24"/>
          <w:lang w:eastAsia="es-CO"/>
        </w:rPr>
      </w:pPr>
      <w:r w:rsidRPr="00BF6B9C">
        <w:rPr>
          <w:rFonts w:ascii="Bookman Old Style" w:hAnsi="Bookman Old Style"/>
          <w:sz w:val="24"/>
          <w:szCs w:val="24"/>
          <w:lang w:val="es-ES_tradnl" w:eastAsia="es-CO"/>
        </w:rPr>
        <w:t>P</w:t>
      </w:r>
      <w:r w:rsidR="00AF577E" w:rsidRPr="00BF6B9C">
        <w:rPr>
          <w:rFonts w:ascii="Bookman Old Style" w:hAnsi="Bookman Old Style"/>
          <w:sz w:val="24"/>
          <w:szCs w:val="24"/>
          <w:lang w:val="es-ES_tradnl" w:eastAsia="es-CO"/>
        </w:rPr>
        <w:t>or lo tanto p</w:t>
      </w:r>
      <w:r w:rsidR="00AF577E" w:rsidRPr="00BF6B9C">
        <w:rPr>
          <w:rFonts w:ascii="Bookman Old Style" w:hAnsi="Bookman Old Style"/>
          <w:sz w:val="24"/>
          <w:szCs w:val="24"/>
          <w:lang w:eastAsia="es-CO"/>
        </w:rPr>
        <w:t>ara los Mercados Relevantes de Distribución para el Siguiente Período Tarifario conformados por municipios nuevos, el distribuidor deberá presentar la proyección de gastos de AOM durante el horizonte de proyección de veinte (20) años y concordante con los costos que se remuneran dentro de las actividad de distribución.</w:t>
      </w:r>
    </w:p>
    <w:p w:rsidR="00AF577E" w:rsidRPr="00BF6B9C" w:rsidRDefault="00AF577E" w:rsidP="00AF577E">
      <w:pPr>
        <w:pStyle w:val="Prrafodelista"/>
        <w:ind w:left="284"/>
        <w:jc w:val="both"/>
        <w:rPr>
          <w:rFonts w:ascii="Bookman Old Style" w:hAnsi="Bookman Old Style"/>
          <w:sz w:val="24"/>
          <w:szCs w:val="24"/>
          <w:lang w:eastAsia="es-CO"/>
        </w:rPr>
      </w:pPr>
    </w:p>
    <w:p w:rsidR="00AF577E" w:rsidRPr="00BF6B9C" w:rsidRDefault="00AF577E" w:rsidP="00AF577E">
      <w:pPr>
        <w:pStyle w:val="Prrafodelista"/>
        <w:ind w:left="0"/>
        <w:jc w:val="both"/>
        <w:rPr>
          <w:rFonts w:ascii="Bookman Old Style" w:hAnsi="Bookman Old Style"/>
          <w:sz w:val="24"/>
          <w:szCs w:val="24"/>
          <w:lang w:val="es-ES_tradnl" w:eastAsia="es-CO"/>
        </w:rPr>
      </w:pPr>
      <w:r w:rsidRPr="00BF6B9C">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al incremento anual de demanda. </w:t>
      </w:r>
    </w:p>
    <w:p w:rsidR="00AF577E" w:rsidRPr="00BF6B9C" w:rsidRDefault="00AF577E" w:rsidP="00AF577E">
      <w:pPr>
        <w:pStyle w:val="Prrafodelista"/>
        <w:ind w:left="284"/>
        <w:jc w:val="both"/>
        <w:rPr>
          <w:rFonts w:ascii="Bookman Old Style" w:hAnsi="Bookman Old Style"/>
          <w:sz w:val="24"/>
          <w:szCs w:val="24"/>
          <w:lang w:val="es-ES_tradnl" w:eastAsia="es-CO"/>
        </w:rPr>
      </w:pPr>
    </w:p>
    <w:p w:rsidR="00537E8B" w:rsidRPr="00BF6B9C" w:rsidRDefault="00537E8B" w:rsidP="00537E8B">
      <w:pPr>
        <w:pStyle w:val="Prrafodelista"/>
        <w:ind w:left="0"/>
        <w:jc w:val="both"/>
        <w:rPr>
          <w:rFonts w:ascii="Bookman Old Style" w:hAnsi="Bookman Old Style"/>
          <w:sz w:val="24"/>
          <w:szCs w:val="24"/>
          <w:lang w:val="es-ES_tradnl" w:eastAsia="es-CO"/>
        </w:rPr>
      </w:pPr>
      <w:r w:rsidRPr="00BF6B9C">
        <w:rPr>
          <w:rFonts w:ascii="Bookman Old Style" w:hAnsi="Bookman Old Style"/>
          <w:sz w:val="24"/>
          <w:szCs w:val="24"/>
          <w:lang w:eastAsia="es-CO"/>
        </w:rPr>
        <w:t>En caso en que el incremento anual de gastos de AOM en un año de la proyección sea mayor al incremento de la demanda en ese año, el gasto de AOM de ese año se ajustará al menor de los crecimientos entre el de AOM y el de la demanda</w:t>
      </w:r>
      <w:r w:rsidRPr="00BF6B9C">
        <w:rPr>
          <w:rFonts w:ascii="Bookman Old Style" w:hAnsi="Bookman Old Style"/>
          <w:sz w:val="24"/>
          <w:szCs w:val="24"/>
          <w:lang w:val="es-ES_tradnl" w:eastAsia="es-CO"/>
        </w:rPr>
        <w:t>.</w:t>
      </w:r>
    </w:p>
    <w:p w:rsidR="00AF577E" w:rsidRPr="00BF6B9C" w:rsidRDefault="00AF577E" w:rsidP="00AF577E">
      <w:pPr>
        <w:pStyle w:val="Prrafodelista"/>
        <w:ind w:left="284"/>
        <w:jc w:val="both"/>
        <w:rPr>
          <w:rFonts w:ascii="Bookman Old Style" w:hAnsi="Bookman Old Style"/>
          <w:sz w:val="24"/>
          <w:szCs w:val="24"/>
          <w:lang w:val="es-ES_tradnl" w:eastAsia="es-CO"/>
        </w:rPr>
      </w:pPr>
    </w:p>
    <w:p w:rsidR="008800C1" w:rsidRPr="00BF6B9C" w:rsidRDefault="008800C1" w:rsidP="008800C1">
      <w:pPr>
        <w:pStyle w:val="Prrafodelista"/>
        <w:ind w:left="0"/>
        <w:jc w:val="both"/>
        <w:rPr>
          <w:rFonts w:ascii="Bookman Old Style" w:hAnsi="Bookman Old Style"/>
          <w:sz w:val="24"/>
          <w:szCs w:val="24"/>
          <w:lang w:val="es-ES_tradnl" w:eastAsia="es-CO"/>
        </w:rPr>
      </w:pPr>
      <w:r w:rsidRPr="00BF6B9C">
        <w:rPr>
          <w:rFonts w:ascii="Bookman Old Style" w:hAnsi="Bookman Old Style"/>
          <w:sz w:val="24"/>
          <w:szCs w:val="24"/>
          <w:lang w:val="es-ES_tradnl" w:eastAsia="es-CO"/>
        </w:rPr>
        <w:t xml:space="preserve">Posteriormente se determinará el porcentaje de AOM eficiente de acuerdo con la siguiente fórmula: </w:t>
      </w:r>
    </w:p>
    <w:p w:rsidR="008800C1" w:rsidRPr="00BF6B9C" w:rsidRDefault="008800C1" w:rsidP="008800C1">
      <w:pPr>
        <w:pStyle w:val="Prrafodelista"/>
        <w:ind w:left="284"/>
        <w:jc w:val="both"/>
        <w:rPr>
          <w:rFonts w:ascii="Bookman Old Style" w:hAnsi="Bookman Old Style"/>
          <w:sz w:val="24"/>
          <w:szCs w:val="24"/>
          <w:lang w:eastAsia="es-CO"/>
        </w:rPr>
      </w:pPr>
    </w:p>
    <w:p w:rsidR="00E43298" w:rsidRPr="00BF6B9C" w:rsidRDefault="00E43298" w:rsidP="008800C1">
      <w:pPr>
        <w:pStyle w:val="Prrafodelista"/>
        <w:ind w:left="284"/>
        <w:jc w:val="both"/>
        <w:rPr>
          <w:rFonts w:ascii="Bookman Old Style" w:hAnsi="Bookman Old Style"/>
          <w:sz w:val="24"/>
          <w:szCs w:val="24"/>
          <w:lang w:eastAsia="es-CO"/>
        </w:rPr>
      </w:pPr>
    </w:p>
    <w:p w:rsidR="008800C1" w:rsidRPr="00BF6B9C" w:rsidRDefault="008800C1" w:rsidP="008800C1">
      <w:pPr>
        <w:ind w:left="0" w:right="-93"/>
        <w:jc w:val="center"/>
        <w:rPr>
          <w:rFonts w:ascii="Bookman Old Style" w:eastAsia="MS Mincho" w:hAnsi="Bookman Old Style" w:cs="Arial"/>
          <w:lang w:val="es-ES_tradnl" w:eastAsia="en-US"/>
        </w:rPr>
      </w:pPr>
      <w:r w:rsidRPr="00BF6B9C">
        <w:rPr>
          <w:rFonts w:eastAsia="MS Mincho"/>
          <w:noProof/>
          <w:lang w:val="es-CO" w:eastAsia="es-CO"/>
        </w:rPr>
        <w:drawing>
          <wp:inline distT="0" distB="0" distL="0" distR="0" wp14:anchorId="74128938" wp14:editId="06272BCC">
            <wp:extent cx="5937885" cy="3206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885" cy="320675"/>
                    </a:xfrm>
                    <a:prstGeom prst="rect">
                      <a:avLst/>
                    </a:prstGeom>
                    <a:noFill/>
                    <a:ln>
                      <a:noFill/>
                    </a:ln>
                  </pic:spPr>
                </pic:pic>
              </a:graphicData>
            </a:graphic>
          </wp:inline>
        </w:drawing>
      </w:r>
    </w:p>
    <w:p w:rsidR="008800C1" w:rsidRPr="00BF6B9C" w:rsidRDefault="008800C1" w:rsidP="008800C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 xml:space="preserve">    </w:t>
      </w:r>
    </w:p>
    <w:p w:rsidR="008800C1" w:rsidRPr="00BF6B9C" w:rsidRDefault="008800C1" w:rsidP="008800C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donde:</w:t>
      </w:r>
    </w:p>
    <w:p w:rsidR="008800C1" w:rsidRPr="00BF6B9C" w:rsidRDefault="008800C1" w:rsidP="008800C1">
      <w:pPr>
        <w:ind w:left="0" w:right="-93"/>
        <w:jc w:val="both"/>
        <w:rPr>
          <w:rFonts w:ascii="Bookman Old Style" w:eastAsia="MS Mincho" w:hAnsi="Bookman Old Style" w:cs="Arial"/>
          <w:lang w:val="es-ES_tradnl" w:eastAsia="en-US"/>
        </w:rPr>
      </w:pPr>
    </w:p>
    <w:tbl>
      <w:tblPr>
        <w:tblW w:w="0" w:type="auto"/>
        <w:tblInd w:w="817" w:type="dxa"/>
        <w:tblLook w:val="04A0" w:firstRow="1" w:lastRow="0" w:firstColumn="1" w:lastColumn="0" w:noHBand="0" w:noVBand="1"/>
      </w:tblPr>
      <w:tblGrid>
        <w:gridCol w:w="1967"/>
        <w:gridCol w:w="6572"/>
      </w:tblGrid>
      <w:tr w:rsidR="008800C1" w:rsidRPr="00BF6B9C" w:rsidTr="00EF3AB1">
        <w:tc>
          <w:tcPr>
            <w:tcW w:w="1758" w:type="dxa"/>
            <w:shd w:val="clear" w:color="auto" w:fill="auto"/>
          </w:tcPr>
          <w:p w:rsidR="008800C1" w:rsidRPr="00BF6B9C" w:rsidRDefault="00DD3035"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oMath>
            </m:oMathPara>
          </w:p>
        </w:tc>
        <w:tc>
          <w:tcPr>
            <w:tcW w:w="6997"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 xml:space="preserve">Promedio de los Gastos de AOM de los cinco (5) años reportados por las empresas en el horizonte de proyección y ajustados. Expresados en pesos de la fecha base. </w:t>
            </w:r>
          </w:p>
          <w:p w:rsidR="008800C1" w:rsidRPr="00BF6B9C" w:rsidRDefault="008800C1" w:rsidP="00EF3AB1">
            <w:pPr>
              <w:ind w:left="0" w:right="-93"/>
              <w:jc w:val="both"/>
              <w:rPr>
                <w:rFonts w:ascii="Bookman Old Style" w:eastAsia="MS Mincho" w:hAnsi="Bookman Old Style" w:cs="Arial"/>
                <w:lang w:val="es-ES_tradnl" w:eastAsia="en-US"/>
              </w:rPr>
            </w:pPr>
          </w:p>
        </w:tc>
      </w:tr>
      <w:tr w:rsidR="008800C1" w:rsidRPr="00BF6B9C" w:rsidTr="00EF3AB1">
        <w:tc>
          <w:tcPr>
            <w:tcW w:w="1758" w:type="dxa"/>
            <w:shd w:val="clear" w:color="auto" w:fill="auto"/>
          </w:tcPr>
          <w:p w:rsidR="008800C1" w:rsidRPr="00BF6B9C" w:rsidRDefault="00DD3035"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oMath>
            </m:oMathPara>
          </w:p>
        </w:tc>
        <w:tc>
          <w:tcPr>
            <w:tcW w:w="6997"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V</w:t>
            </w:r>
            <w:r w:rsidRPr="00BF6B9C">
              <w:rPr>
                <w:rFonts w:ascii="Bookman Old Style" w:eastAsia="MS Mincho" w:hAnsi="Bookman Old Style"/>
                <w:lang w:val="es-ES_tradnl" w:eastAsia="en-US"/>
              </w:rPr>
              <w:t xml:space="preserve">alor de la posición central del conjunto de datos </w:t>
            </w:r>
            <w:r w:rsidRPr="00BF6B9C">
              <w:rPr>
                <w:rFonts w:ascii="Bookman Old Style" w:eastAsia="MS Mincho" w:hAnsi="Bookman Old Style" w:cs="Arial"/>
                <w:lang w:val="es-ES_tradnl" w:eastAsia="en-US"/>
              </w:rPr>
              <w:t>correspondientes a la semisuma de los porcentajes de los AOM reportados y depurados (AOM</w:t>
            </w:r>
            <w:r w:rsidRPr="00BF6B9C">
              <w:rPr>
                <w:rFonts w:ascii="Bookman Old Style" w:eastAsia="MS Mincho" w:hAnsi="Bookman Old Style" w:cs="Arial"/>
                <w:vertAlign w:val="subscript"/>
                <w:lang w:val="es-ES_tradnl" w:eastAsia="en-US"/>
              </w:rPr>
              <w:t>ryd</w:t>
            </w:r>
            <w:r w:rsidRPr="00BF6B9C">
              <w:rPr>
                <w:rFonts w:ascii="Bookman Old Style" w:eastAsia="MS Mincho" w:hAnsi="Bookman Old Style" w:cs="Arial"/>
                <w:lang w:val="es-ES_tradnl" w:eastAsia="en-US"/>
              </w:rPr>
              <w:t>)  y el porcentaje de AOM remunerados actualmente (AOM</w:t>
            </w:r>
            <w:r w:rsidRPr="00BF6B9C">
              <w:rPr>
                <w:rFonts w:ascii="Bookman Old Style" w:eastAsia="MS Mincho" w:hAnsi="Bookman Old Style" w:cs="Arial"/>
                <w:vertAlign w:val="subscript"/>
                <w:lang w:val="es-ES_tradnl" w:eastAsia="en-US"/>
              </w:rPr>
              <w:t>rem</w:t>
            </w:r>
            <w:r w:rsidRPr="00BF6B9C">
              <w:rPr>
                <w:rFonts w:ascii="Bookman Old Style" w:eastAsia="MS Mincho" w:hAnsi="Bookman Old Style" w:cs="Arial"/>
                <w:lang w:val="es-ES_tradnl" w:eastAsia="en-US"/>
              </w:rPr>
              <w:t>), ordenados de menor a mayor y de cada uno de los mercados existentes:</w:t>
            </w:r>
          </w:p>
          <w:p w:rsidR="00E43298" w:rsidRPr="00BF6B9C" w:rsidRDefault="00E43298" w:rsidP="00EF3AB1">
            <w:pPr>
              <w:ind w:left="0" w:right="-93"/>
              <w:jc w:val="both"/>
              <w:rPr>
                <w:rFonts w:ascii="Bookman Old Style" w:eastAsia="MS Mincho" w:hAnsi="Bookman Old Style" w:cs="Arial"/>
                <w:lang w:val="es-ES_tradnl" w:eastAsia="en-US"/>
              </w:rPr>
            </w:pPr>
          </w:p>
          <w:p w:rsidR="008800C1" w:rsidRPr="00BF6B9C" w:rsidRDefault="008800C1" w:rsidP="00EF3AB1">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lang w:val="es-ES_tradnl" w:eastAsia="en-US"/>
                  </w:rPr>
                  <m:t>Mediana</m:t>
                </m:r>
                <m:d>
                  <m:dPr>
                    <m:begChr m:val="["/>
                    <m:endChr m:val="]"/>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f>
                          <m:fPr>
                            <m:ctrlPr>
                              <w:rPr>
                                <w:rFonts w:ascii="Cambria Math" w:eastAsia="MS Mincho" w:hAnsi="Cambria Math" w:cs="Arial"/>
                                <w:lang w:val="es-ES_tradnl" w:eastAsia="en-US"/>
                              </w:rPr>
                            </m:ctrlPr>
                          </m:fPr>
                          <m:num>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ryd</m:t>
                                </m:r>
                              </m:sub>
                            </m:sSub>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rem</m:t>
                                </m:r>
                              </m:sub>
                            </m:sSub>
                          </m:num>
                          <m:den>
                            <m:r>
                              <m:rPr>
                                <m:sty m:val="p"/>
                              </m:rPr>
                              <w:rPr>
                                <w:rFonts w:ascii="Cambria Math" w:eastAsia="MS Mincho" w:hAnsi="Cambria Math" w:cs="Arial"/>
                                <w:lang w:val="es-ES_tradnl" w:eastAsia="en-US"/>
                              </w:rPr>
                              <m:t>2</m:t>
                            </m:r>
                          </m:den>
                        </m:f>
                      </m:num>
                      <m:den>
                        <m:r>
                          <m:rPr>
                            <m:sty m:val="p"/>
                          </m:rPr>
                          <w:rPr>
                            <w:rFonts w:ascii="Cambria Math" w:eastAsia="MS Mincho" w:hAnsi="Cambria Math" w:cs="Arial"/>
                            <w:lang w:val="es-ES_tradnl" w:eastAsia="en-US"/>
                          </w:rPr>
                          <m:t>BRA</m:t>
                        </m:r>
                      </m:den>
                    </m:f>
                  </m:e>
                </m:d>
              </m:oMath>
            </m:oMathPara>
          </w:p>
          <w:p w:rsidR="008800C1" w:rsidRPr="00BF6B9C" w:rsidRDefault="008800C1" w:rsidP="00EF3AB1">
            <w:pPr>
              <w:ind w:left="0" w:right="-93"/>
              <w:jc w:val="both"/>
              <w:rPr>
                <w:rFonts w:ascii="Bookman Old Style" w:eastAsia="MS Mincho" w:hAnsi="Bookman Old Style" w:cs="Arial"/>
                <w:lang w:val="es-ES_tradnl" w:eastAsia="en-US"/>
              </w:rPr>
            </w:pPr>
          </w:p>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lang w:val="es-ES_tradnl" w:eastAsia="en-US"/>
              </w:rPr>
              <w:t>Esta mediana se estima con la mejor información recaudada de todos los mercados relevantes de distribución existentes, excluidos los mercados que no tienen información completa, o que su negocio predominante no sea el servicio de gas natural por redes de tubería, o que sean mercados especiales, o mercados donde un transportador de gas preste el servicio de distribución, o que presenten información inconsistente</w:t>
            </w:r>
            <w:r w:rsidRPr="00BF6B9C">
              <w:rPr>
                <w:rFonts w:ascii="Bookman Old Style" w:eastAsia="MS Mincho" w:hAnsi="Bookman Old Style" w:cs="Arial"/>
                <w:lang w:val="es-ES_tradnl" w:eastAsia="en-US"/>
              </w:rPr>
              <w:t>.</w:t>
            </w:r>
          </w:p>
          <w:p w:rsidR="008800C1" w:rsidRPr="00BF6B9C" w:rsidRDefault="008800C1" w:rsidP="00EF3AB1">
            <w:pPr>
              <w:ind w:left="0" w:right="-93"/>
              <w:jc w:val="both"/>
              <w:rPr>
                <w:rFonts w:ascii="Bookman Old Style" w:eastAsia="MS Mincho" w:hAnsi="Bookman Old Style" w:cs="Arial"/>
                <w:lang w:val="es-ES_tradnl" w:eastAsia="en-US"/>
              </w:rPr>
            </w:pPr>
          </w:p>
        </w:tc>
      </w:tr>
      <w:tr w:rsidR="008800C1" w:rsidRPr="00BF6B9C" w:rsidTr="00EF3AB1">
        <w:tc>
          <w:tcPr>
            <w:tcW w:w="1758"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m:oMathPara>
              <m:oMathParaPr>
                <m:jc m:val="left"/>
              </m:oMathParaPr>
              <m:oMath>
                <m:r>
                  <m:rPr>
                    <m:sty m:val="p"/>
                  </m:rPr>
                  <w:rPr>
                    <w:rFonts w:ascii="Cambria Math" w:eastAsia="MS Mincho" w:hAnsi="Cambria Math" w:cs="Arial"/>
                    <w:lang w:val="es-ES_tradnl" w:eastAsia="en-US"/>
                  </w:rPr>
                  <m:t>BRAN</m:t>
                </m:r>
              </m:oMath>
            </m:oMathPara>
          </w:p>
        </w:tc>
        <w:tc>
          <w:tcPr>
            <w:tcW w:w="6997"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expresada en pesos de la fecha base.</w:t>
            </w:r>
            <w:r w:rsidRPr="00BF6B9C">
              <w:rPr>
                <w:rFonts w:ascii="Bookman Old Style" w:eastAsia="MS Mincho" w:hAnsi="Bookman Old Style" w:cs="Arial"/>
                <w:lang w:val="es-ES_tradnl" w:eastAsia="en-US"/>
              </w:rPr>
              <w:tab/>
            </w:r>
            <w:r w:rsidRPr="00BF6B9C">
              <w:rPr>
                <w:rFonts w:ascii="Bookman Old Style" w:eastAsia="MS Mincho" w:hAnsi="Bookman Old Style" w:cs="Arial"/>
                <w:lang w:val="es-ES_tradnl" w:eastAsia="en-US"/>
              </w:rPr>
              <w:tab/>
            </w:r>
          </w:p>
          <w:p w:rsidR="008800C1" w:rsidRPr="00BF6B9C" w:rsidRDefault="008800C1" w:rsidP="00EF3AB1">
            <w:pPr>
              <w:ind w:left="0" w:right="-93"/>
              <w:jc w:val="both"/>
              <w:rPr>
                <w:rFonts w:ascii="Bookman Old Style" w:eastAsia="MS Mincho" w:hAnsi="Bookman Old Style" w:cs="Arial"/>
                <w:lang w:val="es-ES_tradnl" w:eastAsia="en-US"/>
              </w:rPr>
            </w:pPr>
          </w:p>
        </w:tc>
      </w:tr>
    </w:tbl>
    <w:p w:rsidR="008800C1" w:rsidRPr="00BF6B9C" w:rsidRDefault="008800C1" w:rsidP="008800C1">
      <w:pPr>
        <w:ind w:left="0" w:right="-91"/>
        <w:contextualSpacing/>
        <w:jc w:val="both"/>
        <w:rPr>
          <w:rFonts w:ascii="Bookman Old Style" w:eastAsia="Calibri" w:hAnsi="Bookman Old Style" w:cs="Arial"/>
          <w:lang w:eastAsia="en-US"/>
        </w:rPr>
      </w:pPr>
      <w:r w:rsidRPr="00BF6B9C">
        <w:rPr>
          <w:rFonts w:ascii="Bookman Old Style" w:eastAsia="Calibri" w:hAnsi="Bookman Old Style" w:cs="Arial"/>
          <w:lang w:eastAsia="en-US"/>
        </w:rPr>
        <w:t xml:space="preserve">Cuando el porcentaje eficiente de gastos de AOM corresponda con el porcentaje de la relación </w:t>
      </w:r>
      <m:oMath>
        <m:f>
          <m:fPr>
            <m:ctrlPr>
              <w:rPr>
                <w:rFonts w:ascii="Cambria Math" w:eastAsia="Calibri" w:hAnsi="Cambria Math" w:cs="Arial"/>
                <w:lang w:eastAsia="en-US"/>
              </w:rPr>
            </m:ctrlPr>
          </m:fPr>
          <m:num>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r>
                  <m:rPr>
                    <m:sty m:val="p"/>
                  </m:rPr>
                  <w:rPr>
                    <w:rFonts w:ascii="Cambria Math" w:eastAsia="Calibri" w:hAnsi="Cambria Math" w:cs="Arial"/>
                    <w:lang w:eastAsia="en-US"/>
                  </w:rPr>
                  <m:t>r</m:t>
                </m:r>
              </m:sub>
            </m:sSub>
          </m:num>
          <m:den>
            <m:r>
              <m:rPr>
                <m:sty m:val="p"/>
              </m:rPr>
              <w:rPr>
                <w:rFonts w:ascii="Cambria Math" w:eastAsia="Calibri" w:hAnsi="Cambria Math" w:cs="Arial"/>
                <w:lang w:eastAsia="en-US"/>
              </w:rPr>
              <m:t>BRAN</m:t>
            </m:r>
          </m:den>
        </m:f>
      </m:oMath>
      <w:r w:rsidRPr="00BF6B9C">
        <w:rPr>
          <w:rFonts w:ascii="Bookman Old Style" w:eastAsia="Calibri" w:hAnsi="Bookman Old Style" w:cs="Arial"/>
          <w:lang w:eastAsia="en-US"/>
        </w:rPr>
        <w:t>, se utilizará la proyección de los gastos de AOM reportada por la empresa</w:t>
      </w:r>
      <w:r w:rsidR="008D2EBA" w:rsidRPr="00BF6B9C">
        <w:rPr>
          <w:rFonts w:ascii="Bookman Old Style" w:eastAsia="Calibri" w:hAnsi="Bookman Old Style" w:cs="Arial"/>
          <w:lang w:eastAsia="en-US"/>
        </w:rPr>
        <w:t xml:space="preserve"> y ajustada</w:t>
      </w:r>
      <w:r w:rsidRPr="00BF6B9C">
        <w:rPr>
          <w:rFonts w:ascii="Bookman Old Style" w:eastAsia="Calibri" w:hAnsi="Bookman Old Style" w:cs="Arial"/>
          <w:lang w:eastAsia="en-US"/>
        </w:rPr>
        <w:t>, para determinar los cargos de distribución.</w:t>
      </w:r>
    </w:p>
    <w:p w:rsidR="008800C1" w:rsidRPr="00BF6B9C" w:rsidRDefault="008800C1" w:rsidP="008800C1">
      <w:pPr>
        <w:ind w:left="0" w:right="-91"/>
        <w:contextualSpacing/>
        <w:jc w:val="both"/>
        <w:rPr>
          <w:rFonts w:ascii="Bookman Old Style" w:eastAsia="Calibri" w:hAnsi="Bookman Old Style" w:cs="Arial"/>
          <w:lang w:eastAsia="en-US"/>
        </w:rPr>
      </w:pPr>
    </w:p>
    <w:p w:rsidR="008800C1" w:rsidRPr="00BF6B9C" w:rsidRDefault="008800C1" w:rsidP="008800C1">
      <w:pPr>
        <w:ind w:left="0" w:right="-91"/>
        <w:contextualSpacing/>
        <w:jc w:val="both"/>
        <w:rPr>
          <w:rFonts w:ascii="Bookman Old Style" w:eastAsia="Calibri" w:hAnsi="Bookman Old Style" w:cs="Arial"/>
          <w:lang w:eastAsia="en-US"/>
        </w:rPr>
      </w:pPr>
      <w:r w:rsidRPr="00BF6B9C">
        <w:rPr>
          <w:rFonts w:ascii="Bookman Old Style" w:eastAsia="Calibri" w:hAnsi="Bookman Old Style" w:cs="Arial"/>
          <w:lang w:eastAsia="en-US"/>
        </w:rPr>
        <w:t xml:space="preserve">En los casos en que el porcentaje eficiente de gastos de AOM corresponda con </w:t>
      </w:r>
      <m:oMath>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func>
              <m:funcPr>
                <m:ctrlPr>
                  <w:rPr>
                    <w:rFonts w:ascii="Cambria Math" w:eastAsia="Calibri" w:hAnsi="Cambria Math" w:cs="Arial"/>
                    <w:lang w:eastAsia="en-US"/>
                  </w:rPr>
                </m:ctrlPr>
              </m:funcPr>
              <m:fName>
                <m:r>
                  <m:rPr>
                    <m:sty m:val="p"/>
                  </m:rPr>
                  <w:rPr>
                    <w:rFonts w:ascii="Cambria Math" w:eastAsia="Calibri" w:hAnsi="Cambria Math" w:cs="Arial"/>
                    <w:lang w:eastAsia="en-US"/>
                  </w:rPr>
                  <m:t>max</m:t>
                </m:r>
              </m:fName>
              <m:e>
                <m:r>
                  <m:rPr>
                    <m:sty m:val="p"/>
                  </m:rPr>
                  <w:rPr>
                    <w:rFonts w:ascii="Cambria Math" w:eastAsia="Calibri" w:hAnsi="Cambria Math" w:cs="Arial"/>
                    <w:lang w:eastAsia="en-US"/>
                  </w:rPr>
                  <m:t xml:space="preserve"> reconocer</m:t>
                </m:r>
              </m:e>
            </m:func>
          </m:sub>
        </m:sSub>
      </m:oMath>
      <w:r w:rsidRPr="00BF6B9C">
        <w:rPr>
          <w:rFonts w:ascii="Bookman Old Style" w:eastAsia="Calibri" w:hAnsi="Bookman Old Style" w:cs="Arial"/>
          <w:lang w:eastAsia="en-US"/>
        </w:rPr>
        <w:t>, se multiplicará el gasto de AOM proyectado para cada uno de los años, reportado por la empresa</w:t>
      </w:r>
      <w:r w:rsidR="008D2EBA" w:rsidRPr="00BF6B9C">
        <w:rPr>
          <w:rFonts w:ascii="Bookman Old Style" w:eastAsia="Calibri" w:hAnsi="Bookman Old Style" w:cs="Arial"/>
          <w:lang w:eastAsia="en-US"/>
        </w:rPr>
        <w:t xml:space="preserve"> y ajustado</w:t>
      </w:r>
      <w:r w:rsidRPr="00BF6B9C">
        <w:rPr>
          <w:rFonts w:ascii="Bookman Old Style" w:eastAsia="Calibri" w:hAnsi="Bookman Old Style" w:cs="Arial"/>
          <w:lang w:eastAsia="en-US"/>
        </w:rPr>
        <w:t>, por el siguiente factor:</w:t>
      </w:r>
    </w:p>
    <w:p w:rsidR="008800C1" w:rsidRPr="00BF6B9C" w:rsidRDefault="00DD3035" w:rsidP="008800C1">
      <w:pPr>
        <w:spacing w:before="100" w:beforeAutospacing="1" w:after="100" w:afterAutospacing="1"/>
        <w:ind w:left="851" w:hanging="851"/>
        <w:jc w:val="center"/>
        <w:rPr>
          <w:rFonts w:ascii="Bookman Old Style" w:hAnsi="Bookman Old Style" w:cs="Arial"/>
          <w:lang w:val="es-ES_tradnl" w:eastAsia="en-US"/>
        </w:rPr>
      </w:pPr>
      <m:oMathPara>
        <m:oMath>
          <m:sSub>
            <m:sSubPr>
              <m:ctrlPr>
                <w:rPr>
                  <w:rFonts w:ascii="Cambria Math" w:hAnsi="Cambria Math"/>
                  <w:lang w:val="es-ES_tradnl" w:eastAsia="en-US"/>
                </w:rPr>
              </m:ctrlPr>
            </m:sSubPr>
            <m:e>
              <m:r>
                <m:rPr>
                  <m:sty m:val="p"/>
                </m:rPr>
                <w:rPr>
                  <w:rFonts w:ascii="Cambria Math" w:hAnsi="Cambria Math"/>
                  <w:lang w:val="es-ES_tradnl" w:eastAsia="en-US"/>
                </w:rPr>
                <m:t>%FA</m:t>
              </m:r>
            </m:e>
            <m:sub>
              <m:r>
                <m:rPr>
                  <m:sty m:val="p"/>
                </m:rPr>
                <w:rPr>
                  <w:rFonts w:ascii="Cambria Math" w:hAnsi="Cambria Math"/>
                  <w:lang w:val="es-ES_tradnl" w:eastAsia="en-US"/>
                </w:rPr>
                <m:t>proyección AOM</m:t>
              </m:r>
            </m:sub>
          </m:sSub>
          <m:r>
            <m:rPr>
              <m:sty m:val="p"/>
            </m:rPr>
            <w:rPr>
              <w:rFonts w:ascii="Cambria Math" w:hAnsi="Cambria Math"/>
              <w:lang w:val="es-ES_tradnl" w:eastAsia="en-US"/>
            </w:rPr>
            <m:t>=</m:t>
          </m:r>
          <m:f>
            <m:fPr>
              <m:ctrlPr>
                <w:rPr>
                  <w:rFonts w:ascii="Cambria Math" w:hAnsi="Cambria Math"/>
                  <w:lang w:val="es-ES_tradnl" w:eastAsia="en-US"/>
                </w:rPr>
              </m:ctrlPr>
            </m:fPr>
            <m:num>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m:rPr>
                  <m:sty m:val="p"/>
                </m:rPr>
                <w:rPr>
                  <w:rFonts w:ascii="Cambria Math" w:hAnsi="Cambria Math"/>
                  <w:lang w:val="es-ES_tradnl" w:eastAsia="en-US"/>
                </w:rPr>
                <m:t>×BRAN</m:t>
              </m:r>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den>
          </m:f>
        </m:oMath>
      </m:oMathPara>
    </w:p>
    <w:p w:rsidR="00CA6739" w:rsidRPr="00BF6B9C" w:rsidRDefault="00CA6739" w:rsidP="00AE7627">
      <w:pPr>
        <w:ind w:right="-93"/>
        <w:jc w:val="both"/>
        <w:rPr>
          <w:rFonts w:ascii="Bookman Old Style" w:hAnsi="Bookman Old Style" w:cs="Arial"/>
          <w:bCs/>
          <w:lang w:val="es-ES_tradnl"/>
        </w:rPr>
      </w:pPr>
    </w:p>
    <w:p w:rsidR="00675DB2" w:rsidRPr="00BF6B9C" w:rsidRDefault="00014E2E" w:rsidP="008C4452">
      <w:pPr>
        <w:ind w:left="0" w:right="-91"/>
        <w:contextualSpacing/>
        <w:jc w:val="both"/>
        <w:rPr>
          <w:rFonts w:ascii="Bookman Old Style" w:eastAsia="Calibri" w:hAnsi="Bookman Old Style" w:cs="Arial"/>
          <w:lang w:eastAsia="en-US"/>
        </w:rPr>
      </w:pPr>
      <w:r w:rsidRPr="00BF6B9C">
        <w:rPr>
          <w:rFonts w:ascii="Bookman Old Style" w:eastAsia="Calibri" w:hAnsi="Bookman Old Style" w:cs="Arial"/>
          <w:lang w:eastAsia="en-US"/>
        </w:rPr>
        <w:t>L</w:t>
      </w:r>
      <w:r w:rsidR="009F492A" w:rsidRPr="00BF6B9C">
        <w:rPr>
          <w:rFonts w:ascii="Bookman Old Style" w:eastAsia="Calibri" w:hAnsi="Bookman Old Style" w:cs="Arial"/>
          <w:lang w:eastAsia="en-US"/>
        </w:rPr>
        <w:t>a aplicación del criterio de eficiencia descrito</w:t>
      </w:r>
      <w:r w:rsidR="00635BCB" w:rsidRPr="00BF6B9C">
        <w:rPr>
          <w:rFonts w:ascii="Bookman Old Style" w:eastAsia="Calibri" w:hAnsi="Bookman Old Style" w:cs="Arial"/>
          <w:lang w:eastAsia="en-US"/>
        </w:rPr>
        <w:t xml:space="preserve"> </w:t>
      </w:r>
      <w:r w:rsidR="004F759A" w:rsidRPr="00BF6B9C">
        <w:rPr>
          <w:rFonts w:ascii="Bookman Old Style" w:eastAsia="Calibri" w:hAnsi="Bookman Old Style" w:cs="Arial"/>
          <w:lang w:eastAsia="en-US"/>
        </w:rPr>
        <w:t>permite</w:t>
      </w:r>
      <w:r w:rsidR="008C4452" w:rsidRPr="00BF6B9C">
        <w:rPr>
          <w:rFonts w:ascii="Bookman Old Style" w:eastAsia="Calibri" w:hAnsi="Bookman Old Style" w:cs="Arial"/>
          <w:lang w:eastAsia="en-US"/>
        </w:rPr>
        <w:t xml:space="preserve">: i) </w:t>
      </w:r>
      <w:r w:rsidR="004F759A" w:rsidRPr="00BF6B9C">
        <w:rPr>
          <w:rFonts w:ascii="Bookman Old Style" w:eastAsia="Calibri" w:hAnsi="Bookman Old Style" w:cs="Arial"/>
          <w:lang w:eastAsia="en-US"/>
        </w:rPr>
        <w:t>reducir</w:t>
      </w:r>
      <w:r w:rsidR="008C4452" w:rsidRPr="00BF6B9C">
        <w:rPr>
          <w:rFonts w:ascii="Bookman Old Style" w:eastAsia="Calibri" w:hAnsi="Bookman Old Style" w:cs="Arial"/>
          <w:lang w:eastAsia="en-US"/>
        </w:rPr>
        <w:t xml:space="preserve"> las asimetrías en la informaci</w:t>
      </w:r>
      <w:r w:rsidR="004F759A" w:rsidRPr="00BF6B9C">
        <w:rPr>
          <w:rFonts w:ascii="Bookman Old Style" w:eastAsia="Calibri" w:hAnsi="Bookman Old Style" w:cs="Arial"/>
          <w:lang w:eastAsia="en-US"/>
        </w:rPr>
        <w:t>ón existentes</w:t>
      </w:r>
      <w:r w:rsidR="008C4452" w:rsidRPr="00BF6B9C">
        <w:rPr>
          <w:rFonts w:ascii="Bookman Old Style" w:eastAsia="Calibri" w:hAnsi="Bookman Old Style" w:cs="Arial"/>
          <w:lang w:eastAsia="en-US"/>
        </w:rPr>
        <w:t xml:space="preserve"> con respecto a </w:t>
      </w:r>
      <w:r w:rsidR="00321E6C" w:rsidRPr="00BF6B9C">
        <w:rPr>
          <w:rFonts w:ascii="Bookman Old Style" w:eastAsia="Calibri" w:hAnsi="Bookman Old Style" w:cs="Arial"/>
          <w:lang w:eastAsia="en-US"/>
        </w:rPr>
        <w:t xml:space="preserve">los </w:t>
      </w:r>
      <w:r w:rsidR="008C4452" w:rsidRPr="00BF6B9C">
        <w:rPr>
          <w:rFonts w:ascii="Bookman Old Style" w:eastAsia="Calibri" w:hAnsi="Bookman Old Style" w:cs="Arial"/>
          <w:lang w:eastAsia="en-US"/>
        </w:rPr>
        <w:t xml:space="preserve">gastos de AOM; ii) </w:t>
      </w:r>
      <w:r w:rsidR="004F759A" w:rsidRPr="00BF6B9C">
        <w:rPr>
          <w:rFonts w:ascii="Bookman Old Style" w:eastAsia="Calibri" w:hAnsi="Bookman Old Style" w:cs="Arial"/>
          <w:lang w:eastAsia="en-US"/>
        </w:rPr>
        <w:t>establecer</w:t>
      </w:r>
      <w:r w:rsidR="00321E6C" w:rsidRPr="00BF6B9C">
        <w:rPr>
          <w:rFonts w:ascii="Bookman Old Style" w:eastAsia="Calibri" w:hAnsi="Bookman Old Style" w:cs="Arial"/>
          <w:lang w:eastAsia="en-US"/>
        </w:rPr>
        <w:t xml:space="preserve"> un valor eficiente de gastos de AOM</w:t>
      </w:r>
      <w:r w:rsidR="00CA227B" w:rsidRPr="00BF6B9C">
        <w:rPr>
          <w:rFonts w:ascii="Bookman Old Style" w:eastAsia="Calibri" w:hAnsi="Bookman Old Style" w:cs="Arial"/>
          <w:lang w:eastAsia="en-US"/>
        </w:rPr>
        <w:t xml:space="preserve"> </w:t>
      </w:r>
      <w:r w:rsidR="004F759A" w:rsidRPr="00BF6B9C">
        <w:rPr>
          <w:rFonts w:ascii="Bookman Old Style" w:eastAsia="Calibri" w:hAnsi="Bookman Old Style" w:cs="Arial"/>
          <w:lang w:eastAsia="en-US"/>
        </w:rPr>
        <w:t xml:space="preserve">teniendo en cuenta </w:t>
      </w:r>
      <w:r w:rsidR="00321E6C" w:rsidRPr="00BF6B9C">
        <w:rPr>
          <w:rFonts w:ascii="Bookman Old Style" w:eastAsia="Calibri" w:hAnsi="Bookman Old Style" w:cs="Arial"/>
          <w:lang w:eastAsia="en-US"/>
        </w:rPr>
        <w:t xml:space="preserve">los gastos eficientes reconocidos propios y de otras empresas comparables en la misma actividad; iii) </w:t>
      </w:r>
      <w:r w:rsidR="004F759A" w:rsidRPr="00BF6B9C">
        <w:rPr>
          <w:rFonts w:ascii="Bookman Old Style" w:eastAsia="Calibri" w:hAnsi="Bookman Old Style" w:cs="Arial"/>
          <w:lang w:eastAsia="en-US"/>
        </w:rPr>
        <w:t>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w:t>
      </w:r>
      <w:r w:rsidR="00243DE3" w:rsidRPr="00BF6B9C">
        <w:rPr>
          <w:rFonts w:ascii="Bookman Old Style" w:eastAsia="Calibri" w:hAnsi="Bookman Old Style" w:cs="Arial"/>
          <w:lang w:eastAsia="en-US"/>
        </w:rPr>
        <w:t xml:space="preserve"> (i.e.</w:t>
      </w:r>
      <w:r w:rsidR="004F759A" w:rsidRPr="00BF6B9C">
        <w:rPr>
          <w:rFonts w:ascii="Bookman Old Style" w:eastAsia="Calibri" w:hAnsi="Bookman Old Style" w:cs="Arial"/>
          <w:lang w:eastAsia="en-US"/>
        </w:rPr>
        <w:t xml:space="preserve"> </w:t>
      </w:r>
      <w:r w:rsidR="00321E6C" w:rsidRPr="00BF6B9C">
        <w:rPr>
          <w:rFonts w:ascii="Bookman Old Style" w:eastAsia="Calibri" w:hAnsi="Bookman Old Style" w:cs="Arial"/>
          <w:lang w:eastAsia="en-US"/>
        </w:rPr>
        <w:t>los costos y gastos reflejados en la información contable de las empresas son objeto de análisis por parte de la Comisión en el marco del criterio de eficiencia</w:t>
      </w:r>
      <w:r w:rsidR="004F759A" w:rsidRPr="00BF6B9C">
        <w:rPr>
          <w:rFonts w:ascii="Bookman Old Style" w:eastAsia="Calibri" w:hAnsi="Bookman Old Style" w:cs="Arial"/>
          <w:lang w:eastAsia="en-US"/>
        </w:rPr>
        <w:t xml:space="preserve">, razón por la cual, estos </w:t>
      </w:r>
      <w:r w:rsidR="00321E6C" w:rsidRPr="00BF6B9C">
        <w:rPr>
          <w:rFonts w:ascii="Bookman Old Style" w:eastAsia="Calibri" w:hAnsi="Bookman Old Style" w:cs="Arial"/>
          <w:lang w:eastAsia="en-US"/>
        </w:rPr>
        <w:t xml:space="preserve">no corresponden </w:t>
      </w:r>
      <w:r w:rsidR="004F759A" w:rsidRPr="00BF6B9C">
        <w:rPr>
          <w:rFonts w:ascii="Bookman Old Style" w:eastAsia="Calibri" w:hAnsi="Bookman Old Style" w:cs="Arial"/>
          <w:lang w:eastAsia="en-US"/>
        </w:rPr>
        <w:t xml:space="preserve">directamente </w:t>
      </w:r>
      <w:r w:rsidR="00321E6C" w:rsidRPr="00BF6B9C">
        <w:rPr>
          <w:rFonts w:ascii="Bookman Old Style" w:eastAsia="Calibri" w:hAnsi="Bookman Old Style" w:cs="Arial"/>
          <w:lang w:eastAsia="en-US"/>
        </w:rPr>
        <w:t>a los costos y gastos eficientes dentro de la prestaci</w:t>
      </w:r>
      <w:r w:rsidR="004F759A" w:rsidRPr="00BF6B9C">
        <w:rPr>
          <w:rFonts w:ascii="Bookman Old Style" w:eastAsia="Calibri" w:hAnsi="Bookman Old Style" w:cs="Arial"/>
          <w:lang w:eastAsia="en-US"/>
        </w:rPr>
        <w:t>ón del servicio</w:t>
      </w:r>
      <w:r w:rsidR="00243DE3" w:rsidRPr="00BF6B9C">
        <w:rPr>
          <w:rFonts w:ascii="Bookman Old Style" w:eastAsia="Calibri" w:hAnsi="Bookman Old Style" w:cs="Arial"/>
          <w:lang w:eastAsia="en-US"/>
        </w:rPr>
        <w:t>)</w:t>
      </w:r>
      <w:r w:rsidRPr="00BF6B9C">
        <w:rPr>
          <w:rFonts w:ascii="Bookman Old Style" w:eastAsia="Calibri" w:hAnsi="Bookman Old Style" w:cs="Arial"/>
          <w:lang w:eastAsia="en-US"/>
        </w:rPr>
        <w:t xml:space="preserve">; iv) </w:t>
      </w:r>
      <w:r w:rsidR="004F759A" w:rsidRPr="00BF6B9C">
        <w:rPr>
          <w:rFonts w:ascii="Bookman Old Style" w:eastAsia="Calibri" w:hAnsi="Bookman Old Style" w:cs="Arial"/>
          <w:lang w:eastAsia="en-US"/>
        </w:rPr>
        <w:t>garantizar</w:t>
      </w:r>
      <w:r w:rsidR="008C4452" w:rsidRPr="00BF6B9C">
        <w:rPr>
          <w:rFonts w:ascii="Bookman Old Style" w:eastAsia="Calibri" w:hAnsi="Bookman Old Style" w:cs="Arial"/>
          <w:lang w:eastAsia="en-US"/>
        </w:rPr>
        <w:t xml:space="preserve"> </w:t>
      </w:r>
      <w:r w:rsidR="004F759A" w:rsidRPr="00BF6B9C">
        <w:rPr>
          <w:rFonts w:ascii="Bookman Old Style" w:eastAsia="Calibri" w:hAnsi="Bookman Old Style" w:cs="Arial"/>
          <w:lang w:eastAsia="en-US"/>
        </w:rPr>
        <w:t>que la decisión que apruebe los cargos se haga atendiendo parámetros de eficiencia, atendiendo motivos comprobables en</w:t>
      </w:r>
      <w:r w:rsidR="0073055C" w:rsidRPr="00BF6B9C">
        <w:rPr>
          <w:rFonts w:ascii="Bookman Old Style" w:eastAsia="Calibri" w:hAnsi="Bookman Old Style" w:cs="Arial"/>
          <w:lang w:eastAsia="en-US"/>
        </w:rPr>
        <w:t xml:space="preserve"> el marco de la Ley 142 de 1994</w:t>
      </w:r>
      <w:r w:rsidR="008C4452" w:rsidRPr="00BF6B9C">
        <w:rPr>
          <w:rFonts w:ascii="Bookman Old Style" w:eastAsia="Calibri" w:hAnsi="Bookman Old Style" w:cs="Arial"/>
          <w:lang w:eastAsia="en-US"/>
        </w:rPr>
        <w:t>.</w:t>
      </w:r>
    </w:p>
    <w:p w:rsidR="00675DB2" w:rsidRPr="00BF6B9C" w:rsidRDefault="00675DB2" w:rsidP="00F36B65">
      <w:pPr>
        <w:spacing w:after="200" w:line="276" w:lineRule="auto"/>
        <w:ind w:left="0" w:right="-93"/>
        <w:contextualSpacing/>
        <w:jc w:val="both"/>
        <w:rPr>
          <w:rFonts w:ascii="Bookman Old Style" w:eastAsia="Calibri" w:hAnsi="Bookman Old Style" w:cs="Arial"/>
          <w:b/>
          <w:lang w:eastAsia="en-US"/>
        </w:rPr>
      </w:pPr>
    </w:p>
    <w:p w:rsidR="00831A1E" w:rsidRPr="00BF6B9C" w:rsidRDefault="008800C1" w:rsidP="00F36B65">
      <w:pPr>
        <w:spacing w:after="200" w:line="276" w:lineRule="auto"/>
        <w:ind w:left="0" w:right="-93"/>
        <w:contextualSpacing/>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831A1E" w:rsidRPr="00BF6B9C">
        <w:rPr>
          <w:rFonts w:ascii="Bookman Old Style" w:eastAsia="Calibri" w:hAnsi="Bookman Old Style" w:cs="Arial"/>
          <w:b/>
          <w:lang w:val="es-CO" w:eastAsia="en-US"/>
        </w:rPr>
        <w:t>.</w:t>
      </w:r>
      <w:r w:rsidR="00886F37" w:rsidRPr="00BF6B9C">
        <w:rPr>
          <w:rFonts w:ascii="Bookman Old Style" w:eastAsia="Calibri" w:hAnsi="Bookman Old Style" w:cs="Arial"/>
          <w:b/>
          <w:lang w:val="es-CO" w:eastAsia="en-US"/>
        </w:rPr>
        <w:t xml:space="preserve">3. </w:t>
      </w:r>
      <w:r w:rsidR="00831A1E" w:rsidRPr="00BF6B9C">
        <w:rPr>
          <w:rFonts w:ascii="Bookman Old Style" w:eastAsia="Calibri" w:hAnsi="Bookman Old Style" w:cs="Arial"/>
          <w:b/>
          <w:lang w:val="es-CO" w:eastAsia="en-US"/>
        </w:rPr>
        <w:t xml:space="preserve"> Inversi</w:t>
      </w:r>
      <w:r w:rsidR="00217844" w:rsidRPr="00BF6B9C">
        <w:rPr>
          <w:rFonts w:ascii="Bookman Old Style" w:eastAsia="Calibri" w:hAnsi="Bookman Old Style" w:cs="Arial"/>
          <w:b/>
          <w:lang w:val="es-CO" w:eastAsia="en-US"/>
        </w:rPr>
        <w:t>ón Base</w:t>
      </w:r>
      <w:r w:rsidR="00831A1E" w:rsidRPr="00BF6B9C">
        <w:rPr>
          <w:rFonts w:ascii="Bookman Old Style" w:eastAsia="Calibri" w:hAnsi="Bookman Old Style" w:cs="Arial"/>
          <w:b/>
          <w:lang w:val="es-CO" w:eastAsia="en-US"/>
        </w:rPr>
        <w:t xml:space="preserve"> </w:t>
      </w:r>
    </w:p>
    <w:p w:rsidR="00831A1E" w:rsidRPr="00BF6B9C" w:rsidRDefault="00831A1E" w:rsidP="00F36B65">
      <w:pPr>
        <w:spacing w:after="200" w:line="276" w:lineRule="auto"/>
        <w:ind w:left="0" w:right="-93"/>
        <w:contextualSpacing/>
        <w:jc w:val="both"/>
        <w:rPr>
          <w:rFonts w:ascii="Bookman Old Style" w:eastAsia="Calibri" w:hAnsi="Bookman Old Style" w:cs="Arial"/>
          <w:b/>
          <w:lang w:val="es-CO" w:eastAsia="en-US"/>
        </w:rPr>
      </w:pPr>
    </w:p>
    <w:p w:rsidR="003034E2" w:rsidRPr="00BF6B9C" w:rsidRDefault="00956824" w:rsidP="00B565E2">
      <w:pPr>
        <w:spacing w:after="200"/>
        <w:ind w:left="0" w:right="-91"/>
        <w:contextualSpacing/>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La inversión base es la que</w:t>
      </w:r>
      <w:r w:rsidR="000E7A38" w:rsidRPr="00BF6B9C">
        <w:rPr>
          <w:rFonts w:ascii="Bookman Old Style" w:eastAsia="Calibri" w:hAnsi="Bookman Old Style" w:cs="Arial"/>
          <w:lang w:val="es-CO" w:eastAsia="en-US"/>
        </w:rPr>
        <w:t xml:space="preserve"> se reconoce en los cargos de distribución y</w:t>
      </w:r>
      <w:r w:rsidRPr="00BF6B9C">
        <w:rPr>
          <w:rFonts w:ascii="Bookman Old Style" w:eastAsia="Calibri" w:hAnsi="Bookman Old Style" w:cs="Arial"/>
          <w:lang w:val="es-CO" w:eastAsia="en-US"/>
        </w:rPr>
        <w:t xml:space="preserve"> debe </w:t>
      </w:r>
      <w:r w:rsidR="000E7A38" w:rsidRPr="00BF6B9C">
        <w:rPr>
          <w:rFonts w:ascii="Bookman Old Style" w:eastAsia="Calibri" w:hAnsi="Bookman Old Style" w:cs="Arial"/>
          <w:lang w:val="es-CO" w:eastAsia="en-US"/>
        </w:rPr>
        <w:t xml:space="preserve"> corresponde</w:t>
      </w:r>
      <w:r w:rsidRPr="00BF6B9C">
        <w:rPr>
          <w:rFonts w:ascii="Bookman Old Style" w:eastAsia="Calibri" w:hAnsi="Bookman Old Style" w:cs="Arial"/>
          <w:lang w:val="es-CO" w:eastAsia="en-US"/>
        </w:rPr>
        <w:t>r</w:t>
      </w:r>
      <w:r w:rsidR="000E7A38" w:rsidRPr="00BF6B9C">
        <w:rPr>
          <w:rFonts w:ascii="Bookman Old Style" w:eastAsia="Calibri" w:hAnsi="Bookman Old Style" w:cs="Arial"/>
          <w:lang w:val="es-CO" w:eastAsia="en-US"/>
        </w:rPr>
        <w:t xml:space="preserve"> al dimensionamiento del sistema de distribución de acuerdo con la demanda de volumen, </w:t>
      </w:r>
      <w:r w:rsidRPr="00BF6B9C">
        <w:rPr>
          <w:rFonts w:ascii="Bookman Old Style" w:eastAsia="Calibri" w:hAnsi="Bookman Old Style" w:cs="Arial"/>
          <w:lang w:val="es-CO" w:eastAsia="en-US"/>
        </w:rPr>
        <w:t>sistema</w:t>
      </w:r>
      <w:r w:rsidR="000E7A38" w:rsidRPr="00BF6B9C">
        <w:rPr>
          <w:rFonts w:ascii="Bookman Old Style" w:eastAsia="Calibri" w:hAnsi="Bookman Old Style" w:cs="Arial"/>
          <w:lang w:val="es-CO" w:eastAsia="en-US"/>
        </w:rPr>
        <w:t xml:space="preserve"> valorado con los costos eficientes establecidos para cada una de las unidades constructivas. </w:t>
      </w:r>
    </w:p>
    <w:p w:rsidR="003034E2" w:rsidRPr="00BF6B9C" w:rsidRDefault="003034E2" w:rsidP="00B565E2">
      <w:pPr>
        <w:spacing w:after="200"/>
        <w:ind w:left="0" w:right="-91"/>
        <w:contextualSpacing/>
        <w:jc w:val="both"/>
        <w:rPr>
          <w:rFonts w:ascii="Bookman Old Style" w:eastAsia="Calibri" w:hAnsi="Bookman Old Style" w:cs="Arial"/>
          <w:lang w:val="es-CO" w:eastAsia="en-US"/>
        </w:rPr>
      </w:pPr>
    </w:p>
    <w:p w:rsidR="00EB5842" w:rsidRPr="00BF6B9C" w:rsidRDefault="00EB5842" w:rsidP="00EB5842">
      <w:pPr>
        <w:spacing w:after="200"/>
        <w:ind w:left="0" w:right="-91"/>
        <w:contextualSpacing/>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La inversión base comprenderá: a) activos inherentes a la operación (estaciones de puerta de ciudad, gasoductos, estaciones de regulación, accesorios entre otros), b) otros activos (maquinaria y equipos, muebles, equipos de cómputo y comunicación, sistema de información) y c)  activos asociados al control de la calidad del servicio.</w:t>
      </w:r>
    </w:p>
    <w:p w:rsidR="00886F37" w:rsidRPr="00BF6B9C" w:rsidRDefault="00886F37" w:rsidP="00B565E2">
      <w:pPr>
        <w:spacing w:after="200"/>
        <w:ind w:left="0" w:right="-91"/>
        <w:contextualSpacing/>
        <w:jc w:val="both"/>
        <w:rPr>
          <w:rFonts w:ascii="Bookman Old Style" w:eastAsia="Calibri" w:hAnsi="Bookman Old Style" w:cs="Arial"/>
          <w:lang w:val="es-CO" w:eastAsia="en-US"/>
        </w:rPr>
      </w:pPr>
    </w:p>
    <w:p w:rsidR="003034E2" w:rsidRPr="00BF6B9C" w:rsidRDefault="008800C1" w:rsidP="00367F57">
      <w:pPr>
        <w:spacing w:after="200"/>
        <w:ind w:left="0" w:right="-91"/>
        <w:contextualSpacing/>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3034E2" w:rsidRPr="00BF6B9C">
        <w:rPr>
          <w:rFonts w:ascii="Bookman Old Style" w:eastAsia="Calibri" w:hAnsi="Bookman Old Style" w:cs="Arial"/>
          <w:b/>
          <w:lang w:val="es-CO" w:eastAsia="en-US"/>
        </w:rPr>
        <w:t>.3.</w:t>
      </w:r>
      <w:r w:rsidRPr="00BF6B9C">
        <w:rPr>
          <w:rFonts w:ascii="Bookman Old Style" w:eastAsia="Calibri" w:hAnsi="Bookman Old Style" w:cs="Arial"/>
          <w:b/>
          <w:lang w:val="es-CO" w:eastAsia="en-US"/>
        </w:rPr>
        <w:t>1</w:t>
      </w:r>
      <w:r w:rsidR="003034E2" w:rsidRPr="00BF6B9C">
        <w:rPr>
          <w:rFonts w:ascii="Bookman Old Style" w:eastAsia="Calibri" w:hAnsi="Bookman Old Style" w:cs="Arial"/>
          <w:b/>
          <w:lang w:val="es-CO" w:eastAsia="en-US"/>
        </w:rPr>
        <w:t xml:space="preserve">. </w:t>
      </w:r>
      <w:r w:rsidR="003034E2" w:rsidRPr="00BF6B9C">
        <w:rPr>
          <w:rFonts w:ascii="Bookman Old Style" w:hAnsi="Bookman Old Style" w:cs="Arial"/>
          <w:b/>
          <w:lang w:val="es-ES_tradnl"/>
        </w:rPr>
        <w:t>Programa de Nuevas Inversiones (IPNI)</w:t>
      </w:r>
      <w:r w:rsidR="00367F57" w:rsidRPr="00BF6B9C">
        <w:rPr>
          <w:rFonts w:ascii="Bookman Old Style" w:hAnsi="Bookman Old Style" w:cs="Arial"/>
          <w:b/>
          <w:lang w:val="es-ES_tradnl"/>
        </w:rPr>
        <w:t xml:space="preserve">.  </w:t>
      </w:r>
      <w:r w:rsidR="00481F9A" w:rsidRPr="00BF6B9C">
        <w:rPr>
          <w:rFonts w:ascii="Bookman Old Style" w:hAnsi="Bookman Old Style" w:cs="Arial"/>
          <w:lang w:val="es-ES_tradnl"/>
        </w:rPr>
        <w:t>E</w:t>
      </w:r>
      <w:r w:rsidR="00367F57" w:rsidRPr="00BF6B9C">
        <w:rPr>
          <w:rFonts w:ascii="Bookman Old Style" w:hAnsi="Bookman Old Style"/>
          <w:lang w:val="es-ES_tradnl"/>
        </w:rPr>
        <w:t>s la inversión del Programa de Nuevas Inversiones que se realizará en el Siguiente Período Tarifario. Esta homologada a las Unidades Constructivas definid</w:t>
      </w:r>
      <w:r w:rsidR="00481F9A" w:rsidRPr="00BF6B9C">
        <w:rPr>
          <w:rFonts w:ascii="Bookman Old Style" w:hAnsi="Bookman Old Style"/>
          <w:lang w:val="es-ES_tradnl"/>
        </w:rPr>
        <w:t>a</w:t>
      </w:r>
      <w:r w:rsidR="00367F57" w:rsidRPr="00BF6B9C">
        <w:rPr>
          <w:rFonts w:ascii="Bookman Old Style" w:hAnsi="Bookman Old Style"/>
          <w:lang w:val="es-ES_tradnl"/>
        </w:rPr>
        <w:t xml:space="preserve">s en el </w:t>
      </w:r>
      <w:r w:rsidR="00481F9A" w:rsidRPr="00BF6B9C">
        <w:rPr>
          <w:rFonts w:ascii="Bookman Old Style" w:hAnsi="Bookman Old Style"/>
          <w:lang w:val="es-ES_tradnl"/>
        </w:rPr>
        <w:t>ANEXO 8 de la Resolución CREG 202 de 2013.</w:t>
      </w:r>
    </w:p>
    <w:p w:rsidR="003034E2" w:rsidRPr="00BF6B9C" w:rsidRDefault="003034E2" w:rsidP="00A71343">
      <w:pPr>
        <w:spacing w:after="200"/>
        <w:ind w:left="0" w:right="-91"/>
        <w:contextualSpacing/>
        <w:jc w:val="both"/>
        <w:rPr>
          <w:rFonts w:ascii="Bookman Old Style" w:eastAsia="Calibri" w:hAnsi="Bookman Old Style" w:cs="Arial"/>
          <w:lang w:val="es-CO" w:eastAsia="en-US"/>
        </w:rPr>
      </w:pPr>
    </w:p>
    <w:p w:rsidR="00481F9A" w:rsidRPr="00BF6B9C" w:rsidRDefault="00481F9A" w:rsidP="00880F6B">
      <w:pPr>
        <w:spacing w:after="200"/>
        <w:ind w:left="0" w:right="-91"/>
        <w:contextualSpacing/>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p w:rsidR="00481F9A" w:rsidRPr="00BF6B9C" w:rsidRDefault="00481F9A" w:rsidP="00880F6B">
      <w:pPr>
        <w:spacing w:after="200"/>
        <w:ind w:left="0" w:right="-91"/>
        <w:contextualSpacing/>
        <w:jc w:val="both"/>
        <w:rPr>
          <w:rFonts w:ascii="Bookman Old Style" w:eastAsia="Calibri" w:hAnsi="Bookman Old Style" w:cs="Arial"/>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268"/>
        <w:gridCol w:w="1191"/>
        <w:gridCol w:w="1192"/>
        <w:gridCol w:w="1192"/>
        <w:gridCol w:w="1192"/>
      </w:tblGrid>
      <w:tr w:rsidR="00762BAC" w:rsidRPr="00BF6B9C" w:rsidTr="00D149B5">
        <w:trPr>
          <w:trHeight w:val="563"/>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rsidR="00762BAC" w:rsidRPr="00042D57" w:rsidRDefault="00113949"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ACTIVOS</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042D57" w:rsidRDefault="00762BAC"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AÑO 1</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042D57" w:rsidRDefault="00762BAC"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AÑO 2</w:t>
            </w: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042D57" w:rsidRDefault="00762BAC"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AÑO 3</w:t>
            </w: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042D57" w:rsidRDefault="00762BAC"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AÑO 4</w:t>
            </w:r>
          </w:p>
        </w:tc>
        <w:tc>
          <w:tcPr>
            <w:tcW w:w="11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042D57" w:rsidRDefault="00762BAC" w:rsidP="00793F3E">
            <w:pPr>
              <w:widowControl w:val="0"/>
              <w:adjustRightInd w:val="0"/>
              <w:ind w:left="0" w:right="20"/>
              <w:jc w:val="center"/>
              <w:rPr>
                <w:rFonts w:ascii="Bookman Old Style" w:hAnsi="Bookman Old Style" w:cs="Arial"/>
                <w:b/>
                <w:bCs/>
                <w:szCs w:val="22"/>
              </w:rPr>
            </w:pPr>
            <w:r w:rsidRPr="00042D57">
              <w:rPr>
                <w:rFonts w:ascii="Bookman Old Style" w:hAnsi="Bookman Old Style" w:cs="Arial"/>
                <w:b/>
                <w:bCs/>
                <w:szCs w:val="22"/>
              </w:rPr>
              <w:t>AÑO 5</w:t>
            </w:r>
          </w:p>
        </w:tc>
      </w:tr>
      <w:tr w:rsidR="00A43D36" w:rsidRPr="00BF6B9C" w:rsidTr="00D149B5">
        <w:trPr>
          <w:trHeight w:val="563"/>
          <w:jc w:val="center"/>
        </w:trPr>
        <w:tc>
          <w:tcPr>
            <w:tcW w:w="2263" w:type="dxa"/>
            <w:tcBorders>
              <w:top w:val="single" w:sz="4" w:space="0" w:color="auto"/>
              <w:left w:val="single" w:sz="4" w:space="0" w:color="auto"/>
              <w:bottom w:val="single" w:sz="4" w:space="0" w:color="auto"/>
              <w:right w:val="single" w:sz="4" w:space="0" w:color="auto"/>
            </w:tcBorders>
            <w:vAlign w:val="center"/>
          </w:tcPr>
          <w:p w:rsidR="00A43D36" w:rsidRPr="00042D57" w:rsidRDefault="00A43D36">
            <w:pPr>
              <w:ind w:left="172"/>
              <w:rPr>
                <w:rFonts w:ascii="Bookman Old Style" w:eastAsia="Arial Unicode MS" w:hAnsi="Bookman Old Style" w:cs="Arial"/>
                <w:szCs w:val="22"/>
              </w:rPr>
            </w:pPr>
            <w:r w:rsidRPr="00042D57">
              <w:rPr>
                <w:rFonts w:ascii="Bookman Old Style" w:hAnsi="Bookman Old Style" w:cs="Arial"/>
                <w:szCs w:val="22"/>
              </w:rPr>
              <w:t>Inherentes a la operación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3"/>
              <w:jc w:val="center"/>
              <w:rPr>
                <w:rFonts w:ascii="Bookman Old Style" w:hAnsi="Bookman Old Style"/>
                <w:color w:val="000000"/>
                <w:szCs w:val="22"/>
              </w:rPr>
            </w:pPr>
            <w:r w:rsidRPr="00042D57">
              <w:rPr>
                <w:rFonts w:ascii="Bookman Old Style" w:hAnsi="Bookman Old Style"/>
                <w:color w:val="000000"/>
                <w:szCs w:val="22"/>
              </w:rPr>
              <w:t>904.514.201,43</w:t>
            </w:r>
          </w:p>
        </w:tc>
        <w:tc>
          <w:tcPr>
            <w:tcW w:w="1191" w:type="dxa"/>
            <w:tcBorders>
              <w:top w:val="single" w:sz="4" w:space="0" w:color="auto"/>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single" w:sz="4" w:space="0" w:color="auto"/>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single" w:sz="4" w:space="0" w:color="auto"/>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single" w:sz="4" w:space="0" w:color="auto"/>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r>
      <w:tr w:rsidR="00A43D36" w:rsidRPr="00BF6B9C" w:rsidTr="00D149B5">
        <w:trPr>
          <w:trHeight w:val="56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A43D36" w:rsidRPr="00042D57" w:rsidRDefault="00A43D36">
            <w:pPr>
              <w:ind w:left="172"/>
              <w:rPr>
                <w:rFonts w:ascii="Bookman Old Style" w:hAnsi="Bookman Old Style" w:cs="Arial"/>
                <w:szCs w:val="22"/>
              </w:rPr>
            </w:pPr>
            <w:r w:rsidRPr="00042D57">
              <w:rPr>
                <w:rFonts w:ascii="Bookman Old Style" w:hAnsi="Bookman Old Style" w:cs="Arial"/>
                <w:szCs w:val="22"/>
              </w:rPr>
              <w:t>Especiales</w:t>
            </w:r>
          </w:p>
        </w:tc>
        <w:tc>
          <w:tcPr>
            <w:tcW w:w="2268" w:type="dxa"/>
            <w:tcBorders>
              <w:top w:val="nil"/>
              <w:left w:val="single" w:sz="4" w:space="0" w:color="auto"/>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3"/>
              <w:jc w:val="center"/>
              <w:rPr>
                <w:rFonts w:ascii="Bookman Old Style" w:hAnsi="Bookman Old Style"/>
                <w:color w:val="000000"/>
                <w:szCs w:val="22"/>
              </w:rPr>
            </w:pPr>
            <w:r w:rsidRPr="00042D57">
              <w:rPr>
                <w:rFonts w:ascii="Bookman Old Style" w:hAnsi="Bookman Old Style"/>
                <w:color w:val="000000"/>
                <w:szCs w:val="22"/>
              </w:rPr>
              <w:t>60.000.000,00</w:t>
            </w:r>
          </w:p>
        </w:tc>
        <w:tc>
          <w:tcPr>
            <w:tcW w:w="1191"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ind w:left="0"/>
              <w:jc w:val="center"/>
              <w:rPr>
                <w:rFonts w:ascii="Bookman Old Style" w:hAnsi="Bookman Old Style" w:cs="Arial"/>
                <w:b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r>
      <w:tr w:rsidR="00A43D36" w:rsidRPr="00BF6B9C" w:rsidTr="00D149B5">
        <w:trPr>
          <w:trHeight w:val="563"/>
          <w:jc w:val="center"/>
        </w:trPr>
        <w:tc>
          <w:tcPr>
            <w:tcW w:w="2263" w:type="dxa"/>
            <w:tcBorders>
              <w:top w:val="single" w:sz="4" w:space="0" w:color="auto"/>
              <w:left w:val="single" w:sz="4" w:space="0" w:color="auto"/>
              <w:bottom w:val="single" w:sz="4" w:space="0" w:color="auto"/>
              <w:right w:val="single" w:sz="4" w:space="0" w:color="auto"/>
            </w:tcBorders>
            <w:vAlign w:val="center"/>
          </w:tcPr>
          <w:p w:rsidR="00A43D36" w:rsidRPr="00042D57" w:rsidRDefault="00A43D36">
            <w:pPr>
              <w:ind w:left="172"/>
              <w:rPr>
                <w:rFonts w:ascii="Bookman Old Style" w:hAnsi="Bookman Old Style" w:cs="Arial"/>
                <w:szCs w:val="22"/>
              </w:rPr>
            </w:pPr>
            <w:r w:rsidRPr="00042D57">
              <w:rPr>
                <w:rFonts w:ascii="Bookman Old Style" w:hAnsi="Bookman Old Style" w:cs="Arial"/>
                <w:szCs w:val="22"/>
              </w:rPr>
              <w:t>Calidad del servicio</w:t>
            </w:r>
          </w:p>
        </w:tc>
        <w:tc>
          <w:tcPr>
            <w:tcW w:w="2268" w:type="dxa"/>
            <w:tcBorders>
              <w:top w:val="nil"/>
              <w:left w:val="single" w:sz="4" w:space="0" w:color="auto"/>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3"/>
              <w:jc w:val="center"/>
              <w:rPr>
                <w:rFonts w:ascii="Bookman Old Style" w:hAnsi="Bookman Old Style"/>
                <w:color w:val="000000"/>
                <w:szCs w:val="22"/>
              </w:rPr>
            </w:pPr>
            <w:r w:rsidRPr="00042D57">
              <w:rPr>
                <w:rFonts w:ascii="Bookman Old Style" w:hAnsi="Bookman Old Style"/>
                <w:color w:val="000000"/>
                <w:szCs w:val="22"/>
              </w:rPr>
              <w:t>26.908.060,36</w:t>
            </w:r>
          </w:p>
        </w:tc>
        <w:tc>
          <w:tcPr>
            <w:tcW w:w="1191"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ind w:left="0"/>
              <w:jc w:val="center"/>
              <w:rPr>
                <w:rFonts w:ascii="Bookman Old Style" w:hAnsi="Bookman Old Style" w:cs="Arial"/>
                <w:b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auto"/>
            <w:vAlign w:val="center"/>
          </w:tcPr>
          <w:p w:rsidR="00A43D36" w:rsidRPr="00042D57" w:rsidRDefault="00A43D36" w:rsidP="00042D57">
            <w:pPr>
              <w:widowControl w:val="0"/>
              <w:adjustRightInd w:val="0"/>
              <w:ind w:left="0" w:right="20"/>
              <w:jc w:val="center"/>
              <w:rPr>
                <w:rFonts w:ascii="Bookman Old Style" w:hAnsi="Bookman Old Style" w:cs="Arial"/>
                <w:iCs/>
                <w:szCs w:val="22"/>
              </w:rPr>
            </w:pPr>
            <w:r w:rsidRPr="00042D57">
              <w:rPr>
                <w:rFonts w:ascii="Calibri" w:hAnsi="Calibri"/>
                <w:color w:val="000000"/>
                <w:szCs w:val="22"/>
              </w:rPr>
              <w:t>-</w:t>
            </w:r>
          </w:p>
        </w:tc>
      </w:tr>
      <w:tr w:rsidR="00A43D36" w:rsidRPr="00BF6B9C" w:rsidTr="00D149B5">
        <w:trPr>
          <w:trHeight w:val="564"/>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3D36" w:rsidRPr="00042D57" w:rsidRDefault="00A43D36" w:rsidP="00A43D36">
            <w:pPr>
              <w:widowControl w:val="0"/>
              <w:adjustRightInd w:val="0"/>
              <w:ind w:left="0" w:right="20"/>
              <w:rPr>
                <w:rFonts w:ascii="Bookman Old Style" w:hAnsi="Bookman Old Style" w:cs="Arial"/>
                <w:b/>
                <w:bCs/>
                <w:szCs w:val="22"/>
              </w:rPr>
            </w:pPr>
            <w:r w:rsidRPr="00042D57">
              <w:rPr>
                <w:rFonts w:ascii="Bookman Old Style" w:hAnsi="Bookman Old Style" w:cs="Arial"/>
                <w:b/>
                <w:bCs/>
                <w:szCs w:val="22"/>
              </w:rPr>
              <w:t>Inversiones</w:t>
            </w:r>
          </w:p>
        </w:tc>
        <w:tc>
          <w:tcPr>
            <w:tcW w:w="22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43D36" w:rsidRPr="00042D57" w:rsidRDefault="00A43D36" w:rsidP="00042D57">
            <w:pPr>
              <w:widowControl w:val="0"/>
              <w:adjustRightInd w:val="0"/>
              <w:ind w:left="0" w:right="23"/>
              <w:jc w:val="center"/>
              <w:rPr>
                <w:rFonts w:ascii="Bookman Old Style" w:hAnsi="Bookman Old Style"/>
                <w:color w:val="000000"/>
                <w:szCs w:val="22"/>
              </w:rPr>
            </w:pPr>
            <w:r w:rsidRPr="00042D57">
              <w:rPr>
                <w:rFonts w:ascii="Bookman Old Style" w:hAnsi="Bookman Old Style"/>
                <w:color w:val="000000"/>
                <w:szCs w:val="22"/>
                <w:shd w:val="clear" w:color="auto" w:fill="D9D9D9" w:themeFill="background1" w:themeFillShade="D9"/>
              </w:rPr>
              <w:t>991.422.261,79</w:t>
            </w:r>
          </w:p>
        </w:tc>
        <w:tc>
          <w:tcPr>
            <w:tcW w:w="1191" w:type="dxa"/>
            <w:tcBorders>
              <w:top w:val="nil"/>
              <w:left w:val="nil"/>
              <w:bottom w:val="single" w:sz="4" w:space="0" w:color="auto"/>
              <w:right w:val="single" w:sz="4" w:space="0" w:color="auto"/>
            </w:tcBorders>
            <w:shd w:val="clear" w:color="auto" w:fill="D9D9D9" w:themeFill="background1" w:themeFillShade="D9"/>
            <w:vAlign w:val="center"/>
          </w:tcPr>
          <w:p w:rsidR="00A43D36" w:rsidRPr="00042D57" w:rsidRDefault="00A43D36" w:rsidP="00042D57">
            <w:pPr>
              <w:widowControl w:val="0"/>
              <w:adjustRightInd w:val="0"/>
              <w:ind w:left="0" w:right="20"/>
              <w:jc w:val="center"/>
              <w:rPr>
                <w:rFonts w:ascii="Bookman Old Style" w:hAnsi="Bookman Old Style" w:cs="Arial"/>
                <w:b/>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D9D9D9" w:themeFill="background1" w:themeFillShade="D9"/>
            <w:vAlign w:val="center"/>
          </w:tcPr>
          <w:p w:rsidR="00A43D36" w:rsidRPr="00042D57" w:rsidRDefault="00A43D36" w:rsidP="00042D57">
            <w:pPr>
              <w:widowControl w:val="0"/>
              <w:adjustRightInd w:val="0"/>
              <w:ind w:left="0" w:right="20"/>
              <w:jc w:val="center"/>
              <w:rPr>
                <w:rFonts w:ascii="Bookman Old Style" w:hAnsi="Bookman Old Style" w:cs="Arial"/>
                <w:b/>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D9D9D9" w:themeFill="background1" w:themeFillShade="D9"/>
            <w:vAlign w:val="center"/>
          </w:tcPr>
          <w:p w:rsidR="00A43D36" w:rsidRPr="00042D57" w:rsidRDefault="00A43D36" w:rsidP="00042D57">
            <w:pPr>
              <w:widowControl w:val="0"/>
              <w:adjustRightInd w:val="0"/>
              <w:ind w:left="0" w:right="20"/>
              <w:jc w:val="center"/>
              <w:rPr>
                <w:rFonts w:ascii="Bookman Old Style" w:hAnsi="Bookman Old Style" w:cs="Arial"/>
                <w:b/>
                <w:iCs/>
                <w:szCs w:val="22"/>
              </w:rPr>
            </w:pPr>
            <w:r w:rsidRPr="00042D57">
              <w:rPr>
                <w:rFonts w:ascii="Calibri" w:hAnsi="Calibri"/>
                <w:color w:val="000000"/>
                <w:szCs w:val="22"/>
              </w:rPr>
              <w:t>-</w:t>
            </w:r>
          </w:p>
        </w:tc>
        <w:tc>
          <w:tcPr>
            <w:tcW w:w="1192" w:type="dxa"/>
            <w:tcBorders>
              <w:top w:val="nil"/>
              <w:left w:val="nil"/>
              <w:bottom w:val="single" w:sz="4" w:space="0" w:color="auto"/>
              <w:right w:val="single" w:sz="4" w:space="0" w:color="auto"/>
            </w:tcBorders>
            <w:shd w:val="clear" w:color="auto" w:fill="D9D9D9" w:themeFill="background1" w:themeFillShade="D9"/>
            <w:vAlign w:val="center"/>
          </w:tcPr>
          <w:p w:rsidR="00A43D36" w:rsidRPr="00042D57" w:rsidRDefault="00A43D36" w:rsidP="00042D57">
            <w:pPr>
              <w:ind w:left="0"/>
              <w:jc w:val="center"/>
              <w:rPr>
                <w:rFonts w:ascii="Bookman Old Style" w:hAnsi="Bookman Old Style" w:cs="Arial"/>
                <w:b/>
                <w:szCs w:val="22"/>
                <w:lang w:val="es-CO" w:eastAsia="es-CO"/>
              </w:rPr>
            </w:pPr>
            <w:r w:rsidRPr="00042D57">
              <w:rPr>
                <w:rFonts w:ascii="Calibri" w:hAnsi="Calibri"/>
                <w:color w:val="000000"/>
                <w:szCs w:val="22"/>
              </w:rPr>
              <w:t>-</w:t>
            </w:r>
          </w:p>
        </w:tc>
      </w:tr>
    </w:tbl>
    <w:p w:rsidR="003034E2" w:rsidRPr="00BF6B9C" w:rsidRDefault="00704166" w:rsidP="00880F6B">
      <w:pPr>
        <w:spacing w:after="200"/>
        <w:ind w:left="851" w:right="-91" w:hanging="851"/>
        <w:contextualSpacing/>
        <w:jc w:val="both"/>
        <w:rPr>
          <w:rFonts w:ascii="Bookman Old Style" w:hAnsi="Bookman Old Style" w:cs="Arial"/>
        </w:rPr>
      </w:pPr>
      <w:r w:rsidRPr="00BF6B9C">
        <w:rPr>
          <w:rFonts w:ascii="Bookman Old Style" w:hAnsi="Bookman Old Style" w:cs="Arial"/>
        </w:rPr>
        <w:t>Cifras en pesos del 31 de diciembre de 2014</w:t>
      </w:r>
    </w:p>
    <w:p w:rsidR="00704166" w:rsidRDefault="00704166" w:rsidP="00880F6B">
      <w:pPr>
        <w:spacing w:after="200"/>
        <w:ind w:left="851" w:right="-91" w:hanging="851"/>
        <w:contextualSpacing/>
        <w:jc w:val="both"/>
        <w:rPr>
          <w:rFonts w:ascii="Bookman Old Style" w:eastAsia="Calibri" w:hAnsi="Bookman Old Style" w:cs="Arial"/>
          <w:lang w:val="es-CO" w:eastAsia="en-US"/>
        </w:rPr>
      </w:pPr>
    </w:p>
    <w:p w:rsidR="00042D57" w:rsidRPr="00BF6B9C" w:rsidRDefault="00042D57" w:rsidP="00880F6B">
      <w:pPr>
        <w:spacing w:after="200"/>
        <w:ind w:left="851" w:right="-91" w:hanging="851"/>
        <w:contextualSpacing/>
        <w:jc w:val="both"/>
        <w:rPr>
          <w:rFonts w:ascii="Bookman Old Style" w:eastAsia="Calibri" w:hAnsi="Bookman Old Style" w:cs="Arial"/>
          <w:lang w:val="es-CO" w:eastAsia="en-US"/>
        </w:rPr>
      </w:pPr>
    </w:p>
    <w:p w:rsidR="00886F37" w:rsidRPr="00BF6B9C" w:rsidRDefault="008800C1" w:rsidP="00886F37">
      <w:pPr>
        <w:ind w:left="0" w:right="-93"/>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886F37" w:rsidRPr="00BF6B9C">
        <w:rPr>
          <w:rFonts w:ascii="Bookman Old Style" w:eastAsia="Calibri" w:hAnsi="Bookman Old Style" w:cs="Arial"/>
          <w:b/>
          <w:lang w:val="es-CO" w:eastAsia="en-US"/>
        </w:rPr>
        <w:t>.3.</w:t>
      </w:r>
      <w:r w:rsidRPr="00BF6B9C">
        <w:rPr>
          <w:rFonts w:ascii="Bookman Old Style" w:eastAsia="Calibri" w:hAnsi="Bookman Old Style" w:cs="Arial"/>
          <w:b/>
          <w:lang w:val="es-CO" w:eastAsia="en-US"/>
        </w:rPr>
        <w:t>2</w:t>
      </w:r>
      <w:r w:rsidR="00886F37" w:rsidRPr="00BF6B9C">
        <w:rPr>
          <w:rFonts w:ascii="Bookman Old Style" w:eastAsia="Calibri" w:hAnsi="Bookman Old Style" w:cs="Arial"/>
          <w:b/>
          <w:lang w:val="es-CO" w:eastAsia="en-US"/>
        </w:rPr>
        <w:t xml:space="preserve">. </w:t>
      </w:r>
      <w:r w:rsidR="00704166" w:rsidRPr="00BF6B9C">
        <w:rPr>
          <w:rFonts w:ascii="Bookman Old Style" w:eastAsia="Calibri" w:hAnsi="Bookman Old Style" w:cs="Arial"/>
          <w:b/>
          <w:lang w:val="es-CO" w:eastAsia="en-US"/>
        </w:rPr>
        <w:t>O</w:t>
      </w:r>
      <w:r w:rsidR="00886F37" w:rsidRPr="00BF6B9C">
        <w:rPr>
          <w:rFonts w:ascii="Bookman Old Style" w:eastAsia="Calibri" w:hAnsi="Bookman Old Style" w:cs="Arial"/>
          <w:b/>
          <w:lang w:val="es-CO" w:eastAsia="en-US"/>
        </w:rPr>
        <w:t>tros activos</w:t>
      </w:r>
    </w:p>
    <w:p w:rsidR="00886F37" w:rsidRPr="00BF6B9C" w:rsidRDefault="00886F37" w:rsidP="00886F37">
      <w:pPr>
        <w:ind w:left="0" w:right="-93"/>
        <w:jc w:val="both"/>
        <w:rPr>
          <w:rFonts w:ascii="Bookman Old Style" w:eastAsia="Calibri" w:hAnsi="Bookman Old Style" w:cs="Arial"/>
          <w:b/>
          <w:lang w:val="es-CO" w:eastAsia="en-US"/>
        </w:rPr>
      </w:pPr>
    </w:p>
    <w:p w:rsidR="00886F37" w:rsidRPr="00BF6B9C" w:rsidRDefault="00704166" w:rsidP="00886F37">
      <w:pPr>
        <w:ind w:left="0" w:right="-93"/>
        <w:jc w:val="both"/>
        <w:rPr>
          <w:rFonts w:ascii="Bookman Old Style" w:eastAsia="Calibri" w:hAnsi="Bookman Old Style" w:cs="Arial"/>
          <w:lang w:val="es-CO" w:eastAsia="en-US"/>
        </w:rPr>
      </w:pPr>
      <w:r w:rsidRPr="00BF6B9C">
        <w:rPr>
          <w:rFonts w:ascii="Bookman Old Style" w:eastAsia="Calibri" w:hAnsi="Bookman Old Style" w:cs="Arial"/>
          <w:lang w:val="es-CO" w:eastAsia="en-US"/>
        </w:rPr>
        <w:t>Según lo señalado en la metodología, l</w:t>
      </w:r>
      <w:r w:rsidR="00886F37" w:rsidRPr="00BF6B9C">
        <w:rPr>
          <w:rFonts w:ascii="Bookman Old Style" w:eastAsia="Calibri" w:hAnsi="Bookman Old Style" w:cs="Arial"/>
          <w:lang w:val="es-CO" w:eastAsia="en-US"/>
        </w:rPr>
        <w:t>os otros activos reportados por las empresas no pueden ser superiores al monto en activos inherentes en operación e inversiones en terrenos e inmuebles por el porcentaje establecido conforme al Anexo 9 de la Resolución CREG 202 de 2013.</w:t>
      </w:r>
    </w:p>
    <w:p w:rsidR="00886F37" w:rsidRPr="00BF6B9C" w:rsidRDefault="00886F37" w:rsidP="00886F37">
      <w:pPr>
        <w:ind w:left="0" w:right="-93"/>
        <w:jc w:val="both"/>
        <w:rPr>
          <w:rFonts w:ascii="Bookman Old Style" w:eastAsia="Calibri" w:hAnsi="Bookman Old Style" w:cs="Arial"/>
          <w:lang w:val="es-CO" w:eastAsia="en-US"/>
        </w:rPr>
      </w:pPr>
    </w:p>
    <w:p w:rsidR="00886F37" w:rsidRPr="00BF6B9C" w:rsidRDefault="00886F37" w:rsidP="00886F37">
      <w:pPr>
        <w:ind w:left="0" w:right="-93"/>
        <w:jc w:val="both"/>
        <w:rPr>
          <w:rFonts w:ascii="Bookman Old Style" w:hAnsi="Bookman Old Style" w:cs="Arial"/>
          <w:bCs/>
        </w:rPr>
      </w:pPr>
      <w:r w:rsidRPr="00BF6B9C">
        <w:rPr>
          <w:rFonts w:ascii="Bookman Old Style" w:hAnsi="Bookman Old Style" w:cs="Arial"/>
          <w:bCs/>
        </w:rPr>
        <w:t>Mediante la Circular CREG 105 de 2015</w:t>
      </w:r>
      <w:r w:rsidR="0010055F" w:rsidRPr="00BF6B9C">
        <w:rPr>
          <w:rFonts w:ascii="Bookman Old Style" w:hAnsi="Bookman Old Style" w:cs="Arial"/>
          <w:bCs/>
        </w:rPr>
        <w:t>,</w:t>
      </w:r>
      <w:r w:rsidRPr="00BF6B9C">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BF6B9C">
        <w:rPr>
          <w:rFonts w:ascii="Bookman Old Style" w:hAnsi="Bookman Old Style" w:cs="Arial"/>
          <w:bCs/>
        </w:rPr>
        <w:t xml:space="preserve"> El procedimiento para establecer esta variable también fue revocado mediante la Resolución CREG </w:t>
      </w:r>
      <w:r w:rsidR="00601622" w:rsidRPr="00BF6B9C">
        <w:rPr>
          <w:rFonts w:ascii="Bookman Old Style" w:hAnsi="Bookman Old Style" w:cs="Arial"/>
          <w:bCs/>
        </w:rPr>
        <w:t>093</w:t>
      </w:r>
      <w:r w:rsidR="00AF577E" w:rsidRPr="00BF6B9C">
        <w:rPr>
          <w:rFonts w:ascii="Bookman Old Style" w:hAnsi="Bookman Old Style" w:cs="Arial"/>
          <w:bCs/>
        </w:rPr>
        <w:t xml:space="preserve"> de 2016, esto t</w:t>
      </w:r>
      <w:r w:rsidRPr="00BF6B9C">
        <w:rPr>
          <w:rFonts w:ascii="Bookman Old Style" w:hAnsi="Bookman Old Style" w:cs="Arial"/>
          <w:bCs/>
        </w:rPr>
        <w:t xml:space="preserve">eniendo en cuenta que la función toma como insumo el valor de AOM resultante de la aplicación de lo dispuesto en el Anexo 10 de la </w:t>
      </w:r>
      <w:r w:rsidR="004A5E41" w:rsidRPr="00BF6B9C">
        <w:rPr>
          <w:rFonts w:ascii="Bookman Old Style" w:hAnsi="Bookman Old Style" w:cs="Arial"/>
          <w:bCs/>
        </w:rPr>
        <w:t>R</w:t>
      </w:r>
      <w:r w:rsidRPr="00BF6B9C">
        <w:rPr>
          <w:rFonts w:ascii="Bookman Old Style" w:hAnsi="Bookman Old Style" w:cs="Arial"/>
          <w:bCs/>
        </w:rPr>
        <w:t xml:space="preserve">esolución CREG 202 de 2013, los problemas encontrados en la medición de los gastos de AOM por la calidad de la información contable </w:t>
      </w:r>
      <w:r w:rsidR="000E7F51" w:rsidRPr="00BF6B9C">
        <w:rPr>
          <w:rFonts w:ascii="Bookman Old Style" w:hAnsi="Bookman Old Style" w:cs="Arial"/>
          <w:bCs/>
        </w:rPr>
        <w:t xml:space="preserve">y las asimetrías en dicha información </w:t>
      </w:r>
      <w:r w:rsidRPr="00BF6B9C">
        <w:rPr>
          <w:rFonts w:ascii="Bookman Old Style" w:hAnsi="Bookman Old Style" w:cs="Arial"/>
          <w:bCs/>
        </w:rPr>
        <w:t xml:space="preserve">afectan </w:t>
      </w:r>
      <w:r w:rsidR="000E7F51" w:rsidRPr="00BF6B9C">
        <w:rPr>
          <w:rFonts w:ascii="Bookman Old Style" w:hAnsi="Bookman Old Style" w:cs="Arial"/>
          <w:bCs/>
        </w:rPr>
        <w:t>igualmente</w:t>
      </w:r>
      <w:r w:rsidRPr="00BF6B9C">
        <w:rPr>
          <w:rFonts w:ascii="Bookman Old Style" w:hAnsi="Bookman Old Style" w:cs="Arial"/>
          <w:bCs/>
        </w:rPr>
        <w:t xml:space="preserve"> el cálculo del porcentaje de remuneración por otros activos. </w:t>
      </w:r>
      <w:r w:rsidR="00AF577E" w:rsidRPr="00BF6B9C">
        <w:rPr>
          <w:rFonts w:ascii="Bookman Old Style" w:hAnsi="Bookman Old Style" w:cs="Arial"/>
          <w:bCs/>
        </w:rPr>
        <w:t xml:space="preserve"> </w:t>
      </w:r>
    </w:p>
    <w:p w:rsidR="0007039A" w:rsidRPr="00BF6B9C" w:rsidRDefault="0007039A" w:rsidP="00886F37">
      <w:pPr>
        <w:ind w:left="0" w:right="-93"/>
        <w:jc w:val="both"/>
        <w:rPr>
          <w:rFonts w:ascii="Bookman Old Style" w:hAnsi="Bookman Old Style" w:cs="Arial"/>
          <w:bCs/>
        </w:rPr>
      </w:pPr>
    </w:p>
    <w:p w:rsidR="00AF577E" w:rsidRPr="00BF6B9C" w:rsidRDefault="00886F37" w:rsidP="00886F37">
      <w:pPr>
        <w:ind w:left="0" w:right="-93"/>
        <w:jc w:val="both"/>
        <w:rPr>
          <w:rFonts w:ascii="Bookman Old Style" w:hAnsi="Bookman Old Style" w:cs="Arial"/>
          <w:bCs/>
        </w:rPr>
      </w:pPr>
      <w:r w:rsidRPr="00BF6B9C">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BF6B9C">
        <w:rPr>
          <w:rFonts w:ascii="Bookman Old Style" w:hAnsi="Bookman Old Style" w:cs="Arial"/>
          <w:bCs/>
        </w:rPr>
        <w:t xml:space="preserve">86 </w:t>
      </w:r>
      <w:r w:rsidRPr="00BF6B9C">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BF6B9C">
        <w:rPr>
          <w:rFonts w:ascii="Bookman Old Style" w:hAnsi="Bookman Old Style" w:cs="Arial"/>
          <w:bCs/>
        </w:rPr>
        <w:t xml:space="preserve"> para establecer el porcentaje de otros activos a reconocer transitoriamente en Nuevos Mercados de Distribución así:</w:t>
      </w:r>
    </w:p>
    <w:p w:rsidR="00AF577E" w:rsidRPr="00BF6B9C" w:rsidRDefault="00AF577E" w:rsidP="00886F37">
      <w:pPr>
        <w:ind w:left="0" w:right="-93"/>
        <w:jc w:val="both"/>
        <w:rPr>
          <w:rFonts w:ascii="Bookman Old Style" w:hAnsi="Bookman Old Style" w:cs="Arial"/>
          <w:bCs/>
        </w:rPr>
      </w:pPr>
    </w:p>
    <w:p w:rsidR="008800C1" w:rsidRPr="00BF6B9C" w:rsidRDefault="008800C1" w:rsidP="008800C1">
      <w:pPr>
        <w:pStyle w:val="Prrafodelista"/>
        <w:ind w:left="0"/>
        <w:jc w:val="both"/>
        <w:rPr>
          <w:rFonts w:ascii="Bookman Old Style" w:hAnsi="Bookman Old Style" w:cs="Arial"/>
          <w:sz w:val="24"/>
          <w:szCs w:val="24"/>
          <w:lang w:val="es-ES_tradnl" w:eastAsia="es-CO"/>
        </w:rPr>
      </w:pPr>
      <w:r w:rsidRPr="00BF6B9C">
        <w:rPr>
          <w:rFonts w:ascii="Bookman Old Style" w:hAnsi="Bookman Old Style" w:cs="Arial"/>
          <w:sz w:val="24"/>
          <w:szCs w:val="24"/>
          <w:lang w:val="es-ES_tradnl" w:eastAsia="es-CO"/>
        </w:rPr>
        <w:t>Teniendo en cuenta el valor de Otros Activos y el de activos presentados en la solicitud tarifaria por la empresa para los Mercados Relevantes de Distribución conformados por Municipios Nuevos se establecerá el porcentaje eficiente de Otros Activos así:</w:t>
      </w:r>
    </w:p>
    <w:p w:rsidR="008800C1" w:rsidRPr="00BF6B9C" w:rsidRDefault="008800C1" w:rsidP="008800C1">
      <w:pPr>
        <w:ind w:left="0"/>
        <w:jc w:val="both"/>
        <w:rPr>
          <w:rFonts w:ascii="Bookman Old Style" w:eastAsia="MS Mincho" w:hAnsi="Bookman Old Style" w:cs="Arial"/>
          <w:lang w:val="es-ES_tradnl" w:eastAsia="en-US"/>
        </w:rPr>
      </w:pPr>
    </w:p>
    <w:p w:rsidR="008800C1" w:rsidRPr="00BF6B9C" w:rsidRDefault="008800C1" w:rsidP="008800C1">
      <w:pPr>
        <w:ind w:left="0" w:right="-93"/>
        <w:jc w:val="center"/>
        <w:rPr>
          <w:rFonts w:ascii="Bookman Old Style" w:eastAsia="MS Mincho" w:hAnsi="Bookman Old Style" w:cs="Arial"/>
          <w:lang w:val="es-ES_tradnl" w:eastAsia="en-US"/>
        </w:rPr>
      </w:pPr>
      <w:r w:rsidRPr="00BF6B9C">
        <w:rPr>
          <w:rFonts w:eastAsia="MS Mincho"/>
          <w:noProof/>
          <w:lang w:val="es-CO" w:eastAsia="es-CO"/>
        </w:rPr>
        <w:drawing>
          <wp:inline distT="0" distB="0" distL="0" distR="0" wp14:anchorId="27C7EDBA" wp14:editId="3BF7D063">
            <wp:extent cx="5937885" cy="1663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885" cy="166370"/>
                    </a:xfrm>
                    <a:prstGeom prst="rect">
                      <a:avLst/>
                    </a:prstGeom>
                    <a:noFill/>
                    <a:ln>
                      <a:noFill/>
                    </a:ln>
                  </pic:spPr>
                </pic:pic>
              </a:graphicData>
            </a:graphic>
          </wp:inline>
        </w:drawing>
      </w:r>
    </w:p>
    <w:p w:rsidR="008800C1" w:rsidRPr="00BF6B9C" w:rsidRDefault="008800C1" w:rsidP="008800C1">
      <w:pPr>
        <w:ind w:left="0" w:right="-93"/>
        <w:jc w:val="both"/>
        <w:rPr>
          <w:rFonts w:ascii="Bookman Old Style" w:eastAsia="MS Mincho" w:hAnsi="Bookman Old Style" w:cs="Arial"/>
          <w:lang w:val="es-ES_tradnl" w:eastAsia="en-US"/>
        </w:rPr>
      </w:pPr>
    </w:p>
    <w:p w:rsidR="008800C1" w:rsidRPr="00BF6B9C" w:rsidRDefault="008800C1" w:rsidP="008800C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donde:</w:t>
      </w:r>
    </w:p>
    <w:p w:rsidR="008800C1" w:rsidRPr="00BF6B9C" w:rsidRDefault="008800C1" w:rsidP="008800C1">
      <w:pPr>
        <w:ind w:left="0" w:right="-93"/>
        <w:jc w:val="both"/>
        <w:rPr>
          <w:rFonts w:ascii="Bookman Old Style" w:eastAsia="MS Mincho" w:hAnsi="Bookman Old Style" w:cs="Arial"/>
          <w:lang w:val="es-ES_tradnl" w:eastAsia="en-US"/>
        </w:rPr>
      </w:pPr>
    </w:p>
    <w:tbl>
      <w:tblPr>
        <w:tblW w:w="0" w:type="auto"/>
        <w:tblLook w:val="04A0" w:firstRow="1" w:lastRow="0" w:firstColumn="1" w:lastColumn="0" w:noHBand="0" w:noVBand="1"/>
      </w:tblPr>
      <w:tblGrid>
        <w:gridCol w:w="2227"/>
        <w:gridCol w:w="7129"/>
      </w:tblGrid>
      <w:tr w:rsidR="008800C1" w:rsidRPr="00BF6B9C" w:rsidTr="00EF3AB1">
        <w:tc>
          <w:tcPr>
            <w:tcW w:w="2235" w:type="dxa"/>
            <w:shd w:val="clear" w:color="auto" w:fill="auto"/>
          </w:tcPr>
          <w:p w:rsidR="008800C1" w:rsidRPr="00BF6B9C" w:rsidRDefault="00DD3035"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r>
                      <m:rPr>
                        <m:sty m:val="p"/>
                      </m:rPr>
                      <w:rPr>
                        <w:rFonts w:ascii="Cambria Math" w:eastAsia="MS Mincho" w:hAnsi="Cambria Math" w:cs="Arial"/>
                        <w:lang w:val="es-ES_tradnl" w:eastAsia="en-US"/>
                      </w:rPr>
                      <m:t>eficiente</m:t>
                    </m:r>
                  </m:sub>
                </m:sSub>
              </m:oMath>
            </m:oMathPara>
          </w:p>
        </w:tc>
        <w:tc>
          <w:tcPr>
            <w:tcW w:w="7261"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 xml:space="preserve">Porcentaje de Otros Activos eficiente que se reconocerá en los cargos de distribución de los mercados relevantes de distribución para el siguiente periodo tarifario. </w:t>
            </w:r>
            <w:r w:rsidRPr="00BF6B9C">
              <w:rPr>
                <w:rFonts w:ascii="Bookman Old Style" w:hAnsi="Bookman Old Style" w:cs="Helv"/>
                <w:color w:val="000000"/>
                <w:lang w:val="es-CO" w:eastAsia="es-CO"/>
              </w:rPr>
              <w:t>Este  porcentaje se aplicará conforme a lo establecido en el literal b) del numeral 9.4 del artículo 9 de la Resolución CREG 202 de 2013.</w:t>
            </w:r>
          </w:p>
          <w:p w:rsidR="008800C1" w:rsidRPr="00BF6B9C" w:rsidRDefault="008800C1" w:rsidP="00EF3AB1">
            <w:pPr>
              <w:ind w:left="0" w:right="-93"/>
              <w:jc w:val="both"/>
              <w:rPr>
                <w:rFonts w:ascii="Bookman Old Style" w:eastAsia="MS Mincho" w:hAnsi="Bookman Old Style" w:cs="Arial"/>
                <w:lang w:val="es-ES_tradnl" w:eastAsia="en-US"/>
              </w:rPr>
            </w:pPr>
          </w:p>
        </w:tc>
      </w:tr>
      <w:tr w:rsidR="008800C1" w:rsidRPr="00BF6B9C" w:rsidTr="00EF3AB1">
        <w:tc>
          <w:tcPr>
            <w:tcW w:w="2235" w:type="dxa"/>
            <w:shd w:val="clear" w:color="auto" w:fill="auto"/>
          </w:tcPr>
          <w:p w:rsidR="008800C1" w:rsidRPr="00BF6B9C" w:rsidRDefault="00DD3035"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m:t>
                    </m:r>
                  </m:sub>
                </m:sSub>
              </m:oMath>
            </m:oMathPara>
          </w:p>
        </w:tc>
        <w:tc>
          <w:tcPr>
            <w:tcW w:w="7261"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Porcentaje de Otros Activos resultante del reporte de la empresa en la solicitud tarifaria.</w:t>
            </w:r>
          </w:p>
          <w:p w:rsidR="008800C1" w:rsidRPr="00BF6B9C" w:rsidRDefault="008800C1" w:rsidP="00EF3AB1">
            <w:pPr>
              <w:ind w:left="0" w:right="-93"/>
              <w:jc w:val="both"/>
              <w:rPr>
                <w:rFonts w:ascii="Bookman Old Style" w:eastAsia="MS Mincho" w:hAnsi="Bookman Old Style" w:cs="Arial"/>
                <w:lang w:val="es-ES_tradnl" w:eastAsia="en-US"/>
              </w:rPr>
            </w:pPr>
          </w:p>
        </w:tc>
      </w:tr>
      <w:tr w:rsidR="008800C1" w:rsidRPr="00BF6B9C" w:rsidTr="00EF3AB1">
        <w:tc>
          <w:tcPr>
            <w:tcW w:w="2235" w:type="dxa"/>
            <w:shd w:val="clear" w:color="auto" w:fill="auto"/>
          </w:tcPr>
          <w:p w:rsidR="008800C1" w:rsidRPr="00BF6B9C" w:rsidRDefault="00DD3035" w:rsidP="00EF3AB1">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oMath>
            </m:oMathPara>
          </w:p>
        </w:tc>
        <w:tc>
          <w:tcPr>
            <w:tcW w:w="7261" w:type="dxa"/>
            <w:shd w:val="clear" w:color="auto" w:fill="auto"/>
          </w:tcPr>
          <w:p w:rsidR="008800C1" w:rsidRPr="00BF6B9C" w:rsidRDefault="008800C1" w:rsidP="00EF3AB1">
            <w:pPr>
              <w:ind w:left="0" w:right="-93"/>
              <w:jc w:val="both"/>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V</w:t>
            </w:r>
            <w:r w:rsidRPr="00BF6B9C">
              <w:rPr>
                <w:rFonts w:ascii="Bookman Old Style" w:eastAsia="MS Mincho" w:hAnsi="Bookman Old Style"/>
                <w:lang w:val="es-ES_tradnl" w:eastAsia="en-US"/>
              </w:rPr>
              <w:t xml:space="preserve">alor de la posición central del conjunto de datos </w:t>
            </w:r>
            <w:r w:rsidRPr="00BF6B9C">
              <w:rPr>
                <w:rFonts w:ascii="Bookman Old Style" w:eastAsia="MS Mincho" w:hAnsi="Bookman Old Style" w:cs="Arial"/>
                <w:lang w:val="es-ES_tradnl" w:eastAsia="en-US"/>
              </w:rPr>
              <w:t>correspondientes a la semisuma de los porcentajes de los Otros Activos reportados y depurados (%OA</w:t>
            </w:r>
            <w:r w:rsidRPr="00BF6B9C">
              <w:rPr>
                <w:rFonts w:ascii="Bookman Old Style" w:eastAsia="MS Mincho" w:hAnsi="Bookman Old Style" w:cs="Arial"/>
                <w:vertAlign w:val="subscript"/>
                <w:lang w:val="es-ES_tradnl" w:eastAsia="en-US"/>
              </w:rPr>
              <w:t>ryd</w:t>
            </w:r>
            <w:r w:rsidRPr="00BF6B9C">
              <w:rPr>
                <w:rFonts w:ascii="Bookman Old Style" w:eastAsia="MS Mincho" w:hAnsi="Bookman Old Style" w:cs="Arial"/>
                <w:lang w:val="es-ES_tradnl" w:eastAsia="en-US"/>
              </w:rPr>
              <w:t>) y el porcentaje de Otros Activos remunerados actualmente en el cargo promedio de distribución aprobado mediante resolución particular conforme a la Resolución CREG 011 de 2003 (%OA</w:t>
            </w:r>
            <w:r w:rsidRPr="00BF6B9C">
              <w:rPr>
                <w:rFonts w:ascii="Bookman Old Style" w:eastAsia="MS Mincho" w:hAnsi="Bookman Old Style" w:cs="Arial"/>
                <w:vertAlign w:val="subscript"/>
                <w:lang w:val="es-ES_tradnl" w:eastAsia="en-US"/>
              </w:rPr>
              <w:t>rem</w:t>
            </w:r>
            <w:r w:rsidRPr="00BF6B9C">
              <w:rPr>
                <w:rFonts w:ascii="Bookman Old Style" w:eastAsia="MS Mincho" w:hAnsi="Bookman Old Style" w:cs="Arial"/>
                <w:lang w:val="es-ES_tradnl" w:eastAsia="en-US"/>
              </w:rPr>
              <w:t xml:space="preserve">), ordenados de menor a mayor y de cada una de las empresas consideradas en la Circular CREG 105 de 2015: </w:t>
            </w:r>
          </w:p>
          <w:p w:rsidR="008800C1" w:rsidRPr="00BF6B9C" w:rsidRDefault="008800C1" w:rsidP="00EF3AB1">
            <w:pPr>
              <w:ind w:left="0" w:right="-93"/>
              <w:jc w:val="both"/>
              <w:rPr>
                <w:rFonts w:ascii="Bookman Old Style" w:eastAsia="MS Mincho" w:hAnsi="Bookman Old Style" w:cs="Arial"/>
                <w:lang w:val="es-ES_tradnl" w:eastAsia="en-US"/>
              </w:rPr>
            </w:pPr>
          </w:p>
          <w:p w:rsidR="008800C1" w:rsidRPr="00BF6B9C" w:rsidRDefault="008800C1" w:rsidP="00EF3AB1">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lang w:val="es-ES_tradnl" w:eastAsia="en-US"/>
                  </w:rPr>
                  <m:t>Mediana</m:t>
                </m:r>
                <m:d>
                  <m:dPr>
                    <m:begChr m:val="["/>
                    <m:endChr m:val="]"/>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r>
                              <m:rPr>
                                <m:sty m:val="p"/>
                              </m:rPr>
                              <w:rPr>
                                <w:rFonts w:ascii="Cambria Math" w:eastAsia="MS Mincho" w:hAnsi="Cambria Math" w:cs="Arial"/>
                                <w:lang w:val="es-ES_tradnl" w:eastAsia="en-US"/>
                              </w:rPr>
                              <m:t>ryd</m:t>
                            </m:r>
                          </m:sub>
                        </m:sSub>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r>
                              <m:rPr>
                                <m:sty m:val="p"/>
                              </m:rPr>
                              <w:rPr>
                                <w:rFonts w:ascii="Cambria Math" w:eastAsia="MS Mincho" w:hAnsi="Cambria Math" w:cs="Arial"/>
                                <w:lang w:val="es-ES_tradnl" w:eastAsia="en-US"/>
                              </w:rPr>
                              <m:t>rem</m:t>
                            </m:r>
                          </m:sub>
                        </m:sSub>
                      </m:num>
                      <m:den>
                        <m:r>
                          <m:rPr>
                            <m:sty m:val="p"/>
                          </m:rPr>
                          <w:rPr>
                            <w:rFonts w:ascii="Cambria Math" w:eastAsia="MS Mincho" w:hAnsi="Cambria Math" w:cs="Arial"/>
                            <w:lang w:val="es-ES_tradnl" w:eastAsia="en-US"/>
                          </w:rPr>
                          <m:t>2</m:t>
                        </m:r>
                      </m:den>
                    </m:f>
                  </m:e>
                </m:d>
              </m:oMath>
            </m:oMathPara>
          </w:p>
          <w:p w:rsidR="008800C1" w:rsidRPr="00BF6B9C" w:rsidRDefault="008800C1" w:rsidP="00EF3AB1">
            <w:pPr>
              <w:ind w:left="0" w:right="-93"/>
              <w:jc w:val="both"/>
              <w:rPr>
                <w:rFonts w:ascii="Bookman Old Style" w:eastAsia="MS Mincho" w:hAnsi="Bookman Old Style" w:cs="Arial"/>
                <w:lang w:val="es-ES_tradnl" w:eastAsia="en-US"/>
              </w:rPr>
            </w:pPr>
          </w:p>
        </w:tc>
      </w:tr>
    </w:tbl>
    <w:p w:rsidR="00AF577E" w:rsidRPr="00BF6B9C" w:rsidRDefault="00AF577E" w:rsidP="00AF577E">
      <w:pPr>
        <w:ind w:left="0"/>
        <w:jc w:val="both"/>
        <w:rPr>
          <w:rFonts w:ascii="Bookman Old Style" w:hAnsi="Bookman Old Style" w:cs="Arial"/>
        </w:rPr>
      </w:pPr>
    </w:p>
    <w:p w:rsidR="00BF6B9C" w:rsidRDefault="00BF6B9C" w:rsidP="00AF577E">
      <w:pPr>
        <w:pStyle w:val="Prrafodelista"/>
        <w:ind w:left="0"/>
        <w:jc w:val="both"/>
        <w:rPr>
          <w:rFonts w:ascii="Bookman Old Style" w:hAnsi="Bookman Old Style" w:cs="Arial"/>
          <w:sz w:val="24"/>
          <w:szCs w:val="24"/>
          <w:lang w:val="es-ES_tradnl" w:eastAsia="es-CO"/>
        </w:rPr>
      </w:pPr>
    </w:p>
    <w:p w:rsidR="00AF577E" w:rsidRPr="00BF6B9C" w:rsidRDefault="00AF577E" w:rsidP="00AF577E">
      <w:pPr>
        <w:pStyle w:val="Prrafodelista"/>
        <w:ind w:left="0"/>
        <w:jc w:val="both"/>
        <w:rPr>
          <w:rFonts w:ascii="Bookman Old Style" w:hAnsi="Bookman Old Style" w:cs="Arial"/>
          <w:sz w:val="24"/>
          <w:szCs w:val="24"/>
          <w:lang w:val="es-ES_tradnl" w:eastAsia="es-CO"/>
        </w:rPr>
      </w:pPr>
      <w:r w:rsidRPr="00BF6B9C">
        <w:rPr>
          <w:rFonts w:ascii="Bookman Old Style" w:hAnsi="Bookman Old Style" w:cs="Arial"/>
          <w:sz w:val="24"/>
          <w:szCs w:val="24"/>
          <w:lang w:val="es-ES_tradnl" w:eastAsia="es-CO"/>
        </w:rPr>
        <w:t xml:space="preserve">El monto correspondiente a otros activos se determinará conforme al porcentaje de otros activos eficiente y de acuerdo a lo indicado en el literal b) del numeral 9.4 del artículo 9 de la </w:t>
      </w:r>
      <w:r w:rsidR="00605582" w:rsidRPr="00BF6B9C">
        <w:rPr>
          <w:rFonts w:ascii="Bookman Old Style" w:hAnsi="Bookman Old Style" w:cs="Arial"/>
          <w:sz w:val="24"/>
          <w:szCs w:val="24"/>
          <w:lang w:val="es-ES_tradnl" w:eastAsia="es-CO"/>
        </w:rPr>
        <w:t>Resolución CREG 202 de 2013</w:t>
      </w:r>
      <w:r w:rsidR="00CA3C10" w:rsidRPr="00BF6B9C">
        <w:rPr>
          <w:rFonts w:ascii="Bookman Old Style" w:hAnsi="Bookman Old Style" w:cs="Arial"/>
          <w:sz w:val="24"/>
          <w:szCs w:val="24"/>
          <w:lang w:val="es-ES_tradnl" w:eastAsia="es-CO"/>
        </w:rPr>
        <w:t>.</w:t>
      </w:r>
    </w:p>
    <w:p w:rsidR="00AF577E" w:rsidRPr="00BF6B9C" w:rsidRDefault="00AF577E" w:rsidP="00886F37">
      <w:pPr>
        <w:ind w:left="0" w:right="-93"/>
        <w:jc w:val="both"/>
        <w:rPr>
          <w:rFonts w:ascii="Bookman Old Style" w:hAnsi="Bookman Old Style" w:cs="Arial"/>
          <w:bCs/>
        </w:rPr>
      </w:pPr>
    </w:p>
    <w:p w:rsidR="00880F6B" w:rsidRPr="00BF6B9C" w:rsidRDefault="00AF577E" w:rsidP="00F35317">
      <w:pPr>
        <w:ind w:left="0" w:right="-91"/>
        <w:contextualSpacing/>
        <w:jc w:val="both"/>
        <w:rPr>
          <w:rFonts w:ascii="Bookman Old Style" w:eastAsia="Calibri" w:hAnsi="Bookman Old Style" w:cs="Arial"/>
          <w:lang w:eastAsia="en-US"/>
        </w:rPr>
      </w:pPr>
      <w:r w:rsidRPr="00BF6B9C">
        <w:rPr>
          <w:rFonts w:ascii="Bookman Old Style" w:eastAsia="Calibri" w:hAnsi="Bookman Old Style" w:cs="Arial"/>
          <w:lang w:eastAsia="en-US"/>
        </w:rPr>
        <w:t>Aquí también l</w:t>
      </w:r>
      <w:r w:rsidR="00093F91" w:rsidRPr="00BF6B9C">
        <w:rPr>
          <w:rFonts w:ascii="Bookman Old Style" w:eastAsia="Calibri" w:hAnsi="Bookman Old Style" w:cs="Arial"/>
          <w:lang w:eastAsia="en-US"/>
        </w:rPr>
        <w:t>a aplicación del criterio de eficiencia descrito</w:t>
      </w:r>
      <w:r w:rsidR="00635BCB" w:rsidRPr="00BF6B9C">
        <w:rPr>
          <w:rFonts w:ascii="Bookman Old Style" w:eastAsia="Calibri" w:hAnsi="Bookman Old Style" w:cs="Arial"/>
          <w:lang w:eastAsia="en-US"/>
        </w:rPr>
        <w:t xml:space="preserve"> </w:t>
      </w:r>
      <w:r w:rsidR="00880F6B" w:rsidRPr="00BF6B9C">
        <w:rPr>
          <w:rFonts w:ascii="Bookman Old Style" w:eastAsia="Calibri" w:hAnsi="Bookman Old Style" w:cs="Arial"/>
          <w:lang w:eastAsia="en-US"/>
        </w:rPr>
        <w:t>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r w:rsidR="00F35317" w:rsidRPr="00BF6B9C">
        <w:rPr>
          <w:rFonts w:ascii="Bookman Old Style" w:eastAsia="Calibri" w:hAnsi="Bookman Old Style" w:cs="Arial"/>
          <w:lang w:eastAsia="en-US"/>
        </w:rPr>
        <w:t>.</w:t>
      </w:r>
    </w:p>
    <w:p w:rsidR="00880F6B" w:rsidRPr="00BF6B9C" w:rsidRDefault="00880F6B" w:rsidP="00880F6B">
      <w:pPr>
        <w:ind w:left="1062" w:right="-93"/>
        <w:jc w:val="both"/>
        <w:rPr>
          <w:rFonts w:ascii="Bookman Old Style" w:hAnsi="Bookman Old Style" w:cs="Arial"/>
          <w:bCs/>
          <w:lang w:val="es-ES_tradnl"/>
        </w:rPr>
      </w:pPr>
    </w:p>
    <w:p w:rsidR="00886F37" w:rsidRPr="00BF6B9C" w:rsidRDefault="008800C1" w:rsidP="00886F37">
      <w:pPr>
        <w:ind w:left="0" w:right="-93"/>
        <w:jc w:val="both"/>
        <w:rPr>
          <w:rFonts w:ascii="Bookman Old Style" w:eastAsia="Calibri" w:hAnsi="Bookman Old Style" w:cs="Arial"/>
          <w:b/>
          <w:lang w:val="es-CO" w:eastAsia="en-US"/>
        </w:rPr>
      </w:pPr>
      <w:r w:rsidRPr="00BF6B9C">
        <w:rPr>
          <w:rFonts w:ascii="Bookman Old Style" w:eastAsia="Calibri" w:hAnsi="Bookman Old Style" w:cs="Arial"/>
          <w:b/>
          <w:lang w:val="es-CO" w:eastAsia="en-US"/>
        </w:rPr>
        <w:t>6</w:t>
      </w:r>
      <w:r w:rsidR="00886F37" w:rsidRPr="00BF6B9C">
        <w:rPr>
          <w:rFonts w:ascii="Bookman Old Style" w:eastAsia="Calibri" w:hAnsi="Bookman Old Style" w:cs="Arial"/>
          <w:b/>
          <w:lang w:val="es-CO" w:eastAsia="en-US"/>
        </w:rPr>
        <w:t>.3.</w:t>
      </w:r>
      <w:r w:rsidRPr="00BF6B9C">
        <w:rPr>
          <w:rFonts w:ascii="Bookman Old Style" w:eastAsia="Calibri" w:hAnsi="Bookman Old Style" w:cs="Arial"/>
          <w:b/>
          <w:lang w:val="es-CO" w:eastAsia="en-US"/>
        </w:rPr>
        <w:t>3</w:t>
      </w:r>
      <w:r w:rsidR="00886F37" w:rsidRPr="00BF6B9C">
        <w:rPr>
          <w:rFonts w:ascii="Bookman Old Style" w:eastAsia="Calibri" w:hAnsi="Bookman Old Style" w:cs="Arial"/>
          <w:b/>
          <w:lang w:val="es-CO" w:eastAsia="en-US"/>
        </w:rPr>
        <w:t>. Inversión de Recursos Públicos</w:t>
      </w:r>
    </w:p>
    <w:p w:rsidR="00886F37" w:rsidRPr="00BF6B9C" w:rsidRDefault="00886F37" w:rsidP="00886F37">
      <w:pPr>
        <w:ind w:left="0" w:right="-93"/>
        <w:jc w:val="both"/>
        <w:rPr>
          <w:rFonts w:ascii="Bookman Old Style" w:eastAsia="Calibri" w:hAnsi="Bookman Old Style" w:cs="Arial"/>
          <w:b/>
          <w:lang w:val="es-CO" w:eastAsia="en-US"/>
        </w:rPr>
      </w:pPr>
    </w:p>
    <w:p w:rsidR="00831A1E" w:rsidRPr="00BF6B9C" w:rsidRDefault="00CC276B" w:rsidP="00831A1E">
      <w:pPr>
        <w:ind w:left="0" w:right="-93"/>
        <w:jc w:val="both"/>
        <w:rPr>
          <w:rFonts w:ascii="Bookman Old Style" w:hAnsi="Bookman Old Style" w:cs="Arial"/>
          <w:lang w:val="es-CO" w:eastAsia="es-CO"/>
        </w:rPr>
      </w:pPr>
      <w:r w:rsidRPr="00BF6B9C">
        <w:rPr>
          <w:rFonts w:ascii="Bookman Old Style" w:hAnsi="Bookman Old Style" w:cs="Arial"/>
          <w:bCs/>
        </w:rPr>
        <w:t>L</w:t>
      </w:r>
      <w:r w:rsidR="00831A1E" w:rsidRPr="00BF6B9C">
        <w:rPr>
          <w:rFonts w:ascii="Bookman Old Style" w:hAnsi="Bookman Old Style" w:cs="Arial"/>
          <w:bCs/>
        </w:rPr>
        <w:t xml:space="preserve">os recursos públicos permiten viabilizar </w:t>
      </w:r>
      <w:r w:rsidR="0024290F" w:rsidRPr="00BF6B9C">
        <w:rPr>
          <w:rFonts w:ascii="Bookman Old Style" w:hAnsi="Bookman Old Style" w:cs="Arial"/>
          <w:bCs/>
        </w:rPr>
        <w:t>y/</w:t>
      </w:r>
      <w:r w:rsidR="00831A1E" w:rsidRPr="00BF6B9C">
        <w:rPr>
          <w:rFonts w:ascii="Bookman Old Style" w:hAnsi="Bookman Old Style" w:cs="Arial"/>
          <w:bCs/>
        </w:rPr>
        <w:t>o incentivar la construcción de infraestructura para el uso del gas combustible por redes de tubería en las poblaciones que no son atractivas para que las empresas privadas lleven</w:t>
      </w:r>
      <w:r w:rsidR="0024290F" w:rsidRPr="00BF6B9C">
        <w:rPr>
          <w:rFonts w:ascii="Bookman Old Style" w:hAnsi="Bookman Old Style" w:cs="Arial"/>
          <w:bCs/>
        </w:rPr>
        <w:t xml:space="preserve"> el servicio</w:t>
      </w:r>
      <w:r w:rsidR="00980814" w:rsidRPr="00BF6B9C">
        <w:rPr>
          <w:rFonts w:ascii="Bookman Old Style" w:hAnsi="Bookman Old Style" w:cs="Arial"/>
          <w:bCs/>
        </w:rPr>
        <w:t>, por condiciones tales como localización, tamaño y demanda del servicio</w:t>
      </w:r>
      <w:r w:rsidR="0024290F" w:rsidRPr="00BF6B9C">
        <w:rPr>
          <w:rFonts w:ascii="Bookman Old Style" w:hAnsi="Bookman Old Style" w:cs="Arial"/>
          <w:bCs/>
        </w:rPr>
        <w:t>.</w:t>
      </w:r>
      <w:r w:rsidR="00831A1E" w:rsidRPr="00BF6B9C">
        <w:rPr>
          <w:rFonts w:ascii="Bookman Old Style" w:hAnsi="Bookman Old Style" w:cs="Arial"/>
          <w:bCs/>
        </w:rPr>
        <w:t xml:space="preserve"> Esto</w:t>
      </w:r>
      <w:r w:rsidR="00D54D2B" w:rsidRPr="00BF6B9C">
        <w:rPr>
          <w:rFonts w:ascii="Bookman Old Style" w:hAnsi="Bookman Old Style" w:cs="Arial"/>
          <w:bCs/>
        </w:rPr>
        <w:t xml:space="preserve">s aportes se hacen con fundamento en </w:t>
      </w:r>
      <w:r w:rsidR="00831A1E" w:rsidRPr="00BF6B9C">
        <w:rPr>
          <w:rFonts w:ascii="Bookman Old Style" w:hAnsi="Bookman Old Style" w:cs="Arial"/>
          <w:bCs/>
        </w:rPr>
        <w:t xml:space="preserve"> el</w:t>
      </w:r>
      <w:r w:rsidR="00831A1E" w:rsidRPr="00BF6B9C">
        <w:rPr>
          <w:rFonts w:ascii="Bookman Old Style" w:hAnsi="Bookman Old Style" w:cs="Arial"/>
          <w:lang w:val="es-CO" w:eastAsia="es-CO"/>
        </w:rPr>
        <w:t xml:space="preserve"> artículo 87.9 de la Ley 142 de 1994, modificado por el artículo 99 de la Ley 1450 de 2011</w:t>
      </w:r>
      <w:r w:rsidR="00D54D2B" w:rsidRPr="00BF6B9C">
        <w:rPr>
          <w:rFonts w:ascii="Bookman Old Style" w:hAnsi="Bookman Old Style" w:cs="Arial"/>
          <w:lang w:val="es-CO" w:eastAsia="es-CO"/>
        </w:rPr>
        <w:t>,</w:t>
      </w:r>
      <w:r w:rsidR="00831A1E" w:rsidRPr="00BF6B9C">
        <w:rPr>
          <w:rFonts w:ascii="Bookman Old Style" w:hAnsi="Bookman Old Style" w:cs="Arial"/>
          <w:lang w:val="es-CO" w:eastAsia="es-CO"/>
        </w:rPr>
        <w:t xml:space="preserve"> el cual establece que: </w:t>
      </w:r>
    </w:p>
    <w:p w:rsidR="00831A1E" w:rsidRPr="00BF6B9C" w:rsidRDefault="00831A1E" w:rsidP="00831A1E">
      <w:pPr>
        <w:ind w:left="0" w:right="-93"/>
        <w:jc w:val="both"/>
        <w:rPr>
          <w:rFonts w:ascii="Bookman Old Style" w:hAnsi="Bookman Old Style" w:cs="Arial"/>
          <w:lang w:val="es-CO" w:eastAsia="es-CO"/>
        </w:rPr>
      </w:pPr>
    </w:p>
    <w:p w:rsidR="00831A1E" w:rsidRPr="00BF6B9C" w:rsidRDefault="00831A1E" w:rsidP="00831A1E">
      <w:pPr>
        <w:ind w:left="284" w:right="284"/>
        <w:jc w:val="both"/>
        <w:rPr>
          <w:rFonts w:ascii="Arial" w:hAnsi="Arial" w:cs="Arial"/>
          <w:i/>
          <w:lang w:val="es-CO" w:eastAsia="es-CO"/>
        </w:rPr>
      </w:pPr>
      <w:r w:rsidRPr="00BF6B9C">
        <w:rPr>
          <w:rFonts w:ascii="Bookman Old Style" w:hAnsi="Bookman Old Style" w:cs="Arial"/>
          <w:i/>
          <w:lang w:val="es-CO" w:eastAsia="es-CO"/>
        </w:rPr>
        <w:t xml:space="preserve">“Las entidades públicas podrán aportar bienes o derechos a las empresas de servicios públicos domiciliarios, </w:t>
      </w:r>
      <w:r w:rsidRPr="00BF6B9C">
        <w:rPr>
          <w:rFonts w:ascii="Bookman Old Style" w:hAnsi="Bookman Old Style" w:cs="Arial"/>
          <w:bCs/>
          <w:i/>
          <w:lang w:val="es-CO" w:eastAsia="es-CO"/>
        </w:rPr>
        <w:t>siempre y cuando su valor no se incluya en el cálculo de las tarifas que hayan de cobrarse a los usuarios</w:t>
      </w:r>
      <w:r w:rsidRPr="00BF6B9C">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BF6B9C">
        <w:rPr>
          <w:rFonts w:ascii="Bookman Old Style" w:hAnsi="Bookman Old Style" w:cs="Arial"/>
          <w:bCs/>
          <w:i/>
          <w:lang w:val="es-CO" w:eastAsia="es-CO"/>
        </w:rPr>
        <w:t>Lo dispuesto en el presente artículo no es aplicable cuando se realice enajenación o capitalización de dichos bienes o derechos</w:t>
      </w:r>
      <w:r w:rsidRPr="00BF6B9C">
        <w:rPr>
          <w:rFonts w:ascii="Bookman Old Style" w:hAnsi="Bookman Old Style" w:cs="Arial"/>
          <w:i/>
          <w:lang w:val="es-CO" w:eastAsia="es-CO"/>
        </w:rPr>
        <w:t xml:space="preserve">” </w:t>
      </w:r>
    </w:p>
    <w:p w:rsidR="00831A1E" w:rsidRPr="00BF6B9C" w:rsidRDefault="00831A1E" w:rsidP="00831A1E">
      <w:pPr>
        <w:ind w:left="0" w:right="-93"/>
        <w:jc w:val="both"/>
        <w:rPr>
          <w:rFonts w:ascii="Bookman Old Style" w:hAnsi="Bookman Old Style" w:cs="Arial"/>
          <w:bCs/>
        </w:rPr>
      </w:pPr>
    </w:p>
    <w:p w:rsidR="00831A1E" w:rsidRPr="00BF6B9C" w:rsidRDefault="00D54D2B" w:rsidP="00831A1E">
      <w:pPr>
        <w:ind w:left="0" w:right="-93"/>
        <w:jc w:val="both"/>
        <w:rPr>
          <w:rFonts w:ascii="Bookman Old Style" w:hAnsi="Bookman Old Style" w:cs="Arial"/>
          <w:bCs/>
        </w:rPr>
      </w:pPr>
      <w:r w:rsidRPr="00BF6B9C">
        <w:rPr>
          <w:rFonts w:ascii="Bookman Old Style" w:hAnsi="Bookman Old Style" w:cs="Arial"/>
          <w:bCs/>
        </w:rPr>
        <w:t xml:space="preserve">La norma </w:t>
      </w:r>
      <w:r w:rsidR="00831A1E" w:rsidRPr="00BF6B9C">
        <w:rPr>
          <w:rFonts w:ascii="Bookman Old Style" w:hAnsi="Bookman Old Style" w:cs="Arial"/>
          <w:bCs/>
        </w:rPr>
        <w:t xml:space="preserve"> permite que de</w:t>
      </w:r>
      <w:r w:rsidR="0024290F" w:rsidRPr="00BF6B9C">
        <w:rPr>
          <w:rFonts w:ascii="Bookman Old Style" w:hAnsi="Bookman Old Style" w:cs="Arial"/>
          <w:bCs/>
        </w:rPr>
        <w:t>ntro del cobro de</w:t>
      </w:r>
      <w:r w:rsidR="00831A1E" w:rsidRPr="00BF6B9C">
        <w:rPr>
          <w:rFonts w:ascii="Bookman Old Style" w:hAnsi="Bookman Old Style" w:cs="Arial"/>
          <w:bCs/>
        </w:rPr>
        <w:t xml:space="preserve"> las tarifas se descuenten los valores correspondientes a los montos </w:t>
      </w:r>
      <w:r w:rsidR="0024290F" w:rsidRPr="00BF6B9C">
        <w:rPr>
          <w:rFonts w:ascii="Bookman Old Style" w:hAnsi="Bookman Old Style" w:cs="Arial"/>
          <w:bCs/>
        </w:rPr>
        <w:t xml:space="preserve">de las inversiones que son </w:t>
      </w:r>
      <w:r w:rsidR="00831A1E" w:rsidRPr="00BF6B9C">
        <w:rPr>
          <w:rFonts w:ascii="Bookman Old Style" w:hAnsi="Bookman Old Style" w:cs="Arial"/>
          <w:bCs/>
        </w:rPr>
        <w:t>financiado</w:t>
      </w:r>
      <w:r w:rsidR="0024290F" w:rsidRPr="00BF6B9C">
        <w:rPr>
          <w:rFonts w:ascii="Bookman Old Style" w:hAnsi="Bookman Old Style" w:cs="Arial"/>
          <w:bCs/>
        </w:rPr>
        <w:t>s</w:t>
      </w:r>
      <w:r w:rsidR="00831A1E" w:rsidRPr="00BF6B9C">
        <w:rPr>
          <w:rFonts w:ascii="Bookman Old Style" w:hAnsi="Bookman Old Style" w:cs="Arial"/>
          <w:bCs/>
        </w:rPr>
        <w:t xml:space="preserve"> con </w:t>
      </w:r>
      <w:r w:rsidR="0024290F" w:rsidRPr="00BF6B9C">
        <w:rPr>
          <w:rFonts w:ascii="Bookman Old Style" w:hAnsi="Bookman Old Style" w:cs="Arial"/>
          <w:bCs/>
        </w:rPr>
        <w:t xml:space="preserve"> recursos</w:t>
      </w:r>
      <w:r w:rsidRPr="00BF6B9C">
        <w:rPr>
          <w:rFonts w:ascii="Bookman Old Style" w:hAnsi="Bookman Old Style" w:cs="Arial"/>
          <w:bCs/>
        </w:rPr>
        <w:t xml:space="preserve"> públicos</w:t>
      </w:r>
      <w:r w:rsidR="00831A1E" w:rsidRPr="00BF6B9C">
        <w:rPr>
          <w:rFonts w:ascii="Bookman Old Style" w:hAnsi="Bookman Old Style" w:cs="Arial"/>
          <w:bCs/>
        </w:rPr>
        <w:t>, permitiendo que el u</w:t>
      </w:r>
      <w:r w:rsidR="0024290F" w:rsidRPr="00BF6B9C">
        <w:rPr>
          <w:rFonts w:ascii="Bookman Old Style" w:hAnsi="Bookman Old Style" w:cs="Arial"/>
          <w:bCs/>
        </w:rPr>
        <w:t>suario obtenga una tarifa final con un menor impacto a nivel de precio</w:t>
      </w:r>
      <w:r w:rsidR="00AA08CD" w:rsidRPr="00BF6B9C">
        <w:rPr>
          <w:rFonts w:ascii="Bookman Old Style" w:hAnsi="Bookman Old Style" w:cs="Arial"/>
          <w:bCs/>
        </w:rPr>
        <w:t>, sin perjuicio de efectos tales como hacerla</w:t>
      </w:r>
      <w:r w:rsidR="00831A1E" w:rsidRPr="00BF6B9C">
        <w:rPr>
          <w:rFonts w:ascii="Bookman Old Style" w:hAnsi="Bookman Old Style" w:cs="Arial"/>
          <w:bCs/>
        </w:rPr>
        <w:t xml:space="preserve"> competitiva frente a otros energéticos.</w:t>
      </w:r>
      <w:r w:rsidR="00AA08CD" w:rsidRPr="00BF6B9C">
        <w:rPr>
          <w:rFonts w:ascii="Bookman Old Style" w:hAnsi="Bookman Old Style" w:cs="Arial"/>
          <w:bCs/>
        </w:rPr>
        <w:t xml:space="preserve"> Esto hace parte de la política del Gobierno Nacional en materia de recursos públicos y subsidios dentro de la prestación de los se</w:t>
      </w:r>
      <w:r w:rsidR="002F7643" w:rsidRPr="00BF6B9C">
        <w:rPr>
          <w:rFonts w:ascii="Bookman Old Style" w:hAnsi="Bookman Old Style" w:cs="Arial"/>
          <w:bCs/>
        </w:rPr>
        <w:t>rvicios públicos domiciliarios.</w:t>
      </w:r>
    </w:p>
    <w:p w:rsidR="0007039A" w:rsidRPr="00BF6B9C" w:rsidRDefault="0007039A" w:rsidP="002F7643">
      <w:pPr>
        <w:ind w:left="0" w:right="-91"/>
        <w:jc w:val="both"/>
        <w:rPr>
          <w:rFonts w:ascii="Bookman Old Style" w:hAnsi="Bookman Old Style" w:cs="Arial"/>
          <w:bCs/>
        </w:rPr>
      </w:pPr>
    </w:p>
    <w:p w:rsidR="00831A1E" w:rsidRPr="00BF6B9C" w:rsidRDefault="00831A1E" w:rsidP="002F7643">
      <w:pPr>
        <w:ind w:left="0"/>
        <w:jc w:val="both"/>
        <w:rPr>
          <w:rFonts w:ascii="Bookman Old Style" w:eastAsia="Calibri" w:hAnsi="Bookman Old Style"/>
          <w:lang w:val="es-CO" w:eastAsia="en-US"/>
        </w:rPr>
      </w:pPr>
      <w:r w:rsidRPr="00BF6B9C">
        <w:rPr>
          <w:rFonts w:ascii="Bookman Old Style" w:hAnsi="Bookman Old Style" w:cs="Arial"/>
          <w:lang w:val="es-CO" w:eastAsia="es-CO"/>
        </w:rPr>
        <w:t>La Comisión</w:t>
      </w:r>
      <w:r w:rsidR="004A5E41" w:rsidRPr="00BF6B9C">
        <w:rPr>
          <w:rFonts w:ascii="Bookman Old Style" w:hAnsi="Bookman Old Style" w:cs="Arial"/>
          <w:lang w:val="es-CO" w:eastAsia="es-CO"/>
        </w:rPr>
        <w:t xml:space="preserve"> de Regulación de Energía y Gas</w:t>
      </w:r>
      <w:r w:rsidRPr="00BF6B9C">
        <w:rPr>
          <w:rFonts w:ascii="Bookman Old Style" w:hAnsi="Bookman Old Style" w:cs="Arial"/>
          <w:lang w:val="es-CO" w:eastAsia="es-CO"/>
        </w:rPr>
        <w:t xml:space="preserve"> en sus actos administrativos particulares </w:t>
      </w:r>
      <w:r w:rsidRPr="00BF6B9C">
        <w:rPr>
          <w:rFonts w:ascii="Bookman Old Style" w:eastAsia="Calibri" w:hAnsi="Bookman Old Style"/>
          <w:lang w:val="es-CO" w:eastAsia="en-US"/>
        </w:rPr>
        <w:t xml:space="preserve">realiza </w:t>
      </w:r>
      <w:r w:rsidR="00CC276B" w:rsidRPr="00BF6B9C">
        <w:rPr>
          <w:rFonts w:ascii="Bookman Old Style" w:eastAsia="Calibri" w:hAnsi="Bookman Old Style"/>
          <w:lang w:val="es-CO" w:eastAsia="en-US"/>
        </w:rPr>
        <w:t>l</w:t>
      </w:r>
      <w:r w:rsidRPr="00BF6B9C">
        <w:rPr>
          <w:rFonts w:ascii="Bookman Old Style" w:eastAsia="Calibri" w:hAnsi="Bookman Old Style"/>
          <w:lang w:val="es-CO" w:eastAsia="en-US"/>
        </w:rPr>
        <w:t xml:space="preserve">a discriminación </w:t>
      </w:r>
      <w:r w:rsidR="00000CEC" w:rsidRPr="00BF6B9C">
        <w:rPr>
          <w:rFonts w:ascii="Bookman Old Style" w:eastAsia="Calibri" w:hAnsi="Bookman Old Style"/>
          <w:lang w:val="es-CO" w:eastAsia="en-US"/>
        </w:rPr>
        <w:t>de los cargos</w:t>
      </w:r>
      <w:r w:rsidRPr="00BF6B9C">
        <w:rPr>
          <w:rFonts w:ascii="Bookman Old Style" w:eastAsia="Calibri" w:hAnsi="Bookman Old Style"/>
          <w:lang w:val="es-CO" w:eastAsia="en-US"/>
        </w:rPr>
        <w:t xml:space="preserve"> de distribución </w:t>
      </w:r>
      <w:r w:rsidR="003D740F" w:rsidRPr="00BF6B9C">
        <w:rPr>
          <w:rFonts w:ascii="Bookman Old Style" w:eastAsia="Calibri" w:hAnsi="Bookman Old Style"/>
          <w:lang w:val="es-CO" w:eastAsia="en-US"/>
        </w:rPr>
        <w:t xml:space="preserve">el valor </w:t>
      </w:r>
      <w:r w:rsidRPr="00BF6B9C">
        <w:rPr>
          <w:rFonts w:ascii="Bookman Old Style" w:eastAsia="Calibri" w:hAnsi="Bookman Old Style"/>
          <w:lang w:val="es-CO" w:eastAsia="en-US"/>
        </w:rPr>
        <w:t>correspondiente a la co</w:t>
      </w:r>
      <w:r w:rsidR="00802A65" w:rsidRPr="00BF6B9C">
        <w:rPr>
          <w:rFonts w:ascii="Bookman Old Style" w:eastAsia="Calibri" w:hAnsi="Bookman Old Style"/>
          <w:lang w:val="es-CO" w:eastAsia="en-US"/>
        </w:rPr>
        <w:t xml:space="preserve">mponente de </w:t>
      </w:r>
      <w:r w:rsidR="00000CEC" w:rsidRPr="00BF6B9C">
        <w:rPr>
          <w:rFonts w:ascii="Bookman Old Style" w:eastAsia="Calibri" w:hAnsi="Bookman Old Style"/>
          <w:lang w:val="es-CO" w:eastAsia="en-US"/>
        </w:rPr>
        <w:t xml:space="preserve">inversión </w:t>
      </w:r>
      <w:r w:rsidR="003D740F" w:rsidRPr="00BF6B9C">
        <w:rPr>
          <w:rFonts w:ascii="Bookman Old Style" w:eastAsia="Calibri" w:hAnsi="Bookman Old Style"/>
          <w:lang w:val="es-CO" w:eastAsia="en-US"/>
        </w:rPr>
        <w:t xml:space="preserve">financiada con </w:t>
      </w:r>
      <w:r w:rsidR="00802A65" w:rsidRPr="00BF6B9C">
        <w:rPr>
          <w:rFonts w:ascii="Bookman Old Style" w:eastAsia="Calibri" w:hAnsi="Bookman Old Style"/>
          <w:lang w:val="es-CO" w:eastAsia="en-US"/>
        </w:rPr>
        <w:t>recursos públicos y</w:t>
      </w:r>
      <w:r w:rsidRPr="00BF6B9C">
        <w:rPr>
          <w:rFonts w:ascii="Bookman Old Style" w:eastAsia="Calibri" w:hAnsi="Bookman Old Style"/>
          <w:lang w:val="es-CO" w:eastAsia="en-US"/>
        </w:rPr>
        <w:t xml:space="preserve"> </w:t>
      </w:r>
      <w:r w:rsidR="003D740F" w:rsidRPr="00BF6B9C">
        <w:rPr>
          <w:rFonts w:ascii="Bookman Old Style" w:eastAsia="Calibri" w:hAnsi="Bookman Old Style"/>
          <w:lang w:val="es-CO" w:eastAsia="en-US"/>
        </w:rPr>
        <w:t xml:space="preserve">el que corresponde a </w:t>
      </w:r>
      <w:r w:rsidRPr="00BF6B9C">
        <w:rPr>
          <w:rFonts w:ascii="Bookman Old Style" w:eastAsia="Calibri" w:hAnsi="Bookman Old Style"/>
          <w:lang w:val="es-CO" w:eastAsia="en-US"/>
        </w:rPr>
        <w:t>la componente de inversión de recursos propios de la empresa</w:t>
      </w:r>
      <w:r w:rsidR="003D740F" w:rsidRPr="00BF6B9C">
        <w:rPr>
          <w:rFonts w:ascii="Bookman Old Style" w:eastAsia="Calibri" w:hAnsi="Bookman Old Style"/>
          <w:lang w:val="es-CO" w:eastAsia="en-US"/>
        </w:rPr>
        <w:t>,</w:t>
      </w:r>
      <w:r w:rsidRPr="00BF6B9C">
        <w:rPr>
          <w:rFonts w:ascii="Bookman Old Style" w:eastAsia="Calibri" w:hAnsi="Bookman Old Style"/>
          <w:lang w:val="es-CO" w:eastAsia="en-US"/>
        </w:rPr>
        <w:t xml:space="preserve"> de tal manera que </w:t>
      </w:r>
      <w:r w:rsidR="004A5E41" w:rsidRPr="00BF6B9C">
        <w:rPr>
          <w:rFonts w:ascii="Bookman Old Style" w:eastAsia="Calibri" w:hAnsi="Bookman Old Style"/>
          <w:lang w:val="es-CO" w:eastAsia="en-US"/>
        </w:rPr>
        <w:t>la primera sea</w:t>
      </w:r>
      <w:r w:rsidRPr="00BF6B9C">
        <w:rPr>
          <w:rFonts w:ascii="Bookman Old Style" w:eastAsia="Calibri" w:hAnsi="Bookman Old Style"/>
          <w:lang w:val="es-CO" w:eastAsia="en-US"/>
        </w:rPr>
        <w:t xml:space="preserve"> fácilmente identificable</w:t>
      </w:r>
      <w:r w:rsidR="003D740F" w:rsidRPr="00BF6B9C">
        <w:rPr>
          <w:rFonts w:ascii="Bookman Old Style" w:eastAsia="Calibri" w:hAnsi="Bookman Old Style"/>
          <w:lang w:val="es-CO" w:eastAsia="en-US"/>
        </w:rPr>
        <w:t>,</w:t>
      </w:r>
      <w:r w:rsidRPr="00BF6B9C">
        <w:rPr>
          <w:rFonts w:ascii="Bookman Old Style" w:eastAsia="Calibri" w:hAnsi="Bookman Old Style"/>
          <w:lang w:val="es-CO" w:eastAsia="en-US"/>
        </w:rPr>
        <w:t xml:space="preserve"> para </w:t>
      </w:r>
      <w:r w:rsidR="00A55E42" w:rsidRPr="00BF6B9C">
        <w:rPr>
          <w:rFonts w:ascii="Bookman Old Style" w:eastAsia="Calibri" w:hAnsi="Bookman Old Style"/>
          <w:lang w:val="es-CO" w:eastAsia="en-US"/>
        </w:rPr>
        <w:t xml:space="preserve">no ser cobrada </w:t>
      </w:r>
      <w:r w:rsidRPr="00BF6B9C">
        <w:rPr>
          <w:rFonts w:ascii="Bookman Old Style" w:eastAsia="Calibri" w:hAnsi="Bookman Old Style"/>
          <w:lang w:val="es-CO" w:eastAsia="en-US"/>
        </w:rPr>
        <w:t>e</w:t>
      </w:r>
      <w:r w:rsidR="00A55E42" w:rsidRPr="00BF6B9C">
        <w:rPr>
          <w:rFonts w:ascii="Bookman Old Style" w:eastAsia="Calibri" w:hAnsi="Bookman Old Style"/>
          <w:lang w:val="es-CO" w:eastAsia="en-US"/>
        </w:rPr>
        <w:t>n</w:t>
      </w:r>
      <w:r w:rsidRPr="00BF6B9C">
        <w:rPr>
          <w:rFonts w:ascii="Bookman Old Style" w:eastAsia="Calibri" w:hAnsi="Bookman Old Style"/>
          <w:lang w:val="es-CO" w:eastAsia="en-US"/>
        </w:rPr>
        <w:t xml:space="preserve"> la tarifa </w:t>
      </w:r>
      <w:r w:rsidR="00802A65" w:rsidRPr="00BF6B9C">
        <w:rPr>
          <w:rFonts w:ascii="Bookman Old Style" w:eastAsia="Calibri" w:hAnsi="Bookman Old Style"/>
          <w:lang w:val="es-CO" w:eastAsia="en-US"/>
        </w:rPr>
        <w:t>a</w:t>
      </w:r>
      <w:r w:rsidRPr="00BF6B9C">
        <w:rPr>
          <w:rFonts w:ascii="Bookman Old Style" w:eastAsia="Calibri" w:hAnsi="Bookman Old Style"/>
          <w:lang w:val="es-CO" w:eastAsia="en-US"/>
        </w:rPr>
        <w:t xml:space="preserve"> los usuarios</w:t>
      </w:r>
      <w:r w:rsidR="00000CEC" w:rsidRPr="00BF6B9C">
        <w:rPr>
          <w:rFonts w:ascii="Bookman Old Style" w:eastAsia="Calibri" w:hAnsi="Bookman Old Style"/>
          <w:lang w:val="es-CO" w:eastAsia="en-US"/>
        </w:rPr>
        <w:t xml:space="preserve"> por parte de</w:t>
      </w:r>
      <w:r w:rsidR="003D740F" w:rsidRPr="00BF6B9C">
        <w:rPr>
          <w:rFonts w:ascii="Bookman Old Style" w:eastAsia="Calibri" w:hAnsi="Bookman Old Style"/>
          <w:lang w:val="es-CO" w:eastAsia="en-US"/>
        </w:rPr>
        <w:t>l prestador del servicio.</w:t>
      </w:r>
    </w:p>
    <w:p w:rsidR="00BF6B9C" w:rsidRDefault="00BF6B9C" w:rsidP="00E43298">
      <w:pPr>
        <w:ind w:left="0"/>
        <w:jc w:val="both"/>
        <w:rPr>
          <w:rFonts w:ascii="Bookman Old Style" w:eastAsia="Calibri" w:hAnsi="Bookman Old Style"/>
          <w:lang w:val="es-CO" w:eastAsia="en-US"/>
        </w:rPr>
      </w:pPr>
    </w:p>
    <w:p w:rsidR="00AF577E" w:rsidRPr="00BF6B9C" w:rsidRDefault="00AF577E" w:rsidP="00E43298">
      <w:pPr>
        <w:ind w:left="0"/>
        <w:jc w:val="both"/>
        <w:rPr>
          <w:rFonts w:ascii="Bookman Old Style" w:eastAsia="Calibri" w:hAnsi="Bookman Old Style"/>
          <w:lang w:val="es-CO" w:eastAsia="en-US"/>
        </w:rPr>
      </w:pPr>
      <w:r w:rsidRPr="00BF6B9C">
        <w:rPr>
          <w:rFonts w:ascii="Bookman Old Style" w:eastAsia="Calibri" w:hAnsi="Bookman Old Style"/>
          <w:lang w:val="es-CO" w:eastAsia="en-US"/>
        </w:rPr>
        <w:t xml:space="preserve">De acuerdo con lo anterior la empresa </w:t>
      </w:r>
      <w:r w:rsidR="006D2B6B" w:rsidRPr="00BF6B9C">
        <w:rPr>
          <w:rFonts w:ascii="Bookman Old Style" w:eastAsia="Calibri" w:hAnsi="Bookman Old Style"/>
          <w:lang w:val="es-CO" w:eastAsia="en-US"/>
        </w:rPr>
        <w:t>PROMOTORA DE SERVICIOS PÚBLICOS</w:t>
      </w:r>
      <w:r w:rsidR="00787F11" w:rsidRPr="00BF6B9C">
        <w:rPr>
          <w:rFonts w:ascii="Bookman Old Style" w:eastAsia="Calibri" w:hAnsi="Bookman Old Style"/>
          <w:lang w:val="es-CO" w:eastAsia="en-US"/>
        </w:rPr>
        <w:t xml:space="preserve"> S.A. E.S.P</w:t>
      </w:r>
      <w:r w:rsidRPr="00BF6B9C">
        <w:rPr>
          <w:rFonts w:ascii="Bookman Old Style" w:eastAsia="Calibri" w:hAnsi="Bookman Old Style"/>
          <w:lang w:val="es-CO" w:eastAsia="en-US"/>
        </w:rPr>
        <w:t xml:space="preserve"> manifiesta que el pr</w:t>
      </w:r>
      <w:r w:rsidR="00787F11" w:rsidRPr="00BF6B9C">
        <w:rPr>
          <w:rFonts w:ascii="Bookman Old Style" w:eastAsia="Calibri" w:hAnsi="Bookman Old Style"/>
          <w:lang w:val="es-CO" w:eastAsia="en-US"/>
        </w:rPr>
        <w:t>o</w:t>
      </w:r>
      <w:r w:rsidRPr="00BF6B9C">
        <w:rPr>
          <w:rFonts w:ascii="Bookman Old Style" w:eastAsia="Calibri" w:hAnsi="Bookman Old Style"/>
          <w:lang w:val="es-CO" w:eastAsia="en-US"/>
        </w:rPr>
        <w:t xml:space="preserve">yecto cuenta con recursos públicos por un monto de </w:t>
      </w:r>
      <w:r w:rsidR="0042130F" w:rsidRPr="00BF6B9C">
        <w:rPr>
          <w:rFonts w:ascii="Bookman Old Style" w:eastAsia="Calibri" w:hAnsi="Bookman Old Style"/>
          <w:lang w:val="es-CO" w:eastAsia="en-US"/>
        </w:rPr>
        <w:t xml:space="preserve">$300.000.000,00 </w:t>
      </w:r>
      <w:r w:rsidRPr="00BF6B9C">
        <w:rPr>
          <w:rFonts w:ascii="Bookman Old Style" w:eastAsia="Calibri" w:hAnsi="Bookman Old Style"/>
          <w:lang w:val="es-CO" w:eastAsia="en-US"/>
        </w:rPr>
        <w:t xml:space="preserve">otorgados por </w:t>
      </w:r>
      <w:r w:rsidR="0042130F" w:rsidRPr="00BF6B9C">
        <w:rPr>
          <w:rFonts w:ascii="Bookman Old Style" w:eastAsia="Calibri" w:hAnsi="Bookman Old Style"/>
          <w:lang w:val="es-CO" w:eastAsia="en-US"/>
        </w:rPr>
        <w:t xml:space="preserve">la Alcaldía Municipal de Cáchira </w:t>
      </w:r>
      <w:r w:rsidRPr="00BF6B9C">
        <w:rPr>
          <w:rFonts w:ascii="Bookman Old Style" w:eastAsia="Calibri" w:hAnsi="Bookman Old Style"/>
          <w:lang w:val="es-CO" w:eastAsia="en-US"/>
        </w:rPr>
        <w:t>mediante el</w:t>
      </w:r>
      <w:r w:rsidR="0042130F" w:rsidRPr="00BF6B9C">
        <w:rPr>
          <w:rFonts w:ascii="Bookman Old Style" w:eastAsia="Calibri" w:hAnsi="Bookman Old Style"/>
          <w:lang w:val="es-CO" w:eastAsia="en-US"/>
        </w:rPr>
        <w:t xml:space="preserve"> convenio de aportes No. CAP-001 de 2.015</w:t>
      </w:r>
      <w:r w:rsidRPr="00BF6B9C">
        <w:rPr>
          <w:rFonts w:ascii="Bookman Old Style" w:eastAsia="Calibri" w:hAnsi="Bookman Old Style"/>
          <w:lang w:val="es-CO" w:eastAsia="en-US"/>
        </w:rPr>
        <w:t xml:space="preserve"> y que equivalen a un </w:t>
      </w:r>
      <w:r w:rsidR="0042130F" w:rsidRPr="00BF6B9C">
        <w:rPr>
          <w:rFonts w:ascii="Bookman Old Style" w:eastAsia="Calibri" w:hAnsi="Bookman Old Style"/>
          <w:lang w:val="es-CO" w:eastAsia="en-US"/>
        </w:rPr>
        <w:t>27.44</w:t>
      </w:r>
      <w:r w:rsidRPr="00BF6B9C">
        <w:rPr>
          <w:rFonts w:ascii="Bookman Old Style" w:eastAsia="Calibri" w:hAnsi="Bookman Old Style"/>
          <w:lang w:val="es-CO" w:eastAsia="en-US"/>
        </w:rPr>
        <w:t>% de la inversión.</w:t>
      </w:r>
    </w:p>
    <w:p w:rsidR="00E43298" w:rsidRPr="00BF6B9C" w:rsidRDefault="00E43298" w:rsidP="00E43298">
      <w:pPr>
        <w:ind w:left="0"/>
        <w:jc w:val="both"/>
        <w:rPr>
          <w:rFonts w:ascii="Bookman Old Style" w:eastAsia="Calibri" w:hAnsi="Bookman Old Style"/>
          <w:lang w:val="es-CO" w:eastAsia="en-US"/>
        </w:rPr>
      </w:pPr>
    </w:p>
    <w:p w:rsidR="008C1E83" w:rsidRPr="00BF6B9C" w:rsidRDefault="008C1E83" w:rsidP="00B724A1">
      <w:pPr>
        <w:ind w:left="0" w:right="-93"/>
        <w:jc w:val="both"/>
        <w:rPr>
          <w:rFonts w:ascii="Bookman Old Style" w:hAnsi="Bookman Old Style" w:cs="Arial"/>
          <w:bCs/>
        </w:rPr>
      </w:pPr>
      <w:r w:rsidRPr="00BF6B9C">
        <w:rPr>
          <w:rFonts w:ascii="Bookman Old Style" w:hAnsi="Bookman Old Style" w:cs="Arial"/>
          <w:b/>
          <w:bCs/>
        </w:rPr>
        <w:t>6.</w:t>
      </w:r>
      <w:r w:rsidR="008800C1" w:rsidRPr="00BF6B9C">
        <w:rPr>
          <w:rFonts w:ascii="Bookman Old Style" w:hAnsi="Bookman Old Style" w:cs="Arial"/>
          <w:b/>
          <w:bCs/>
        </w:rPr>
        <w:t>4.</w:t>
      </w:r>
      <w:r w:rsidRPr="00BF6B9C">
        <w:rPr>
          <w:rFonts w:ascii="Bookman Old Style" w:hAnsi="Bookman Old Style" w:cs="Arial"/>
          <w:b/>
          <w:bCs/>
        </w:rPr>
        <w:t xml:space="preserve"> Aspectos y elementos adicionales</w:t>
      </w:r>
    </w:p>
    <w:p w:rsidR="008C1E83" w:rsidRPr="00BF6B9C" w:rsidRDefault="008C1E83" w:rsidP="00B724A1">
      <w:pPr>
        <w:ind w:left="0" w:right="-93"/>
        <w:jc w:val="both"/>
        <w:rPr>
          <w:rFonts w:ascii="Bookman Old Style" w:hAnsi="Bookman Old Style" w:cs="Arial"/>
          <w:bCs/>
        </w:rPr>
      </w:pPr>
    </w:p>
    <w:p w:rsidR="00831A1E" w:rsidRPr="00BF6B9C" w:rsidRDefault="00831A1E" w:rsidP="00831A1E">
      <w:pPr>
        <w:widowControl w:val="0"/>
        <w:adjustRightInd w:val="0"/>
        <w:ind w:left="0" w:right="20"/>
        <w:jc w:val="both"/>
        <w:rPr>
          <w:rFonts w:ascii="Bookman Old Style" w:hAnsi="Bookman Old Style" w:cs="Arial"/>
        </w:rPr>
      </w:pPr>
      <w:r w:rsidRPr="00BF6B9C">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CREG </w:t>
      </w:r>
      <w:r w:rsidR="00E43298" w:rsidRPr="00BF6B9C">
        <w:rPr>
          <w:rFonts w:ascii="Bookman Old Style" w:hAnsi="Bookman Old Style" w:cs="Arial"/>
        </w:rPr>
        <w:t>148</w:t>
      </w:r>
      <w:r w:rsidRPr="00BF6B9C">
        <w:rPr>
          <w:rFonts w:ascii="Bookman Old Style" w:hAnsi="Bookman Old Style" w:cs="Arial"/>
        </w:rPr>
        <w:t xml:space="preserve"> de 2016, soporte de la presente resolución.</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AF1FB3" w:rsidP="00662B20">
      <w:pPr>
        <w:ind w:left="0"/>
        <w:jc w:val="both"/>
        <w:rPr>
          <w:rFonts w:ascii="Bookman Old Style" w:hAnsi="Bookman Old Style" w:cs="Arial"/>
        </w:rPr>
      </w:pPr>
      <w:r w:rsidRPr="00BF6B9C">
        <w:rPr>
          <w:rFonts w:ascii="Bookman Old Style" w:hAnsi="Bookman Old Style"/>
          <w:lang w:val="es-ES_tradnl"/>
        </w:rPr>
        <w:t>Con base en lo establecido en el artículo 4 del Decreto 2897 de 2010</w:t>
      </w:r>
      <w:r w:rsidRPr="00BF6B9C">
        <w:rPr>
          <w:rFonts w:ascii="Bookman Old Style" w:hAnsi="Bookman Old Style"/>
          <w:vertAlign w:val="superscript"/>
          <w:lang w:val="es-ES_tradnl"/>
        </w:rPr>
        <w:footnoteReference w:id="32"/>
      </w:r>
      <w:r w:rsidR="00A91BF5" w:rsidRPr="00BF6B9C">
        <w:rPr>
          <w:rFonts w:ascii="Bookman Old Style" w:hAnsi="Bookman Old Style"/>
          <w:lang w:val="es-ES_tradnl"/>
        </w:rPr>
        <w:t>,</w:t>
      </w:r>
      <w:r w:rsidRPr="00BF6B9C">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w:t>
      </w:r>
      <w:r w:rsidR="00B47F3A" w:rsidRPr="00BF6B9C">
        <w:rPr>
          <w:rFonts w:ascii="Bookman Old Style" w:hAnsi="Bookman Old Style"/>
          <w:lang w:val="es-ES_tradnl"/>
        </w:rPr>
        <w:t xml:space="preserve">ndebida a la libre competencia, </w:t>
      </w:r>
      <w:r w:rsidR="005873FD" w:rsidRPr="00BF6B9C">
        <w:rPr>
          <w:rFonts w:ascii="Bookman Old Style" w:hAnsi="Bookman Old Style" w:cs="Arial"/>
        </w:rPr>
        <w:t xml:space="preserve">el cual se encuentra en el Documento </w:t>
      </w:r>
      <w:r w:rsidR="00A41FA4" w:rsidRPr="00BF6B9C">
        <w:rPr>
          <w:rFonts w:ascii="Bookman Old Style" w:hAnsi="Bookman Old Style" w:cs="Arial"/>
        </w:rPr>
        <w:t xml:space="preserve">CREG </w:t>
      </w:r>
      <w:r w:rsidR="00E43298" w:rsidRPr="00BF6B9C">
        <w:rPr>
          <w:rFonts w:ascii="Bookman Old Style" w:hAnsi="Bookman Old Style" w:cs="Arial"/>
        </w:rPr>
        <w:t>148</w:t>
      </w:r>
      <w:r w:rsidR="00A41FA4" w:rsidRPr="00BF6B9C">
        <w:rPr>
          <w:rFonts w:ascii="Bookman Old Style" w:hAnsi="Bookman Old Style" w:cs="Arial"/>
        </w:rPr>
        <w:t xml:space="preserve"> de 2016.</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BF6B9C">
        <w:rPr>
          <w:rFonts w:ascii="Bookman Old Style" w:hAnsi="Bookman Old Style" w:cs="Arial"/>
        </w:rPr>
        <w:t>R</w:t>
      </w:r>
      <w:r w:rsidRPr="00BF6B9C">
        <w:rPr>
          <w:rFonts w:ascii="Bookman Old Style" w:hAnsi="Bookman Old Style" w:cs="Arial"/>
        </w:rPr>
        <w:t>esoluci</w:t>
      </w:r>
      <w:r w:rsidR="00A41FA4" w:rsidRPr="00BF6B9C">
        <w:rPr>
          <w:rFonts w:ascii="Bookman Old Style" w:hAnsi="Bookman Old Style" w:cs="Arial"/>
        </w:rPr>
        <w:t>ón</w:t>
      </w:r>
      <w:r w:rsidRPr="00BF6B9C">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BF6B9C">
        <w:rPr>
          <w:rStyle w:val="Refdenotaalpie"/>
          <w:rFonts w:ascii="Bookman Old Style" w:hAnsi="Bookman Old Style" w:cs="Arial"/>
        </w:rPr>
        <w:footnoteReference w:id="33"/>
      </w:r>
      <w:r w:rsidRPr="00BF6B9C">
        <w:rPr>
          <w:rFonts w:ascii="Bookman Old Style" w:hAnsi="Bookman Old Style" w:cs="Arial"/>
        </w:rPr>
        <w:t xml:space="preserve">. </w:t>
      </w:r>
    </w:p>
    <w:p w:rsidR="005873FD" w:rsidRPr="00BF6B9C" w:rsidRDefault="005873FD" w:rsidP="00341E8F">
      <w:pPr>
        <w:widowControl w:val="0"/>
        <w:adjustRightInd w:val="0"/>
        <w:ind w:left="0" w:right="20"/>
        <w:jc w:val="both"/>
        <w:rPr>
          <w:rFonts w:ascii="Bookman Old Style" w:hAnsi="Bookman Old Style" w:cs="Arial"/>
        </w:rPr>
      </w:pPr>
    </w:p>
    <w:p w:rsidR="005873FD" w:rsidRPr="00BF6B9C" w:rsidRDefault="005873FD" w:rsidP="00341E8F">
      <w:pPr>
        <w:suppressAutoHyphens/>
        <w:ind w:left="0"/>
        <w:jc w:val="both"/>
        <w:rPr>
          <w:rFonts w:ascii="Bookman Old Style" w:hAnsi="Bookman Old Style"/>
          <w:color w:val="000000"/>
          <w:lang w:val="es-ES_tradnl"/>
        </w:rPr>
      </w:pPr>
      <w:r w:rsidRPr="00BF6B9C">
        <w:rPr>
          <w:rFonts w:ascii="Bookman Old Style" w:hAnsi="Bookman Old Style" w:cs="Arial"/>
          <w:color w:val="000000"/>
          <w:spacing w:val="-3"/>
        </w:rPr>
        <w:t xml:space="preserve">La Comisión de Regulación de Energía y Gas, en su sesión </w:t>
      </w:r>
      <w:r w:rsidR="00E43298" w:rsidRPr="00BF6B9C">
        <w:rPr>
          <w:rFonts w:ascii="Bookman Old Style" w:hAnsi="Bookman Old Style" w:cs="Arial"/>
          <w:color w:val="000000"/>
          <w:spacing w:val="-3"/>
        </w:rPr>
        <w:t>749</w:t>
      </w:r>
      <w:r w:rsidRPr="00BF6B9C">
        <w:rPr>
          <w:rFonts w:ascii="Bookman Old Style" w:hAnsi="Bookman Old Style" w:cs="Arial"/>
          <w:color w:val="000000"/>
          <w:spacing w:val="-3"/>
        </w:rPr>
        <w:t xml:space="preserve"> del </w:t>
      </w:r>
      <w:r w:rsidR="00E43298" w:rsidRPr="00BF6B9C">
        <w:rPr>
          <w:rFonts w:ascii="Bookman Old Style" w:hAnsi="Bookman Old Style" w:cs="Arial"/>
          <w:color w:val="000000"/>
          <w:spacing w:val="-3"/>
        </w:rPr>
        <w:t>6</w:t>
      </w:r>
      <w:r w:rsidRPr="00BF6B9C">
        <w:rPr>
          <w:rFonts w:ascii="Bookman Old Style" w:hAnsi="Bookman Old Style" w:cs="Arial"/>
          <w:color w:val="000000"/>
          <w:spacing w:val="-3"/>
        </w:rPr>
        <w:t xml:space="preserve"> de </w:t>
      </w:r>
      <w:r w:rsidR="00E43298" w:rsidRPr="00BF6B9C">
        <w:rPr>
          <w:rFonts w:ascii="Bookman Old Style" w:hAnsi="Bookman Old Style" w:cs="Arial"/>
          <w:color w:val="000000"/>
          <w:spacing w:val="-3"/>
        </w:rPr>
        <w:t>diciembre</w:t>
      </w:r>
      <w:r w:rsidR="00AA010D" w:rsidRPr="00BF6B9C">
        <w:rPr>
          <w:rFonts w:ascii="Bookman Old Style" w:hAnsi="Bookman Old Style" w:cs="Arial"/>
          <w:color w:val="000000"/>
          <w:spacing w:val="-3"/>
        </w:rPr>
        <w:t xml:space="preserve"> </w:t>
      </w:r>
      <w:r w:rsidRPr="00BF6B9C">
        <w:rPr>
          <w:rFonts w:ascii="Bookman Old Style" w:hAnsi="Bookman Old Style" w:cs="Arial"/>
          <w:color w:val="000000"/>
          <w:spacing w:val="-3"/>
        </w:rPr>
        <w:t>de 201</w:t>
      </w:r>
      <w:r w:rsidR="00AA010D" w:rsidRPr="00BF6B9C">
        <w:rPr>
          <w:rFonts w:ascii="Bookman Old Style" w:hAnsi="Bookman Old Style" w:cs="Arial"/>
          <w:color w:val="000000"/>
          <w:spacing w:val="-3"/>
        </w:rPr>
        <w:t>6</w:t>
      </w:r>
      <w:r w:rsidRPr="00BF6B9C">
        <w:rPr>
          <w:rFonts w:ascii="Bookman Old Style" w:hAnsi="Bookman Old Style" w:cs="Arial"/>
          <w:color w:val="000000"/>
          <w:spacing w:val="-3"/>
        </w:rPr>
        <w:t xml:space="preserve">, </w:t>
      </w:r>
      <w:r w:rsidRPr="00BF6B9C">
        <w:rPr>
          <w:rFonts w:ascii="Bookman Old Style" w:hAnsi="Bookman Old Style"/>
          <w:color w:val="000000"/>
          <w:lang w:val="es-ES_tradnl"/>
        </w:rPr>
        <w:t xml:space="preserve">acordó expedir la presente </w:t>
      </w:r>
      <w:r w:rsidR="00B47F3A" w:rsidRPr="00BF6B9C">
        <w:rPr>
          <w:rFonts w:ascii="Bookman Old Style" w:hAnsi="Bookman Old Style"/>
          <w:color w:val="000000"/>
          <w:lang w:val="es-ES_tradnl"/>
        </w:rPr>
        <w:t>r</w:t>
      </w:r>
      <w:r w:rsidRPr="00BF6B9C">
        <w:rPr>
          <w:rFonts w:ascii="Bookman Old Style" w:hAnsi="Bookman Old Style"/>
          <w:color w:val="000000"/>
          <w:lang w:val="es-ES_tradnl"/>
        </w:rPr>
        <w:t>esolución.</w:t>
      </w:r>
    </w:p>
    <w:p w:rsidR="00273C2C" w:rsidRPr="00BF6B9C" w:rsidRDefault="00273C2C" w:rsidP="00244322">
      <w:pPr>
        <w:ind w:left="0"/>
        <w:rPr>
          <w:rFonts w:ascii="Bookman Old Style" w:hAnsi="Bookman Old Style" w:cs="Arial"/>
          <w:b/>
          <w:spacing w:val="80"/>
          <w:lang w:val="es-ES_tradnl"/>
        </w:rPr>
      </w:pPr>
    </w:p>
    <w:p w:rsidR="00273C2C" w:rsidRPr="00BF6B9C" w:rsidRDefault="00273C2C" w:rsidP="00341E8F">
      <w:pPr>
        <w:ind w:left="0"/>
        <w:jc w:val="center"/>
        <w:rPr>
          <w:rFonts w:ascii="Bookman Old Style" w:hAnsi="Bookman Old Style" w:cs="Arial"/>
        </w:rPr>
      </w:pPr>
      <w:r w:rsidRPr="00BF6B9C">
        <w:rPr>
          <w:rFonts w:ascii="Bookman Old Style" w:hAnsi="Bookman Old Style" w:cs="Arial"/>
          <w:b/>
          <w:spacing w:val="80"/>
        </w:rPr>
        <w:t>RESUELVE</w:t>
      </w:r>
      <w:r w:rsidRPr="00BF6B9C">
        <w:rPr>
          <w:rFonts w:ascii="Bookman Old Style" w:hAnsi="Bookman Old Style" w:cs="Arial"/>
        </w:rPr>
        <w:t>:</w:t>
      </w:r>
    </w:p>
    <w:p w:rsidR="00E43298" w:rsidRPr="00BF6B9C" w:rsidRDefault="00E43298" w:rsidP="00341E8F">
      <w:pPr>
        <w:ind w:left="0"/>
        <w:jc w:val="center"/>
        <w:rPr>
          <w:rFonts w:ascii="Bookman Old Style" w:hAnsi="Bookman Old Style" w:cs="Arial"/>
        </w:rPr>
      </w:pPr>
    </w:p>
    <w:p w:rsidR="00920C3D" w:rsidRPr="00BF6B9C" w:rsidRDefault="00920C3D" w:rsidP="00341E8F">
      <w:pPr>
        <w:keepNext/>
        <w:widowControl w:val="0"/>
        <w:tabs>
          <w:tab w:val="left" w:pos="0"/>
        </w:tabs>
        <w:adjustRightInd w:val="0"/>
        <w:ind w:left="0" w:right="20"/>
        <w:jc w:val="both"/>
        <w:rPr>
          <w:rFonts w:ascii="Bookman Old Style" w:hAnsi="Bookman Old Style" w:cs="Arial"/>
          <w:bCs/>
        </w:rPr>
      </w:pPr>
    </w:p>
    <w:p w:rsidR="00FE7A62" w:rsidRDefault="00273C2C" w:rsidP="00341E8F">
      <w:pPr>
        <w:widowControl w:val="0"/>
        <w:tabs>
          <w:tab w:val="left" w:pos="0"/>
        </w:tabs>
        <w:adjustRightInd w:val="0"/>
        <w:ind w:left="0" w:right="20"/>
        <w:jc w:val="both"/>
        <w:rPr>
          <w:rFonts w:ascii="Bookman Old Style" w:hAnsi="Bookman Old Style" w:cs="Arial"/>
        </w:rPr>
      </w:pPr>
      <w:r w:rsidRPr="00BF6B9C">
        <w:rPr>
          <w:rFonts w:ascii="Bookman Old Style" w:hAnsi="Bookman Old Style" w:cs="Arial"/>
          <w:b/>
        </w:rPr>
        <w:t xml:space="preserve">ARTÍCULO 1. Mercados Relevantes de Distribución </w:t>
      </w:r>
      <w:r w:rsidR="00704312" w:rsidRPr="00BF6B9C">
        <w:rPr>
          <w:rFonts w:ascii="Bookman Old Style" w:hAnsi="Bookman Old Style" w:cs="Arial"/>
          <w:b/>
        </w:rPr>
        <w:t>Para el Siguiente Periodo Tarifario</w:t>
      </w:r>
      <w:r w:rsidRPr="00BF6B9C">
        <w:rPr>
          <w:rFonts w:ascii="Bookman Old Style" w:hAnsi="Bookman Old Style" w:cs="Arial"/>
          <w:b/>
        </w:rPr>
        <w:t xml:space="preserve">. </w:t>
      </w:r>
      <w:r w:rsidR="00704312" w:rsidRPr="00BF6B9C">
        <w:rPr>
          <w:rFonts w:ascii="Bookman Old Style" w:hAnsi="Bookman Old Style" w:cs="Arial"/>
        </w:rPr>
        <w:t xml:space="preserve">Conforme a lo definido en el numeral 5.2 de la Resolución CREG 202 de 2013, </w:t>
      </w:r>
      <w:r w:rsidR="00105372" w:rsidRPr="00BF6B9C">
        <w:rPr>
          <w:rFonts w:ascii="Bookman Old Style" w:hAnsi="Bookman Old Style" w:cs="Arial"/>
        </w:rPr>
        <w:t>el</w:t>
      </w:r>
      <w:r w:rsidR="00704312" w:rsidRPr="00BF6B9C">
        <w:rPr>
          <w:rFonts w:ascii="Bookman Old Style" w:hAnsi="Bookman Old Style" w:cs="Arial"/>
        </w:rPr>
        <w:t xml:space="preserve"> Mercado </w:t>
      </w:r>
      <w:r w:rsidR="00105372" w:rsidRPr="00BF6B9C">
        <w:rPr>
          <w:rFonts w:ascii="Bookman Old Style" w:hAnsi="Bookman Old Style" w:cs="Arial"/>
        </w:rPr>
        <w:t xml:space="preserve">Relevante </w:t>
      </w:r>
      <w:r w:rsidR="00704312" w:rsidRPr="00BF6B9C">
        <w:rPr>
          <w:rFonts w:ascii="Bookman Old Style" w:hAnsi="Bookman Old Style" w:cs="Arial"/>
        </w:rPr>
        <w:t xml:space="preserve">de Distribución </w:t>
      </w:r>
      <w:r w:rsidR="00105372" w:rsidRPr="00BF6B9C">
        <w:rPr>
          <w:rFonts w:ascii="Bookman Old Style" w:hAnsi="Bookman Old Style" w:cs="Arial"/>
        </w:rPr>
        <w:t xml:space="preserve">para el Siguiente Periodo Tarifario </w:t>
      </w:r>
      <w:r w:rsidR="00704312" w:rsidRPr="00BF6B9C">
        <w:rPr>
          <w:rFonts w:ascii="Bookman Old Style" w:hAnsi="Bookman Old Style" w:cs="Arial"/>
        </w:rPr>
        <w:t xml:space="preserve">estará conformado </w:t>
      </w:r>
      <w:r w:rsidR="00FE7A62" w:rsidRPr="00BF6B9C">
        <w:rPr>
          <w:rFonts w:ascii="Bookman Old Style" w:hAnsi="Bookman Old Style" w:cs="Arial"/>
          <w:lang w:val="es-ES_tradnl"/>
        </w:rPr>
        <w:t xml:space="preserve">por </w:t>
      </w:r>
      <w:r w:rsidR="00D26F85" w:rsidRPr="00BF6B9C">
        <w:rPr>
          <w:rFonts w:ascii="Bookman Old Style" w:hAnsi="Bookman Old Style" w:cs="Arial"/>
        </w:rPr>
        <w:t xml:space="preserve">los siguientes </w:t>
      </w:r>
      <w:r w:rsidR="00FE7A62" w:rsidRPr="00BF6B9C">
        <w:rPr>
          <w:rFonts w:ascii="Bookman Old Style" w:hAnsi="Bookman Old Style" w:cs="Arial"/>
        </w:rPr>
        <w:t>municipio</w:t>
      </w:r>
      <w:r w:rsidR="00D26F85" w:rsidRPr="00BF6B9C">
        <w:rPr>
          <w:rFonts w:ascii="Bookman Old Style" w:hAnsi="Bookman Old Style" w:cs="Arial"/>
        </w:rPr>
        <w:t>s:</w:t>
      </w:r>
    </w:p>
    <w:p w:rsidR="00BF6B9C" w:rsidRPr="00BF6B9C" w:rsidRDefault="00BF6B9C" w:rsidP="00341E8F">
      <w:pPr>
        <w:widowControl w:val="0"/>
        <w:tabs>
          <w:tab w:val="left" w:pos="0"/>
        </w:tabs>
        <w:adjustRightInd w:val="0"/>
        <w:ind w:left="0" w:right="20"/>
        <w:jc w:val="both"/>
        <w:rPr>
          <w:rFonts w:ascii="Bookman Old Style" w:hAnsi="Bookman Old Style" w:cs="Arial"/>
        </w:rPr>
      </w:pPr>
    </w:p>
    <w:p w:rsidR="00105372" w:rsidRPr="00BF6B9C" w:rsidRDefault="00105372" w:rsidP="00341E8F">
      <w:pPr>
        <w:widowControl w:val="0"/>
        <w:tabs>
          <w:tab w:val="left" w:pos="0"/>
        </w:tabs>
        <w:adjustRightInd w:val="0"/>
        <w:ind w:left="0" w:right="20"/>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5"/>
        <w:gridCol w:w="3146"/>
      </w:tblGrid>
      <w:tr w:rsidR="00105372" w:rsidRPr="00BF6B9C" w:rsidTr="00414B26">
        <w:tc>
          <w:tcPr>
            <w:tcW w:w="2247" w:type="dxa"/>
            <w:tcBorders>
              <w:top w:val="single" w:sz="4" w:space="0" w:color="auto"/>
              <w:left w:val="single" w:sz="4" w:space="0" w:color="auto"/>
              <w:bottom w:val="single" w:sz="4" w:space="0" w:color="auto"/>
              <w:right w:val="single" w:sz="4" w:space="0" w:color="auto"/>
            </w:tcBorders>
            <w:shd w:val="clear" w:color="auto" w:fill="BFBFBF"/>
            <w:hideMark/>
          </w:tcPr>
          <w:p w:rsidR="00105372" w:rsidRPr="00BF6B9C" w:rsidRDefault="00105372"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CODIGO DANE DEL MUNICIPIO</w:t>
            </w:r>
          </w:p>
        </w:tc>
        <w:tc>
          <w:tcPr>
            <w:tcW w:w="3845" w:type="dxa"/>
            <w:tcBorders>
              <w:top w:val="single" w:sz="4" w:space="0" w:color="auto"/>
              <w:left w:val="single" w:sz="4" w:space="0" w:color="auto"/>
              <w:bottom w:val="single" w:sz="4" w:space="0" w:color="auto"/>
              <w:right w:val="single" w:sz="4" w:space="0" w:color="auto"/>
            </w:tcBorders>
            <w:shd w:val="clear" w:color="auto" w:fill="BFBFBF"/>
            <w:hideMark/>
          </w:tcPr>
          <w:p w:rsidR="00105372" w:rsidRPr="00BF6B9C" w:rsidRDefault="00105372"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MUNICIPIO</w:t>
            </w:r>
          </w:p>
        </w:tc>
        <w:tc>
          <w:tcPr>
            <w:tcW w:w="3146" w:type="dxa"/>
            <w:tcBorders>
              <w:top w:val="single" w:sz="4" w:space="0" w:color="auto"/>
              <w:left w:val="single" w:sz="4" w:space="0" w:color="auto"/>
              <w:bottom w:val="single" w:sz="4" w:space="0" w:color="auto"/>
              <w:right w:val="single" w:sz="4" w:space="0" w:color="auto"/>
            </w:tcBorders>
            <w:shd w:val="clear" w:color="auto" w:fill="BFBFBF"/>
            <w:hideMark/>
          </w:tcPr>
          <w:p w:rsidR="00105372" w:rsidRPr="00BF6B9C" w:rsidRDefault="00105372" w:rsidP="00341E8F">
            <w:pPr>
              <w:ind w:left="0"/>
              <w:jc w:val="center"/>
              <w:rPr>
                <w:rFonts w:ascii="Bookman Old Style" w:eastAsia="MS Mincho" w:hAnsi="Bookman Old Style" w:cs="Arial"/>
                <w:b/>
                <w:lang w:val="es-ES_tradnl" w:eastAsia="en-US"/>
              </w:rPr>
            </w:pPr>
            <w:r w:rsidRPr="00BF6B9C">
              <w:rPr>
                <w:rFonts w:ascii="Bookman Old Style" w:eastAsia="MS Mincho" w:hAnsi="Bookman Old Style" w:cs="Arial"/>
                <w:b/>
                <w:lang w:val="es-ES_tradnl" w:eastAsia="en-US"/>
              </w:rPr>
              <w:t>DEPARTAMENTO</w:t>
            </w:r>
          </w:p>
        </w:tc>
      </w:tr>
      <w:tr w:rsidR="005873FD" w:rsidRPr="00BF6B9C" w:rsidTr="00414B26">
        <w:tc>
          <w:tcPr>
            <w:tcW w:w="2247"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5A1273"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54128</w:t>
            </w:r>
          </w:p>
        </w:tc>
        <w:tc>
          <w:tcPr>
            <w:tcW w:w="3845"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5A1273"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Cáchira</w:t>
            </w:r>
          </w:p>
        </w:tc>
        <w:tc>
          <w:tcPr>
            <w:tcW w:w="3146" w:type="dxa"/>
            <w:tcBorders>
              <w:top w:val="single" w:sz="4" w:space="0" w:color="auto"/>
              <w:left w:val="single" w:sz="4" w:space="0" w:color="auto"/>
              <w:bottom w:val="single" w:sz="4" w:space="0" w:color="auto"/>
              <w:right w:val="single" w:sz="4" w:space="0" w:color="auto"/>
            </w:tcBorders>
            <w:shd w:val="clear" w:color="auto" w:fill="auto"/>
          </w:tcPr>
          <w:p w:rsidR="005873FD" w:rsidRPr="00BF6B9C" w:rsidRDefault="005A1273" w:rsidP="00341E8F">
            <w:pPr>
              <w:ind w:left="0"/>
              <w:jc w:val="center"/>
              <w:rPr>
                <w:rFonts w:ascii="Bookman Old Style" w:eastAsia="MS Mincho" w:hAnsi="Bookman Old Style" w:cs="Arial"/>
                <w:lang w:val="es-ES_tradnl" w:eastAsia="en-US"/>
              </w:rPr>
            </w:pPr>
            <w:r w:rsidRPr="00BF6B9C">
              <w:rPr>
                <w:rFonts w:ascii="Bookman Old Style" w:eastAsia="MS Mincho" w:hAnsi="Bookman Old Style" w:cs="Arial"/>
                <w:lang w:val="es-ES_tradnl" w:eastAsia="en-US"/>
              </w:rPr>
              <w:t>Norte de Santander</w:t>
            </w:r>
          </w:p>
        </w:tc>
      </w:tr>
    </w:tbl>
    <w:p w:rsidR="00105372" w:rsidRPr="00BF6B9C" w:rsidRDefault="00105372" w:rsidP="00341E8F">
      <w:pPr>
        <w:widowControl w:val="0"/>
        <w:tabs>
          <w:tab w:val="left" w:pos="0"/>
        </w:tabs>
        <w:adjustRightInd w:val="0"/>
        <w:ind w:left="0" w:right="20"/>
        <w:jc w:val="both"/>
        <w:rPr>
          <w:rFonts w:ascii="Bookman Old Style" w:hAnsi="Bookman Old Style" w:cs="Arial"/>
        </w:rPr>
      </w:pPr>
    </w:p>
    <w:p w:rsidR="00883586" w:rsidRPr="00BF6B9C" w:rsidRDefault="00883586" w:rsidP="00341E8F">
      <w:pPr>
        <w:widowControl w:val="0"/>
        <w:adjustRightInd w:val="0"/>
        <w:ind w:left="0" w:right="20"/>
        <w:jc w:val="both"/>
        <w:rPr>
          <w:rFonts w:ascii="Bookman Old Style" w:hAnsi="Bookman Old Style" w:cs="Arial"/>
          <w:b/>
        </w:rPr>
      </w:pPr>
      <w:r w:rsidRPr="00BF6B9C">
        <w:rPr>
          <w:rFonts w:ascii="Bookman Old Style" w:hAnsi="Bookman Old Style" w:cs="Arial"/>
          <w:b/>
        </w:rPr>
        <w:t xml:space="preserve">ARTÍCULO 2. Demandas de Volumen. </w:t>
      </w:r>
      <w:r w:rsidRPr="00BF6B9C">
        <w:rPr>
          <w:rFonts w:ascii="Bookman Old Style" w:hAnsi="Bookman Old Style" w:cs="Arial"/>
        </w:rPr>
        <w:t>Para el cálculo tarifario se utilizó la Demanda de Volumen presentada en el Anexo 2 de esta Resolución.</w:t>
      </w:r>
    </w:p>
    <w:p w:rsidR="0097361C" w:rsidRPr="00BF6B9C" w:rsidRDefault="0097361C" w:rsidP="00341E8F">
      <w:pPr>
        <w:widowControl w:val="0"/>
        <w:adjustRightInd w:val="0"/>
        <w:ind w:left="0" w:right="20"/>
        <w:jc w:val="both"/>
        <w:rPr>
          <w:rFonts w:ascii="Bookman Old Style" w:hAnsi="Bookman Old Style" w:cs="Arial"/>
          <w:b/>
        </w:rPr>
      </w:pPr>
    </w:p>
    <w:p w:rsidR="00273C2C" w:rsidRPr="00BF6B9C" w:rsidRDefault="00273C2C" w:rsidP="00341E8F">
      <w:pPr>
        <w:widowControl w:val="0"/>
        <w:adjustRightInd w:val="0"/>
        <w:ind w:left="0" w:right="20"/>
        <w:jc w:val="both"/>
        <w:rPr>
          <w:rFonts w:ascii="Bookman Old Style" w:hAnsi="Bookman Old Style" w:cs="Arial"/>
          <w:b/>
        </w:rPr>
      </w:pPr>
      <w:r w:rsidRPr="00BF6B9C">
        <w:rPr>
          <w:rFonts w:ascii="Bookman Old Style" w:hAnsi="Bookman Old Style" w:cs="Arial"/>
          <w:b/>
        </w:rPr>
        <w:t xml:space="preserve">ARTÍCULO </w:t>
      </w:r>
      <w:r w:rsidR="00883586" w:rsidRPr="00BF6B9C">
        <w:rPr>
          <w:rFonts w:ascii="Bookman Old Style" w:hAnsi="Bookman Old Style" w:cs="Arial"/>
          <w:b/>
        </w:rPr>
        <w:t>3</w:t>
      </w:r>
      <w:r w:rsidRPr="00BF6B9C">
        <w:rPr>
          <w:rFonts w:ascii="Bookman Old Style" w:hAnsi="Bookman Old Style" w:cs="Arial"/>
          <w:b/>
        </w:rPr>
        <w:t>.</w:t>
      </w:r>
      <w:r w:rsidRPr="00BF6B9C">
        <w:rPr>
          <w:rFonts w:ascii="Bookman Old Style" w:hAnsi="Bookman Old Style" w:cs="Arial"/>
        </w:rPr>
        <w:t xml:space="preserve"> </w:t>
      </w:r>
      <w:r w:rsidRPr="00BF6B9C">
        <w:rPr>
          <w:rFonts w:ascii="Bookman Old Style" w:hAnsi="Bookman Old Style" w:cs="Arial"/>
          <w:b/>
        </w:rPr>
        <w:t xml:space="preserve">Inversión Base. </w:t>
      </w:r>
      <w:r w:rsidRPr="00BF6B9C">
        <w:rPr>
          <w:rFonts w:ascii="Bookman Old Style" w:hAnsi="Bookman Old Style" w:cs="Arial"/>
        </w:rPr>
        <w:t xml:space="preserve">La Inversión Base para determinar </w:t>
      </w:r>
      <w:r w:rsidR="00105372" w:rsidRPr="00BF6B9C">
        <w:rPr>
          <w:rFonts w:ascii="Bookman Old Style" w:hAnsi="Bookman Old Style" w:cs="Arial"/>
        </w:rPr>
        <w:t xml:space="preserve">los </w:t>
      </w:r>
      <w:r w:rsidRPr="00BF6B9C">
        <w:rPr>
          <w:rFonts w:ascii="Bookman Old Style" w:hAnsi="Bookman Old Style" w:cs="Arial"/>
        </w:rPr>
        <w:t>cargo</w:t>
      </w:r>
      <w:r w:rsidR="00105372" w:rsidRPr="00BF6B9C">
        <w:rPr>
          <w:rFonts w:ascii="Bookman Old Style" w:hAnsi="Bookman Old Style" w:cs="Arial"/>
        </w:rPr>
        <w:t>s</w:t>
      </w:r>
      <w:r w:rsidRPr="00BF6B9C">
        <w:rPr>
          <w:rFonts w:ascii="Bookman Old Style" w:hAnsi="Bookman Old Style" w:cs="Arial"/>
        </w:rPr>
        <w:t xml:space="preserve"> de distribución </w:t>
      </w:r>
      <w:r w:rsidR="00601622" w:rsidRPr="00BF6B9C">
        <w:rPr>
          <w:rFonts w:ascii="Bookman Old Style" w:hAnsi="Bookman Old Style" w:cs="Arial"/>
        </w:rPr>
        <w:t xml:space="preserve">transitorios </w:t>
      </w:r>
      <w:r w:rsidRPr="00BF6B9C">
        <w:rPr>
          <w:rFonts w:ascii="Bookman Old Style" w:hAnsi="Bookman Old Style" w:cs="Arial"/>
        </w:rPr>
        <w:t xml:space="preserve">para el Mercado Relevante </w:t>
      </w:r>
      <w:r w:rsidR="00681AD8" w:rsidRPr="00BF6B9C">
        <w:rPr>
          <w:rFonts w:ascii="Bookman Old Style" w:hAnsi="Bookman Old Style" w:cs="Arial"/>
        </w:rPr>
        <w:t xml:space="preserve">de Distribución Para el Siguiente Periodo Tarifario </w:t>
      </w:r>
      <w:r w:rsidRPr="00BF6B9C">
        <w:rPr>
          <w:rFonts w:ascii="Bookman Old Style" w:hAnsi="Bookman Old Style" w:cs="Arial"/>
        </w:rPr>
        <w:t xml:space="preserve">definido en el </w:t>
      </w:r>
      <w:r w:rsidR="00092171" w:rsidRPr="00BF6B9C">
        <w:rPr>
          <w:rFonts w:ascii="Bookman Old Style" w:hAnsi="Bookman Old Style" w:cs="Arial"/>
        </w:rPr>
        <w:t>a</w:t>
      </w:r>
      <w:r w:rsidRPr="00BF6B9C">
        <w:rPr>
          <w:rFonts w:ascii="Bookman Old Style" w:hAnsi="Bookman Old Style" w:cs="Arial"/>
        </w:rPr>
        <w:t>rtículo 1 de esta Resolución se compone como se indica a continuación:</w:t>
      </w:r>
    </w:p>
    <w:p w:rsidR="003B75B5" w:rsidRPr="00BF6B9C" w:rsidRDefault="003B75B5" w:rsidP="00341E8F">
      <w:pPr>
        <w:widowControl w:val="0"/>
        <w:adjustRightInd w:val="0"/>
        <w:ind w:left="0" w:right="20"/>
        <w:jc w:val="both"/>
        <w:rPr>
          <w:rFonts w:ascii="Bookman Old Style" w:hAnsi="Bookman Old Style" w:cs="Arial"/>
          <w:b/>
        </w:rPr>
      </w:pPr>
    </w:p>
    <w:p w:rsidR="00273C2C" w:rsidRPr="00BF6B9C" w:rsidRDefault="00105372" w:rsidP="00341E8F">
      <w:pPr>
        <w:widowControl w:val="0"/>
        <w:adjustRightInd w:val="0"/>
        <w:ind w:left="0" w:right="20"/>
        <w:jc w:val="both"/>
        <w:rPr>
          <w:rFonts w:ascii="Bookman Old Style" w:hAnsi="Bookman Old Style" w:cs="Arial"/>
        </w:rPr>
      </w:pPr>
      <w:r w:rsidRPr="00BF6B9C">
        <w:rPr>
          <w:rFonts w:ascii="Bookman Old Style" w:hAnsi="Bookman Old Style" w:cs="Arial"/>
          <w:b/>
        </w:rPr>
        <w:t>3.</w:t>
      </w:r>
      <w:r w:rsidR="003B75B5" w:rsidRPr="00BF6B9C">
        <w:rPr>
          <w:rFonts w:ascii="Bookman Old Style" w:hAnsi="Bookman Old Style" w:cs="Arial"/>
          <w:b/>
        </w:rPr>
        <w:t>1</w:t>
      </w:r>
      <w:r w:rsidR="00EC0B8D" w:rsidRPr="00BF6B9C">
        <w:rPr>
          <w:rFonts w:ascii="Bookman Old Style" w:hAnsi="Bookman Old Style" w:cs="Arial"/>
          <w:b/>
        </w:rPr>
        <w:t>.</w:t>
      </w:r>
      <w:r w:rsidRPr="00BF6B9C">
        <w:rPr>
          <w:rFonts w:ascii="Bookman Old Style" w:hAnsi="Bookman Old Style" w:cs="Arial"/>
          <w:b/>
        </w:rPr>
        <w:t xml:space="preserve"> P</w:t>
      </w:r>
      <w:r w:rsidR="00273C2C" w:rsidRPr="00BF6B9C">
        <w:rPr>
          <w:rFonts w:ascii="Bookman Old Style" w:hAnsi="Bookman Old Style" w:cs="Arial"/>
          <w:b/>
        </w:rPr>
        <w:t>rograma de Nuevas Inversiones</w:t>
      </w:r>
      <w:r w:rsidR="00BF2120" w:rsidRPr="00BF6B9C">
        <w:rPr>
          <w:rFonts w:ascii="Bookman Old Style" w:hAnsi="Bookman Old Style" w:cs="Arial"/>
          <w:b/>
        </w:rPr>
        <w:t xml:space="preserve"> para Municipios Nuevos (INPI)</w:t>
      </w:r>
      <w:r w:rsidR="00273C2C" w:rsidRPr="00BF6B9C">
        <w:rPr>
          <w:rFonts w:ascii="Bookman Old Style" w:hAnsi="Bookman Old Style" w:cs="Arial"/>
          <w:b/>
        </w:rPr>
        <w:t xml:space="preserve">. </w:t>
      </w:r>
      <w:r w:rsidR="008150E7" w:rsidRPr="00BF6B9C">
        <w:rPr>
          <w:rFonts w:ascii="Bookman Old Style" w:hAnsi="Bookman Old Style" w:cs="Arial"/>
        </w:rPr>
        <w:t xml:space="preserve">El </w:t>
      </w:r>
      <w:r w:rsidR="00273C2C" w:rsidRPr="00BF6B9C">
        <w:rPr>
          <w:rFonts w:ascii="Bookman Old Style" w:hAnsi="Bookman Old Style" w:cs="Arial"/>
        </w:rPr>
        <w:t xml:space="preserve"> Programa de Nuevas Inversiones</w:t>
      </w:r>
      <w:r w:rsidR="008150E7" w:rsidRPr="00BF6B9C">
        <w:rPr>
          <w:rFonts w:ascii="Bookman Old Style" w:hAnsi="Bookman Old Style" w:cs="Arial"/>
        </w:rPr>
        <w:t xml:space="preserve"> corresponde a un valor presente de </w:t>
      </w:r>
      <w:r w:rsidR="00C80D50" w:rsidRPr="00BF6B9C">
        <w:rPr>
          <w:rFonts w:ascii="Bookman Old Style" w:hAnsi="Bookman Old Style" w:cs="Arial"/>
        </w:rPr>
        <w:t>$933.945.746,55</w:t>
      </w:r>
      <w:r w:rsidR="008150E7" w:rsidRPr="00BF6B9C">
        <w:rPr>
          <w:rFonts w:ascii="Bookman Old Style" w:hAnsi="Bookman Old Style" w:cs="Arial"/>
        </w:rPr>
        <w:t xml:space="preserve"> ($ 31 de diciembre de 201</w:t>
      </w:r>
      <w:r w:rsidR="00423FBC" w:rsidRPr="00BF6B9C">
        <w:rPr>
          <w:rFonts w:ascii="Bookman Old Style" w:hAnsi="Bookman Old Style" w:cs="Arial"/>
        </w:rPr>
        <w:t>4</w:t>
      </w:r>
      <w:r w:rsidR="008150E7" w:rsidRPr="00BF6B9C">
        <w:rPr>
          <w:rFonts w:ascii="Bookman Old Style" w:hAnsi="Bookman Old Style" w:cs="Arial"/>
        </w:rPr>
        <w:t>)</w:t>
      </w:r>
      <w:r w:rsidR="00273C2C" w:rsidRPr="00BF6B9C">
        <w:rPr>
          <w:rFonts w:ascii="Bookman Old Style" w:hAnsi="Bookman Old Style" w:cs="Arial"/>
        </w:rPr>
        <w:t xml:space="preserve"> </w:t>
      </w:r>
      <w:r w:rsidR="008150E7" w:rsidRPr="00BF6B9C">
        <w:rPr>
          <w:rFonts w:ascii="Bookman Old Style" w:hAnsi="Bookman Old Style" w:cs="Arial"/>
        </w:rPr>
        <w:t xml:space="preserve">y su </w:t>
      </w:r>
      <w:r w:rsidR="00273C2C" w:rsidRPr="00BF6B9C">
        <w:rPr>
          <w:rFonts w:ascii="Bookman Old Style" w:hAnsi="Bookman Old Style" w:cs="Arial"/>
        </w:rPr>
        <w:t xml:space="preserve">descripción </w:t>
      </w:r>
      <w:r w:rsidR="008150E7" w:rsidRPr="00BF6B9C">
        <w:rPr>
          <w:rFonts w:ascii="Bookman Old Style" w:hAnsi="Bookman Old Style" w:cs="Arial"/>
        </w:rPr>
        <w:t xml:space="preserve">se </w:t>
      </w:r>
      <w:r w:rsidR="00273C2C" w:rsidRPr="00BF6B9C">
        <w:rPr>
          <w:rFonts w:ascii="Bookman Old Style" w:hAnsi="Bookman Old Style" w:cs="Arial"/>
        </w:rPr>
        <w:t xml:space="preserve">presenta en el Anexo </w:t>
      </w:r>
      <w:r w:rsidR="000C4768" w:rsidRPr="00BF6B9C">
        <w:rPr>
          <w:rFonts w:ascii="Bookman Old Style" w:hAnsi="Bookman Old Style" w:cs="Arial"/>
        </w:rPr>
        <w:t>1</w:t>
      </w:r>
      <w:r w:rsidR="00273C2C" w:rsidRPr="00BF6B9C">
        <w:rPr>
          <w:rFonts w:ascii="Bookman Old Style" w:hAnsi="Bookman Old Style" w:cs="Arial"/>
        </w:rPr>
        <w:t xml:space="preserve"> de la presente Resolución:</w:t>
      </w:r>
    </w:p>
    <w:p w:rsidR="000A7E74" w:rsidRPr="00BF6B9C" w:rsidRDefault="000A7E74" w:rsidP="00341E8F">
      <w:pPr>
        <w:widowControl w:val="0"/>
        <w:adjustRightInd w:val="0"/>
        <w:ind w:left="0" w:right="20"/>
        <w:jc w:val="both"/>
        <w:rPr>
          <w:rFonts w:ascii="Bookman Old Style" w:hAnsi="Bookman Old Style" w:cs="Arial"/>
        </w:rPr>
      </w:pPr>
    </w:p>
    <w:p w:rsidR="008150E7" w:rsidRPr="00BF6B9C" w:rsidRDefault="008150E7" w:rsidP="00341E8F">
      <w:pPr>
        <w:widowControl w:val="0"/>
        <w:adjustRightInd w:val="0"/>
        <w:ind w:left="0" w:right="20"/>
        <w:jc w:val="both"/>
        <w:rPr>
          <w:rFonts w:ascii="Bookman Old Style" w:hAnsi="Bookman Old Style" w:cs="Arial"/>
          <w:b/>
        </w:rPr>
      </w:pPr>
      <w:r w:rsidRPr="00BF6B9C">
        <w:rPr>
          <w:rFonts w:ascii="Bookman Old Style" w:hAnsi="Bookman Old Style" w:cs="Arial"/>
          <w:b/>
        </w:rPr>
        <w:t>3.</w:t>
      </w:r>
      <w:r w:rsidR="002B34EB" w:rsidRPr="00BF6B9C">
        <w:rPr>
          <w:rFonts w:ascii="Bookman Old Style" w:hAnsi="Bookman Old Style" w:cs="Arial"/>
          <w:b/>
        </w:rPr>
        <w:t>2</w:t>
      </w:r>
      <w:r w:rsidR="00EC0B8D" w:rsidRPr="00BF6B9C">
        <w:rPr>
          <w:rFonts w:ascii="Bookman Old Style" w:hAnsi="Bookman Old Style" w:cs="Arial"/>
          <w:b/>
        </w:rPr>
        <w:t>.</w:t>
      </w:r>
      <w:r w:rsidRPr="00BF6B9C">
        <w:rPr>
          <w:rFonts w:ascii="Bookman Old Style" w:hAnsi="Bookman Old Style" w:cs="Arial"/>
          <w:b/>
        </w:rPr>
        <w:t xml:space="preserve"> Valoración de la Inversión Base</w:t>
      </w:r>
      <w:r w:rsidR="005A3FBF" w:rsidRPr="00BF6B9C">
        <w:rPr>
          <w:rFonts w:ascii="Bookman Old Style" w:hAnsi="Bookman Old Style" w:cs="Arial"/>
          <w:b/>
        </w:rPr>
        <w:t xml:space="preserve">. </w:t>
      </w:r>
    </w:p>
    <w:p w:rsidR="00092171" w:rsidRPr="00BF6B9C" w:rsidRDefault="00092171" w:rsidP="00341E8F">
      <w:pPr>
        <w:widowControl w:val="0"/>
        <w:adjustRightInd w:val="0"/>
        <w:ind w:left="0" w:right="20"/>
        <w:jc w:val="both"/>
        <w:rPr>
          <w:rFonts w:ascii="Bookman Old Style" w:hAnsi="Bookman Old Style" w:cs="Arial"/>
        </w:rPr>
      </w:pPr>
    </w:p>
    <w:p w:rsidR="008C3D2D" w:rsidRPr="00BF6B9C" w:rsidRDefault="008C3D2D"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Aplicando la metodología contenida en la Resolución CREG 202 de 2013 y </w:t>
      </w:r>
      <w:r w:rsidR="00EC0B8D" w:rsidRPr="00BF6B9C">
        <w:rPr>
          <w:rFonts w:ascii="Bookman Old Style" w:hAnsi="Bookman Old Style" w:cs="Arial"/>
        </w:rPr>
        <w:t>sus modificaciones y adiciones</w:t>
      </w:r>
      <w:r w:rsidRPr="00BF6B9C">
        <w:rPr>
          <w:rFonts w:ascii="Bookman Old Style" w:hAnsi="Bookman Old Style" w:cs="Arial"/>
        </w:rPr>
        <w:t xml:space="preserve">, se calcularon </w:t>
      </w:r>
      <w:r w:rsidR="00DF00AE" w:rsidRPr="00BF6B9C">
        <w:rPr>
          <w:rFonts w:ascii="Bookman Old Style" w:hAnsi="Bookman Old Style" w:cs="Arial"/>
        </w:rPr>
        <w:t xml:space="preserve">conforme a las formulas establecidas en los numerales 9.1.1.3. y 9.2.1.3. del artículo 9 </w:t>
      </w:r>
      <w:r w:rsidRPr="00BF6B9C">
        <w:rPr>
          <w:rFonts w:ascii="Bookman Old Style" w:hAnsi="Bookman Old Style" w:cs="Arial"/>
        </w:rPr>
        <w:t>para la componente que remunera la inversión base, aplicable a usuarios de uso residencial y a usuarios diferentes a los de uso residencial</w:t>
      </w:r>
      <w:r w:rsidR="00EC0B8D" w:rsidRPr="00BF6B9C">
        <w:rPr>
          <w:rFonts w:ascii="Bookman Old Style" w:hAnsi="Bookman Old Style" w:cs="Arial"/>
        </w:rPr>
        <w:t xml:space="preserve"> </w:t>
      </w:r>
      <w:r w:rsidR="00A62A9D" w:rsidRPr="00BF6B9C">
        <w:rPr>
          <w:rFonts w:ascii="Bookman Old Style" w:hAnsi="Bookman Old Style" w:cs="Arial"/>
        </w:rPr>
        <w:t xml:space="preserve">y </w:t>
      </w:r>
      <w:r w:rsidR="00EC0B8D" w:rsidRPr="00BF6B9C">
        <w:rPr>
          <w:rFonts w:ascii="Bookman Old Style" w:hAnsi="Bookman Old Style" w:cs="Arial"/>
        </w:rPr>
        <w:t>se obtuvieron</w:t>
      </w:r>
      <w:r w:rsidRPr="00BF6B9C">
        <w:rPr>
          <w:rFonts w:ascii="Bookman Old Style" w:hAnsi="Bookman Old Style" w:cs="Arial"/>
        </w:rPr>
        <w:t xml:space="preserve"> las siguientes variables principales</w:t>
      </w:r>
      <w:r w:rsidR="00883586" w:rsidRPr="00BF6B9C">
        <w:rPr>
          <w:rFonts w:ascii="Bookman Old Style" w:hAnsi="Bookman Old Style" w:cs="Arial"/>
        </w:rPr>
        <w:t>:</w:t>
      </w:r>
    </w:p>
    <w:p w:rsidR="00EC0B8D" w:rsidRPr="00BF6B9C" w:rsidRDefault="00EC0B8D" w:rsidP="00341E8F">
      <w:pPr>
        <w:widowControl w:val="0"/>
        <w:adjustRightInd w:val="0"/>
        <w:ind w:left="0" w:right="20"/>
        <w:jc w:val="both"/>
        <w:rPr>
          <w:rFonts w:ascii="Bookman Old Style" w:hAnsi="Bookman Old Style" w:cs="Arial"/>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59"/>
        <w:gridCol w:w="1418"/>
        <w:gridCol w:w="1417"/>
        <w:gridCol w:w="1560"/>
        <w:gridCol w:w="1559"/>
      </w:tblGrid>
      <w:tr w:rsidR="00A62A9D" w:rsidRPr="00BF6B9C" w:rsidTr="00C80D50">
        <w:tc>
          <w:tcPr>
            <w:tcW w:w="9356" w:type="dxa"/>
            <w:gridSpan w:val="6"/>
            <w:shd w:val="clear" w:color="auto" w:fill="D9D9D9"/>
            <w:vAlign w:val="center"/>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Usuarios de Uso Residencial</w:t>
            </w:r>
          </w:p>
          <w:p w:rsidR="00A62A9D" w:rsidRPr="00BF6B9C" w:rsidRDefault="00A62A9D" w:rsidP="00341E8F">
            <w:pPr>
              <w:widowControl w:val="0"/>
              <w:adjustRightInd w:val="0"/>
              <w:ind w:left="0" w:right="20"/>
              <w:jc w:val="center"/>
              <w:rPr>
                <w:rFonts w:ascii="Bookman Old Style" w:hAnsi="Bookman Old Style" w:cs="Arial"/>
                <w:b/>
              </w:rPr>
            </w:pPr>
          </w:p>
        </w:tc>
      </w:tr>
      <w:tr w:rsidR="0033099C" w:rsidRPr="00BF6B9C" w:rsidTr="00C80D50">
        <w:tc>
          <w:tcPr>
            <w:tcW w:w="1843" w:type="dxa"/>
            <w:vMerge w:val="restart"/>
            <w:shd w:val="clear" w:color="auto" w:fill="D9D9D9"/>
            <w:vAlign w:val="center"/>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Variable</w:t>
            </w:r>
          </w:p>
        </w:tc>
        <w:tc>
          <w:tcPr>
            <w:tcW w:w="7513" w:type="dxa"/>
            <w:gridSpan w:val="5"/>
            <w:shd w:val="clear" w:color="auto" w:fill="D9D9D9"/>
          </w:tcPr>
          <w:p w:rsidR="0033099C" w:rsidRPr="00BF6B9C" w:rsidRDefault="0033099C">
            <w:pPr>
              <w:widowControl w:val="0"/>
              <w:adjustRightInd w:val="0"/>
              <w:ind w:left="0" w:right="20"/>
              <w:jc w:val="center"/>
              <w:rPr>
                <w:rFonts w:ascii="Bookman Old Style" w:hAnsi="Bookman Old Style" w:cs="Arial"/>
                <w:b/>
              </w:rPr>
            </w:pPr>
            <w:r w:rsidRPr="00BF6B9C">
              <w:rPr>
                <w:rFonts w:ascii="Bookman Old Style" w:hAnsi="Bookman Old Style" w:cs="Arial"/>
                <w:b/>
              </w:rPr>
              <w:t>Valor ($31-Dic-201</w:t>
            </w:r>
            <w:r w:rsidR="00331004" w:rsidRPr="00BF6B9C">
              <w:rPr>
                <w:rFonts w:ascii="Bookman Old Style" w:hAnsi="Bookman Old Style" w:cs="Arial"/>
                <w:b/>
              </w:rPr>
              <w:t>4</w:t>
            </w:r>
            <w:r w:rsidRPr="00BF6B9C">
              <w:rPr>
                <w:rFonts w:ascii="Bookman Old Style" w:hAnsi="Bookman Old Style" w:cs="Arial"/>
                <w:b/>
              </w:rPr>
              <w:t>)</w:t>
            </w:r>
          </w:p>
        </w:tc>
      </w:tr>
      <w:tr w:rsidR="0033099C" w:rsidRPr="00BF6B9C" w:rsidTr="00C80D50">
        <w:tc>
          <w:tcPr>
            <w:tcW w:w="1843" w:type="dxa"/>
            <w:vMerge/>
            <w:shd w:val="clear" w:color="auto" w:fill="D9D9D9"/>
          </w:tcPr>
          <w:p w:rsidR="0033099C" w:rsidRPr="00BF6B9C" w:rsidRDefault="0033099C" w:rsidP="00341E8F">
            <w:pPr>
              <w:tabs>
                <w:tab w:val="left" w:pos="426"/>
              </w:tabs>
              <w:ind w:left="0" w:hanging="817"/>
              <w:rPr>
                <w:rFonts w:ascii="Bookman Old Style" w:hAnsi="Bookman Old Style"/>
                <w:b/>
              </w:rPr>
            </w:pPr>
          </w:p>
        </w:tc>
        <w:tc>
          <w:tcPr>
            <w:tcW w:w="1559" w:type="dxa"/>
            <w:shd w:val="clear" w:color="auto" w:fill="D9D9D9"/>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418" w:type="dxa"/>
            <w:shd w:val="clear" w:color="auto" w:fill="D9D9D9"/>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417" w:type="dxa"/>
            <w:shd w:val="clear" w:color="auto" w:fill="D9D9D9"/>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560" w:type="dxa"/>
            <w:shd w:val="clear" w:color="auto" w:fill="D9D9D9"/>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559" w:type="dxa"/>
            <w:shd w:val="clear" w:color="auto" w:fill="D9D9D9"/>
          </w:tcPr>
          <w:p w:rsidR="0033099C" w:rsidRPr="00BF6B9C" w:rsidRDefault="0033099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C80D50" w:rsidRPr="00BF6B9C" w:rsidTr="00414B26">
        <w:trPr>
          <w:trHeight w:val="469"/>
        </w:trPr>
        <w:tc>
          <w:tcPr>
            <w:tcW w:w="1843" w:type="dxa"/>
            <w:shd w:val="clear" w:color="auto" w:fill="auto"/>
            <w:vAlign w:val="center"/>
          </w:tcPr>
          <w:p w:rsidR="00C80D50" w:rsidRPr="00BF6B9C" w:rsidRDefault="00DD3035">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eastAsia="Calibri" w:hAnsi="Cambria Math" w:cs="Arial"/>
                        <w:b/>
                        <w:sz w:val="16"/>
                        <w:szCs w:val="16"/>
                        <w:lang w:val="es-CO" w:eastAsia="en-US"/>
                      </w:rPr>
                    </m:ctrlPr>
                  </m:sSubPr>
                  <m:e>
                    <m:r>
                      <m:rPr>
                        <m:sty m:val="b"/>
                      </m:rPr>
                      <w:rPr>
                        <w:rFonts w:ascii="Cambria Math" w:eastAsia="Calibri" w:hAnsi="Cambria Math" w:cs="Arial"/>
                        <w:sz w:val="16"/>
                        <w:szCs w:val="16"/>
                        <w:lang w:val="es-CO" w:eastAsia="en-US"/>
                      </w:rPr>
                      <m:t>IBMN</m:t>
                    </m:r>
                  </m:e>
                  <m:sub>
                    <m:r>
                      <m:rPr>
                        <m:sty m:val="b"/>
                      </m:rPr>
                      <w:rPr>
                        <w:rFonts w:ascii="Cambria Math" w:eastAsia="Calibri" w:hAnsi="Cambria Math" w:cs="Arial"/>
                        <w:sz w:val="16"/>
                        <w:szCs w:val="16"/>
                        <w:lang w:val="es-CO" w:eastAsia="en-US"/>
                      </w:rPr>
                      <m:t>RPk</m:t>
                    </m:r>
                  </m:sub>
                </m:sSub>
              </m:oMath>
            </m:oMathPara>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409,574,149.65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408,744,248.72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407,094,495.67</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406,167,903.98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412,523,870.12</w:t>
            </w:r>
          </w:p>
        </w:tc>
      </w:tr>
      <w:tr w:rsidR="00C80D50" w:rsidRPr="00BF6B9C" w:rsidTr="00414B26">
        <w:trPr>
          <w:trHeight w:val="469"/>
        </w:trPr>
        <w:tc>
          <w:tcPr>
            <w:tcW w:w="1843" w:type="dxa"/>
            <w:shd w:val="clear" w:color="auto" w:fill="auto"/>
            <w:vAlign w:val="center"/>
          </w:tcPr>
          <w:p w:rsidR="00C80D50" w:rsidRPr="00BF6B9C" w:rsidRDefault="00DD3035">
            <w:pPr>
              <w:tabs>
                <w:tab w:val="left" w:pos="426"/>
              </w:tabs>
              <w:ind w:left="0"/>
              <w:rPr>
                <w:rFonts w:ascii="Bookman Old Style" w:hAnsi="Bookman Old Style" w:cs="Arial"/>
                <w:b/>
                <w:sz w:val="16"/>
                <w:szCs w:val="16"/>
                <w:lang w:val="es-CO" w:eastAsia="en-US"/>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IBMN</m:t>
                    </m:r>
                  </m:e>
                  <m:sub>
                    <m:r>
                      <m:rPr>
                        <m:sty m:val="b"/>
                      </m:rPr>
                      <w:rPr>
                        <w:rFonts w:ascii="Cambria Math" w:hAnsi="Cambria Math" w:cs="Arial"/>
                        <w:sz w:val="16"/>
                        <w:szCs w:val="16"/>
                        <w:lang w:val="es-ES_tradnl"/>
                      </w:rPr>
                      <m:t>RSk</m:t>
                    </m:r>
                  </m:sub>
                </m:sSub>
              </m:oMath>
            </m:oMathPara>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524,371,596.90</w:t>
            </w:r>
          </w:p>
        </w:tc>
        <w:tc>
          <w:tcPr>
            <w:tcW w:w="1418"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523,309,087.28</w:t>
            </w:r>
          </w:p>
        </w:tc>
        <w:tc>
          <w:tcPr>
            <w:tcW w:w="1417"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521,196,933.38</w:t>
            </w:r>
          </w:p>
        </w:tc>
        <w:tc>
          <w:tcPr>
            <w:tcW w:w="1560"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520,010,632.03</w:t>
            </w:r>
          </w:p>
        </w:tc>
        <w:tc>
          <w:tcPr>
            <w:tcW w:w="1559"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rsidP="00414B26">
            <w:pPr>
              <w:ind w:left="0"/>
              <w:jc w:val="center"/>
              <w:rPr>
                <w:rFonts w:ascii="Bookman Old Style" w:hAnsi="Bookman Old Style"/>
                <w:sz w:val="16"/>
                <w:szCs w:val="16"/>
              </w:rPr>
            </w:pPr>
            <w:r w:rsidRPr="00BF6B9C">
              <w:rPr>
                <w:rFonts w:ascii="Bookman Old Style" w:hAnsi="Bookman Old Style"/>
                <w:color w:val="000000"/>
                <w:sz w:val="16"/>
                <w:szCs w:val="16"/>
              </w:rPr>
              <w:t>528,148,079.46</w:t>
            </w:r>
          </w:p>
        </w:tc>
      </w:tr>
      <w:tr w:rsidR="00C80D50" w:rsidRPr="00BF6B9C" w:rsidTr="00414B26">
        <w:trPr>
          <w:trHeight w:val="469"/>
        </w:trPr>
        <w:tc>
          <w:tcPr>
            <w:tcW w:w="1843" w:type="dxa"/>
            <w:shd w:val="clear" w:color="auto" w:fill="auto"/>
            <w:vAlign w:val="center"/>
          </w:tcPr>
          <w:p w:rsidR="00C80D50" w:rsidRPr="00BF6B9C" w:rsidRDefault="00C80D50">
            <w:pPr>
              <w:tabs>
                <w:tab w:val="left" w:pos="426"/>
              </w:tabs>
              <w:ind w:left="0"/>
              <w:rPr>
                <w:rFonts w:ascii="Bookman Old Style" w:hAnsi="Bookman Old Style" w:cs="Arial"/>
                <w:b/>
                <w:sz w:val="16"/>
                <w:szCs w:val="16"/>
                <w:lang w:val="es-ES_tradnl"/>
              </w:rPr>
            </w:pPr>
            <m:oMathPara>
              <m:oMathParaPr>
                <m:jc m:val="left"/>
              </m:oMathParaPr>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NoResRSk</m:t>
                    </m:r>
                  </m:sub>
                </m:sSub>
                <m:r>
                  <m:rPr>
                    <m:sty m:val="b"/>
                  </m:rPr>
                  <w:rPr>
                    <w:rFonts w:ascii="Cambria Math" w:hAnsi="Cambria Math" w:cs="Arial"/>
                    <w:sz w:val="16"/>
                    <w:szCs w:val="16"/>
                    <w:lang w:val="es-ES_tradnl"/>
                  </w:rPr>
                  <m:t>+</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Resk</m:t>
                    </m:r>
                  </m:sub>
                </m:sSub>
                <m:r>
                  <m:rPr>
                    <m:sty m:val="b"/>
                  </m:rPr>
                  <w:rPr>
                    <w:rFonts w:ascii="Cambria Math" w:hAnsi="Cambria Math" w:cs="Arial"/>
                    <w:sz w:val="16"/>
                    <w:szCs w:val="16"/>
                    <w:lang w:val="es-ES_tradnl"/>
                  </w:rPr>
                  <m:t>)</m:t>
                </m:r>
              </m:oMath>
            </m:oMathPara>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418"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417"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60"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59"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315,917.10</w:t>
            </w:r>
          </w:p>
        </w:tc>
      </w:tr>
      <w:tr w:rsidR="00C80D50" w:rsidRPr="00BF6B9C" w:rsidTr="00414B26">
        <w:trPr>
          <w:trHeight w:val="469"/>
        </w:trPr>
        <w:tc>
          <w:tcPr>
            <w:tcW w:w="1843" w:type="dxa"/>
            <w:shd w:val="clear" w:color="auto" w:fill="auto"/>
            <w:vAlign w:val="center"/>
          </w:tcPr>
          <w:p w:rsidR="00C80D50" w:rsidRPr="00BF6B9C" w:rsidRDefault="00C80D50">
            <w:pPr>
              <w:tabs>
                <w:tab w:val="left" w:pos="426"/>
              </w:tabs>
              <w:ind w:left="0"/>
              <w:rPr>
                <w:rFonts w:ascii="Bookman Old Style" w:hAnsi="Bookman Old Style"/>
                <w:b/>
                <w:sz w:val="16"/>
                <w:szCs w:val="16"/>
                <w:lang w:val="es-ES_tradnl"/>
              </w:rPr>
            </w:pPr>
            <m:oMathPara>
              <m:oMathParaPr>
                <m:jc m:val="left"/>
              </m:oMathParaPr>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Tk</m:t>
                    </m:r>
                  </m:sub>
                </m:sSub>
              </m:oMath>
            </m:oMathPara>
          </w:p>
          <w:p w:rsidR="00C80D50" w:rsidRPr="00BF6B9C" w:rsidRDefault="00C80D50">
            <w:pPr>
              <w:tabs>
                <w:tab w:val="left" w:pos="426"/>
              </w:tabs>
              <w:ind w:left="0"/>
              <w:rPr>
                <w:rFonts w:ascii="Bookman Old Style" w:hAnsi="Bookman Old Style"/>
                <w:b/>
                <w:sz w:val="16"/>
                <w:szCs w:val="16"/>
                <w:lang w:val="es-ES_tradnl"/>
              </w:rPr>
            </w:pP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418"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417"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60"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59" w:type="dxa"/>
            <w:tcBorders>
              <w:top w:val="nil"/>
              <w:left w:val="nil"/>
              <w:bottom w:val="single" w:sz="4" w:space="0" w:color="auto"/>
              <w:right w:val="single" w:sz="4" w:space="0" w:color="auto"/>
            </w:tcBorders>
            <w:shd w:val="clear" w:color="auto" w:fill="FFFFFF" w:themeFill="background1"/>
            <w:vAlign w:val="center"/>
          </w:tcPr>
          <w:p w:rsidR="00C80D50" w:rsidRPr="00BF6B9C" w:rsidRDefault="00C80D50">
            <w:pPr>
              <w:ind w:left="-108"/>
              <w:jc w:val="center"/>
              <w:rPr>
                <w:rFonts w:ascii="Bookman Old Style" w:hAnsi="Bookman Old Style"/>
                <w:sz w:val="16"/>
                <w:szCs w:val="16"/>
              </w:rPr>
            </w:pPr>
            <w:r w:rsidRPr="00BF6B9C">
              <w:rPr>
                <w:rFonts w:ascii="Bookman Old Style" w:hAnsi="Bookman Old Style"/>
                <w:color w:val="000000"/>
                <w:sz w:val="16"/>
                <w:szCs w:val="16"/>
              </w:rPr>
              <w:t>315,917.10</w:t>
            </w:r>
          </w:p>
        </w:tc>
      </w:tr>
    </w:tbl>
    <w:p w:rsidR="00F35BA5" w:rsidRPr="00BF6B9C" w:rsidRDefault="00F35BA5" w:rsidP="00341E8F">
      <w:pPr>
        <w:widowControl w:val="0"/>
        <w:adjustRightInd w:val="0"/>
        <w:ind w:left="0" w:right="20"/>
        <w:jc w:val="center"/>
        <w:rPr>
          <w:rFonts w:ascii="Bookman Old Style" w:hAnsi="Bookman Old Style" w:cs="Arial"/>
        </w:rPr>
      </w:pPr>
    </w:p>
    <w:p w:rsidR="00146A9D" w:rsidRPr="00BF6B9C" w:rsidRDefault="00146A9D" w:rsidP="00341E8F">
      <w:pPr>
        <w:widowControl w:val="0"/>
        <w:adjustRightInd w:val="0"/>
        <w:ind w:left="0" w:right="20"/>
        <w:jc w:val="center"/>
        <w:rPr>
          <w:rFonts w:ascii="Bookman Old Style" w:hAnsi="Bookman Old Style" w:cs="Arial"/>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59"/>
        <w:gridCol w:w="1418"/>
        <w:gridCol w:w="1417"/>
        <w:gridCol w:w="1560"/>
        <w:gridCol w:w="1559"/>
      </w:tblGrid>
      <w:tr w:rsidR="00A62A9D" w:rsidRPr="00BF6B9C" w:rsidTr="00BF6B9C">
        <w:trPr>
          <w:tblHeader/>
        </w:trPr>
        <w:tc>
          <w:tcPr>
            <w:tcW w:w="9356" w:type="dxa"/>
            <w:gridSpan w:val="6"/>
            <w:shd w:val="clear" w:color="auto" w:fill="D9D9D9"/>
            <w:vAlign w:val="center"/>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Usuarios Diferentes a los de Uso Residencial</w:t>
            </w:r>
          </w:p>
          <w:p w:rsidR="00A62A9D" w:rsidRPr="00BF6B9C" w:rsidRDefault="00A62A9D" w:rsidP="00341E8F">
            <w:pPr>
              <w:widowControl w:val="0"/>
              <w:adjustRightInd w:val="0"/>
              <w:ind w:left="0" w:right="20"/>
              <w:jc w:val="center"/>
              <w:rPr>
                <w:rFonts w:ascii="Bookman Old Style" w:hAnsi="Bookman Old Style" w:cs="Arial"/>
                <w:b/>
              </w:rPr>
            </w:pPr>
          </w:p>
        </w:tc>
      </w:tr>
      <w:tr w:rsidR="00A62A9D" w:rsidRPr="00BF6B9C" w:rsidTr="00BF6B9C">
        <w:trPr>
          <w:tblHeader/>
        </w:trPr>
        <w:tc>
          <w:tcPr>
            <w:tcW w:w="1843" w:type="dxa"/>
            <w:vMerge w:val="restart"/>
            <w:shd w:val="clear" w:color="auto" w:fill="D9D9D9"/>
            <w:vAlign w:val="center"/>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Variable</w:t>
            </w:r>
          </w:p>
        </w:tc>
        <w:tc>
          <w:tcPr>
            <w:tcW w:w="7513" w:type="dxa"/>
            <w:gridSpan w:val="5"/>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Valor ($31-Dic-201</w:t>
            </w:r>
            <w:r w:rsidR="00331004" w:rsidRPr="00BF6B9C">
              <w:rPr>
                <w:rFonts w:ascii="Bookman Old Style" w:hAnsi="Bookman Old Style" w:cs="Arial"/>
                <w:b/>
              </w:rPr>
              <w:t>4</w:t>
            </w:r>
            <w:r w:rsidRPr="00BF6B9C">
              <w:rPr>
                <w:rFonts w:ascii="Bookman Old Style" w:hAnsi="Bookman Old Style" w:cs="Arial"/>
                <w:b/>
              </w:rPr>
              <w:t>)</w:t>
            </w:r>
          </w:p>
        </w:tc>
      </w:tr>
      <w:tr w:rsidR="00DF00AE" w:rsidRPr="00BF6B9C" w:rsidTr="00BF6B9C">
        <w:trPr>
          <w:tblHeader/>
        </w:trPr>
        <w:tc>
          <w:tcPr>
            <w:tcW w:w="1843" w:type="dxa"/>
            <w:vMerge/>
            <w:shd w:val="clear" w:color="auto" w:fill="D9D9D9"/>
          </w:tcPr>
          <w:p w:rsidR="00A62A9D" w:rsidRPr="00BF6B9C" w:rsidRDefault="00A62A9D" w:rsidP="00341E8F">
            <w:pPr>
              <w:tabs>
                <w:tab w:val="left" w:pos="426"/>
              </w:tabs>
              <w:ind w:left="0" w:hanging="817"/>
              <w:rPr>
                <w:rFonts w:ascii="Bookman Old Style" w:hAnsi="Bookman Old Style"/>
                <w:b/>
              </w:rPr>
            </w:pPr>
          </w:p>
        </w:tc>
        <w:tc>
          <w:tcPr>
            <w:tcW w:w="1559" w:type="dxa"/>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418" w:type="dxa"/>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417" w:type="dxa"/>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560" w:type="dxa"/>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559" w:type="dxa"/>
            <w:shd w:val="clear" w:color="auto" w:fill="D9D9D9"/>
          </w:tcPr>
          <w:p w:rsidR="00A62A9D" w:rsidRPr="00BF6B9C" w:rsidRDefault="00A62A9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D30206" w:rsidRPr="00BF6B9C" w:rsidTr="00414B26">
        <w:trPr>
          <w:trHeight w:val="497"/>
        </w:trPr>
        <w:tc>
          <w:tcPr>
            <w:tcW w:w="1843" w:type="dxa"/>
            <w:shd w:val="clear" w:color="auto" w:fill="FFFFFF" w:themeFill="background1"/>
            <w:vAlign w:val="center"/>
          </w:tcPr>
          <w:p w:rsidR="00D30206" w:rsidRPr="00BF6B9C" w:rsidRDefault="00DD3035" w:rsidP="00414B26">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IBMN</m:t>
                    </m:r>
                  </m:e>
                  <m:sub>
                    <m:r>
                      <m:rPr>
                        <m:sty m:val="b"/>
                      </m:rPr>
                      <w:rPr>
                        <w:rFonts w:ascii="Cambria Math" w:hAnsi="Cambria Math" w:cs="Arial"/>
                        <w:sz w:val="16"/>
                        <w:szCs w:val="16"/>
                        <w:lang w:val="es-ES_tradnl"/>
                      </w:rPr>
                      <m:t>RPk</m:t>
                    </m:r>
                  </m:sub>
                </m:sSub>
              </m:oMath>
            </m:oMathPara>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0206" w:rsidRPr="00BF6B9C" w:rsidRDefault="00D77B29">
            <w:pPr>
              <w:ind w:left="-108"/>
              <w:jc w:val="center"/>
              <w:rPr>
                <w:rFonts w:ascii="Calibri" w:hAnsi="Calibri"/>
                <w:color w:val="000000"/>
                <w:sz w:val="16"/>
                <w:szCs w:val="16"/>
                <w:lang w:val="es-CO" w:eastAsia="es-CO"/>
              </w:rPr>
            </w:pPr>
            <w:r w:rsidRPr="00BF6B9C">
              <w:rPr>
                <w:rFonts w:ascii="Bookman Old Style" w:hAnsi="Bookman Old Style"/>
                <w:color w:val="000000"/>
                <w:sz w:val="16"/>
                <w:szCs w:val="16"/>
              </w:rPr>
              <w:t>409.574.149,65</w:t>
            </w:r>
            <w:r w:rsidRPr="00BF6B9C">
              <w:rPr>
                <w:rFonts w:ascii="Calibri" w:hAnsi="Calibri"/>
                <w:color w:val="000000"/>
                <w:sz w:val="16"/>
                <w:szCs w:val="16"/>
              </w:rPr>
              <w:t xml:space="preserve"> </w:t>
            </w:r>
            <w:r w:rsidR="000A15BD" w:rsidRPr="00BF6B9C">
              <w:rPr>
                <w:rFonts w:ascii="Bookman Old Style" w:hAnsi="Bookman Old Style"/>
                <w:color w:val="000000"/>
                <w:sz w:val="16"/>
                <w:szCs w:val="16"/>
              </w:rPr>
              <w:t xml:space="preserve"> </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color w:val="000000"/>
                <w:sz w:val="16"/>
                <w:szCs w:val="16"/>
              </w:rPr>
              <w:t>408,744,248.72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color w:val="000000"/>
                <w:sz w:val="16"/>
                <w:szCs w:val="16"/>
              </w:rPr>
              <w:t>407,094,495.67</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color w:val="000000"/>
                <w:sz w:val="16"/>
                <w:szCs w:val="16"/>
              </w:rPr>
              <w:t>406,167,903.98</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color w:val="000000"/>
                <w:sz w:val="16"/>
                <w:szCs w:val="16"/>
              </w:rPr>
              <w:t>412,523,870.12</w:t>
            </w:r>
          </w:p>
        </w:tc>
      </w:tr>
      <w:tr w:rsidR="00D30206" w:rsidRPr="00BF6B9C" w:rsidTr="00414B26">
        <w:trPr>
          <w:trHeight w:val="497"/>
        </w:trPr>
        <w:tc>
          <w:tcPr>
            <w:tcW w:w="1843" w:type="dxa"/>
            <w:shd w:val="clear" w:color="auto" w:fill="FFFFFF" w:themeFill="background1"/>
            <w:vAlign w:val="center"/>
          </w:tcPr>
          <w:p w:rsidR="00D30206" w:rsidRPr="00BF6B9C" w:rsidRDefault="00DD3035" w:rsidP="00414B26">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IBMN</m:t>
                    </m:r>
                  </m:e>
                  <m:sub>
                    <m:r>
                      <m:rPr>
                        <m:sty m:val="b"/>
                      </m:rPr>
                      <w:rPr>
                        <w:rFonts w:ascii="Cambria Math" w:hAnsi="Cambria Math" w:cs="Arial"/>
                        <w:sz w:val="16"/>
                        <w:szCs w:val="16"/>
                        <w:lang w:val="es-ES_tradnl"/>
                      </w:rPr>
                      <m:t>RS(NoRes)k</m:t>
                    </m:r>
                  </m:sub>
                </m:sSub>
              </m:oMath>
            </m:oMathPara>
          </w:p>
          <w:p w:rsidR="00D30206" w:rsidRPr="00BF6B9C" w:rsidRDefault="00D30206" w:rsidP="00414B26">
            <w:pPr>
              <w:tabs>
                <w:tab w:val="left" w:pos="426"/>
              </w:tabs>
              <w:ind w:left="0"/>
              <w:rPr>
                <w:rFonts w:ascii="Bookman Old Style" w:hAnsi="Bookman Old Style" w:cs="Arial"/>
                <w:b/>
                <w:sz w:val="16"/>
                <w:szCs w:val="16"/>
                <w:lang w:val="es-ES_tradnl"/>
              </w:rPr>
            </w:pP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D30206" w:rsidRPr="00BF6B9C" w:rsidRDefault="00D30206" w:rsidP="00414B26">
            <w:pPr>
              <w:ind w:left="0"/>
              <w:jc w:val="center"/>
              <w:rPr>
                <w:rFonts w:ascii="Bookman Old Style" w:hAnsi="Bookman Old Style"/>
                <w:sz w:val="16"/>
                <w:szCs w:val="16"/>
              </w:rPr>
            </w:pPr>
            <w:r w:rsidRPr="00BF6B9C">
              <w:rPr>
                <w:rFonts w:ascii="Bookman Old Style" w:hAnsi="Bookman Old Style"/>
                <w:sz w:val="16"/>
                <w:szCs w:val="16"/>
              </w:rPr>
              <w:t>26,758,312.95</w:t>
            </w:r>
          </w:p>
        </w:tc>
        <w:tc>
          <w:tcPr>
            <w:tcW w:w="1418"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sz w:val="16"/>
                <w:szCs w:val="16"/>
              </w:rPr>
              <w:t>26,700,253.01</w:t>
            </w:r>
          </w:p>
        </w:tc>
        <w:tc>
          <w:tcPr>
            <w:tcW w:w="1417"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sz w:val="16"/>
                <w:szCs w:val="16"/>
              </w:rPr>
              <w:t>26,584,840.56</w:t>
            </w:r>
          </w:p>
        </w:tc>
        <w:tc>
          <w:tcPr>
            <w:tcW w:w="1560"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sz w:val="16"/>
                <w:szCs w:val="16"/>
              </w:rPr>
              <w:t>26,520,022.17</w:t>
            </w:r>
          </w:p>
        </w:tc>
        <w:tc>
          <w:tcPr>
            <w:tcW w:w="1559"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ind w:left="-108"/>
              <w:jc w:val="center"/>
              <w:rPr>
                <w:rFonts w:ascii="Bookman Old Style" w:hAnsi="Bookman Old Style"/>
                <w:sz w:val="16"/>
                <w:szCs w:val="16"/>
              </w:rPr>
            </w:pPr>
            <w:r w:rsidRPr="00BF6B9C">
              <w:rPr>
                <w:rFonts w:ascii="Bookman Old Style" w:hAnsi="Bookman Old Style"/>
                <w:sz w:val="16"/>
                <w:szCs w:val="16"/>
              </w:rPr>
              <w:t>26,964,680.12</w:t>
            </w:r>
          </w:p>
        </w:tc>
      </w:tr>
      <w:tr w:rsidR="00D30206" w:rsidRPr="00BF6B9C" w:rsidTr="00414B26">
        <w:trPr>
          <w:trHeight w:val="497"/>
        </w:trPr>
        <w:tc>
          <w:tcPr>
            <w:tcW w:w="1843" w:type="dxa"/>
            <w:shd w:val="clear" w:color="auto" w:fill="FFFFFF" w:themeFill="background1"/>
            <w:vAlign w:val="center"/>
          </w:tcPr>
          <w:p w:rsidR="00D30206" w:rsidRPr="00BF6B9C" w:rsidRDefault="00DD3035" w:rsidP="00414B26">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VP(Q(PR)</m:t>
                    </m:r>
                  </m:e>
                  <m:sub>
                    <m:r>
                      <m:rPr>
                        <m:sty m:val="b"/>
                      </m:rPr>
                      <w:rPr>
                        <w:rFonts w:ascii="Cambria Math" w:hAnsi="Cambria Math" w:cs="Arial"/>
                        <w:sz w:val="16"/>
                        <w:szCs w:val="16"/>
                        <w:lang w:val="es-ES_tradnl"/>
                      </w:rPr>
                      <m:t>Tk</m:t>
                    </m:r>
                  </m:sub>
                </m:sSub>
              </m:oMath>
            </m:oMathPara>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418"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417"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60"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59"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315,917.10</w:t>
            </w:r>
          </w:p>
        </w:tc>
      </w:tr>
      <w:tr w:rsidR="00D30206" w:rsidRPr="00BF6B9C" w:rsidTr="00414B26">
        <w:trPr>
          <w:trHeight w:val="497"/>
        </w:trPr>
        <w:tc>
          <w:tcPr>
            <w:tcW w:w="1843" w:type="dxa"/>
            <w:shd w:val="clear" w:color="auto" w:fill="FFFFFF" w:themeFill="background1"/>
            <w:vAlign w:val="center"/>
          </w:tcPr>
          <w:p w:rsidR="00D30206" w:rsidRPr="00BF6B9C" w:rsidRDefault="00DD3035" w:rsidP="00414B26">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VP(Q(PR)</m:t>
                    </m:r>
                  </m:e>
                  <m:sub>
                    <m:r>
                      <m:rPr>
                        <m:sty m:val="b"/>
                      </m:rPr>
                      <w:rPr>
                        <w:rFonts w:ascii="Cambria Math" w:hAnsi="Cambria Math" w:cs="Arial"/>
                        <w:sz w:val="16"/>
                        <w:szCs w:val="16"/>
                        <w:lang w:val="es-ES_tradnl"/>
                      </w:rPr>
                      <m:t>Resk</m:t>
                    </m:r>
                  </m:sub>
                </m:sSub>
                <m:r>
                  <m:rPr>
                    <m:sty m:val="b"/>
                  </m:rPr>
                  <w:rPr>
                    <w:rFonts w:ascii="Cambria Math" w:hAnsi="Cambria Math" w:cs="Arial"/>
                    <w:sz w:val="16"/>
                    <w:szCs w:val="16"/>
                    <w:lang w:val="es-ES_tradnl"/>
                  </w:rPr>
                  <m:t>)</m:t>
                </m:r>
              </m:oMath>
            </m:oMathPara>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284,542.53</w:t>
            </w:r>
          </w:p>
        </w:tc>
        <w:tc>
          <w:tcPr>
            <w:tcW w:w="1418"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280,439.82</w:t>
            </w:r>
          </w:p>
        </w:tc>
        <w:tc>
          <w:tcPr>
            <w:tcW w:w="1417"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272,515.51</w:t>
            </w:r>
          </w:p>
        </w:tc>
        <w:tc>
          <w:tcPr>
            <w:tcW w:w="1560"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268,195.69</w:t>
            </w:r>
          </w:p>
        </w:tc>
        <w:tc>
          <w:tcPr>
            <w:tcW w:w="1559" w:type="dxa"/>
            <w:tcBorders>
              <w:top w:val="nil"/>
              <w:left w:val="nil"/>
              <w:bottom w:val="single" w:sz="4" w:space="0" w:color="auto"/>
              <w:right w:val="single" w:sz="4" w:space="0" w:color="auto"/>
            </w:tcBorders>
            <w:shd w:val="clear" w:color="auto" w:fill="FFFFFF" w:themeFill="background1"/>
            <w:vAlign w:val="center"/>
          </w:tcPr>
          <w:p w:rsidR="00D30206" w:rsidRPr="00BF6B9C" w:rsidRDefault="00D3020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299,787.91</w:t>
            </w:r>
          </w:p>
        </w:tc>
      </w:tr>
    </w:tbl>
    <w:p w:rsidR="00554523" w:rsidRPr="00BF6B9C" w:rsidRDefault="00554523" w:rsidP="00341E8F">
      <w:pPr>
        <w:widowControl w:val="0"/>
        <w:adjustRightInd w:val="0"/>
        <w:ind w:left="0" w:right="20"/>
        <w:jc w:val="center"/>
        <w:rPr>
          <w:rFonts w:ascii="Bookman Old Style" w:hAnsi="Bookman Old Style" w:cs="Arial"/>
        </w:rPr>
      </w:pPr>
    </w:p>
    <w:p w:rsidR="00194AD4" w:rsidRPr="00BF6B9C" w:rsidRDefault="00273C2C" w:rsidP="00341E8F">
      <w:pPr>
        <w:widowControl w:val="0"/>
        <w:adjustRightInd w:val="0"/>
        <w:ind w:left="0" w:right="20"/>
        <w:jc w:val="both"/>
        <w:rPr>
          <w:rFonts w:ascii="Bookman Old Style" w:hAnsi="Bookman Old Style" w:cs="Arial"/>
        </w:rPr>
      </w:pPr>
      <w:r w:rsidRPr="00BF6B9C">
        <w:rPr>
          <w:rFonts w:ascii="Bookman Old Style" w:hAnsi="Bookman Old Style" w:cs="Arial"/>
          <w:b/>
        </w:rPr>
        <w:t>ARTÍCULO 4. Gastos de Administración, Operación y Mantenimiento - AOM.</w:t>
      </w:r>
      <w:r w:rsidRPr="00BF6B9C">
        <w:rPr>
          <w:rFonts w:ascii="Bookman Old Style" w:hAnsi="Bookman Old Style" w:cs="Arial"/>
          <w:bCs/>
        </w:rPr>
        <w:t xml:space="preserve"> El nivel de eficiencia obtenido del modelo de optimización es </w:t>
      </w:r>
      <w:r w:rsidRPr="00BF6B9C">
        <w:rPr>
          <w:rFonts w:ascii="Bookman Old Style" w:hAnsi="Bookman Old Style" w:cs="Arial"/>
        </w:rPr>
        <w:t xml:space="preserve">del </w:t>
      </w:r>
      <w:r w:rsidR="002272C2" w:rsidRPr="00BF6B9C">
        <w:rPr>
          <w:rFonts w:ascii="Bookman Old Style" w:eastAsia="Arial" w:hAnsi="Bookman Old Style" w:cs="Arial"/>
        </w:rPr>
        <w:t>70,66</w:t>
      </w:r>
      <w:r w:rsidR="002C03E1" w:rsidRPr="00BF6B9C">
        <w:rPr>
          <w:rFonts w:ascii="Bookman Old Style" w:hAnsi="Bookman Old Style" w:cs="Arial"/>
        </w:rPr>
        <w:t xml:space="preserve"> </w:t>
      </w:r>
      <w:r w:rsidR="001B1B20" w:rsidRPr="00BF6B9C">
        <w:rPr>
          <w:rFonts w:ascii="Bookman Old Style" w:hAnsi="Bookman Old Style" w:cs="Arial"/>
        </w:rPr>
        <w:t>%</w:t>
      </w:r>
      <w:r w:rsidR="00532B0C" w:rsidRPr="00BF6B9C">
        <w:rPr>
          <w:rFonts w:ascii="Bookman Old Style" w:hAnsi="Bookman Old Style" w:cs="Arial"/>
        </w:rPr>
        <w:t xml:space="preserve"> Aplicando este resultado al valor presente de los gastos de AOM propuestos </w:t>
      </w:r>
      <w:r w:rsidR="00BF47CF" w:rsidRPr="00BF6B9C">
        <w:rPr>
          <w:rFonts w:ascii="Bookman Old Style" w:hAnsi="Bookman Old Style" w:cs="Arial"/>
        </w:rPr>
        <w:t xml:space="preserve">y ajustados </w:t>
      </w:r>
      <w:r w:rsidR="00532B0C" w:rsidRPr="00BF6B9C">
        <w:rPr>
          <w:rFonts w:ascii="Bookman Old Style" w:hAnsi="Bookman Old Style" w:cs="Arial"/>
        </w:rPr>
        <w:t xml:space="preserve">para el Horizonte de Proyección, se obtiene el siguiente valor </w:t>
      </w:r>
      <w:r w:rsidR="002272C2" w:rsidRPr="00BF6B9C">
        <w:rPr>
          <w:rFonts w:ascii="Bookman Old Style" w:hAnsi="Bookman Old Style" w:cs="Arial"/>
        </w:rPr>
        <w:t>$</w:t>
      </w:r>
      <w:r w:rsidR="002272C2" w:rsidRPr="00BF6B9C">
        <w:rPr>
          <w:rFonts w:ascii="Bookman Old Style" w:hAnsi="Bookman Old Style"/>
          <w:color w:val="000000"/>
        </w:rPr>
        <w:t>437,788,541</w:t>
      </w:r>
      <w:r w:rsidR="00532B0C" w:rsidRPr="00BF6B9C">
        <w:rPr>
          <w:rFonts w:ascii="Bookman Old Style" w:hAnsi="Bookman Old Style" w:cs="Arial"/>
        </w:rPr>
        <w:t>.</w:t>
      </w:r>
      <w:r w:rsidR="00AB12AD" w:rsidRPr="00BF6B9C">
        <w:rPr>
          <w:rFonts w:ascii="Bookman Old Style" w:hAnsi="Bookman Old Style" w:cs="Arial"/>
        </w:rPr>
        <w:t xml:space="preserve"> La comparación del </w:t>
      </w:r>
      <w:r w:rsidR="00AB12AD" w:rsidRPr="00BF6B9C">
        <w:rPr>
          <w:rFonts w:ascii="Bookman Old Style" w:eastAsia="MS Mincho" w:hAnsi="Bookman Old Style" w:cs="Arial"/>
          <w:lang w:val="es-ES_tradnl" w:eastAsia="en-US"/>
        </w:rPr>
        <w:t>p</w:t>
      </w:r>
      <w:r w:rsidR="00532B0C" w:rsidRPr="00BF6B9C">
        <w:rPr>
          <w:rFonts w:ascii="Bookman Old Style" w:eastAsia="MS Mincho" w:hAnsi="Bookman Old Style" w:cs="Arial"/>
          <w:lang w:val="es-ES_tradnl" w:eastAsia="en-US"/>
        </w:rPr>
        <w:t>orcentaje resultante de la relación del valor presente neto de la proyección de gastos de AOM, el procedimiento definido en</w:t>
      </w:r>
      <w:r w:rsidR="00AB12AD" w:rsidRPr="00BF6B9C">
        <w:rPr>
          <w:rFonts w:ascii="Bookman Old Style" w:eastAsia="MS Mincho" w:hAnsi="Bookman Old Style" w:cs="Arial"/>
          <w:lang w:val="es-ES_tradnl" w:eastAsia="en-US"/>
        </w:rPr>
        <w:t xml:space="preserve"> la Resolución CREG 202 de 2013, la mediana</w:t>
      </w:r>
      <w:r w:rsidR="00532B0C" w:rsidRPr="00BF6B9C">
        <w:rPr>
          <w:rFonts w:ascii="Bookman Old Style" w:eastAsia="MS Mincho" w:hAnsi="Bookman Old Style" w:cs="Arial"/>
          <w:lang w:val="es-ES_tradnl" w:eastAsia="en-US"/>
        </w:rPr>
        <w:t xml:space="preserve"> de los mercados existentes de distribución de todo el país </w:t>
      </w:r>
      <w:r w:rsidR="00AB12AD" w:rsidRPr="00BF6B9C">
        <w:rPr>
          <w:rFonts w:ascii="Bookman Old Style" w:eastAsia="MS Mincho" w:hAnsi="Bookman Old Style" w:cs="Arial"/>
          <w:lang w:val="es-ES_tradnl" w:eastAsia="en-US"/>
        </w:rPr>
        <w:t xml:space="preserve">y </w:t>
      </w:r>
      <w:r w:rsidR="00AB12AD" w:rsidRPr="00BF6B9C">
        <w:rPr>
          <w:rFonts w:ascii="Bookman Old Style" w:hAnsi="Bookman Old Style" w:cs="Arial"/>
          <w:bCs/>
        </w:rPr>
        <w:t xml:space="preserve">conforme al crecimiento de la proyección de la demanda, determinan que el </w:t>
      </w:r>
      <w:r w:rsidR="00194AD4" w:rsidRPr="00BF6B9C">
        <w:rPr>
          <w:rFonts w:ascii="Bookman Old Style" w:hAnsi="Bookman Old Style" w:cs="Arial"/>
        </w:rPr>
        <w:t xml:space="preserve">valor presente de los gastos de AOM </w:t>
      </w:r>
      <w:r w:rsidR="00532B0C" w:rsidRPr="00BF6B9C">
        <w:rPr>
          <w:rFonts w:ascii="Bookman Old Style" w:hAnsi="Bookman Old Style" w:cs="Arial"/>
        </w:rPr>
        <w:t xml:space="preserve">para el Horizonte de Proyección y </w:t>
      </w:r>
      <w:r w:rsidR="00194AD4" w:rsidRPr="00BF6B9C">
        <w:rPr>
          <w:rFonts w:ascii="Bookman Old Style" w:hAnsi="Bookman Old Style" w:cs="Arial"/>
        </w:rPr>
        <w:t>para incorporar al cálculo del cargo que remunera los gastos de AOM</w:t>
      </w:r>
      <w:r w:rsidR="00AB12AD" w:rsidRPr="00BF6B9C">
        <w:rPr>
          <w:rFonts w:ascii="Bookman Old Style" w:hAnsi="Bookman Old Style" w:cs="Arial"/>
        </w:rPr>
        <w:t xml:space="preserve"> es el siguiente</w:t>
      </w:r>
      <w:r w:rsidR="00194AD4" w:rsidRPr="00BF6B9C">
        <w:rPr>
          <w:rFonts w:ascii="Bookman Old Style" w:hAnsi="Bookman Old Style" w:cs="Arial"/>
        </w:rPr>
        <w:t>.</w:t>
      </w:r>
      <w:r w:rsidR="00AB12AD" w:rsidRPr="00BF6B9C">
        <w:rPr>
          <w:rFonts w:ascii="Bookman Old Style" w:hAnsi="Bookman Old Style" w:cs="Arial"/>
        </w:rPr>
        <w:t xml:space="preserve"> </w:t>
      </w:r>
      <w:r w:rsidR="00BF47CF" w:rsidRPr="00BF6B9C">
        <w:rPr>
          <w:rFonts w:ascii="Bookman Old Style" w:hAnsi="Bookman Old Style" w:cs="Arial"/>
        </w:rPr>
        <w:t xml:space="preserve">De acuerdo con la solicitud de la empresa </w:t>
      </w:r>
      <w:r w:rsidR="006D2B6B" w:rsidRPr="00BF6B9C">
        <w:rPr>
          <w:rFonts w:ascii="Bookman Old Style" w:hAnsi="Bookman Old Style" w:cs="Arial"/>
        </w:rPr>
        <w:t>PROMOTORA DE SERVICIOS PÚBLICOS</w:t>
      </w:r>
      <w:r w:rsidR="00BF47CF" w:rsidRPr="00BF6B9C">
        <w:rPr>
          <w:rFonts w:ascii="Bookman Old Style" w:hAnsi="Bookman Old Style" w:cs="Arial"/>
        </w:rPr>
        <w:t xml:space="preserve"> S.A. E.S.P., estos gastos se dividen en un </w:t>
      </w:r>
      <w:r w:rsidR="002272C2" w:rsidRPr="00BF6B9C">
        <w:rPr>
          <w:rFonts w:ascii="Bookman Old Style" w:hAnsi="Bookman Old Style" w:cs="Arial"/>
        </w:rPr>
        <w:t>75</w:t>
      </w:r>
      <w:r w:rsidR="00BF47CF" w:rsidRPr="00BF6B9C">
        <w:rPr>
          <w:rFonts w:ascii="Bookman Old Style" w:hAnsi="Bookman Old Style" w:cs="Arial"/>
        </w:rPr>
        <w:t xml:space="preserve">% para la actividad de distribución y un </w:t>
      </w:r>
      <w:r w:rsidR="002272C2" w:rsidRPr="00BF6B9C">
        <w:rPr>
          <w:rFonts w:ascii="Bookman Old Style" w:hAnsi="Bookman Old Style" w:cs="Arial"/>
        </w:rPr>
        <w:t>25</w:t>
      </w:r>
      <w:r w:rsidR="00BF47CF" w:rsidRPr="00BF6B9C">
        <w:rPr>
          <w:rFonts w:ascii="Bookman Old Style" w:hAnsi="Bookman Old Style" w:cs="Arial"/>
        </w:rPr>
        <w:t xml:space="preserve">% para la actividad de comercialización. </w:t>
      </w:r>
      <w:r w:rsidR="00194AD4" w:rsidRPr="00BF6B9C">
        <w:rPr>
          <w:rFonts w:ascii="Bookman Old Style" w:hAnsi="Bookman Old Style" w:cs="Arial"/>
        </w:rPr>
        <w:t xml:space="preserve">En el Anexo 3 se presentan los gastos de AOM para </w:t>
      </w:r>
      <w:r w:rsidR="00AB12AD" w:rsidRPr="00BF6B9C">
        <w:rPr>
          <w:rFonts w:ascii="Bookman Old Style" w:hAnsi="Bookman Old Style" w:cs="Arial"/>
        </w:rPr>
        <w:t>cada año del</w:t>
      </w:r>
      <w:r w:rsidR="00194AD4" w:rsidRPr="00BF6B9C">
        <w:rPr>
          <w:rFonts w:ascii="Bookman Old Style" w:hAnsi="Bookman Old Style" w:cs="Arial"/>
        </w:rPr>
        <w:t xml:space="preserve"> Horizonte de Proyección:</w:t>
      </w:r>
    </w:p>
    <w:p w:rsidR="00AB12AD" w:rsidRPr="00BF6B9C" w:rsidRDefault="00AB12AD" w:rsidP="00341E8F">
      <w:pPr>
        <w:widowControl w:val="0"/>
        <w:adjustRightInd w:val="0"/>
        <w:ind w:left="0" w:right="20"/>
        <w:jc w:val="both"/>
        <w:rPr>
          <w:rFonts w:ascii="Bookman Old Style" w:hAnsi="Bookman Old Style" w:cs="Arial"/>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7"/>
        <w:gridCol w:w="1418"/>
        <w:gridCol w:w="1417"/>
        <w:gridCol w:w="1560"/>
        <w:gridCol w:w="1559"/>
      </w:tblGrid>
      <w:tr w:rsidR="00AB12AD" w:rsidRPr="00BF6B9C" w:rsidTr="002272C2">
        <w:tc>
          <w:tcPr>
            <w:tcW w:w="1985" w:type="dxa"/>
            <w:vMerge w:val="restart"/>
            <w:shd w:val="clear" w:color="auto" w:fill="D9D9D9"/>
            <w:vAlign w:val="center"/>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Componente</w:t>
            </w:r>
          </w:p>
        </w:tc>
        <w:tc>
          <w:tcPr>
            <w:tcW w:w="7371" w:type="dxa"/>
            <w:gridSpan w:val="5"/>
            <w:shd w:val="clear" w:color="auto" w:fill="D9D9D9"/>
          </w:tcPr>
          <w:p w:rsidR="00AB12AD" w:rsidRPr="00BF6B9C" w:rsidRDefault="00FD4591" w:rsidP="00FD4591">
            <w:pPr>
              <w:widowControl w:val="0"/>
              <w:adjustRightInd w:val="0"/>
              <w:ind w:left="0" w:right="20"/>
              <w:jc w:val="center"/>
              <w:rPr>
                <w:rFonts w:ascii="Bookman Old Style" w:hAnsi="Bookman Old Style" w:cs="Arial"/>
                <w:b/>
              </w:rPr>
            </w:pPr>
            <w:r w:rsidRPr="00BF6B9C">
              <w:rPr>
                <w:rFonts w:ascii="Bookman Old Style" w:hAnsi="Bookman Old Style" w:cs="Arial"/>
                <w:b/>
              </w:rPr>
              <w:t>Valor ($31-Dic-2014)</w:t>
            </w:r>
          </w:p>
        </w:tc>
      </w:tr>
      <w:tr w:rsidR="00AB12AD" w:rsidRPr="00BF6B9C" w:rsidTr="002272C2">
        <w:tc>
          <w:tcPr>
            <w:tcW w:w="1985" w:type="dxa"/>
            <w:vMerge/>
            <w:shd w:val="clear" w:color="auto" w:fill="D9D9D9"/>
          </w:tcPr>
          <w:p w:rsidR="00AB12AD" w:rsidRPr="00BF6B9C" w:rsidRDefault="00AB12AD" w:rsidP="009076C7">
            <w:pPr>
              <w:tabs>
                <w:tab w:val="left" w:pos="426"/>
              </w:tabs>
              <w:ind w:left="0" w:hanging="817"/>
              <w:rPr>
                <w:rFonts w:ascii="Bookman Old Style" w:hAnsi="Bookman Old Style"/>
                <w:b/>
              </w:rPr>
            </w:pPr>
          </w:p>
        </w:tc>
        <w:tc>
          <w:tcPr>
            <w:tcW w:w="1417" w:type="dxa"/>
            <w:shd w:val="clear" w:color="auto" w:fill="D9D9D9"/>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418" w:type="dxa"/>
            <w:shd w:val="clear" w:color="auto" w:fill="D9D9D9"/>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417" w:type="dxa"/>
            <w:shd w:val="clear" w:color="auto" w:fill="D9D9D9"/>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560" w:type="dxa"/>
            <w:shd w:val="clear" w:color="auto" w:fill="D9D9D9"/>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559" w:type="dxa"/>
            <w:shd w:val="clear" w:color="auto" w:fill="D9D9D9"/>
          </w:tcPr>
          <w:p w:rsidR="00AB12AD" w:rsidRPr="00BF6B9C" w:rsidRDefault="00AB12AD" w:rsidP="009076C7">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2272C2" w:rsidRPr="00BF6B9C" w:rsidTr="002272C2">
        <w:tc>
          <w:tcPr>
            <w:tcW w:w="1985" w:type="dxa"/>
            <w:shd w:val="clear" w:color="auto" w:fill="auto"/>
          </w:tcPr>
          <w:p w:rsidR="002272C2" w:rsidRPr="00BF6B9C" w:rsidRDefault="002272C2" w:rsidP="002272C2">
            <w:pPr>
              <w:tabs>
                <w:tab w:val="left" w:pos="426"/>
              </w:tabs>
              <w:ind w:left="0"/>
              <w:jc w:val="both"/>
              <w:rPr>
                <w:rFonts w:ascii="Bookman Old Style" w:hAnsi="Bookman Old Style" w:cs="Arial"/>
                <w:b/>
                <w:sz w:val="18"/>
                <w:szCs w:val="18"/>
                <w:lang w:val="es-ES_tradnl"/>
              </w:rPr>
            </w:pPr>
            <w:r w:rsidRPr="00BF6B9C">
              <w:rPr>
                <w:rFonts w:ascii="Bookman Old Style" w:hAnsi="Bookman Old Style" w:cs="Arial"/>
                <w:sz w:val="18"/>
                <w:szCs w:val="18"/>
                <w:lang w:val="es-ES_tradnl"/>
              </w:rPr>
              <w:t>Valor Presente AOM, con nivel  de eficiencia.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272C2" w:rsidRPr="00BF6B9C" w:rsidRDefault="002272C2" w:rsidP="002272C2">
            <w:pPr>
              <w:widowControl w:val="0"/>
              <w:adjustRightInd w:val="0"/>
              <w:ind w:left="-108" w:right="20"/>
              <w:jc w:val="center"/>
              <w:rPr>
                <w:rFonts w:ascii="Bookman Old Style" w:hAnsi="Bookman Old Style"/>
                <w:sz w:val="18"/>
                <w:szCs w:val="18"/>
              </w:rPr>
            </w:pPr>
            <w:r w:rsidRPr="00BF6B9C">
              <w:rPr>
                <w:rFonts w:ascii="Bookman Old Style" w:hAnsi="Bookman Old Style"/>
                <w:color w:val="000000"/>
                <w:sz w:val="18"/>
                <w:szCs w:val="18"/>
              </w:rPr>
              <w:t>437,788,541</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272C2" w:rsidRPr="00BF6B9C" w:rsidRDefault="002272C2" w:rsidP="002272C2">
            <w:pPr>
              <w:widowControl w:val="0"/>
              <w:adjustRightInd w:val="0"/>
              <w:ind w:left="-108" w:right="20"/>
              <w:jc w:val="center"/>
              <w:rPr>
                <w:rFonts w:ascii="Bookman Old Style" w:hAnsi="Bookman Old Style"/>
                <w:sz w:val="18"/>
                <w:szCs w:val="18"/>
              </w:rPr>
            </w:pPr>
            <w:r w:rsidRPr="00BF6B9C">
              <w:rPr>
                <w:rFonts w:ascii="Bookman Old Style" w:hAnsi="Bookman Old Style"/>
                <w:color w:val="000000"/>
                <w:sz w:val="18"/>
                <w:szCs w:val="18"/>
              </w:rPr>
              <w:t>431,767,862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2272C2" w:rsidRPr="00BF6B9C" w:rsidRDefault="002272C2" w:rsidP="002272C2">
            <w:pPr>
              <w:widowControl w:val="0"/>
              <w:adjustRightInd w:val="0"/>
              <w:ind w:left="-108" w:right="20"/>
              <w:jc w:val="center"/>
              <w:rPr>
                <w:rFonts w:ascii="Bookman Old Style" w:hAnsi="Bookman Old Style"/>
                <w:sz w:val="18"/>
                <w:szCs w:val="18"/>
              </w:rPr>
            </w:pPr>
            <w:r w:rsidRPr="00BF6B9C">
              <w:rPr>
                <w:rFonts w:ascii="Bookman Old Style" w:hAnsi="Bookman Old Style"/>
                <w:color w:val="000000"/>
                <w:sz w:val="18"/>
                <w:szCs w:val="18"/>
              </w:rPr>
              <w:t>420,135,872</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2272C2" w:rsidRPr="00BF6B9C" w:rsidRDefault="002272C2" w:rsidP="002272C2">
            <w:pPr>
              <w:widowControl w:val="0"/>
              <w:adjustRightInd w:val="0"/>
              <w:ind w:left="-108" w:right="20"/>
              <w:jc w:val="center"/>
              <w:rPr>
                <w:rFonts w:ascii="Bookman Old Style" w:hAnsi="Bookman Old Style"/>
                <w:sz w:val="18"/>
                <w:szCs w:val="18"/>
              </w:rPr>
            </w:pPr>
            <w:r w:rsidRPr="00BF6B9C">
              <w:rPr>
                <w:rFonts w:ascii="Bookman Old Style" w:hAnsi="Bookman Old Style"/>
                <w:color w:val="000000"/>
                <w:sz w:val="18"/>
                <w:szCs w:val="18"/>
              </w:rPr>
              <w:t>413,793,027</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2272C2" w:rsidRPr="00BF6B9C" w:rsidRDefault="002272C2" w:rsidP="002272C2">
            <w:pPr>
              <w:widowControl w:val="0"/>
              <w:adjustRightInd w:val="0"/>
              <w:ind w:left="-108" w:right="20"/>
              <w:jc w:val="center"/>
              <w:rPr>
                <w:rFonts w:ascii="Bookman Old Style" w:hAnsi="Bookman Old Style"/>
                <w:sz w:val="18"/>
                <w:szCs w:val="18"/>
              </w:rPr>
            </w:pPr>
            <w:r w:rsidRPr="00BF6B9C">
              <w:rPr>
                <w:rFonts w:ascii="Bookman Old Style" w:hAnsi="Bookman Old Style"/>
                <w:color w:val="000000"/>
                <w:sz w:val="18"/>
                <w:szCs w:val="18"/>
              </w:rPr>
              <w:t>460,151,866</w:t>
            </w:r>
          </w:p>
        </w:tc>
      </w:tr>
    </w:tbl>
    <w:p w:rsidR="00AB12AD" w:rsidRPr="00BF6B9C" w:rsidRDefault="00AB12AD" w:rsidP="00AB12AD">
      <w:pPr>
        <w:widowControl w:val="0"/>
        <w:adjustRightInd w:val="0"/>
        <w:ind w:left="0" w:right="20"/>
        <w:jc w:val="both"/>
        <w:rPr>
          <w:rFonts w:ascii="Bookman Old Style" w:hAnsi="Bookman Old Style" w:cs="Arial"/>
        </w:rPr>
      </w:pPr>
      <w:r w:rsidRPr="00BF6B9C">
        <w:rPr>
          <w:rFonts w:ascii="Bookman Old Style" w:hAnsi="Bookman Old Style" w:cs="Arial"/>
        </w:rPr>
        <w:t>Cifras en pesos del 31 de Diciembre de 2014.</w:t>
      </w:r>
    </w:p>
    <w:p w:rsidR="00C159F0" w:rsidRPr="00BF6B9C" w:rsidRDefault="00C159F0" w:rsidP="00341E8F">
      <w:pPr>
        <w:widowControl w:val="0"/>
        <w:adjustRightInd w:val="0"/>
        <w:ind w:left="0" w:right="20"/>
        <w:jc w:val="both"/>
        <w:rPr>
          <w:rFonts w:ascii="Bookman Old Style" w:hAnsi="Bookman Old Style" w:cs="Arial"/>
        </w:rPr>
      </w:pPr>
    </w:p>
    <w:p w:rsidR="00A0161E" w:rsidRPr="00BF6B9C" w:rsidRDefault="00A0161E"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Aplicando la metodología contenida en la Resolución CREG 202 de 2013 y </w:t>
      </w:r>
      <w:r w:rsidR="002B34EB" w:rsidRPr="00BF6B9C">
        <w:rPr>
          <w:rFonts w:ascii="Bookman Old Style" w:hAnsi="Bookman Old Style" w:cs="Arial"/>
        </w:rPr>
        <w:t>sus modificaciones y adiciones</w:t>
      </w:r>
      <w:r w:rsidRPr="00BF6B9C">
        <w:rPr>
          <w:rFonts w:ascii="Bookman Old Style" w:hAnsi="Bookman Old Style" w:cs="Arial"/>
        </w:rPr>
        <w:t xml:space="preserve">, se calcularon </w:t>
      </w:r>
      <w:r w:rsidR="002B34EB" w:rsidRPr="00BF6B9C">
        <w:rPr>
          <w:rFonts w:ascii="Bookman Old Style" w:hAnsi="Bookman Old Style" w:cs="Arial"/>
        </w:rPr>
        <w:t xml:space="preserve">conforme a las formulas establecidas en los numerales 9.1.1.3. y 9.2.1.3. del artículo 9  </w:t>
      </w:r>
      <w:r w:rsidRPr="00BF6B9C">
        <w:rPr>
          <w:rFonts w:ascii="Bookman Old Style" w:hAnsi="Bookman Old Style" w:cs="Arial"/>
        </w:rPr>
        <w:t>para la componente que remunera los gastos de AOM, aplicable a usuarios de uso residencial y a usuarios diferentes a los de uso residencial, las siguientes variables principales:</w:t>
      </w:r>
    </w:p>
    <w:p w:rsidR="00A0161E" w:rsidRPr="00BF6B9C" w:rsidRDefault="00A0161E" w:rsidP="00341E8F">
      <w:pPr>
        <w:widowControl w:val="0"/>
        <w:adjustRightInd w:val="0"/>
        <w:ind w:left="0" w:right="20"/>
        <w:jc w:val="both"/>
        <w:rPr>
          <w:rFonts w:ascii="Bookman Old Style" w:hAnsi="Bookman Old Style" w:cs="Arial"/>
          <w:b/>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02"/>
        <w:gridCol w:w="57"/>
        <w:gridCol w:w="1418"/>
        <w:gridCol w:w="28"/>
        <w:gridCol w:w="1389"/>
        <w:gridCol w:w="113"/>
        <w:gridCol w:w="1447"/>
        <w:gridCol w:w="56"/>
        <w:gridCol w:w="1503"/>
      </w:tblGrid>
      <w:tr w:rsidR="00DF00AE" w:rsidRPr="00BF6B9C" w:rsidTr="00BF6B9C">
        <w:trPr>
          <w:tblHeader/>
        </w:trPr>
        <w:tc>
          <w:tcPr>
            <w:tcW w:w="9356" w:type="dxa"/>
            <w:gridSpan w:val="10"/>
            <w:shd w:val="clear" w:color="auto" w:fill="D9D9D9"/>
            <w:vAlign w:val="center"/>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Usuarios de Uso Residencial</w:t>
            </w:r>
          </w:p>
          <w:p w:rsidR="00DF00AE" w:rsidRPr="00BF6B9C" w:rsidRDefault="00DF00AE" w:rsidP="00341E8F">
            <w:pPr>
              <w:widowControl w:val="0"/>
              <w:adjustRightInd w:val="0"/>
              <w:ind w:left="0" w:right="20"/>
              <w:jc w:val="center"/>
              <w:rPr>
                <w:rFonts w:ascii="Bookman Old Style" w:hAnsi="Bookman Old Style" w:cs="Arial"/>
                <w:b/>
              </w:rPr>
            </w:pPr>
          </w:p>
        </w:tc>
      </w:tr>
      <w:tr w:rsidR="00DF00AE" w:rsidRPr="00BF6B9C" w:rsidTr="00BF6B9C">
        <w:trPr>
          <w:tblHeader/>
        </w:trPr>
        <w:tc>
          <w:tcPr>
            <w:tcW w:w="1843" w:type="dxa"/>
            <w:vMerge w:val="restart"/>
            <w:shd w:val="clear" w:color="auto" w:fill="D9D9D9"/>
            <w:vAlign w:val="center"/>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Variable</w:t>
            </w:r>
          </w:p>
        </w:tc>
        <w:tc>
          <w:tcPr>
            <w:tcW w:w="7513" w:type="dxa"/>
            <w:gridSpan w:val="9"/>
            <w:shd w:val="clear" w:color="auto" w:fill="D9D9D9"/>
          </w:tcPr>
          <w:p w:rsidR="00DF00AE" w:rsidRPr="00BF6B9C" w:rsidRDefault="00634642"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AÑO</w:t>
            </w:r>
          </w:p>
        </w:tc>
      </w:tr>
      <w:tr w:rsidR="00DF00AE" w:rsidRPr="00BF6B9C" w:rsidTr="00BF6B9C">
        <w:trPr>
          <w:tblHeader/>
        </w:trPr>
        <w:tc>
          <w:tcPr>
            <w:tcW w:w="1843" w:type="dxa"/>
            <w:vMerge/>
            <w:shd w:val="clear" w:color="auto" w:fill="D9D9D9"/>
          </w:tcPr>
          <w:p w:rsidR="00DF00AE" w:rsidRPr="00BF6B9C" w:rsidRDefault="00DF00AE" w:rsidP="00341E8F">
            <w:pPr>
              <w:tabs>
                <w:tab w:val="left" w:pos="426"/>
              </w:tabs>
              <w:ind w:left="0" w:hanging="817"/>
              <w:rPr>
                <w:rFonts w:ascii="Bookman Old Style" w:hAnsi="Bookman Old Style"/>
                <w:b/>
              </w:rPr>
            </w:pPr>
          </w:p>
        </w:tc>
        <w:tc>
          <w:tcPr>
            <w:tcW w:w="1502" w:type="dxa"/>
            <w:shd w:val="clear" w:color="auto" w:fill="D9D9D9"/>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503" w:type="dxa"/>
            <w:gridSpan w:val="3"/>
            <w:shd w:val="clear" w:color="auto" w:fill="D9D9D9"/>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502" w:type="dxa"/>
            <w:gridSpan w:val="2"/>
            <w:shd w:val="clear" w:color="auto" w:fill="D9D9D9"/>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503" w:type="dxa"/>
            <w:gridSpan w:val="2"/>
            <w:shd w:val="clear" w:color="auto" w:fill="D9D9D9"/>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503" w:type="dxa"/>
            <w:shd w:val="clear" w:color="auto" w:fill="D9D9D9"/>
          </w:tcPr>
          <w:p w:rsidR="00DF00AE" w:rsidRPr="00BF6B9C" w:rsidRDefault="00DF00AE"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B26FC6" w:rsidRPr="00BF6B9C" w:rsidTr="00414B26">
        <w:trPr>
          <w:trHeight w:val="604"/>
        </w:trPr>
        <w:tc>
          <w:tcPr>
            <w:tcW w:w="1843" w:type="dxa"/>
            <w:shd w:val="clear" w:color="auto" w:fill="auto"/>
            <w:vAlign w:val="center"/>
          </w:tcPr>
          <w:p w:rsidR="00BB3D5C" w:rsidRPr="00BF6B9C" w:rsidRDefault="00DD3035" w:rsidP="00414B26">
            <w:pPr>
              <w:tabs>
                <w:tab w:val="left" w:pos="426"/>
              </w:tabs>
              <w:ind w:left="0"/>
              <w:jc w:val="center"/>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m:t>
                    </m:r>
                    <m:d>
                      <m:dPr>
                        <m:ctrlPr>
                          <w:rPr>
                            <w:rFonts w:ascii="Cambria Math" w:hAnsi="Cambria Math" w:cs="Arial"/>
                            <w:b/>
                            <w:sz w:val="16"/>
                            <w:szCs w:val="16"/>
                            <w:lang w:val="es-ES_tradnl"/>
                          </w:rPr>
                        </m:ctrlPr>
                      </m:dPr>
                      <m:e>
                        <m:r>
                          <m:rPr>
                            <m:sty m:val="b"/>
                          </m:rPr>
                          <w:rPr>
                            <w:rFonts w:ascii="Cambria Math" w:hAnsi="Cambria Math" w:cs="Arial"/>
                            <w:sz w:val="16"/>
                            <w:szCs w:val="16"/>
                            <w:lang w:val="es-ES_tradnl"/>
                          </w:rPr>
                          <m:t>AOM (PR)</m:t>
                        </m:r>
                      </m:e>
                    </m:d>
                  </m:e>
                  <m:sub>
                    <m:r>
                      <m:rPr>
                        <m:sty m:val="b"/>
                      </m:rPr>
                      <w:rPr>
                        <w:rFonts w:ascii="Cambria Math" w:hAnsi="Cambria Math" w:cs="Arial"/>
                        <w:sz w:val="16"/>
                        <w:szCs w:val="16"/>
                        <w:lang w:val="es-ES_tradnl"/>
                      </w:rPr>
                      <m:t>RPk</m:t>
                    </m:r>
                  </m:sub>
                </m:sSub>
              </m:oMath>
            </m:oMathPara>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47,353,678.60</w:t>
            </w:r>
          </w:p>
        </w:tc>
        <w:tc>
          <w:tcPr>
            <w:tcW w:w="1503" w:type="dxa"/>
            <w:gridSpan w:val="3"/>
            <w:tcBorders>
              <w:top w:val="single" w:sz="4" w:space="0" w:color="auto"/>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46,702,448.08</w:t>
            </w:r>
          </w:p>
        </w:tc>
        <w:tc>
          <w:tcPr>
            <w:tcW w:w="1502" w:type="dxa"/>
            <w:gridSpan w:val="2"/>
            <w:tcBorders>
              <w:top w:val="single" w:sz="4" w:space="0" w:color="auto"/>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45,444,266.33</w:t>
            </w:r>
          </w:p>
        </w:tc>
        <w:tc>
          <w:tcPr>
            <w:tcW w:w="1503" w:type="dxa"/>
            <w:gridSpan w:val="2"/>
            <w:tcBorders>
              <w:top w:val="single" w:sz="4" w:space="0" w:color="auto"/>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44,758,188.51</w:t>
            </w:r>
          </w:p>
        </w:tc>
        <w:tc>
          <w:tcPr>
            <w:tcW w:w="1503" w:type="dxa"/>
            <w:tcBorders>
              <w:top w:val="single" w:sz="4" w:space="0" w:color="auto"/>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49,772,622.07</w:t>
            </w:r>
          </w:p>
        </w:tc>
      </w:tr>
      <w:tr w:rsidR="00B26FC6" w:rsidRPr="00BF6B9C" w:rsidTr="00414B26">
        <w:trPr>
          <w:trHeight w:val="604"/>
        </w:trPr>
        <w:tc>
          <w:tcPr>
            <w:tcW w:w="1843" w:type="dxa"/>
            <w:shd w:val="clear" w:color="auto" w:fill="auto"/>
            <w:vAlign w:val="center"/>
          </w:tcPr>
          <w:p w:rsidR="00BB3D5C" w:rsidRPr="00BF6B9C" w:rsidRDefault="00DD3035" w:rsidP="00414B26">
            <w:pPr>
              <w:tabs>
                <w:tab w:val="left" w:pos="426"/>
              </w:tabs>
              <w:ind w:left="0"/>
              <w:jc w:val="center"/>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m:t>
                    </m:r>
                    <m:d>
                      <m:dPr>
                        <m:ctrlPr>
                          <w:rPr>
                            <w:rFonts w:ascii="Cambria Math" w:hAnsi="Cambria Math" w:cs="Arial"/>
                            <w:b/>
                            <w:sz w:val="16"/>
                            <w:szCs w:val="16"/>
                            <w:lang w:val="es-ES_tradnl"/>
                          </w:rPr>
                        </m:ctrlPr>
                      </m:dPr>
                      <m:e>
                        <m:r>
                          <m:rPr>
                            <m:sty m:val="b"/>
                          </m:rPr>
                          <w:rPr>
                            <w:rFonts w:ascii="Cambria Math" w:hAnsi="Cambria Math" w:cs="Arial"/>
                            <w:sz w:val="16"/>
                            <w:szCs w:val="16"/>
                            <w:lang w:val="es-ES_tradnl"/>
                          </w:rPr>
                          <m:t>AOM (PR)</m:t>
                        </m:r>
                      </m:e>
                    </m:d>
                  </m:e>
                  <m:sub>
                    <m:r>
                      <m:rPr>
                        <m:sty m:val="b"/>
                      </m:rPr>
                      <w:rPr>
                        <w:rFonts w:ascii="Cambria Math" w:hAnsi="Cambria Math" w:cs="Arial"/>
                        <w:sz w:val="16"/>
                        <w:szCs w:val="16"/>
                        <w:lang w:val="es-ES_tradnl"/>
                      </w:rPr>
                      <m:t>RSk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280,987,726.93</w:t>
            </w:r>
          </w:p>
        </w:tc>
        <w:tc>
          <w:tcPr>
            <w:tcW w:w="1503" w:type="dxa"/>
            <w:gridSpan w:val="3"/>
            <w:tcBorders>
              <w:top w:val="nil"/>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277,123,448.79</w:t>
            </w:r>
          </w:p>
        </w:tc>
        <w:tc>
          <w:tcPr>
            <w:tcW w:w="1502"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269,657,637.47</w:t>
            </w:r>
          </w:p>
        </w:tc>
        <w:tc>
          <w:tcPr>
            <w:tcW w:w="1503"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265,586,582.08</w:t>
            </w:r>
          </w:p>
        </w:tc>
        <w:tc>
          <w:tcPr>
            <w:tcW w:w="1503" w:type="dxa"/>
            <w:tcBorders>
              <w:top w:val="nil"/>
              <w:left w:val="nil"/>
              <w:bottom w:val="single" w:sz="4" w:space="0" w:color="auto"/>
              <w:right w:val="single" w:sz="4" w:space="0" w:color="auto"/>
            </w:tcBorders>
            <w:shd w:val="clear" w:color="auto" w:fill="auto"/>
            <w:vAlign w:val="center"/>
          </w:tcPr>
          <w:p w:rsidR="00BB3D5C" w:rsidRPr="00BF6B9C" w:rsidRDefault="00BB3D5C">
            <w:pPr>
              <w:ind w:left="-108"/>
              <w:jc w:val="center"/>
              <w:rPr>
                <w:rFonts w:ascii="Bookman Old Style" w:hAnsi="Bookman Old Style"/>
                <w:sz w:val="16"/>
                <w:szCs w:val="16"/>
              </w:rPr>
            </w:pPr>
            <w:r w:rsidRPr="00BF6B9C">
              <w:rPr>
                <w:rFonts w:ascii="Bookman Old Style" w:hAnsi="Bookman Old Style"/>
                <w:color w:val="000000"/>
                <w:sz w:val="16"/>
                <w:szCs w:val="16"/>
              </w:rPr>
              <w:t>295,341,277.63</w:t>
            </w:r>
          </w:p>
        </w:tc>
      </w:tr>
      <w:tr w:rsidR="00B26FC6" w:rsidRPr="00BF6B9C" w:rsidTr="00414B26">
        <w:trPr>
          <w:trHeight w:val="604"/>
        </w:trPr>
        <w:tc>
          <w:tcPr>
            <w:tcW w:w="1843" w:type="dxa"/>
            <w:shd w:val="clear" w:color="auto" w:fill="auto"/>
            <w:vAlign w:val="center"/>
          </w:tcPr>
          <w:p w:rsidR="00BB3D5C" w:rsidRPr="00BF6B9C" w:rsidRDefault="00BB3D5C" w:rsidP="00414B26">
            <w:pPr>
              <w:tabs>
                <w:tab w:val="left" w:pos="426"/>
              </w:tabs>
              <w:ind w:left="0"/>
              <w:jc w:val="center"/>
              <w:rPr>
                <w:rFonts w:ascii="Bookman Old Style" w:hAnsi="Bookman Old Style" w:cs="Arial"/>
                <w:b/>
                <w:sz w:val="16"/>
                <w:szCs w:val="16"/>
                <w:lang w:val="es-ES_tradnl"/>
              </w:rPr>
            </w:pPr>
            <m:oMathPara>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NoResRSk</m:t>
                    </m:r>
                  </m:sub>
                </m:sSub>
                <m:r>
                  <m:rPr>
                    <m:sty m:val="b"/>
                  </m:rPr>
                  <w:rPr>
                    <w:rFonts w:ascii="Cambria Math" w:hAnsi="Cambria Math" w:cs="Arial"/>
                    <w:sz w:val="16"/>
                    <w:szCs w:val="16"/>
                    <w:lang w:val="es-ES_tradnl"/>
                  </w:rPr>
                  <m:t>+</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Resk</m:t>
                    </m:r>
                  </m:sub>
                </m:sSub>
                <m:r>
                  <m:rPr>
                    <m:sty m:val="b"/>
                  </m:rPr>
                  <w:rPr>
                    <w:rFonts w:ascii="Cambria Math" w:hAnsi="Cambria Math" w:cs="Arial"/>
                    <w:sz w:val="16"/>
                    <w:szCs w:val="16"/>
                    <w:lang w:val="es-ES_tradnl"/>
                  </w:rPr>
                  <m:t>)</m:t>
                </m:r>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503" w:type="dxa"/>
            <w:gridSpan w:val="3"/>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502"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03"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03" w:type="dxa"/>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315,917.10</w:t>
            </w:r>
          </w:p>
        </w:tc>
      </w:tr>
      <w:tr w:rsidR="00B26FC6" w:rsidRPr="00BF6B9C" w:rsidTr="00414B26">
        <w:trPr>
          <w:trHeight w:val="604"/>
        </w:trPr>
        <w:tc>
          <w:tcPr>
            <w:tcW w:w="1843" w:type="dxa"/>
            <w:shd w:val="clear" w:color="auto" w:fill="auto"/>
            <w:vAlign w:val="center"/>
          </w:tcPr>
          <w:p w:rsidR="00BB3D5C" w:rsidRPr="00BF6B9C" w:rsidRDefault="00BB3D5C" w:rsidP="00414B26">
            <w:pPr>
              <w:tabs>
                <w:tab w:val="left" w:pos="426"/>
              </w:tabs>
              <w:ind w:left="0"/>
              <w:jc w:val="center"/>
              <w:rPr>
                <w:rFonts w:ascii="Bookman Old Style" w:hAnsi="Bookman Old Style" w:cs="Arial"/>
                <w:b/>
                <w:sz w:val="16"/>
                <w:szCs w:val="16"/>
                <w:lang w:val="es-ES_tradnl"/>
              </w:rPr>
            </w:pPr>
            <m:oMathPara>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Tk</m:t>
                    </m:r>
                  </m:sub>
                </m:sSub>
              </m:oMath>
            </m:oMathPara>
          </w:p>
        </w:tc>
        <w:tc>
          <w:tcPr>
            <w:tcW w:w="1502" w:type="dxa"/>
            <w:tcBorders>
              <w:top w:val="nil"/>
              <w:left w:val="single" w:sz="4" w:space="0" w:color="auto"/>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503" w:type="dxa"/>
            <w:gridSpan w:val="3"/>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502"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03" w:type="dxa"/>
            <w:gridSpan w:val="2"/>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03" w:type="dxa"/>
            <w:tcBorders>
              <w:top w:val="nil"/>
              <w:left w:val="nil"/>
              <w:bottom w:val="single" w:sz="4" w:space="0" w:color="auto"/>
              <w:right w:val="single" w:sz="4" w:space="0" w:color="auto"/>
            </w:tcBorders>
            <w:shd w:val="clear" w:color="auto" w:fill="auto"/>
            <w:vAlign w:val="center"/>
          </w:tcPr>
          <w:p w:rsidR="00BB3D5C" w:rsidRPr="00BF6B9C" w:rsidRDefault="00BB3D5C">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315,917.10</w:t>
            </w:r>
          </w:p>
        </w:tc>
      </w:tr>
      <w:tr w:rsidR="00BB3D5C" w:rsidRPr="00BF6B9C" w:rsidTr="00BB3D5C">
        <w:tc>
          <w:tcPr>
            <w:tcW w:w="9356" w:type="dxa"/>
            <w:gridSpan w:val="10"/>
            <w:shd w:val="clear" w:color="auto" w:fill="D9D9D9"/>
            <w:vAlign w:val="center"/>
          </w:tcPr>
          <w:p w:rsidR="00BF6B9C" w:rsidRDefault="00BF6B9C" w:rsidP="00BB3D5C">
            <w:pPr>
              <w:widowControl w:val="0"/>
              <w:adjustRightInd w:val="0"/>
              <w:ind w:left="0" w:right="20"/>
              <w:jc w:val="center"/>
              <w:rPr>
                <w:rFonts w:ascii="Bookman Old Style" w:hAnsi="Bookman Old Style" w:cs="Arial"/>
                <w:b/>
              </w:rPr>
            </w:pPr>
          </w:p>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Usuarios Diferentes a los de Uso Residencial</w:t>
            </w:r>
          </w:p>
          <w:p w:rsidR="00BB3D5C" w:rsidRPr="00BF6B9C" w:rsidRDefault="00BB3D5C" w:rsidP="00BB3D5C">
            <w:pPr>
              <w:widowControl w:val="0"/>
              <w:adjustRightInd w:val="0"/>
              <w:ind w:left="0" w:right="20"/>
              <w:jc w:val="center"/>
              <w:rPr>
                <w:rFonts w:ascii="Bookman Old Style" w:hAnsi="Bookman Old Style" w:cs="Arial"/>
                <w:b/>
              </w:rPr>
            </w:pPr>
          </w:p>
        </w:tc>
      </w:tr>
      <w:tr w:rsidR="00BB3D5C" w:rsidRPr="00BF6B9C" w:rsidTr="00BB3D5C">
        <w:tc>
          <w:tcPr>
            <w:tcW w:w="1843" w:type="dxa"/>
            <w:vMerge w:val="restart"/>
            <w:shd w:val="clear" w:color="auto" w:fill="D9D9D9"/>
            <w:vAlign w:val="center"/>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Variable</w:t>
            </w:r>
          </w:p>
        </w:tc>
        <w:tc>
          <w:tcPr>
            <w:tcW w:w="7513" w:type="dxa"/>
            <w:gridSpan w:val="9"/>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AÑO</w:t>
            </w:r>
          </w:p>
        </w:tc>
      </w:tr>
      <w:tr w:rsidR="00BB3D5C" w:rsidRPr="00BF6B9C" w:rsidTr="00BB3D5C">
        <w:tc>
          <w:tcPr>
            <w:tcW w:w="1843" w:type="dxa"/>
            <w:vMerge/>
            <w:shd w:val="clear" w:color="auto" w:fill="D9D9D9"/>
          </w:tcPr>
          <w:p w:rsidR="00BB3D5C" w:rsidRPr="00BF6B9C" w:rsidRDefault="00BB3D5C" w:rsidP="00BB3D5C">
            <w:pPr>
              <w:tabs>
                <w:tab w:val="left" w:pos="426"/>
              </w:tabs>
              <w:ind w:left="0" w:hanging="817"/>
              <w:rPr>
                <w:rFonts w:ascii="Bookman Old Style" w:hAnsi="Bookman Old Style"/>
                <w:b/>
              </w:rPr>
            </w:pPr>
          </w:p>
        </w:tc>
        <w:tc>
          <w:tcPr>
            <w:tcW w:w="1559" w:type="dxa"/>
            <w:gridSpan w:val="2"/>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418" w:type="dxa"/>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417" w:type="dxa"/>
            <w:gridSpan w:val="2"/>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560" w:type="dxa"/>
            <w:gridSpan w:val="2"/>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559" w:type="dxa"/>
            <w:gridSpan w:val="2"/>
            <w:shd w:val="clear" w:color="auto" w:fill="D9D9D9"/>
          </w:tcPr>
          <w:p w:rsidR="00BB3D5C" w:rsidRPr="00BF6B9C" w:rsidRDefault="00BB3D5C" w:rsidP="00BB3D5C">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B26FC6" w:rsidRPr="00BF6B9C" w:rsidTr="00414B26">
        <w:tc>
          <w:tcPr>
            <w:tcW w:w="1843" w:type="dxa"/>
            <w:shd w:val="clear" w:color="auto" w:fill="auto"/>
            <w:vAlign w:val="center"/>
          </w:tcPr>
          <w:p w:rsidR="00B26FC6" w:rsidRPr="00BF6B9C" w:rsidRDefault="00DD3035">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 (AOM</m:t>
                    </m:r>
                  </m:e>
                  <m:sub>
                    <m:r>
                      <m:rPr>
                        <m:sty m:val="b"/>
                      </m:rPr>
                      <w:rPr>
                        <w:rFonts w:ascii="Cambria Math" w:hAnsi="Cambria Math" w:cs="Arial"/>
                        <w:sz w:val="16"/>
                        <w:szCs w:val="16"/>
                        <w:lang w:val="es-ES_tradnl"/>
                      </w:rPr>
                      <m:t>RPk</m:t>
                    </m:r>
                  </m:sub>
                </m:sSub>
                <m:r>
                  <m:rPr>
                    <m:sty m:val="b"/>
                  </m:rPr>
                  <w:rPr>
                    <w:rFonts w:ascii="Cambria Math" w:hAnsi="Cambria Math" w:cs="Arial"/>
                    <w:sz w:val="16"/>
                    <w:szCs w:val="16"/>
                    <w:lang w:val="es-ES_tradnl"/>
                  </w:rPr>
                  <m:t>)</m:t>
                </m:r>
              </m:oMath>
            </m:oMathPara>
          </w:p>
          <w:p w:rsidR="00B26FC6" w:rsidRPr="00BF6B9C" w:rsidRDefault="00B26FC6">
            <w:pPr>
              <w:tabs>
                <w:tab w:val="left" w:pos="426"/>
              </w:tabs>
              <w:ind w:left="0"/>
              <w:rPr>
                <w:rFonts w:ascii="Bookman Old Style" w:hAnsi="Bookman Old Style" w:cs="Arial"/>
                <w:b/>
                <w:sz w:val="16"/>
                <w:szCs w:val="16"/>
                <w:lang w:val="es-ES_tradn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47,353,678.60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46,702,448.08</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45,444,266.33</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44,758,188.51</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49,772,622.07</w:t>
            </w:r>
          </w:p>
        </w:tc>
      </w:tr>
      <w:tr w:rsidR="00B26FC6" w:rsidRPr="00BF6B9C" w:rsidTr="00414B26">
        <w:tc>
          <w:tcPr>
            <w:tcW w:w="1843" w:type="dxa"/>
            <w:shd w:val="clear" w:color="auto" w:fill="auto"/>
            <w:vAlign w:val="center"/>
          </w:tcPr>
          <w:p w:rsidR="00B26FC6" w:rsidRPr="00BF6B9C" w:rsidRDefault="00B26FC6">
            <w:pPr>
              <w:tabs>
                <w:tab w:val="left" w:pos="426"/>
              </w:tabs>
              <w:ind w:left="0"/>
              <w:rPr>
                <w:rFonts w:ascii="Bookman Old Style" w:hAnsi="Bookman Old Style" w:cs="Arial"/>
                <w:b/>
                <w:sz w:val="16"/>
                <w:szCs w:val="16"/>
                <w:lang w:val="es-ES_tradnl"/>
              </w:rPr>
            </w:pPr>
            <m:oMathPara>
              <m:oMath>
                <m:r>
                  <m:rPr>
                    <m:sty m:val="b"/>
                  </m:rPr>
                  <w:rPr>
                    <w:rFonts w:ascii="Cambria Math" w:hAnsi="Cambria Math" w:cs="Arial"/>
                    <w:sz w:val="16"/>
                    <w:szCs w:val="16"/>
                    <w:lang w:val="es-ES_tradnl"/>
                  </w:rPr>
                  <m:t>VP</m:t>
                </m:r>
                <m:d>
                  <m:dPr>
                    <m:ctrlPr>
                      <w:rPr>
                        <w:rFonts w:ascii="Cambria Math" w:hAnsi="Cambria Math" w:cs="Arial"/>
                        <w:b/>
                        <w:sz w:val="16"/>
                        <w:szCs w:val="16"/>
                        <w:lang w:val="es-ES_tradnl"/>
                      </w:rPr>
                    </m:ctrlPr>
                  </m:dPr>
                  <m:e>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AOM</m:t>
                        </m:r>
                      </m:e>
                      <m:sub>
                        <m:r>
                          <m:rPr>
                            <m:sty m:val="b"/>
                          </m:rPr>
                          <w:rPr>
                            <w:rFonts w:ascii="Cambria Math" w:hAnsi="Cambria Math" w:cs="Arial"/>
                            <w:sz w:val="16"/>
                            <w:szCs w:val="16"/>
                            <w:lang w:val="es-ES_tradnl"/>
                          </w:rPr>
                          <m:t>RS</m:t>
                        </m:r>
                        <m:d>
                          <m:dPr>
                            <m:ctrlPr>
                              <w:rPr>
                                <w:rFonts w:ascii="Cambria Math" w:hAnsi="Cambria Math" w:cs="Arial"/>
                                <w:b/>
                                <w:sz w:val="16"/>
                                <w:szCs w:val="16"/>
                                <w:lang w:val="es-ES_tradnl"/>
                              </w:rPr>
                            </m:ctrlPr>
                          </m:dPr>
                          <m:e>
                            <m:r>
                              <m:rPr>
                                <m:sty m:val="b"/>
                              </m:rPr>
                              <w:rPr>
                                <w:rFonts w:ascii="Cambria Math" w:hAnsi="Cambria Math" w:cs="Arial"/>
                                <w:sz w:val="16"/>
                                <w:szCs w:val="16"/>
                                <w:lang w:val="es-ES_tradnl"/>
                              </w:rPr>
                              <m:t>NoRes</m:t>
                            </m:r>
                          </m:e>
                        </m:d>
                        <m:r>
                          <m:rPr>
                            <m:sty m:val="b"/>
                          </m:rPr>
                          <w:rPr>
                            <w:rFonts w:ascii="Cambria Math" w:hAnsi="Cambria Math" w:cs="Arial"/>
                            <w:sz w:val="16"/>
                            <w:szCs w:val="16"/>
                            <w:lang w:val="es-ES_tradnl"/>
                          </w:rPr>
                          <m:t>k</m:t>
                        </m:r>
                      </m:sub>
                    </m:sSub>
                  </m:e>
                </m:d>
              </m:oMath>
            </m:oMathPara>
          </w:p>
          <w:p w:rsidR="00B26FC6" w:rsidRPr="00BF6B9C" w:rsidRDefault="00B26FC6">
            <w:pPr>
              <w:tabs>
                <w:tab w:val="left" w:pos="426"/>
              </w:tabs>
              <w:ind w:left="0"/>
              <w:rPr>
                <w:rFonts w:ascii="Bookman Old Style" w:hAnsi="Bookman Old Style" w:cs="Arial"/>
                <w:b/>
                <w:sz w:val="16"/>
                <w:szCs w:val="16"/>
                <w:lang w:val="es-ES_tradnl"/>
              </w:rPr>
            </w:pPr>
          </w:p>
        </w:tc>
        <w:tc>
          <w:tcPr>
            <w:tcW w:w="1559"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14,338,605.63</w:t>
            </w:r>
          </w:p>
        </w:tc>
        <w:tc>
          <w:tcPr>
            <w:tcW w:w="1418" w:type="dxa"/>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14,139,380.30</w:t>
            </w:r>
          </w:p>
        </w:tc>
        <w:tc>
          <w:tcPr>
            <w:tcW w:w="1417"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13,754,503.99</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13,544,650.07</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ind w:left="-108"/>
              <w:jc w:val="center"/>
              <w:rPr>
                <w:rFonts w:ascii="Bookman Old Style" w:hAnsi="Bookman Old Style"/>
                <w:sz w:val="16"/>
                <w:szCs w:val="16"/>
              </w:rPr>
            </w:pPr>
            <w:r w:rsidRPr="00BF6B9C">
              <w:rPr>
                <w:rFonts w:ascii="Bookman Old Style" w:hAnsi="Bookman Old Style"/>
                <w:color w:val="000000"/>
                <w:sz w:val="16"/>
                <w:szCs w:val="16"/>
              </w:rPr>
              <w:t>15,078,693.62</w:t>
            </w:r>
          </w:p>
        </w:tc>
      </w:tr>
      <w:tr w:rsidR="00B26FC6" w:rsidRPr="00BF6B9C" w:rsidTr="00414B26">
        <w:tc>
          <w:tcPr>
            <w:tcW w:w="1843" w:type="dxa"/>
            <w:shd w:val="clear" w:color="auto" w:fill="auto"/>
            <w:vAlign w:val="center"/>
          </w:tcPr>
          <w:p w:rsidR="00B26FC6" w:rsidRPr="00BF6B9C" w:rsidRDefault="00DD3035">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VP(Q(PR)</m:t>
                    </m:r>
                  </m:e>
                  <m:sub>
                    <m:r>
                      <m:rPr>
                        <m:sty m:val="b"/>
                      </m:rPr>
                      <w:rPr>
                        <w:rFonts w:ascii="Cambria Math" w:hAnsi="Cambria Math" w:cs="Arial"/>
                        <w:sz w:val="16"/>
                        <w:szCs w:val="16"/>
                        <w:lang w:val="es-ES_tradnl"/>
                      </w:rPr>
                      <m:t>Tk</m:t>
                    </m:r>
                  </m:sub>
                </m:sSub>
              </m:oMath>
            </m:oMathPara>
          </w:p>
          <w:p w:rsidR="00B26FC6" w:rsidRPr="00BF6B9C" w:rsidRDefault="00B26FC6">
            <w:pPr>
              <w:tabs>
                <w:tab w:val="left" w:pos="426"/>
              </w:tabs>
              <w:ind w:left="0"/>
              <w:rPr>
                <w:rFonts w:ascii="Bookman Old Style" w:hAnsi="Bookman Old Style" w:cs="Arial"/>
                <w:b/>
                <w:sz w:val="16"/>
                <w:szCs w:val="16"/>
                <w:lang w:val="es-ES_tradnl"/>
              </w:rPr>
            </w:pPr>
          </w:p>
        </w:tc>
        <w:tc>
          <w:tcPr>
            <w:tcW w:w="1559"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299,843.33</w:t>
            </w:r>
          </w:p>
        </w:tc>
        <w:tc>
          <w:tcPr>
            <w:tcW w:w="1418" w:type="dxa"/>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295,517.71</w:t>
            </w:r>
          </w:p>
        </w:tc>
        <w:tc>
          <w:tcPr>
            <w:tcW w:w="1417"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287,162.91</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282,608.43</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315,917.10</w:t>
            </w:r>
          </w:p>
        </w:tc>
      </w:tr>
      <w:tr w:rsidR="00B26FC6" w:rsidRPr="00BF6B9C" w:rsidTr="00414B26">
        <w:tc>
          <w:tcPr>
            <w:tcW w:w="1843" w:type="dxa"/>
            <w:shd w:val="clear" w:color="auto" w:fill="auto"/>
            <w:vAlign w:val="center"/>
          </w:tcPr>
          <w:p w:rsidR="00B26FC6" w:rsidRPr="00BF6B9C" w:rsidRDefault="00DD3035">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VP(Q(PR)</m:t>
                    </m:r>
                  </m:e>
                  <m:sub>
                    <m:r>
                      <m:rPr>
                        <m:sty m:val="b"/>
                      </m:rPr>
                      <w:rPr>
                        <w:rFonts w:ascii="Cambria Math" w:hAnsi="Cambria Math" w:cs="Arial"/>
                        <w:sz w:val="16"/>
                        <w:szCs w:val="16"/>
                        <w:lang w:val="es-ES_tradnl"/>
                      </w:rPr>
                      <m:t>Resk</m:t>
                    </m:r>
                  </m:sub>
                </m:sSub>
                <m:r>
                  <m:rPr>
                    <m:sty m:val="b"/>
                  </m:rPr>
                  <w:rPr>
                    <w:rFonts w:ascii="Cambria Math" w:hAnsi="Cambria Math" w:cs="Arial"/>
                    <w:sz w:val="16"/>
                    <w:szCs w:val="16"/>
                    <w:lang w:val="es-ES_tradnl"/>
                  </w:rPr>
                  <m:t>)</m:t>
                </m:r>
              </m:oMath>
            </m:oMathPara>
          </w:p>
          <w:p w:rsidR="00B26FC6" w:rsidRPr="00BF6B9C" w:rsidRDefault="00B26FC6">
            <w:pPr>
              <w:tabs>
                <w:tab w:val="left" w:pos="426"/>
              </w:tabs>
              <w:ind w:left="0"/>
              <w:rPr>
                <w:rFonts w:ascii="Bookman Old Style" w:hAnsi="Bookman Old Style" w:cs="Arial"/>
                <w:b/>
                <w:sz w:val="16"/>
                <w:szCs w:val="16"/>
                <w:lang w:val="es-ES_tradnl"/>
              </w:rPr>
            </w:pPr>
          </w:p>
        </w:tc>
        <w:tc>
          <w:tcPr>
            <w:tcW w:w="1559"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284,542.53</w:t>
            </w:r>
          </w:p>
        </w:tc>
        <w:tc>
          <w:tcPr>
            <w:tcW w:w="1418" w:type="dxa"/>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280,439.82</w:t>
            </w:r>
          </w:p>
        </w:tc>
        <w:tc>
          <w:tcPr>
            <w:tcW w:w="1417"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272,515.51</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268,195.69</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rsidR="00B26FC6" w:rsidRPr="00BF6B9C" w:rsidRDefault="00B26FC6" w:rsidP="00B26FC6">
            <w:pPr>
              <w:widowControl w:val="0"/>
              <w:adjustRightInd w:val="0"/>
              <w:ind w:left="0" w:right="20"/>
              <w:jc w:val="center"/>
              <w:rPr>
                <w:rFonts w:ascii="Bookman Old Style" w:hAnsi="Bookman Old Style"/>
                <w:sz w:val="16"/>
                <w:szCs w:val="16"/>
              </w:rPr>
            </w:pPr>
            <w:r w:rsidRPr="00BF6B9C">
              <w:rPr>
                <w:rFonts w:ascii="Bookman Old Style" w:hAnsi="Bookman Old Style"/>
                <w:color w:val="000000"/>
                <w:sz w:val="16"/>
                <w:szCs w:val="16"/>
              </w:rPr>
              <w:t>299,787.91</w:t>
            </w:r>
          </w:p>
        </w:tc>
      </w:tr>
    </w:tbl>
    <w:p w:rsidR="00634642" w:rsidRPr="00BF6B9C" w:rsidRDefault="00634642" w:rsidP="00634642">
      <w:pPr>
        <w:widowControl w:val="0"/>
        <w:adjustRightInd w:val="0"/>
        <w:ind w:left="0" w:right="20"/>
        <w:jc w:val="both"/>
        <w:rPr>
          <w:rFonts w:ascii="Bookman Old Style" w:hAnsi="Bookman Old Style" w:cs="Arial"/>
        </w:rPr>
      </w:pPr>
      <w:r w:rsidRPr="00BF6B9C">
        <w:rPr>
          <w:rFonts w:ascii="Bookman Old Style" w:hAnsi="Bookman Old Style" w:cs="Arial"/>
        </w:rPr>
        <w:t>Cifras en pesos del 31 de Diciembre de 2014.</w:t>
      </w:r>
    </w:p>
    <w:p w:rsidR="00DF00AE" w:rsidRPr="00BF6B9C" w:rsidRDefault="00DF00AE" w:rsidP="00341E8F">
      <w:pPr>
        <w:widowControl w:val="0"/>
        <w:adjustRightInd w:val="0"/>
        <w:ind w:left="0" w:right="20"/>
        <w:jc w:val="both"/>
        <w:rPr>
          <w:rFonts w:ascii="Bookman Old Style" w:hAnsi="Bookman Old Style" w:cs="Arial"/>
          <w:b/>
        </w:rPr>
      </w:pPr>
    </w:p>
    <w:p w:rsidR="003C7080" w:rsidRPr="00BF6B9C" w:rsidRDefault="003C7080" w:rsidP="00341E8F">
      <w:pPr>
        <w:widowControl w:val="0"/>
        <w:adjustRightInd w:val="0"/>
        <w:ind w:left="0" w:right="20"/>
        <w:jc w:val="center"/>
        <w:rPr>
          <w:rFonts w:ascii="Bookman Old Style" w:hAnsi="Bookman Old Style" w:cs="Arial"/>
        </w:rPr>
      </w:pPr>
    </w:p>
    <w:p w:rsidR="00273C2C" w:rsidRPr="00BF6B9C" w:rsidRDefault="00273C2C" w:rsidP="00341E8F">
      <w:pPr>
        <w:widowControl w:val="0"/>
        <w:adjustRightInd w:val="0"/>
        <w:ind w:left="0" w:right="20"/>
        <w:jc w:val="both"/>
        <w:rPr>
          <w:rFonts w:ascii="Bookman Old Style" w:hAnsi="Bookman Old Style" w:cs="Arial"/>
        </w:rPr>
      </w:pPr>
      <w:r w:rsidRPr="00BF6B9C">
        <w:rPr>
          <w:rFonts w:ascii="Bookman Old Style" w:hAnsi="Bookman Old Style" w:cs="Arial"/>
          <w:b/>
        </w:rPr>
        <w:t xml:space="preserve">ARTÍCULO 5. Cargo de </w:t>
      </w:r>
      <w:r w:rsidR="00AA0DF5" w:rsidRPr="00BF6B9C">
        <w:rPr>
          <w:rFonts w:ascii="Bookman Old Style" w:hAnsi="Bookman Old Style" w:cs="Arial"/>
          <w:b/>
        </w:rPr>
        <w:t>d</w:t>
      </w:r>
      <w:r w:rsidRPr="00BF6B9C">
        <w:rPr>
          <w:rFonts w:ascii="Bookman Old Style" w:hAnsi="Bookman Old Style" w:cs="Arial"/>
          <w:b/>
        </w:rPr>
        <w:t>istribución</w:t>
      </w:r>
      <w:r w:rsidR="00F16347" w:rsidRPr="00BF6B9C">
        <w:rPr>
          <w:rFonts w:ascii="Bookman Old Style" w:hAnsi="Bookman Old Style" w:cs="Arial"/>
          <w:b/>
        </w:rPr>
        <w:t xml:space="preserve"> aplicable a los usuarios de Uso Residencial</w:t>
      </w:r>
      <w:r w:rsidRPr="00BF6B9C">
        <w:rPr>
          <w:rFonts w:ascii="Bookman Old Style" w:hAnsi="Bookman Old Style" w:cs="Arial"/>
          <w:b/>
        </w:rPr>
        <w:t>.</w:t>
      </w:r>
      <w:r w:rsidRPr="00BF6B9C">
        <w:rPr>
          <w:rFonts w:ascii="Bookman Old Style" w:hAnsi="Bookman Old Style" w:cs="Arial"/>
        </w:rPr>
        <w:t xml:space="preserve"> A partir de la vigencia de la presente Resolución, el cargo de distribución</w:t>
      </w:r>
      <w:r w:rsidR="00F16347" w:rsidRPr="00BF6B9C">
        <w:rPr>
          <w:rFonts w:ascii="Bookman Old Style" w:hAnsi="Bookman Old Style" w:cs="Arial"/>
        </w:rPr>
        <w:t xml:space="preserve"> aplicable a los usuarios de uso residencial</w:t>
      </w:r>
      <w:r w:rsidRPr="00BF6B9C">
        <w:rPr>
          <w:rFonts w:ascii="Bookman Old Style" w:hAnsi="Bookman Old Style" w:cs="Arial"/>
        </w:rPr>
        <w:t xml:space="preserve"> aplicable en el Mercado Relevante definido en el </w:t>
      </w:r>
      <w:r w:rsidR="007237B6" w:rsidRPr="00BF6B9C">
        <w:rPr>
          <w:rFonts w:ascii="Bookman Old Style" w:hAnsi="Bookman Old Style" w:cs="Arial"/>
        </w:rPr>
        <w:t>a</w:t>
      </w:r>
      <w:r w:rsidRPr="00BF6B9C">
        <w:rPr>
          <w:rFonts w:ascii="Bookman Old Style" w:hAnsi="Bookman Old Style" w:cs="Arial"/>
        </w:rPr>
        <w:t xml:space="preserve">rtículo 1°, para recuperar los costos de inversión y los gastos de AOM para la distribución domiciliaria de gas combustible por red se fija </w:t>
      </w:r>
      <w:r w:rsidR="00601622" w:rsidRPr="00BF6B9C">
        <w:rPr>
          <w:rFonts w:ascii="Bookman Old Style" w:hAnsi="Bookman Old Style" w:cs="Arial"/>
        </w:rPr>
        <w:t xml:space="preserve">transitoriamente </w:t>
      </w:r>
      <w:r w:rsidRPr="00BF6B9C">
        <w:rPr>
          <w:rFonts w:ascii="Bookman Old Style" w:hAnsi="Bookman Old Style" w:cs="Arial"/>
        </w:rPr>
        <w:t>de la siguiente manera:</w:t>
      </w:r>
    </w:p>
    <w:p w:rsidR="00273C2C" w:rsidRPr="00BF6B9C" w:rsidRDefault="00273C2C" w:rsidP="00341E8F">
      <w:pPr>
        <w:widowControl w:val="0"/>
        <w:adjustRightInd w:val="0"/>
        <w:ind w:left="0" w:right="20"/>
        <w:jc w:val="both"/>
        <w:rPr>
          <w:rFonts w:ascii="Bookman Old Style" w:hAnsi="Bookman Old Style" w:cs="Arial"/>
        </w:rPr>
      </w:pPr>
    </w:p>
    <w:tbl>
      <w:tblPr>
        <w:tblW w:w="95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A0" w:firstRow="1" w:lastRow="0" w:firstColumn="1" w:lastColumn="0" w:noHBand="0" w:noVBand="0"/>
      </w:tblPr>
      <w:tblGrid>
        <w:gridCol w:w="3400"/>
        <w:gridCol w:w="708"/>
        <w:gridCol w:w="1083"/>
        <w:gridCol w:w="139"/>
        <w:gridCol w:w="945"/>
        <w:gridCol w:w="12"/>
        <w:gridCol w:w="1073"/>
        <w:gridCol w:w="8"/>
        <w:gridCol w:w="1080"/>
        <w:gridCol w:w="1085"/>
      </w:tblGrid>
      <w:tr w:rsidR="00FE3B4D" w:rsidRPr="00BF6B9C" w:rsidTr="00414B26">
        <w:trPr>
          <w:trHeight w:val="306"/>
          <w:jc w:val="center"/>
        </w:trPr>
        <w:tc>
          <w:tcPr>
            <w:tcW w:w="9533"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E3B4D" w:rsidRPr="00BF6B9C" w:rsidRDefault="00FE3B4D" w:rsidP="00341E8F">
            <w:pPr>
              <w:widowControl w:val="0"/>
              <w:adjustRightInd w:val="0"/>
              <w:ind w:left="0" w:right="20"/>
              <w:jc w:val="center"/>
              <w:rPr>
                <w:rFonts w:ascii="Bookman Old Style" w:hAnsi="Bookman Old Style" w:cs="Arial"/>
                <w:b/>
                <w:bCs/>
                <w:lang w:val="es-ES_tradnl"/>
              </w:rPr>
            </w:pPr>
            <w:r w:rsidRPr="00BF6B9C">
              <w:rPr>
                <w:rFonts w:ascii="Bookman Old Style" w:hAnsi="Bookman Old Style" w:cs="Arial"/>
                <w:b/>
              </w:rPr>
              <w:t>Usuarios de Uso Residencial.</w:t>
            </w:r>
          </w:p>
        </w:tc>
      </w:tr>
      <w:tr w:rsidR="003F0076" w:rsidRPr="00BF6B9C" w:rsidTr="00414B26">
        <w:trPr>
          <w:trHeight w:val="104"/>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FE3B4D" w:rsidRPr="00BF6B9C" w:rsidRDefault="00FE3B4D" w:rsidP="00341E8F">
            <w:pPr>
              <w:widowControl w:val="0"/>
              <w:adjustRightInd w:val="0"/>
              <w:ind w:left="0" w:right="20"/>
              <w:jc w:val="center"/>
              <w:rPr>
                <w:rFonts w:ascii="Bookman Old Style" w:hAnsi="Bookman Old Style" w:cs="Arial"/>
                <w:b/>
                <w:lang w:val="es-ES_tradnl"/>
              </w:rPr>
            </w:pPr>
            <w:r w:rsidRPr="00BF6B9C">
              <w:rPr>
                <w:rFonts w:ascii="Bookman Old Style" w:hAnsi="Bookman Old Style" w:cs="Arial"/>
                <w:b/>
                <w:bCs/>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95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08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081"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BA2FEE" w:rsidRPr="00BF6B9C" w:rsidTr="00BA2FEE">
        <w:trPr>
          <w:trHeight w:val="104"/>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D03AA7" w:rsidRPr="00BF6B9C" w:rsidRDefault="00D03AA7" w:rsidP="00D03AA7">
            <w:pPr>
              <w:widowControl w:val="0"/>
              <w:adjustRightInd w:val="0"/>
              <w:ind w:left="0" w:right="20"/>
              <w:rPr>
                <w:rFonts w:ascii="Bookman Old Style" w:hAnsi="Bookman Old Style" w:cs="Arial"/>
                <w:b/>
                <w:sz w:val="20"/>
                <w:szCs w:val="20"/>
                <w:lang w:val="es-ES_tradnl"/>
              </w:rPr>
            </w:pPr>
          </w:p>
          <w:p w:rsidR="00D03AA7" w:rsidRPr="00BF6B9C" w:rsidRDefault="00D03AA7" w:rsidP="00D03AA7">
            <w:pPr>
              <w:widowControl w:val="0"/>
              <w:adjustRightInd w:val="0"/>
              <w:ind w:left="0" w:right="20"/>
              <w:rPr>
                <w:rFonts w:ascii="Bookman Old Style" w:hAnsi="Bookman Old Style" w:cs="Arial"/>
                <w:b/>
                <w:sz w:val="20"/>
                <w:szCs w:val="20"/>
                <w:lang w:val="es-ES_tradnl"/>
              </w:rPr>
            </w:pPr>
            <w:r w:rsidRPr="00BF6B9C">
              <w:rPr>
                <w:rFonts w:ascii="Bookman Old Style" w:hAnsi="Bookman Old Style" w:cs="Arial"/>
                <w:b/>
                <w:sz w:val="20"/>
                <w:szCs w:val="20"/>
                <w:lang w:val="es-ES_tradnl"/>
              </w:rPr>
              <w:t>Cargo de distribución Total</w:t>
            </w:r>
          </w:p>
          <w:p w:rsidR="00D03AA7" w:rsidRPr="00BF6B9C" w:rsidRDefault="00D03AA7" w:rsidP="00D03AA7">
            <w:pPr>
              <w:widowControl w:val="0"/>
              <w:adjustRightInd w:val="0"/>
              <w:ind w:left="0" w:right="20"/>
              <w:rPr>
                <w:rFonts w:ascii="Bookman Old Style" w:hAnsi="Bookman Old Style" w:cs="Arial"/>
                <w:b/>
                <w:sz w:val="20"/>
                <w:szCs w:val="20"/>
                <w:lang w:val="es-ES_tradnl"/>
              </w:rPr>
            </w:pP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cs="Arial"/>
                <w:b/>
                <w:bCs/>
                <w:sz w:val="20"/>
                <w:szCs w:val="20"/>
                <w:lang w:val="es-ES_tradnl"/>
              </w:rPr>
              <w:t>$/m</w:t>
            </w:r>
            <w:r w:rsidRPr="00BF6B9C">
              <w:rPr>
                <w:rFonts w:ascii="Bookman Old Style" w:hAnsi="Bookman Old Style" w:cs="Arial"/>
                <w:b/>
                <w:bCs/>
                <w:sz w:val="20"/>
                <w:szCs w:val="20"/>
                <w:vertAlign w:val="superscript"/>
                <w:lang w:val="es-ES_tradnl"/>
              </w:rPr>
              <w:t>3</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b/>
                <w:color w:val="000000"/>
                <w:sz w:val="20"/>
                <w:szCs w:val="20"/>
              </w:rPr>
              <w:t>4,209.82</w:t>
            </w:r>
          </w:p>
        </w:tc>
        <w:tc>
          <w:tcPr>
            <w:tcW w:w="108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b/>
                <w:color w:val="000000"/>
                <w:sz w:val="20"/>
                <w:szCs w:val="20"/>
              </w:rPr>
              <w:t>4,249.76</w:t>
            </w:r>
          </w:p>
        </w:tc>
        <w:tc>
          <w:tcPr>
            <w:tcW w:w="1085"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b/>
                <w:color w:val="000000"/>
                <w:sz w:val="20"/>
                <w:szCs w:val="20"/>
              </w:rPr>
              <w:t>4,329.92</w:t>
            </w:r>
          </w:p>
        </w:tc>
        <w:tc>
          <w:tcPr>
            <w:tcW w:w="108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b/>
                <w:color w:val="000000"/>
                <w:sz w:val="20"/>
                <w:szCs w:val="20"/>
              </w:rPr>
              <w:t>4,375.39</w:t>
            </w:r>
          </w:p>
        </w:tc>
        <w:tc>
          <w:tcPr>
            <w:tcW w:w="1085" w:type="dxa"/>
            <w:tcBorders>
              <w:top w:val="single" w:sz="4" w:space="0" w:color="auto"/>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b/>
                <w:sz w:val="20"/>
                <w:szCs w:val="20"/>
              </w:rPr>
            </w:pPr>
            <w:r w:rsidRPr="00BF6B9C">
              <w:rPr>
                <w:rFonts w:ascii="Bookman Old Style" w:hAnsi="Bookman Old Style"/>
                <w:b/>
                <w:color w:val="000000"/>
                <w:sz w:val="20"/>
                <w:szCs w:val="20"/>
              </w:rPr>
              <w:t>4,070.01</w:t>
            </w:r>
          </w:p>
        </w:tc>
      </w:tr>
      <w:tr w:rsidR="00BA2FEE" w:rsidRPr="00BF6B9C" w:rsidTr="00BA2FEE">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D03AA7" w:rsidRPr="00BF6B9C" w:rsidRDefault="00D03AA7">
            <w:pPr>
              <w:widowControl w:val="0"/>
              <w:numPr>
                <w:ilvl w:val="0"/>
                <w:numId w:val="1"/>
              </w:numPr>
              <w:adjustRightInd w:val="0"/>
              <w:ind w:left="656" w:right="20" w:hanging="141"/>
              <w:rPr>
                <w:rFonts w:ascii="Bookman Old Style" w:hAnsi="Bookman Old Style" w:cs="Arial"/>
                <w:sz w:val="20"/>
                <w:szCs w:val="20"/>
                <w:lang w:val="es-ES_tradnl"/>
              </w:rPr>
            </w:pPr>
            <w:r w:rsidRPr="00BF6B9C">
              <w:rPr>
                <w:rFonts w:ascii="Bookman Old Style" w:hAnsi="Bookman Old Style" w:cs="Arial"/>
                <w:sz w:val="20"/>
                <w:szCs w:val="20"/>
                <w:lang w:val="es-ES_tradnl"/>
              </w:rPr>
              <w:t xml:space="preserve">Componente de Inversión pagada con recursos públicos (ALCALDÍA MUNICIPAL DE CÁCHIRA) </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4" w:type="dxa"/>
            <w:tcBorders>
              <w:top w:val="nil"/>
              <w:left w:val="single" w:sz="4" w:space="0" w:color="auto"/>
              <w:bottom w:val="single" w:sz="4" w:space="0" w:color="auto"/>
              <w:right w:val="single" w:sz="4" w:space="0" w:color="auto"/>
            </w:tcBorders>
            <w:shd w:val="clear" w:color="auto" w:fill="FFFFFF" w:themeFill="background1"/>
            <w:noWrap/>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854.80</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865.55</w:t>
            </w:r>
          </w:p>
        </w:tc>
        <w:tc>
          <w:tcPr>
            <w:tcW w:w="1085"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887.14</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899.38</w:t>
            </w:r>
          </w:p>
        </w:tc>
        <w:tc>
          <w:tcPr>
            <w:tcW w:w="1085" w:type="dxa"/>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817.15</w:t>
            </w:r>
          </w:p>
        </w:tc>
      </w:tr>
      <w:tr w:rsidR="00BA2FEE" w:rsidRPr="00BF6B9C" w:rsidTr="00BA2FEE">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D03AA7" w:rsidRPr="00BF6B9C" w:rsidRDefault="00D03AA7" w:rsidP="00D03AA7">
            <w:pPr>
              <w:widowControl w:val="0"/>
              <w:numPr>
                <w:ilvl w:val="0"/>
                <w:numId w:val="1"/>
              </w:numPr>
              <w:adjustRightInd w:val="0"/>
              <w:ind w:left="656" w:right="20" w:hanging="141"/>
              <w:rPr>
                <w:rFonts w:ascii="Bookman Old Style" w:hAnsi="Bookman Old Style" w:cs="Arial"/>
                <w:sz w:val="20"/>
                <w:szCs w:val="20"/>
                <w:lang w:val="es-ES_tradnl"/>
              </w:rPr>
            </w:pPr>
            <w:r w:rsidRPr="00BF6B9C">
              <w:rPr>
                <w:rFonts w:ascii="Bookman Old Style" w:hAnsi="Bookman Old Style" w:cs="Arial"/>
                <w:sz w:val="20"/>
                <w:szCs w:val="20"/>
                <w:lang w:val="es-ES_tradnl"/>
              </w:rPr>
              <w:t>Componente de inversión pagada con recursos de la empresa PROMOTORA DE SERVICIOS PÚBLICOS S.A. E.S.P.</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4" w:type="dxa"/>
            <w:tcBorders>
              <w:top w:val="nil"/>
              <w:left w:val="single" w:sz="4" w:space="0" w:color="auto"/>
              <w:bottom w:val="single" w:sz="4" w:space="0" w:color="auto"/>
              <w:right w:val="single" w:sz="4" w:space="0" w:color="auto"/>
            </w:tcBorders>
            <w:shd w:val="clear" w:color="auto" w:fill="FFFFFF" w:themeFill="background1"/>
            <w:noWrap/>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2,259.98</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2,288.42</w:t>
            </w:r>
          </w:p>
        </w:tc>
        <w:tc>
          <w:tcPr>
            <w:tcW w:w="1085"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2,345.49</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2,377.87</w:t>
            </w:r>
          </w:p>
        </w:tc>
        <w:tc>
          <w:tcPr>
            <w:tcW w:w="1085" w:type="dxa"/>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2,160.44</w:t>
            </w:r>
          </w:p>
        </w:tc>
      </w:tr>
      <w:tr w:rsidR="00BA2FEE" w:rsidRPr="00BF6B9C" w:rsidTr="00BA2FEE">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D03AA7" w:rsidRPr="00BF6B9C" w:rsidRDefault="00D03AA7" w:rsidP="00D03AA7">
            <w:pPr>
              <w:widowControl w:val="0"/>
              <w:numPr>
                <w:ilvl w:val="0"/>
                <w:numId w:val="1"/>
              </w:numPr>
              <w:adjustRightInd w:val="0"/>
              <w:ind w:left="656" w:right="20" w:hanging="141"/>
              <w:rPr>
                <w:rFonts w:ascii="Bookman Old Style" w:hAnsi="Bookman Old Style" w:cs="Arial"/>
                <w:sz w:val="20"/>
                <w:szCs w:val="20"/>
                <w:lang w:val="es-ES_tradnl"/>
              </w:rPr>
            </w:pPr>
            <w:r w:rsidRPr="00BF6B9C">
              <w:rPr>
                <w:rFonts w:ascii="Bookman Old Style" w:hAnsi="Bookman Old Style" w:cs="Arial"/>
                <w:sz w:val="20"/>
                <w:szCs w:val="20"/>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4" w:type="dxa"/>
            <w:tcBorders>
              <w:top w:val="nil"/>
              <w:left w:val="single" w:sz="4" w:space="0" w:color="auto"/>
              <w:bottom w:val="single" w:sz="4" w:space="0" w:color="auto"/>
              <w:right w:val="single" w:sz="4" w:space="0" w:color="auto"/>
            </w:tcBorders>
            <w:shd w:val="clear" w:color="auto" w:fill="FFFFFF" w:themeFill="background1"/>
            <w:noWrap/>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1,095.04</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1,095.79</w:t>
            </w:r>
          </w:p>
        </w:tc>
        <w:tc>
          <w:tcPr>
            <w:tcW w:w="1085"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1,097.29</w:t>
            </w:r>
          </w:p>
        </w:tc>
        <w:tc>
          <w:tcPr>
            <w:tcW w:w="1084" w:type="dxa"/>
            <w:gridSpan w:val="2"/>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1,098.14</w:t>
            </w:r>
          </w:p>
        </w:tc>
        <w:tc>
          <w:tcPr>
            <w:tcW w:w="1085" w:type="dxa"/>
            <w:tcBorders>
              <w:top w:val="nil"/>
              <w:left w:val="nil"/>
              <w:bottom w:val="single" w:sz="4" w:space="0" w:color="auto"/>
              <w:right w:val="single" w:sz="4" w:space="0" w:color="auto"/>
            </w:tcBorders>
            <w:shd w:val="clear" w:color="auto" w:fill="FFFFFF" w:themeFill="background1"/>
            <w:vAlign w:val="center"/>
          </w:tcPr>
          <w:p w:rsidR="00D03AA7" w:rsidRPr="00BF6B9C" w:rsidRDefault="00D03AA7" w:rsidP="00D03AA7">
            <w:pPr>
              <w:ind w:left="0"/>
              <w:jc w:val="center"/>
              <w:rPr>
                <w:rFonts w:ascii="Bookman Old Style" w:hAnsi="Bookman Old Style" w:cs="Arial"/>
                <w:sz w:val="20"/>
                <w:szCs w:val="20"/>
              </w:rPr>
            </w:pPr>
            <w:r w:rsidRPr="00BF6B9C">
              <w:rPr>
                <w:rFonts w:ascii="Bookman Old Style" w:hAnsi="Bookman Old Style"/>
                <w:color w:val="000000"/>
                <w:sz w:val="20"/>
                <w:szCs w:val="20"/>
              </w:rPr>
              <w:t>1,092.42</w:t>
            </w:r>
          </w:p>
        </w:tc>
      </w:tr>
    </w:tbl>
    <w:p w:rsidR="00273C2C" w:rsidRPr="00BF6B9C" w:rsidRDefault="00273C2C" w:rsidP="00341E8F">
      <w:pPr>
        <w:widowControl w:val="0"/>
        <w:adjustRightInd w:val="0"/>
        <w:ind w:left="0" w:right="20"/>
        <w:jc w:val="both"/>
        <w:rPr>
          <w:rFonts w:ascii="Bookman Old Style" w:hAnsi="Bookman Old Style" w:cs="Arial"/>
          <w:lang w:val="es-CO" w:eastAsia="x-none"/>
        </w:rPr>
      </w:pPr>
      <w:r w:rsidRPr="00BF6B9C">
        <w:rPr>
          <w:rFonts w:ascii="Bookman Old Style" w:hAnsi="Bookman Old Style" w:cs="Arial"/>
          <w:lang w:val="x-none" w:eastAsia="x-none"/>
        </w:rPr>
        <w:t>Cifras en pesos del 31 de diciembre de 20</w:t>
      </w:r>
      <w:r w:rsidRPr="00BF6B9C">
        <w:rPr>
          <w:rFonts w:ascii="Bookman Old Style" w:hAnsi="Bookman Old Style" w:cs="Arial"/>
          <w:lang w:val="es-CO" w:eastAsia="x-none"/>
        </w:rPr>
        <w:t>1</w:t>
      </w:r>
      <w:r w:rsidR="00634642" w:rsidRPr="00BF6B9C">
        <w:rPr>
          <w:rFonts w:ascii="Bookman Old Style" w:hAnsi="Bookman Old Style" w:cs="Arial"/>
          <w:lang w:val="es-CO" w:eastAsia="x-none"/>
        </w:rPr>
        <w:t>4</w:t>
      </w:r>
    </w:p>
    <w:p w:rsidR="00273C2C" w:rsidRPr="00BF6B9C" w:rsidRDefault="00273C2C" w:rsidP="00341E8F">
      <w:pPr>
        <w:ind w:left="0"/>
        <w:jc w:val="both"/>
        <w:rPr>
          <w:rFonts w:ascii="Bookman Old Style" w:hAnsi="Bookman Old Style" w:cs="Arial"/>
          <w:b/>
          <w:bCs/>
        </w:rPr>
      </w:pPr>
    </w:p>
    <w:p w:rsidR="00035D47" w:rsidRPr="00BF6B9C" w:rsidRDefault="00273C2C" w:rsidP="00341E8F">
      <w:pPr>
        <w:ind w:left="0"/>
        <w:jc w:val="both"/>
        <w:rPr>
          <w:rFonts w:ascii="Bookman Old Style" w:hAnsi="Bookman Old Style" w:cs="Arial"/>
        </w:rPr>
      </w:pPr>
      <w:r w:rsidRPr="00BF6B9C">
        <w:rPr>
          <w:rFonts w:ascii="Bookman Old Style" w:hAnsi="Bookman Old Style" w:cs="Arial"/>
          <w:b/>
          <w:bCs/>
        </w:rPr>
        <w:t xml:space="preserve">Parágrafo 1. </w:t>
      </w:r>
      <w:r w:rsidRPr="00BF6B9C">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035D47" w:rsidRPr="00BF6B9C" w:rsidRDefault="00035D47" w:rsidP="00341E8F">
      <w:pPr>
        <w:ind w:left="0"/>
        <w:jc w:val="both"/>
        <w:rPr>
          <w:rFonts w:ascii="Bookman Old Style" w:hAnsi="Bookman Old Style" w:cs="Arial"/>
        </w:rPr>
      </w:pPr>
    </w:p>
    <w:p w:rsidR="003F0076" w:rsidRPr="00BF6B9C" w:rsidRDefault="00035D47" w:rsidP="00341E8F">
      <w:pPr>
        <w:ind w:left="0"/>
        <w:jc w:val="both"/>
        <w:rPr>
          <w:rFonts w:ascii="Bookman Old Style" w:hAnsi="Bookman Old Style"/>
        </w:rPr>
      </w:pPr>
      <w:r w:rsidRPr="00BF6B9C">
        <w:rPr>
          <w:rFonts w:ascii="Bookman Old Style" w:hAnsi="Bookman Old Style" w:cs="Arial"/>
          <w:b/>
          <w:bCs/>
        </w:rPr>
        <w:t>Parágrafo 2</w:t>
      </w:r>
      <w:r w:rsidRPr="00BF6B9C">
        <w:rPr>
          <w:rFonts w:ascii="Bookman Old Style" w:hAnsi="Bookman Old Style" w:cs="Arial"/>
        </w:rPr>
        <w:t>.</w:t>
      </w:r>
      <w:r w:rsidR="00273C2C" w:rsidRPr="00BF6B9C">
        <w:rPr>
          <w:rFonts w:ascii="Bookman Old Style" w:hAnsi="Bookman Old Style" w:cs="Arial"/>
        </w:rPr>
        <w:t xml:space="preserve"> </w:t>
      </w:r>
      <w:r w:rsidR="003F0076" w:rsidRPr="00BF6B9C">
        <w:rPr>
          <w:rFonts w:ascii="Bookman Old Style" w:hAnsi="Bookman Old Style" w:cs="Arial"/>
        </w:rPr>
        <w:t>Conforme a lo definido en el numeral 6.7 del Artículo 6 de la Resolución CREG 202 de 2013 y aquellas que la adicionan y modifican, e</w:t>
      </w:r>
      <w:r w:rsidR="003F0076" w:rsidRPr="00BF6B9C">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273C2C" w:rsidRPr="00BF6B9C" w:rsidRDefault="00273C2C" w:rsidP="00341E8F">
      <w:pPr>
        <w:widowControl w:val="0"/>
        <w:adjustRightInd w:val="0"/>
        <w:ind w:left="0"/>
        <w:jc w:val="both"/>
        <w:rPr>
          <w:rFonts w:ascii="Bookman Old Style" w:hAnsi="Bookman Old Style" w:cs="Arial"/>
        </w:rPr>
      </w:pPr>
    </w:p>
    <w:p w:rsidR="00273C2C" w:rsidRPr="00BF6B9C" w:rsidRDefault="00273C2C" w:rsidP="00341E8F">
      <w:pPr>
        <w:widowControl w:val="0"/>
        <w:adjustRightInd w:val="0"/>
        <w:ind w:left="0" w:right="20"/>
        <w:jc w:val="both"/>
        <w:rPr>
          <w:rFonts w:ascii="Bookman Old Style" w:hAnsi="Bookman Old Style" w:cs="Arial"/>
        </w:rPr>
      </w:pPr>
      <w:r w:rsidRPr="00BF6B9C">
        <w:rPr>
          <w:rFonts w:ascii="Bookman Old Style" w:hAnsi="Bookman Old Style" w:cs="Arial"/>
          <w:b/>
          <w:bCs/>
        </w:rPr>
        <w:t xml:space="preserve">Parágrafo </w:t>
      </w:r>
      <w:r w:rsidR="00035D47" w:rsidRPr="00BF6B9C">
        <w:rPr>
          <w:rFonts w:ascii="Bookman Old Style" w:hAnsi="Bookman Old Style" w:cs="Arial"/>
          <w:b/>
          <w:bCs/>
        </w:rPr>
        <w:t>3</w:t>
      </w:r>
      <w:r w:rsidRPr="00BF6B9C">
        <w:rPr>
          <w:rFonts w:ascii="Bookman Old Style" w:hAnsi="Bookman Old Style" w:cs="Arial"/>
          <w:b/>
          <w:bCs/>
        </w:rPr>
        <w:t>.</w:t>
      </w:r>
      <w:r w:rsidRPr="00BF6B9C">
        <w:rPr>
          <w:rFonts w:ascii="Bookman Old Style" w:hAnsi="Bookman Old Style" w:cs="Arial"/>
        </w:rPr>
        <w:t xml:space="preserve"> Estos Cargos de Distribución se actualizarán de conformidad con lo establecido en el </w:t>
      </w:r>
      <w:r w:rsidR="00B003BA" w:rsidRPr="00BF6B9C">
        <w:rPr>
          <w:rFonts w:ascii="Bookman Old Style" w:hAnsi="Bookman Old Style" w:cs="Arial"/>
        </w:rPr>
        <w:t>artículo 12</w:t>
      </w:r>
      <w:r w:rsidRPr="00BF6B9C">
        <w:rPr>
          <w:rFonts w:ascii="Bookman Old Style" w:hAnsi="Bookman Old Style" w:cs="Arial"/>
        </w:rPr>
        <w:t xml:space="preserve"> de la Resolución CREG</w:t>
      </w:r>
      <w:r w:rsidR="0066646A" w:rsidRPr="00BF6B9C">
        <w:rPr>
          <w:rFonts w:ascii="Bookman Old Style" w:hAnsi="Bookman Old Style" w:cs="Arial"/>
        </w:rPr>
        <w:t xml:space="preserve"> </w:t>
      </w:r>
      <w:r w:rsidR="00B003BA" w:rsidRPr="00BF6B9C">
        <w:rPr>
          <w:rFonts w:ascii="Bookman Old Style" w:hAnsi="Bookman Old Style" w:cs="Arial"/>
        </w:rPr>
        <w:t>202</w:t>
      </w:r>
      <w:r w:rsidRPr="00BF6B9C">
        <w:rPr>
          <w:rFonts w:ascii="Bookman Old Style" w:hAnsi="Bookman Old Style" w:cs="Arial"/>
        </w:rPr>
        <w:t xml:space="preserve"> de 20</w:t>
      </w:r>
      <w:r w:rsidR="00B003BA" w:rsidRPr="00BF6B9C">
        <w:rPr>
          <w:rFonts w:ascii="Bookman Old Style" w:hAnsi="Bookman Old Style" w:cs="Arial"/>
        </w:rPr>
        <w:t>1</w:t>
      </w:r>
      <w:r w:rsidRPr="00BF6B9C">
        <w:rPr>
          <w:rFonts w:ascii="Bookman Old Style" w:hAnsi="Bookman Old Style" w:cs="Arial"/>
        </w:rPr>
        <w:t xml:space="preserve">3. </w:t>
      </w:r>
    </w:p>
    <w:p w:rsidR="00092171" w:rsidRPr="00BF6B9C" w:rsidRDefault="00092171" w:rsidP="00341E8F">
      <w:pPr>
        <w:widowControl w:val="0"/>
        <w:adjustRightInd w:val="0"/>
        <w:ind w:left="0" w:right="20"/>
        <w:jc w:val="both"/>
        <w:rPr>
          <w:rFonts w:ascii="Bookman Old Style" w:hAnsi="Bookman Old Style" w:cs="Arial"/>
        </w:rPr>
      </w:pPr>
    </w:p>
    <w:p w:rsidR="00C66FB9" w:rsidRPr="00BF6B9C" w:rsidRDefault="001931A8" w:rsidP="00341E8F">
      <w:pPr>
        <w:widowControl w:val="0"/>
        <w:adjustRightInd w:val="0"/>
        <w:ind w:left="0" w:right="20"/>
        <w:jc w:val="both"/>
        <w:rPr>
          <w:rFonts w:ascii="Bookman Old Style" w:hAnsi="Bookman Old Style" w:cs="Arial"/>
        </w:rPr>
      </w:pPr>
      <w:r w:rsidRPr="00BF6B9C">
        <w:rPr>
          <w:rFonts w:ascii="Bookman Old Style" w:hAnsi="Bookman Old Style" w:cs="Arial"/>
          <w:b/>
        </w:rPr>
        <w:t>ARTÍCULO 6. Cargo de distribución aplicable a los usuarios diferentes a los de Uso Residencial.</w:t>
      </w:r>
      <w:r w:rsidRPr="00BF6B9C">
        <w:rPr>
          <w:rFonts w:ascii="Bookman Old Style" w:hAnsi="Bookman Old Style" w:cs="Arial"/>
        </w:rPr>
        <w:t xml:space="preserve"> </w:t>
      </w:r>
      <w:r w:rsidR="00C66FB9" w:rsidRPr="00BF6B9C">
        <w:rPr>
          <w:rFonts w:ascii="Bookman Old Style" w:hAnsi="Bookman Old Style" w:cs="Arial"/>
        </w:rPr>
        <w:t xml:space="preserve">A partir de la vigencia de la presente Resolución, el cargo de distribución aplicable a los usuarios diferentes a los de uso residencial aplicable en el Mercado Relevante definido en el artículo 1°, para recuperar los costos de inversión y los gastos de AOM para la distribución domiciliaria de gas combustible por red se fija </w:t>
      </w:r>
      <w:r w:rsidR="00601622" w:rsidRPr="00BF6B9C">
        <w:rPr>
          <w:rFonts w:ascii="Bookman Old Style" w:hAnsi="Bookman Old Style" w:cs="Arial"/>
        </w:rPr>
        <w:t xml:space="preserve">transitoriamente </w:t>
      </w:r>
      <w:r w:rsidR="00C66FB9" w:rsidRPr="00BF6B9C">
        <w:rPr>
          <w:rFonts w:ascii="Bookman Old Style" w:hAnsi="Bookman Old Style" w:cs="Arial"/>
        </w:rPr>
        <w:t>de la siguiente manera:</w:t>
      </w:r>
    </w:p>
    <w:p w:rsidR="00FE3B4D" w:rsidRPr="00BF6B9C" w:rsidRDefault="00FE3B4D" w:rsidP="00341E8F">
      <w:pPr>
        <w:widowControl w:val="0"/>
        <w:adjustRightInd w:val="0"/>
        <w:ind w:left="0" w:right="20"/>
        <w:jc w:val="both"/>
        <w:rPr>
          <w:rFonts w:ascii="Bookman Old Style" w:hAnsi="Bookman Old Style" w:cs="Arial"/>
        </w:rPr>
      </w:pPr>
    </w:p>
    <w:tbl>
      <w:tblPr>
        <w:tblW w:w="95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A0" w:firstRow="1" w:lastRow="0" w:firstColumn="1" w:lastColumn="0" w:noHBand="0" w:noVBand="0"/>
      </w:tblPr>
      <w:tblGrid>
        <w:gridCol w:w="3402"/>
        <w:gridCol w:w="709"/>
        <w:gridCol w:w="1080"/>
        <w:gridCol w:w="1080"/>
        <w:gridCol w:w="1081"/>
        <w:gridCol w:w="1080"/>
        <w:gridCol w:w="1081"/>
      </w:tblGrid>
      <w:tr w:rsidR="00FE3B4D" w:rsidRPr="00BF6B9C" w:rsidTr="00414B26">
        <w:trPr>
          <w:trHeight w:val="306"/>
          <w:jc w:val="center"/>
        </w:trPr>
        <w:tc>
          <w:tcPr>
            <w:tcW w:w="9513" w:type="dxa"/>
            <w:gridSpan w:val="7"/>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E3B4D" w:rsidRPr="00BF6B9C" w:rsidRDefault="00FE3B4D" w:rsidP="00341E8F">
            <w:pPr>
              <w:widowControl w:val="0"/>
              <w:adjustRightInd w:val="0"/>
              <w:ind w:left="0" w:right="20"/>
              <w:jc w:val="center"/>
              <w:rPr>
                <w:rFonts w:ascii="Bookman Old Style" w:hAnsi="Bookman Old Style" w:cs="Arial"/>
                <w:b/>
                <w:bCs/>
                <w:lang w:val="es-ES_tradnl"/>
              </w:rPr>
            </w:pPr>
            <w:r w:rsidRPr="00BF6B9C">
              <w:rPr>
                <w:rFonts w:ascii="Bookman Old Style" w:hAnsi="Bookman Old Style" w:cs="Arial"/>
                <w:b/>
              </w:rPr>
              <w:t>Usuarios Diferentes a los de Uso Residencial.</w:t>
            </w:r>
          </w:p>
        </w:tc>
      </w:tr>
      <w:tr w:rsidR="00FE3B4D" w:rsidRPr="00BF6B9C" w:rsidTr="00414B26">
        <w:trPr>
          <w:trHeight w:val="104"/>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FE3B4D" w:rsidRPr="00BF6B9C" w:rsidRDefault="00FE3B4D" w:rsidP="00341E8F">
            <w:pPr>
              <w:widowControl w:val="0"/>
              <w:adjustRightInd w:val="0"/>
              <w:ind w:left="0" w:right="20"/>
              <w:jc w:val="center"/>
              <w:rPr>
                <w:rFonts w:ascii="Bookman Old Style" w:hAnsi="Bookman Old Style" w:cs="Arial"/>
                <w:b/>
                <w:lang w:val="es-ES_tradnl"/>
              </w:rPr>
            </w:pPr>
            <w:r w:rsidRPr="00BF6B9C">
              <w:rPr>
                <w:rFonts w:ascii="Bookman Old Style" w:hAnsi="Bookman Old Style" w:cs="Arial"/>
                <w:b/>
                <w:bCs/>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2015</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2016</w:t>
            </w:r>
          </w:p>
        </w:tc>
        <w:tc>
          <w:tcPr>
            <w:tcW w:w="1081"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2017</w:t>
            </w: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2018</w:t>
            </w:r>
          </w:p>
        </w:tc>
        <w:tc>
          <w:tcPr>
            <w:tcW w:w="1081" w:type="dxa"/>
            <w:tcBorders>
              <w:top w:val="single" w:sz="8" w:space="0" w:color="auto"/>
              <w:left w:val="single" w:sz="8" w:space="0" w:color="auto"/>
              <w:bottom w:val="single" w:sz="8" w:space="0" w:color="auto"/>
              <w:right w:val="single" w:sz="8" w:space="0" w:color="auto"/>
            </w:tcBorders>
            <w:shd w:val="clear" w:color="auto" w:fill="FFFFFF" w:themeFill="background1"/>
          </w:tcPr>
          <w:p w:rsidR="00FE3B4D" w:rsidRPr="00BF6B9C" w:rsidRDefault="00FE3B4D"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2019</w:t>
            </w:r>
          </w:p>
        </w:tc>
      </w:tr>
      <w:tr w:rsidR="007C14CF" w:rsidRPr="00BF6B9C" w:rsidTr="007C14CF">
        <w:trPr>
          <w:trHeight w:val="104"/>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7C14CF" w:rsidRPr="00BF6B9C" w:rsidRDefault="007C14CF" w:rsidP="007C14CF">
            <w:pPr>
              <w:widowControl w:val="0"/>
              <w:adjustRightInd w:val="0"/>
              <w:ind w:left="0" w:right="20"/>
              <w:rPr>
                <w:rFonts w:ascii="Bookman Old Style" w:hAnsi="Bookman Old Style" w:cs="Arial"/>
                <w:b/>
                <w:sz w:val="20"/>
                <w:szCs w:val="20"/>
                <w:lang w:val="es-ES_tradnl"/>
              </w:rPr>
            </w:pPr>
          </w:p>
          <w:p w:rsidR="007C14CF" w:rsidRPr="00BF6B9C" w:rsidRDefault="007C14CF" w:rsidP="007C14CF">
            <w:pPr>
              <w:widowControl w:val="0"/>
              <w:adjustRightInd w:val="0"/>
              <w:ind w:left="0" w:right="20"/>
              <w:rPr>
                <w:rFonts w:ascii="Bookman Old Style" w:hAnsi="Bookman Old Style" w:cs="Arial"/>
                <w:b/>
                <w:sz w:val="20"/>
                <w:szCs w:val="20"/>
                <w:lang w:val="es-ES_tradnl"/>
              </w:rPr>
            </w:pPr>
            <w:r w:rsidRPr="00BF6B9C">
              <w:rPr>
                <w:rFonts w:ascii="Bookman Old Style" w:hAnsi="Bookman Old Style" w:cs="Arial"/>
                <w:b/>
                <w:sz w:val="20"/>
                <w:szCs w:val="20"/>
                <w:lang w:val="es-ES_tradnl"/>
              </w:rPr>
              <w:t>Cargo de distribución Total</w:t>
            </w:r>
          </w:p>
          <w:p w:rsidR="007C14CF" w:rsidRPr="00BF6B9C" w:rsidRDefault="007C14CF" w:rsidP="007C14CF">
            <w:pPr>
              <w:widowControl w:val="0"/>
              <w:adjustRightInd w:val="0"/>
              <w:ind w:left="0" w:right="20"/>
              <w:rPr>
                <w:rFonts w:ascii="Bookman Old Style" w:hAnsi="Bookman Old Style" w:cs="Arial"/>
                <w:b/>
                <w:sz w:val="20"/>
                <w:szCs w:val="20"/>
                <w:lang w:val="es-ES_tradnl"/>
              </w:rPr>
            </w:pP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cs="Arial"/>
                <w:b/>
                <w:bCs/>
                <w:sz w:val="20"/>
                <w:szCs w:val="20"/>
                <w:lang w:val="es-ES_tradnl"/>
              </w:rPr>
              <w:t>$/m</w:t>
            </w:r>
            <w:r w:rsidRPr="00BF6B9C">
              <w:rPr>
                <w:rFonts w:ascii="Bookman Old Style" w:hAnsi="Bookman Old Style" w:cs="Arial"/>
                <w:b/>
                <w:bCs/>
                <w:sz w:val="20"/>
                <w:szCs w:val="20"/>
                <w:vertAlign w:val="superscript"/>
                <w:lang w:val="es-ES_tradnl"/>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b/>
                <w:color w:val="000000"/>
                <w:sz w:val="20"/>
                <w:szCs w:val="20"/>
              </w:rPr>
              <w:t>4,209.82</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b/>
                <w:color w:val="000000"/>
                <w:sz w:val="20"/>
                <w:szCs w:val="20"/>
              </w:rPr>
              <w:t>4,249.76</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b/>
                <w:color w:val="000000"/>
                <w:sz w:val="20"/>
                <w:szCs w:val="20"/>
              </w:rPr>
              <w:t>4,329.92</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b/>
                <w:color w:val="000000"/>
                <w:sz w:val="20"/>
                <w:szCs w:val="20"/>
              </w:rPr>
              <w:t>4,375.39</w:t>
            </w:r>
          </w:p>
        </w:tc>
        <w:tc>
          <w:tcPr>
            <w:tcW w:w="1081" w:type="dxa"/>
            <w:tcBorders>
              <w:top w:val="single" w:sz="4" w:space="0" w:color="auto"/>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b/>
                <w:sz w:val="20"/>
                <w:szCs w:val="20"/>
              </w:rPr>
            </w:pPr>
            <w:r w:rsidRPr="00BF6B9C">
              <w:rPr>
                <w:rFonts w:ascii="Bookman Old Style" w:hAnsi="Bookman Old Style"/>
                <w:b/>
                <w:color w:val="000000"/>
                <w:sz w:val="20"/>
                <w:szCs w:val="20"/>
              </w:rPr>
              <w:t>4,070.01</w:t>
            </w:r>
          </w:p>
        </w:tc>
      </w:tr>
      <w:tr w:rsidR="007C14CF" w:rsidRPr="00BF6B9C" w:rsidTr="007C14CF">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7C14CF" w:rsidRPr="00BF6B9C" w:rsidRDefault="007C14CF" w:rsidP="007C14CF">
            <w:pPr>
              <w:widowControl w:val="0"/>
              <w:numPr>
                <w:ilvl w:val="0"/>
                <w:numId w:val="1"/>
              </w:numPr>
              <w:adjustRightInd w:val="0"/>
              <w:ind w:left="505" w:right="20" w:hanging="452"/>
              <w:rPr>
                <w:rFonts w:ascii="Bookman Old Style" w:hAnsi="Bookman Old Style" w:cs="Arial"/>
                <w:sz w:val="20"/>
                <w:szCs w:val="20"/>
                <w:lang w:val="es-ES_tradnl"/>
              </w:rPr>
            </w:pPr>
            <w:r w:rsidRPr="00BF6B9C">
              <w:rPr>
                <w:rFonts w:ascii="Bookman Old Style" w:hAnsi="Bookman Old Style" w:cs="Arial"/>
                <w:sz w:val="20"/>
                <w:szCs w:val="20"/>
                <w:lang w:val="es-ES_tradnl"/>
              </w:rPr>
              <w:t xml:space="preserve">Componente de Inversión pagada con recursos públicos (ALCALDÍA MUNICIPAL DE CÁCHIRA)  </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854.80</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865.55</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887.14</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899.38</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817.15</w:t>
            </w:r>
          </w:p>
        </w:tc>
      </w:tr>
      <w:tr w:rsidR="007C14CF" w:rsidRPr="00BF6B9C" w:rsidTr="007C14CF">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7C14CF" w:rsidRPr="00BF6B9C" w:rsidRDefault="007C14CF" w:rsidP="007C14CF">
            <w:pPr>
              <w:widowControl w:val="0"/>
              <w:numPr>
                <w:ilvl w:val="0"/>
                <w:numId w:val="1"/>
              </w:numPr>
              <w:adjustRightInd w:val="0"/>
              <w:ind w:left="505" w:right="20" w:hanging="452"/>
              <w:rPr>
                <w:rFonts w:ascii="Bookman Old Style" w:hAnsi="Bookman Old Style" w:cs="Arial"/>
                <w:sz w:val="20"/>
                <w:szCs w:val="20"/>
                <w:lang w:val="es-ES_tradnl"/>
              </w:rPr>
            </w:pPr>
            <w:r w:rsidRPr="00BF6B9C">
              <w:rPr>
                <w:rFonts w:ascii="Bookman Old Style" w:hAnsi="Bookman Old Style" w:cs="Arial"/>
                <w:sz w:val="20"/>
                <w:szCs w:val="20"/>
                <w:lang w:val="es-ES_tradnl"/>
              </w:rPr>
              <w:t>Componente de inversión pagada con recursos de la empresa PROMOTORA DE SERVICIOS PÚBLICOS S.A. E.S.P.</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2,259.98</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2,288.42</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2,345.49</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2,377.87</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2,160.44</w:t>
            </w:r>
          </w:p>
        </w:tc>
      </w:tr>
      <w:tr w:rsidR="007C14CF" w:rsidRPr="00BF6B9C" w:rsidTr="007C14CF">
        <w:trPr>
          <w:trHeight w:val="525"/>
          <w:jc w:val="center"/>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7C14CF" w:rsidRPr="00BF6B9C" w:rsidRDefault="007C14CF" w:rsidP="007C14CF">
            <w:pPr>
              <w:widowControl w:val="0"/>
              <w:numPr>
                <w:ilvl w:val="0"/>
                <w:numId w:val="1"/>
              </w:numPr>
              <w:adjustRightInd w:val="0"/>
              <w:ind w:left="505" w:right="20" w:hanging="452"/>
              <w:rPr>
                <w:rFonts w:ascii="Bookman Old Style" w:hAnsi="Bookman Old Style" w:cs="Arial"/>
                <w:sz w:val="20"/>
                <w:szCs w:val="20"/>
                <w:lang w:val="es-ES_tradnl"/>
              </w:rPr>
            </w:pPr>
            <w:r w:rsidRPr="00BF6B9C">
              <w:rPr>
                <w:rFonts w:ascii="Bookman Old Style" w:hAnsi="Bookman Old Style" w:cs="Arial"/>
                <w:sz w:val="20"/>
                <w:szCs w:val="20"/>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sz w:val="20"/>
                <w:szCs w:val="20"/>
              </w:rPr>
            </w:pPr>
            <w:r w:rsidRPr="00BF6B9C">
              <w:rPr>
                <w:rFonts w:ascii="Bookman Old Style" w:hAnsi="Bookman Old Style" w:cs="Arial"/>
                <w:bCs/>
                <w:sz w:val="20"/>
                <w:szCs w:val="20"/>
                <w:lang w:val="es-ES_tradnl"/>
              </w:rPr>
              <w:t>$/m</w:t>
            </w:r>
            <w:r w:rsidRPr="00BF6B9C">
              <w:rPr>
                <w:rFonts w:ascii="Bookman Old Style" w:hAnsi="Bookman Old Style" w:cs="Arial"/>
                <w:bCs/>
                <w:sz w:val="20"/>
                <w:szCs w:val="20"/>
                <w:vertAlign w:val="superscript"/>
                <w:lang w:val="es-ES_tradnl"/>
              </w:rPr>
              <w:t>3</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1,095.04</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1,095.79</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1,097.29</w:t>
            </w:r>
          </w:p>
        </w:tc>
        <w:tc>
          <w:tcPr>
            <w:tcW w:w="1080"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1,098.14</w:t>
            </w:r>
          </w:p>
        </w:tc>
        <w:tc>
          <w:tcPr>
            <w:tcW w:w="1081" w:type="dxa"/>
            <w:tcBorders>
              <w:top w:val="nil"/>
              <w:left w:val="nil"/>
              <w:bottom w:val="single" w:sz="4" w:space="0" w:color="auto"/>
              <w:right w:val="single" w:sz="4" w:space="0" w:color="auto"/>
            </w:tcBorders>
            <w:shd w:val="clear" w:color="auto" w:fill="FFFFFF" w:themeFill="background1"/>
            <w:vAlign w:val="center"/>
          </w:tcPr>
          <w:p w:rsidR="007C14CF" w:rsidRPr="00BF6B9C" w:rsidRDefault="007C14CF" w:rsidP="007C14CF">
            <w:pPr>
              <w:ind w:left="0"/>
              <w:jc w:val="center"/>
              <w:rPr>
                <w:rFonts w:ascii="Bookman Old Style" w:hAnsi="Bookman Old Style" w:cs="Arial"/>
                <w:sz w:val="20"/>
                <w:szCs w:val="20"/>
              </w:rPr>
            </w:pPr>
            <w:r w:rsidRPr="00BF6B9C">
              <w:rPr>
                <w:rFonts w:ascii="Bookman Old Style" w:hAnsi="Bookman Old Style"/>
                <w:color w:val="000000"/>
                <w:sz w:val="20"/>
                <w:szCs w:val="20"/>
              </w:rPr>
              <w:t>1,092.42</w:t>
            </w:r>
          </w:p>
        </w:tc>
      </w:tr>
    </w:tbl>
    <w:p w:rsidR="00331004" w:rsidRPr="00BF6B9C" w:rsidRDefault="00C66FB9" w:rsidP="00341E8F">
      <w:pPr>
        <w:widowControl w:val="0"/>
        <w:adjustRightInd w:val="0"/>
        <w:ind w:left="0" w:right="20"/>
        <w:jc w:val="both"/>
        <w:rPr>
          <w:rFonts w:ascii="Bookman Old Style" w:hAnsi="Bookman Old Style" w:cs="Arial"/>
          <w:lang w:val="es-CO" w:eastAsia="x-none"/>
        </w:rPr>
      </w:pPr>
      <w:r w:rsidRPr="00BF6B9C">
        <w:rPr>
          <w:rFonts w:ascii="Bookman Old Style" w:hAnsi="Bookman Old Style" w:cs="Arial"/>
          <w:lang w:val="x-none" w:eastAsia="x-none"/>
        </w:rPr>
        <w:t>NOTA:</w:t>
      </w:r>
      <w:r w:rsidRPr="00BF6B9C">
        <w:rPr>
          <w:rFonts w:ascii="Bookman Old Style" w:hAnsi="Bookman Old Style" w:cs="Arial"/>
          <w:lang w:val="x-none" w:eastAsia="x-none"/>
        </w:rPr>
        <w:tab/>
        <w:t>Cifras en pesos del 31 de diciembre de 20</w:t>
      </w:r>
      <w:r w:rsidRPr="00BF6B9C">
        <w:rPr>
          <w:rFonts w:ascii="Bookman Old Style" w:hAnsi="Bookman Old Style" w:cs="Arial"/>
          <w:lang w:val="es-CO" w:eastAsia="x-none"/>
        </w:rPr>
        <w:t>1</w:t>
      </w:r>
      <w:r w:rsidR="00331004" w:rsidRPr="00BF6B9C">
        <w:rPr>
          <w:rFonts w:ascii="Bookman Old Style" w:hAnsi="Bookman Old Style" w:cs="Arial"/>
          <w:lang w:val="es-CO" w:eastAsia="x-none"/>
        </w:rPr>
        <w:t>4</w:t>
      </w:r>
    </w:p>
    <w:p w:rsidR="0011341F" w:rsidRPr="00BF6B9C" w:rsidRDefault="0011341F" w:rsidP="00341E8F">
      <w:pPr>
        <w:widowControl w:val="0"/>
        <w:adjustRightInd w:val="0"/>
        <w:ind w:left="0" w:right="20"/>
        <w:jc w:val="both"/>
        <w:rPr>
          <w:rFonts w:ascii="Bookman Old Style" w:hAnsi="Bookman Old Style" w:cs="Arial"/>
          <w:sz w:val="32"/>
          <w:lang w:val="es-CO" w:eastAsia="x-none"/>
        </w:rPr>
      </w:pPr>
    </w:p>
    <w:p w:rsidR="00035D47" w:rsidRPr="00BF6B9C" w:rsidRDefault="00035D47" w:rsidP="00341E8F">
      <w:pPr>
        <w:ind w:left="0"/>
        <w:jc w:val="both"/>
        <w:rPr>
          <w:rFonts w:ascii="Bookman Old Style" w:hAnsi="Bookman Old Style" w:cs="Arial"/>
        </w:rPr>
      </w:pPr>
      <w:r w:rsidRPr="00BF6B9C">
        <w:rPr>
          <w:rFonts w:ascii="Bookman Old Style" w:hAnsi="Bookman Old Style" w:cs="Arial"/>
          <w:b/>
          <w:bCs/>
        </w:rPr>
        <w:t xml:space="preserve">Parágrafo 1. </w:t>
      </w:r>
      <w:r w:rsidRPr="00BF6B9C">
        <w:rPr>
          <w:rFonts w:ascii="Bookman Old Style" w:hAnsi="Bookman Old Style" w:cs="Arial"/>
        </w:rPr>
        <w:t xml:space="preserve"> Para el cálculo de las tarifas que se cobren a los usuarios </w:t>
      </w:r>
      <w:r w:rsidR="00FE3B4D" w:rsidRPr="00BF6B9C">
        <w:rPr>
          <w:rFonts w:ascii="Bookman Old Style" w:hAnsi="Bookman Old Style" w:cs="Arial"/>
        </w:rPr>
        <w:t>y que incluyen</w:t>
      </w:r>
      <w:r w:rsidRPr="00BF6B9C">
        <w:rPr>
          <w:rFonts w:ascii="Bookman Old Style" w:hAnsi="Bookman Old Style" w:cs="Arial"/>
        </w:rPr>
        <w:t xml:space="preserve"> los cargos aprobados en la presente Resolución, se tendrá en cuenta lo establecido en el numeral 87.9 del artículo 87 de la Ley 142 de 1994, modificado por el artículo 99 de la Ley 1450 de 2011, o aquella que la modifique, aclare o sustituya.</w:t>
      </w:r>
    </w:p>
    <w:p w:rsidR="00035D47" w:rsidRPr="00BF6B9C" w:rsidRDefault="00035D47" w:rsidP="00341E8F">
      <w:pPr>
        <w:ind w:left="0"/>
        <w:jc w:val="both"/>
        <w:rPr>
          <w:rFonts w:ascii="Bookman Old Style" w:hAnsi="Bookman Old Style" w:cs="Arial"/>
        </w:rPr>
      </w:pPr>
    </w:p>
    <w:p w:rsidR="00035D47" w:rsidRDefault="00035D47" w:rsidP="00341E8F">
      <w:pPr>
        <w:ind w:left="0"/>
        <w:jc w:val="both"/>
        <w:rPr>
          <w:rFonts w:ascii="Bookman Old Style" w:hAnsi="Bookman Old Style"/>
        </w:rPr>
      </w:pPr>
      <w:r w:rsidRPr="00BF6B9C">
        <w:rPr>
          <w:rFonts w:ascii="Bookman Old Style" w:hAnsi="Bookman Old Style" w:cs="Arial"/>
          <w:b/>
          <w:bCs/>
        </w:rPr>
        <w:t>Parágrafo 2</w:t>
      </w:r>
      <w:r w:rsidRPr="00BF6B9C">
        <w:rPr>
          <w:rFonts w:ascii="Bookman Old Style" w:hAnsi="Bookman Old Style" w:cs="Arial"/>
        </w:rPr>
        <w:t xml:space="preserve">. </w:t>
      </w:r>
      <w:r w:rsidR="00016C18" w:rsidRPr="00BF6B9C">
        <w:rPr>
          <w:rFonts w:ascii="Bookman Old Style" w:hAnsi="Bookman Old Style" w:cs="Arial"/>
        </w:rPr>
        <w:t xml:space="preserve">Conforme a lo definido en el numeral 6.7 del </w:t>
      </w:r>
      <w:r w:rsidR="003C3004" w:rsidRPr="00BF6B9C">
        <w:rPr>
          <w:rFonts w:ascii="Bookman Old Style" w:hAnsi="Bookman Old Style" w:cs="Arial"/>
        </w:rPr>
        <w:t>Artículo</w:t>
      </w:r>
      <w:r w:rsidR="00016C18" w:rsidRPr="00BF6B9C">
        <w:rPr>
          <w:rFonts w:ascii="Bookman Old Style" w:hAnsi="Bookman Old Style" w:cs="Arial"/>
        </w:rPr>
        <w:t xml:space="preserve"> 6 de la Resolución CREG 202 de 2013 y aquellas que la adicionan y modifican, e</w:t>
      </w:r>
      <w:r w:rsidRPr="00BF6B9C">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BF6B9C" w:rsidRPr="00BF6B9C" w:rsidRDefault="00BF6B9C" w:rsidP="00341E8F">
      <w:pPr>
        <w:ind w:left="0"/>
        <w:jc w:val="both"/>
        <w:rPr>
          <w:rFonts w:ascii="Bookman Old Style" w:hAnsi="Bookman Old Style"/>
        </w:rPr>
      </w:pPr>
    </w:p>
    <w:p w:rsidR="00035D47" w:rsidRPr="00BF6B9C" w:rsidRDefault="00035D47" w:rsidP="00341E8F">
      <w:pPr>
        <w:widowControl w:val="0"/>
        <w:adjustRightInd w:val="0"/>
        <w:ind w:left="0"/>
        <w:jc w:val="both"/>
        <w:rPr>
          <w:rFonts w:ascii="Bookman Old Style" w:hAnsi="Bookman Old Style" w:cs="Arial"/>
        </w:rPr>
      </w:pPr>
    </w:p>
    <w:p w:rsidR="00BF6B9C" w:rsidRDefault="00BF6B9C" w:rsidP="00341E8F">
      <w:pPr>
        <w:widowControl w:val="0"/>
        <w:adjustRightInd w:val="0"/>
        <w:ind w:left="0" w:right="20"/>
        <w:jc w:val="both"/>
        <w:rPr>
          <w:rFonts w:ascii="Bookman Old Style" w:hAnsi="Bookman Old Style" w:cs="Arial"/>
          <w:b/>
          <w:bCs/>
        </w:rPr>
      </w:pPr>
    </w:p>
    <w:p w:rsidR="003C3004" w:rsidRPr="00BF6B9C" w:rsidRDefault="00035D47" w:rsidP="00341E8F">
      <w:pPr>
        <w:widowControl w:val="0"/>
        <w:adjustRightInd w:val="0"/>
        <w:ind w:left="0" w:right="20"/>
        <w:jc w:val="both"/>
        <w:rPr>
          <w:rFonts w:ascii="Bookman Old Style" w:hAnsi="Bookman Old Style" w:cs="Arial"/>
        </w:rPr>
      </w:pPr>
      <w:r w:rsidRPr="00BF6B9C">
        <w:rPr>
          <w:rFonts w:ascii="Bookman Old Style" w:hAnsi="Bookman Old Style" w:cs="Arial"/>
          <w:b/>
          <w:bCs/>
        </w:rPr>
        <w:t>Parágrafo 3.</w:t>
      </w:r>
      <w:r w:rsidRPr="00BF6B9C">
        <w:rPr>
          <w:rFonts w:ascii="Bookman Old Style" w:hAnsi="Bookman Old Style" w:cs="Arial"/>
        </w:rPr>
        <w:t xml:space="preserve"> Estos Cargos de Distribución se actualizarán de conformidad con lo establecido en el artículo 12 de la Resolución CREG 202 de 2013</w:t>
      </w:r>
      <w:r w:rsidR="003C3004" w:rsidRPr="00BF6B9C">
        <w:rPr>
          <w:rFonts w:ascii="Bookman Old Style" w:hAnsi="Bookman Old Style" w:cs="Arial"/>
        </w:rPr>
        <w:t xml:space="preserve"> y aquellas que la adicionan y modifican</w:t>
      </w:r>
      <w:r w:rsidR="00F7677E" w:rsidRPr="00BF6B9C">
        <w:rPr>
          <w:rFonts w:ascii="Bookman Old Style" w:hAnsi="Bookman Old Style" w:cs="Arial"/>
        </w:rPr>
        <w:t>.</w:t>
      </w:r>
    </w:p>
    <w:p w:rsidR="00C87369" w:rsidRPr="00BF6B9C" w:rsidRDefault="00C87369" w:rsidP="00341E8F">
      <w:pPr>
        <w:widowControl w:val="0"/>
        <w:adjustRightInd w:val="0"/>
        <w:ind w:left="0" w:right="20"/>
        <w:jc w:val="both"/>
        <w:rPr>
          <w:rFonts w:ascii="Bookman Old Style" w:hAnsi="Bookman Old Style" w:cs="Arial"/>
        </w:rPr>
      </w:pPr>
    </w:p>
    <w:p w:rsidR="00C06B4B" w:rsidRPr="00BF6B9C" w:rsidRDefault="00035D47" w:rsidP="00341E8F">
      <w:pPr>
        <w:keepNext/>
        <w:ind w:left="0"/>
        <w:jc w:val="both"/>
        <w:outlineLvl w:val="0"/>
        <w:rPr>
          <w:rFonts w:ascii="Bookman Old Style" w:hAnsi="Bookman Old Style"/>
          <w:bCs/>
        </w:rPr>
      </w:pPr>
      <w:r w:rsidRPr="00BF6B9C">
        <w:rPr>
          <w:rFonts w:ascii="Bookman Old Style" w:hAnsi="Bookman Old Style" w:cs="Arial"/>
          <w:b/>
        </w:rPr>
        <w:t xml:space="preserve">ARTÍCULO </w:t>
      </w:r>
      <w:r w:rsidR="00C06B4B" w:rsidRPr="00BF6B9C">
        <w:rPr>
          <w:rFonts w:ascii="Bookman Old Style" w:hAnsi="Bookman Old Style" w:cs="Arial"/>
          <w:b/>
        </w:rPr>
        <w:t>7</w:t>
      </w:r>
      <w:r w:rsidRPr="00BF6B9C">
        <w:rPr>
          <w:rFonts w:ascii="Bookman Old Style" w:hAnsi="Bookman Old Style" w:cs="Arial"/>
          <w:b/>
        </w:rPr>
        <w:t>. Vigencia de</w:t>
      </w:r>
      <w:r w:rsidR="000929BA" w:rsidRPr="00BF6B9C">
        <w:rPr>
          <w:rFonts w:ascii="Bookman Old Style" w:hAnsi="Bookman Old Style" w:cs="Arial"/>
          <w:b/>
        </w:rPr>
        <w:t xml:space="preserve"> los</w:t>
      </w:r>
      <w:r w:rsidRPr="00BF6B9C">
        <w:rPr>
          <w:rFonts w:ascii="Bookman Old Style" w:hAnsi="Bookman Old Style" w:cs="Arial"/>
          <w:b/>
        </w:rPr>
        <w:t xml:space="preserve"> Cargo</w:t>
      </w:r>
      <w:r w:rsidR="000929BA" w:rsidRPr="00BF6B9C">
        <w:rPr>
          <w:rFonts w:ascii="Bookman Old Style" w:hAnsi="Bookman Old Style" w:cs="Arial"/>
          <w:b/>
        </w:rPr>
        <w:t>s</w:t>
      </w:r>
      <w:r w:rsidRPr="00BF6B9C">
        <w:rPr>
          <w:rFonts w:ascii="Bookman Old Style" w:hAnsi="Bookman Old Style" w:cs="Arial"/>
          <w:b/>
        </w:rPr>
        <w:t xml:space="preserve"> de </w:t>
      </w:r>
      <w:r w:rsidR="00FE3B4D" w:rsidRPr="00BF6B9C">
        <w:rPr>
          <w:rFonts w:ascii="Bookman Old Style" w:hAnsi="Bookman Old Style" w:cs="Arial"/>
          <w:b/>
        </w:rPr>
        <w:t>D</w:t>
      </w:r>
      <w:r w:rsidRPr="00BF6B9C">
        <w:rPr>
          <w:rFonts w:ascii="Bookman Old Style" w:hAnsi="Bookman Old Style" w:cs="Arial"/>
          <w:b/>
        </w:rPr>
        <w:t>istribución aplicable</w:t>
      </w:r>
      <w:r w:rsidR="00FE3B4D" w:rsidRPr="00BF6B9C">
        <w:rPr>
          <w:rFonts w:ascii="Bookman Old Style" w:hAnsi="Bookman Old Style" w:cs="Arial"/>
          <w:b/>
        </w:rPr>
        <w:t>s</w:t>
      </w:r>
      <w:r w:rsidRPr="00BF6B9C">
        <w:rPr>
          <w:rFonts w:ascii="Bookman Old Style" w:hAnsi="Bookman Old Style" w:cs="Arial"/>
          <w:b/>
        </w:rPr>
        <w:t xml:space="preserve"> a los usuarios de Uso Residencial y </w:t>
      </w:r>
      <w:r w:rsidR="00FE3B4D" w:rsidRPr="00BF6B9C">
        <w:rPr>
          <w:rFonts w:ascii="Bookman Old Style" w:hAnsi="Bookman Old Style" w:cs="Arial"/>
          <w:b/>
        </w:rPr>
        <w:t xml:space="preserve">a </w:t>
      </w:r>
      <w:r w:rsidRPr="00BF6B9C">
        <w:rPr>
          <w:rFonts w:ascii="Bookman Old Style" w:hAnsi="Bookman Old Style" w:cs="Arial"/>
          <w:b/>
        </w:rPr>
        <w:t xml:space="preserve">usuarios diferentes a los de uso residencial. </w:t>
      </w:r>
      <w:r w:rsidR="00FE3B4D" w:rsidRPr="00BF6B9C">
        <w:rPr>
          <w:rFonts w:ascii="Bookman Old Style" w:hAnsi="Bookman Old Style" w:cs="Arial"/>
        </w:rPr>
        <w:t>Los</w:t>
      </w:r>
      <w:r w:rsidRPr="00BF6B9C">
        <w:rPr>
          <w:rFonts w:ascii="Bookman Old Style" w:hAnsi="Bookman Old Style" w:cs="Arial"/>
        </w:rPr>
        <w:t xml:space="preserve"> Cargo</w:t>
      </w:r>
      <w:r w:rsidR="00FE3B4D" w:rsidRPr="00BF6B9C">
        <w:rPr>
          <w:rFonts w:ascii="Bookman Old Style" w:hAnsi="Bookman Old Style" w:cs="Arial"/>
        </w:rPr>
        <w:t>s</w:t>
      </w:r>
      <w:r w:rsidRPr="00BF6B9C">
        <w:rPr>
          <w:rFonts w:ascii="Bookman Old Style" w:hAnsi="Bookman Old Style" w:cs="Arial"/>
        </w:rPr>
        <w:t xml:space="preserve"> de </w:t>
      </w:r>
      <w:r w:rsidR="00FE3B4D" w:rsidRPr="00BF6B9C">
        <w:rPr>
          <w:rFonts w:ascii="Bookman Old Style" w:hAnsi="Bookman Old Style" w:cs="Arial"/>
        </w:rPr>
        <w:t>D</w:t>
      </w:r>
      <w:r w:rsidRPr="00BF6B9C">
        <w:rPr>
          <w:rFonts w:ascii="Bookman Old Style" w:hAnsi="Bookman Old Style" w:cs="Arial"/>
        </w:rPr>
        <w:t>istribución aplicable</w:t>
      </w:r>
      <w:r w:rsidR="00FE3B4D" w:rsidRPr="00BF6B9C">
        <w:rPr>
          <w:rFonts w:ascii="Bookman Old Style" w:hAnsi="Bookman Old Style" w:cs="Arial"/>
        </w:rPr>
        <w:t>s</w:t>
      </w:r>
      <w:r w:rsidRPr="00BF6B9C">
        <w:rPr>
          <w:rFonts w:ascii="Bookman Old Style" w:hAnsi="Bookman Old Style" w:cs="Arial"/>
        </w:rPr>
        <w:t xml:space="preserve"> a los usuarios de uso residencial y a los usuarios diferentes a los de uso residencial </w:t>
      </w:r>
      <w:r w:rsidR="00C06B4B" w:rsidRPr="00BF6B9C">
        <w:rPr>
          <w:rFonts w:ascii="Bookman Old Style" w:hAnsi="Bookman Old Style"/>
          <w:bCs/>
        </w:rPr>
        <w:t xml:space="preserve">estarán vigentes desde la fecha en que quede en firme la presente resolución y hasta </w:t>
      </w:r>
      <w:r w:rsidR="001954E9" w:rsidRPr="00BF6B9C">
        <w:rPr>
          <w:rFonts w:ascii="Bookman Old Style" w:hAnsi="Bookman Old Style"/>
          <w:bCs/>
        </w:rPr>
        <w:t xml:space="preserve">tanto se definan los </w:t>
      </w:r>
      <w:r w:rsidR="00601622" w:rsidRPr="00BF6B9C">
        <w:rPr>
          <w:rFonts w:ascii="Bookman Old Style" w:hAnsi="Bookman Old Style"/>
          <w:bCs/>
        </w:rPr>
        <w:t>cargos definitivos para un periodo de cinco años, calculados con los parámetros de AOM y Otros Activos que definirá la Comisión mediante solución de carácter general.</w:t>
      </w:r>
    </w:p>
    <w:p w:rsidR="00C06B4B" w:rsidRPr="00BF6B9C" w:rsidRDefault="00C06B4B" w:rsidP="00341E8F">
      <w:pPr>
        <w:ind w:left="0"/>
        <w:jc w:val="both"/>
        <w:rPr>
          <w:rFonts w:ascii="Bookman Old Style" w:hAnsi="Bookman Old Style" w:cs="Arial"/>
          <w:b/>
          <w:bCs/>
        </w:rPr>
      </w:pPr>
    </w:p>
    <w:p w:rsidR="00035D47" w:rsidRPr="00BF6B9C" w:rsidRDefault="00035D47" w:rsidP="00341E8F">
      <w:pPr>
        <w:ind w:left="0"/>
        <w:jc w:val="both"/>
        <w:rPr>
          <w:rFonts w:ascii="Bookman Old Style" w:hAnsi="Bookman Old Style"/>
        </w:rPr>
      </w:pPr>
      <w:r w:rsidRPr="00BF6B9C">
        <w:rPr>
          <w:rFonts w:ascii="Bookman Old Style" w:hAnsi="Bookman Old Style" w:cs="Arial"/>
          <w:b/>
          <w:bCs/>
        </w:rPr>
        <w:t>Parágrafo.</w:t>
      </w:r>
      <w:r w:rsidRPr="00BF6B9C">
        <w:rPr>
          <w:rFonts w:ascii="Bookman Old Style" w:hAnsi="Bookman Old Style" w:cs="Arial"/>
        </w:rPr>
        <w:t xml:space="preserve"> </w:t>
      </w:r>
      <w:r w:rsidR="003C3004" w:rsidRPr="00BF6B9C">
        <w:rPr>
          <w:rFonts w:ascii="Bookman Old Style" w:hAnsi="Bookman Old Style" w:cs="Arial"/>
        </w:rPr>
        <w:t>De acuerdo con lo dispuesto en el parágrafo del Artículo 7 de la Resolución CREG 202 de 2013 y sus modificaciones y adiciones, s</w:t>
      </w:r>
      <w:r w:rsidRPr="00BF6B9C">
        <w:rPr>
          <w:rFonts w:ascii="Bookman Old Style" w:hAnsi="Bookman Old Style"/>
        </w:rPr>
        <w:t xml:space="preserve">i transcurridos doce (12) meses desde que haya quedado en firme la presente Resolución, el Distribuidor no ha iniciado la construcción del respectivo Sistema de Distribución, los cargos aquí aprobados </w:t>
      </w:r>
      <w:r w:rsidR="003C3004" w:rsidRPr="00BF6B9C">
        <w:rPr>
          <w:rFonts w:ascii="Bookman Old Style" w:hAnsi="Bookman Old Style"/>
        </w:rPr>
        <w:t>así como la totalidad de</w:t>
      </w:r>
      <w:r w:rsidR="00605582" w:rsidRPr="00BF6B9C">
        <w:rPr>
          <w:rFonts w:ascii="Bookman Old Style" w:hAnsi="Bookman Old Style"/>
        </w:rPr>
        <w:t xml:space="preserve"> </w:t>
      </w:r>
      <w:r w:rsidR="003C3004" w:rsidRPr="00BF6B9C">
        <w:rPr>
          <w:rFonts w:ascii="Bookman Old Style" w:hAnsi="Bookman Old Style"/>
        </w:rPr>
        <w:t xml:space="preserve">lo dispuesto en esta resolución </w:t>
      </w:r>
      <w:r w:rsidRPr="00BF6B9C">
        <w:rPr>
          <w:rFonts w:ascii="Bookman Old Style" w:hAnsi="Bookman Old Style"/>
        </w:rPr>
        <w:t>perderán su vigencia.</w:t>
      </w:r>
      <w:r w:rsidR="00FE3B4D" w:rsidRPr="00BF6B9C">
        <w:rPr>
          <w:rFonts w:ascii="Bookman Old Style" w:hAnsi="Bookman Old Style"/>
        </w:rPr>
        <w:t xml:space="preserve"> </w:t>
      </w:r>
    </w:p>
    <w:p w:rsidR="00035D47" w:rsidRPr="00BF6B9C" w:rsidRDefault="00035D47" w:rsidP="00341E8F">
      <w:pPr>
        <w:ind w:left="0"/>
        <w:jc w:val="both"/>
        <w:rPr>
          <w:rFonts w:ascii="Bookman Old Style" w:hAnsi="Bookman Old Style"/>
        </w:rPr>
      </w:pPr>
    </w:p>
    <w:p w:rsidR="00035D47" w:rsidRPr="00BF6B9C" w:rsidRDefault="00035D47" w:rsidP="00341E8F">
      <w:pPr>
        <w:ind w:left="0"/>
        <w:jc w:val="both"/>
        <w:rPr>
          <w:rFonts w:ascii="Bookman Old Style" w:hAnsi="Bookman Old Style"/>
        </w:rPr>
      </w:pPr>
      <w:r w:rsidRPr="00BF6B9C">
        <w:rPr>
          <w:rFonts w:ascii="Bookman Old Style" w:hAnsi="Bookman Old Style"/>
        </w:rPr>
        <w:t>Se entenderá que el Distribuidor no ha iniciado la construcción del respectivo Sistema de Distribución s</w:t>
      </w:r>
      <w:r w:rsidR="00605582" w:rsidRPr="00BF6B9C">
        <w:rPr>
          <w:rFonts w:ascii="Bookman Old Style" w:hAnsi="Bookman Old Style"/>
        </w:rPr>
        <w:t>i</w:t>
      </w:r>
      <w:r w:rsidRPr="00BF6B9C">
        <w:rPr>
          <w:rFonts w:ascii="Bookman Old Style" w:hAnsi="Bookman Old Style"/>
        </w:rPr>
        <w:t xml:space="preserve"> doce (12) meses después de que haya quedado en firme los cargos aprobados en la presente resolución, no ha ejecutado al menos un 50% las inversiones propuestas para el primer año de inversión.</w:t>
      </w:r>
    </w:p>
    <w:p w:rsidR="00035D47" w:rsidRPr="00BF6B9C" w:rsidRDefault="00035D47" w:rsidP="00341E8F">
      <w:pPr>
        <w:widowControl w:val="0"/>
        <w:adjustRightInd w:val="0"/>
        <w:ind w:left="0" w:right="20"/>
        <w:jc w:val="both"/>
        <w:rPr>
          <w:rFonts w:ascii="Bookman Old Style" w:hAnsi="Bookman Old Style" w:cs="Arial"/>
          <w:sz w:val="36"/>
        </w:rPr>
      </w:pPr>
    </w:p>
    <w:p w:rsidR="00035D47" w:rsidRPr="00BF6B9C" w:rsidRDefault="00035D47" w:rsidP="00341E8F">
      <w:pPr>
        <w:ind w:left="0"/>
        <w:jc w:val="center"/>
        <w:rPr>
          <w:rFonts w:ascii="Bookman Old Style" w:hAnsi="Bookman Old Style" w:cs="Arial"/>
          <w:b/>
          <w:spacing w:val="80"/>
        </w:rPr>
      </w:pPr>
      <w:r w:rsidRPr="00BF6B9C">
        <w:rPr>
          <w:rFonts w:ascii="Bookman Old Style" w:hAnsi="Bookman Old Style" w:cs="Arial"/>
          <w:b/>
          <w:spacing w:val="80"/>
        </w:rPr>
        <w:t>CAPÍTULOII.</w:t>
      </w:r>
    </w:p>
    <w:p w:rsidR="00035D47" w:rsidRPr="00BF6B9C" w:rsidRDefault="00035D47" w:rsidP="00341E8F">
      <w:pPr>
        <w:ind w:left="0"/>
        <w:jc w:val="center"/>
        <w:rPr>
          <w:rFonts w:ascii="Bookman Old Style" w:hAnsi="Bookman Old Style" w:cs="Arial"/>
          <w:b/>
          <w:spacing w:val="80"/>
        </w:rPr>
      </w:pPr>
    </w:p>
    <w:p w:rsidR="00327FC7" w:rsidRPr="00BF6B9C" w:rsidRDefault="00327FC7" w:rsidP="00341E8F">
      <w:pPr>
        <w:ind w:left="0"/>
        <w:jc w:val="center"/>
        <w:rPr>
          <w:rFonts w:ascii="Bookman Old Style" w:hAnsi="Bookman Old Style" w:cs="Arial"/>
          <w:b/>
          <w:spacing w:val="80"/>
        </w:rPr>
      </w:pPr>
      <w:r w:rsidRPr="00BF6B9C">
        <w:rPr>
          <w:rFonts w:ascii="Bookman Old Style" w:hAnsi="Bookman Old Style" w:cs="Arial"/>
          <w:b/>
          <w:spacing w:val="80"/>
        </w:rPr>
        <w:t xml:space="preserve"> FÓRMULA TARIFARIA</w:t>
      </w:r>
    </w:p>
    <w:p w:rsidR="00327FC7" w:rsidRPr="00BF6B9C" w:rsidRDefault="00327FC7" w:rsidP="00341E8F">
      <w:pPr>
        <w:widowControl w:val="0"/>
        <w:adjustRightInd w:val="0"/>
        <w:ind w:left="0" w:right="20"/>
        <w:jc w:val="both"/>
        <w:rPr>
          <w:rFonts w:ascii="Bookman Old Style" w:hAnsi="Bookman Old Style" w:cs="Arial"/>
          <w:b/>
          <w:sz w:val="36"/>
        </w:rPr>
      </w:pPr>
    </w:p>
    <w:p w:rsidR="00273C2C" w:rsidRPr="00BF6B9C" w:rsidRDefault="00273C2C" w:rsidP="00341E8F">
      <w:pPr>
        <w:widowControl w:val="0"/>
        <w:adjustRightInd w:val="0"/>
        <w:ind w:left="0" w:right="20"/>
        <w:jc w:val="both"/>
        <w:rPr>
          <w:rFonts w:ascii="Bookman Old Style" w:hAnsi="Bookman Old Style" w:cs="Arial"/>
        </w:rPr>
      </w:pPr>
      <w:r w:rsidRPr="00BF6B9C">
        <w:rPr>
          <w:rFonts w:ascii="Bookman Old Style" w:hAnsi="Bookman Old Style" w:cs="Arial"/>
          <w:b/>
        </w:rPr>
        <w:t xml:space="preserve">ARTÍCULO </w:t>
      </w:r>
      <w:r w:rsidR="00A766E2" w:rsidRPr="00BF6B9C">
        <w:rPr>
          <w:rFonts w:ascii="Bookman Old Style" w:hAnsi="Bookman Old Style" w:cs="Arial"/>
          <w:b/>
        </w:rPr>
        <w:t>8</w:t>
      </w:r>
      <w:r w:rsidRPr="00BF6B9C">
        <w:rPr>
          <w:rFonts w:ascii="Bookman Old Style" w:hAnsi="Bookman Old Style" w:cs="Arial"/>
          <w:b/>
        </w:rPr>
        <w:t>. Fórmula Tarifaria</w:t>
      </w:r>
      <w:r w:rsidRPr="00BF6B9C">
        <w:rPr>
          <w:rFonts w:ascii="Bookman Old Style" w:hAnsi="Bookman Old Style" w:cs="Arial"/>
          <w:b/>
          <w:bCs/>
        </w:rPr>
        <w:t>.</w:t>
      </w:r>
      <w:r w:rsidRPr="00BF6B9C">
        <w:rPr>
          <w:rFonts w:ascii="Bookman Old Style" w:hAnsi="Bookman Old Style" w:cs="Arial"/>
        </w:rPr>
        <w:t xml:space="preserve"> La Fórmula Tarifaria aplicable al mercado relevante definido en el </w:t>
      </w:r>
      <w:r w:rsidR="00956A84" w:rsidRPr="00BF6B9C">
        <w:rPr>
          <w:rFonts w:ascii="Bookman Old Style" w:hAnsi="Bookman Old Style" w:cs="Arial"/>
        </w:rPr>
        <w:t>a</w:t>
      </w:r>
      <w:r w:rsidRPr="00BF6B9C">
        <w:rPr>
          <w:rFonts w:ascii="Bookman Old Style" w:hAnsi="Bookman Old Style" w:cs="Arial"/>
        </w:rPr>
        <w:t>rtículo 1 de la presente Resolución corresponderá a la establecida en el</w:t>
      </w:r>
      <w:r w:rsidR="00956A84" w:rsidRPr="00BF6B9C">
        <w:rPr>
          <w:rFonts w:ascii="Bookman Old Style" w:hAnsi="Bookman Old Style" w:cs="Arial"/>
        </w:rPr>
        <w:t xml:space="preserve"> artículo 4 </w:t>
      </w:r>
      <w:r w:rsidRPr="00BF6B9C">
        <w:rPr>
          <w:rFonts w:ascii="Bookman Old Style" w:hAnsi="Bookman Old Style" w:cs="Arial"/>
        </w:rPr>
        <w:t>de la Resolución CREG 137 de 2013.</w:t>
      </w:r>
    </w:p>
    <w:p w:rsidR="00273C2C" w:rsidRPr="00BF6B9C" w:rsidRDefault="00273C2C" w:rsidP="00341E8F">
      <w:pPr>
        <w:widowControl w:val="0"/>
        <w:adjustRightInd w:val="0"/>
        <w:ind w:left="0" w:right="20"/>
        <w:jc w:val="both"/>
        <w:rPr>
          <w:rFonts w:ascii="Bookman Old Style" w:hAnsi="Bookman Old Style" w:cs="Arial"/>
          <w:b/>
        </w:rPr>
      </w:pPr>
    </w:p>
    <w:p w:rsidR="00327FC7" w:rsidRPr="00BF6B9C" w:rsidRDefault="00327FC7" w:rsidP="00341E8F">
      <w:pPr>
        <w:widowControl w:val="0"/>
        <w:adjustRightInd w:val="0"/>
        <w:ind w:left="0" w:right="20"/>
        <w:jc w:val="both"/>
        <w:rPr>
          <w:rFonts w:ascii="Bookman Old Style" w:hAnsi="Bookman Old Style" w:cs="Arial"/>
        </w:rPr>
      </w:pPr>
      <w:r w:rsidRPr="00BF6B9C">
        <w:rPr>
          <w:rFonts w:ascii="Bookman Old Style" w:hAnsi="Bookman Old Style" w:cs="Arial"/>
          <w:b/>
        </w:rPr>
        <w:t xml:space="preserve">ARTÍCULO </w:t>
      </w:r>
      <w:r w:rsidR="00A766E2" w:rsidRPr="00BF6B9C">
        <w:rPr>
          <w:rFonts w:ascii="Bookman Old Style" w:hAnsi="Bookman Old Style" w:cs="Arial"/>
          <w:b/>
        </w:rPr>
        <w:t>9</w:t>
      </w:r>
      <w:r w:rsidRPr="00BF6B9C">
        <w:rPr>
          <w:rFonts w:ascii="Bookman Old Style" w:hAnsi="Bookman Old Style" w:cs="Arial"/>
          <w:b/>
        </w:rPr>
        <w:t xml:space="preserve">. Vigencia de la Fórmula Tarifaria. </w:t>
      </w:r>
      <w:r w:rsidRPr="00BF6B9C">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31004" w:rsidRPr="00BF6B9C">
        <w:rPr>
          <w:rFonts w:ascii="Bookman Old Style" w:hAnsi="Bookman Old Style" w:cs="Arial"/>
        </w:rPr>
        <w:t xml:space="preserve"> </w:t>
      </w:r>
      <w:r w:rsidRPr="00BF6B9C">
        <w:rPr>
          <w:rFonts w:ascii="Bookman Old Style" w:hAnsi="Bookman Old Style" w:cs="Arial"/>
        </w:rPr>
        <w:t>137 de 2013. Vencido este período las fórmulas tarifarias continuarán rigiendo mientras la Comisión no fije las nuevas, tal como está previsto en el Artículo 126 de la Ley 142 de 1994.</w:t>
      </w:r>
    </w:p>
    <w:p w:rsidR="00AB2497" w:rsidRPr="00BF6B9C" w:rsidRDefault="00AB2497" w:rsidP="00341E8F">
      <w:pPr>
        <w:widowControl w:val="0"/>
        <w:adjustRightInd w:val="0"/>
        <w:ind w:left="0" w:right="20"/>
        <w:jc w:val="both"/>
        <w:rPr>
          <w:rFonts w:ascii="Bookman Old Style" w:hAnsi="Bookman Old Style" w:cs="Arial"/>
          <w:b/>
          <w:sz w:val="40"/>
        </w:rPr>
      </w:pPr>
    </w:p>
    <w:p w:rsidR="00327FC7" w:rsidRPr="00BF6B9C" w:rsidRDefault="00327FC7" w:rsidP="00341E8F">
      <w:pPr>
        <w:ind w:left="0"/>
        <w:jc w:val="center"/>
        <w:rPr>
          <w:rFonts w:ascii="Bookman Old Style" w:hAnsi="Bookman Old Style" w:cs="Arial"/>
          <w:b/>
          <w:spacing w:val="80"/>
        </w:rPr>
      </w:pPr>
      <w:r w:rsidRPr="00BF6B9C">
        <w:rPr>
          <w:rFonts w:ascii="Bookman Old Style" w:hAnsi="Bookman Old Style" w:cs="Arial"/>
          <w:b/>
          <w:spacing w:val="80"/>
        </w:rPr>
        <w:t>CAPÍTULOI</w:t>
      </w:r>
      <w:r w:rsidR="00A766E2" w:rsidRPr="00BF6B9C">
        <w:rPr>
          <w:rFonts w:ascii="Bookman Old Style" w:hAnsi="Bookman Old Style" w:cs="Arial"/>
          <w:b/>
          <w:spacing w:val="80"/>
        </w:rPr>
        <w:t>II</w:t>
      </w:r>
      <w:r w:rsidRPr="00BF6B9C">
        <w:rPr>
          <w:rFonts w:ascii="Bookman Old Style" w:hAnsi="Bookman Old Style" w:cs="Arial"/>
          <w:b/>
          <w:spacing w:val="80"/>
        </w:rPr>
        <w:t>.</w:t>
      </w:r>
    </w:p>
    <w:p w:rsidR="00327FC7" w:rsidRPr="00BF6B9C" w:rsidRDefault="00327FC7" w:rsidP="00341E8F">
      <w:pPr>
        <w:ind w:left="0"/>
        <w:jc w:val="center"/>
        <w:rPr>
          <w:rFonts w:ascii="Bookman Old Style" w:hAnsi="Bookman Old Style" w:cs="Arial"/>
          <w:b/>
          <w:spacing w:val="80"/>
        </w:rPr>
      </w:pPr>
    </w:p>
    <w:p w:rsidR="00327FC7" w:rsidRPr="00BF6B9C" w:rsidRDefault="00327FC7" w:rsidP="00341E8F">
      <w:pPr>
        <w:ind w:left="0"/>
        <w:jc w:val="center"/>
        <w:rPr>
          <w:rFonts w:ascii="Bookman Old Style" w:hAnsi="Bookman Old Style" w:cs="Arial"/>
          <w:b/>
          <w:spacing w:val="80"/>
        </w:rPr>
      </w:pPr>
      <w:r w:rsidRPr="00BF6B9C">
        <w:rPr>
          <w:rFonts w:ascii="Bookman Old Style" w:hAnsi="Bookman Old Style" w:cs="Arial"/>
          <w:b/>
          <w:spacing w:val="80"/>
        </w:rPr>
        <w:t xml:space="preserve"> OTRAS DISPOSICIONES</w:t>
      </w:r>
    </w:p>
    <w:p w:rsidR="00327FC7" w:rsidRPr="00BF6B9C" w:rsidRDefault="00327FC7" w:rsidP="00341E8F">
      <w:pPr>
        <w:widowControl w:val="0"/>
        <w:adjustRightInd w:val="0"/>
        <w:ind w:left="0" w:right="20"/>
        <w:jc w:val="both"/>
        <w:rPr>
          <w:rFonts w:ascii="Bookman Old Style" w:hAnsi="Bookman Old Style" w:cs="Arial"/>
          <w:b/>
        </w:rPr>
      </w:pPr>
    </w:p>
    <w:p w:rsidR="00273C2C" w:rsidRPr="00BF6B9C" w:rsidRDefault="00273C2C" w:rsidP="00341E8F">
      <w:pPr>
        <w:widowControl w:val="0"/>
        <w:adjustRightInd w:val="0"/>
        <w:ind w:left="0" w:right="20"/>
        <w:jc w:val="both"/>
        <w:rPr>
          <w:rFonts w:ascii="Bookman Old Style" w:hAnsi="Bookman Old Style" w:cs="Arial"/>
          <w:spacing w:val="-4"/>
        </w:rPr>
      </w:pPr>
      <w:r w:rsidRPr="00BF6B9C">
        <w:rPr>
          <w:rFonts w:ascii="Bookman Old Style" w:hAnsi="Bookman Old Style" w:cs="Arial"/>
          <w:b/>
        </w:rPr>
        <w:t xml:space="preserve">ARTÍCULO </w:t>
      </w:r>
      <w:r w:rsidR="00726C0C" w:rsidRPr="00BF6B9C">
        <w:rPr>
          <w:rFonts w:ascii="Bookman Old Style" w:hAnsi="Bookman Old Style" w:cs="Arial"/>
          <w:b/>
        </w:rPr>
        <w:t>1</w:t>
      </w:r>
      <w:r w:rsidR="00A766E2" w:rsidRPr="00BF6B9C">
        <w:rPr>
          <w:rFonts w:ascii="Bookman Old Style" w:hAnsi="Bookman Old Style" w:cs="Arial"/>
          <w:b/>
        </w:rPr>
        <w:t>0</w:t>
      </w:r>
      <w:r w:rsidRPr="00BF6B9C">
        <w:rPr>
          <w:rFonts w:ascii="Bookman Old Style" w:hAnsi="Bookman Old Style" w:cs="Arial"/>
          <w:b/>
          <w:spacing w:val="-4"/>
        </w:rPr>
        <w:t>.</w:t>
      </w:r>
      <w:r w:rsidRPr="00BF6B9C">
        <w:rPr>
          <w:rFonts w:ascii="Bookman Old Style" w:hAnsi="Bookman Old Style" w:cs="Arial"/>
          <w:spacing w:val="-4"/>
        </w:rPr>
        <w:t xml:space="preserve"> La presente Resolución deberá notificarse al representante legal de </w:t>
      </w:r>
      <w:r w:rsidR="00956A84" w:rsidRPr="00BF6B9C">
        <w:rPr>
          <w:rFonts w:ascii="Bookman Old Style" w:hAnsi="Bookman Old Style" w:cs="Arial"/>
          <w:spacing w:val="-4"/>
        </w:rPr>
        <w:t xml:space="preserve">la empresa </w:t>
      </w:r>
      <w:r w:rsidR="006D2B6B" w:rsidRPr="00BF6B9C">
        <w:rPr>
          <w:rFonts w:ascii="Bookman Old Style" w:hAnsi="Bookman Old Style" w:cs="Arial"/>
          <w:lang w:val="es-ES_tradnl"/>
        </w:rPr>
        <w:t>PROMOTORA DE SERVICIOS PÚBLICOS</w:t>
      </w:r>
      <w:r w:rsidRPr="00BF6B9C">
        <w:rPr>
          <w:rFonts w:ascii="Bookman Old Style" w:hAnsi="Bookman Old Style" w:cs="Arial"/>
          <w:spacing w:val="-4"/>
        </w:rPr>
        <w:t xml:space="preserve"> S.A. E.S.P., a</w:t>
      </w:r>
      <w:r w:rsidR="003531F8" w:rsidRPr="00BF6B9C">
        <w:rPr>
          <w:rFonts w:ascii="Bookman Old Style" w:hAnsi="Bookman Old Style" w:cs="Arial"/>
          <w:lang w:val="es-ES_tradnl"/>
        </w:rPr>
        <w:t xml:space="preserve"> LA ALCALDÍA MUNICIPAL DE CÁCHIRA </w:t>
      </w:r>
      <w:r w:rsidRPr="00BF6B9C">
        <w:rPr>
          <w:rFonts w:ascii="Bookman Old Style" w:hAnsi="Bookman Old Style" w:cs="Arial"/>
          <w:spacing w:val="-4"/>
        </w:rPr>
        <w:t xml:space="preserve">y publicarse en el </w:t>
      </w:r>
      <w:r w:rsidRPr="00BF6B9C">
        <w:rPr>
          <w:rFonts w:ascii="Bookman Old Style" w:hAnsi="Bookman Old Style" w:cs="Arial"/>
          <w:i/>
          <w:spacing w:val="-4"/>
        </w:rPr>
        <w:t>Diario Oficial</w:t>
      </w:r>
      <w:r w:rsidRPr="00BF6B9C">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Pr="00BF6B9C" w:rsidRDefault="00273C2C" w:rsidP="00341E8F">
      <w:pPr>
        <w:widowControl w:val="0"/>
        <w:adjustRightInd w:val="0"/>
        <w:ind w:left="0" w:right="20"/>
        <w:jc w:val="center"/>
        <w:rPr>
          <w:rFonts w:ascii="Bookman Old Style" w:hAnsi="Bookman Old Style" w:cs="Arial"/>
          <w:b/>
        </w:rPr>
      </w:pPr>
    </w:p>
    <w:p w:rsidR="00273C2C" w:rsidRPr="00BF6B9C" w:rsidRDefault="00273C2C" w:rsidP="00341E8F">
      <w:pPr>
        <w:widowControl w:val="0"/>
        <w:adjustRightInd w:val="0"/>
        <w:ind w:left="0" w:right="20"/>
        <w:jc w:val="center"/>
        <w:rPr>
          <w:rFonts w:ascii="Bookman Old Style" w:hAnsi="Bookman Old Style" w:cs="Arial"/>
          <w:b/>
        </w:rPr>
      </w:pPr>
    </w:p>
    <w:p w:rsidR="00273C2C" w:rsidRPr="00BF6B9C" w:rsidRDefault="00273C2C" w:rsidP="00341E8F">
      <w:pPr>
        <w:widowControl w:val="0"/>
        <w:adjustRightInd w:val="0"/>
        <w:ind w:left="0" w:right="20"/>
        <w:jc w:val="center"/>
        <w:rPr>
          <w:rFonts w:ascii="Bookman Old Style" w:hAnsi="Bookman Old Style" w:cs="Arial"/>
          <w:b/>
        </w:rPr>
      </w:pPr>
      <w:r w:rsidRPr="00BF6B9C">
        <w:rPr>
          <w:rFonts w:ascii="Bookman Old Style" w:hAnsi="Bookman Old Style" w:cs="Arial"/>
          <w:b/>
        </w:rPr>
        <w:t>NOTIFÍQUESE, PUBLÍQUESE Y CÚMPLASE</w:t>
      </w:r>
    </w:p>
    <w:p w:rsidR="00273C2C" w:rsidRPr="00BF6B9C" w:rsidRDefault="00273C2C" w:rsidP="00341E8F">
      <w:pPr>
        <w:widowControl w:val="0"/>
        <w:adjustRightInd w:val="0"/>
        <w:ind w:left="0" w:right="20"/>
        <w:jc w:val="both"/>
        <w:rPr>
          <w:rFonts w:ascii="Bookman Old Style" w:hAnsi="Bookman Old Style" w:cs="Arial"/>
        </w:rPr>
      </w:pPr>
    </w:p>
    <w:p w:rsidR="00273C2C" w:rsidRPr="00BF6B9C" w:rsidRDefault="00273C2C" w:rsidP="00341E8F">
      <w:pPr>
        <w:widowControl w:val="0"/>
        <w:adjustRightInd w:val="0"/>
        <w:ind w:left="0" w:right="20"/>
        <w:jc w:val="both"/>
        <w:rPr>
          <w:rFonts w:ascii="Bookman Old Style" w:hAnsi="Bookman Old Style" w:cs="Arial"/>
        </w:rPr>
      </w:pPr>
    </w:p>
    <w:p w:rsidR="00273C2C" w:rsidRDefault="00273C2C" w:rsidP="00341E8F">
      <w:pPr>
        <w:widowControl w:val="0"/>
        <w:adjustRightInd w:val="0"/>
        <w:ind w:left="0" w:right="20"/>
        <w:jc w:val="both"/>
        <w:rPr>
          <w:rFonts w:ascii="Bookman Old Style" w:hAnsi="Bookman Old Style" w:cs="Arial"/>
        </w:rPr>
      </w:pPr>
      <w:r w:rsidRPr="00BF6B9C">
        <w:rPr>
          <w:rFonts w:ascii="Bookman Old Style" w:hAnsi="Bookman Old Style" w:cs="Arial"/>
        </w:rPr>
        <w:t xml:space="preserve">Dada en Bogotá, D.C.  </w:t>
      </w:r>
    </w:p>
    <w:p w:rsidR="00BF6B9C" w:rsidRDefault="00BF6B9C" w:rsidP="00341E8F">
      <w:pPr>
        <w:widowControl w:val="0"/>
        <w:adjustRightInd w:val="0"/>
        <w:ind w:left="0" w:right="20"/>
        <w:jc w:val="both"/>
        <w:rPr>
          <w:rFonts w:ascii="Bookman Old Style" w:hAnsi="Bookman Old Style" w:cs="Arial"/>
        </w:rPr>
      </w:pPr>
    </w:p>
    <w:p w:rsidR="00BF6B9C" w:rsidRDefault="00BF6B9C" w:rsidP="00341E8F">
      <w:pPr>
        <w:widowControl w:val="0"/>
        <w:adjustRightInd w:val="0"/>
        <w:ind w:left="0" w:right="20"/>
        <w:jc w:val="both"/>
        <w:rPr>
          <w:rFonts w:ascii="Bookman Old Style" w:hAnsi="Bookman Old Style" w:cs="Arial"/>
        </w:rPr>
      </w:pPr>
    </w:p>
    <w:p w:rsidR="00BF6B9C" w:rsidRDefault="00BF6B9C" w:rsidP="00341E8F">
      <w:pPr>
        <w:widowControl w:val="0"/>
        <w:adjustRightInd w:val="0"/>
        <w:ind w:left="0" w:right="20"/>
        <w:jc w:val="both"/>
        <w:rPr>
          <w:rFonts w:ascii="Bookman Old Style" w:hAnsi="Bookman Old Style" w:cs="Arial"/>
        </w:rPr>
      </w:pPr>
    </w:p>
    <w:p w:rsidR="00BF6B9C" w:rsidRDefault="00BF6B9C" w:rsidP="00341E8F">
      <w:pPr>
        <w:widowControl w:val="0"/>
        <w:adjustRightInd w:val="0"/>
        <w:ind w:left="0" w:right="20"/>
        <w:jc w:val="both"/>
        <w:rPr>
          <w:rFonts w:ascii="Bookman Old Style" w:hAnsi="Bookman Old Style" w:cs="Arial"/>
        </w:rPr>
      </w:pPr>
    </w:p>
    <w:p w:rsidR="00BF6B9C" w:rsidRDefault="00BF6B9C" w:rsidP="00341E8F">
      <w:pPr>
        <w:widowControl w:val="0"/>
        <w:adjustRightInd w:val="0"/>
        <w:ind w:left="0" w:right="20"/>
        <w:jc w:val="both"/>
        <w:rPr>
          <w:rFonts w:ascii="Bookman Old Style" w:hAnsi="Bookman Old Style" w:cs="Arial"/>
        </w:rPr>
      </w:pPr>
    </w:p>
    <w:tbl>
      <w:tblPr>
        <w:tblW w:w="9781" w:type="dxa"/>
        <w:tblLayout w:type="fixed"/>
        <w:tblCellMar>
          <w:left w:w="70" w:type="dxa"/>
          <w:right w:w="70" w:type="dxa"/>
        </w:tblCellMar>
        <w:tblLook w:val="04A0" w:firstRow="1" w:lastRow="0" w:firstColumn="1" w:lastColumn="0" w:noHBand="0" w:noVBand="1"/>
      </w:tblPr>
      <w:tblGrid>
        <w:gridCol w:w="5103"/>
        <w:gridCol w:w="4678"/>
      </w:tblGrid>
      <w:tr w:rsidR="00BF6B9C" w:rsidRPr="00E07CE8" w:rsidTr="00BF6B9C">
        <w:trPr>
          <w:trHeight w:val="302"/>
        </w:trPr>
        <w:tc>
          <w:tcPr>
            <w:tcW w:w="5103" w:type="dxa"/>
          </w:tcPr>
          <w:p w:rsidR="00BF6B9C" w:rsidRPr="00E07CE8" w:rsidRDefault="00BF6B9C" w:rsidP="00971FB5">
            <w:pPr>
              <w:ind w:left="0"/>
              <w:jc w:val="center"/>
              <w:rPr>
                <w:rFonts w:ascii="Bookman Old Style" w:hAnsi="Bookman Old Style" w:cs="Arial"/>
                <w:b/>
                <w:bCs/>
              </w:rPr>
            </w:pPr>
            <w:r w:rsidRPr="00486601">
              <w:rPr>
                <w:rFonts w:ascii="Bookman Old Style" w:hAnsi="Bookman Old Style" w:cs="Arial"/>
                <w:b/>
              </w:rPr>
              <w:t>RUTTY PAOLA ORTIZ JARA</w:t>
            </w:r>
          </w:p>
        </w:tc>
        <w:tc>
          <w:tcPr>
            <w:tcW w:w="4678" w:type="dxa"/>
            <w:hideMark/>
          </w:tcPr>
          <w:p w:rsidR="00BF6B9C" w:rsidRPr="00E07CE8" w:rsidRDefault="00BF6B9C" w:rsidP="00971FB5">
            <w:pPr>
              <w:ind w:left="0"/>
              <w:jc w:val="center"/>
              <w:rPr>
                <w:rFonts w:ascii="Bookman Old Style" w:hAnsi="Bookman Old Style" w:cs="Arial"/>
                <w:b/>
                <w:spacing w:val="-3"/>
                <w:sz w:val="22"/>
                <w:szCs w:val="22"/>
                <w:lang w:val="es-ES_tradnl"/>
              </w:rPr>
            </w:pPr>
            <w:r w:rsidRPr="006F6765">
              <w:rPr>
                <w:rFonts w:ascii="Bookman Old Style" w:hAnsi="Bookman Old Style" w:cs="Arial"/>
                <w:b/>
                <w:bCs/>
              </w:rPr>
              <w:t>GERMÁN CASTRO FERREIRA</w:t>
            </w:r>
          </w:p>
        </w:tc>
      </w:tr>
      <w:tr w:rsidR="00BF6B9C" w:rsidRPr="00E07CE8" w:rsidTr="00BF6B9C">
        <w:trPr>
          <w:trHeight w:val="572"/>
        </w:trPr>
        <w:tc>
          <w:tcPr>
            <w:tcW w:w="5103" w:type="dxa"/>
          </w:tcPr>
          <w:p w:rsidR="00BF6B9C" w:rsidRPr="00E97F33" w:rsidRDefault="00BF6B9C" w:rsidP="00971FB5">
            <w:pPr>
              <w:widowControl w:val="0"/>
              <w:ind w:left="0"/>
              <w:jc w:val="center"/>
              <w:rPr>
                <w:rFonts w:ascii="Bookman Old Style" w:hAnsi="Bookman Old Style" w:cs="Arial"/>
              </w:rPr>
            </w:pPr>
            <w:r>
              <w:rPr>
                <w:rFonts w:ascii="Bookman Old Style" w:hAnsi="Bookman Old Style" w:cs="Arial"/>
              </w:rPr>
              <w:t>Viceministra</w:t>
            </w:r>
            <w:r w:rsidRPr="00E97F33">
              <w:rPr>
                <w:rFonts w:ascii="Bookman Old Style" w:hAnsi="Bookman Old Style" w:cs="Arial"/>
              </w:rPr>
              <w:t xml:space="preserve"> de Energía</w:t>
            </w:r>
          </w:p>
          <w:p w:rsidR="00BF6B9C" w:rsidRPr="00E07CE8" w:rsidRDefault="00BF6B9C" w:rsidP="00971FB5">
            <w:pPr>
              <w:ind w:left="0"/>
              <w:jc w:val="center"/>
              <w:rPr>
                <w:rFonts w:ascii="Bookman Old Style" w:hAnsi="Bookman Old Style" w:cs="Arial"/>
                <w:spacing w:val="-3"/>
              </w:rPr>
            </w:pPr>
            <w:r w:rsidRPr="00E97F33">
              <w:rPr>
                <w:rFonts w:ascii="Bookman Old Style" w:hAnsi="Bookman Old Style" w:cs="Arial"/>
              </w:rPr>
              <w:t>Delegada del Ministro de Minas y Energía Presidente</w:t>
            </w:r>
          </w:p>
        </w:tc>
        <w:tc>
          <w:tcPr>
            <w:tcW w:w="4678" w:type="dxa"/>
            <w:hideMark/>
          </w:tcPr>
          <w:p w:rsidR="00BF6B9C" w:rsidRPr="00E07CE8" w:rsidRDefault="00BF6B9C" w:rsidP="00971FB5">
            <w:pPr>
              <w:ind w:left="0"/>
              <w:jc w:val="center"/>
              <w:rPr>
                <w:rFonts w:ascii="Bookman Old Style" w:hAnsi="Bookman Old Style" w:cs="Arial"/>
                <w:spacing w:val="-3"/>
                <w:lang w:val="es-ES_tradnl"/>
              </w:rPr>
            </w:pPr>
            <w:r w:rsidRPr="00E97F33">
              <w:rPr>
                <w:rFonts w:ascii="Bookman Old Style" w:hAnsi="Bookman Old Style" w:cs="Arial"/>
                <w:bCs/>
              </w:rPr>
              <w:t>Director Ejecutivo</w:t>
            </w:r>
          </w:p>
        </w:tc>
      </w:tr>
    </w:tbl>
    <w:p w:rsidR="00BF6B9C" w:rsidRPr="00BF6B9C" w:rsidRDefault="00BF6B9C" w:rsidP="00341E8F">
      <w:pPr>
        <w:widowControl w:val="0"/>
        <w:adjustRightInd w:val="0"/>
        <w:ind w:left="0" w:right="20"/>
        <w:jc w:val="both"/>
        <w:rPr>
          <w:rFonts w:ascii="Bookman Old Style" w:hAnsi="Bookman Old Style" w:cs="Arial"/>
        </w:rPr>
      </w:pPr>
    </w:p>
    <w:p w:rsidR="00B5065F" w:rsidRDefault="00B5065F"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Default="00BF6B9C" w:rsidP="00414B26">
      <w:pPr>
        <w:widowControl w:val="0"/>
        <w:adjustRightInd w:val="0"/>
        <w:ind w:left="0"/>
        <w:rPr>
          <w:rFonts w:ascii="Bookman Old Style" w:hAnsi="Bookman Old Style" w:cs="Arial"/>
          <w:b/>
          <w:bCs/>
        </w:rPr>
      </w:pPr>
    </w:p>
    <w:p w:rsidR="00BF6B9C" w:rsidRPr="00BF6B9C" w:rsidRDefault="00BF6B9C" w:rsidP="00414B26">
      <w:pPr>
        <w:widowControl w:val="0"/>
        <w:adjustRightInd w:val="0"/>
        <w:ind w:left="0"/>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BF6B9C" w:rsidRDefault="00BF6B9C" w:rsidP="00341E8F">
      <w:pPr>
        <w:widowControl w:val="0"/>
        <w:adjustRightInd w:val="0"/>
        <w:ind w:left="0"/>
        <w:jc w:val="center"/>
        <w:rPr>
          <w:rFonts w:ascii="Bookman Old Style" w:hAnsi="Bookman Old Style" w:cs="Arial"/>
          <w:b/>
          <w:bCs/>
        </w:rPr>
      </w:pPr>
    </w:p>
    <w:p w:rsidR="00273C2C" w:rsidRPr="00BF6B9C" w:rsidRDefault="00273C2C" w:rsidP="00341E8F">
      <w:pPr>
        <w:widowControl w:val="0"/>
        <w:adjustRightInd w:val="0"/>
        <w:ind w:left="0"/>
        <w:jc w:val="center"/>
        <w:rPr>
          <w:rFonts w:ascii="Bookman Old Style" w:hAnsi="Bookman Old Style" w:cs="Arial"/>
          <w:b/>
          <w:bCs/>
        </w:rPr>
      </w:pPr>
      <w:r w:rsidRPr="00BF6B9C">
        <w:rPr>
          <w:rFonts w:ascii="Bookman Old Style" w:hAnsi="Bookman Old Style" w:cs="Arial"/>
          <w:b/>
          <w:bCs/>
        </w:rPr>
        <w:t>ANEXO 1</w:t>
      </w:r>
    </w:p>
    <w:p w:rsidR="00273C2C" w:rsidRPr="00BF6B9C" w:rsidRDefault="00273C2C" w:rsidP="00341E8F">
      <w:pPr>
        <w:keepNext/>
        <w:widowControl w:val="0"/>
        <w:adjustRightInd w:val="0"/>
        <w:ind w:left="0"/>
        <w:jc w:val="center"/>
        <w:outlineLvl w:val="0"/>
        <w:rPr>
          <w:rFonts w:ascii="Bookman Old Style" w:hAnsi="Bookman Old Style"/>
          <w:b/>
          <w:bCs/>
        </w:rPr>
      </w:pPr>
    </w:p>
    <w:p w:rsidR="00273C2C" w:rsidRPr="00BF6B9C" w:rsidRDefault="00273C2C" w:rsidP="00341E8F">
      <w:pPr>
        <w:keepNext/>
        <w:widowControl w:val="0"/>
        <w:adjustRightInd w:val="0"/>
        <w:ind w:left="0"/>
        <w:jc w:val="center"/>
        <w:outlineLvl w:val="0"/>
        <w:rPr>
          <w:rFonts w:ascii="Bookman Old Style" w:hAnsi="Bookman Old Style"/>
          <w:b/>
          <w:bCs/>
        </w:rPr>
      </w:pPr>
      <w:r w:rsidRPr="00BF6B9C">
        <w:rPr>
          <w:rFonts w:ascii="Bookman Old Style" w:hAnsi="Bookman Old Style"/>
          <w:b/>
          <w:bCs/>
        </w:rPr>
        <w:t>PROGRAMA DE NUEVAS INVERSIONES</w:t>
      </w:r>
    </w:p>
    <w:p w:rsidR="0010512E" w:rsidRPr="00BF6B9C" w:rsidRDefault="0010512E" w:rsidP="00341E8F">
      <w:pPr>
        <w:keepNext/>
        <w:widowControl w:val="0"/>
        <w:adjustRightInd w:val="0"/>
        <w:ind w:left="0"/>
        <w:jc w:val="center"/>
        <w:outlineLvl w:val="0"/>
        <w:rPr>
          <w:rFonts w:ascii="Bookman Old Style" w:hAnsi="Bookman Old Style"/>
          <w:b/>
          <w:bCs/>
        </w:rPr>
      </w:pPr>
    </w:p>
    <w:tbl>
      <w:tblPr>
        <w:tblW w:w="5157" w:type="pct"/>
        <w:tblInd w:w="-147" w:type="dxa"/>
        <w:shd w:val="clear" w:color="auto" w:fill="FFFFFF" w:themeFill="background1"/>
        <w:tblLayout w:type="fixed"/>
        <w:tblCellMar>
          <w:left w:w="70" w:type="dxa"/>
          <w:right w:w="70" w:type="dxa"/>
        </w:tblCellMar>
        <w:tblLook w:val="04A0" w:firstRow="1" w:lastRow="0" w:firstColumn="1" w:lastColumn="0" w:noHBand="0" w:noVBand="1"/>
      </w:tblPr>
      <w:tblGrid>
        <w:gridCol w:w="949"/>
        <w:gridCol w:w="1746"/>
        <w:gridCol w:w="850"/>
        <w:gridCol w:w="960"/>
        <w:gridCol w:w="1307"/>
        <w:gridCol w:w="708"/>
        <w:gridCol w:w="426"/>
        <w:gridCol w:w="426"/>
        <w:gridCol w:w="426"/>
        <w:gridCol w:w="426"/>
        <w:gridCol w:w="430"/>
        <w:gridCol w:w="985"/>
      </w:tblGrid>
      <w:tr w:rsidR="00D149B5" w:rsidRPr="00BF6B9C" w:rsidTr="00D149B5">
        <w:trPr>
          <w:trHeight w:val="62"/>
        </w:trPr>
        <w:tc>
          <w:tcPr>
            <w:tcW w:w="49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Municipio</w:t>
            </w:r>
          </w:p>
        </w:tc>
        <w:tc>
          <w:tcPr>
            <w:tcW w:w="9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Unidad Constructiva</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Código UC</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Costo unitario</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Tipo de Inversión</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0512E" w:rsidRPr="00D149B5" w:rsidRDefault="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Red</w:t>
            </w:r>
          </w:p>
        </w:tc>
        <w:tc>
          <w:tcPr>
            <w:tcW w:w="110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Cantidad</w:t>
            </w:r>
          </w:p>
        </w:tc>
        <w:tc>
          <w:tcPr>
            <w:tcW w:w="511"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10512E" w:rsidRPr="00D149B5" w:rsidRDefault="0010512E" w:rsidP="0010512E">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Costo Total</w:t>
            </w:r>
          </w:p>
        </w:tc>
      </w:tr>
      <w:tr w:rsidR="00D149B5" w:rsidRPr="00BF6B9C" w:rsidTr="00D149B5">
        <w:trPr>
          <w:trHeight w:val="257"/>
        </w:trPr>
        <w:tc>
          <w:tcPr>
            <w:tcW w:w="492" w:type="pct"/>
            <w:vMerge/>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90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44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4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6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36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951529">
            <w:pPr>
              <w:ind w:left="0"/>
              <w:jc w:val="center"/>
              <w:rPr>
                <w:rFonts w:ascii="Bookman Old Style" w:hAnsi="Bookman Old Style"/>
                <w:color w:val="000000"/>
                <w:sz w:val="14"/>
                <w:szCs w:val="14"/>
                <w:lang w:val="es-CO" w:eastAsia="es-CO"/>
              </w:rPr>
            </w:pPr>
          </w:p>
        </w:tc>
        <w:tc>
          <w:tcPr>
            <w:tcW w:w="2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Año 1</w:t>
            </w:r>
          </w:p>
        </w:tc>
        <w:tc>
          <w:tcPr>
            <w:tcW w:w="2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Año2</w:t>
            </w:r>
          </w:p>
        </w:tc>
        <w:tc>
          <w:tcPr>
            <w:tcW w:w="2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Año 3</w:t>
            </w:r>
          </w:p>
        </w:tc>
        <w:tc>
          <w:tcPr>
            <w:tcW w:w="2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Año 4</w:t>
            </w:r>
          </w:p>
        </w:tc>
        <w:tc>
          <w:tcPr>
            <w:tcW w:w="2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512E" w:rsidRPr="00D149B5" w:rsidRDefault="0010512E" w:rsidP="00951529">
            <w:pPr>
              <w:ind w:left="0"/>
              <w:jc w:val="center"/>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Año 5</w:t>
            </w:r>
          </w:p>
        </w:tc>
        <w:tc>
          <w:tcPr>
            <w:tcW w:w="511" w:type="pct"/>
            <w:vMerge/>
            <w:tcBorders>
              <w:left w:val="single" w:sz="4" w:space="0" w:color="auto"/>
              <w:bottom w:val="single" w:sz="4" w:space="0" w:color="auto"/>
              <w:right w:val="single" w:sz="4" w:space="0" w:color="auto"/>
            </w:tcBorders>
            <w:shd w:val="clear" w:color="auto" w:fill="FFFFFF" w:themeFill="background1"/>
            <w:vAlign w:val="center"/>
            <w:hideMark/>
          </w:tcPr>
          <w:p w:rsidR="0010512E" w:rsidRPr="00971FB5" w:rsidRDefault="0010512E" w:rsidP="00414B26">
            <w:pPr>
              <w:ind w:left="0"/>
              <w:jc w:val="center"/>
              <w:rPr>
                <w:rFonts w:ascii="Bookman Old Style" w:hAnsi="Bookman Old Style"/>
                <w:color w:val="000000"/>
                <w:sz w:val="14"/>
                <w:szCs w:val="14"/>
                <w:lang w:val="es-CO" w:eastAsia="es-CO"/>
              </w:rPr>
            </w:pPr>
          </w:p>
        </w:tc>
      </w:tr>
      <w:tr w:rsidR="00D149B5" w:rsidRPr="00BF6B9C" w:rsidTr="00D149B5">
        <w:trPr>
          <w:trHeight w:val="352"/>
        </w:trPr>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1/2 pulg. en  Anden Concreto</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TPE1/2ACO</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46.029.053,66</w:t>
            </w:r>
          </w:p>
        </w:tc>
        <w:tc>
          <w:tcPr>
            <w:tcW w:w="67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0,02</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736.464,86</w:t>
            </w:r>
          </w:p>
        </w:tc>
      </w:tr>
      <w:tr w:rsidR="00D149B5" w:rsidRPr="00BF6B9C" w:rsidTr="00D149B5">
        <w:trPr>
          <w:trHeight w:val="352"/>
        </w:trPr>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3/4 pulg. en Anden Concreto</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TPE3/4ACO</w:t>
            </w:r>
          </w:p>
        </w:tc>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46.818.898,41</w:t>
            </w:r>
          </w:p>
        </w:tc>
        <w:tc>
          <w:tcPr>
            <w:tcW w:w="67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9,38</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439.348.542,66</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1 pulg. en Anden Concreto</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TPE1ACO</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49.176.725,16</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1,04</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51.192.970,89</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3/4 pulg. en Andén Tableta, Baldosín, Gravilla</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TPE3/4TA</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49.524.925,55</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0,11</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5.398.216,88</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1/2 pulg. en Zona Verde</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TPE1/2ZV</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16.300.091,05</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0,30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4.938.927,59</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3/4 pulg. en Zona Verde</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TPE3/4ZV</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17.120.659,86</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1,15</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19.688.758,83</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1 pulg. en Zona Verde</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TPE1ZV</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19.502.402,03</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Secundaria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1,76</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34.363.232,38</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Tubería de Polietileno de 2 pulg. en Zona Verde</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TPE2ZV</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29.732.108,24</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0,35</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10.346.773,67</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Cabezas de prueba o columnas de agua</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PLI02</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357.896,48</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de Control de Calidad</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1,00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357.896,48</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Detector Sensor electroquímico</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IO01</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14.981.121,22</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de Control de Calidad</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1,00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14.981.121,22</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Sistema digital de grabación, múltiples municipios</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SGL01</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231.380.853,19</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de Control de Calidad</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0,05</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11.569.042,66</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Estación de GLP 6000 galones</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EGLP6000</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338.500.313,67</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Inherentes a la Operación</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1,00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338.500.313,67</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Cruces subfluviales</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TMP-1</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600.000,00</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Especiales</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30,00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18.000.000,00</w:t>
            </w:r>
          </w:p>
        </w:tc>
      </w:tr>
      <w:tr w:rsidR="00D149B5" w:rsidRPr="00BF6B9C" w:rsidTr="00D149B5">
        <w:trPr>
          <w:trHeight w:val="352"/>
        </w:trPr>
        <w:tc>
          <w:tcPr>
            <w:tcW w:w="4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Cachira-Norte de santander</w:t>
            </w:r>
          </w:p>
        </w:tc>
        <w:tc>
          <w:tcPr>
            <w:tcW w:w="905"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Cruces aereos</w:t>
            </w:r>
          </w:p>
        </w:tc>
        <w:tc>
          <w:tcPr>
            <w:tcW w:w="44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TMP-2</w:t>
            </w:r>
          </w:p>
        </w:tc>
        <w:tc>
          <w:tcPr>
            <w:tcW w:w="49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14.000.000,00</w:t>
            </w:r>
          </w:p>
        </w:tc>
        <w:tc>
          <w:tcPr>
            <w:tcW w:w="678"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Activos Especiales</w:t>
            </w:r>
          </w:p>
        </w:tc>
        <w:tc>
          <w:tcPr>
            <w:tcW w:w="367"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rsidP="00414B26">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Primaria</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3,00</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1"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223" w:type="pct"/>
            <w:tcBorders>
              <w:top w:val="nil"/>
              <w:left w:val="nil"/>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w:t>
            </w:r>
          </w:p>
        </w:tc>
        <w:tc>
          <w:tcPr>
            <w:tcW w:w="51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51529" w:rsidRPr="00D149B5" w:rsidRDefault="00951529">
            <w:pPr>
              <w:ind w:left="0"/>
              <w:rPr>
                <w:rFonts w:ascii="Bookman Old Style" w:hAnsi="Bookman Old Style"/>
                <w:color w:val="000000"/>
                <w:sz w:val="10"/>
                <w:szCs w:val="10"/>
                <w:lang w:val="es-CO" w:eastAsia="es-CO"/>
              </w:rPr>
            </w:pPr>
            <w:r w:rsidRPr="00D149B5">
              <w:rPr>
                <w:rFonts w:ascii="Bookman Old Style" w:hAnsi="Bookman Old Style"/>
                <w:color w:val="000000"/>
                <w:sz w:val="10"/>
                <w:szCs w:val="10"/>
                <w:lang w:val="es-CO" w:eastAsia="es-CO"/>
              </w:rPr>
              <w:t>42.000.000,00</w:t>
            </w:r>
          </w:p>
        </w:tc>
      </w:tr>
    </w:tbl>
    <w:p w:rsidR="00E43C80" w:rsidRPr="00BF6B9C" w:rsidRDefault="00E43C80" w:rsidP="00341E8F">
      <w:pPr>
        <w:keepNext/>
        <w:widowControl w:val="0"/>
        <w:adjustRightInd w:val="0"/>
        <w:ind w:left="0"/>
        <w:jc w:val="center"/>
        <w:outlineLvl w:val="0"/>
        <w:rPr>
          <w:rFonts w:ascii="Bookman Old Style" w:hAnsi="Bookman Old Style"/>
        </w:rPr>
      </w:pPr>
    </w:p>
    <w:p w:rsidR="00273C2C" w:rsidRPr="00BF6B9C" w:rsidRDefault="00273C2C" w:rsidP="00341E8F">
      <w:pPr>
        <w:widowControl w:val="0"/>
        <w:adjustRightInd w:val="0"/>
        <w:ind w:left="0"/>
        <w:jc w:val="center"/>
        <w:rPr>
          <w:rFonts w:ascii="Bookman Old Style" w:hAnsi="Bookman Old Style" w:cs="Arial"/>
          <w:bCs/>
        </w:rPr>
      </w:pPr>
      <w:r w:rsidRPr="00BF6B9C">
        <w:rPr>
          <w:rFonts w:ascii="Bookman Old Style" w:hAnsi="Bookman Old Style" w:cs="Arial"/>
          <w:bCs/>
        </w:rPr>
        <w:t>(Valores expresados en de pesos del 31 de diciembre de 201</w:t>
      </w:r>
      <w:r w:rsidR="00532B0C" w:rsidRPr="00BF6B9C">
        <w:rPr>
          <w:rFonts w:ascii="Bookman Old Style" w:hAnsi="Bookman Old Style" w:cs="Arial"/>
          <w:bCs/>
        </w:rPr>
        <w:t>4</w:t>
      </w:r>
      <w:r w:rsidRPr="00BF6B9C">
        <w:rPr>
          <w:rFonts w:ascii="Bookman Old Style" w:hAnsi="Bookman Old Style" w:cs="Arial"/>
          <w:bCs/>
        </w:rPr>
        <w:t>)</w:t>
      </w:r>
    </w:p>
    <w:p w:rsidR="00273C2C" w:rsidRPr="00BF6B9C" w:rsidRDefault="00273C2C" w:rsidP="00341E8F">
      <w:pPr>
        <w:widowControl w:val="0"/>
        <w:adjustRightInd w:val="0"/>
        <w:ind w:left="0"/>
        <w:jc w:val="center"/>
        <w:rPr>
          <w:rFonts w:ascii="Bookman Old Style" w:hAnsi="Bookman Old Style" w:cs="Arial"/>
          <w:bCs/>
        </w:rPr>
      </w:pPr>
    </w:p>
    <w:p w:rsidR="00273C2C" w:rsidRDefault="00273C2C" w:rsidP="00341E8F">
      <w:pPr>
        <w:widowControl w:val="0"/>
        <w:adjustRightInd w:val="0"/>
        <w:ind w:left="0"/>
        <w:jc w:val="center"/>
        <w:rPr>
          <w:rFonts w:ascii="Bookman Old Style" w:hAnsi="Bookman Old Style" w:cs="Arial"/>
          <w:bCs/>
        </w:rPr>
      </w:pPr>
    </w:p>
    <w:p w:rsidR="0086028A" w:rsidRDefault="0086028A" w:rsidP="00341E8F">
      <w:pPr>
        <w:widowControl w:val="0"/>
        <w:adjustRightInd w:val="0"/>
        <w:ind w:left="0"/>
        <w:jc w:val="center"/>
        <w:rPr>
          <w:rFonts w:ascii="Bookman Old Style" w:hAnsi="Bookman Old Style" w:cs="Arial"/>
          <w:bCs/>
        </w:rPr>
      </w:pPr>
    </w:p>
    <w:p w:rsidR="0086028A" w:rsidRPr="00BF6B9C" w:rsidRDefault="0086028A" w:rsidP="00341E8F">
      <w:pPr>
        <w:widowControl w:val="0"/>
        <w:adjustRightInd w:val="0"/>
        <w:ind w:left="0"/>
        <w:jc w:val="center"/>
        <w:rPr>
          <w:rFonts w:ascii="Bookman Old Style" w:hAnsi="Bookman Old Style" w:cs="Arial"/>
          <w:bCs/>
        </w:rPr>
      </w:pPr>
    </w:p>
    <w:p w:rsidR="00273C2C" w:rsidRPr="00BF6B9C" w:rsidRDefault="00273C2C" w:rsidP="00341E8F">
      <w:pPr>
        <w:widowControl w:val="0"/>
        <w:adjustRightInd w:val="0"/>
        <w:ind w:left="0"/>
        <w:jc w:val="center"/>
        <w:rPr>
          <w:rFonts w:ascii="Bookman Old Style" w:hAnsi="Bookman Old Style" w:cs="Arial"/>
          <w:bCs/>
        </w:rPr>
      </w:pPr>
    </w:p>
    <w:tbl>
      <w:tblPr>
        <w:tblW w:w="10065" w:type="dxa"/>
        <w:tblLayout w:type="fixed"/>
        <w:tblCellMar>
          <w:left w:w="70" w:type="dxa"/>
          <w:right w:w="70" w:type="dxa"/>
        </w:tblCellMar>
        <w:tblLook w:val="04A0" w:firstRow="1" w:lastRow="0" w:firstColumn="1" w:lastColumn="0" w:noHBand="0" w:noVBand="1"/>
      </w:tblPr>
      <w:tblGrid>
        <w:gridCol w:w="5103"/>
        <w:gridCol w:w="4962"/>
      </w:tblGrid>
      <w:tr w:rsidR="0086028A" w:rsidRPr="00E07CE8" w:rsidTr="0086028A">
        <w:trPr>
          <w:trHeight w:val="302"/>
        </w:trPr>
        <w:tc>
          <w:tcPr>
            <w:tcW w:w="5103" w:type="dxa"/>
          </w:tcPr>
          <w:p w:rsidR="0086028A" w:rsidRPr="00E07CE8" w:rsidRDefault="0086028A" w:rsidP="004F31AB">
            <w:pPr>
              <w:ind w:left="0"/>
              <w:jc w:val="center"/>
              <w:rPr>
                <w:rFonts w:ascii="Bookman Old Style" w:hAnsi="Bookman Old Style" w:cs="Arial"/>
                <w:b/>
                <w:bCs/>
              </w:rPr>
            </w:pPr>
            <w:r w:rsidRPr="00486601">
              <w:rPr>
                <w:rFonts w:ascii="Bookman Old Style" w:hAnsi="Bookman Old Style" w:cs="Arial"/>
                <w:b/>
              </w:rPr>
              <w:t>RUTTY PAOLA ORTIZ JARA</w:t>
            </w:r>
          </w:p>
        </w:tc>
        <w:tc>
          <w:tcPr>
            <w:tcW w:w="4962" w:type="dxa"/>
            <w:hideMark/>
          </w:tcPr>
          <w:p w:rsidR="0086028A" w:rsidRPr="00E07CE8" w:rsidRDefault="0086028A" w:rsidP="004F31AB">
            <w:pPr>
              <w:ind w:left="0"/>
              <w:jc w:val="center"/>
              <w:rPr>
                <w:rFonts w:ascii="Bookman Old Style" w:hAnsi="Bookman Old Style" w:cs="Arial"/>
                <w:b/>
                <w:spacing w:val="-3"/>
                <w:sz w:val="22"/>
                <w:szCs w:val="22"/>
                <w:lang w:val="es-ES_tradnl"/>
              </w:rPr>
            </w:pPr>
            <w:r w:rsidRPr="006F6765">
              <w:rPr>
                <w:rFonts w:ascii="Bookman Old Style" w:hAnsi="Bookman Old Style" w:cs="Arial"/>
                <w:b/>
                <w:bCs/>
              </w:rPr>
              <w:t>GERMÁN CASTRO FERREIRA</w:t>
            </w:r>
          </w:p>
        </w:tc>
      </w:tr>
      <w:tr w:rsidR="0086028A" w:rsidRPr="00E07CE8" w:rsidTr="0086028A">
        <w:trPr>
          <w:trHeight w:val="572"/>
        </w:trPr>
        <w:tc>
          <w:tcPr>
            <w:tcW w:w="5103" w:type="dxa"/>
          </w:tcPr>
          <w:p w:rsidR="0086028A" w:rsidRPr="00E97F33" w:rsidRDefault="0086028A" w:rsidP="004F31AB">
            <w:pPr>
              <w:widowControl w:val="0"/>
              <w:ind w:left="0"/>
              <w:jc w:val="center"/>
              <w:rPr>
                <w:rFonts w:ascii="Bookman Old Style" w:hAnsi="Bookman Old Style" w:cs="Arial"/>
              </w:rPr>
            </w:pPr>
            <w:r>
              <w:rPr>
                <w:rFonts w:ascii="Bookman Old Style" w:hAnsi="Bookman Old Style" w:cs="Arial"/>
              </w:rPr>
              <w:t>Viceministra</w:t>
            </w:r>
            <w:r w:rsidRPr="00E97F33">
              <w:rPr>
                <w:rFonts w:ascii="Bookman Old Style" w:hAnsi="Bookman Old Style" w:cs="Arial"/>
              </w:rPr>
              <w:t xml:space="preserve"> de Energía</w:t>
            </w:r>
          </w:p>
          <w:p w:rsidR="0086028A" w:rsidRPr="00E97F33" w:rsidRDefault="0086028A" w:rsidP="004F31AB">
            <w:pPr>
              <w:widowControl w:val="0"/>
              <w:ind w:left="0"/>
              <w:jc w:val="center"/>
              <w:rPr>
                <w:rFonts w:ascii="Bookman Old Style" w:hAnsi="Bookman Old Style" w:cs="Arial"/>
              </w:rPr>
            </w:pPr>
            <w:r w:rsidRPr="00E97F33">
              <w:rPr>
                <w:rFonts w:ascii="Bookman Old Style" w:hAnsi="Bookman Old Style" w:cs="Arial"/>
              </w:rPr>
              <w:t>Delegada del Ministro de Minas y Energía</w:t>
            </w:r>
          </w:p>
          <w:p w:rsidR="0086028A" w:rsidRPr="00E07CE8" w:rsidRDefault="0086028A" w:rsidP="004F31AB">
            <w:pPr>
              <w:ind w:left="0"/>
              <w:jc w:val="center"/>
              <w:rPr>
                <w:rFonts w:ascii="Bookman Old Style" w:hAnsi="Bookman Old Style" w:cs="Arial"/>
                <w:spacing w:val="-3"/>
              </w:rPr>
            </w:pPr>
            <w:r w:rsidRPr="00E97F33">
              <w:rPr>
                <w:rFonts w:ascii="Bookman Old Style" w:hAnsi="Bookman Old Style" w:cs="Arial"/>
              </w:rPr>
              <w:t>Presidente</w:t>
            </w:r>
          </w:p>
        </w:tc>
        <w:tc>
          <w:tcPr>
            <w:tcW w:w="4962" w:type="dxa"/>
            <w:hideMark/>
          </w:tcPr>
          <w:p w:rsidR="0086028A" w:rsidRPr="00E07CE8" w:rsidRDefault="0086028A" w:rsidP="004F31AB">
            <w:pPr>
              <w:ind w:left="0"/>
              <w:jc w:val="center"/>
              <w:rPr>
                <w:rFonts w:ascii="Bookman Old Style" w:hAnsi="Bookman Old Style" w:cs="Arial"/>
                <w:spacing w:val="-3"/>
                <w:lang w:val="es-ES_tradnl"/>
              </w:rPr>
            </w:pPr>
            <w:r w:rsidRPr="00E97F33">
              <w:rPr>
                <w:rFonts w:ascii="Bookman Old Style" w:hAnsi="Bookman Old Style" w:cs="Arial"/>
                <w:bCs/>
              </w:rPr>
              <w:t>Director Ejecutivo</w:t>
            </w:r>
          </w:p>
        </w:tc>
      </w:tr>
    </w:tbl>
    <w:p w:rsidR="00273C2C" w:rsidRPr="00BF6B9C" w:rsidRDefault="00273C2C" w:rsidP="00341E8F">
      <w:pPr>
        <w:widowControl w:val="0"/>
        <w:adjustRightInd w:val="0"/>
        <w:ind w:left="0"/>
        <w:jc w:val="center"/>
        <w:rPr>
          <w:rFonts w:ascii="Bookman Old Style" w:hAnsi="Bookman Old Style" w:cs="Arial"/>
          <w:bCs/>
        </w:rPr>
      </w:pPr>
    </w:p>
    <w:p w:rsidR="00D149B5" w:rsidRDefault="00D149B5">
      <w:pPr>
        <w:ind w:left="0"/>
        <w:rPr>
          <w:rFonts w:ascii="Bookman Old Style" w:hAnsi="Bookman Old Style" w:cs="Arial"/>
          <w:bCs/>
        </w:rPr>
      </w:pPr>
      <w:r>
        <w:rPr>
          <w:rFonts w:ascii="Bookman Old Style" w:hAnsi="Bookman Old Style" w:cs="Arial"/>
          <w:bCs/>
        </w:rPr>
        <w:br w:type="page"/>
      </w:r>
    </w:p>
    <w:p w:rsidR="00273C2C" w:rsidRPr="00BF6B9C" w:rsidRDefault="00273C2C" w:rsidP="00341E8F">
      <w:pPr>
        <w:widowControl w:val="0"/>
        <w:adjustRightInd w:val="0"/>
        <w:ind w:left="0"/>
        <w:jc w:val="center"/>
        <w:rPr>
          <w:rFonts w:ascii="Bookman Old Style" w:hAnsi="Bookman Old Style" w:cs="Arial"/>
          <w:bCs/>
        </w:rPr>
      </w:pPr>
    </w:p>
    <w:p w:rsidR="00273C2C" w:rsidRPr="00BF6B9C" w:rsidRDefault="00273C2C" w:rsidP="00341E8F">
      <w:pPr>
        <w:keepNext/>
        <w:widowControl w:val="0"/>
        <w:adjustRightInd w:val="0"/>
        <w:ind w:left="0"/>
        <w:jc w:val="center"/>
        <w:outlineLvl w:val="0"/>
        <w:rPr>
          <w:rFonts w:ascii="Bookman Old Style" w:hAnsi="Bookman Old Style" w:cs="Arial"/>
          <w:b/>
          <w:bCs/>
        </w:rPr>
      </w:pPr>
      <w:r w:rsidRPr="00BF6B9C">
        <w:rPr>
          <w:rFonts w:ascii="Bookman Old Style" w:hAnsi="Bookman Old Style" w:cs="Arial"/>
          <w:b/>
          <w:bCs/>
        </w:rPr>
        <w:t>ANEXO 2</w:t>
      </w:r>
    </w:p>
    <w:p w:rsidR="003E2FE2" w:rsidRPr="00BF6B9C" w:rsidRDefault="003E2FE2" w:rsidP="00341E8F">
      <w:pPr>
        <w:keepNext/>
        <w:widowControl w:val="0"/>
        <w:adjustRightInd w:val="0"/>
        <w:ind w:left="0"/>
        <w:jc w:val="center"/>
        <w:outlineLvl w:val="0"/>
        <w:rPr>
          <w:rFonts w:ascii="Bookman Old Style" w:hAnsi="Bookman Old Style" w:cs="Arial"/>
          <w:b/>
          <w:bCs/>
        </w:rPr>
      </w:pPr>
    </w:p>
    <w:p w:rsidR="00273C2C" w:rsidRPr="00BF6B9C" w:rsidRDefault="00273C2C" w:rsidP="00341E8F">
      <w:pPr>
        <w:keepNext/>
        <w:widowControl w:val="0"/>
        <w:adjustRightInd w:val="0"/>
        <w:ind w:left="0"/>
        <w:jc w:val="center"/>
        <w:outlineLvl w:val="0"/>
        <w:rPr>
          <w:rFonts w:ascii="Bookman Old Style" w:hAnsi="Bookman Old Style" w:cs="Arial"/>
          <w:b/>
          <w:bCs/>
        </w:rPr>
      </w:pPr>
      <w:r w:rsidRPr="00BF6B9C">
        <w:rPr>
          <w:rFonts w:ascii="Bookman Old Style" w:hAnsi="Bookman Old Style" w:cs="Arial"/>
          <w:b/>
          <w:bCs/>
        </w:rPr>
        <w:t>PROYECCIONES DE USUARIOS Y DEMANDA</w:t>
      </w:r>
    </w:p>
    <w:p w:rsidR="00A10D66" w:rsidRPr="00BF6B9C" w:rsidRDefault="00A10D66" w:rsidP="00A10D66">
      <w:pPr>
        <w:widowControl w:val="0"/>
        <w:adjustRightInd w:val="0"/>
        <w:ind w:left="0"/>
        <w:jc w:val="center"/>
        <w:rPr>
          <w:rFonts w:ascii="Bookman Old Style" w:hAnsi="Bookman Old Style" w:cs="Arial"/>
          <w:b/>
        </w:rPr>
      </w:pPr>
    </w:p>
    <w:p w:rsidR="00A10D66" w:rsidRPr="00BF6B9C" w:rsidRDefault="00A10D66" w:rsidP="00A10D66">
      <w:pPr>
        <w:widowControl w:val="0"/>
        <w:adjustRightInd w:val="0"/>
        <w:ind w:left="0"/>
        <w:jc w:val="center"/>
        <w:rPr>
          <w:rFonts w:ascii="Bookman Old Style" w:hAnsi="Bookman Old Style" w:cs="Arial"/>
          <w:b/>
        </w:rPr>
      </w:pPr>
      <w:r w:rsidRPr="00BF6B9C">
        <w:rPr>
          <w:rFonts w:ascii="Bookman Old Style" w:hAnsi="Bookman Old Style" w:cs="Arial"/>
          <w:b/>
        </w:rPr>
        <w:t>NÚMERO DE USUARIOS</w:t>
      </w:r>
    </w:p>
    <w:p w:rsidR="00273C2C" w:rsidRPr="00BF6B9C" w:rsidRDefault="00273C2C" w:rsidP="00341E8F">
      <w:pPr>
        <w:widowControl w:val="0"/>
        <w:adjustRightInd w:val="0"/>
        <w:ind w:left="0"/>
        <w:jc w:val="center"/>
        <w:rPr>
          <w:rFonts w:ascii="Bookman Old Style" w:hAnsi="Bookman Old Style" w:cs="Arial"/>
          <w:b/>
        </w:rPr>
      </w:pPr>
    </w:p>
    <w:tbl>
      <w:tblPr>
        <w:tblStyle w:val="Tablaconcuadrcula"/>
        <w:tblW w:w="9640" w:type="dxa"/>
        <w:tblInd w:w="-147" w:type="dxa"/>
        <w:tblLayout w:type="fixed"/>
        <w:tblLook w:val="04A0" w:firstRow="1" w:lastRow="0" w:firstColumn="1" w:lastColumn="0" w:noHBand="0" w:noVBand="1"/>
      </w:tblPr>
      <w:tblGrid>
        <w:gridCol w:w="1135"/>
        <w:gridCol w:w="992"/>
        <w:gridCol w:w="751"/>
        <w:gridCol w:w="751"/>
        <w:gridCol w:w="751"/>
        <w:gridCol w:w="752"/>
        <w:gridCol w:w="751"/>
        <w:gridCol w:w="751"/>
        <w:gridCol w:w="752"/>
        <w:gridCol w:w="751"/>
        <w:gridCol w:w="751"/>
        <w:gridCol w:w="752"/>
      </w:tblGrid>
      <w:tr w:rsidR="006F34D0" w:rsidRPr="0086028A" w:rsidTr="00667C83">
        <w:trPr>
          <w:trHeight w:val="77"/>
        </w:trPr>
        <w:tc>
          <w:tcPr>
            <w:tcW w:w="1135" w:type="dxa"/>
            <w:vMerge w:val="restart"/>
            <w:shd w:val="clear" w:color="auto" w:fill="D9D9D9" w:themeFill="background1" w:themeFillShade="D9"/>
            <w:noWrap/>
            <w:vAlign w:val="center"/>
            <w:hideMark/>
          </w:tcPr>
          <w:p w:rsidR="006F34D0" w:rsidRPr="0086028A" w:rsidRDefault="006F34D0">
            <w:pPr>
              <w:widowControl w:val="0"/>
              <w:adjustRightInd w:val="0"/>
              <w:ind w:left="0"/>
              <w:jc w:val="center"/>
              <w:rPr>
                <w:rFonts w:ascii="Bookman Old Style" w:hAnsi="Bookman Old Style" w:cs="Arial"/>
                <w:b/>
                <w:sz w:val="12"/>
                <w:szCs w:val="12"/>
                <w:lang w:val="es-CO"/>
              </w:rPr>
            </w:pPr>
            <w:r w:rsidRPr="0086028A">
              <w:rPr>
                <w:rFonts w:ascii="Bookman Old Style" w:hAnsi="Bookman Old Style" w:cs="Arial"/>
                <w:sz w:val="12"/>
                <w:szCs w:val="12"/>
              </w:rPr>
              <w:t>Municipio</w:t>
            </w:r>
          </w:p>
        </w:tc>
        <w:tc>
          <w:tcPr>
            <w:tcW w:w="992" w:type="dxa"/>
            <w:vMerge w:val="restart"/>
            <w:shd w:val="clear" w:color="auto" w:fill="D9D9D9" w:themeFill="background1" w:themeFillShade="D9"/>
            <w:noWrap/>
            <w:vAlign w:val="center"/>
            <w:hideMark/>
          </w:tcPr>
          <w:p w:rsidR="006F34D0" w:rsidRPr="0086028A" w:rsidRDefault="006F34D0">
            <w:pPr>
              <w:widowControl w:val="0"/>
              <w:adjustRightInd w:val="0"/>
              <w:ind w:left="0"/>
              <w:jc w:val="center"/>
              <w:rPr>
                <w:rFonts w:ascii="Bookman Old Style" w:hAnsi="Bookman Old Style" w:cs="Arial"/>
                <w:sz w:val="12"/>
                <w:szCs w:val="12"/>
              </w:rPr>
            </w:pPr>
            <w:r w:rsidRPr="0086028A">
              <w:rPr>
                <w:rFonts w:ascii="Bookman Old Style" w:hAnsi="Bookman Old Style" w:cs="Arial"/>
                <w:sz w:val="12"/>
                <w:szCs w:val="12"/>
              </w:rPr>
              <w:t>Usuario</w:t>
            </w:r>
          </w:p>
        </w:tc>
        <w:tc>
          <w:tcPr>
            <w:tcW w:w="1502" w:type="dxa"/>
            <w:gridSpan w:val="2"/>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Año 1</w:t>
            </w:r>
          </w:p>
        </w:tc>
        <w:tc>
          <w:tcPr>
            <w:tcW w:w="1503" w:type="dxa"/>
            <w:gridSpan w:val="2"/>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Año 2</w:t>
            </w:r>
          </w:p>
        </w:tc>
        <w:tc>
          <w:tcPr>
            <w:tcW w:w="1502" w:type="dxa"/>
            <w:gridSpan w:val="2"/>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Año 3</w:t>
            </w:r>
          </w:p>
        </w:tc>
        <w:tc>
          <w:tcPr>
            <w:tcW w:w="1503" w:type="dxa"/>
            <w:gridSpan w:val="2"/>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Año 4</w:t>
            </w:r>
          </w:p>
        </w:tc>
        <w:tc>
          <w:tcPr>
            <w:tcW w:w="1503" w:type="dxa"/>
            <w:gridSpan w:val="2"/>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Año 5</w:t>
            </w:r>
          </w:p>
        </w:tc>
      </w:tr>
      <w:tr w:rsidR="00C428F4" w:rsidRPr="0086028A" w:rsidTr="00667C83">
        <w:trPr>
          <w:trHeight w:val="77"/>
        </w:trPr>
        <w:tc>
          <w:tcPr>
            <w:tcW w:w="1135" w:type="dxa"/>
            <w:vMerge/>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sz w:val="12"/>
                <w:szCs w:val="12"/>
              </w:rPr>
            </w:pPr>
          </w:p>
        </w:tc>
        <w:tc>
          <w:tcPr>
            <w:tcW w:w="992" w:type="dxa"/>
            <w:vMerge/>
            <w:shd w:val="clear" w:color="auto" w:fill="D9D9D9" w:themeFill="background1" w:themeFillShade="D9"/>
            <w:vAlign w:val="center"/>
            <w:hideMark/>
          </w:tcPr>
          <w:p w:rsidR="006F34D0" w:rsidRPr="0086028A" w:rsidRDefault="006F34D0">
            <w:pPr>
              <w:widowControl w:val="0"/>
              <w:adjustRightInd w:val="0"/>
              <w:ind w:left="0"/>
              <w:jc w:val="center"/>
              <w:rPr>
                <w:rFonts w:ascii="Bookman Old Style" w:hAnsi="Bookman Old Style" w:cs="Arial"/>
                <w:sz w:val="12"/>
                <w:szCs w:val="12"/>
              </w:rPr>
            </w:pP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Primaria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Secundaria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Primaria</w:t>
            </w:r>
          </w:p>
        </w:tc>
        <w:tc>
          <w:tcPr>
            <w:tcW w:w="752"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Secundaria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Primaria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Secundaria</w:t>
            </w:r>
          </w:p>
        </w:tc>
        <w:tc>
          <w:tcPr>
            <w:tcW w:w="752"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Primaria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Secundaria</w:t>
            </w:r>
          </w:p>
        </w:tc>
        <w:tc>
          <w:tcPr>
            <w:tcW w:w="751"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Primaria</w:t>
            </w:r>
          </w:p>
        </w:tc>
        <w:tc>
          <w:tcPr>
            <w:tcW w:w="752" w:type="dxa"/>
            <w:shd w:val="clear" w:color="auto" w:fill="D9D9D9" w:themeFill="background1" w:themeFillShade="D9"/>
            <w:vAlign w:val="center"/>
            <w:hideMark/>
          </w:tcPr>
          <w:p w:rsidR="006F34D0" w:rsidRPr="00667C83" w:rsidRDefault="006F34D0">
            <w:pPr>
              <w:widowControl w:val="0"/>
              <w:adjustRightInd w:val="0"/>
              <w:ind w:left="0"/>
              <w:jc w:val="center"/>
              <w:rPr>
                <w:rFonts w:ascii="Bookman Old Style" w:hAnsi="Bookman Old Style" w:cs="Arial"/>
                <w:sz w:val="9"/>
                <w:szCs w:val="9"/>
              </w:rPr>
            </w:pPr>
            <w:r w:rsidRPr="00667C83">
              <w:rPr>
                <w:rFonts w:ascii="Bookman Old Style" w:hAnsi="Bookman Old Style" w:cs="Arial"/>
                <w:sz w:val="9"/>
                <w:szCs w:val="9"/>
              </w:rPr>
              <w:t>Secundaria</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Residencial</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313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497</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585</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585</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585</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82</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r w:rsidR="00B2552E" w:rsidRPr="0086028A">
              <w:rPr>
                <w:rFonts w:ascii="Bookman Old Style" w:hAnsi="Bookman Old Style" w:cs="Arial"/>
                <w:sz w:val="12"/>
                <w:szCs w:val="12"/>
              </w:rPr>
              <w:t>31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154</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154</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154</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2</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191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303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357</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357</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357</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0937F9"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40</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B2552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63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74</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74</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74</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4</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5</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Estrato 6</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Comercial</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B2552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B2552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4</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Industrial</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1</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GNCV</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r>
      <w:tr w:rsidR="006F34D0" w:rsidRPr="0086028A" w:rsidTr="00667C83">
        <w:trPr>
          <w:trHeight w:val="77"/>
        </w:trPr>
        <w:tc>
          <w:tcPr>
            <w:tcW w:w="1135" w:type="dxa"/>
            <w:noWrap/>
            <w:vAlign w:val="center"/>
            <w:hideMark/>
          </w:tcPr>
          <w:p w:rsidR="006F34D0" w:rsidRPr="004F31AB" w:rsidRDefault="006F34D0" w:rsidP="004F31AB">
            <w:pPr>
              <w:widowControl w:val="0"/>
              <w:adjustRightInd w:val="0"/>
              <w:ind w:left="0" w:hanging="48"/>
              <w:rPr>
                <w:rFonts w:ascii="Bookman Old Style" w:hAnsi="Bookman Old Style" w:cs="Arial"/>
                <w:sz w:val="12"/>
                <w:szCs w:val="12"/>
              </w:rPr>
            </w:pPr>
            <w:r w:rsidRPr="004F31AB">
              <w:rPr>
                <w:rFonts w:ascii="Bookman Old Style" w:hAnsi="Bookman Old Style" w:cs="Arial"/>
                <w:sz w:val="12"/>
                <w:szCs w:val="12"/>
              </w:rPr>
              <w:t xml:space="preserve"> Cachira-Norte de santander </w:t>
            </w:r>
          </w:p>
        </w:tc>
        <w:tc>
          <w:tcPr>
            <w:tcW w:w="992" w:type="dxa"/>
            <w:noWrap/>
            <w:vAlign w:val="center"/>
            <w:hideMark/>
          </w:tcPr>
          <w:p w:rsidR="006F34D0" w:rsidRPr="0086028A" w:rsidRDefault="006F34D0" w:rsidP="00414B26">
            <w:pPr>
              <w:widowControl w:val="0"/>
              <w:adjustRightInd w:val="0"/>
              <w:ind w:left="0"/>
              <w:rPr>
                <w:rFonts w:ascii="Bookman Old Style" w:hAnsi="Bookman Old Style" w:cs="Arial"/>
                <w:sz w:val="12"/>
                <w:szCs w:val="12"/>
              </w:rPr>
            </w:pPr>
            <w:r w:rsidRPr="0086028A">
              <w:rPr>
                <w:rFonts w:ascii="Bookman Old Style" w:hAnsi="Bookman Old Style" w:cs="Arial"/>
                <w:sz w:val="12"/>
                <w:szCs w:val="12"/>
              </w:rPr>
              <w:t>Otros</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B2552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3</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4</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c>
          <w:tcPr>
            <w:tcW w:w="752"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c>
          <w:tcPr>
            <w:tcW w:w="751" w:type="dxa"/>
            <w:noWrap/>
            <w:vAlign w:val="center"/>
            <w:hideMark/>
          </w:tcPr>
          <w:p w:rsidR="006F34D0" w:rsidRPr="0086028A" w:rsidRDefault="006F34D0"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w:t>
            </w:r>
          </w:p>
        </w:tc>
        <w:tc>
          <w:tcPr>
            <w:tcW w:w="752" w:type="dxa"/>
            <w:noWrap/>
            <w:vAlign w:val="center"/>
            <w:hideMark/>
          </w:tcPr>
          <w:p w:rsidR="006F34D0" w:rsidRPr="0086028A" w:rsidRDefault="00D5793E" w:rsidP="00414B26">
            <w:pPr>
              <w:widowControl w:val="0"/>
              <w:adjustRightInd w:val="0"/>
              <w:ind w:left="0"/>
              <w:jc w:val="right"/>
              <w:rPr>
                <w:rFonts w:ascii="Bookman Old Style" w:hAnsi="Bookman Old Style" w:cs="Arial"/>
                <w:sz w:val="12"/>
                <w:szCs w:val="12"/>
              </w:rPr>
            </w:pPr>
            <w:r w:rsidRPr="0086028A">
              <w:rPr>
                <w:rFonts w:ascii="Bookman Old Style" w:hAnsi="Bookman Old Style" w:cs="Arial"/>
                <w:sz w:val="12"/>
                <w:szCs w:val="12"/>
              </w:rPr>
              <w:t>5</w:t>
            </w:r>
          </w:p>
        </w:tc>
      </w:tr>
    </w:tbl>
    <w:p w:rsidR="006F34D0" w:rsidRPr="0086028A" w:rsidRDefault="006F34D0" w:rsidP="00341E8F">
      <w:pPr>
        <w:widowControl w:val="0"/>
        <w:adjustRightInd w:val="0"/>
        <w:ind w:left="0"/>
        <w:jc w:val="center"/>
        <w:rPr>
          <w:rFonts w:ascii="Bookman Old Style" w:hAnsi="Bookman Old Style" w:cs="Arial"/>
          <w:b/>
          <w:sz w:val="12"/>
          <w:szCs w:val="12"/>
        </w:rPr>
      </w:pPr>
    </w:p>
    <w:tbl>
      <w:tblPr>
        <w:tblW w:w="5152" w:type="pct"/>
        <w:tblInd w:w="-142" w:type="dxa"/>
        <w:tblLayout w:type="fixed"/>
        <w:tblCellMar>
          <w:left w:w="70" w:type="dxa"/>
          <w:right w:w="70" w:type="dxa"/>
        </w:tblCellMar>
        <w:tblLook w:val="04A0" w:firstRow="1" w:lastRow="0" w:firstColumn="1" w:lastColumn="0" w:noHBand="0" w:noVBand="1"/>
      </w:tblPr>
      <w:tblGrid>
        <w:gridCol w:w="1132"/>
        <w:gridCol w:w="995"/>
        <w:gridCol w:w="750"/>
        <w:gridCol w:w="752"/>
        <w:gridCol w:w="750"/>
        <w:gridCol w:w="751"/>
        <w:gridCol w:w="749"/>
        <w:gridCol w:w="751"/>
        <w:gridCol w:w="749"/>
        <w:gridCol w:w="751"/>
        <w:gridCol w:w="749"/>
        <w:gridCol w:w="751"/>
      </w:tblGrid>
      <w:tr w:rsidR="00D2163F" w:rsidRPr="0086028A" w:rsidTr="00667C83">
        <w:trPr>
          <w:trHeight w:val="77"/>
        </w:trPr>
        <w:tc>
          <w:tcPr>
            <w:tcW w:w="5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7</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9</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rsidR="00D2163F" w:rsidRPr="0086028A" w:rsidRDefault="00D2163F">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10</w:t>
            </w:r>
          </w:p>
        </w:tc>
      </w:tr>
      <w:tr w:rsidR="001902A2" w:rsidRPr="0086028A" w:rsidTr="00667C83">
        <w:trPr>
          <w:trHeight w:val="77"/>
        </w:trPr>
        <w:tc>
          <w:tcPr>
            <w:tcW w:w="58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63F" w:rsidRPr="0086028A" w:rsidRDefault="00D2163F">
            <w:pPr>
              <w:ind w:left="0"/>
              <w:jc w:val="center"/>
              <w:rPr>
                <w:rFonts w:ascii="Bookman Old Style" w:hAnsi="Bookman Old Style"/>
                <w:color w:val="000000"/>
                <w:sz w:val="12"/>
                <w:szCs w:val="12"/>
                <w:lang w:val="es-CO" w:eastAsia="es-CO"/>
              </w:rPr>
            </w:pPr>
          </w:p>
        </w:tc>
        <w:tc>
          <w:tcPr>
            <w:tcW w:w="51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163F" w:rsidRPr="0086028A" w:rsidRDefault="00D2163F">
            <w:pPr>
              <w:ind w:left="0"/>
              <w:jc w:val="center"/>
              <w:rPr>
                <w:rFonts w:ascii="Bookman Old Style" w:hAnsi="Bookman Old Style"/>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D2163F" w:rsidRPr="00667C83" w:rsidRDefault="00D2163F">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6"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89"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D2163F"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D2163F" w:rsidRPr="0086028A" w:rsidRDefault="004834C6"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bl>
    <w:p w:rsidR="00D2163F" w:rsidRPr="0086028A" w:rsidRDefault="00D2163F" w:rsidP="00341E8F">
      <w:pPr>
        <w:widowControl w:val="0"/>
        <w:adjustRightInd w:val="0"/>
        <w:ind w:left="0"/>
        <w:jc w:val="center"/>
        <w:rPr>
          <w:rFonts w:ascii="Bookman Old Style" w:hAnsi="Bookman Old Style" w:cs="Arial"/>
          <w:b/>
          <w:sz w:val="12"/>
          <w:szCs w:val="12"/>
        </w:rPr>
      </w:pPr>
    </w:p>
    <w:tbl>
      <w:tblPr>
        <w:tblW w:w="5155" w:type="pct"/>
        <w:tblInd w:w="-142" w:type="dxa"/>
        <w:tblLayout w:type="fixed"/>
        <w:tblCellMar>
          <w:left w:w="70" w:type="dxa"/>
          <w:right w:w="70" w:type="dxa"/>
        </w:tblCellMar>
        <w:tblLook w:val="04A0" w:firstRow="1" w:lastRow="0" w:firstColumn="1" w:lastColumn="0" w:noHBand="0" w:noVBand="1"/>
      </w:tblPr>
      <w:tblGrid>
        <w:gridCol w:w="1128"/>
        <w:gridCol w:w="992"/>
        <w:gridCol w:w="751"/>
        <w:gridCol w:w="751"/>
        <w:gridCol w:w="752"/>
        <w:gridCol w:w="752"/>
        <w:gridCol w:w="752"/>
        <w:gridCol w:w="752"/>
        <w:gridCol w:w="752"/>
        <w:gridCol w:w="752"/>
        <w:gridCol w:w="752"/>
        <w:gridCol w:w="750"/>
      </w:tblGrid>
      <w:tr w:rsidR="000B61D7" w:rsidRPr="0086028A" w:rsidTr="00667C83">
        <w:trPr>
          <w:trHeight w:val="77"/>
          <w:tblHeader/>
        </w:trPr>
        <w:tc>
          <w:tcPr>
            <w:tcW w:w="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11</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13</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14</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rsidR="000B61D7" w:rsidRPr="0086028A" w:rsidRDefault="000B61D7">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15</w:t>
            </w:r>
          </w:p>
        </w:tc>
      </w:tr>
      <w:tr w:rsidR="00C428F4" w:rsidRPr="0086028A" w:rsidTr="00667C83">
        <w:trPr>
          <w:trHeight w:val="77"/>
          <w:tblHeader/>
        </w:trPr>
        <w:tc>
          <w:tcPr>
            <w:tcW w:w="58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1D7" w:rsidRPr="0086028A" w:rsidRDefault="000B61D7">
            <w:pPr>
              <w:ind w:left="0"/>
              <w:jc w:val="center"/>
              <w:rPr>
                <w:rFonts w:ascii="Bookman Old Style" w:hAnsi="Bookman Old Style"/>
                <w:color w:val="000000"/>
                <w:sz w:val="12"/>
                <w:szCs w:val="12"/>
                <w:lang w:val="es-CO" w:eastAsia="es-CO"/>
              </w:rPr>
            </w:pPr>
          </w:p>
        </w:tc>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1D7" w:rsidRPr="0086028A" w:rsidRDefault="000B61D7">
            <w:pPr>
              <w:ind w:left="0"/>
              <w:jc w:val="center"/>
              <w:rPr>
                <w:rFonts w:ascii="Bookman Old Style" w:hAnsi="Bookman Old Style"/>
                <w:color w:val="000000"/>
                <w:sz w:val="12"/>
                <w:szCs w:val="12"/>
                <w:lang w:val="es-CO" w:eastAsia="es-CO"/>
              </w:rPr>
            </w:pPr>
          </w:p>
        </w:tc>
        <w:tc>
          <w:tcPr>
            <w:tcW w:w="390" w:type="pct"/>
            <w:tcBorders>
              <w:top w:val="nil"/>
              <w:left w:val="single" w:sz="4" w:space="0" w:color="auto"/>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rsidR="000B61D7" w:rsidRPr="00667C83" w:rsidRDefault="000B61D7">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r>
      <w:tr w:rsidR="00C428F4" w:rsidRPr="0086028A" w:rsidTr="00667C83">
        <w:trPr>
          <w:trHeight w:val="77"/>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270"/>
        </w:trPr>
        <w:tc>
          <w:tcPr>
            <w:tcW w:w="58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Otros</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9D19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0B61D7"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FFFFFF" w:themeFill="background1"/>
            <w:noWrap/>
            <w:vAlign w:val="center"/>
            <w:hideMark/>
          </w:tcPr>
          <w:p w:rsidR="000B61D7" w:rsidRPr="0086028A" w:rsidRDefault="00BF7EA0"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bl>
    <w:p w:rsidR="00D92B24" w:rsidRPr="0086028A" w:rsidRDefault="00D92B24" w:rsidP="00341E8F">
      <w:pPr>
        <w:widowControl w:val="0"/>
        <w:adjustRightInd w:val="0"/>
        <w:ind w:left="0"/>
        <w:jc w:val="center"/>
        <w:rPr>
          <w:rFonts w:ascii="Bookman Old Style" w:hAnsi="Bookman Old Style" w:cs="Arial"/>
          <w:b/>
          <w:sz w:val="12"/>
          <w:szCs w:val="12"/>
        </w:rPr>
      </w:pPr>
    </w:p>
    <w:tbl>
      <w:tblPr>
        <w:tblW w:w="5155" w:type="pct"/>
        <w:tblInd w:w="-142" w:type="dxa"/>
        <w:tblLayout w:type="fixed"/>
        <w:tblCellMar>
          <w:left w:w="70" w:type="dxa"/>
          <w:right w:w="70" w:type="dxa"/>
        </w:tblCellMar>
        <w:tblLook w:val="04A0" w:firstRow="1" w:lastRow="0" w:firstColumn="1" w:lastColumn="0" w:noHBand="0" w:noVBand="1"/>
      </w:tblPr>
      <w:tblGrid>
        <w:gridCol w:w="1128"/>
        <w:gridCol w:w="992"/>
        <w:gridCol w:w="751"/>
        <w:gridCol w:w="751"/>
        <w:gridCol w:w="752"/>
        <w:gridCol w:w="752"/>
        <w:gridCol w:w="752"/>
        <w:gridCol w:w="752"/>
        <w:gridCol w:w="752"/>
        <w:gridCol w:w="752"/>
        <w:gridCol w:w="752"/>
        <w:gridCol w:w="750"/>
      </w:tblGrid>
      <w:tr w:rsidR="00C428F4" w:rsidRPr="0086028A" w:rsidTr="00667C83">
        <w:trPr>
          <w:trHeight w:val="77"/>
          <w:tblHeader/>
        </w:trPr>
        <w:tc>
          <w:tcPr>
            <w:tcW w:w="586"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51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16</w:t>
            </w:r>
          </w:p>
        </w:tc>
        <w:tc>
          <w:tcPr>
            <w:tcW w:w="780"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18</w:t>
            </w:r>
          </w:p>
        </w:tc>
        <w:tc>
          <w:tcPr>
            <w:tcW w:w="780"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19</w:t>
            </w:r>
          </w:p>
        </w:tc>
        <w:tc>
          <w:tcPr>
            <w:tcW w:w="780"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20</w:t>
            </w:r>
          </w:p>
        </w:tc>
      </w:tr>
      <w:tr w:rsidR="00C428F4" w:rsidRPr="0086028A" w:rsidTr="00667C83">
        <w:trPr>
          <w:trHeight w:val="77"/>
          <w:tblHeader/>
        </w:trPr>
        <w:tc>
          <w:tcPr>
            <w:tcW w:w="586"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p>
        </w:tc>
        <w:tc>
          <w:tcPr>
            <w:tcW w:w="515"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A10D66" w:rsidRPr="0086028A" w:rsidRDefault="00A10D66">
            <w:pPr>
              <w:ind w:left="0"/>
              <w:jc w:val="center"/>
              <w:rPr>
                <w:rFonts w:ascii="Bookman Old Style" w:hAnsi="Bookman Old Style"/>
                <w:color w:val="000000"/>
                <w:sz w:val="12"/>
                <w:szCs w:val="12"/>
                <w:lang w:val="es-CO" w:eastAsia="es-CO"/>
              </w:rPr>
            </w:pPr>
          </w:p>
        </w:tc>
        <w:tc>
          <w:tcPr>
            <w:tcW w:w="39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rsidR="00A10D66" w:rsidRPr="00667C83" w:rsidRDefault="00A10D66">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585</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154</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357</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74</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blHeader/>
        </w:trPr>
        <w:tc>
          <w:tcPr>
            <w:tcW w:w="586" w:type="pct"/>
            <w:tcBorders>
              <w:top w:val="nil"/>
              <w:left w:val="single" w:sz="4" w:space="0" w:color="auto"/>
              <w:bottom w:val="single" w:sz="4" w:space="0" w:color="auto"/>
              <w:right w:val="single" w:sz="4" w:space="0" w:color="auto"/>
            </w:tcBorders>
            <w:shd w:val="clear" w:color="auto" w:fill="auto"/>
            <w:noWrap/>
            <w:vAlign w:val="center"/>
            <w:hideMark/>
          </w:tcPr>
          <w:p w:rsidR="00D92B24" w:rsidRPr="0086028A" w:rsidRDefault="00D92B24">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515"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667C8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Otros</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0937F9"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D92B24"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390" w:type="pct"/>
            <w:tcBorders>
              <w:top w:val="nil"/>
              <w:left w:val="nil"/>
              <w:bottom w:val="single" w:sz="4" w:space="0" w:color="auto"/>
              <w:right w:val="single" w:sz="4" w:space="0" w:color="auto"/>
            </w:tcBorders>
            <w:shd w:val="clear" w:color="auto" w:fill="auto"/>
            <w:noWrap/>
            <w:vAlign w:val="center"/>
            <w:hideMark/>
          </w:tcPr>
          <w:p w:rsidR="00D92B24" w:rsidRPr="0086028A" w:rsidRDefault="003342DE"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w:t>
            </w:r>
          </w:p>
        </w:tc>
      </w:tr>
    </w:tbl>
    <w:p w:rsidR="00D92B24" w:rsidRPr="0086028A" w:rsidRDefault="00D92B24" w:rsidP="00341E8F">
      <w:pPr>
        <w:widowControl w:val="0"/>
        <w:adjustRightInd w:val="0"/>
        <w:ind w:left="0"/>
        <w:jc w:val="center"/>
        <w:rPr>
          <w:rFonts w:ascii="Bookman Old Style" w:hAnsi="Bookman Old Style" w:cs="Arial"/>
          <w:b/>
          <w:sz w:val="12"/>
          <w:szCs w:val="12"/>
        </w:rPr>
      </w:pPr>
    </w:p>
    <w:p w:rsidR="00C428F4" w:rsidRPr="0086028A" w:rsidRDefault="00C428F4" w:rsidP="00341E8F">
      <w:pPr>
        <w:widowControl w:val="0"/>
        <w:adjustRightInd w:val="0"/>
        <w:ind w:left="0"/>
        <w:jc w:val="center"/>
        <w:rPr>
          <w:rFonts w:ascii="Bookman Old Style" w:hAnsi="Bookman Old Style" w:cs="Arial"/>
          <w:b/>
          <w:sz w:val="12"/>
          <w:szCs w:val="12"/>
        </w:rPr>
      </w:pPr>
    </w:p>
    <w:p w:rsidR="0028104F" w:rsidRPr="0086028A" w:rsidRDefault="0028104F" w:rsidP="00341E8F">
      <w:pPr>
        <w:widowControl w:val="0"/>
        <w:adjustRightInd w:val="0"/>
        <w:ind w:left="0"/>
        <w:jc w:val="center"/>
        <w:rPr>
          <w:rFonts w:ascii="Bookman Old Style" w:hAnsi="Bookman Old Style" w:cs="Arial"/>
          <w:b/>
          <w:sz w:val="12"/>
          <w:szCs w:val="12"/>
        </w:rPr>
      </w:pPr>
      <w:r w:rsidRPr="0086028A">
        <w:rPr>
          <w:rFonts w:ascii="Bookman Old Style" w:hAnsi="Bookman Old Style" w:cs="Arial"/>
          <w:b/>
          <w:sz w:val="12"/>
          <w:szCs w:val="12"/>
        </w:rPr>
        <w:t>VOLUMEN (m3)</w:t>
      </w:r>
    </w:p>
    <w:p w:rsidR="0028104F" w:rsidRPr="0086028A" w:rsidRDefault="0028104F" w:rsidP="00341E8F">
      <w:pPr>
        <w:widowControl w:val="0"/>
        <w:adjustRightInd w:val="0"/>
        <w:ind w:left="0"/>
        <w:jc w:val="center"/>
        <w:rPr>
          <w:rFonts w:ascii="Bookman Old Style" w:hAnsi="Bookman Old Style" w:cs="Arial"/>
          <w:b/>
          <w:sz w:val="12"/>
          <w:szCs w:val="12"/>
        </w:rPr>
      </w:pPr>
    </w:p>
    <w:tbl>
      <w:tblPr>
        <w:tblW w:w="9635" w:type="dxa"/>
        <w:tblInd w:w="-142" w:type="dxa"/>
        <w:tblLayout w:type="fixed"/>
        <w:tblCellMar>
          <w:left w:w="70" w:type="dxa"/>
          <w:right w:w="70" w:type="dxa"/>
        </w:tblCellMar>
        <w:tblLook w:val="04A0" w:firstRow="1" w:lastRow="0" w:firstColumn="1" w:lastColumn="0" w:noHBand="0" w:noVBand="1"/>
      </w:tblPr>
      <w:tblGrid>
        <w:gridCol w:w="1130"/>
        <w:gridCol w:w="992"/>
        <w:gridCol w:w="751"/>
        <w:gridCol w:w="751"/>
        <w:gridCol w:w="751"/>
        <w:gridCol w:w="752"/>
        <w:gridCol w:w="751"/>
        <w:gridCol w:w="751"/>
        <w:gridCol w:w="752"/>
        <w:gridCol w:w="751"/>
        <w:gridCol w:w="751"/>
        <w:gridCol w:w="752"/>
      </w:tblGrid>
      <w:tr w:rsidR="002066D3" w:rsidRPr="0086028A" w:rsidTr="00667C83">
        <w:trPr>
          <w:trHeight w:val="77"/>
        </w:trPr>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2</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4</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5</w:t>
            </w:r>
          </w:p>
        </w:tc>
      </w:tr>
      <w:tr w:rsidR="00C428F4" w:rsidRPr="0086028A" w:rsidTr="00667C83">
        <w:trPr>
          <w:trHeight w:val="77"/>
        </w:trPr>
        <w:tc>
          <w:tcPr>
            <w:tcW w:w="11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22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23.864</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37.884</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r>
      <w:tr w:rsidR="00C428F4" w:rsidRPr="0086028A" w:rsidTr="00667C83">
        <w:trPr>
          <w:trHeight w:val="22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6.757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10.727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13.656</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21.679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3.451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5.479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960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1.440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Otros </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215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323</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r>
    </w:tbl>
    <w:p w:rsidR="004126BB" w:rsidRPr="0086028A" w:rsidRDefault="004126BB" w:rsidP="00341E8F">
      <w:pPr>
        <w:widowControl w:val="0"/>
        <w:adjustRightInd w:val="0"/>
        <w:ind w:left="0"/>
        <w:jc w:val="center"/>
        <w:rPr>
          <w:rFonts w:ascii="Bookman Old Style" w:hAnsi="Bookman Old Style" w:cs="Arial"/>
          <w:b/>
          <w:sz w:val="12"/>
          <w:szCs w:val="12"/>
        </w:rPr>
      </w:pPr>
    </w:p>
    <w:tbl>
      <w:tblPr>
        <w:tblW w:w="9635" w:type="dxa"/>
        <w:tblInd w:w="-142" w:type="dxa"/>
        <w:tblLayout w:type="fixed"/>
        <w:tblCellMar>
          <w:left w:w="70" w:type="dxa"/>
          <w:right w:w="70" w:type="dxa"/>
        </w:tblCellMar>
        <w:tblLook w:val="04A0" w:firstRow="1" w:lastRow="0" w:firstColumn="1" w:lastColumn="0" w:noHBand="0" w:noVBand="1"/>
      </w:tblPr>
      <w:tblGrid>
        <w:gridCol w:w="1130"/>
        <w:gridCol w:w="992"/>
        <w:gridCol w:w="751"/>
        <w:gridCol w:w="751"/>
        <w:gridCol w:w="751"/>
        <w:gridCol w:w="752"/>
        <w:gridCol w:w="751"/>
        <w:gridCol w:w="751"/>
        <w:gridCol w:w="752"/>
        <w:gridCol w:w="751"/>
        <w:gridCol w:w="751"/>
        <w:gridCol w:w="752"/>
      </w:tblGrid>
      <w:tr w:rsidR="002066D3" w:rsidRPr="0086028A" w:rsidTr="00667C83">
        <w:trPr>
          <w:trHeight w:val="77"/>
          <w:tblHeader/>
        </w:trPr>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6</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7</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8</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9</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10</w:t>
            </w:r>
          </w:p>
        </w:tc>
      </w:tr>
      <w:tr w:rsidR="00C428F4" w:rsidRPr="0086028A" w:rsidTr="00667C83">
        <w:trPr>
          <w:trHeight w:val="77"/>
          <w:tblHeader/>
        </w:trPr>
        <w:tc>
          <w:tcPr>
            <w:tcW w:w="11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Otros</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auto"/>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r>
    </w:tbl>
    <w:p w:rsidR="004126BB" w:rsidRPr="0086028A" w:rsidRDefault="004126BB" w:rsidP="00341E8F">
      <w:pPr>
        <w:widowControl w:val="0"/>
        <w:adjustRightInd w:val="0"/>
        <w:ind w:left="0"/>
        <w:jc w:val="center"/>
        <w:rPr>
          <w:rFonts w:ascii="Bookman Old Style" w:hAnsi="Bookman Old Style" w:cs="Arial"/>
          <w:b/>
          <w:sz w:val="12"/>
          <w:szCs w:val="12"/>
        </w:rPr>
      </w:pPr>
    </w:p>
    <w:tbl>
      <w:tblPr>
        <w:tblW w:w="9635" w:type="dxa"/>
        <w:tblInd w:w="-142" w:type="dxa"/>
        <w:shd w:val="clear" w:color="auto" w:fill="FFFFFF" w:themeFill="background1"/>
        <w:tblLayout w:type="fixed"/>
        <w:tblCellMar>
          <w:left w:w="70" w:type="dxa"/>
          <w:right w:w="70" w:type="dxa"/>
        </w:tblCellMar>
        <w:tblLook w:val="04A0" w:firstRow="1" w:lastRow="0" w:firstColumn="1" w:lastColumn="0" w:noHBand="0" w:noVBand="1"/>
      </w:tblPr>
      <w:tblGrid>
        <w:gridCol w:w="1130"/>
        <w:gridCol w:w="992"/>
        <w:gridCol w:w="751"/>
        <w:gridCol w:w="751"/>
        <w:gridCol w:w="751"/>
        <w:gridCol w:w="752"/>
        <w:gridCol w:w="751"/>
        <w:gridCol w:w="751"/>
        <w:gridCol w:w="752"/>
        <w:gridCol w:w="751"/>
        <w:gridCol w:w="751"/>
        <w:gridCol w:w="752"/>
      </w:tblGrid>
      <w:tr w:rsidR="002066D3" w:rsidRPr="0086028A" w:rsidTr="00667C83">
        <w:trPr>
          <w:trHeight w:val="77"/>
          <w:tblHeader/>
        </w:trPr>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11</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12</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13</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14</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15</w:t>
            </w:r>
          </w:p>
        </w:tc>
      </w:tr>
      <w:tr w:rsidR="00C428F4" w:rsidRPr="0086028A" w:rsidTr="00667C83">
        <w:trPr>
          <w:trHeight w:val="77"/>
          <w:tblHeader/>
        </w:trPr>
        <w:tc>
          <w:tcPr>
            <w:tcW w:w="11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86028A" w:rsidRDefault="002066D3">
            <w:pPr>
              <w:ind w:left="0"/>
              <w:jc w:val="center"/>
              <w:rPr>
                <w:rFonts w:ascii="Bookman Old Style" w:hAnsi="Bookman Old Style"/>
                <w:color w:val="000000"/>
                <w:sz w:val="12"/>
                <w:szCs w:val="12"/>
                <w:lang w:val="es-CO" w:eastAsia="es-CO"/>
              </w:rPr>
            </w:pP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66D3" w:rsidRPr="00667C83" w:rsidRDefault="002066D3">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C428F4" w:rsidRPr="0086028A" w:rsidTr="00667C83">
        <w:trPr>
          <w:trHeight w:val="225"/>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Residencial</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r>
      <w:tr w:rsidR="00C428F4" w:rsidRPr="0086028A" w:rsidTr="00667C83">
        <w:trPr>
          <w:trHeight w:val="225"/>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2</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3</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4</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Estrato 6</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219"/>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Comercial</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Industrial</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GNCV</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C428F4"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Otros</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2066D3" w:rsidRPr="0086028A" w:rsidRDefault="002066D3"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r>
    </w:tbl>
    <w:p w:rsidR="000937F9" w:rsidRPr="0086028A" w:rsidRDefault="000937F9" w:rsidP="00341E8F">
      <w:pPr>
        <w:widowControl w:val="0"/>
        <w:adjustRightInd w:val="0"/>
        <w:ind w:left="0"/>
        <w:jc w:val="center"/>
        <w:rPr>
          <w:rFonts w:ascii="Bookman Old Style" w:hAnsi="Bookman Old Style" w:cs="Arial"/>
          <w:b/>
          <w:sz w:val="12"/>
          <w:szCs w:val="12"/>
        </w:rPr>
      </w:pPr>
    </w:p>
    <w:tbl>
      <w:tblPr>
        <w:tblW w:w="9635" w:type="dxa"/>
        <w:tblInd w:w="-142" w:type="dxa"/>
        <w:shd w:val="clear" w:color="auto" w:fill="FFFFFF" w:themeFill="background1"/>
        <w:tblLayout w:type="fixed"/>
        <w:tblCellMar>
          <w:left w:w="70" w:type="dxa"/>
          <w:right w:w="70" w:type="dxa"/>
        </w:tblCellMar>
        <w:tblLook w:val="04A0" w:firstRow="1" w:lastRow="0" w:firstColumn="1" w:lastColumn="0" w:noHBand="0" w:noVBand="1"/>
      </w:tblPr>
      <w:tblGrid>
        <w:gridCol w:w="1130"/>
        <w:gridCol w:w="992"/>
        <w:gridCol w:w="751"/>
        <w:gridCol w:w="751"/>
        <w:gridCol w:w="751"/>
        <w:gridCol w:w="752"/>
        <w:gridCol w:w="751"/>
        <w:gridCol w:w="751"/>
        <w:gridCol w:w="752"/>
        <w:gridCol w:w="751"/>
        <w:gridCol w:w="751"/>
        <w:gridCol w:w="752"/>
      </w:tblGrid>
      <w:tr w:rsidR="004126BB" w:rsidRPr="0086028A" w:rsidTr="00667C83">
        <w:trPr>
          <w:trHeight w:val="77"/>
        </w:trPr>
        <w:tc>
          <w:tcPr>
            <w:tcW w:w="11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26BB" w:rsidRPr="0086028A" w:rsidRDefault="004126BB" w:rsidP="00667C8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26BB" w:rsidRPr="0086028A" w:rsidRDefault="004126BB" w:rsidP="00667C83">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Usuario</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16</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17</w:t>
            </w:r>
          </w:p>
        </w:tc>
        <w:tc>
          <w:tcPr>
            <w:tcW w:w="1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18</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19</w:t>
            </w:r>
          </w:p>
        </w:tc>
        <w:tc>
          <w:tcPr>
            <w:tcW w:w="1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Año 20</w:t>
            </w:r>
          </w:p>
        </w:tc>
      </w:tr>
      <w:tr w:rsidR="004126BB" w:rsidRPr="0086028A" w:rsidTr="00667C83">
        <w:trPr>
          <w:trHeight w:val="77"/>
        </w:trPr>
        <w:tc>
          <w:tcPr>
            <w:tcW w:w="11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86028A" w:rsidRDefault="004126BB">
            <w:pPr>
              <w:ind w:left="0"/>
              <w:jc w:val="center"/>
              <w:rPr>
                <w:rFonts w:ascii="Bookman Old Style" w:hAnsi="Bookman Old Style"/>
                <w:color w:val="000000"/>
                <w:sz w:val="12"/>
                <w:szCs w:val="12"/>
                <w:lang w:val="es-CO" w:eastAsia="es-CO"/>
              </w:rPr>
            </w:pP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Primaria</w:t>
            </w:r>
          </w:p>
        </w:tc>
        <w:tc>
          <w:tcPr>
            <w:tcW w:w="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26BB" w:rsidRPr="00667C83" w:rsidRDefault="004126BB">
            <w:pPr>
              <w:ind w:left="0"/>
              <w:jc w:val="center"/>
              <w:rPr>
                <w:rFonts w:ascii="Bookman Old Style" w:hAnsi="Bookman Old Style"/>
                <w:color w:val="000000"/>
                <w:sz w:val="9"/>
                <w:szCs w:val="9"/>
                <w:lang w:val="es-CO" w:eastAsia="es-CO"/>
              </w:rPr>
            </w:pPr>
            <w:r w:rsidRPr="00667C83">
              <w:rPr>
                <w:rFonts w:ascii="Bookman Old Style" w:hAnsi="Bookman Old Style"/>
                <w:color w:val="000000"/>
                <w:sz w:val="9"/>
                <w:szCs w:val="9"/>
                <w:lang w:val="es-CO" w:eastAsia="es-CO"/>
              </w:rPr>
              <w:t>Secundaria</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Residencial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44.595</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1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12.627</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2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25.519</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3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6.449</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4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5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Estrato 6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Comercial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1.920</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Industrial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81</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GNCV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r>
      <w:tr w:rsidR="00A43D36" w:rsidRPr="0086028A" w:rsidTr="00667C83">
        <w:trPr>
          <w:trHeight w:val="77"/>
        </w:trPr>
        <w:tc>
          <w:tcPr>
            <w:tcW w:w="11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Cachira-Norte de santander</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pPr>
              <w:ind w:left="0"/>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 xml:space="preserve"> Otros </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c>
          <w:tcPr>
            <w:tcW w:w="751"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w:t>
            </w:r>
          </w:p>
        </w:tc>
        <w:tc>
          <w:tcPr>
            <w:tcW w:w="752" w:type="dxa"/>
            <w:tcBorders>
              <w:top w:val="nil"/>
              <w:left w:val="nil"/>
              <w:bottom w:val="single" w:sz="4" w:space="0" w:color="auto"/>
              <w:right w:val="single" w:sz="4" w:space="0" w:color="auto"/>
            </w:tcBorders>
            <w:shd w:val="clear" w:color="auto" w:fill="FFFFFF" w:themeFill="background1"/>
            <w:noWrap/>
            <w:vAlign w:val="center"/>
            <w:hideMark/>
          </w:tcPr>
          <w:p w:rsidR="009E7CBA" w:rsidRPr="0086028A" w:rsidRDefault="009E7CBA" w:rsidP="00414B26">
            <w:pPr>
              <w:ind w:left="0"/>
              <w:jc w:val="right"/>
              <w:rPr>
                <w:rFonts w:ascii="Bookman Old Style" w:hAnsi="Bookman Old Style"/>
                <w:color w:val="000000"/>
                <w:sz w:val="12"/>
                <w:szCs w:val="12"/>
                <w:lang w:val="es-CO" w:eastAsia="es-CO"/>
              </w:rPr>
            </w:pPr>
            <w:r w:rsidRPr="0086028A">
              <w:rPr>
                <w:rFonts w:ascii="Bookman Old Style" w:hAnsi="Bookman Old Style"/>
                <w:color w:val="000000"/>
                <w:sz w:val="12"/>
                <w:szCs w:val="12"/>
                <w:lang w:val="es-CO" w:eastAsia="es-CO"/>
              </w:rPr>
              <w:t>431</w:t>
            </w:r>
          </w:p>
        </w:tc>
      </w:tr>
    </w:tbl>
    <w:p w:rsidR="00784B67" w:rsidRPr="00BF6B9C" w:rsidRDefault="00784B67" w:rsidP="00341E8F">
      <w:pPr>
        <w:widowControl w:val="0"/>
        <w:adjustRightInd w:val="0"/>
        <w:ind w:left="0"/>
        <w:jc w:val="center"/>
        <w:rPr>
          <w:rFonts w:ascii="Bookman Old Style" w:hAnsi="Bookman Old Style" w:cs="Arial"/>
          <w:b/>
        </w:rPr>
      </w:pPr>
    </w:p>
    <w:p w:rsidR="00784B67" w:rsidRPr="00BF6B9C" w:rsidRDefault="00784B67" w:rsidP="00341E8F">
      <w:pPr>
        <w:widowControl w:val="0"/>
        <w:adjustRightInd w:val="0"/>
        <w:ind w:left="0"/>
        <w:jc w:val="center"/>
        <w:rPr>
          <w:rFonts w:ascii="Bookman Old Style" w:hAnsi="Bookman Old Style" w:cs="Arial"/>
          <w:b/>
        </w:rPr>
      </w:pPr>
    </w:p>
    <w:p w:rsidR="003836A4" w:rsidRDefault="003836A4" w:rsidP="00341E8F">
      <w:pPr>
        <w:widowControl w:val="0"/>
        <w:adjustRightInd w:val="0"/>
        <w:ind w:left="0"/>
        <w:jc w:val="center"/>
        <w:rPr>
          <w:rFonts w:ascii="Bookman Old Style" w:hAnsi="Bookman Old Style" w:cs="Arial"/>
          <w:b/>
        </w:rPr>
      </w:pPr>
    </w:p>
    <w:p w:rsidR="0086028A" w:rsidRDefault="0086028A" w:rsidP="00341E8F">
      <w:pPr>
        <w:widowControl w:val="0"/>
        <w:adjustRightInd w:val="0"/>
        <w:ind w:left="0"/>
        <w:jc w:val="center"/>
        <w:rPr>
          <w:rFonts w:ascii="Bookman Old Style" w:hAnsi="Bookman Old Style" w:cs="Arial"/>
          <w:b/>
        </w:rPr>
      </w:pPr>
    </w:p>
    <w:p w:rsidR="0086028A" w:rsidRDefault="0086028A" w:rsidP="00341E8F">
      <w:pPr>
        <w:widowControl w:val="0"/>
        <w:adjustRightInd w:val="0"/>
        <w:ind w:left="0"/>
        <w:jc w:val="center"/>
        <w:rPr>
          <w:rFonts w:ascii="Bookman Old Style" w:hAnsi="Bookman Old Style" w:cs="Arial"/>
          <w:b/>
        </w:rPr>
      </w:pPr>
    </w:p>
    <w:p w:rsidR="0086028A" w:rsidRPr="00BF6B9C" w:rsidRDefault="0086028A" w:rsidP="00341E8F">
      <w:pPr>
        <w:widowControl w:val="0"/>
        <w:adjustRightInd w:val="0"/>
        <w:ind w:left="0"/>
        <w:jc w:val="center"/>
        <w:rPr>
          <w:rFonts w:ascii="Bookman Old Style" w:hAnsi="Bookman Old Style" w:cs="Arial"/>
          <w:b/>
        </w:rPr>
      </w:pPr>
    </w:p>
    <w:tbl>
      <w:tblPr>
        <w:tblW w:w="9781" w:type="dxa"/>
        <w:tblLayout w:type="fixed"/>
        <w:tblCellMar>
          <w:left w:w="70" w:type="dxa"/>
          <w:right w:w="70" w:type="dxa"/>
        </w:tblCellMar>
        <w:tblLook w:val="04A0" w:firstRow="1" w:lastRow="0" w:firstColumn="1" w:lastColumn="0" w:noHBand="0" w:noVBand="1"/>
      </w:tblPr>
      <w:tblGrid>
        <w:gridCol w:w="5103"/>
        <w:gridCol w:w="4678"/>
      </w:tblGrid>
      <w:tr w:rsidR="0086028A" w:rsidRPr="00E07CE8" w:rsidTr="004F31AB">
        <w:trPr>
          <w:trHeight w:val="302"/>
        </w:trPr>
        <w:tc>
          <w:tcPr>
            <w:tcW w:w="5103" w:type="dxa"/>
          </w:tcPr>
          <w:p w:rsidR="0086028A" w:rsidRPr="00E07CE8" w:rsidRDefault="0086028A" w:rsidP="004F31AB">
            <w:pPr>
              <w:ind w:left="0"/>
              <w:jc w:val="center"/>
              <w:rPr>
                <w:rFonts w:ascii="Bookman Old Style" w:hAnsi="Bookman Old Style" w:cs="Arial"/>
                <w:b/>
                <w:bCs/>
              </w:rPr>
            </w:pPr>
            <w:r w:rsidRPr="00486601">
              <w:rPr>
                <w:rFonts w:ascii="Bookman Old Style" w:hAnsi="Bookman Old Style" w:cs="Arial"/>
                <w:b/>
              </w:rPr>
              <w:t>RUTTY PAOLA ORTIZ JARA</w:t>
            </w:r>
          </w:p>
        </w:tc>
        <w:tc>
          <w:tcPr>
            <w:tcW w:w="4678" w:type="dxa"/>
            <w:hideMark/>
          </w:tcPr>
          <w:p w:rsidR="0086028A" w:rsidRPr="00E07CE8" w:rsidRDefault="0086028A" w:rsidP="004F31AB">
            <w:pPr>
              <w:ind w:left="0"/>
              <w:jc w:val="center"/>
              <w:rPr>
                <w:rFonts w:ascii="Bookman Old Style" w:hAnsi="Bookman Old Style" w:cs="Arial"/>
                <w:b/>
                <w:spacing w:val="-3"/>
                <w:sz w:val="22"/>
                <w:szCs w:val="22"/>
                <w:lang w:val="es-ES_tradnl"/>
              </w:rPr>
            </w:pPr>
            <w:r w:rsidRPr="006F6765">
              <w:rPr>
                <w:rFonts w:ascii="Bookman Old Style" w:hAnsi="Bookman Old Style" w:cs="Arial"/>
                <w:b/>
                <w:bCs/>
              </w:rPr>
              <w:t>GERMÁN CASTRO FERREIRA</w:t>
            </w:r>
          </w:p>
        </w:tc>
      </w:tr>
      <w:tr w:rsidR="0086028A" w:rsidRPr="00E07CE8" w:rsidTr="004F31AB">
        <w:trPr>
          <w:trHeight w:val="572"/>
        </w:trPr>
        <w:tc>
          <w:tcPr>
            <w:tcW w:w="5103" w:type="dxa"/>
          </w:tcPr>
          <w:p w:rsidR="0086028A" w:rsidRPr="00E97F33" w:rsidRDefault="0086028A" w:rsidP="004F31AB">
            <w:pPr>
              <w:widowControl w:val="0"/>
              <w:ind w:left="0"/>
              <w:jc w:val="center"/>
              <w:rPr>
                <w:rFonts w:ascii="Bookman Old Style" w:hAnsi="Bookman Old Style" w:cs="Arial"/>
              </w:rPr>
            </w:pPr>
            <w:r>
              <w:rPr>
                <w:rFonts w:ascii="Bookman Old Style" w:hAnsi="Bookman Old Style" w:cs="Arial"/>
              </w:rPr>
              <w:t>Viceministra</w:t>
            </w:r>
            <w:r w:rsidRPr="00E97F33">
              <w:rPr>
                <w:rFonts w:ascii="Bookman Old Style" w:hAnsi="Bookman Old Style" w:cs="Arial"/>
              </w:rPr>
              <w:t xml:space="preserve"> de Energía</w:t>
            </w:r>
          </w:p>
          <w:p w:rsidR="0086028A" w:rsidRPr="00E07CE8" w:rsidRDefault="0086028A" w:rsidP="004F31AB">
            <w:pPr>
              <w:ind w:left="0"/>
              <w:jc w:val="center"/>
              <w:rPr>
                <w:rFonts w:ascii="Bookman Old Style" w:hAnsi="Bookman Old Style" w:cs="Arial"/>
                <w:spacing w:val="-3"/>
              </w:rPr>
            </w:pPr>
            <w:r w:rsidRPr="00E97F33">
              <w:rPr>
                <w:rFonts w:ascii="Bookman Old Style" w:hAnsi="Bookman Old Style" w:cs="Arial"/>
              </w:rPr>
              <w:t>Delegada del Ministro de Minas y Energía Presidente</w:t>
            </w:r>
          </w:p>
        </w:tc>
        <w:tc>
          <w:tcPr>
            <w:tcW w:w="4678" w:type="dxa"/>
            <w:hideMark/>
          </w:tcPr>
          <w:p w:rsidR="0086028A" w:rsidRPr="00E07CE8" w:rsidRDefault="0086028A" w:rsidP="004F31AB">
            <w:pPr>
              <w:ind w:left="0"/>
              <w:jc w:val="center"/>
              <w:rPr>
                <w:rFonts w:ascii="Bookman Old Style" w:hAnsi="Bookman Old Style" w:cs="Arial"/>
                <w:spacing w:val="-3"/>
                <w:lang w:val="es-ES_tradnl"/>
              </w:rPr>
            </w:pPr>
            <w:r w:rsidRPr="00E97F33">
              <w:rPr>
                <w:rFonts w:ascii="Bookman Old Style" w:hAnsi="Bookman Old Style" w:cs="Arial"/>
                <w:bCs/>
              </w:rPr>
              <w:t>Director Ejecutivo</w:t>
            </w:r>
          </w:p>
        </w:tc>
      </w:tr>
    </w:tbl>
    <w:p w:rsidR="00EF3AB1" w:rsidRPr="00BF6B9C" w:rsidRDefault="00EF3AB1" w:rsidP="00EF3AB1">
      <w:pPr>
        <w:ind w:left="0"/>
        <w:rPr>
          <w:rFonts w:ascii="Bookman Old Style" w:hAnsi="Bookman Old Style"/>
        </w:rPr>
      </w:pPr>
    </w:p>
    <w:p w:rsidR="00E45B5D" w:rsidRPr="00BF6B9C" w:rsidRDefault="00E45B5D">
      <w:pPr>
        <w:ind w:left="0"/>
        <w:rPr>
          <w:rFonts w:ascii="Bookman Old Style" w:hAnsi="Bookman Old Style"/>
        </w:rPr>
      </w:pPr>
    </w:p>
    <w:p w:rsidR="00E45B5D" w:rsidRPr="00BF6B9C" w:rsidRDefault="00E45B5D">
      <w:pPr>
        <w:ind w:left="0"/>
        <w:rPr>
          <w:rFonts w:ascii="Bookman Old Style" w:hAnsi="Bookman Old Style"/>
        </w:rPr>
      </w:pPr>
    </w:p>
    <w:p w:rsidR="00E45B5D" w:rsidRPr="00BF6B9C" w:rsidRDefault="00E45B5D">
      <w:pPr>
        <w:ind w:left="0"/>
        <w:rPr>
          <w:rFonts w:ascii="Bookman Old Style" w:hAnsi="Bookman Old Style"/>
        </w:rPr>
      </w:pPr>
    </w:p>
    <w:p w:rsidR="00E45B5D" w:rsidRPr="00BF6B9C" w:rsidRDefault="00E45B5D">
      <w:pPr>
        <w:ind w:left="0"/>
        <w:rPr>
          <w:rFonts w:ascii="Bookman Old Style" w:hAnsi="Bookman Old Style"/>
        </w:rPr>
      </w:pPr>
    </w:p>
    <w:p w:rsidR="00E45B5D" w:rsidRPr="00BF6B9C" w:rsidRDefault="00E45B5D" w:rsidP="00414B26">
      <w:pPr>
        <w:widowControl w:val="0"/>
        <w:adjustRightInd w:val="0"/>
        <w:ind w:left="0"/>
        <w:rPr>
          <w:rFonts w:ascii="Bookman Old Style" w:hAnsi="Bookman Old Style" w:cs="Arial"/>
          <w:b/>
        </w:rPr>
      </w:pPr>
    </w:p>
    <w:p w:rsidR="0086028A" w:rsidRDefault="00AB2497" w:rsidP="00414B26">
      <w:pPr>
        <w:ind w:left="0"/>
        <w:jc w:val="center"/>
        <w:rPr>
          <w:rFonts w:ascii="Bookman Old Style" w:hAnsi="Bookman Old Style" w:cs="Arial"/>
          <w:b/>
        </w:rPr>
      </w:pPr>
      <w:r w:rsidRPr="00BF6B9C">
        <w:rPr>
          <w:rFonts w:ascii="Bookman Old Style" w:hAnsi="Bookman Old Style" w:cs="Arial"/>
          <w:b/>
        </w:rPr>
        <w:br w:type="page"/>
      </w:r>
    </w:p>
    <w:p w:rsidR="0086028A" w:rsidRDefault="0086028A" w:rsidP="00414B26">
      <w:pPr>
        <w:ind w:left="0"/>
        <w:jc w:val="center"/>
        <w:rPr>
          <w:rFonts w:ascii="Bookman Old Style" w:hAnsi="Bookman Old Style" w:cs="Arial"/>
          <w:b/>
        </w:rPr>
      </w:pPr>
    </w:p>
    <w:p w:rsidR="00273C2C" w:rsidRPr="00BF6B9C" w:rsidRDefault="003836A4" w:rsidP="00414B26">
      <w:pPr>
        <w:ind w:left="0"/>
        <w:jc w:val="center"/>
        <w:rPr>
          <w:rFonts w:ascii="Bookman Old Style" w:hAnsi="Bookman Old Style" w:cs="Arial"/>
          <w:b/>
        </w:rPr>
      </w:pPr>
      <w:r w:rsidRPr="00BF6B9C">
        <w:rPr>
          <w:rFonts w:ascii="Bookman Old Style" w:hAnsi="Bookman Old Style" w:cs="Arial"/>
          <w:b/>
        </w:rPr>
        <w:t>A</w:t>
      </w:r>
      <w:r w:rsidR="00273C2C" w:rsidRPr="00BF6B9C">
        <w:rPr>
          <w:rFonts w:ascii="Bookman Old Style" w:hAnsi="Bookman Old Style" w:cs="Arial"/>
          <w:b/>
        </w:rPr>
        <w:t>NEXO 3</w:t>
      </w:r>
    </w:p>
    <w:p w:rsidR="00273C2C" w:rsidRPr="00BF6B9C" w:rsidRDefault="00273C2C" w:rsidP="00341E8F">
      <w:pPr>
        <w:widowControl w:val="0"/>
        <w:adjustRightInd w:val="0"/>
        <w:ind w:left="0"/>
        <w:jc w:val="center"/>
        <w:rPr>
          <w:rFonts w:ascii="Bookman Old Style" w:hAnsi="Bookman Old Style" w:cs="Arial"/>
          <w:b/>
        </w:rPr>
      </w:pPr>
    </w:p>
    <w:p w:rsidR="00273C2C" w:rsidRPr="00BF6B9C" w:rsidRDefault="00273C2C" w:rsidP="00341E8F">
      <w:pPr>
        <w:widowControl w:val="0"/>
        <w:adjustRightInd w:val="0"/>
        <w:ind w:left="0"/>
        <w:jc w:val="center"/>
        <w:rPr>
          <w:rFonts w:ascii="Bookman Old Style" w:hAnsi="Bookman Old Style" w:cs="Arial"/>
          <w:b/>
        </w:rPr>
      </w:pPr>
      <w:r w:rsidRPr="00BF6B9C">
        <w:rPr>
          <w:rFonts w:ascii="Bookman Old Style" w:hAnsi="Bookman Old Style" w:cs="Arial"/>
          <w:b/>
        </w:rPr>
        <w:t>PROYECCIÓN DE GASTOS AOM-</w:t>
      </w:r>
    </w:p>
    <w:p w:rsidR="00273C2C" w:rsidRPr="00BF6B9C" w:rsidRDefault="00273C2C" w:rsidP="00341E8F">
      <w:pPr>
        <w:widowControl w:val="0"/>
        <w:adjustRightInd w:val="0"/>
        <w:ind w:left="0"/>
        <w:jc w:val="center"/>
        <w:rPr>
          <w:rFonts w:ascii="Bookman Old Style" w:hAnsi="Bookman Old Style" w:cs="Arial"/>
          <w:b/>
        </w:rPr>
      </w:pPr>
      <w:r w:rsidRPr="00BF6B9C">
        <w:rPr>
          <w:rFonts w:ascii="Bookman Old Style" w:hAnsi="Bookman Old Style" w:cs="Arial"/>
          <w:b/>
        </w:rPr>
        <w:t xml:space="preserve"> ADMINISTRACIÓN, OPERACIÓN Y MANTENIMIENTO </w:t>
      </w:r>
    </w:p>
    <w:p w:rsidR="00273C2C" w:rsidRPr="00BF6B9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BF6B9C" w:rsidTr="00414B26">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73C2C" w:rsidRPr="00BF6B9C" w:rsidRDefault="00273C2C" w:rsidP="00341E8F">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AÑO</w:t>
            </w:r>
          </w:p>
        </w:tc>
        <w:tc>
          <w:tcPr>
            <w:tcW w:w="2300" w:type="dxa"/>
            <w:tcBorders>
              <w:top w:val="single" w:sz="4" w:space="0" w:color="auto"/>
              <w:left w:val="nil"/>
              <w:bottom w:val="single" w:sz="4" w:space="0" w:color="auto"/>
              <w:right w:val="single" w:sz="4" w:space="0" w:color="auto"/>
            </w:tcBorders>
            <w:shd w:val="clear" w:color="000000" w:fill="F2F2F2"/>
            <w:vAlign w:val="center"/>
            <w:hideMark/>
          </w:tcPr>
          <w:p w:rsidR="00273C2C" w:rsidRPr="00BF6B9C" w:rsidRDefault="00273C2C" w:rsidP="00341E8F">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GASTOS AOM</w:t>
            </w:r>
          </w:p>
          <w:p w:rsidR="00273C2C" w:rsidRPr="00BF6B9C" w:rsidRDefault="00273C2C" w:rsidP="00341E8F">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 dic 201</w:t>
            </w:r>
            <w:r w:rsidR="00331004" w:rsidRPr="00BF6B9C">
              <w:rPr>
                <w:rFonts w:ascii="Bookman Old Style" w:hAnsi="Bookman Old Style" w:cs="Arial"/>
                <w:b/>
                <w:bCs/>
                <w:lang w:val="es-CO" w:eastAsia="es-CO"/>
              </w:rPr>
              <w:t>4</w:t>
            </w:r>
            <w:r w:rsidRPr="00BF6B9C">
              <w:rPr>
                <w:rFonts w:ascii="Bookman Old Style" w:hAnsi="Bookman Old Style" w:cs="Arial"/>
                <w:b/>
                <w:bCs/>
                <w:lang w:val="es-CO" w:eastAsia="es-CO"/>
              </w:rPr>
              <w:t>)</w:t>
            </w:r>
          </w:p>
        </w:tc>
      </w:tr>
      <w:tr w:rsidR="00A90C90" w:rsidRPr="00BF6B9C" w:rsidTr="00414B26">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57.225.226</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2</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60.631.096</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3</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4</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5</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6</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7</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8</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9</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10</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11</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12</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13</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14</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15</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16</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17</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18</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19</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90C90" w:rsidRPr="00BF6B9C" w:rsidTr="00414B26">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90C90" w:rsidRPr="00BF6B9C" w:rsidRDefault="00A90C90" w:rsidP="00A90C90">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20</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A90C90" w:rsidRPr="00BF6B9C" w:rsidRDefault="00A90C90" w:rsidP="00414B26">
            <w:pPr>
              <w:ind w:left="-77"/>
              <w:jc w:val="center"/>
              <w:rPr>
                <w:rFonts w:ascii="Bookman Old Style" w:hAnsi="Bookman Old Style" w:cs="Arial"/>
              </w:rPr>
            </w:pPr>
            <w:r w:rsidRPr="00BF6B9C">
              <w:rPr>
                <w:rFonts w:ascii="Bookman Old Style" w:hAnsi="Bookman Old Style"/>
                <w:color w:val="000000"/>
              </w:rPr>
              <w:t>64.813.897</w:t>
            </w:r>
          </w:p>
        </w:tc>
      </w:tr>
      <w:tr w:rsidR="00AF34EC" w:rsidRPr="00BF6B9C" w:rsidTr="00414B26">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4EC" w:rsidRPr="00BF6B9C" w:rsidRDefault="00AF34EC" w:rsidP="00AF34EC">
            <w:pPr>
              <w:ind w:left="0"/>
              <w:jc w:val="center"/>
              <w:rPr>
                <w:rFonts w:ascii="Bookman Old Style" w:hAnsi="Bookman Old Style" w:cs="Arial"/>
                <w:b/>
                <w:bCs/>
                <w:lang w:val="es-CO" w:eastAsia="es-CO"/>
              </w:rPr>
            </w:pPr>
            <w:r w:rsidRPr="00BF6B9C">
              <w:rPr>
                <w:rFonts w:ascii="Bookman Old Style" w:hAnsi="Bookman Old Style" w:cs="Arial"/>
                <w:b/>
                <w:bCs/>
                <w:lang w:val="es-CO" w:eastAsia="es-CO"/>
              </w:rPr>
              <w:t xml:space="preserve">VPN(2015) </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F34EC" w:rsidRPr="00BF6B9C" w:rsidRDefault="00AF34EC">
            <w:pPr>
              <w:ind w:left="-77"/>
              <w:jc w:val="center"/>
              <w:rPr>
                <w:rFonts w:ascii="Bookman Old Style" w:hAnsi="Bookman Old Style" w:cs="Arial"/>
                <w:b/>
              </w:rPr>
            </w:pPr>
            <w:r w:rsidRPr="00BF6B9C">
              <w:rPr>
                <w:rFonts w:ascii="Bookman Old Style" w:hAnsi="Bookman Old Style"/>
                <w:b/>
                <w:color w:val="000000"/>
              </w:rPr>
              <w:t>437.788.541</w:t>
            </w:r>
          </w:p>
        </w:tc>
      </w:tr>
      <w:tr w:rsidR="00AF34EC" w:rsidRPr="00BF6B9C" w:rsidTr="00414B26">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AF34EC" w:rsidRPr="00BF6B9C" w:rsidRDefault="00AF34EC" w:rsidP="00AF34EC">
            <w:pPr>
              <w:ind w:left="-31"/>
              <w:jc w:val="center"/>
              <w:rPr>
                <w:rFonts w:ascii="Bookman Old Style" w:hAnsi="Bookman Old Style"/>
              </w:rPr>
            </w:pPr>
            <w:r w:rsidRPr="00BF6B9C">
              <w:rPr>
                <w:rFonts w:ascii="Bookman Old Style" w:hAnsi="Bookman Old Style" w:cs="Arial"/>
                <w:b/>
                <w:bCs/>
                <w:lang w:val="es-CO" w:eastAsia="es-CO"/>
              </w:rPr>
              <w:t>VPN(2016)</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F34EC" w:rsidRPr="00BF6B9C" w:rsidRDefault="00AF34EC">
            <w:pPr>
              <w:ind w:left="-77"/>
              <w:jc w:val="center"/>
              <w:rPr>
                <w:rFonts w:ascii="Bookman Old Style" w:hAnsi="Bookman Old Style" w:cs="Arial"/>
                <w:b/>
              </w:rPr>
            </w:pPr>
            <w:r w:rsidRPr="00BF6B9C">
              <w:rPr>
                <w:rFonts w:ascii="Bookman Old Style" w:hAnsi="Bookman Old Style"/>
                <w:b/>
                <w:color w:val="000000"/>
              </w:rPr>
              <w:t>431.767.862</w:t>
            </w:r>
          </w:p>
        </w:tc>
      </w:tr>
      <w:tr w:rsidR="00AF34EC" w:rsidRPr="00BF6B9C" w:rsidTr="00414B26">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AF34EC" w:rsidRPr="00BF6B9C" w:rsidRDefault="00AF34EC" w:rsidP="00AF34EC">
            <w:pPr>
              <w:ind w:left="-31"/>
              <w:jc w:val="center"/>
              <w:rPr>
                <w:rFonts w:ascii="Bookman Old Style" w:hAnsi="Bookman Old Style"/>
              </w:rPr>
            </w:pPr>
            <w:r w:rsidRPr="00BF6B9C">
              <w:rPr>
                <w:rFonts w:ascii="Bookman Old Style" w:hAnsi="Bookman Old Style" w:cs="Arial"/>
                <w:b/>
                <w:bCs/>
                <w:lang w:val="es-CO" w:eastAsia="es-CO"/>
              </w:rPr>
              <w:t>VPN(2017)</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F34EC" w:rsidRPr="00BF6B9C" w:rsidRDefault="00AF34EC">
            <w:pPr>
              <w:ind w:left="-77"/>
              <w:jc w:val="center"/>
              <w:rPr>
                <w:rFonts w:ascii="Bookman Old Style" w:hAnsi="Bookman Old Style" w:cs="Arial"/>
                <w:b/>
              </w:rPr>
            </w:pPr>
            <w:r w:rsidRPr="00BF6B9C">
              <w:rPr>
                <w:rFonts w:ascii="Bookman Old Style" w:hAnsi="Bookman Old Style"/>
                <w:b/>
                <w:color w:val="000000"/>
              </w:rPr>
              <w:t>420.135.872</w:t>
            </w:r>
          </w:p>
        </w:tc>
      </w:tr>
      <w:tr w:rsidR="00AF34EC" w:rsidRPr="00BF6B9C" w:rsidTr="00414B26">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AF34EC" w:rsidRPr="00BF6B9C" w:rsidRDefault="00AF34EC" w:rsidP="00AF34EC">
            <w:pPr>
              <w:ind w:left="-31"/>
              <w:jc w:val="center"/>
              <w:rPr>
                <w:rFonts w:ascii="Bookman Old Style" w:hAnsi="Bookman Old Style"/>
              </w:rPr>
            </w:pPr>
            <w:r w:rsidRPr="00BF6B9C">
              <w:rPr>
                <w:rFonts w:ascii="Bookman Old Style" w:hAnsi="Bookman Old Style" w:cs="Arial"/>
                <w:b/>
                <w:bCs/>
                <w:lang w:val="es-CO" w:eastAsia="es-CO"/>
              </w:rPr>
              <w:t>VPN(2018)</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F34EC" w:rsidRPr="00BF6B9C" w:rsidRDefault="00AF34EC">
            <w:pPr>
              <w:ind w:left="-77"/>
              <w:jc w:val="center"/>
              <w:rPr>
                <w:rFonts w:ascii="Bookman Old Style" w:hAnsi="Bookman Old Style" w:cs="Arial"/>
                <w:b/>
              </w:rPr>
            </w:pPr>
            <w:r w:rsidRPr="00BF6B9C">
              <w:rPr>
                <w:rFonts w:ascii="Bookman Old Style" w:hAnsi="Bookman Old Style"/>
                <w:b/>
                <w:color w:val="000000"/>
              </w:rPr>
              <w:t>413.793.027</w:t>
            </w:r>
          </w:p>
        </w:tc>
      </w:tr>
      <w:tr w:rsidR="00AF34EC" w:rsidRPr="00BF6B9C" w:rsidTr="00414B26">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AF34EC" w:rsidRPr="00BF6B9C" w:rsidRDefault="00AF34EC" w:rsidP="00AF34EC">
            <w:pPr>
              <w:ind w:left="-31"/>
              <w:jc w:val="center"/>
              <w:rPr>
                <w:rFonts w:ascii="Bookman Old Style" w:hAnsi="Bookman Old Style"/>
              </w:rPr>
            </w:pPr>
            <w:r w:rsidRPr="00BF6B9C">
              <w:rPr>
                <w:rFonts w:ascii="Bookman Old Style" w:hAnsi="Bookman Old Style" w:cs="Arial"/>
                <w:b/>
                <w:bCs/>
                <w:lang w:val="es-CO" w:eastAsia="es-CO"/>
              </w:rPr>
              <w:t>VPN(2019)</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F34EC" w:rsidRPr="00BF6B9C" w:rsidRDefault="00AF34EC">
            <w:pPr>
              <w:ind w:left="-77"/>
              <w:jc w:val="center"/>
              <w:rPr>
                <w:rFonts w:ascii="Bookman Old Style" w:hAnsi="Bookman Old Style" w:cs="Arial"/>
                <w:b/>
              </w:rPr>
            </w:pPr>
            <w:r w:rsidRPr="00BF6B9C">
              <w:rPr>
                <w:rFonts w:ascii="Bookman Old Style" w:hAnsi="Bookman Old Style"/>
                <w:b/>
                <w:color w:val="000000"/>
              </w:rPr>
              <w:t>460.151.866</w:t>
            </w:r>
          </w:p>
        </w:tc>
      </w:tr>
    </w:tbl>
    <w:p w:rsidR="00273C2C" w:rsidRDefault="00273C2C" w:rsidP="00341E8F">
      <w:pPr>
        <w:widowControl w:val="0"/>
        <w:adjustRightInd w:val="0"/>
        <w:ind w:left="0"/>
        <w:jc w:val="center"/>
        <w:rPr>
          <w:rFonts w:ascii="Bookman Old Style" w:hAnsi="Bookman Old Style" w:cs="Arial"/>
          <w:b/>
        </w:rPr>
      </w:pPr>
    </w:p>
    <w:p w:rsidR="0086028A" w:rsidRDefault="0086028A" w:rsidP="00341E8F">
      <w:pPr>
        <w:widowControl w:val="0"/>
        <w:adjustRightInd w:val="0"/>
        <w:ind w:left="0"/>
        <w:jc w:val="center"/>
        <w:rPr>
          <w:rFonts w:ascii="Bookman Old Style" w:hAnsi="Bookman Old Style" w:cs="Arial"/>
          <w:b/>
        </w:rPr>
      </w:pPr>
    </w:p>
    <w:p w:rsidR="0086028A" w:rsidRPr="00BF6B9C" w:rsidRDefault="0086028A" w:rsidP="00341E8F">
      <w:pPr>
        <w:widowControl w:val="0"/>
        <w:adjustRightInd w:val="0"/>
        <w:ind w:left="0"/>
        <w:jc w:val="center"/>
        <w:rPr>
          <w:rFonts w:ascii="Bookman Old Style" w:hAnsi="Bookman Old Style" w:cs="Arial"/>
          <w:b/>
        </w:rPr>
      </w:pPr>
    </w:p>
    <w:p w:rsidR="00273C2C" w:rsidRPr="00BF6B9C" w:rsidRDefault="00273C2C" w:rsidP="00341E8F">
      <w:pPr>
        <w:widowControl w:val="0"/>
        <w:adjustRightInd w:val="0"/>
        <w:ind w:left="0"/>
        <w:jc w:val="center"/>
        <w:rPr>
          <w:rFonts w:ascii="Bookman Old Style" w:hAnsi="Bookman Old Style" w:cs="Arial"/>
          <w:b/>
        </w:rPr>
      </w:pPr>
    </w:p>
    <w:p w:rsidR="00884559" w:rsidRPr="00BF6B9C" w:rsidRDefault="00884559" w:rsidP="00341E8F">
      <w:pPr>
        <w:widowControl w:val="0"/>
        <w:adjustRightInd w:val="0"/>
        <w:ind w:left="0"/>
        <w:jc w:val="center"/>
        <w:rPr>
          <w:rFonts w:ascii="Bookman Old Style" w:hAnsi="Bookman Old Style" w:cs="Arial"/>
          <w:b/>
        </w:rPr>
      </w:pPr>
    </w:p>
    <w:tbl>
      <w:tblPr>
        <w:tblW w:w="9781" w:type="dxa"/>
        <w:tblLayout w:type="fixed"/>
        <w:tblCellMar>
          <w:left w:w="70" w:type="dxa"/>
          <w:right w:w="70" w:type="dxa"/>
        </w:tblCellMar>
        <w:tblLook w:val="04A0" w:firstRow="1" w:lastRow="0" w:firstColumn="1" w:lastColumn="0" w:noHBand="0" w:noVBand="1"/>
      </w:tblPr>
      <w:tblGrid>
        <w:gridCol w:w="5103"/>
        <w:gridCol w:w="4678"/>
      </w:tblGrid>
      <w:tr w:rsidR="0086028A" w:rsidRPr="00E07CE8" w:rsidTr="004F31AB">
        <w:trPr>
          <w:trHeight w:val="302"/>
        </w:trPr>
        <w:tc>
          <w:tcPr>
            <w:tcW w:w="5103" w:type="dxa"/>
          </w:tcPr>
          <w:p w:rsidR="0086028A" w:rsidRPr="00E07CE8" w:rsidRDefault="0086028A" w:rsidP="004F31AB">
            <w:pPr>
              <w:ind w:left="0"/>
              <w:jc w:val="center"/>
              <w:rPr>
                <w:rFonts w:ascii="Bookman Old Style" w:hAnsi="Bookman Old Style" w:cs="Arial"/>
                <w:b/>
                <w:bCs/>
              </w:rPr>
            </w:pPr>
            <w:r w:rsidRPr="00486601">
              <w:rPr>
                <w:rFonts w:ascii="Bookman Old Style" w:hAnsi="Bookman Old Style" w:cs="Arial"/>
                <w:b/>
              </w:rPr>
              <w:t>RUTTY PAOLA ORTIZ JARA</w:t>
            </w:r>
          </w:p>
        </w:tc>
        <w:tc>
          <w:tcPr>
            <w:tcW w:w="4678" w:type="dxa"/>
            <w:hideMark/>
          </w:tcPr>
          <w:p w:rsidR="0086028A" w:rsidRPr="00E07CE8" w:rsidRDefault="0086028A" w:rsidP="004F31AB">
            <w:pPr>
              <w:ind w:left="0"/>
              <w:jc w:val="center"/>
              <w:rPr>
                <w:rFonts w:ascii="Bookman Old Style" w:hAnsi="Bookman Old Style" w:cs="Arial"/>
                <w:b/>
                <w:spacing w:val="-3"/>
                <w:sz w:val="22"/>
                <w:szCs w:val="22"/>
                <w:lang w:val="es-ES_tradnl"/>
              </w:rPr>
            </w:pPr>
            <w:r w:rsidRPr="006F6765">
              <w:rPr>
                <w:rFonts w:ascii="Bookman Old Style" w:hAnsi="Bookman Old Style" w:cs="Arial"/>
                <w:b/>
                <w:bCs/>
              </w:rPr>
              <w:t>GERMÁN CASTRO FERREIRA</w:t>
            </w:r>
          </w:p>
        </w:tc>
      </w:tr>
      <w:tr w:rsidR="0086028A" w:rsidRPr="00E07CE8" w:rsidTr="004F31AB">
        <w:trPr>
          <w:trHeight w:val="572"/>
        </w:trPr>
        <w:tc>
          <w:tcPr>
            <w:tcW w:w="5103" w:type="dxa"/>
          </w:tcPr>
          <w:p w:rsidR="0086028A" w:rsidRPr="00E97F33" w:rsidRDefault="0086028A" w:rsidP="004F31AB">
            <w:pPr>
              <w:widowControl w:val="0"/>
              <w:ind w:left="0"/>
              <w:jc w:val="center"/>
              <w:rPr>
                <w:rFonts w:ascii="Bookman Old Style" w:hAnsi="Bookman Old Style" w:cs="Arial"/>
              </w:rPr>
            </w:pPr>
            <w:r>
              <w:rPr>
                <w:rFonts w:ascii="Bookman Old Style" w:hAnsi="Bookman Old Style" w:cs="Arial"/>
              </w:rPr>
              <w:t>Viceministra</w:t>
            </w:r>
            <w:r w:rsidRPr="00E97F33">
              <w:rPr>
                <w:rFonts w:ascii="Bookman Old Style" w:hAnsi="Bookman Old Style" w:cs="Arial"/>
              </w:rPr>
              <w:t xml:space="preserve"> de Energía</w:t>
            </w:r>
          </w:p>
          <w:p w:rsidR="0086028A" w:rsidRPr="00E07CE8" w:rsidRDefault="0086028A" w:rsidP="004F31AB">
            <w:pPr>
              <w:ind w:left="0"/>
              <w:jc w:val="center"/>
              <w:rPr>
                <w:rFonts w:ascii="Bookman Old Style" w:hAnsi="Bookman Old Style" w:cs="Arial"/>
                <w:spacing w:val="-3"/>
              </w:rPr>
            </w:pPr>
            <w:r w:rsidRPr="00E97F33">
              <w:rPr>
                <w:rFonts w:ascii="Bookman Old Style" w:hAnsi="Bookman Old Style" w:cs="Arial"/>
              </w:rPr>
              <w:t>Delegada del Ministro de Minas y Energía Presidente</w:t>
            </w:r>
          </w:p>
        </w:tc>
        <w:tc>
          <w:tcPr>
            <w:tcW w:w="4678" w:type="dxa"/>
            <w:hideMark/>
          </w:tcPr>
          <w:p w:rsidR="0086028A" w:rsidRPr="00E07CE8" w:rsidRDefault="0086028A" w:rsidP="004F31AB">
            <w:pPr>
              <w:ind w:left="0"/>
              <w:jc w:val="center"/>
              <w:rPr>
                <w:rFonts w:ascii="Bookman Old Style" w:hAnsi="Bookman Old Style" w:cs="Arial"/>
                <w:spacing w:val="-3"/>
                <w:lang w:val="es-ES_tradnl"/>
              </w:rPr>
            </w:pPr>
            <w:r w:rsidRPr="00E97F33">
              <w:rPr>
                <w:rFonts w:ascii="Bookman Old Style" w:hAnsi="Bookman Old Style" w:cs="Arial"/>
                <w:bCs/>
              </w:rPr>
              <w:t>Director Ejecutivo</w:t>
            </w:r>
          </w:p>
        </w:tc>
      </w:tr>
    </w:tbl>
    <w:p w:rsidR="000B0B85" w:rsidRPr="00BF6B9C" w:rsidRDefault="000B0B85" w:rsidP="000B0B85">
      <w:pPr>
        <w:ind w:left="0"/>
        <w:rPr>
          <w:rFonts w:ascii="Bookman Old Style" w:hAnsi="Bookman Old Style"/>
        </w:rPr>
      </w:pPr>
    </w:p>
    <w:tbl>
      <w:tblPr>
        <w:tblW w:w="9498" w:type="dxa"/>
        <w:tblInd w:w="-142" w:type="dxa"/>
        <w:tblLayout w:type="fixed"/>
        <w:tblCellMar>
          <w:left w:w="0" w:type="dxa"/>
          <w:right w:w="0" w:type="dxa"/>
        </w:tblCellMar>
        <w:tblLook w:val="04A0" w:firstRow="1" w:lastRow="0" w:firstColumn="1" w:lastColumn="0" w:noHBand="0" w:noVBand="1"/>
      </w:tblPr>
      <w:tblGrid>
        <w:gridCol w:w="4962"/>
        <w:gridCol w:w="4536"/>
      </w:tblGrid>
      <w:tr w:rsidR="000B0B85" w:rsidRPr="00BF6B9C" w:rsidTr="000B0B85">
        <w:tc>
          <w:tcPr>
            <w:tcW w:w="4962" w:type="dxa"/>
            <w:hideMark/>
          </w:tcPr>
          <w:p w:rsidR="000B0B85" w:rsidRPr="00BF6B9C" w:rsidRDefault="000B0B85" w:rsidP="0086028A">
            <w:pPr>
              <w:ind w:left="0"/>
              <w:rPr>
                <w:rFonts w:ascii="Bookman Old Style" w:hAnsi="Bookman Old Style" w:cs="Arial"/>
              </w:rPr>
            </w:pPr>
          </w:p>
        </w:tc>
        <w:tc>
          <w:tcPr>
            <w:tcW w:w="4536" w:type="dxa"/>
            <w:hideMark/>
          </w:tcPr>
          <w:p w:rsidR="000B0B85" w:rsidRPr="00BF6B9C" w:rsidRDefault="000B0B85" w:rsidP="00EC6DB3">
            <w:pPr>
              <w:snapToGrid w:val="0"/>
              <w:jc w:val="both"/>
              <w:rPr>
                <w:rFonts w:ascii="Bookman Old Style" w:hAnsi="Bookman Old Style" w:cs="Arial"/>
              </w:rPr>
            </w:pPr>
            <w:r w:rsidRPr="00BF6B9C">
              <w:rPr>
                <w:rFonts w:ascii="Bookman Old Style" w:hAnsi="Bookman Old Style" w:cs="Arial"/>
              </w:rPr>
              <w:t xml:space="preserve">          </w:t>
            </w:r>
          </w:p>
        </w:tc>
      </w:tr>
    </w:tbl>
    <w:p w:rsidR="00055B77" w:rsidRPr="00BF6B9C" w:rsidRDefault="00055B77" w:rsidP="00341E8F">
      <w:pPr>
        <w:widowControl w:val="0"/>
        <w:adjustRightInd w:val="0"/>
        <w:ind w:left="0"/>
        <w:jc w:val="center"/>
        <w:rPr>
          <w:rFonts w:ascii="Bookman Old Style" w:hAnsi="Bookman Old Style" w:cs="Arial"/>
          <w:b/>
        </w:rPr>
      </w:pPr>
    </w:p>
    <w:sectPr w:rsidR="00055B77" w:rsidRPr="00BF6B9C"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58" w:rsidRDefault="00F96958">
      <w:r>
        <w:separator/>
      </w:r>
    </w:p>
  </w:endnote>
  <w:endnote w:type="continuationSeparator" w:id="0">
    <w:p w:rsidR="00F96958" w:rsidRDefault="00F9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58" w:rsidRDefault="00F96958">
      <w:r>
        <w:separator/>
      </w:r>
    </w:p>
  </w:footnote>
  <w:footnote w:type="continuationSeparator" w:id="0">
    <w:p w:rsidR="00F96958" w:rsidRDefault="00F96958">
      <w:r>
        <w:continuationSeparator/>
      </w:r>
    </w:p>
  </w:footnote>
  <w:footnote w:id="1">
    <w:p w:rsidR="004F31AB" w:rsidRPr="00EA2219" w:rsidRDefault="004F31AB"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F31AB" w:rsidRPr="00487BB3" w:rsidRDefault="004F31AB" w:rsidP="00253925">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3">
    <w:p w:rsidR="004F31AB" w:rsidRPr="002C0CE9" w:rsidRDefault="004F31AB" w:rsidP="00253925">
      <w:pPr>
        <w:pStyle w:val="Textonotapie"/>
        <w:rPr>
          <w:rFonts w:ascii="Verdana" w:hAnsi="Verdana"/>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4">
    <w:p w:rsidR="004F31AB" w:rsidRPr="00487BB3" w:rsidRDefault="004F31AB" w:rsidP="00253925">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T-551 de 1992.</w:t>
      </w:r>
    </w:p>
  </w:footnote>
  <w:footnote w:id="5">
    <w:p w:rsidR="004F31AB" w:rsidRPr="00487BB3" w:rsidRDefault="004F31AB" w:rsidP="00253925">
      <w:pPr>
        <w:pStyle w:val="Textonotapie"/>
        <w:jc w:val="both"/>
        <w:rPr>
          <w:rFonts w:ascii="Bookman Old Style" w:hAnsi="Bookman Old Style"/>
          <w:sz w:val="18"/>
          <w:szCs w:val="18"/>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T- 551 de 2002.</w:t>
      </w:r>
    </w:p>
  </w:footnote>
  <w:footnote w:id="6">
    <w:p w:rsidR="004F31AB" w:rsidRPr="00EA2219" w:rsidRDefault="004F31AB" w:rsidP="009C5BF2">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7">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C-075 de 2006.</w:t>
      </w:r>
    </w:p>
  </w:footnote>
  <w:footnote w:id="8">
    <w:p w:rsidR="004F31AB" w:rsidRPr="00EA2219" w:rsidRDefault="004F31AB"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9">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SU-2010 de 2008.</w:t>
      </w:r>
    </w:p>
  </w:footnote>
  <w:footnote w:id="10">
    <w:p w:rsidR="004F31AB" w:rsidRPr="00EA2219" w:rsidRDefault="004F31AB"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1">
    <w:p w:rsidR="004F31AB" w:rsidRPr="00EA2219" w:rsidRDefault="004F31AB"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rsidR="004F31AB" w:rsidRPr="00EA2219" w:rsidRDefault="004F31AB" w:rsidP="009C5BF2">
      <w:pPr>
        <w:pStyle w:val="Textonotapie"/>
        <w:jc w:val="both"/>
        <w:rPr>
          <w:rFonts w:ascii="Bookman Old Style" w:hAnsi="Bookman Old Style" w:cs="Arial"/>
          <w:sz w:val="16"/>
          <w:szCs w:val="16"/>
        </w:rPr>
      </w:pPr>
    </w:p>
    <w:p w:rsidR="004F31AB" w:rsidRPr="00EA2219" w:rsidRDefault="004F31AB"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4F31AB" w:rsidRPr="00EA2219" w:rsidRDefault="004F31AB" w:rsidP="009C5BF2">
      <w:pPr>
        <w:pStyle w:val="Textonotapie"/>
        <w:jc w:val="both"/>
        <w:rPr>
          <w:rFonts w:ascii="Bookman Old Style" w:hAnsi="Bookman Old Style" w:cs="Arial"/>
          <w:sz w:val="16"/>
          <w:szCs w:val="16"/>
        </w:rPr>
      </w:pPr>
    </w:p>
    <w:p w:rsidR="004F31AB" w:rsidRPr="00EA2219" w:rsidRDefault="004F31AB"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p w:rsidR="004F31AB" w:rsidRPr="001F4E10" w:rsidRDefault="004F31AB" w:rsidP="009C5BF2">
      <w:pPr>
        <w:pStyle w:val="Textonotapie"/>
        <w:jc w:val="both"/>
        <w:rPr>
          <w:rFonts w:ascii="Arial" w:hAnsi="Arial" w:cs="Arial"/>
          <w:sz w:val="16"/>
          <w:szCs w:val="16"/>
        </w:rPr>
      </w:pPr>
    </w:p>
  </w:footnote>
  <w:footnote w:id="12">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p>
  </w:footnote>
  <w:footnote w:id="13">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14">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5">
    <w:p w:rsidR="004F31AB" w:rsidRPr="00EA2219" w:rsidRDefault="004F31AB"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6">
    <w:p w:rsidR="004F31AB" w:rsidRPr="00EA2219" w:rsidRDefault="004F31AB"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7">
    <w:p w:rsidR="004F31AB" w:rsidRPr="00EA2219" w:rsidRDefault="004F31AB"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C-263 de 2013.</w:t>
      </w:r>
    </w:p>
  </w:footnote>
  <w:footnote w:id="18">
    <w:p w:rsidR="004F31AB" w:rsidRPr="0007653A" w:rsidRDefault="004F31AB" w:rsidP="009C5BF2">
      <w:pPr>
        <w:pStyle w:val="Textonotapie"/>
        <w:jc w:val="both"/>
        <w:rPr>
          <w:rFonts w:ascii="Arial" w:hAnsi="Arial" w:cs="Arial"/>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9">
    <w:p w:rsidR="004F31AB" w:rsidRPr="002F7643" w:rsidRDefault="004F31AB" w:rsidP="00575330">
      <w:pPr>
        <w:pStyle w:val="Textonotapie"/>
        <w:jc w:val="both"/>
        <w:rPr>
          <w:rFonts w:ascii="Bookman Old Style" w:hAnsi="Bookman Old Style"/>
          <w:sz w:val="16"/>
          <w:szCs w:val="16"/>
        </w:rPr>
      </w:pPr>
      <w:r w:rsidRPr="002F7643">
        <w:rPr>
          <w:rStyle w:val="Refdenotaalpie"/>
          <w:rFonts w:ascii="Bookman Old Style" w:hAnsi="Bookman Old Style"/>
          <w:sz w:val="16"/>
          <w:szCs w:val="16"/>
        </w:rPr>
        <w:footnoteRef/>
      </w:r>
      <w:r w:rsidRPr="002F7643">
        <w:rPr>
          <w:rStyle w:val="Refdenotaalpie"/>
          <w:rFonts w:ascii="Bookman Old Style" w:hAnsi="Bookman Old Style"/>
          <w:sz w:val="16"/>
          <w:szCs w:val="16"/>
        </w:rPr>
        <w:t>[148]</w:t>
      </w:r>
      <w:r w:rsidRPr="002F7643">
        <w:rPr>
          <w:rFonts w:ascii="Bookman Old Style" w:hAnsi="Bookman Old Style"/>
          <w:sz w:val="16"/>
          <w:szCs w:val="16"/>
        </w:rPr>
        <w:t xml:space="preserve"> Sentencia C-389 de 2002; M.P. Clara Inés Vargas Hernández, precitada.</w:t>
      </w:r>
    </w:p>
  </w:footnote>
  <w:footnote w:id="20">
    <w:p w:rsidR="004F31AB" w:rsidRDefault="004F31AB">
      <w:pPr>
        <w:pStyle w:val="Textonotapie"/>
      </w:pPr>
      <w:r w:rsidRPr="002F7643">
        <w:rPr>
          <w:rStyle w:val="Refdenotaalpie"/>
          <w:rFonts w:ascii="Bookman Old Style" w:hAnsi="Bookman Old Style"/>
          <w:sz w:val="16"/>
          <w:szCs w:val="16"/>
        </w:rPr>
        <w:footnoteRef/>
      </w:r>
      <w:r w:rsidRPr="002F7643">
        <w:rPr>
          <w:rFonts w:ascii="Bookman Old Style" w:hAnsi="Bookman Old Style"/>
          <w:sz w:val="16"/>
          <w:szCs w:val="16"/>
        </w:rPr>
        <w:t xml:space="preserve"> Sentencia C-150 de 2003 M.P Manuel José Cepeda Espinosa.</w:t>
      </w:r>
    </w:p>
  </w:footnote>
  <w:footnote w:id="21">
    <w:p w:rsidR="004F31AB" w:rsidRPr="002F7643" w:rsidRDefault="004F31AB" w:rsidP="00FA0D0D">
      <w:pPr>
        <w:pStyle w:val="Textonotapie"/>
        <w:jc w:val="both"/>
        <w:rPr>
          <w:rFonts w:ascii="Bookman Old Style" w:hAnsi="Bookman Old Style"/>
          <w:sz w:val="16"/>
          <w:szCs w:val="16"/>
        </w:rPr>
      </w:pPr>
      <w:r w:rsidRPr="002F7643">
        <w:rPr>
          <w:rStyle w:val="Refdenotaalpie"/>
          <w:rFonts w:ascii="Bookman Old Style" w:hAnsi="Bookman Old Style"/>
          <w:sz w:val="16"/>
          <w:szCs w:val="16"/>
        </w:rPr>
        <w:footnoteRef/>
      </w:r>
      <w:r w:rsidRPr="002F7643">
        <w:rPr>
          <w:rFonts w:ascii="Bookman Old Style" w:hAnsi="Bookman Old Style"/>
          <w:sz w:val="16"/>
          <w:szCs w:val="16"/>
        </w:rPr>
        <w:t xml:space="preserve"> Resolución CREG 202 de 2013, Artículo 9º. </w:t>
      </w:r>
      <w:r w:rsidRPr="002F7643">
        <w:rPr>
          <w:rFonts w:ascii="Bookman Old Style" w:hAnsi="Bookman Old Style"/>
          <w:bCs/>
          <w:sz w:val="16"/>
          <w:szCs w:val="16"/>
          <w:lang w:val="es-ES"/>
        </w:rPr>
        <w:t>METODOLOGÍA PARA EL CÁLCULO DE LOS CARGOS DE DISTRIBUCION A PARTIR DE LOS COSTOS MEDIOS HISTÓRICOS O COSTOS MEDIOS DE MEDIANO PLAZO.</w:t>
      </w:r>
    </w:p>
  </w:footnote>
  <w:footnote w:id="22">
    <w:p w:rsidR="004F31AB" w:rsidRPr="00EA2219" w:rsidRDefault="004F31AB"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3">
    <w:p w:rsidR="004F31AB" w:rsidRPr="00EA2219" w:rsidRDefault="004F31AB"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Ver entre otros el Auto I-2013-</w:t>
      </w:r>
      <w:r>
        <w:rPr>
          <w:rFonts w:ascii="Bookman Old Style" w:hAnsi="Bookman Old Style"/>
          <w:sz w:val="16"/>
          <w:szCs w:val="16"/>
        </w:rPr>
        <w:t xml:space="preserve">002499 solución de conflictos </w:t>
      </w:r>
      <w:r w:rsidRPr="00EA2219">
        <w:rPr>
          <w:rFonts w:ascii="Bookman Old Style" w:hAnsi="Bookman Old Style"/>
          <w:sz w:val="16"/>
          <w:szCs w:val="16"/>
        </w:rPr>
        <w:t xml:space="preserve">entre EPM y TGI en materia de </w:t>
      </w:r>
      <w:r w:rsidRPr="006E1C54">
        <w:rPr>
          <w:rFonts w:ascii="Bookman Old Style" w:hAnsi="Bookman Old Style"/>
          <w:sz w:val="16"/>
          <w:szCs w:val="16"/>
        </w:rPr>
        <w:t>contratos</w:t>
      </w:r>
      <w:r w:rsidRPr="00EA2219">
        <w:rPr>
          <w:rFonts w:ascii="Bookman Old Style" w:hAnsi="Bookman Old Style"/>
          <w:sz w:val="16"/>
          <w:szCs w:val="16"/>
        </w:rPr>
        <w:t xml:space="preserve"> de </w:t>
      </w:r>
      <w:r w:rsidRPr="006E1C54">
        <w:rPr>
          <w:rFonts w:ascii="Bookman Old Style" w:hAnsi="Bookman Old Style"/>
          <w:sz w:val="16"/>
          <w:szCs w:val="16"/>
        </w:rPr>
        <w:t>transporte</w:t>
      </w:r>
      <w:r w:rsidRPr="00EA2219">
        <w:rPr>
          <w:rFonts w:ascii="Bookman Old Style" w:hAnsi="Bookman Old Style"/>
          <w:sz w:val="16"/>
          <w:szCs w:val="16"/>
        </w:rPr>
        <w:t xml:space="preserve"> de gas natural.</w:t>
      </w:r>
    </w:p>
  </w:footnote>
  <w:footnote w:id="24">
    <w:p w:rsidR="004F31AB" w:rsidRPr="00EA2219" w:rsidRDefault="004F31AB" w:rsidP="00EA2219">
      <w:pPr>
        <w:pStyle w:val="Textonotapie"/>
        <w:ind w:left="-142"/>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5">
    <w:p w:rsidR="004F31AB" w:rsidRPr="008357F1" w:rsidRDefault="004F31AB" w:rsidP="009C5BF2">
      <w:pPr>
        <w:pStyle w:val="Textonotapie"/>
        <w:ind w:left="-142"/>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6">
    <w:p w:rsidR="004F31AB" w:rsidRPr="00EA2219" w:rsidRDefault="004F31AB"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7">
    <w:p w:rsidR="004F31AB" w:rsidRPr="00EA2219" w:rsidRDefault="004F31AB"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8">
    <w:p w:rsidR="004F31AB" w:rsidRPr="00F134CB" w:rsidRDefault="004F31AB"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9">
    <w:p w:rsidR="004F31AB" w:rsidRPr="00EA2219" w:rsidRDefault="004F31AB"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30">
    <w:p w:rsidR="004F31AB" w:rsidRPr="00EA2219" w:rsidRDefault="004F31AB" w:rsidP="00635BCB">
      <w:pPr>
        <w:pStyle w:val="Textonotapie"/>
        <w:rPr>
          <w:rFonts w:ascii="Bookman Old Style" w:hAnsi="Bookman Old Style" w:cs="Arial"/>
          <w:sz w:val="16"/>
          <w:szCs w:val="16"/>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rsidR="004F31AB" w:rsidRPr="00EA2219" w:rsidRDefault="004F31AB" w:rsidP="00635BCB">
      <w:pPr>
        <w:pStyle w:val="Textonotapie"/>
        <w:rPr>
          <w:rFonts w:ascii="Bookman Old Style" w:hAnsi="Bookman Old Style" w:cs="Arial"/>
          <w:sz w:val="16"/>
          <w:szCs w:val="16"/>
        </w:rPr>
      </w:pPr>
    </w:p>
    <w:p w:rsidR="004F31AB" w:rsidRPr="00EA2219" w:rsidRDefault="004F31AB" w:rsidP="00635BCB">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p w:rsidR="004F31AB" w:rsidRPr="00EA2219" w:rsidRDefault="004F31AB" w:rsidP="00635BCB">
      <w:pPr>
        <w:pStyle w:val="Textonotapie"/>
        <w:rPr>
          <w:rFonts w:ascii="Bookman Old Style" w:hAnsi="Bookman Old Style" w:cs="Arial"/>
          <w:sz w:val="16"/>
          <w:szCs w:val="16"/>
        </w:rPr>
      </w:pPr>
    </w:p>
  </w:footnote>
  <w:footnote w:id="31">
    <w:p w:rsidR="004F31AB" w:rsidRDefault="004F31AB" w:rsidP="00635BCB">
      <w:pPr>
        <w:pStyle w:val="Textonotapie"/>
        <w:jc w:val="both"/>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materia tarifaria como ocurre para el caso de las revisiones tarifarias como fue el caso de la Resolución CREG 062 de 2015.</w:t>
      </w:r>
    </w:p>
  </w:footnote>
  <w:footnote w:id="32">
    <w:p w:rsidR="004F31AB" w:rsidRPr="00837ECA" w:rsidRDefault="004F31AB" w:rsidP="00AF1FB3">
      <w:pPr>
        <w:pStyle w:val="Textonotapie"/>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3">
    <w:p w:rsidR="004F31AB" w:rsidRDefault="004F31AB" w:rsidP="006D153F">
      <w:pPr>
        <w:pStyle w:val="Textonotapie"/>
        <w:jc w:val="both"/>
      </w:pPr>
      <w:r w:rsidRPr="00244322">
        <w:rPr>
          <w:rFonts w:ascii="Bookman Old Style" w:hAnsi="Bookman Old Style" w:cs="Arial"/>
          <w:sz w:val="16"/>
          <w:szCs w:val="16"/>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B" w:rsidRDefault="004F31AB" w:rsidP="00951F79">
    <w:pPr>
      <w:pStyle w:val="Ttulo1"/>
      <w:ind w:right="6"/>
      <w:jc w:val="left"/>
      <w:rPr>
        <w:rFonts w:ascii="Bookman Old Style" w:hAnsi="Bookman Old Style" w:cs="Arial"/>
        <w:b w:val="0"/>
        <w:sz w:val="22"/>
        <w:szCs w:val="22"/>
      </w:rPr>
    </w:pPr>
  </w:p>
  <w:p w:rsidR="004F31AB" w:rsidRPr="00951F79" w:rsidRDefault="004F31A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D3035">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D3035">
      <w:fldChar w:fldCharType="begin"/>
    </w:r>
    <w:r w:rsidR="00DD3035">
      <w:instrText xml:space="preserve"> NUMPAGES  \* MERGEFORMAT </w:instrText>
    </w:r>
    <w:r w:rsidR="00DD3035">
      <w:fldChar w:fldCharType="separate"/>
    </w:r>
    <w:r w:rsidR="00DD3035" w:rsidRPr="00DD3035">
      <w:rPr>
        <w:rFonts w:ascii="Bookman Old Style" w:hAnsi="Bookman Old Style" w:cs="Arial"/>
        <w:b w:val="0"/>
        <w:noProof/>
        <w:sz w:val="22"/>
        <w:szCs w:val="22"/>
      </w:rPr>
      <w:t>44</w:t>
    </w:r>
    <w:r w:rsidR="00DD3035">
      <w:rPr>
        <w:rFonts w:ascii="Bookman Old Style" w:hAnsi="Bookman Old Style" w:cs="Arial"/>
        <w:b w:val="0"/>
        <w:noProof/>
        <w:sz w:val="22"/>
        <w:szCs w:val="22"/>
      </w:rPr>
      <w:fldChar w:fldCharType="end"/>
    </w:r>
  </w:p>
  <w:p w:rsidR="004F31AB" w:rsidRDefault="004F31AB" w:rsidP="00414B26">
    <w:pPr>
      <w:ind w:left="142" w:right="148"/>
      <w:jc w:val="both"/>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49D752C" wp14:editId="17A4F4D9">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D093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F31AB" w:rsidRPr="00BF6B9C" w:rsidRDefault="004F31AB" w:rsidP="00414B26">
    <w:pPr>
      <w:widowControl w:val="0"/>
      <w:adjustRightInd w:val="0"/>
      <w:ind w:left="0" w:right="20"/>
      <w:jc w:val="both"/>
      <w:rPr>
        <w:rFonts w:ascii="Bookman Old Style" w:hAnsi="Bookman Old Style" w:cs="Arial"/>
        <w:sz w:val="22"/>
        <w:szCs w:val="22"/>
        <w:lang w:val="es-ES_tradnl"/>
      </w:rPr>
    </w:pPr>
    <w:r w:rsidRPr="00BF6B9C">
      <w:rPr>
        <w:rFonts w:ascii="Bookman Old Style" w:hAnsi="Bookman Old Style" w:cs="Arial"/>
        <w:sz w:val="22"/>
        <w:szCs w:val="22"/>
        <w:lang w:val="es-ES_tradnl"/>
      </w:rPr>
      <w:t>Por la cual se aprueba cargo de distribución transitorio por uso del sistema de distribución de gas combustible por redes de tubería para el mercado relevante conformado por el municipio de Cáchira localizado en el departamento de Norte de Santander, según solicitud tarifaria presentada por la empresa PROMOTORA DE SERVICIOS PÚBLICOS S.A. E.S.P.</w:t>
    </w:r>
  </w:p>
  <w:p w:rsidR="004F31AB" w:rsidRPr="00D036CD" w:rsidRDefault="004F31AB"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AB" w:rsidRDefault="004F31A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4F31AB" w:rsidRDefault="004F31AB">
    <w:pPr>
      <w:pStyle w:val="Encabezado"/>
      <w:jc w:val="center"/>
      <w:rPr>
        <w:rFonts w:ascii="Arial" w:hAnsi="Arial" w:cs="Arial"/>
        <w:spacing w:val="20"/>
        <w:sz w:val="20"/>
      </w:rPr>
    </w:pPr>
  </w:p>
  <w:p w:rsidR="004F31AB" w:rsidRDefault="004F31A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AC7E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50E4"/>
    <w:rsid w:val="0000682F"/>
    <w:rsid w:val="00006AE2"/>
    <w:rsid w:val="000076A1"/>
    <w:rsid w:val="00012259"/>
    <w:rsid w:val="00014E2E"/>
    <w:rsid w:val="00016C18"/>
    <w:rsid w:val="000175DD"/>
    <w:rsid w:val="00025383"/>
    <w:rsid w:val="000275B9"/>
    <w:rsid w:val="0003128C"/>
    <w:rsid w:val="0003161B"/>
    <w:rsid w:val="00034816"/>
    <w:rsid w:val="00035D47"/>
    <w:rsid w:val="0003751B"/>
    <w:rsid w:val="00040A9E"/>
    <w:rsid w:val="00040F56"/>
    <w:rsid w:val="00042D57"/>
    <w:rsid w:val="000435F2"/>
    <w:rsid w:val="0004655A"/>
    <w:rsid w:val="00050211"/>
    <w:rsid w:val="000537E8"/>
    <w:rsid w:val="0005493F"/>
    <w:rsid w:val="00055B77"/>
    <w:rsid w:val="00060D57"/>
    <w:rsid w:val="0006208A"/>
    <w:rsid w:val="00063657"/>
    <w:rsid w:val="0007039A"/>
    <w:rsid w:val="00073FBC"/>
    <w:rsid w:val="00076680"/>
    <w:rsid w:val="00076A1D"/>
    <w:rsid w:val="00076DF2"/>
    <w:rsid w:val="0008073E"/>
    <w:rsid w:val="00082816"/>
    <w:rsid w:val="000879EC"/>
    <w:rsid w:val="0009160F"/>
    <w:rsid w:val="00091CDB"/>
    <w:rsid w:val="00092171"/>
    <w:rsid w:val="0009253D"/>
    <w:rsid w:val="000929BA"/>
    <w:rsid w:val="000937F9"/>
    <w:rsid w:val="00093F01"/>
    <w:rsid w:val="00093F91"/>
    <w:rsid w:val="00096E1F"/>
    <w:rsid w:val="000A15BD"/>
    <w:rsid w:val="000A19AC"/>
    <w:rsid w:val="000A3172"/>
    <w:rsid w:val="000A7E74"/>
    <w:rsid w:val="000B03C2"/>
    <w:rsid w:val="000B0B85"/>
    <w:rsid w:val="000B17F7"/>
    <w:rsid w:val="000B1B19"/>
    <w:rsid w:val="000B438E"/>
    <w:rsid w:val="000B61D7"/>
    <w:rsid w:val="000B667A"/>
    <w:rsid w:val="000C1134"/>
    <w:rsid w:val="000C3239"/>
    <w:rsid w:val="000C4768"/>
    <w:rsid w:val="000C750F"/>
    <w:rsid w:val="000C76CD"/>
    <w:rsid w:val="000D1308"/>
    <w:rsid w:val="000D26F8"/>
    <w:rsid w:val="000D7183"/>
    <w:rsid w:val="000E01B8"/>
    <w:rsid w:val="000E2037"/>
    <w:rsid w:val="000E644D"/>
    <w:rsid w:val="000E65FF"/>
    <w:rsid w:val="000E7A38"/>
    <w:rsid w:val="000E7F51"/>
    <w:rsid w:val="000F1132"/>
    <w:rsid w:val="000F18B2"/>
    <w:rsid w:val="000F3230"/>
    <w:rsid w:val="000F410B"/>
    <w:rsid w:val="0010055F"/>
    <w:rsid w:val="0010512E"/>
    <w:rsid w:val="00105372"/>
    <w:rsid w:val="0010707E"/>
    <w:rsid w:val="001072B9"/>
    <w:rsid w:val="00113128"/>
    <w:rsid w:val="0011341F"/>
    <w:rsid w:val="00113949"/>
    <w:rsid w:val="001139FA"/>
    <w:rsid w:val="00114837"/>
    <w:rsid w:val="001202B9"/>
    <w:rsid w:val="0012200E"/>
    <w:rsid w:val="00122CFB"/>
    <w:rsid w:val="001279E4"/>
    <w:rsid w:val="00130B51"/>
    <w:rsid w:val="00131585"/>
    <w:rsid w:val="00135116"/>
    <w:rsid w:val="0014017F"/>
    <w:rsid w:val="001405C6"/>
    <w:rsid w:val="00141013"/>
    <w:rsid w:val="00143228"/>
    <w:rsid w:val="00146A9D"/>
    <w:rsid w:val="00154D61"/>
    <w:rsid w:val="00155EEB"/>
    <w:rsid w:val="00157E9E"/>
    <w:rsid w:val="00160B5E"/>
    <w:rsid w:val="001748A3"/>
    <w:rsid w:val="00177A83"/>
    <w:rsid w:val="001803B2"/>
    <w:rsid w:val="00182325"/>
    <w:rsid w:val="0018547A"/>
    <w:rsid w:val="001902A2"/>
    <w:rsid w:val="00192CBF"/>
    <w:rsid w:val="00192FF1"/>
    <w:rsid w:val="001931A8"/>
    <w:rsid w:val="001946B2"/>
    <w:rsid w:val="001947CE"/>
    <w:rsid w:val="0019480C"/>
    <w:rsid w:val="00194AD4"/>
    <w:rsid w:val="001954E9"/>
    <w:rsid w:val="00195E5B"/>
    <w:rsid w:val="001A5F1B"/>
    <w:rsid w:val="001B0D07"/>
    <w:rsid w:val="001B1484"/>
    <w:rsid w:val="001B1B20"/>
    <w:rsid w:val="001B1C22"/>
    <w:rsid w:val="001B34C6"/>
    <w:rsid w:val="001B3C74"/>
    <w:rsid w:val="001B6003"/>
    <w:rsid w:val="001B61EB"/>
    <w:rsid w:val="001B6AC6"/>
    <w:rsid w:val="001C1345"/>
    <w:rsid w:val="001C24F8"/>
    <w:rsid w:val="001C3899"/>
    <w:rsid w:val="001C4977"/>
    <w:rsid w:val="001C6723"/>
    <w:rsid w:val="001C7B61"/>
    <w:rsid w:val="001D033A"/>
    <w:rsid w:val="001D7832"/>
    <w:rsid w:val="001E2BE7"/>
    <w:rsid w:val="001E2FAE"/>
    <w:rsid w:val="001E738F"/>
    <w:rsid w:val="001F3765"/>
    <w:rsid w:val="00203B4C"/>
    <w:rsid w:val="00203B82"/>
    <w:rsid w:val="002041EA"/>
    <w:rsid w:val="002044C4"/>
    <w:rsid w:val="00204F46"/>
    <w:rsid w:val="002066D3"/>
    <w:rsid w:val="0021065A"/>
    <w:rsid w:val="00211D34"/>
    <w:rsid w:val="00213668"/>
    <w:rsid w:val="00214F04"/>
    <w:rsid w:val="00215B3E"/>
    <w:rsid w:val="00217844"/>
    <w:rsid w:val="002209C0"/>
    <w:rsid w:val="00221F55"/>
    <w:rsid w:val="00226ECF"/>
    <w:rsid w:val="002272C2"/>
    <w:rsid w:val="00231F80"/>
    <w:rsid w:val="00234A25"/>
    <w:rsid w:val="00237A3D"/>
    <w:rsid w:val="00237FDF"/>
    <w:rsid w:val="002403B4"/>
    <w:rsid w:val="00240455"/>
    <w:rsid w:val="00241181"/>
    <w:rsid w:val="00241399"/>
    <w:rsid w:val="0024290F"/>
    <w:rsid w:val="00243DE3"/>
    <w:rsid w:val="00244322"/>
    <w:rsid w:val="00244BF2"/>
    <w:rsid w:val="00246AA1"/>
    <w:rsid w:val="00246C1A"/>
    <w:rsid w:val="00250C29"/>
    <w:rsid w:val="00252A8C"/>
    <w:rsid w:val="00253925"/>
    <w:rsid w:val="00254255"/>
    <w:rsid w:val="00260569"/>
    <w:rsid w:val="002606F0"/>
    <w:rsid w:val="00264535"/>
    <w:rsid w:val="00266CD6"/>
    <w:rsid w:val="0027346B"/>
    <w:rsid w:val="00273C2C"/>
    <w:rsid w:val="00274246"/>
    <w:rsid w:val="00274885"/>
    <w:rsid w:val="00275BAD"/>
    <w:rsid w:val="00275DAB"/>
    <w:rsid w:val="0027773E"/>
    <w:rsid w:val="0027774F"/>
    <w:rsid w:val="0028104F"/>
    <w:rsid w:val="002817D6"/>
    <w:rsid w:val="00281C19"/>
    <w:rsid w:val="00283BDF"/>
    <w:rsid w:val="002849F9"/>
    <w:rsid w:val="00285A3E"/>
    <w:rsid w:val="00285D62"/>
    <w:rsid w:val="002861B3"/>
    <w:rsid w:val="0028739B"/>
    <w:rsid w:val="002874D5"/>
    <w:rsid w:val="002919B7"/>
    <w:rsid w:val="00295885"/>
    <w:rsid w:val="002967DB"/>
    <w:rsid w:val="00297A92"/>
    <w:rsid w:val="002A12EA"/>
    <w:rsid w:val="002A234D"/>
    <w:rsid w:val="002A345B"/>
    <w:rsid w:val="002A782A"/>
    <w:rsid w:val="002B11E2"/>
    <w:rsid w:val="002B1B36"/>
    <w:rsid w:val="002B24B8"/>
    <w:rsid w:val="002B34EB"/>
    <w:rsid w:val="002C03E1"/>
    <w:rsid w:val="002C3496"/>
    <w:rsid w:val="002C5FDD"/>
    <w:rsid w:val="002C69FA"/>
    <w:rsid w:val="002D0016"/>
    <w:rsid w:val="002D0C0D"/>
    <w:rsid w:val="002D2AE0"/>
    <w:rsid w:val="002D2E3B"/>
    <w:rsid w:val="002D3AE9"/>
    <w:rsid w:val="002D4510"/>
    <w:rsid w:val="002D6B88"/>
    <w:rsid w:val="002D747B"/>
    <w:rsid w:val="002E4959"/>
    <w:rsid w:val="002E4DC3"/>
    <w:rsid w:val="002E5905"/>
    <w:rsid w:val="002E6DB1"/>
    <w:rsid w:val="002F0734"/>
    <w:rsid w:val="002F0CC9"/>
    <w:rsid w:val="002F2CD9"/>
    <w:rsid w:val="002F46E7"/>
    <w:rsid w:val="002F5D62"/>
    <w:rsid w:val="002F5E3D"/>
    <w:rsid w:val="002F7643"/>
    <w:rsid w:val="002F7BC3"/>
    <w:rsid w:val="00302AF5"/>
    <w:rsid w:val="003034E2"/>
    <w:rsid w:val="00303C3C"/>
    <w:rsid w:val="00304DB9"/>
    <w:rsid w:val="003101DA"/>
    <w:rsid w:val="003106A1"/>
    <w:rsid w:val="00312369"/>
    <w:rsid w:val="00314693"/>
    <w:rsid w:val="00314757"/>
    <w:rsid w:val="00320809"/>
    <w:rsid w:val="003211CE"/>
    <w:rsid w:val="00321766"/>
    <w:rsid w:val="00321E6C"/>
    <w:rsid w:val="0032669A"/>
    <w:rsid w:val="00327FC7"/>
    <w:rsid w:val="0033099C"/>
    <w:rsid w:val="00331004"/>
    <w:rsid w:val="0033191F"/>
    <w:rsid w:val="003342DE"/>
    <w:rsid w:val="00341E8F"/>
    <w:rsid w:val="00345FA9"/>
    <w:rsid w:val="00346E50"/>
    <w:rsid w:val="0035059A"/>
    <w:rsid w:val="003518A4"/>
    <w:rsid w:val="003531F8"/>
    <w:rsid w:val="0035403A"/>
    <w:rsid w:val="00354CE5"/>
    <w:rsid w:val="003550AA"/>
    <w:rsid w:val="00355285"/>
    <w:rsid w:val="00356BBD"/>
    <w:rsid w:val="00357DAB"/>
    <w:rsid w:val="00360ADB"/>
    <w:rsid w:val="0036394B"/>
    <w:rsid w:val="00364E6F"/>
    <w:rsid w:val="0036751E"/>
    <w:rsid w:val="00367F57"/>
    <w:rsid w:val="003700B5"/>
    <w:rsid w:val="003709B5"/>
    <w:rsid w:val="003734BE"/>
    <w:rsid w:val="00373C5A"/>
    <w:rsid w:val="003759C2"/>
    <w:rsid w:val="003836A4"/>
    <w:rsid w:val="00383DE3"/>
    <w:rsid w:val="003846C6"/>
    <w:rsid w:val="00384BE4"/>
    <w:rsid w:val="00385984"/>
    <w:rsid w:val="00387A57"/>
    <w:rsid w:val="00390BBF"/>
    <w:rsid w:val="00391B3F"/>
    <w:rsid w:val="0039332B"/>
    <w:rsid w:val="003943C4"/>
    <w:rsid w:val="00397365"/>
    <w:rsid w:val="003A2CCD"/>
    <w:rsid w:val="003A31F6"/>
    <w:rsid w:val="003A3799"/>
    <w:rsid w:val="003A789A"/>
    <w:rsid w:val="003A79BF"/>
    <w:rsid w:val="003B10B9"/>
    <w:rsid w:val="003B19A6"/>
    <w:rsid w:val="003B1EA7"/>
    <w:rsid w:val="003B46A0"/>
    <w:rsid w:val="003B6A60"/>
    <w:rsid w:val="003B75B5"/>
    <w:rsid w:val="003B769B"/>
    <w:rsid w:val="003C1DCC"/>
    <w:rsid w:val="003C24AD"/>
    <w:rsid w:val="003C3004"/>
    <w:rsid w:val="003C3447"/>
    <w:rsid w:val="003C7080"/>
    <w:rsid w:val="003C7783"/>
    <w:rsid w:val="003D076C"/>
    <w:rsid w:val="003D21D5"/>
    <w:rsid w:val="003D3597"/>
    <w:rsid w:val="003D5E91"/>
    <w:rsid w:val="003D740F"/>
    <w:rsid w:val="003E2B23"/>
    <w:rsid w:val="003E2FE2"/>
    <w:rsid w:val="003E78B5"/>
    <w:rsid w:val="003F0076"/>
    <w:rsid w:val="003F5A31"/>
    <w:rsid w:val="004007B3"/>
    <w:rsid w:val="00402281"/>
    <w:rsid w:val="00403322"/>
    <w:rsid w:val="00404192"/>
    <w:rsid w:val="00404DA1"/>
    <w:rsid w:val="00407E99"/>
    <w:rsid w:val="00411770"/>
    <w:rsid w:val="004126BB"/>
    <w:rsid w:val="00413EF7"/>
    <w:rsid w:val="00414B26"/>
    <w:rsid w:val="004151A4"/>
    <w:rsid w:val="00415BAB"/>
    <w:rsid w:val="00415ED2"/>
    <w:rsid w:val="00416B74"/>
    <w:rsid w:val="00417B71"/>
    <w:rsid w:val="00420042"/>
    <w:rsid w:val="0042068C"/>
    <w:rsid w:val="0042130F"/>
    <w:rsid w:val="00423E5C"/>
    <w:rsid w:val="00423FBC"/>
    <w:rsid w:val="004248D0"/>
    <w:rsid w:val="004260E0"/>
    <w:rsid w:val="00426523"/>
    <w:rsid w:val="0043168B"/>
    <w:rsid w:val="00431A8E"/>
    <w:rsid w:val="004355FC"/>
    <w:rsid w:val="00436F3F"/>
    <w:rsid w:val="0044048C"/>
    <w:rsid w:val="00441C4E"/>
    <w:rsid w:val="00442762"/>
    <w:rsid w:val="00442FA4"/>
    <w:rsid w:val="00443D9A"/>
    <w:rsid w:val="004460A6"/>
    <w:rsid w:val="004551B3"/>
    <w:rsid w:val="00456169"/>
    <w:rsid w:val="00456F63"/>
    <w:rsid w:val="00460916"/>
    <w:rsid w:val="0046176B"/>
    <w:rsid w:val="00462211"/>
    <w:rsid w:val="00463F18"/>
    <w:rsid w:val="004656CD"/>
    <w:rsid w:val="0047111B"/>
    <w:rsid w:val="0047122B"/>
    <w:rsid w:val="00473772"/>
    <w:rsid w:val="00473B7A"/>
    <w:rsid w:val="004756EF"/>
    <w:rsid w:val="00476EFF"/>
    <w:rsid w:val="00480807"/>
    <w:rsid w:val="00480EF2"/>
    <w:rsid w:val="00480F76"/>
    <w:rsid w:val="00481CD4"/>
    <w:rsid w:val="00481F9A"/>
    <w:rsid w:val="004834C6"/>
    <w:rsid w:val="00484666"/>
    <w:rsid w:val="00484B45"/>
    <w:rsid w:val="00485413"/>
    <w:rsid w:val="004926C2"/>
    <w:rsid w:val="00494396"/>
    <w:rsid w:val="00495A52"/>
    <w:rsid w:val="004960E9"/>
    <w:rsid w:val="0049624D"/>
    <w:rsid w:val="004A0540"/>
    <w:rsid w:val="004A2E76"/>
    <w:rsid w:val="004A2E88"/>
    <w:rsid w:val="004A5305"/>
    <w:rsid w:val="004A5E41"/>
    <w:rsid w:val="004A6280"/>
    <w:rsid w:val="004B0488"/>
    <w:rsid w:val="004B1840"/>
    <w:rsid w:val="004B460E"/>
    <w:rsid w:val="004C3AAC"/>
    <w:rsid w:val="004C4E22"/>
    <w:rsid w:val="004D0BC0"/>
    <w:rsid w:val="004D0C51"/>
    <w:rsid w:val="004D19FA"/>
    <w:rsid w:val="004D2FD2"/>
    <w:rsid w:val="004D6EB8"/>
    <w:rsid w:val="004D7634"/>
    <w:rsid w:val="004D77B5"/>
    <w:rsid w:val="004E1E32"/>
    <w:rsid w:val="004E2802"/>
    <w:rsid w:val="004E45FB"/>
    <w:rsid w:val="004E69D2"/>
    <w:rsid w:val="004E750A"/>
    <w:rsid w:val="004F31AB"/>
    <w:rsid w:val="004F371F"/>
    <w:rsid w:val="004F64E3"/>
    <w:rsid w:val="004F759A"/>
    <w:rsid w:val="0050015E"/>
    <w:rsid w:val="005016AB"/>
    <w:rsid w:val="005027FE"/>
    <w:rsid w:val="00502BC7"/>
    <w:rsid w:val="00504F36"/>
    <w:rsid w:val="00505258"/>
    <w:rsid w:val="00505B33"/>
    <w:rsid w:val="00511976"/>
    <w:rsid w:val="00515932"/>
    <w:rsid w:val="0052141A"/>
    <w:rsid w:val="00524A69"/>
    <w:rsid w:val="00527C4C"/>
    <w:rsid w:val="005300D3"/>
    <w:rsid w:val="00532B0C"/>
    <w:rsid w:val="00532E50"/>
    <w:rsid w:val="00534F49"/>
    <w:rsid w:val="00535B16"/>
    <w:rsid w:val="00536323"/>
    <w:rsid w:val="00536D82"/>
    <w:rsid w:val="005376A6"/>
    <w:rsid w:val="00537E8B"/>
    <w:rsid w:val="00541722"/>
    <w:rsid w:val="00542B81"/>
    <w:rsid w:val="00543F6B"/>
    <w:rsid w:val="00544F82"/>
    <w:rsid w:val="005544E8"/>
    <w:rsid w:val="00554523"/>
    <w:rsid w:val="00554FFF"/>
    <w:rsid w:val="00560B56"/>
    <w:rsid w:val="00562E64"/>
    <w:rsid w:val="00563C3D"/>
    <w:rsid w:val="00565F71"/>
    <w:rsid w:val="00566F5D"/>
    <w:rsid w:val="005713EE"/>
    <w:rsid w:val="00574302"/>
    <w:rsid w:val="00574CA5"/>
    <w:rsid w:val="00575330"/>
    <w:rsid w:val="00582667"/>
    <w:rsid w:val="0058479F"/>
    <w:rsid w:val="005848AA"/>
    <w:rsid w:val="00584BE6"/>
    <w:rsid w:val="005873FD"/>
    <w:rsid w:val="00592D80"/>
    <w:rsid w:val="00592E8C"/>
    <w:rsid w:val="0059325B"/>
    <w:rsid w:val="00593C4F"/>
    <w:rsid w:val="005946A8"/>
    <w:rsid w:val="00594D62"/>
    <w:rsid w:val="0059774E"/>
    <w:rsid w:val="005A1273"/>
    <w:rsid w:val="005A3FBF"/>
    <w:rsid w:val="005A4407"/>
    <w:rsid w:val="005A55ED"/>
    <w:rsid w:val="005A59EF"/>
    <w:rsid w:val="005A60DF"/>
    <w:rsid w:val="005A7D14"/>
    <w:rsid w:val="005B1223"/>
    <w:rsid w:val="005C0CFA"/>
    <w:rsid w:val="005C41AF"/>
    <w:rsid w:val="005C5807"/>
    <w:rsid w:val="005C6165"/>
    <w:rsid w:val="005C6868"/>
    <w:rsid w:val="005C6F09"/>
    <w:rsid w:val="005C73EB"/>
    <w:rsid w:val="005D4178"/>
    <w:rsid w:val="005D7696"/>
    <w:rsid w:val="005D77A0"/>
    <w:rsid w:val="005D7E02"/>
    <w:rsid w:val="005E035F"/>
    <w:rsid w:val="005E260A"/>
    <w:rsid w:val="005E448B"/>
    <w:rsid w:val="005E44A9"/>
    <w:rsid w:val="005F04C9"/>
    <w:rsid w:val="005F2A2E"/>
    <w:rsid w:val="005F30B6"/>
    <w:rsid w:val="005F5F07"/>
    <w:rsid w:val="005F6F41"/>
    <w:rsid w:val="00600248"/>
    <w:rsid w:val="006002C7"/>
    <w:rsid w:val="006005E4"/>
    <w:rsid w:val="00601622"/>
    <w:rsid w:val="00602A00"/>
    <w:rsid w:val="00605582"/>
    <w:rsid w:val="00612218"/>
    <w:rsid w:val="006156F2"/>
    <w:rsid w:val="0061682D"/>
    <w:rsid w:val="00616E57"/>
    <w:rsid w:val="00621590"/>
    <w:rsid w:val="00622B37"/>
    <w:rsid w:val="00622B8D"/>
    <w:rsid w:val="00622FC1"/>
    <w:rsid w:val="00625DC6"/>
    <w:rsid w:val="00625DDC"/>
    <w:rsid w:val="00631401"/>
    <w:rsid w:val="00631E8F"/>
    <w:rsid w:val="006328A4"/>
    <w:rsid w:val="00634642"/>
    <w:rsid w:val="00635BCB"/>
    <w:rsid w:val="00636B42"/>
    <w:rsid w:val="00637B74"/>
    <w:rsid w:val="0064391D"/>
    <w:rsid w:val="00643C5D"/>
    <w:rsid w:val="00643D49"/>
    <w:rsid w:val="00644671"/>
    <w:rsid w:val="0064486D"/>
    <w:rsid w:val="00651821"/>
    <w:rsid w:val="00653AC6"/>
    <w:rsid w:val="00654384"/>
    <w:rsid w:val="00654A8D"/>
    <w:rsid w:val="00655B6A"/>
    <w:rsid w:val="00655F73"/>
    <w:rsid w:val="00661BDB"/>
    <w:rsid w:val="00662B20"/>
    <w:rsid w:val="00663D4F"/>
    <w:rsid w:val="0066646A"/>
    <w:rsid w:val="006672F7"/>
    <w:rsid w:val="006675CD"/>
    <w:rsid w:val="00667C83"/>
    <w:rsid w:val="00670686"/>
    <w:rsid w:val="00672B47"/>
    <w:rsid w:val="0067530D"/>
    <w:rsid w:val="00675DB2"/>
    <w:rsid w:val="0067736F"/>
    <w:rsid w:val="00681AD8"/>
    <w:rsid w:val="006832C6"/>
    <w:rsid w:val="0068477B"/>
    <w:rsid w:val="00684C67"/>
    <w:rsid w:val="00684D9B"/>
    <w:rsid w:val="00692AD7"/>
    <w:rsid w:val="00692D20"/>
    <w:rsid w:val="00697556"/>
    <w:rsid w:val="0069757F"/>
    <w:rsid w:val="006A01FE"/>
    <w:rsid w:val="006B1C64"/>
    <w:rsid w:val="006B381F"/>
    <w:rsid w:val="006B4647"/>
    <w:rsid w:val="006B4C2B"/>
    <w:rsid w:val="006B5916"/>
    <w:rsid w:val="006B60D3"/>
    <w:rsid w:val="006B6D47"/>
    <w:rsid w:val="006B735B"/>
    <w:rsid w:val="006C2F36"/>
    <w:rsid w:val="006C4A97"/>
    <w:rsid w:val="006C5AFE"/>
    <w:rsid w:val="006C709E"/>
    <w:rsid w:val="006D0D5B"/>
    <w:rsid w:val="006D153F"/>
    <w:rsid w:val="006D2B6B"/>
    <w:rsid w:val="006D305F"/>
    <w:rsid w:val="006D4D82"/>
    <w:rsid w:val="006D4F2E"/>
    <w:rsid w:val="006D764D"/>
    <w:rsid w:val="006E0C64"/>
    <w:rsid w:val="006E1C54"/>
    <w:rsid w:val="006E3D5F"/>
    <w:rsid w:val="006E42FB"/>
    <w:rsid w:val="006E78EE"/>
    <w:rsid w:val="006F34D0"/>
    <w:rsid w:val="006F3BDC"/>
    <w:rsid w:val="006F5290"/>
    <w:rsid w:val="006F5797"/>
    <w:rsid w:val="006F6D95"/>
    <w:rsid w:val="006F7765"/>
    <w:rsid w:val="007009B9"/>
    <w:rsid w:val="00701CB7"/>
    <w:rsid w:val="00702880"/>
    <w:rsid w:val="00702FC2"/>
    <w:rsid w:val="00704166"/>
    <w:rsid w:val="00704312"/>
    <w:rsid w:val="00706D65"/>
    <w:rsid w:val="00706F13"/>
    <w:rsid w:val="007072E8"/>
    <w:rsid w:val="00707D58"/>
    <w:rsid w:val="0071618D"/>
    <w:rsid w:val="00722464"/>
    <w:rsid w:val="007237B6"/>
    <w:rsid w:val="00725E1D"/>
    <w:rsid w:val="00725FA4"/>
    <w:rsid w:val="00726C0C"/>
    <w:rsid w:val="0073055C"/>
    <w:rsid w:val="00730825"/>
    <w:rsid w:val="0073086C"/>
    <w:rsid w:val="00730C9E"/>
    <w:rsid w:val="007315E6"/>
    <w:rsid w:val="00732179"/>
    <w:rsid w:val="00732A40"/>
    <w:rsid w:val="00733551"/>
    <w:rsid w:val="00736FC9"/>
    <w:rsid w:val="00740446"/>
    <w:rsid w:val="0074082F"/>
    <w:rsid w:val="00740B56"/>
    <w:rsid w:val="007438A9"/>
    <w:rsid w:val="0074491E"/>
    <w:rsid w:val="0074568F"/>
    <w:rsid w:val="007467F1"/>
    <w:rsid w:val="00746862"/>
    <w:rsid w:val="00752A24"/>
    <w:rsid w:val="00755165"/>
    <w:rsid w:val="00757F03"/>
    <w:rsid w:val="0076247A"/>
    <w:rsid w:val="00762BAC"/>
    <w:rsid w:val="0076581E"/>
    <w:rsid w:val="0076733D"/>
    <w:rsid w:val="00772807"/>
    <w:rsid w:val="00772DA8"/>
    <w:rsid w:val="00773BA2"/>
    <w:rsid w:val="00775964"/>
    <w:rsid w:val="007765FE"/>
    <w:rsid w:val="00784B67"/>
    <w:rsid w:val="0078760A"/>
    <w:rsid w:val="00787F11"/>
    <w:rsid w:val="00787FC1"/>
    <w:rsid w:val="00790B22"/>
    <w:rsid w:val="00793F3E"/>
    <w:rsid w:val="00795BFB"/>
    <w:rsid w:val="00797044"/>
    <w:rsid w:val="00797093"/>
    <w:rsid w:val="007A375E"/>
    <w:rsid w:val="007A5038"/>
    <w:rsid w:val="007B121E"/>
    <w:rsid w:val="007B2760"/>
    <w:rsid w:val="007B3764"/>
    <w:rsid w:val="007C14CF"/>
    <w:rsid w:val="007C2022"/>
    <w:rsid w:val="007C5A61"/>
    <w:rsid w:val="007C6336"/>
    <w:rsid w:val="007D1EE9"/>
    <w:rsid w:val="007D2326"/>
    <w:rsid w:val="007D6341"/>
    <w:rsid w:val="007E1F80"/>
    <w:rsid w:val="007E44F9"/>
    <w:rsid w:val="007F1A26"/>
    <w:rsid w:val="007F3868"/>
    <w:rsid w:val="007F4922"/>
    <w:rsid w:val="0080021C"/>
    <w:rsid w:val="00802A65"/>
    <w:rsid w:val="00805553"/>
    <w:rsid w:val="00805F76"/>
    <w:rsid w:val="00806C01"/>
    <w:rsid w:val="008112E8"/>
    <w:rsid w:val="0081130B"/>
    <w:rsid w:val="0081331D"/>
    <w:rsid w:val="008148CC"/>
    <w:rsid w:val="008150E7"/>
    <w:rsid w:val="008165E3"/>
    <w:rsid w:val="008211A4"/>
    <w:rsid w:val="00823A07"/>
    <w:rsid w:val="00826208"/>
    <w:rsid w:val="00827924"/>
    <w:rsid w:val="00831285"/>
    <w:rsid w:val="00831A1E"/>
    <w:rsid w:val="008348CB"/>
    <w:rsid w:val="00837B9A"/>
    <w:rsid w:val="00844D9E"/>
    <w:rsid w:val="00847443"/>
    <w:rsid w:val="008501D2"/>
    <w:rsid w:val="008515FD"/>
    <w:rsid w:val="008540A0"/>
    <w:rsid w:val="0085467A"/>
    <w:rsid w:val="00854C37"/>
    <w:rsid w:val="008554C7"/>
    <w:rsid w:val="008563D3"/>
    <w:rsid w:val="0085706C"/>
    <w:rsid w:val="0086028A"/>
    <w:rsid w:val="008611E7"/>
    <w:rsid w:val="00864029"/>
    <w:rsid w:val="008712A7"/>
    <w:rsid w:val="0087140E"/>
    <w:rsid w:val="00872D82"/>
    <w:rsid w:val="00873150"/>
    <w:rsid w:val="0087444C"/>
    <w:rsid w:val="0087657D"/>
    <w:rsid w:val="00876D3E"/>
    <w:rsid w:val="00876DCE"/>
    <w:rsid w:val="008800C1"/>
    <w:rsid w:val="008807D5"/>
    <w:rsid w:val="00880832"/>
    <w:rsid w:val="00880F6B"/>
    <w:rsid w:val="00881609"/>
    <w:rsid w:val="008821E6"/>
    <w:rsid w:val="00882263"/>
    <w:rsid w:val="00882BC8"/>
    <w:rsid w:val="00883586"/>
    <w:rsid w:val="00884559"/>
    <w:rsid w:val="0088560A"/>
    <w:rsid w:val="00886913"/>
    <w:rsid w:val="00886EE1"/>
    <w:rsid w:val="00886F37"/>
    <w:rsid w:val="0088727D"/>
    <w:rsid w:val="00890729"/>
    <w:rsid w:val="00894315"/>
    <w:rsid w:val="00897C75"/>
    <w:rsid w:val="00897DD2"/>
    <w:rsid w:val="008A39AC"/>
    <w:rsid w:val="008B0C3E"/>
    <w:rsid w:val="008B1DFE"/>
    <w:rsid w:val="008B2887"/>
    <w:rsid w:val="008B3D54"/>
    <w:rsid w:val="008B5774"/>
    <w:rsid w:val="008C1130"/>
    <w:rsid w:val="008C1E83"/>
    <w:rsid w:val="008C2EDE"/>
    <w:rsid w:val="008C3D2D"/>
    <w:rsid w:val="008C4452"/>
    <w:rsid w:val="008D0D93"/>
    <w:rsid w:val="008D18E6"/>
    <w:rsid w:val="008D2138"/>
    <w:rsid w:val="008D2EBA"/>
    <w:rsid w:val="008D48E8"/>
    <w:rsid w:val="008D74F5"/>
    <w:rsid w:val="008D7A9B"/>
    <w:rsid w:val="008E4AAD"/>
    <w:rsid w:val="008E56B1"/>
    <w:rsid w:val="008E61CB"/>
    <w:rsid w:val="008E76AC"/>
    <w:rsid w:val="008F073C"/>
    <w:rsid w:val="008F1713"/>
    <w:rsid w:val="008F21F6"/>
    <w:rsid w:val="008F3972"/>
    <w:rsid w:val="00906D10"/>
    <w:rsid w:val="009076C7"/>
    <w:rsid w:val="00913D26"/>
    <w:rsid w:val="00920416"/>
    <w:rsid w:val="00920C3D"/>
    <w:rsid w:val="00921B3A"/>
    <w:rsid w:val="0092279E"/>
    <w:rsid w:val="0092593B"/>
    <w:rsid w:val="00934FA6"/>
    <w:rsid w:val="00937565"/>
    <w:rsid w:val="00940FD7"/>
    <w:rsid w:val="0094252E"/>
    <w:rsid w:val="009429E7"/>
    <w:rsid w:val="00945A3C"/>
    <w:rsid w:val="00946AB1"/>
    <w:rsid w:val="00951123"/>
    <w:rsid w:val="00951529"/>
    <w:rsid w:val="009516B8"/>
    <w:rsid w:val="00951F79"/>
    <w:rsid w:val="0095363B"/>
    <w:rsid w:val="0095512C"/>
    <w:rsid w:val="00956824"/>
    <w:rsid w:val="00956A84"/>
    <w:rsid w:val="00961E1B"/>
    <w:rsid w:val="009637C0"/>
    <w:rsid w:val="00967121"/>
    <w:rsid w:val="00967DCA"/>
    <w:rsid w:val="009701E7"/>
    <w:rsid w:val="009714A1"/>
    <w:rsid w:val="00971FB5"/>
    <w:rsid w:val="0097361C"/>
    <w:rsid w:val="00974AB5"/>
    <w:rsid w:val="00975A67"/>
    <w:rsid w:val="00976D32"/>
    <w:rsid w:val="00980272"/>
    <w:rsid w:val="00980814"/>
    <w:rsid w:val="009814D9"/>
    <w:rsid w:val="0098706D"/>
    <w:rsid w:val="00992FF4"/>
    <w:rsid w:val="009935FB"/>
    <w:rsid w:val="0099486C"/>
    <w:rsid w:val="00994981"/>
    <w:rsid w:val="00995733"/>
    <w:rsid w:val="00995AB9"/>
    <w:rsid w:val="009B2CA8"/>
    <w:rsid w:val="009B3836"/>
    <w:rsid w:val="009B3ED9"/>
    <w:rsid w:val="009B57D7"/>
    <w:rsid w:val="009B7F09"/>
    <w:rsid w:val="009C2EEC"/>
    <w:rsid w:val="009C5B8E"/>
    <w:rsid w:val="009C5BF2"/>
    <w:rsid w:val="009C6488"/>
    <w:rsid w:val="009D138E"/>
    <w:rsid w:val="009D1806"/>
    <w:rsid w:val="009D19F9"/>
    <w:rsid w:val="009D409B"/>
    <w:rsid w:val="009D4A1A"/>
    <w:rsid w:val="009D65E7"/>
    <w:rsid w:val="009D692A"/>
    <w:rsid w:val="009E0C30"/>
    <w:rsid w:val="009E11C8"/>
    <w:rsid w:val="009E1365"/>
    <w:rsid w:val="009E2F5E"/>
    <w:rsid w:val="009E6C87"/>
    <w:rsid w:val="009E7CBA"/>
    <w:rsid w:val="009F0138"/>
    <w:rsid w:val="009F471E"/>
    <w:rsid w:val="009F492A"/>
    <w:rsid w:val="009F4A54"/>
    <w:rsid w:val="009F4BEC"/>
    <w:rsid w:val="009F609F"/>
    <w:rsid w:val="00A0161E"/>
    <w:rsid w:val="00A031DE"/>
    <w:rsid w:val="00A04D6F"/>
    <w:rsid w:val="00A060CB"/>
    <w:rsid w:val="00A06156"/>
    <w:rsid w:val="00A0795F"/>
    <w:rsid w:val="00A10D66"/>
    <w:rsid w:val="00A11391"/>
    <w:rsid w:val="00A16BA2"/>
    <w:rsid w:val="00A20331"/>
    <w:rsid w:val="00A21A33"/>
    <w:rsid w:val="00A23A1B"/>
    <w:rsid w:val="00A25FD7"/>
    <w:rsid w:val="00A26496"/>
    <w:rsid w:val="00A26DBC"/>
    <w:rsid w:val="00A31776"/>
    <w:rsid w:val="00A3618A"/>
    <w:rsid w:val="00A36412"/>
    <w:rsid w:val="00A41FA4"/>
    <w:rsid w:val="00A43AFF"/>
    <w:rsid w:val="00A43D36"/>
    <w:rsid w:val="00A44502"/>
    <w:rsid w:val="00A45239"/>
    <w:rsid w:val="00A50F04"/>
    <w:rsid w:val="00A51D8F"/>
    <w:rsid w:val="00A53402"/>
    <w:rsid w:val="00A55E42"/>
    <w:rsid w:val="00A62A9D"/>
    <w:rsid w:val="00A657D1"/>
    <w:rsid w:val="00A71343"/>
    <w:rsid w:val="00A716F6"/>
    <w:rsid w:val="00A71CC8"/>
    <w:rsid w:val="00A72AE2"/>
    <w:rsid w:val="00A75649"/>
    <w:rsid w:val="00A766E2"/>
    <w:rsid w:val="00A76D31"/>
    <w:rsid w:val="00A7793A"/>
    <w:rsid w:val="00A81C1B"/>
    <w:rsid w:val="00A85A53"/>
    <w:rsid w:val="00A86149"/>
    <w:rsid w:val="00A87AAD"/>
    <w:rsid w:val="00A90C90"/>
    <w:rsid w:val="00A91BF5"/>
    <w:rsid w:val="00A93759"/>
    <w:rsid w:val="00A948B5"/>
    <w:rsid w:val="00AA010D"/>
    <w:rsid w:val="00AA08CD"/>
    <w:rsid w:val="00AA0DF5"/>
    <w:rsid w:val="00AA3003"/>
    <w:rsid w:val="00AA44A7"/>
    <w:rsid w:val="00AA4CC7"/>
    <w:rsid w:val="00AA5380"/>
    <w:rsid w:val="00AA5E8E"/>
    <w:rsid w:val="00AB12AD"/>
    <w:rsid w:val="00AB1F86"/>
    <w:rsid w:val="00AB2497"/>
    <w:rsid w:val="00AB6CA7"/>
    <w:rsid w:val="00AC2AA3"/>
    <w:rsid w:val="00AC71D9"/>
    <w:rsid w:val="00AC75E4"/>
    <w:rsid w:val="00AD01E4"/>
    <w:rsid w:val="00AD0858"/>
    <w:rsid w:val="00AD1A5B"/>
    <w:rsid w:val="00AD4002"/>
    <w:rsid w:val="00AD552E"/>
    <w:rsid w:val="00AE12AF"/>
    <w:rsid w:val="00AE2302"/>
    <w:rsid w:val="00AE420F"/>
    <w:rsid w:val="00AE556C"/>
    <w:rsid w:val="00AE5B7B"/>
    <w:rsid w:val="00AE5C1B"/>
    <w:rsid w:val="00AE7206"/>
    <w:rsid w:val="00AE7340"/>
    <w:rsid w:val="00AE7627"/>
    <w:rsid w:val="00AF1BBD"/>
    <w:rsid w:val="00AF1FB3"/>
    <w:rsid w:val="00AF34EC"/>
    <w:rsid w:val="00AF4099"/>
    <w:rsid w:val="00AF577E"/>
    <w:rsid w:val="00AF600C"/>
    <w:rsid w:val="00B003BA"/>
    <w:rsid w:val="00B0328B"/>
    <w:rsid w:val="00B03A76"/>
    <w:rsid w:val="00B04CFB"/>
    <w:rsid w:val="00B101D3"/>
    <w:rsid w:val="00B10207"/>
    <w:rsid w:val="00B1347E"/>
    <w:rsid w:val="00B141E7"/>
    <w:rsid w:val="00B16275"/>
    <w:rsid w:val="00B16C3E"/>
    <w:rsid w:val="00B204E6"/>
    <w:rsid w:val="00B22226"/>
    <w:rsid w:val="00B22BD3"/>
    <w:rsid w:val="00B22BFA"/>
    <w:rsid w:val="00B24602"/>
    <w:rsid w:val="00B24D5A"/>
    <w:rsid w:val="00B2552E"/>
    <w:rsid w:val="00B26FC6"/>
    <w:rsid w:val="00B33934"/>
    <w:rsid w:val="00B351B4"/>
    <w:rsid w:val="00B40962"/>
    <w:rsid w:val="00B46BCA"/>
    <w:rsid w:val="00B47F3A"/>
    <w:rsid w:val="00B5065F"/>
    <w:rsid w:val="00B526A3"/>
    <w:rsid w:val="00B53781"/>
    <w:rsid w:val="00B540E0"/>
    <w:rsid w:val="00B565E2"/>
    <w:rsid w:val="00B60C8C"/>
    <w:rsid w:val="00B62919"/>
    <w:rsid w:val="00B639AD"/>
    <w:rsid w:val="00B72378"/>
    <w:rsid w:val="00B724A1"/>
    <w:rsid w:val="00B7288A"/>
    <w:rsid w:val="00B72EC6"/>
    <w:rsid w:val="00B74F1F"/>
    <w:rsid w:val="00B756E7"/>
    <w:rsid w:val="00B75ED9"/>
    <w:rsid w:val="00B81BB4"/>
    <w:rsid w:val="00B8446A"/>
    <w:rsid w:val="00B86129"/>
    <w:rsid w:val="00B87806"/>
    <w:rsid w:val="00B87EC9"/>
    <w:rsid w:val="00B90F19"/>
    <w:rsid w:val="00B91123"/>
    <w:rsid w:val="00B92BC9"/>
    <w:rsid w:val="00B92EAC"/>
    <w:rsid w:val="00B948D7"/>
    <w:rsid w:val="00BA2FEE"/>
    <w:rsid w:val="00BA3B2F"/>
    <w:rsid w:val="00BA3D38"/>
    <w:rsid w:val="00BA72FD"/>
    <w:rsid w:val="00BA73E3"/>
    <w:rsid w:val="00BB3D5C"/>
    <w:rsid w:val="00BB4983"/>
    <w:rsid w:val="00BB5E9C"/>
    <w:rsid w:val="00BB74B6"/>
    <w:rsid w:val="00BC012F"/>
    <w:rsid w:val="00BC38FD"/>
    <w:rsid w:val="00BD283C"/>
    <w:rsid w:val="00BD3267"/>
    <w:rsid w:val="00BD3E8F"/>
    <w:rsid w:val="00BD7F14"/>
    <w:rsid w:val="00BE6338"/>
    <w:rsid w:val="00BE76E0"/>
    <w:rsid w:val="00BE7CAA"/>
    <w:rsid w:val="00BF2120"/>
    <w:rsid w:val="00BF35DB"/>
    <w:rsid w:val="00BF4008"/>
    <w:rsid w:val="00BF47CF"/>
    <w:rsid w:val="00BF66D3"/>
    <w:rsid w:val="00BF6B9C"/>
    <w:rsid w:val="00BF6E67"/>
    <w:rsid w:val="00BF72A5"/>
    <w:rsid w:val="00BF77FD"/>
    <w:rsid w:val="00BF7EA0"/>
    <w:rsid w:val="00C018C2"/>
    <w:rsid w:val="00C034CB"/>
    <w:rsid w:val="00C051A8"/>
    <w:rsid w:val="00C05346"/>
    <w:rsid w:val="00C054BC"/>
    <w:rsid w:val="00C06B4B"/>
    <w:rsid w:val="00C0700B"/>
    <w:rsid w:val="00C07E9D"/>
    <w:rsid w:val="00C11B83"/>
    <w:rsid w:val="00C122C4"/>
    <w:rsid w:val="00C13FD7"/>
    <w:rsid w:val="00C14B7E"/>
    <w:rsid w:val="00C14B82"/>
    <w:rsid w:val="00C159F0"/>
    <w:rsid w:val="00C17897"/>
    <w:rsid w:val="00C246BA"/>
    <w:rsid w:val="00C3020A"/>
    <w:rsid w:val="00C350E9"/>
    <w:rsid w:val="00C35B2B"/>
    <w:rsid w:val="00C374DC"/>
    <w:rsid w:val="00C409D5"/>
    <w:rsid w:val="00C424BA"/>
    <w:rsid w:val="00C428F4"/>
    <w:rsid w:val="00C435C3"/>
    <w:rsid w:val="00C45BB1"/>
    <w:rsid w:val="00C507D0"/>
    <w:rsid w:val="00C5109C"/>
    <w:rsid w:val="00C518D5"/>
    <w:rsid w:val="00C5395D"/>
    <w:rsid w:val="00C563BE"/>
    <w:rsid w:val="00C61934"/>
    <w:rsid w:val="00C6234B"/>
    <w:rsid w:val="00C63EAE"/>
    <w:rsid w:val="00C65BF6"/>
    <w:rsid w:val="00C663AF"/>
    <w:rsid w:val="00C66E28"/>
    <w:rsid w:val="00C66FB9"/>
    <w:rsid w:val="00C67E09"/>
    <w:rsid w:val="00C73667"/>
    <w:rsid w:val="00C73F82"/>
    <w:rsid w:val="00C74BD1"/>
    <w:rsid w:val="00C7629F"/>
    <w:rsid w:val="00C80D50"/>
    <w:rsid w:val="00C80FF9"/>
    <w:rsid w:val="00C8372E"/>
    <w:rsid w:val="00C86165"/>
    <w:rsid w:val="00C8661B"/>
    <w:rsid w:val="00C86F73"/>
    <w:rsid w:val="00C87369"/>
    <w:rsid w:val="00C87CE5"/>
    <w:rsid w:val="00C90AB3"/>
    <w:rsid w:val="00C96690"/>
    <w:rsid w:val="00C97D6A"/>
    <w:rsid w:val="00CA139A"/>
    <w:rsid w:val="00CA227B"/>
    <w:rsid w:val="00CA2899"/>
    <w:rsid w:val="00CA2D7A"/>
    <w:rsid w:val="00CA3563"/>
    <w:rsid w:val="00CA3A3D"/>
    <w:rsid w:val="00CA3C10"/>
    <w:rsid w:val="00CA6739"/>
    <w:rsid w:val="00CA77FB"/>
    <w:rsid w:val="00CB287B"/>
    <w:rsid w:val="00CB379B"/>
    <w:rsid w:val="00CB48B6"/>
    <w:rsid w:val="00CB4ACB"/>
    <w:rsid w:val="00CB5DD0"/>
    <w:rsid w:val="00CC0B0B"/>
    <w:rsid w:val="00CC2041"/>
    <w:rsid w:val="00CC276B"/>
    <w:rsid w:val="00CC3F0D"/>
    <w:rsid w:val="00CC50B1"/>
    <w:rsid w:val="00CC51D4"/>
    <w:rsid w:val="00CC65DA"/>
    <w:rsid w:val="00CC6F6C"/>
    <w:rsid w:val="00CC7294"/>
    <w:rsid w:val="00CD61FF"/>
    <w:rsid w:val="00CD75E7"/>
    <w:rsid w:val="00CE21E3"/>
    <w:rsid w:val="00CE373B"/>
    <w:rsid w:val="00CE5A69"/>
    <w:rsid w:val="00CE66CF"/>
    <w:rsid w:val="00CF207C"/>
    <w:rsid w:val="00CF21B9"/>
    <w:rsid w:val="00CF3E3F"/>
    <w:rsid w:val="00CF63CD"/>
    <w:rsid w:val="00CF6BF9"/>
    <w:rsid w:val="00D0082F"/>
    <w:rsid w:val="00D01F0A"/>
    <w:rsid w:val="00D036CD"/>
    <w:rsid w:val="00D03800"/>
    <w:rsid w:val="00D03AA7"/>
    <w:rsid w:val="00D03E47"/>
    <w:rsid w:val="00D046C9"/>
    <w:rsid w:val="00D0649A"/>
    <w:rsid w:val="00D065D3"/>
    <w:rsid w:val="00D077E5"/>
    <w:rsid w:val="00D102CD"/>
    <w:rsid w:val="00D11963"/>
    <w:rsid w:val="00D1276E"/>
    <w:rsid w:val="00D13C46"/>
    <w:rsid w:val="00D149B5"/>
    <w:rsid w:val="00D14C94"/>
    <w:rsid w:val="00D14CA4"/>
    <w:rsid w:val="00D2163F"/>
    <w:rsid w:val="00D2290A"/>
    <w:rsid w:val="00D23E87"/>
    <w:rsid w:val="00D258BF"/>
    <w:rsid w:val="00D26139"/>
    <w:rsid w:val="00D26F85"/>
    <w:rsid w:val="00D27114"/>
    <w:rsid w:val="00D30206"/>
    <w:rsid w:val="00D313EC"/>
    <w:rsid w:val="00D339D4"/>
    <w:rsid w:val="00D342A6"/>
    <w:rsid w:val="00D359F1"/>
    <w:rsid w:val="00D36398"/>
    <w:rsid w:val="00D464BF"/>
    <w:rsid w:val="00D516AA"/>
    <w:rsid w:val="00D538D5"/>
    <w:rsid w:val="00D53E26"/>
    <w:rsid w:val="00D54AA6"/>
    <w:rsid w:val="00D54D2B"/>
    <w:rsid w:val="00D55370"/>
    <w:rsid w:val="00D56663"/>
    <w:rsid w:val="00D5793E"/>
    <w:rsid w:val="00D607B1"/>
    <w:rsid w:val="00D60AC7"/>
    <w:rsid w:val="00D648EF"/>
    <w:rsid w:val="00D70019"/>
    <w:rsid w:val="00D715C2"/>
    <w:rsid w:val="00D73B47"/>
    <w:rsid w:val="00D77B29"/>
    <w:rsid w:val="00D80817"/>
    <w:rsid w:val="00D81AFD"/>
    <w:rsid w:val="00D828B9"/>
    <w:rsid w:val="00D8320E"/>
    <w:rsid w:val="00D9171F"/>
    <w:rsid w:val="00D918F3"/>
    <w:rsid w:val="00D91DED"/>
    <w:rsid w:val="00D92B24"/>
    <w:rsid w:val="00D92DE2"/>
    <w:rsid w:val="00D96B7A"/>
    <w:rsid w:val="00DA11F3"/>
    <w:rsid w:val="00DA2099"/>
    <w:rsid w:val="00DA239B"/>
    <w:rsid w:val="00DA5560"/>
    <w:rsid w:val="00DB7E5C"/>
    <w:rsid w:val="00DD13F2"/>
    <w:rsid w:val="00DD238F"/>
    <w:rsid w:val="00DD3035"/>
    <w:rsid w:val="00DD39A2"/>
    <w:rsid w:val="00DD3CE8"/>
    <w:rsid w:val="00DD4011"/>
    <w:rsid w:val="00DD4468"/>
    <w:rsid w:val="00DD4F0E"/>
    <w:rsid w:val="00DE018C"/>
    <w:rsid w:val="00DE4017"/>
    <w:rsid w:val="00DF00AE"/>
    <w:rsid w:val="00DF05A3"/>
    <w:rsid w:val="00DF070D"/>
    <w:rsid w:val="00DF0BF0"/>
    <w:rsid w:val="00DF2C45"/>
    <w:rsid w:val="00E0158D"/>
    <w:rsid w:val="00E05E0A"/>
    <w:rsid w:val="00E116AC"/>
    <w:rsid w:val="00E12069"/>
    <w:rsid w:val="00E12D46"/>
    <w:rsid w:val="00E13617"/>
    <w:rsid w:val="00E14F33"/>
    <w:rsid w:val="00E17692"/>
    <w:rsid w:val="00E21BC1"/>
    <w:rsid w:val="00E233B4"/>
    <w:rsid w:val="00E3119D"/>
    <w:rsid w:val="00E31F85"/>
    <w:rsid w:val="00E32710"/>
    <w:rsid w:val="00E330DE"/>
    <w:rsid w:val="00E333F7"/>
    <w:rsid w:val="00E40183"/>
    <w:rsid w:val="00E404D6"/>
    <w:rsid w:val="00E41DFD"/>
    <w:rsid w:val="00E43298"/>
    <w:rsid w:val="00E436A8"/>
    <w:rsid w:val="00E43C80"/>
    <w:rsid w:val="00E45B5D"/>
    <w:rsid w:val="00E4655E"/>
    <w:rsid w:val="00E46D16"/>
    <w:rsid w:val="00E47203"/>
    <w:rsid w:val="00E5193B"/>
    <w:rsid w:val="00E523CE"/>
    <w:rsid w:val="00E534CF"/>
    <w:rsid w:val="00E56BFE"/>
    <w:rsid w:val="00E6146A"/>
    <w:rsid w:val="00E72C5E"/>
    <w:rsid w:val="00E7347E"/>
    <w:rsid w:val="00E7709E"/>
    <w:rsid w:val="00E81CB4"/>
    <w:rsid w:val="00E8569C"/>
    <w:rsid w:val="00E8585B"/>
    <w:rsid w:val="00E8675F"/>
    <w:rsid w:val="00E91301"/>
    <w:rsid w:val="00E944DF"/>
    <w:rsid w:val="00E9621C"/>
    <w:rsid w:val="00EA1EE1"/>
    <w:rsid w:val="00EA2219"/>
    <w:rsid w:val="00EA3452"/>
    <w:rsid w:val="00EA386A"/>
    <w:rsid w:val="00EA3F15"/>
    <w:rsid w:val="00EA636D"/>
    <w:rsid w:val="00EA7847"/>
    <w:rsid w:val="00EB154D"/>
    <w:rsid w:val="00EB3879"/>
    <w:rsid w:val="00EB4128"/>
    <w:rsid w:val="00EB5842"/>
    <w:rsid w:val="00EB58DA"/>
    <w:rsid w:val="00EC0B8D"/>
    <w:rsid w:val="00EC2F9C"/>
    <w:rsid w:val="00EC4885"/>
    <w:rsid w:val="00EC60F7"/>
    <w:rsid w:val="00EC69D7"/>
    <w:rsid w:val="00EC6DB3"/>
    <w:rsid w:val="00ED40DC"/>
    <w:rsid w:val="00ED596A"/>
    <w:rsid w:val="00ED6028"/>
    <w:rsid w:val="00EE2E6E"/>
    <w:rsid w:val="00EE3A9F"/>
    <w:rsid w:val="00EE4C9E"/>
    <w:rsid w:val="00EF1F00"/>
    <w:rsid w:val="00EF28E6"/>
    <w:rsid w:val="00EF3AB1"/>
    <w:rsid w:val="00EF4B06"/>
    <w:rsid w:val="00EF605C"/>
    <w:rsid w:val="00EF6BDC"/>
    <w:rsid w:val="00F01CA3"/>
    <w:rsid w:val="00F03154"/>
    <w:rsid w:val="00F0499E"/>
    <w:rsid w:val="00F04FA6"/>
    <w:rsid w:val="00F057E5"/>
    <w:rsid w:val="00F06BB2"/>
    <w:rsid w:val="00F0759E"/>
    <w:rsid w:val="00F16347"/>
    <w:rsid w:val="00F16FE3"/>
    <w:rsid w:val="00F22F1E"/>
    <w:rsid w:val="00F24C4F"/>
    <w:rsid w:val="00F300D5"/>
    <w:rsid w:val="00F33360"/>
    <w:rsid w:val="00F35317"/>
    <w:rsid w:val="00F35523"/>
    <w:rsid w:val="00F35BA5"/>
    <w:rsid w:val="00F369CE"/>
    <w:rsid w:val="00F36B65"/>
    <w:rsid w:val="00F4002F"/>
    <w:rsid w:val="00F4350B"/>
    <w:rsid w:val="00F5143E"/>
    <w:rsid w:val="00F52B69"/>
    <w:rsid w:val="00F52BE5"/>
    <w:rsid w:val="00F55D33"/>
    <w:rsid w:val="00F61755"/>
    <w:rsid w:val="00F63543"/>
    <w:rsid w:val="00F672AB"/>
    <w:rsid w:val="00F704B1"/>
    <w:rsid w:val="00F7160E"/>
    <w:rsid w:val="00F724F8"/>
    <w:rsid w:val="00F7490D"/>
    <w:rsid w:val="00F7677E"/>
    <w:rsid w:val="00F76E11"/>
    <w:rsid w:val="00F80D64"/>
    <w:rsid w:val="00F821A3"/>
    <w:rsid w:val="00F849B2"/>
    <w:rsid w:val="00F877BF"/>
    <w:rsid w:val="00F9314A"/>
    <w:rsid w:val="00F94A53"/>
    <w:rsid w:val="00F9623D"/>
    <w:rsid w:val="00F96674"/>
    <w:rsid w:val="00F96958"/>
    <w:rsid w:val="00F969FC"/>
    <w:rsid w:val="00FA0D0D"/>
    <w:rsid w:val="00FA29CD"/>
    <w:rsid w:val="00FA6A07"/>
    <w:rsid w:val="00FB277C"/>
    <w:rsid w:val="00FB2A39"/>
    <w:rsid w:val="00FB4124"/>
    <w:rsid w:val="00FB4372"/>
    <w:rsid w:val="00FC021D"/>
    <w:rsid w:val="00FC58EF"/>
    <w:rsid w:val="00FD09CA"/>
    <w:rsid w:val="00FD33DF"/>
    <w:rsid w:val="00FD3E8B"/>
    <w:rsid w:val="00FD3E9C"/>
    <w:rsid w:val="00FD4591"/>
    <w:rsid w:val="00FD6206"/>
    <w:rsid w:val="00FE1079"/>
    <w:rsid w:val="00FE32F8"/>
    <w:rsid w:val="00FE380E"/>
    <w:rsid w:val="00FE39D7"/>
    <w:rsid w:val="00FE3B4D"/>
    <w:rsid w:val="00FE5026"/>
    <w:rsid w:val="00FE656D"/>
    <w:rsid w:val="00FE7A62"/>
    <w:rsid w:val="00FF0F87"/>
    <w:rsid w:val="00FF12D7"/>
    <w:rsid w:val="00FF1CAD"/>
    <w:rsid w:val="00FF1CBF"/>
    <w:rsid w:val="00FF20B6"/>
    <w:rsid w:val="00FF71F0"/>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9897975A-CEA0-4D9C-BFB0-F1A3DCE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3690607">
      <w:bodyDiv w:val="1"/>
      <w:marLeft w:val="0"/>
      <w:marRight w:val="0"/>
      <w:marTop w:val="0"/>
      <w:marBottom w:val="0"/>
      <w:divBdr>
        <w:top w:val="none" w:sz="0" w:space="0" w:color="auto"/>
        <w:left w:val="none" w:sz="0" w:space="0" w:color="auto"/>
        <w:bottom w:val="none" w:sz="0" w:space="0" w:color="auto"/>
        <w:right w:val="none" w:sz="0" w:space="0" w:color="auto"/>
      </w:divBdr>
    </w:div>
    <w:div w:id="16174703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4217094">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7654579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6139694">
      <w:bodyDiv w:val="1"/>
      <w:marLeft w:val="0"/>
      <w:marRight w:val="0"/>
      <w:marTop w:val="0"/>
      <w:marBottom w:val="0"/>
      <w:divBdr>
        <w:top w:val="none" w:sz="0" w:space="0" w:color="auto"/>
        <w:left w:val="none" w:sz="0" w:space="0" w:color="auto"/>
        <w:bottom w:val="none" w:sz="0" w:space="0" w:color="auto"/>
        <w:right w:val="none" w:sz="0" w:space="0" w:color="auto"/>
      </w:divBdr>
    </w:div>
    <w:div w:id="1325628683">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04059591">
      <w:bodyDiv w:val="1"/>
      <w:marLeft w:val="0"/>
      <w:marRight w:val="0"/>
      <w:marTop w:val="0"/>
      <w:marBottom w:val="0"/>
      <w:divBdr>
        <w:top w:val="none" w:sz="0" w:space="0" w:color="auto"/>
        <w:left w:val="none" w:sz="0" w:space="0" w:color="auto"/>
        <w:bottom w:val="none" w:sz="0" w:space="0" w:color="auto"/>
        <w:right w:val="none" w:sz="0" w:space="0" w:color="auto"/>
      </w:divBdr>
    </w:div>
    <w:div w:id="1418675158">
      <w:bodyDiv w:val="1"/>
      <w:marLeft w:val="0"/>
      <w:marRight w:val="0"/>
      <w:marTop w:val="0"/>
      <w:marBottom w:val="0"/>
      <w:divBdr>
        <w:top w:val="none" w:sz="0" w:space="0" w:color="auto"/>
        <w:left w:val="none" w:sz="0" w:space="0" w:color="auto"/>
        <w:bottom w:val="none" w:sz="0" w:space="0" w:color="auto"/>
        <w:right w:val="none" w:sz="0" w:space="0" w:color="auto"/>
      </w:divBdr>
    </w:div>
    <w:div w:id="1419863027">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9645570">
      <w:bodyDiv w:val="1"/>
      <w:marLeft w:val="0"/>
      <w:marRight w:val="0"/>
      <w:marTop w:val="0"/>
      <w:marBottom w:val="0"/>
      <w:divBdr>
        <w:top w:val="none" w:sz="0" w:space="0" w:color="auto"/>
        <w:left w:val="none" w:sz="0" w:space="0" w:color="auto"/>
        <w:bottom w:val="none" w:sz="0" w:space="0" w:color="auto"/>
        <w:right w:val="none" w:sz="0" w:space="0" w:color="auto"/>
      </w:divBdr>
    </w:div>
    <w:div w:id="1477065285">
      <w:bodyDiv w:val="1"/>
      <w:marLeft w:val="0"/>
      <w:marRight w:val="0"/>
      <w:marTop w:val="0"/>
      <w:marBottom w:val="0"/>
      <w:divBdr>
        <w:top w:val="none" w:sz="0" w:space="0" w:color="auto"/>
        <w:left w:val="none" w:sz="0" w:space="0" w:color="auto"/>
        <w:bottom w:val="none" w:sz="0" w:space="0" w:color="auto"/>
        <w:right w:val="none" w:sz="0" w:space="0" w:color="auto"/>
      </w:divBdr>
    </w:div>
    <w:div w:id="1496414841">
      <w:bodyDiv w:val="1"/>
      <w:marLeft w:val="0"/>
      <w:marRight w:val="0"/>
      <w:marTop w:val="0"/>
      <w:marBottom w:val="0"/>
      <w:divBdr>
        <w:top w:val="none" w:sz="0" w:space="0" w:color="auto"/>
        <w:left w:val="none" w:sz="0" w:space="0" w:color="auto"/>
        <w:bottom w:val="none" w:sz="0" w:space="0" w:color="auto"/>
        <w:right w:val="none" w:sz="0" w:space="0" w:color="auto"/>
      </w:divBdr>
    </w:div>
    <w:div w:id="1506894172">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8497620">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39007152">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58848179">
      <w:bodyDiv w:val="1"/>
      <w:marLeft w:val="0"/>
      <w:marRight w:val="0"/>
      <w:marTop w:val="0"/>
      <w:marBottom w:val="0"/>
      <w:divBdr>
        <w:top w:val="none" w:sz="0" w:space="0" w:color="auto"/>
        <w:left w:val="none" w:sz="0" w:space="0" w:color="auto"/>
        <w:bottom w:val="none" w:sz="0" w:space="0" w:color="auto"/>
        <w:right w:val="none" w:sz="0" w:space="0" w:color="auto"/>
      </w:divBdr>
    </w:div>
    <w:div w:id="1711220290">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98253935">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03/c-150-03.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rteconstitucional.gov.co/relatoria/2003/c-150-03.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8988-46BC-4ADA-8996-05EB9E93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44</Pages>
  <Words>17756</Words>
  <Characters>93304</Characters>
  <Application>Microsoft Office Word</Application>
  <DocSecurity>0</DocSecurity>
  <Lines>777</Lines>
  <Paragraphs>221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2016-06-13T20:23:00Z</cp:lastPrinted>
  <dcterms:created xsi:type="dcterms:W3CDTF">2017-03-13T20:19:00Z</dcterms:created>
  <dcterms:modified xsi:type="dcterms:W3CDTF">2017-03-13T20:19:00Z</dcterms:modified>
</cp:coreProperties>
</file>