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16" w:rsidRPr="00D22E84" w:rsidRDefault="00E4112C" w:rsidP="00D22E84">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02.4pt;margin-top:-53.35pt;width:52.5pt;height:48.75pt;z-index:251657728" fillcolor="#0c9">
            <v:imagedata r:id="rId9" o:title=""/>
          </v:shape>
          <o:OLEObject Type="Embed" ProgID="PBrush" ShapeID="_x0000_s1030" DrawAspect="Content" ObjectID="_1452700712" r:id="rId10"/>
        </w:pict>
      </w:r>
    </w:p>
    <w:p w:rsidR="00A92F16" w:rsidRPr="00D22E84" w:rsidRDefault="00A92F16" w:rsidP="00D22E84">
      <w:pPr>
        <w:pStyle w:val="Encabezado"/>
        <w:tabs>
          <w:tab w:val="clear" w:pos="8504"/>
          <w:tab w:val="left" w:pos="0"/>
          <w:tab w:val="right" w:pos="9356"/>
        </w:tabs>
        <w:ind w:left="0"/>
        <w:jc w:val="both"/>
        <w:rPr>
          <w:rFonts w:ascii="Bookman Old Style" w:hAnsi="Bookman Old Style"/>
          <w:szCs w:val="24"/>
        </w:rPr>
      </w:pPr>
    </w:p>
    <w:p w:rsidR="00D22E84" w:rsidRDefault="00D22E84" w:rsidP="00D22E84">
      <w:pPr>
        <w:pStyle w:val="Ttulo4"/>
        <w:tabs>
          <w:tab w:val="left" w:pos="0"/>
          <w:tab w:val="right" w:pos="9356"/>
        </w:tabs>
        <w:ind w:left="0"/>
        <w:rPr>
          <w:rFonts w:ascii="Bookman Old Style" w:hAnsi="Bookman Old Style"/>
          <w:b w:val="0"/>
          <w:bCs/>
          <w:sz w:val="24"/>
          <w:szCs w:val="24"/>
        </w:rPr>
      </w:pPr>
    </w:p>
    <w:p w:rsidR="00A92F16" w:rsidRPr="00D22E84" w:rsidRDefault="00A92F16" w:rsidP="00D22E84">
      <w:pPr>
        <w:pStyle w:val="Ttulo4"/>
        <w:tabs>
          <w:tab w:val="left" w:pos="0"/>
          <w:tab w:val="right" w:pos="9356"/>
        </w:tabs>
        <w:ind w:left="0"/>
        <w:rPr>
          <w:rFonts w:ascii="Bookman Old Style" w:hAnsi="Bookman Old Style"/>
          <w:b w:val="0"/>
          <w:bCs/>
          <w:noProof/>
          <w:sz w:val="24"/>
          <w:szCs w:val="24"/>
          <w:lang w:val="es-ES"/>
        </w:rPr>
      </w:pPr>
      <w:r w:rsidRPr="00D22E84">
        <w:rPr>
          <w:rFonts w:ascii="Bookman Old Style" w:hAnsi="Bookman Old Style"/>
          <w:b w:val="0"/>
          <w:bCs/>
          <w:sz w:val="24"/>
          <w:szCs w:val="24"/>
        </w:rPr>
        <w:t>Ministerio de Minas y Energía</w:t>
      </w:r>
    </w:p>
    <w:p w:rsidR="00A92F16" w:rsidRPr="00D22E84" w:rsidRDefault="00A92F16" w:rsidP="00D22E84">
      <w:pPr>
        <w:pStyle w:val="Ttulo4"/>
        <w:tabs>
          <w:tab w:val="left" w:pos="0"/>
          <w:tab w:val="right" w:pos="9356"/>
        </w:tabs>
        <w:ind w:left="0"/>
        <w:rPr>
          <w:rFonts w:ascii="Bookman Old Style" w:hAnsi="Bookman Old Style"/>
          <w:b w:val="0"/>
          <w:bCs/>
          <w:sz w:val="24"/>
          <w:szCs w:val="24"/>
        </w:rPr>
      </w:pPr>
    </w:p>
    <w:p w:rsidR="00A92F16" w:rsidRPr="00D22E84" w:rsidRDefault="00A92F16" w:rsidP="00D22E84">
      <w:pPr>
        <w:pStyle w:val="Ttulo3"/>
        <w:tabs>
          <w:tab w:val="left" w:pos="0"/>
          <w:tab w:val="right" w:pos="9356"/>
        </w:tabs>
        <w:ind w:left="0"/>
        <w:rPr>
          <w:rFonts w:ascii="Bookman Old Style" w:hAnsi="Bookman Old Style" w:cs="Arial"/>
          <w:spacing w:val="20"/>
          <w:szCs w:val="24"/>
        </w:rPr>
      </w:pPr>
      <w:r w:rsidRPr="00D22E84">
        <w:rPr>
          <w:rFonts w:ascii="Bookman Old Style" w:hAnsi="Bookman Old Style" w:cs="Arial"/>
          <w:spacing w:val="20"/>
          <w:szCs w:val="24"/>
        </w:rPr>
        <w:t>COMISIÓN DE REGULACIÓN DE ENERGÍA Y GAS</w:t>
      </w:r>
    </w:p>
    <w:p w:rsidR="00A92F16" w:rsidRPr="00D22E84" w:rsidRDefault="00A92F16" w:rsidP="00D22E84">
      <w:pPr>
        <w:pStyle w:val="Ttulo5"/>
        <w:tabs>
          <w:tab w:val="left" w:pos="0"/>
          <w:tab w:val="right" w:pos="9356"/>
        </w:tabs>
        <w:ind w:left="0"/>
        <w:rPr>
          <w:rFonts w:ascii="Bookman Old Style" w:hAnsi="Bookman Old Style"/>
          <w:sz w:val="24"/>
          <w:szCs w:val="24"/>
        </w:rPr>
      </w:pPr>
    </w:p>
    <w:p w:rsidR="00A92F16" w:rsidRPr="00D22E84" w:rsidRDefault="00A92F16" w:rsidP="00D22E84">
      <w:pPr>
        <w:pStyle w:val="Ttulo5"/>
        <w:tabs>
          <w:tab w:val="left" w:pos="0"/>
          <w:tab w:val="right" w:pos="9356"/>
        </w:tabs>
        <w:ind w:left="0"/>
        <w:rPr>
          <w:rFonts w:ascii="Bookman Old Style" w:hAnsi="Bookman Old Style"/>
          <w:sz w:val="24"/>
          <w:szCs w:val="24"/>
        </w:rPr>
      </w:pPr>
    </w:p>
    <w:p w:rsidR="00A92F16" w:rsidRPr="00D22E84" w:rsidRDefault="00A92F16" w:rsidP="00D22E84">
      <w:pPr>
        <w:pStyle w:val="Ttulo5"/>
        <w:tabs>
          <w:tab w:val="left" w:pos="0"/>
          <w:tab w:val="right" w:pos="9356"/>
        </w:tabs>
        <w:ind w:left="0"/>
        <w:rPr>
          <w:rFonts w:ascii="Bookman Old Style" w:hAnsi="Bookman Old Style"/>
          <w:sz w:val="24"/>
          <w:szCs w:val="24"/>
        </w:rPr>
      </w:pPr>
      <w:r w:rsidRPr="00D22E84">
        <w:rPr>
          <w:rFonts w:ascii="Bookman Old Style" w:hAnsi="Bookman Old Style"/>
          <w:sz w:val="24"/>
          <w:szCs w:val="24"/>
        </w:rPr>
        <w:t>RESOLUCIÓN No.</w:t>
      </w:r>
      <w:r w:rsidR="00D22E84" w:rsidRPr="008908E6">
        <w:rPr>
          <w:rFonts w:ascii="Bookman Old Style" w:hAnsi="Bookman Old Style"/>
          <w:sz w:val="24"/>
          <w:szCs w:val="24"/>
        </w:rPr>
        <w:t xml:space="preserve">    </w:t>
      </w:r>
      <w:r w:rsidR="00704008">
        <w:rPr>
          <w:rFonts w:ascii="Bookman Old Style" w:hAnsi="Bookman Old Style"/>
          <w:sz w:val="24"/>
          <w:szCs w:val="24"/>
        </w:rPr>
        <w:t xml:space="preserve">     </w:t>
      </w:r>
      <w:r w:rsidR="00D22E84" w:rsidRPr="008908E6">
        <w:rPr>
          <w:rFonts w:ascii="Bookman Old Style" w:hAnsi="Bookman Old Style"/>
          <w:sz w:val="24"/>
          <w:szCs w:val="24"/>
        </w:rPr>
        <w:t xml:space="preserve">      </w:t>
      </w:r>
      <w:r w:rsidRPr="00D22E84">
        <w:rPr>
          <w:rFonts w:ascii="Bookman Old Style" w:hAnsi="Bookman Old Style"/>
          <w:sz w:val="24"/>
          <w:szCs w:val="24"/>
        </w:rPr>
        <w:t xml:space="preserve">DE </w:t>
      </w:r>
      <w:r w:rsidR="008D32D6" w:rsidRPr="00D22E84">
        <w:rPr>
          <w:rFonts w:ascii="Bookman Old Style" w:hAnsi="Bookman Old Style"/>
          <w:sz w:val="24"/>
          <w:szCs w:val="24"/>
        </w:rPr>
        <w:t>201</w:t>
      </w:r>
      <w:r w:rsidR="008D32D6">
        <w:rPr>
          <w:rFonts w:ascii="Bookman Old Style" w:hAnsi="Bookman Old Style"/>
          <w:sz w:val="24"/>
          <w:szCs w:val="24"/>
        </w:rPr>
        <w:t>4</w:t>
      </w:r>
    </w:p>
    <w:p w:rsidR="00A92F16" w:rsidRPr="00D22E84" w:rsidRDefault="00A92F16" w:rsidP="00D22E84">
      <w:pPr>
        <w:tabs>
          <w:tab w:val="left" w:pos="0"/>
          <w:tab w:val="right" w:pos="9356"/>
        </w:tabs>
        <w:ind w:left="0"/>
        <w:jc w:val="center"/>
        <w:rPr>
          <w:rFonts w:ascii="Bookman Old Style" w:hAnsi="Bookman Old Style" w:cs="Arial"/>
          <w:b/>
          <w:snapToGrid w:val="0"/>
          <w:color w:val="000000"/>
          <w:lang w:val="es-ES_tradnl"/>
        </w:rPr>
      </w:pPr>
    </w:p>
    <w:p w:rsidR="00A92F16" w:rsidRPr="00D22E84" w:rsidRDefault="00A92F16" w:rsidP="00D22E84">
      <w:pPr>
        <w:pStyle w:val="Ttulo3"/>
        <w:tabs>
          <w:tab w:val="left" w:pos="0"/>
          <w:tab w:val="right" w:pos="9356"/>
        </w:tabs>
        <w:ind w:left="0"/>
        <w:rPr>
          <w:rFonts w:ascii="Bookman Old Style" w:hAnsi="Bookman Old Style"/>
          <w:b w:val="0"/>
          <w:szCs w:val="24"/>
        </w:rPr>
      </w:pPr>
      <w:r w:rsidRPr="00D22E84">
        <w:rPr>
          <w:rFonts w:ascii="Bookman Old Style" w:hAnsi="Bookman Old Style"/>
          <w:b w:val="0"/>
          <w:szCs w:val="24"/>
        </w:rPr>
        <w:t>(</w:t>
      </w:r>
      <w:r w:rsidR="00D22E84" w:rsidRPr="008908E6">
        <w:rPr>
          <w:rFonts w:ascii="Bookman Old Style" w:hAnsi="Bookman Old Style"/>
          <w:b w:val="0"/>
          <w:szCs w:val="24"/>
        </w:rPr>
        <w:t xml:space="preserve">     </w:t>
      </w:r>
      <w:r w:rsidR="00704008">
        <w:rPr>
          <w:rFonts w:ascii="Bookman Old Style" w:hAnsi="Bookman Old Style"/>
          <w:b w:val="0"/>
          <w:szCs w:val="24"/>
        </w:rPr>
        <w:t xml:space="preserve">                    </w:t>
      </w:r>
      <w:r w:rsidR="00D22E84" w:rsidRPr="008908E6">
        <w:rPr>
          <w:rFonts w:ascii="Bookman Old Style" w:hAnsi="Bookman Old Style"/>
          <w:b w:val="0"/>
          <w:szCs w:val="24"/>
        </w:rPr>
        <w:t xml:space="preserve">            </w:t>
      </w:r>
      <w:r w:rsidRPr="00D22E84">
        <w:rPr>
          <w:rFonts w:ascii="Bookman Old Style" w:hAnsi="Bookman Old Style"/>
          <w:b w:val="0"/>
          <w:szCs w:val="24"/>
        </w:rPr>
        <w:t>)</w:t>
      </w:r>
    </w:p>
    <w:p w:rsidR="00A92F16" w:rsidRPr="00D22E84" w:rsidRDefault="00A92F16" w:rsidP="00D22E84">
      <w:pPr>
        <w:tabs>
          <w:tab w:val="left" w:pos="0"/>
          <w:tab w:val="right" w:pos="9356"/>
        </w:tabs>
        <w:ind w:left="0"/>
        <w:jc w:val="center"/>
        <w:rPr>
          <w:rFonts w:ascii="Bookman Old Style" w:hAnsi="Bookman Old Style"/>
          <w:lang w:val="es-ES_tradnl"/>
        </w:rPr>
      </w:pPr>
    </w:p>
    <w:p w:rsidR="00A92F16" w:rsidRPr="00D22E84" w:rsidRDefault="00A92F16" w:rsidP="00D22E84">
      <w:pPr>
        <w:ind w:left="0"/>
        <w:rPr>
          <w:rFonts w:ascii="Bookman Old Style" w:hAnsi="Bookman Old Style"/>
          <w:bCs/>
          <w:lang w:val="es-CO"/>
        </w:rPr>
      </w:pPr>
    </w:p>
    <w:p w:rsidR="001632A4" w:rsidRPr="00D22E84" w:rsidRDefault="001632A4" w:rsidP="00D22E84">
      <w:pPr>
        <w:widowControl w:val="0"/>
        <w:tabs>
          <w:tab w:val="center" w:pos="4512"/>
          <w:tab w:val="left" w:pos="7088"/>
        </w:tabs>
        <w:suppressAutoHyphens/>
        <w:adjustRightInd w:val="0"/>
        <w:ind w:left="0" w:right="51"/>
        <w:jc w:val="center"/>
        <w:textAlignment w:val="baseline"/>
        <w:rPr>
          <w:rFonts w:ascii="Bookman Old Style" w:hAnsi="Bookman Old Style" w:cs="Arial"/>
          <w:spacing w:val="-3"/>
          <w:lang w:val="es-ES_tradnl"/>
        </w:rPr>
      </w:pPr>
      <w:r w:rsidRPr="00D22E84">
        <w:rPr>
          <w:rFonts w:ascii="Bookman Old Style" w:hAnsi="Bookman Old Style" w:cs="Arial"/>
        </w:rPr>
        <w:t xml:space="preserve">Por la cual se ordena hacer público un proyecto de resolución de carácter general “Por la cual se modifica la Resolución CREG </w:t>
      </w:r>
      <w:r w:rsidR="00067ACE" w:rsidRPr="00D22E84">
        <w:rPr>
          <w:rFonts w:ascii="Bookman Old Style" w:hAnsi="Bookman Old Style" w:cs="Arial"/>
        </w:rPr>
        <w:t>124</w:t>
      </w:r>
      <w:r w:rsidRPr="00D22E84">
        <w:rPr>
          <w:rFonts w:ascii="Bookman Old Style" w:hAnsi="Bookman Old Style" w:cs="Arial"/>
        </w:rPr>
        <w:t xml:space="preserve"> de 201</w:t>
      </w:r>
      <w:r w:rsidR="00067ACE" w:rsidRPr="00D22E84">
        <w:rPr>
          <w:rFonts w:ascii="Bookman Old Style" w:hAnsi="Bookman Old Style" w:cs="Arial"/>
        </w:rPr>
        <w:t>3</w:t>
      </w:r>
      <w:r w:rsidR="00D22E84">
        <w:rPr>
          <w:rFonts w:ascii="Bookman Old Style" w:hAnsi="Bookman Old Style" w:cs="Arial"/>
        </w:rPr>
        <w:t>”</w:t>
      </w:r>
    </w:p>
    <w:p w:rsidR="001632A4" w:rsidRDefault="001632A4" w:rsidP="00D22E84">
      <w:pPr>
        <w:ind w:left="0"/>
        <w:jc w:val="both"/>
        <w:rPr>
          <w:rFonts w:ascii="Bookman Old Style" w:hAnsi="Bookman Old Style" w:cs="Arial"/>
          <w:lang w:val="es-ES_tradnl"/>
        </w:rPr>
      </w:pPr>
    </w:p>
    <w:p w:rsidR="00D22E84" w:rsidRPr="00D22E84" w:rsidRDefault="00D22E84" w:rsidP="00D22E84">
      <w:pPr>
        <w:ind w:left="0"/>
        <w:jc w:val="both"/>
        <w:rPr>
          <w:rFonts w:ascii="Bookman Old Style" w:hAnsi="Bookman Old Style" w:cs="Arial"/>
          <w:lang w:val="es-ES_tradnl"/>
        </w:rPr>
      </w:pPr>
    </w:p>
    <w:p w:rsidR="001632A4" w:rsidRPr="00D22E84" w:rsidRDefault="001632A4" w:rsidP="00D22E84">
      <w:pPr>
        <w:ind w:left="0"/>
        <w:jc w:val="center"/>
        <w:outlineLvl w:val="6"/>
        <w:rPr>
          <w:rFonts w:ascii="Bookman Old Style" w:hAnsi="Bookman Old Style"/>
          <w:b/>
        </w:rPr>
      </w:pPr>
      <w:r w:rsidRPr="00D22E84">
        <w:rPr>
          <w:rFonts w:ascii="Bookman Old Style" w:hAnsi="Bookman Old Style"/>
          <w:b/>
        </w:rPr>
        <w:t>LA COMISIÓN DE REGULACIÓN DE ENERGÍA Y GAS</w:t>
      </w:r>
    </w:p>
    <w:p w:rsidR="001632A4" w:rsidRPr="00D22E84" w:rsidRDefault="001632A4" w:rsidP="00D22E84">
      <w:pPr>
        <w:ind w:left="0"/>
        <w:jc w:val="both"/>
        <w:rPr>
          <w:rFonts w:ascii="Bookman Old Style" w:hAnsi="Bookman Old Style" w:cs="Arial"/>
          <w:b/>
        </w:rPr>
      </w:pPr>
    </w:p>
    <w:p w:rsidR="001632A4" w:rsidRPr="00D22E84" w:rsidRDefault="001632A4" w:rsidP="00D22E84">
      <w:pPr>
        <w:ind w:left="0"/>
        <w:jc w:val="both"/>
        <w:rPr>
          <w:rFonts w:ascii="Bookman Old Style" w:hAnsi="Bookman Old Style" w:cs="Arial"/>
        </w:rPr>
      </w:pPr>
    </w:p>
    <w:p w:rsidR="001632A4" w:rsidRPr="00D22E84" w:rsidRDefault="001632A4" w:rsidP="008D32D6">
      <w:pPr>
        <w:widowControl w:val="0"/>
        <w:adjustRightInd w:val="0"/>
        <w:ind w:left="0" w:right="-133"/>
        <w:jc w:val="center"/>
        <w:textAlignment w:val="baseline"/>
        <w:rPr>
          <w:rFonts w:ascii="Bookman Old Style" w:hAnsi="Bookman Old Style" w:cs="Arial"/>
          <w:lang w:val="es-ES_tradnl"/>
        </w:rPr>
      </w:pPr>
      <w:r w:rsidRPr="00D22E84">
        <w:rPr>
          <w:rFonts w:ascii="Bookman Old Style" w:hAnsi="Bookman Old Style" w:cs="Arial"/>
          <w:lang w:val="es-CO"/>
        </w:rPr>
        <w:t>E</w:t>
      </w:r>
      <w:r w:rsidRPr="00D22E84">
        <w:rPr>
          <w:rFonts w:ascii="Bookman Old Style" w:hAnsi="Bookman Old Style" w:cs="Arial"/>
          <w:lang w:val="es-ES_tradnl"/>
        </w:rPr>
        <w:t>n ejercicio de sus atribuciones legales, en especial las conferidas por la Ley 142 de 1994</w:t>
      </w:r>
      <w:r w:rsidR="00D22E84">
        <w:rPr>
          <w:rFonts w:ascii="Bookman Old Style" w:hAnsi="Bookman Old Style" w:cs="Arial"/>
          <w:lang w:val="es-ES_tradnl"/>
        </w:rPr>
        <w:t>,</w:t>
      </w:r>
      <w:r w:rsidRPr="00D22E84">
        <w:rPr>
          <w:rFonts w:ascii="Bookman Old Style" w:hAnsi="Bookman Old Style" w:cs="Arial"/>
          <w:lang w:val="es-ES_tradnl"/>
        </w:rPr>
        <w:t xml:space="preserve"> y de acuerdo con el Decreto 2253 de 1994</w:t>
      </w:r>
      <w:r w:rsidR="00D22E84">
        <w:rPr>
          <w:rFonts w:ascii="Bookman Old Style" w:hAnsi="Bookman Old Style" w:cs="Arial"/>
          <w:lang w:val="es-ES_tradnl"/>
        </w:rPr>
        <w:t>,</w:t>
      </w:r>
      <w:r w:rsidRPr="00D22E84">
        <w:rPr>
          <w:rFonts w:ascii="Bookman Old Style" w:hAnsi="Bookman Old Style" w:cs="Arial"/>
          <w:lang w:val="es-ES_tradnl"/>
        </w:rPr>
        <w:t xml:space="preserve"> y</w:t>
      </w:r>
    </w:p>
    <w:p w:rsidR="001632A4" w:rsidRPr="00D22E84" w:rsidRDefault="001632A4" w:rsidP="00D22E84">
      <w:pPr>
        <w:ind w:left="0"/>
        <w:jc w:val="both"/>
        <w:rPr>
          <w:rFonts w:ascii="Bookman Old Style" w:hAnsi="Bookman Old Style" w:cs="Arial"/>
          <w:lang w:val="es-ES_tradnl"/>
        </w:rPr>
      </w:pPr>
    </w:p>
    <w:p w:rsidR="001632A4" w:rsidRPr="00D22E84" w:rsidRDefault="001632A4" w:rsidP="00D22E84">
      <w:pPr>
        <w:ind w:left="0"/>
        <w:jc w:val="both"/>
        <w:rPr>
          <w:rFonts w:ascii="Bookman Old Style" w:hAnsi="Bookman Old Style" w:cs="Arial"/>
          <w:lang w:val="es-ES_tradnl"/>
        </w:rPr>
      </w:pPr>
    </w:p>
    <w:p w:rsidR="001632A4" w:rsidRPr="00D22E84" w:rsidRDefault="001632A4" w:rsidP="00D22E84">
      <w:pPr>
        <w:ind w:left="0"/>
        <w:jc w:val="center"/>
        <w:rPr>
          <w:rFonts w:ascii="Bookman Old Style" w:hAnsi="Bookman Old Style" w:cs="Arial"/>
          <w:b/>
        </w:rPr>
      </w:pPr>
      <w:r w:rsidRPr="00D22E84">
        <w:rPr>
          <w:rFonts w:ascii="Bookman Old Style" w:hAnsi="Bookman Old Style" w:cs="Arial"/>
          <w:b/>
          <w:spacing w:val="80"/>
        </w:rPr>
        <w:t>CONSIDERANDOQUE</w:t>
      </w:r>
      <w:r w:rsidRPr="00D22E84">
        <w:rPr>
          <w:rFonts w:ascii="Bookman Old Style" w:hAnsi="Bookman Old Style" w:cs="Arial"/>
          <w:b/>
        </w:rPr>
        <w:t>:</w:t>
      </w:r>
    </w:p>
    <w:p w:rsidR="001632A4" w:rsidRPr="00D22E84" w:rsidRDefault="001632A4" w:rsidP="00D22E84">
      <w:pPr>
        <w:ind w:left="0"/>
        <w:jc w:val="both"/>
        <w:rPr>
          <w:rFonts w:ascii="Bookman Old Style" w:hAnsi="Bookman Old Style" w:cs="Arial"/>
          <w:b/>
        </w:rPr>
      </w:pPr>
    </w:p>
    <w:p w:rsidR="001632A4" w:rsidRPr="00D22E84" w:rsidRDefault="001632A4" w:rsidP="00D22E84">
      <w:pPr>
        <w:ind w:left="0"/>
        <w:jc w:val="both"/>
        <w:rPr>
          <w:rFonts w:ascii="Bookman Old Style" w:hAnsi="Bookman Old Style" w:cs="Arial"/>
          <w:b/>
        </w:rPr>
      </w:pPr>
    </w:p>
    <w:p w:rsidR="00EE50E8" w:rsidRPr="00D22E84" w:rsidRDefault="00EE50E8" w:rsidP="00D22E84">
      <w:pPr>
        <w:widowControl w:val="0"/>
        <w:autoSpaceDE w:val="0"/>
        <w:autoSpaceDN w:val="0"/>
        <w:adjustRightInd w:val="0"/>
        <w:ind w:left="0"/>
        <w:jc w:val="both"/>
        <w:rPr>
          <w:rFonts w:ascii="Bookman Old Style" w:hAnsi="Bookman Old Style" w:cs="Arial"/>
          <w:lang w:val="es-CO" w:eastAsia="en-US"/>
        </w:rPr>
      </w:pPr>
      <w:r w:rsidRPr="00D22E84">
        <w:rPr>
          <w:rFonts w:ascii="Bookman Old Style" w:hAnsi="Bookman Old Style" w:cs="Arial"/>
          <w:lang w:val="es-CO" w:eastAsia="en-US"/>
        </w:rPr>
        <w:t>Conforme a lo dispuesto por el artículo 9 del Decreto 2696 de 2004, concordante con el artículo 8 del Código de Procedimiento Administrativo de lo Contencioso Administrativo, la Comisión debe hacer públicos en su página web los proyectos de resolución de carácter general que prevé adoptar.</w:t>
      </w:r>
    </w:p>
    <w:p w:rsidR="00EE50E8" w:rsidRPr="00D22E84" w:rsidRDefault="00EE50E8" w:rsidP="00D22E84">
      <w:pPr>
        <w:widowControl w:val="0"/>
        <w:autoSpaceDE w:val="0"/>
        <w:autoSpaceDN w:val="0"/>
        <w:adjustRightInd w:val="0"/>
        <w:ind w:left="0"/>
        <w:rPr>
          <w:rFonts w:ascii="Bookman Old Style" w:hAnsi="Bookman Old Style" w:cs="Arial"/>
          <w:lang w:val="es-CO" w:eastAsia="en-US"/>
        </w:rPr>
      </w:pPr>
    </w:p>
    <w:p w:rsidR="00EE50E8" w:rsidRPr="004E0205" w:rsidRDefault="00EE50E8" w:rsidP="00D22E84">
      <w:pPr>
        <w:widowControl w:val="0"/>
        <w:autoSpaceDE w:val="0"/>
        <w:autoSpaceDN w:val="0"/>
        <w:adjustRightInd w:val="0"/>
        <w:ind w:left="0"/>
        <w:jc w:val="both"/>
        <w:rPr>
          <w:rFonts w:ascii="Bookman Old Style" w:hAnsi="Bookman Old Style" w:cs="Arial"/>
          <w:lang w:val="es-CO" w:eastAsia="en-US"/>
        </w:rPr>
      </w:pPr>
      <w:r w:rsidRPr="00D22E84">
        <w:rPr>
          <w:rFonts w:ascii="Bookman Old Style" w:hAnsi="Bookman Old Style" w:cs="Arial"/>
          <w:lang w:val="es-CO" w:eastAsia="en-US"/>
        </w:rPr>
        <w:t xml:space="preserve">La Comisión de Regulación de Energía y Gas, CREG, en su sesión No. </w:t>
      </w:r>
      <w:r w:rsidR="00D22E84">
        <w:rPr>
          <w:rFonts w:ascii="Bookman Old Style" w:hAnsi="Bookman Old Style" w:cs="Arial"/>
          <w:lang w:val="es-CO" w:eastAsia="en-US"/>
        </w:rPr>
        <w:t>5</w:t>
      </w:r>
      <w:r w:rsidR="008D32D6">
        <w:rPr>
          <w:rFonts w:ascii="Bookman Old Style" w:hAnsi="Bookman Old Style" w:cs="Arial"/>
          <w:lang w:val="es-CO" w:eastAsia="en-US"/>
        </w:rPr>
        <w:t>90</w:t>
      </w:r>
      <w:r w:rsidR="00D22E84" w:rsidRPr="00D22E84">
        <w:rPr>
          <w:rFonts w:ascii="Bookman Old Style" w:hAnsi="Bookman Old Style" w:cs="Arial"/>
          <w:lang w:val="es-CO" w:eastAsia="en-US"/>
        </w:rPr>
        <w:t xml:space="preserve"> </w:t>
      </w:r>
      <w:r w:rsidRPr="00D22E84">
        <w:rPr>
          <w:rFonts w:ascii="Bookman Old Style" w:hAnsi="Bookman Old Style" w:cs="Arial"/>
          <w:lang w:val="es-CO" w:eastAsia="en-US"/>
        </w:rPr>
        <w:t xml:space="preserve">de </w:t>
      </w:r>
      <w:r w:rsidR="008D32D6">
        <w:rPr>
          <w:rFonts w:ascii="Bookman Old Style" w:hAnsi="Bookman Old Style" w:cs="Arial"/>
          <w:lang w:val="es-CO" w:eastAsia="en-US"/>
        </w:rPr>
        <w:t>enero</w:t>
      </w:r>
      <w:r w:rsidR="008D32D6" w:rsidRPr="00D22E84">
        <w:rPr>
          <w:rFonts w:ascii="Bookman Old Style" w:hAnsi="Bookman Old Style" w:cs="Arial"/>
          <w:lang w:val="es-CO" w:eastAsia="en-US"/>
        </w:rPr>
        <w:t xml:space="preserve"> </w:t>
      </w:r>
      <w:r w:rsidR="008D32D6">
        <w:rPr>
          <w:rFonts w:ascii="Bookman Old Style" w:hAnsi="Bookman Old Style" w:cs="Arial"/>
          <w:lang w:val="es-CO" w:eastAsia="en-US"/>
        </w:rPr>
        <w:t>30</w:t>
      </w:r>
      <w:r w:rsidR="008D32D6" w:rsidRPr="00D22E84">
        <w:rPr>
          <w:rFonts w:ascii="Bookman Old Style" w:hAnsi="Bookman Old Style" w:cs="Arial"/>
          <w:lang w:val="es-CO" w:eastAsia="en-US"/>
        </w:rPr>
        <w:t xml:space="preserve"> </w:t>
      </w:r>
      <w:r w:rsidRPr="00D22E84">
        <w:rPr>
          <w:rFonts w:ascii="Bookman Old Style" w:hAnsi="Bookman Old Style" w:cs="Arial"/>
          <w:lang w:val="es-CO" w:eastAsia="en-US"/>
        </w:rPr>
        <w:t xml:space="preserve">de </w:t>
      </w:r>
      <w:r w:rsidR="008D32D6" w:rsidRPr="00D22E84">
        <w:rPr>
          <w:rFonts w:ascii="Bookman Old Style" w:hAnsi="Bookman Old Style" w:cs="Arial"/>
          <w:lang w:val="es-CO" w:eastAsia="en-US"/>
        </w:rPr>
        <w:t>201</w:t>
      </w:r>
      <w:r w:rsidR="008D32D6">
        <w:rPr>
          <w:rFonts w:ascii="Bookman Old Style" w:hAnsi="Bookman Old Style" w:cs="Arial"/>
          <w:lang w:val="es-CO" w:eastAsia="en-US"/>
        </w:rPr>
        <w:t>4</w:t>
      </w:r>
      <w:r w:rsidRPr="00D22E84">
        <w:rPr>
          <w:rFonts w:ascii="Bookman Old Style" w:hAnsi="Bookman Old Style" w:cs="Arial"/>
          <w:lang w:val="es-CO" w:eastAsia="en-US"/>
        </w:rPr>
        <w:t xml:space="preserve">, aprobó hacer público el proyecto de resolución </w:t>
      </w:r>
      <w:r w:rsidRPr="00D22E84">
        <w:rPr>
          <w:rFonts w:ascii="Bookman Old Style" w:hAnsi="Bookman Old Style"/>
          <w:i/>
          <w:spacing w:val="-3"/>
          <w:lang w:val="es-ES_tradnl" w:eastAsia="x-none"/>
        </w:rPr>
        <w:t>“</w:t>
      </w:r>
      <w:r w:rsidRPr="004E0205">
        <w:rPr>
          <w:rFonts w:ascii="Bookman Old Style" w:hAnsi="Bookman Old Style" w:cs="Arial"/>
        </w:rPr>
        <w:t xml:space="preserve">Por la cual se modifica la Resolución CREG </w:t>
      </w:r>
      <w:r w:rsidR="00067ACE" w:rsidRPr="004E0205">
        <w:rPr>
          <w:rFonts w:ascii="Bookman Old Style" w:hAnsi="Bookman Old Style" w:cs="Arial"/>
        </w:rPr>
        <w:t>124</w:t>
      </w:r>
      <w:r w:rsidRPr="004E0205">
        <w:rPr>
          <w:rFonts w:ascii="Bookman Old Style" w:hAnsi="Bookman Old Style" w:cs="Arial"/>
        </w:rPr>
        <w:t xml:space="preserve"> de 201</w:t>
      </w:r>
      <w:r w:rsidR="00067ACE" w:rsidRPr="004E0205">
        <w:rPr>
          <w:rFonts w:ascii="Bookman Old Style" w:hAnsi="Bookman Old Style" w:cs="Arial"/>
        </w:rPr>
        <w:t>3</w:t>
      </w:r>
      <w:r w:rsidRPr="004E0205">
        <w:rPr>
          <w:rFonts w:ascii="Bookman Old Style" w:hAnsi="Bookman Old Style" w:cs="Arial"/>
        </w:rPr>
        <w:t xml:space="preserve">”. </w:t>
      </w:r>
    </w:p>
    <w:p w:rsidR="001632A4" w:rsidRPr="00D22E84" w:rsidRDefault="001632A4" w:rsidP="00D22E84">
      <w:pPr>
        <w:widowControl w:val="0"/>
        <w:adjustRightInd w:val="0"/>
        <w:ind w:left="0"/>
        <w:jc w:val="both"/>
        <w:textAlignment w:val="baseline"/>
        <w:rPr>
          <w:rFonts w:ascii="Bookman Old Style" w:hAnsi="Bookman Old Style"/>
          <w:spacing w:val="-3"/>
          <w:lang w:val="es-CO" w:eastAsia="x-none"/>
        </w:rPr>
      </w:pPr>
    </w:p>
    <w:p w:rsidR="001632A4" w:rsidRPr="00D22E84" w:rsidRDefault="001632A4" w:rsidP="00D22E84">
      <w:pPr>
        <w:ind w:left="0"/>
        <w:jc w:val="both"/>
        <w:rPr>
          <w:rFonts w:ascii="Bookman Old Style" w:hAnsi="Bookman Old Style" w:cs="Arial"/>
        </w:rPr>
      </w:pPr>
    </w:p>
    <w:p w:rsidR="001632A4" w:rsidRPr="00D22E84" w:rsidRDefault="001632A4" w:rsidP="00D22E84">
      <w:pPr>
        <w:ind w:left="0"/>
        <w:jc w:val="center"/>
        <w:rPr>
          <w:rFonts w:ascii="Bookman Old Style" w:hAnsi="Bookman Old Style" w:cs="Arial"/>
        </w:rPr>
      </w:pPr>
      <w:r w:rsidRPr="00D22E84">
        <w:rPr>
          <w:rFonts w:ascii="Bookman Old Style" w:hAnsi="Bookman Old Style" w:cs="Arial"/>
          <w:b/>
          <w:spacing w:val="80"/>
        </w:rPr>
        <w:t>RESUELVE</w:t>
      </w:r>
      <w:r w:rsidRPr="00D22E84">
        <w:rPr>
          <w:rFonts w:ascii="Bookman Old Style" w:hAnsi="Bookman Old Style" w:cs="Arial"/>
        </w:rPr>
        <w:t>:</w:t>
      </w:r>
    </w:p>
    <w:p w:rsidR="001632A4" w:rsidRPr="00D22E84" w:rsidRDefault="001632A4" w:rsidP="00D22E84">
      <w:pPr>
        <w:ind w:left="0"/>
        <w:jc w:val="both"/>
        <w:rPr>
          <w:rFonts w:ascii="Bookman Old Style" w:hAnsi="Bookman Old Style" w:cs="Arial"/>
          <w:b/>
          <w:spacing w:val="-3"/>
        </w:rPr>
      </w:pPr>
    </w:p>
    <w:p w:rsidR="001632A4" w:rsidRPr="00D22E84" w:rsidRDefault="001632A4" w:rsidP="00D22E84">
      <w:pPr>
        <w:ind w:left="0"/>
        <w:jc w:val="both"/>
        <w:rPr>
          <w:rFonts w:ascii="Bookman Old Style" w:hAnsi="Bookman Old Style" w:cs="Arial"/>
          <w:b/>
          <w:spacing w:val="-3"/>
        </w:rPr>
      </w:pPr>
    </w:p>
    <w:p w:rsidR="001632A4" w:rsidRPr="00D22E84" w:rsidRDefault="001632A4" w:rsidP="00D22E84">
      <w:pPr>
        <w:widowControl w:val="0"/>
        <w:tabs>
          <w:tab w:val="center" w:pos="4512"/>
          <w:tab w:val="left" w:pos="7088"/>
        </w:tabs>
        <w:suppressAutoHyphens/>
        <w:adjustRightInd w:val="0"/>
        <w:ind w:left="0" w:right="51"/>
        <w:jc w:val="both"/>
        <w:textAlignment w:val="baseline"/>
        <w:rPr>
          <w:rFonts w:ascii="Bookman Old Style" w:hAnsi="Bookman Old Style" w:cs="Arial"/>
          <w:spacing w:val="-3"/>
          <w:lang w:val="es-ES_tradnl"/>
        </w:rPr>
      </w:pPr>
      <w:r w:rsidRPr="00D22E84">
        <w:rPr>
          <w:rFonts w:ascii="Bookman Old Style" w:hAnsi="Bookman Old Style" w:cs="Arial"/>
          <w:b/>
          <w:bCs/>
          <w:lang w:val="es-CO" w:eastAsia="es-CO"/>
        </w:rPr>
        <w:t>Artículo 1.</w:t>
      </w:r>
      <w:r w:rsidRPr="00D22E84">
        <w:rPr>
          <w:rFonts w:ascii="Bookman Old Style" w:hAnsi="Bookman Old Style" w:cs="Arial"/>
          <w:lang w:val="es-CO" w:eastAsia="es-CO"/>
        </w:rPr>
        <w:t xml:space="preserve"> Hágase público el proyecto de resolución </w:t>
      </w:r>
      <w:r w:rsidRPr="00D22E84">
        <w:rPr>
          <w:rFonts w:ascii="Bookman Old Style" w:hAnsi="Bookman Old Style" w:cs="Arial"/>
        </w:rPr>
        <w:t xml:space="preserve">“Por la cual se modifica la Resolución CREG </w:t>
      </w:r>
      <w:r w:rsidR="00067ACE" w:rsidRPr="00D22E84">
        <w:rPr>
          <w:rFonts w:ascii="Bookman Old Style" w:hAnsi="Bookman Old Style" w:cs="Arial"/>
        </w:rPr>
        <w:t>124</w:t>
      </w:r>
      <w:r w:rsidRPr="00D22E84">
        <w:rPr>
          <w:rFonts w:ascii="Bookman Old Style" w:hAnsi="Bookman Old Style" w:cs="Arial"/>
        </w:rPr>
        <w:t xml:space="preserve"> de 201</w:t>
      </w:r>
      <w:r w:rsidR="00067ACE" w:rsidRPr="00D22E84">
        <w:rPr>
          <w:rFonts w:ascii="Bookman Old Style" w:hAnsi="Bookman Old Style" w:cs="Arial"/>
        </w:rPr>
        <w:t>3</w:t>
      </w:r>
      <w:r w:rsidRPr="00D22E84">
        <w:rPr>
          <w:rFonts w:ascii="Bookman Old Style" w:hAnsi="Bookman Old Style" w:cs="Arial"/>
        </w:rPr>
        <w:t xml:space="preserve">”. </w:t>
      </w:r>
    </w:p>
    <w:p w:rsidR="001632A4" w:rsidRPr="00D22E84" w:rsidRDefault="001632A4" w:rsidP="00D22E84">
      <w:pPr>
        <w:widowControl w:val="0"/>
        <w:adjustRightInd w:val="0"/>
        <w:ind w:left="0"/>
        <w:jc w:val="both"/>
        <w:textAlignment w:val="baseline"/>
        <w:rPr>
          <w:rFonts w:ascii="Bookman Old Style" w:hAnsi="Bookman Old Style" w:cs="Arial"/>
          <w:lang w:val="es-ES_tradnl"/>
        </w:rPr>
      </w:pPr>
    </w:p>
    <w:p w:rsidR="001632A4" w:rsidRPr="00D22E84" w:rsidRDefault="001632A4" w:rsidP="00D22E84">
      <w:pPr>
        <w:widowControl w:val="0"/>
        <w:adjustRightInd w:val="0"/>
        <w:ind w:left="0"/>
        <w:jc w:val="both"/>
        <w:textAlignment w:val="baseline"/>
        <w:rPr>
          <w:rFonts w:ascii="Bookman Old Style" w:hAnsi="Bookman Old Style" w:cs="Arial"/>
          <w:lang w:val="es-CO" w:eastAsia="es-CO"/>
        </w:rPr>
      </w:pPr>
      <w:r w:rsidRPr="00D22E84">
        <w:rPr>
          <w:rFonts w:ascii="Bookman Old Style" w:hAnsi="Bookman Old Style" w:cs="Arial"/>
          <w:b/>
          <w:bCs/>
          <w:lang w:val="es-CO" w:eastAsia="es-CO"/>
        </w:rPr>
        <w:t>Artículo 2</w:t>
      </w:r>
      <w:r w:rsidRPr="008D32D6">
        <w:rPr>
          <w:rFonts w:ascii="Bookman Old Style" w:hAnsi="Bookman Old Style" w:cs="Arial"/>
          <w:b/>
          <w:lang w:val="es-CO" w:eastAsia="es-CO"/>
        </w:rPr>
        <w:t>.</w:t>
      </w:r>
      <w:r w:rsidRPr="00D22E84">
        <w:rPr>
          <w:rFonts w:ascii="Bookman Old Style" w:hAnsi="Bookman Old Style" w:cs="Arial"/>
          <w:lang w:val="es-CO" w:eastAsia="es-CO"/>
        </w:rPr>
        <w:t xml:space="preserve"> Se invita a los agentes, a los usuarios, a las Autoridades Locales Municipales y Departamentales competentes</w:t>
      </w:r>
      <w:r w:rsidR="008D32D6">
        <w:rPr>
          <w:rFonts w:ascii="Bookman Old Style" w:hAnsi="Bookman Old Style" w:cs="Arial"/>
          <w:lang w:val="es-CO" w:eastAsia="es-CO"/>
        </w:rPr>
        <w:t>,</w:t>
      </w:r>
      <w:r w:rsidRPr="00D22E84">
        <w:rPr>
          <w:rFonts w:ascii="Bookman Old Style" w:hAnsi="Bookman Old Style" w:cs="Arial"/>
          <w:lang w:val="es-CO" w:eastAsia="es-CO"/>
        </w:rPr>
        <w:t xml:space="preserve"> a la Superintendencia de Servicios Públicos Domiciliarios</w:t>
      </w:r>
      <w:r w:rsidR="008D32D6">
        <w:rPr>
          <w:rFonts w:ascii="Bookman Old Style" w:hAnsi="Bookman Old Style" w:cs="Arial"/>
          <w:lang w:val="es-CO" w:eastAsia="es-CO"/>
        </w:rPr>
        <w:t xml:space="preserve"> y a la Superintendencia de Industria y Comercio</w:t>
      </w:r>
      <w:r w:rsidRPr="00D22E84">
        <w:rPr>
          <w:rFonts w:ascii="Bookman Old Style" w:hAnsi="Bookman Old Style" w:cs="Arial"/>
          <w:lang w:val="es-CO" w:eastAsia="es-CO"/>
        </w:rPr>
        <w:t xml:space="preserve">, para que remitan sus observaciones o sugerencias </w:t>
      </w:r>
      <w:r w:rsidR="00D22E84">
        <w:rPr>
          <w:rFonts w:ascii="Bookman Old Style" w:hAnsi="Bookman Old Style" w:cs="Arial"/>
          <w:lang w:val="es-CO" w:eastAsia="es-CO"/>
        </w:rPr>
        <w:t xml:space="preserve">a más tardar </w:t>
      </w:r>
      <w:r w:rsidR="00067ACE" w:rsidRPr="008C630A">
        <w:rPr>
          <w:rFonts w:ascii="Bookman Old Style" w:hAnsi="Bookman Old Style" w:cs="Arial"/>
        </w:rPr>
        <w:t xml:space="preserve">el día </w:t>
      </w:r>
      <w:r w:rsidR="00BA4910">
        <w:rPr>
          <w:rFonts w:ascii="Bookman Old Style" w:hAnsi="Bookman Old Style" w:cs="Arial"/>
        </w:rPr>
        <w:t>4 de febrero de 2014, en formato Word.</w:t>
      </w:r>
      <w:r w:rsidRPr="00D22E84">
        <w:rPr>
          <w:rFonts w:ascii="Bookman Old Style" w:hAnsi="Bookman Old Style" w:cs="Arial"/>
          <w:lang w:val="es-CO" w:eastAsia="es-CO"/>
        </w:rPr>
        <w:t xml:space="preserve">  </w:t>
      </w:r>
    </w:p>
    <w:p w:rsidR="001632A4" w:rsidRPr="00D22E84" w:rsidRDefault="001632A4" w:rsidP="00D22E84">
      <w:pPr>
        <w:widowControl w:val="0"/>
        <w:adjustRightInd w:val="0"/>
        <w:ind w:left="0"/>
        <w:jc w:val="both"/>
        <w:textAlignment w:val="baseline"/>
        <w:rPr>
          <w:rFonts w:ascii="Bookman Old Style" w:hAnsi="Bookman Old Style" w:cs="Arial"/>
          <w:lang w:val="es-CO" w:eastAsia="es-CO"/>
        </w:rPr>
      </w:pPr>
    </w:p>
    <w:p w:rsidR="001632A4" w:rsidRPr="00D22E84" w:rsidRDefault="001632A4" w:rsidP="00D22E84">
      <w:pPr>
        <w:widowControl w:val="0"/>
        <w:adjustRightInd w:val="0"/>
        <w:ind w:left="0"/>
        <w:jc w:val="both"/>
        <w:textAlignment w:val="baseline"/>
        <w:rPr>
          <w:rFonts w:ascii="Bookman Old Style" w:hAnsi="Bookman Old Style" w:cs="Arial"/>
          <w:lang w:val="es-CO" w:eastAsia="es-CO"/>
        </w:rPr>
      </w:pPr>
      <w:r w:rsidRPr="00D22E84">
        <w:rPr>
          <w:rFonts w:ascii="Bookman Old Style" w:hAnsi="Bookman Old Style" w:cs="Arial"/>
          <w:b/>
          <w:bCs/>
          <w:lang w:val="es-CO" w:eastAsia="es-CO"/>
        </w:rPr>
        <w:t>Artículo 3</w:t>
      </w:r>
      <w:r w:rsidRPr="008D32D6">
        <w:rPr>
          <w:rFonts w:ascii="Bookman Old Style" w:hAnsi="Bookman Old Style" w:cs="Arial"/>
          <w:b/>
          <w:lang w:val="es-CO" w:eastAsia="es-CO"/>
        </w:rPr>
        <w:t>.</w:t>
      </w:r>
      <w:r w:rsidRPr="00D22E84">
        <w:rPr>
          <w:rFonts w:ascii="Bookman Old Style" w:hAnsi="Bookman Old Style" w:cs="Arial"/>
          <w:lang w:val="es-CO" w:eastAsia="es-CO"/>
        </w:rPr>
        <w:t xml:space="preserve"> Las observaciones y sugerencias sobre el proyecto deberán dirigirse a Germán Castro Ferreira, Direc</w:t>
      </w:r>
      <w:r w:rsidR="00BA4910">
        <w:rPr>
          <w:rFonts w:ascii="Bookman Old Style" w:hAnsi="Bookman Old Style" w:cs="Arial"/>
          <w:lang w:val="es-CO" w:eastAsia="es-CO"/>
        </w:rPr>
        <w:t xml:space="preserve">tor Ejecutivo de la Comisión, al </w:t>
      </w:r>
      <w:r w:rsidRPr="00D22E84">
        <w:rPr>
          <w:rFonts w:ascii="Bookman Old Style" w:hAnsi="Bookman Old Style" w:cs="Arial"/>
          <w:lang w:val="es-CO" w:eastAsia="es-CO"/>
        </w:rPr>
        <w:t xml:space="preserve">siguiente </w:t>
      </w:r>
      <w:r w:rsidR="00BA4910">
        <w:rPr>
          <w:rFonts w:ascii="Bookman Old Style" w:hAnsi="Bookman Old Style" w:cs="Arial"/>
          <w:lang w:val="es-CO" w:eastAsia="es-CO"/>
        </w:rPr>
        <w:lastRenderedPageBreak/>
        <w:t xml:space="preserve">correo electrónico </w:t>
      </w:r>
      <w:r w:rsidRPr="00D22E84">
        <w:rPr>
          <w:rFonts w:ascii="Bookman Old Style" w:hAnsi="Bookman Old Style" w:cs="Arial"/>
          <w:lang w:val="es-CO" w:eastAsia="es-CO"/>
        </w:rPr>
        <w:t xml:space="preserve">creg@creg.gov.co </w:t>
      </w:r>
    </w:p>
    <w:p w:rsidR="001632A4" w:rsidRPr="00D22E84" w:rsidRDefault="001632A4" w:rsidP="00D22E84">
      <w:pPr>
        <w:widowControl w:val="0"/>
        <w:adjustRightInd w:val="0"/>
        <w:ind w:left="0"/>
        <w:jc w:val="both"/>
        <w:textAlignment w:val="baseline"/>
        <w:rPr>
          <w:rFonts w:ascii="Bookman Old Style" w:hAnsi="Bookman Old Style" w:cs="Arial"/>
          <w:b/>
          <w:bCs/>
          <w:lang w:val="es-CO" w:eastAsia="es-CO"/>
        </w:rPr>
      </w:pPr>
    </w:p>
    <w:p w:rsidR="001632A4" w:rsidRPr="00D22E84" w:rsidRDefault="001632A4" w:rsidP="00D22E84">
      <w:pPr>
        <w:widowControl w:val="0"/>
        <w:adjustRightInd w:val="0"/>
        <w:ind w:left="0"/>
        <w:jc w:val="both"/>
        <w:textAlignment w:val="baseline"/>
        <w:rPr>
          <w:rFonts w:ascii="Bookman Old Style" w:hAnsi="Bookman Old Style" w:cs="Arial"/>
          <w:lang w:val="es-CO" w:eastAsia="es-CO"/>
        </w:rPr>
      </w:pPr>
      <w:r w:rsidRPr="00D22E84">
        <w:rPr>
          <w:rFonts w:ascii="Bookman Old Style" w:hAnsi="Bookman Old Style" w:cs="Arial"/>
          <w:b/>
          <w:bCs/>
          <w:lang w:val="es-CO" w:eastAsia="es-CO"/>
        </w:rPr>
        <w:t>Artículo 4</w:t>
      </w:r>
      <w:r w:rsidRPr="00D22E84">
        <w:rPr>
          <w:rFonts w:ascii="Bookman Old Style" w:hAnsi="Bookman Old Style" w:cs="Arial"/>
          <w:lang w:val="es-CO" w:eastAsia="es-CO"/>
        </w:rPr>
        <w:t xml:space="preserve">. La presente Resolución no deroga ni modifica disposiciones vigentes por tratarse de un acto de trámite.  Publíquese en el </w:t>
      </w:r>
      <w:r w:rsidRPr="00D22E84">
        <w:rPr>
          <w:rFonts w:ascii="Bookman Old Style" w:hAnsi="Bookman Old Style" w:cs="Arial"/>
          <w:i/>
          <w:lang w:val="es-CO" w:eastAsia="es-CO"/>
        </w:rPr>
        <w:t>Diario Oficial</w:t>
      </w:r>
      <w:r w:rsidRPr="00D22E84">
        <w:rPr>
          <w:rFonts w:ascii="Bookman Old Style" w:hAnsi="Bookman Old Style" w:cs="Arial"/>
          <w:lang w:val="es-CO" w:eastAsia="es-CO"/>
        </w:rPr>
        <w:t>.</w:t>
      </w:r>
    </w:p>
    <w:p w:rsidR="00704008" w:rsidRDefault="00704008" w:rsidP="00D22E84">
      <w:pPr>
        <w:widowControl w:val="0"/>
        <w:adjustRightInd w:val="0"/>
        <w:ind w:left="0"/>
        <w:jc w:val="center"/>
        <w:textAlignment w:val="baseline"/>
        <w:rPr>
          <w:rFonts w:ascii="Bookman Old Style" w:hAnsi="Bookman Old Style" w:cs="Arial"/>
          <w:lang w:val="es-CO" w:eastAsia="es-CO"/>
        </w:rPr>
      </w:pPr>
    </w:p>
    <w:p w:rsidR="001632A4" w:rsidRPr="00D22E84" w:rsidRDefault="001632A4" w:rsidP="00D22E84">
      <w:pPr>
        <w:widowControl w:val="0"/>
        <w:adjustRightInd w:val="0"/>
        <w:ind w:left="0"/>
        <w:jc w:val="center"/>
        <w:textAlignment w:val="baseline"/>
        <w:rPr>
          <w:rFonts w:ascii="Bookman Old Style" w:hAnsi="Bookman Old Style" w:cs="Arial"/>
          <w:lang w:val="es-CO" w:eastAsia="es-CO"/>
        </w:rPr>
      </w:pPr>
      <w:r w:rsidRPr="00D22E84">
        <w:rPr>
          <w:rFonts w:ascii="Bookman Old Style" w:hAnsi="Bookman Old Style" w:cs="Arial"/>
          <w:lang w:val="es-CO" w:eastAsia="es-CO"/>
        </w:rPr>
        <w:br/>
      </w:r>
      <w:r w:rsidRPr="00D22E84">
        <w:rPr>
          <w:rFonts w:ascii="Bookman Old Style" w:hAnsi="Bookman Old Style" w:cs="Arial"/>
          <w:b/>
          <w:bCs/>
          <w:lang w:val="es-CO" w:eastAsia="es-CO"/>
        </w:rPr>
        <w:t>PUBLÍQUESE Y CÚMPLASE</w:t>
      </w:r>
    </w:p>
    <w:p w:rsidR="001632A4" w:rsidRPr="00D22E84" w:rsidRDefault="001632A4" w:rsidP="00D22E84">
      <w:pPr>
        <w:widowControl w:val="0"/>
        <w:adjustRightInd w:val="0"/>
        <w:ind w:left="0"/>
        <w:jc w:val="both"/>
        <w:textAlignment w:val="baseline"/>
        <w:rPr>
          <w:rFonts w:ascii="Bookman Old Style" w:hAnsi="Bookman Old Style" w:cs="Arial"/>
          <w:lang w:val="es-CO" w:eastAsia="es-CO"/>
        </w:rPr>
      </w:pPr>
      <w:r w:rsidRPr="00D22E84">
        <w:rPr>
          <w:rFonts w:ascii="Bookman Old Style" w:hAnsi="Bookman Old Style" w:cs="Arial"/>
          <w:lang w:val="es-CO" w:eastAsia="es-CO"/>
        </w:rPr>
        <w:br/>
        <w:t xml:space="preserve">Dada en Bogotá, D.C., </w:t>
      </w:r>
    </w:p>
    <w:p w:rsidR="001632A4" w:rsidRPr="00D22E84" w:rsidRDefault="001632A4" w:rsidP="00D22E84">
      <w:pPr>
        <w:widowControl w:val="0"/>
        <w:adjustRightInd w:val="0"/>
        <w:ind w:left="0"/>
        <w:jc w:val="both"/>
        <w:textAlignment w:val="baseline"/>
        <w:rPr>
          <w:rFonts w:ascii="Bookman Old Style" w:hAnsi="Bookman Old Style" w:cs="Arial"/>
          <w:color w:val="666666"/>
          <w:lang w:val="es-CO" w:eastAsia="es-CO"/>
        </w:rPr>
      </w:pPr>
    </w:p>
    <w:p w:rsidR="001632A4" w:rsidRPr="00D22E84" w:rsidRDefault="001632A4" w:rsidP="00D22E84">
      <w:pPr>
        <w:widowControl w:val="0"/>
        <w:adjustRightInd w:val="0"/>
        <w:ind w:left="0"/>
        <w:jc w:val="both"/>
        <w:textAlignment w:val="baseline"/>
        <w:rPr>
          <w:rFonts w:ascii="Bookman Old Style" w:hAnsi="Bookman Old Style" w:cs="Arial"/>
          <w:color w:val="666666"/>
          <w:lang w:val="es-CO" w:eastAsia="es-CO"/>
        </w:rPr>
      </w:pPr>
    </w:p>
    <w:p w:rsidR="001632A4" w:rsidRDefault="001632A4" w:rsidP="00D22E84">
      <w:pPr>
        <w:widowControl w:val="0"/>
        <w:adjustRightInd w:val="0"/>
        <w:ind w:left="0"/>
        <w:jc w:val="both"/>
        <w:textAlignment w:val="baseline"/>
        <w:rPr>
          <w:rFonts w:ascii="Bookman Old Style" w:hAnsi="Bookman Old Style" w:cs="Arial"/>
          <w:color w:val="666666"/>
          <w:lang w:val="es-CO" w:eastAsia="es-CO"/>
        </w:rPr>
      </w:pPr>
    </w:p>
    <w:p w:rsidR="00704008" w:rsidRPr="00D22E84" w:rsidRDefault="00704008" w:rsidP="00D22E84">
      <w:pPr>
        <w:widowControl w:val="0"/>
        <w:adjustRightInd w:val="0"/>
        <w:ind w:left="0"/>
        <w:jc w:val="both"/>
        <w:textAlignment w:val="baseline"/>
        <w:rPr>
          <w:rFonts w:ascii="Bookman Old Style" w:hAnsi="Bookman Old Style" w:cs="Arial"/>
          <w:color w:val="666666"/>
          <w:lang w:val="es-CO" w:eastAsia="es-CO"/>
        </w:rPr>
      </w:pPr>
    </w:p>
    <w:p w:rsidR="001632A4" w:rsidRPr="00D22E84" w:rsidRDefault="001632A4" w:rsidP="00D22E84">
      <w:pPr>
        <w:widowControl w:val="0"/>
        <w:adjustRightInd w:val="0"/>
        <w:ind w:left="0"/>
        <w:jc w:val="both"/>
        <w:textAlignment w:val="baseline"/>
        <w:rPr>
          <w:rFonts w:ascii="Bookman Old Style" w:hAnsi="Bookman Old Style" w:cs="Arial"/>
          <w:color w:val="666666"/>
          <w:lang w:val="es-CO" w:eastAsia="es-CO"/>
        </w:rPr>
      </w:pPr>
    </w:p>
    <w:p w:rsidR="001632A4" w:rsidRPr="00D22E84" w:rsidRDefault="001632A4" w:rsidP="00D22E84">
      <w:pPr>
        <w:widowControl w:val="0"/>
        <w:adjustRightInd w:val="0"/>
        <w:ind w:left="0"/>
        <w:jc w:val="both"/>
        <w:textAlignment w:val="baseline"/>
        <w:rPr>
          <w:rFonts w:ascii="Bookman Old Style" w:hAnsi="Bookman Old Style" w:cs="Arial"/>
          <w:color w:val="666666"/>
          <w:lang w:val="es-CO" w:eastAsia="es-CO"/>
        </w:rPr>
      </w:pPr>
    </w:p>
    <w:tbl>
      <w:tblPr>
        <w:tblW w:w="9765" w:type="dxa"/>
        <w:jc w:val="right"/>
        <w:tblLayout w:type="fixed"/>
        <w:tblCellMar>
          <w:left w:w="70" w:type="dxa"/>
          <w:right w:w="70" w:type="dxa"/>
        </w:tblCellMar>
        <w:tblLook w:val="04A0" w:firstRow="1" w:lastRow="0" w:firstColumn="1" w:lastColumn="0" w:noHBand="0" w:noVBand="1"/>
      </w:tblPr>
      <w:tblGrid>
        <w:gridCol w:w="4505"/>
        <w:gridCol w:w="5260"/>
      </w:tblGrid>
      <w:tr w:rsidR="001632A4" w:rsidRPr="00D22E84" w:rsidTr="00DF4F50">
        <w:trPr>
          <w:jc w:val="right"/>
        </w:trPr>
        <w:tc>
          <w:tcPr>
            <w:tcW w:w="4503" w:type="dxa"/>
            <w:hideMark/>
          </w:tcPr>
          <w:p w:rsidR="001632A4" w:rsidRPr="00D22E84" w:rsidRDefault="001632A4" w:rsidP="00D22E84">
            <w:pPr>
              <w:widowControl w:val="0"/>
              <w:adjustRightInd w:val="0"/>
              <w:ind w:left="204"/>
              <w:jc w:val="both"/>
              <w:textAlignment w:val="baseline"/>
              <w:rPr>
                <w:rFonts w:ascii="Bookman Old Style" w:hAnsi="Bookman Old Style" w:cs="Arial"/>
                <w:b/>
                <w:spacing w:val="-3"/>
                <w:lang w:val="es-ES_tradnl"/>
              </w:rPr>
            </w:pPr>
            <w:r w:rsidRPr="00D22E84">
              <w:rPr>
                <w:rFonts w:ascii="Bookman Old Style" w:hAnsi="Bookman Old Style" w:cs="Arial"/>
                <w:b/>
                <w:spacing w:val="-3"/>
              </w:rPr>
              <w:t xml:space="preserve">  ORLANDO CABRALES SEGOVIA</w:t>
            </w:r>
          </w:p>
        </w:tc>
        <w:tc>
          <w:tcPr>
            <w:tcW w:w="5258" w:type="dxa"/>
            <w:hideMark/>
          </w:tcPr>
          <w:p w:rsidR="001632A4" w:rsidRPr="00D22E84" w:rsidRDefault="001632A4" w:rsidP="00D22E84">
            <w:pPr>
              <w:widowControl w:val="0"/>
              <w:adjustRightInd w:val="0"/>
              <w:ind w:left="161" w:right="567"/>
              <w:jc w:val="right"/>
              <w:textAlignment w:val="baseline"/>
              <w:rPr>
                <w:rFonts w:ascii="Bookman Old Style" w:hAnsi="Bookman Old Style" w:cs="Arial"/>
                <w:b/>
                <w:spacing w:val="-3"/>
                <w:u w:val="single"/>
                <w:lang w:val="es-ES_tradnl"/>
              </w:rPr>
            </w:pPr>
            <w:r w:rsidRPr="00D22E84">
              <w:rPr>
                <w:rFonts w:ascii="Bookman Old Style" w:hAnsi="Bookman Old Style" w:cs="Arial"/>
                <w:b/>
                <w:spacing w:val="-3"/>
                <w:lang w:val="es-ES_tradnl"/>
              </w:rPr>
              <w:t>GERMÁN CASTRO FERREIRA</w:t>
            </w:r>
          </w:p>
        </w:tc>
      </w:tr>
      <w:tr w:rsidR="001632A4" w:rsidRPr="00D22E84" w:rsidTr="00DF4F50">
        <w:trPr>
          <w:jc w:val="right"/>
        </w:trPr>
        <w:tc>
          <w:tcPr>
            <w:tcW w:w="4503" w:type="dxa"/>
            <w:hideMark/>
          </w:tcPr>
          <w:p w:rsidR="001632A4" w:rsidRPr="00D22E84" w:rsidRDefault="001632A4" w:rsidP="00D22E84">
            <w:pPr>
              <w:widowControl w:val="0"/>
              <w:adjustRightInd w:val="0"/>
              <w:ind w:left="0"/>
              <w:jc w:val="center"/>
              <w:textAlignment w:val="baseline"/>
              <w:rPr>
                <w:rFonts w:ascii="Bookman Old Style" w:hAnsi="Bookman Old Style" w:cs="Arial"/>
                <w:spacing w:val="-3"/>
                <w:lang w:val="es-ES_tradnl"/>
              </w:rPr>
            </w:pPr>
            <w:r w:rsidRPr="00D22E84">
              <w:rPr>
                <w:rFonts w:ascii="Bookman Old Style" w:hAnsi="Bookman Old Style" w:cs="Arial"/>
                <w:spacing w:val="-3"/>
                <w:lang w:val="es-ES_tradnl"/>
              </w:rPr>
              <w:t>Viceministro de Energía</w:t>
            </w:r>
          </w:p>
          <w:p w:rsidR="001632A4" w:rsidRPr="00D22E84" w:rsidRDefault="001632A4" w:rsidP="00D22E84">
            <w:pPr>
              <w:widowControl w:val="0"/>
              <w:adjustRightInd w:val="0"/>
              <w:ind w:left="0"/>
              <w:jc w:val="center"/>
              <w:textAlignment w:val="baseline"/>
              <w:rPr>
                <w:rFonts w:ascii="Bookman Old Style" w:hAnsi="Bookman Old Style" w:cs="Arial"/>
                <w:spacing w:val="-3"/>
                <w:lang w:val="es-ES_tradnl"/>
              </w:rPr>
            </w:pPr>
            <w:r w:rsidRPr="00D22E84">
              <w:rPr>
                <w:rFonts w:ascii="Bookman Old Style" w:hAnsi="Bookman Old Style" w:cs="Arial"/>
                <w:spacing w:val="-3"/>
                <w:lang w:val="es-ES_tradnl"/>
              </w:rPr>
              <w:t>Delegado del Ministro de Minas y Energía</w:t>
            </w:r>
          </w:p>
        </w:tc>
        <w:tc>
          <w:tcPr>
            <w:tcW w:w="5258" w:type="dxa"/>
            <w:hideMark/>
          </w:tcPr>
          <w:p w:rsidR="001632A4" w:rsidRPr="00D22E84" w:rsidRDefault="001632A4" w:rsidP="00D22E84">
            <w:pPr>
              <w:widowControl w:val="0"/>
              <w:adjustRightInd w:val="0"/>
              <w:jc w:val="both"/>
              <w:textAlignment w:val="baseline"/>
              <w:rPr>
                <w:rFonts w:ascii="Bookman Old Style" w:hAnsi="Bookman Old Style" w:cs="Arial"/>
                <w:spacing w:val="-3"/>
                <w:lang w:val="es-ES_tradnl"/>
              </w:rPr>
            </w:pPr>
            <w:r w:rsidRPr="00D22E84">
              <w:rPr>
                <w:rFonts w:ascii="Bookman Old Style" w:hAnsi="Bookman Old Style" w:cs="Arial"/>
                <w:spacing w:val="-3"/>
                <w:lang w:val="es-ES_tradnl"/>
              </w:rPr>
              <w:t xml:space="preserve">           </w:t>
            </w:r>
            <w:r w:rsidR="00AC69C6" w:rsidRPr="00D22E84">
              <w:rPr>
                <w:rFonts w:ascii="Bookman Old Style" w:hAnsi="Bookman Old Style" w:cs="Arial"/>
                <w:spacing w:val="-3"/>
                <w:lang w:val="es-ES_tradnl"/>
              </w:rPr>
              <w:t xml:space="preserve">     </w:t>
            </w:r>
            <w:r w:rsidRPr="00D22E84">
              <w:rPr>
                <w:rFonts w:ascii="Bookman Old Style" w:hAnsi="Bookman Old Style" w:cs="Arial"/>
                <w:spacing w:val="-3"/>
                <w:lang w:val="es-ES_tradnl"/>
              </w:rPr>
              <w:t>Director Ejecutivo</w:t>
            </w:r>
          </w:p>
        </w:tc>
      </w:tr>
      <w:tr w:rsidR="001632A4" w:rsidRPr="00D22E84" w:rsidTr="00DF4F50">
        <w:trPr>
          <w:jc w:val="right"/>
        </w:trPr>
        <w:tc>
          <w:tcPr>
            <w:tcW w:w="4503" w:type="dxa"/>
            <w:hideMark/>
          </w:tcPr>
          <w:p w:rsidR="001632A4" w:rsidRPr="00D22E84" w:rsidRDefault="001632A4" w:rsidP="00D22E84">
            <w:pPr>
              <w:widowControl w:val="0"/>
              <w:adjustRightInd w:val="0"/>
              <w:jc w:val="both"/>
              <w:textAlignment w:val="baseline"/>
              <w:rPr>
                <w:rFonts w:ascii="Bookman Old Style" w:hAnsi="Bookman Old Style" w:cs="Arial"/>
                <w:spacing w:val="-3"/>
              </w:rPr>
            </w:pPr>
            <w:r w:rsidRPr="00D22E84">
              <w:rPr>
                <w:rFonts w:ascii="Bookman Old Style" w:hAnsi="Bookman Old Style" w:cs="Arial"/>
                <w:spacing w:val="-3"/>
              </w:rPr>
              <w:t xml:space="preserve">             Presidente</w:t>
            </w:r>
          </w:p>
        </w:tc>
        <w:tc>
          <w:tcPr>
            <w:tcW w:w="5258" w:type="dxa"/>
          </w:tcPr>
          <w:p w:rsidR="001632A4" w:rsidRPr="00D22E84" w:rsidRDefault="001632A4" w:rsidP="00D22E84">
            <w:pPr>
              <w:widowControl w:val="0"/>
              <w:adjustRightInd w:val="0"/>
              <w:jc w:val="both"/>
              <w:textAlignment w:val="baseline"/>
              <w:rPr>
                <w:rFonts w:ascii="Bookman Old Style" w:hAnsi="Bookman Old Style" w:cs="Arial"/>
                <w:spacing w:val="-3"/>
              </w:rPr>
            </w:pPr>
          </w:p>
        </w:tc>
      </w:tr>
    </w:tbl>
    <w:p w:rsidR="001632A4" w:rsidRPr="00D22E84" w:rsidRDefault="001632A4" w:rsidP="00D22E84">
      <w:pPr>
        <w:ind w:left="0"/>
        <w:rPr>
          <w:rFonts w:ascii="Bookman Old Style" w:hAnsi="Bookman Old Style"/>
          <w:bCs/>
          <w:lang w:val="es-CO"/>
        </w:rPr>
      </w:pPr>
    </w:p>
    <w:p w:rsidR="001632A4" w:rsidRPr="00D22E84" w:rsidRDefault="001632A4" w:rsidP="00D22E84">
      <w:pPr>
        <w:jc w:val="center"/>
        <w:rPr>
          <w:rFonts w:ascii="Bookman Old Style" w:hAnsi="Bookman Old Style"/>
          <w:bCs/>
          <w:lang w:val="es-CO"/>
        </w:rPr>
      </w:pPr>
      <w:r w:rsidRPr="00D22E84">
        <w:rPr>
          <w:rFonts w:ascii="Bookman Old Style" w:hAnsi="Bookman Old Style"/>
          <w:bCs/>
          <w:lang w:val="es-CO"/>
        </w:rPr>
        <w:br w:type="page"/>
      </w:r>
    </w:p>
    <w:p w:rsidR="00673C8C" w:rsidRPr="00D22E84" w:rsidRDefault="00673C8C" w:rsidP="00D22E84">
      <w:pPr>
        <w:jc w:val="center"/>
        <w:rPr>
          <w:rFonts w:ascii="Bookman Old Style" w:hAnsi="Bookman Old Style" w:cs="Arial"/>
          <w:b/>
        </w:rPr>
      </w:pPr>
    </w:p>
    <w:p w:rsidR="001632A4" w:rsidRPr="00D22E84" w:rsidRDefault="001632A4" w:rsidP="00D22E84">
      <w:pPr>
        <w:jc w:val="center"/>
        <w:rPr>
          <w:rFonts w:ascii="Bookman Old Style" w:hAnsi="Bookman Old Style" w:cs="Arial"/>
          <w:b/>
        </w:rPr>
      </w:pPr>
      <w:r w:rsidRPr="00D22E84">
        <w:rPr>
          <w:rFonts w:ascii="Bookman Old Style" w:hAnsi="Bookman Old Style" w:cs="Arial"/>
          <w:b/>
        </w:rPr>
        <w:t>PROYECTO DE RESOLUCIÓN</w:t>
      </w:r>
    </w:p>
    <w:p w:rsidR="00A92F16" w:rsidRPr="00D22E84" w:rsidRDefault="00A92F16" w:rsidP="00D22E84">
      <w:pPr>
        <w:ind w:left="0"/>
        <w:rPr>
          <w:rFonts w:ascii="Bookman Old Style" w:hAnsi="Bookman Old Style"/>
          <w:bCs/>
          <w:lang w:val="es-CO"/>
        </w:rPr>
      </w:pPr>
    </w:p>
    <w:p w:rsidR="00A92F16" w:rsidRDefault="00A92F16" w:rsidP="00D22E84">
      <w:pPr>
        <w:tabs>
          <w:tab w:val="left" w:pos="0"/>
        </w:tabs>
        <w:ind w:left="360" w:right="281"/>
        <w:jc w:val="center"/>
        <w:rPr>
          <w:rFonts w:ascii="Bookman Old Style" w:hAnsi="Bookman Old Style" w:cs="Arial"/>
        </w:rPr>
      </w:pPr>
      <w:r w:rsidRPr="00D22E84">
        <w:rPr>
          <w:rFonts w:ascii="Bookman Old Style" w:hAnsi="Bookman Old Style" w:cs="Arial"/>
        </w:rPr>
        <w:t xml:space="preserve">Por la cual se modifica la Resolución CREG </w:t>
      </w:r>
      <w:r w:rsidR="00067ACE" w:rsidRPr="00D22E84">
        <w:rPr>
          <w:rFonts w:ascii="Bookman Old Style" w:hAnsi="Bookman Old Style" w:cs="Arial"/>
        </w:rPr>
        <w:t>124</w:t>
      </w:r>
      <w:r w:rsidRPr="00D22E84">
        <w:rPr>
          <w:rFonts w:ascii="Bookman Old Style" w:hAnsi="Bookman Old Style" w:cs="Arial"/>
        </w:rPr>
        <w:t xml:space="preserve"> de </w:t>
      </w:r>
      <w:r w:rsidR="00E42F72" w:rsidRPr="00D22E84">
        <w:rPr>
          <w:rFonts w:ascii="Bookman Old Style" w:hAnsi="Bookman Old Style" w:cs="Arial"/>
        </w:rPr>
        <w:t>201</w:t>
      </w:r>
      <w:r w:rsidR="00067ACE" w:rsidRPr="00D22E84">
        <w:rPr>
          <w:rFonts w:ascii="Bookman Old Style" w:hAnsi="Bookman Old Style" w:cs="Arial"/>
        </w:rPr>
        <w:t>3</w:t>
      </w:r>
    </w:p>
    <w:p w:rsidR="00D22E84" w:rsidRPr="00D22E84" w:rsidRDefault="00D22E84" w:rsidP="00D22E84">
      <w:pPr>
        <w:tabs>
          <w:tab w:val="left" w:pos="0"/>
        </w:tabs>
        <w:ind w:left="360" w:right="281"/>
        <w:jc w:val="center"/>
        <w:rPr>
          <w:rFonts w:ascii="Bookman Old Style" w:hAnsi="Bookman Old Style" w:cs="Arial"/>
        </w:rPr>
      </w:pPr>
    </w:p>
    <w:p w:rsidR="00A92F16" w:rsidRPr="00D22E84" w:rsidRDefault="00A92F16" w:rsidP="00D22E84">
      <w:pPr>
        <w:pStyle w:val="Textodebloque"/>
        <w:spacing w:after="0"/>
        <w:ind w:left="0" w:right="51"/>
        <w:rPr>
          <w:rFonts w:ascii="Bookman Old Style" w:hAnsi="Bookman Old Style"/>
          <w:szCs w:val="24"/>
          <w:lang w:val="es-ES"/>
        </w:rPr>
      </w:pPr>
    </w:p>
    <w:p w:rsidR="00A92F16" w:rsidRPr="00D22E84" w:rsidRDefault="00A92F16" w:rsidP="00D22E84">
      <w:pPr>
        <w:tabs>
          <w:tab w:val="left" w:pos="0"/>
        </w:tabs>
        <w:ind w:left="0" w:right="-73"/>
        <w:jc w:val="center"/>
        <w:rPr>
          <w:rFonts w:ascii="Bookman Old Style" w:eastAsia="Arial Unicode MS" w:hAnsi="Bookman Old Style" w:cs="Arial"/>
          <w:b/>
          <w:bCs/>
        </w:rPr>
      </w:pPr>
      <w:r w:rsidRPr="00D22E84">
        <w:rPr>
          <w:rFonts w:ascii="Bookman Old Style" w:eastAsia="Arial Unicode MS" w:hAnsi="Bookman Old Style" w:cs="Arial"/>
          <w:b/>
          <w:bCs/>
        </w:rPr>
        <w:t>LA COMISIÓN DE REGULACIÓN DE ENERGÍA Y GAS</w:t>
      </w:r>
    </w:p>
    <w:p w:rsidR="00A92F16" w:rsidRPr="00D22E84" w:rsidRDefault="00A92F16" w:rsidP="00D22E84">
      <w:pPr>
        <w:tabs>
          <w:tab w:val="left" w:pos="0"/>
        </w:tabs>
        <w:ind w:right="-73"/>
        <w:jc w:val="both"/>
        <w:rPr>
          <w:rFonts w:ascii="Bookman Old Style" w:eastAsia="Arial Unicode MS" w:hAnsi="Bookman Old Style" w:cs="Arial"/>
          <w:bCs/>
        </w:rPr>
      </w:pPr>
    </w:p>
    <w:p w:rsidR="00D22E84" w:rsidRDefault="00D22E84" w:rsidP="00D22E84">
      <w:pPr>
        <w:pStyle w:val="Textoindependiente3"/>
        <w:ind w:left="0"/>
        <w:rPr>
          <w:rFonts w:ascii="Bookman Old Style" w:hAnsi="Bookman Old Style"/>
          <w:b w:val="0"/>
        </w:rPr>
      </w:pPr>
    </w:p>
    <w:p w:rsidR="00A92F16" w:rsidRPr="00D22E84" w:rsidRDefault="00A92F16" w:rsidP="00D22E84">
      <w:pPr>
        <w:pStyle w:val="Textoindependiente3"/>
        <w:ind w:left="0"/>
        <w:rPr>
          <w:rFonts w:ascii="Bookman Old Style" w:hAnsi="Bookman Old Style"/>
          <w:b w:val="0"/>
        </w:rPr>
      </w:pPr>
      <w:r w:rsidRPr="00D22E84">
        <w:rPr>
          <w:rFonts w:ascii="Bookman Old Style" w:hAnsi="Bookman Old Style"/>
          <w:b w:val="0"/>
        </w:rPr>
        <w:t>En ejercicio de sus atribuciones legales, en especial las conferidas por la Ley 142 de 1994, y en desarrollo del Decreto 2253 de 1994</w:t>
      </w:r>
      <w:r w:rsidR="00D22E84">
        <w:rPr>
          <w:rFonts w:ascii="Bookman Old Style" w:hAnsi="Bookman Old Style"/>
          <w:b w:val="0"/>
        </w:rPr>
        <w:t>, y</w:t>
      </w:r>
    </w:p>
    <w:p w:rsidR="00A92F16" w:rsidRPr="00D22E84" w:rsidRDefault="00A92F16" w:rsidP="00D22E84">
      <w:pPr>
        <w:tabs>
          <w:tab w:val="left" w:pos="0"/>
        </w:tabs>
        <w:ind w:left="0" w:right="-73"/>
        <w:jc w:val="both"/>
        <w:rPr>
          <w:rFonts w:ascii="Bookman Old Style" w:hAnsi="Bookman Old Style" w:cs="Arial"/>
        </w:rPr>
      </w:pPr>
    </w:p>
    <w:p w:rsidR="00A92F16" w:rsidRPr="00D22E84" w:rsidRDefault="00A92F16" w:rsidP="00D22E84">
      <w:pPr>
        <w:tabs>
          <w:tab w:val="left" w:pos="0"/>
        </w:tabs>
        <w:ind w:left="0" w:right="-73"/>
        <w:jc w:val="both"/>
        <w:rPr>
          <w:rFonts w:ascii="Bookman Old Style" w:hAnsi="Bookman Old Style" w:cs="Arial"/>
          <w:bCs/>
        </w:rPr>
      </w:pPr>
    </w:p>
    <w:p w:rsidR="00A92F16" w:rsidRPr="00D22E84" w:rsidRDefault="00A92F16" w:rsidP="00D22E84">
      <w:pPr>
        <w:ind w:right="51"/>
        <w:jc w:val="center"/>
        <w:rPr>
          <w:rFonts w:ascii="Bookman Old Style" w:hAnsi="Bookman Old Style"/>
          <w:b/>
        </w:rPr>
      </w:pPr>
      <w:r w:rsidRPr="00D22E84">
        <w:rPr>
          <w:rFonts w:ascii="Bookman Old Style" w:hAnsi="Bookman Old Style"/>
          <w:b/>
        </w:rPr>
        <w:t>C O N S I D E R A N D O  Q U E:</w:t>
      </w:r>
    </w:p>
    <w:p w:rsidR="00A92F16" w:rsidRPr="00D22E84" w:rsidRDefault="00A92F16" w:rsidP="00D22E84">
      <w:pPr>
        <w:tabs>
          <w:tab w:val="left" w:pos="0"/>
        </w:tabs>
        <w:ind w:left="0" w:right="-73"/>
        <w:jc w:val="center"/>
        <w:rPr>
          <w:rFonts w:ascii="Bookman Old Style" w:hAnsi="Bookman Old Style" w:cs="Arial"/>
          <w:b/>
        </w:rPr>
      </w:pPr>
    </w:p>
    <w:p w:rsidR="00D22E84" w:rsidRDefault="00D22E84" w:rsidP="00D22E84">
      <w:pPr>
        <w:ind w:left="0"/>
        <w:jc w:val="both"/>
        <w:rPr>
          <w:rFonts w:ascii="Bookman Old Style" w:hAnsi="Bookman Old Style" w:cs="Arial"/>
          <w:color w:val="000000" w:themeColor="text1"/>
        </w:rPr>
      </w:pPr>
    </w:p>
    <w:p w:rsidR="00D22E84" w:rsidRPr="00C372D1" w:rsidRDefault="00D22E84" w:rsidP="00D22E84">
      <w:pPr>
        <w:ind w:left="0"/>
        <w:jc w:val="both"/>
        <w:rPr>
          <w:rFonts w:ascii="Bookman Old Style" w:hAnsi="Bookman Old Style" w:cs="Arial"/>
          <w:color w:val="000000" w:themeColor="text1"/>
        </w:rPr>
      </w:pPr>
      <w:r w:rsidRPr="00C372D1">
        <w:rPr>
          <w:rFonts w:ascii="Bookman Old Style" w:hAnsi="Bookman Old Style" w:cs="Arial"/>
          <w:color w:val="000000" w:themeColor="text1"/>
        </w:rPr>
        <w:t>De acuerdo con lo establecido en el literal a) del artículo 74.1 de la Ley 142 de 1994, es función de la Comisión de Regulación de Energía y Gas, CREG, regular el ejercicio de las actividades de los sectores de energía y gas combustible para asegurar la disponibilidad de una oferta energética eficiente, propiciar la competencia en el sector de minas y energía, proponer la adopción de las medidas necesarias para impedir abusos de posición dominante y buscar la liberación gradual de los mercados hacia la libre competencia.</w:t>
      </w:r>
    </w:p>
    <w:p w:rsidR="00D22E84" w:rsidRPr="00C372D1" w:rsidRDefault="00D22E84" w:rsidP="00D22E84">
      <w:pPr>
        <w:ind w:left="0"/>
        <w:jc w:val="both"/>
        <w:rPr>
          <w:rFonts w:ascii="Bookman Old Style" w:hAnsi="Bookman Old Style" w:cs="Arial"/>
          <w:color w:val="000000" w:themeColor="text1"/>
        </w:rPr>
      </w:pPr>
    </w:p>
    <w:p w:rsidR="00D22E84" w:rsidRPr="00C372D1" w:rsidRDefault="00D22E84" w:rsidP="00D22E84">
      <w:pPr>
        <w:ind w:left="0"/>
        <w:jc w:val="both"/>
        <w:rPr>
          <w:rFonts w:ascii="Bookman Old Style" w:hAnsi="Bookman Old Style" w:cs="Arial"/>
          <w:color w:val="000000" w:themeColor="text1"/>
        </w:rPr>
      </w:pPr>
      <w:r w:rsidRPr="00C372D1">
        <w:rPr>
          <w:rFonts w:ascii="Bookman Old Style" w:hAnsi="Bookman Old Style" w:cs="Arial"/>
          <w:color w:val="000000" w:themeColor="text1"/>
        </w:rPr>
        <w:t>De acuerdo con lo establecido en el literal c) del artículo 74.1 de la Ley 142 de 1994, es función de la CREG establecer el reglamento de operación para regular el funcionamiento del mercado mayorista de energía y gas combustible.</w:t>
      </w:r>
    </w:p>
    <w:p w:rsidR="00D22E84" w:rsidRDefault="00D22E84" w:rsidP="00D22E84">
      <w:pPr>
        <w:ind w:left="0"/>
        <w:jc w:val="both"/>
        <w:rPr>
          <w:rFonts w:ascii="Bookman Old Style" w:hAnsi="Bookman Old Style" w:cs="Arial"/>
          <w:color w:val="000000" w:themeColor="text1"/>
        </w:rPr>
      </w:pPr>
    </w:p>
    <w:p w:rsidR="00067ACE" w:rsidRPr="00D22E84" w:rsidRDefault="00067ACE" w:rsidP="00D22E84">
      <w:pPr>
        <w:ind w:left="0"/>
        <w:jc w:val="both"/>
        <w:rPr>
          <w:rFonts w:ascii="Bookman Old Style" w:hAnsi="Bookman Old Style" w:cs="Arial"/>
          <w:color w:val="000000" w:themeColor="text1"/>
        </w:rPr>
      </w:pPr>
      <w:r w:rsidRPr="00D22E84">
        <w:rPr>
          <w:rFonts w:ascii="Bookman Old Style" w:hAnsi="Bookman Old Style" w:cs="Arial"/>
          <w:color w:val="000000" w:themeColor="text1"/>
        </w:rPr>
        <w:t>Conforme al artículo 4 del Decreto 1260 de 2013 corresponde a la CREG establecer la metodología para seleccionar y remunerar los servicios del gestor del mercado de gas natural, asegurando la neutralidad, la transparencia, la objetividad y la total independencia del prestador de los mismos, así como la experiencia comprobada en las actividades a desarrollar. También corresponde a la CREG definir el alcance de los servicios a cargo del gestor del mercado de gas natural, responsable de facilitar las negociaciones y de recopilar y publicar información operativa y transaccional del mercado de gas natural.</w:t>
      </w:r>
    </w:p>
    <w:p w:rsidR="00067ACE" w:rsidRPr="00D22E84" w:rsidRDefault="00067ACE" w:rsidP="00D22E84">
      <w:pPr>
        <w:ind w:left="0"/>
        <w:jc w:val="both"/>
        <w:rPr>
          <w:rFonts w:ascii="Bookman Old Style" w:hAnsi="Bookman Old Style" w:cs="Arial"/>
          <w:color w:val="000000" w:themeColor="text1"/>
        </w:rPr>
      </w:pPr>
    </w:p>
    <w:p w:rsidR="00067ACE" w:rsidRPr="00D22E84" w:rsidRDefault="00067ACE" w:rsidP="00D22E84">
      <w:pPr>
        <w:ind w:left="0"/>
        <w:jc w:val="both"/>
        <w:rPr>
          <w:rFonts w:ascii="Bookman Old Style" w:hAnsi="Bookman Old Style" w:cs="Arial"/>
          <w:color w:val="000000" w:themeColor="text1"/>
        </w:rPr>
      </w:pPr>
      <w:r w:rsidRPr="00D22E84">
        <w:rPr>
          <w:rFonts w:ascii="Bookman Old Style" w:hAnsi="Bookman Old Style" w:cs="Arial"/>
          <w:color w:val="000000" w:themeColor="text1"/>
        </w:rPr>
        <w:t>El artículo 2 del Decreto 1710 de 2013 modificó el artículo 20 del Decreto 2100 de 2011 y dispuso que “(l)a CREG, en desarrollo de su función de expedir el reglamento de operación del mercado mayorista de gas natural de que trata el literal c del artículo 74.1 de la Ley 142 de 1994, establecerá el alcance de los servicios que prestará un gestor de los mecanismos de comercialización y de la información, las reglas para la selección de este gestor y las condiciones de prestación de sus servicios. Estas reglas y condiciones deberán asegurar la neutralidad, transparencia, objetividad e independencia del gestor, así como su experiencia comprobada en las actividades a desarrollar. Así mismo, la CREG determinará la forma y remuneración de los servicios del gestor”. También dispuso que “(l</w:t>
      </w:r>
      <w:proofErr w:type="gramStart"/>
      <w:r w:rsidRPr="00D22E84">
        <w:rPr>
          <w:rFonts w:ascii="Bookman Old Style" w:hAnsi="Bookman Old Style" w:cs="Arial"/>
          <w:color w:val="000000" w:themeColor="text1"/>
        </w:rPr>
        <w:t>)a</w:t>
      </w:r>
      <w:proofErr w:type="gramEnd"/>
      <w:r w:rsidRPr="00D22E84">
        <w:rPr>
          <w:rFonts w:ascii="Bookman Old Style" w:hAnsi="Bookman Old Style" w:cs="Arial"/>
          <w:color w:val="000000" w:themeColor="text1"/>
        </w:rPr>
        <w:t xml:space="preserve"> CREG seleccionará al gestor del mercado mediante un concurso sujeto a los principios de transparencia y selección objetiva que garanticen la libre concurrencia”.</w:t>
      </w:r>
    </w:p>
    <w:p w:rsidR="00067ACE" w:rsidRPr="00D22E84" w:rsidRDefault="00067ACE" w:rsidP="00D22E84">
      <w:pPr>
        <w:ind w:left="0"/>
        <w:jc w:val="both"/>
        <w:rPr>
          <w:rFonts w:ascii="Bookman Old Style" w:hAnsi="Bookman Old Style" w:cs="Arial"/>
          <w:color w:val="000000" w:themeColor="text1"/>
        </w:rPr>
      </w:pPr>
    </w:p>
    <w:p w:rsidR="007408B1" w:rsidRPr="00D22E84" w:rsidRDefault="009D257F" w:rsidP="00D22E84">
      <w:pPr>
        <w:ind w:left="0"/>
        <w:jc w:val="both"/>
        <w:rPr>
          <w:rFonts w:ascii="Bookman Old Style" w:hAnsi="Bookman Old Style" w:cs="Arial"/>
          <w:b/>
          <w:bCs/>
          <w:i/>
          <w:color w:val="000000" w:themeColor="text1"/>
          <w:lang w:eastAsia="es-CO"/>
        </w:rPr>
      </w:pPr>
      <w:r>
        <w:rPr>
          <w:rFonts w:ascii="Bookman Old Style" w:hAnsi="Bookman Old Style"/>
        </w:rPr>
        <w:lastRenderedPageBreak/>
        <w:t>La CREG</w:t>
      </w:r>
      <w:r w:rsidR="007408B1" w:rsidRPr="00D22E84">
        <w:rPr>
          <w:rFonts w:ascii="Bookman Old Style" w:hAnsi="Bookman Old Style"/>
        </w:rPr>
        <w:t xml:space="preserve"> </w:t>
      </w:r>
      <w:r w:rsidR="008D32D6">
        <w:rPr>
          <w:rFonts w:ascii="Bookman Old Style" w:hAnsi="Bookman Old Style"/>
        </w:rPr>
        <w:t>expidió</w:t>
      </w:r>
      <w:r w:rsidR="008D32D6" w:rsidRPr="00D22E84">
        <w:rPr>
          <w:rFonts w:ascii="Bookman Old Style" w:hAnsi="Bookman Old Style"/>
        </w:rPr>
        <w:t xml:space="preserve"> </w:t>
      </w:r>
      <w:r w:rsidR="007408B1" w:rsidRPr="00D22E84">
        <w:rPr>
          <w:rFonts w:ascii="Bookman Old Style" w:hAnsi="Bookman Old Style"/>
        </w:rPr>
        <w:t xml:space="preserve">la Resolución 124 de 2013, </w:t>
      </w:r>
      <w:r w:rsidR="007408B1" w:rsidRPr="00D22E84">
        <w:rPr>
          <w:rFonts w:ascii="Bookman Old Style" w:hAnsi="Bookman Old Style"/>
          <w:i/>
        </w:rPr>
        <w:t>“</w:t>
      </w:r>
      <w:r w:rsidR="007408B1" w:rsidRPr="004E0205">
        <w:rPr>
          <w:rFonts w:ascii="Bookman Old Style" w:hAnsi="Bookman Old Style" w:cs="Arial"/>
          <w:color w:val="000000" w:themeColor="text1"/>
          <w:lang w:eastAsia="es-CO"/>
        </w:rPr>
        <w:t xml:space="preserve">Por la cual se establecen las </w:t>
      </w:r>
      <w:r w:rsidR="007408B1" w:rsidRPr="004E0205">
        <w:rPr>
          <w:rFonts w:ascii="Bookman Old Style" w:hAnsi="Bookman Old Style"/>
        </w:rPr>
        <w:t>reglas para la selección del gestor del mercado de gas natural, las condiciones</w:t>
      </w:r>
      <w:r w:rsidR="007408B1" w:rsidRPr="004E0205">
        <w:rPr>
          <w:rFonts w:ascii="Bookman Old Style" w:hAnsi="Bookman Old Style" w:cs="Arial"/>
          <w:color w:val="000000" w:themeColor="text1"/>
          <w:lang w:eastAsia="es-CO"/>
        </w:rPr>
        <w:t xml:space="preserve"> en que prestará sus servicios y su remuneración, como parte del reglamento de operación de gas natural</w:t>
      </w:r>
      <w:r w:rsidR="007408B1" w:rsidRPr="00D22E84">
        <w:rPr>
          <w:rFonts w:ascii="Bookman Old Style" w:hAnsi="Bookman Old Style" w:cs="Arial"/>
          <w:i/>
          <w:color w:val="000000" w:themeColor="text1"/>
          <w:lang w:eastAsia="es-CO"/>
        </w:rPr>
        <w:t>”.</w:t>
      </w:r>
    </w:p>
    <w:p w:rsidR="00DB081E" w:rsidRDefault="00DB081E" w:rsidP="00D22E84">
      <w:pPr>
        <w:ind w:left="0" w:right="-73"/>
        <w:jc w:val="both"/>
        <w:rPr>
          <w:rFonts w:ascii="Bookman Old Style" w:hAnsi="Bookman Old Style"/>
        </w:rPr>
      </w:pPr>
    </w:p>
    <w:p w:rsidR="009D257F" w:rsidRDefault="009D257F" w:rsidP="00D22E84">
      <w:pPr>
        <w:ind w:left="0" w:right="-73"/>
        <w:jc w:val="both"/>
        <w:rPr>
          <w:rFonts w:ascii="Bookman Old Style" w:hAnsi="Bookman Old Style"/>
        </w:rPr>
      </w:pPr>
      <w:r>
        <w:rPr>
          <w:rFonts w:ascii="Bookman Old Style" w:hAnsi="Bookman Old Style"/>
        </w:rPr>
        <w:t xml:space="preserve">Mediante la Resolución CREG 150 de 2013 se </w:t>
      </w:r>
      <w:r w:rsidRPr="009D257F">
        <w:rPr>
          <w:rFonts w:ascii="Bookman Old Style" w:hAnsi="Bookman Old Style"/>
        </w:rPr>
        <w:t>d</w:t>
      </w:r>
      <w:r>
        <w:rPr>
          <w:rFonts w:ascii="Bookman Old Style" w:hAnsi="Bookman Old Style"/>
        </w:rPr>
        <w:t>io</w:t>
      </w:r>
      <w:r w:rsidRPr="009D257F">
        <w:rPr>
          <w:rFonts w:ascii="Bookman Old Style" w:hAnsi="Bookman Old Style"/>
        </w:rPr>
        <w:t xml:space="preserve"> apertura al proceso de selección del gestor del mercado de gas natural y se establec</w:t>
      </w:r>
      <w:r>
        <w:rPr>
          <w:rFonts w:ascii="Bookman Old Style" w:hAnsi="Bookman Old Style"/>
        </w:rPr>
        <w:t>i</w:t>
      </w:r>
      <w:r w:rsidRPr="009D257F">
        <w:rPr>
          <w:rFonts w:ascii="Bookman Old Style" w:hAnsi="Bookman Old Style"/>
        </w:rPr>
        <w:t>e</w:t>
      </w:r>
      <w:r>
        <w:rPr>
          <w:rFonts w:ascii="Bookman Old Style" w:hAnsi="Bookman Old Style"/>
        </w:rPr>
        <w:t>ro</w:t>
      </w:r>
      <w:r w:rsidRPr="009D257F">
        <w:rPr>
          <w:rFonts w:ascii="Bookman Old Style" w:hAnsi="Bookman Old Style"/>
        </w:rPr>
        <w:t>n reglas con base en las cuales se realizará este proceso</w:t>
      </w:r>
      <w:r>
        <w:rPr>
          <w:rFonts w:ascii="Bookman Old Style" w:hAnsi="Bookman Old Style"/>
        </w:rPr>
        <w:t>.</w:t>
      </w:r>
    </w:p>
    <w:p w:rsidR="009D257F" w:rsidRDefault="009D257F" w:rsidP="00D22E84">
      <w:pPr>
        <w:ind w:left="0" w:right="-73"/>
        <w:jc w:val="both"/>
        <w:rPr>
          <w:rFonts w:ascii="Bookman Old Style" w:hAnsi="Bookman Old Style"/>
        </w:rPr>
      </w:pPr>
    </w:p>
    <w:p w:rsidR="008D32D6" w:rsidRDefault="008D32D6" w:rsidP="00D22E84">
      <w:pPr>
        <w:ind w:left="0" w:right="-73"/>
        <w:jc w:val="both"/>
        <w:rPr>
          <w:rFonts w:ascii="Bookman Old Style" w:hAnsi="Bookman Old Style"/>
        </w:rPr>
      </w:pPr>
      <w:r>
        <w:rPr>
          <w:rFonts w:ascii="Bookman Old Style" w:hAnsi="Bookman Old Style"/>
        </w:rPr>
        <w:t xml:space="preserve">Mediante las resoluciones CREG 200 y 201 de 2013 se modificaron las resoluciones CREG 124 y 150 de 2013, respectivamente. </w:t>
      </w:r>
    </w:p>
    <w:p w:rsidR="008D32D6" w:rsidRDefault="008D32D6" w:rsidP="00D22E84">
      <w:pPr>
        <w:ind w:left="0" w:right="-73"/>
        <w:jc w:val="both"/>
        <w:rPr>
          <w:rFonts w:ascii="Bookman Old Style" w:hAnsi="Bookman Old Style"/>
        </w:rPr>
      </w:pPr>
    </w:p>
    <w:p w:rsidR="001E0A04" w:rsidRPr="00D22E84" w:rsidRDefault="001E0A04" w:rsidP="001E0A04">
      <w:pPr>
        <w:ind w:left="0" w:right="-73"/>
        <w:jc w:val="both"/>
        <w:rPr>
          <w:rFonts w:ascii="Bookman Old Style" w:hAnsi="Bookman Old Style"/>
          <w:lang w:val="es-CO"/>
        </w:rPr>
      </w:pPr>
      <w:r>
        <w:rPr>
          <w:rFonts w:ascii="Bookman Old Style" w:hAnsi="Bookman Old Style"/>
          <w:lang w:val="es-CO"/>
        </w:rPr>
        <w:t>E</w:t>
      </w:r>
      <w:r w:rsidRPr="00D22E84">
        <w:rPr>
          <w:rFonts w:ascii="Bookman Old Style" w:hAnsi="Bookman Old Style"/>
          <w:lang w:val="es-CO"/>
        </w:rPr>
        <w:t xml:space="preserve">l promotor del proceso de selección </w:t>
      </w:r>
      <w:r>
        <w:rPr>
          <w:rFonts w:ascii="Bookman Old Style" w:hAnsi="Bookman Old Style"/>
          <w:lang w:val="es-CO"/>
        </w:rPr>
        <w:t xml:space="preserve">del gestor del mercado de gas natural recomendó a la CREG que en la Resolución CREG 124 de 2013 se señalara en forma explícita la obligación que tiene el gestor de dar un manejo confidencial a la información </w:t>
      </w:r>
      <w:r w:rsidR="00EA02A2">
        <w:rPr>
          <w:rFonts w:ascii="Bookman Old Style" w:hAnsi="Bookman Old Style"/>
          <w:lang w:val="es-CO"/>
        </w:rPr>
        <w:t xml:space="preserve">que </w:t>
      </w:r>
      <w:r>
        <w:rPr>
          <w:rFonts w:ascii="Bookman Old Style" w:hAnsi="Bookman Old Style"/>
          <w:lang w:val="es-CO"/>
        </w:rPr>
        <w:t>él recopile y que no sea objeto de publicación.</w:t>
      </w:r>
    </w:p>
    <w:p w:rsidR="001E0A04" w:rsidRPr="00D22E84" w:rsidRDefault="001E0A04" w:rsidP="00D22E84">
      <w:pPr>
        <w:ind w:left="0" w:right="-73"/>
        <w:jc w:val="both"/>
        <w:rPr>
          <w:rFonts w:ascii="Bookman Old Style" w:hAnsi="Bookman Old Style"/>
        </w:rPr>
      </w:pPr>
    </w:p>
    <w:p w:rsidR="001E0A04" w:rsidRDefault="00810929" w:rsidP="00D22E84">
      <w:pPr>
        <w:ind w:left="0" w:right="-73"/>
        <w:jc w:val="both"/>
        <w:rPr>
          <w:rFonts w:ascii="Bookman Old Style" w:hAnsi="Bookman Old Style"/>
          <w:lang w:val="es-CO"/>
        </w:rPr>
      </w:pPr>
      <w:r w:rsidRPr="00D22E84">
        <w:rPr>
          <w:rFonts w:ascii="Bookman Old Style" w:hAnsi="Bookman Old Style"/>
          <w:lang w:val="es-CO"/>
        </w:rPr>
        <w:t>Una vez abierto el proceso de selección del gestor del mercado</w:t>
      </w:r>
      <w:r w:rsidR="007408B1" w:rsidRPr="00D22E84">
        <w:rPr>
          <w:rFonts w:ascii="Bookman Old Style" w:hAnsi="Bookman Old Style"/>
          <w:lang w:val="es-CO"/>
        </w:rPr>
        <w:t>, se dio in</w:t>
      </w:r>
      <w:r w:rsidRPr="00D22E84">
        <w:rPr>
          <w:rFonts w:ascii="Bookman Old Style" w:hAnsi="Bookman Old Style"/>
          <w:lang w:val="es-CO"/>
        </w:rPr>
        <w:t>icio a</w:t>
      </w:r>
      <w:r w:rsidR="001E0A04">
        <w:rPr>
          <w:rFonts w:ascii="Bookman Old Style" w:hAnsi="Bookman Old Style"/>
          <w:lang w:val="es-CO"/>
        </w:rPr>
        <w:t xml:space="preserve">l proceso de selección de la fiducia que se encargará de las labores establecidas en el artículo 30 de la </w:t>
      </w:r>
      <w:r w:rsidR="001E0A04" w:rsidRPr="00D22E84">
        <w:rPr>
          <w:rFonts w:ascii="Bookman Old Style" w:hAnsi="Bookman Old Style"/>
        </w:rPr>
        <w:t xml:space="preserve">Resolución </w:t>
      </w:r>
      <w:r w:rsidR="001E0A04">
        <w:rPr>
          <w:rFonts w:ascii="Bookman Old Style" w:hAnsi="Bookman Old Style"/>
        </w:rPr>
        <w:t xml:space="preserve">CREG </w:t>
      </w:r>
      <w:r w:rsidR="001E0A04" w:rsidRPr="00D22E84">
        <w:rPr>
          <w:rFonts w:ascii="Bookman Old Style" w:hAnsi="Bookman Old Style"/>
        </w:rPr>
        <w:t>124 de 2013</w:t>
      </w:r>
      <w:r w:rsidR="001E0A04">
        <w:rPr>
          <w:rFonts w:ascii="Bookman Old Style" w:hAnsi="Bookman Old Style"/>
        </w:rPr>
        <w:t xml:space="preserve">. En desarrollo de este proceso se ha identificado la necesidad de precisar algunas disposiciones contenidas en la </w:t>
      </w:r>
      <w:r w:rsidR="001E0A04" w:rsidRPr="00D22E84">
        <w:rPr>
          <w:rFonts w:ascii="Bookman Old Style" w:hAnsi="Bookman Old Style"/>
        </w:rPr>
        <w:t xml:space="preserve">Resolución </w:t>
      </w:r>
      <w:r w:rsidR="001E0A04">
        <w:rPr>
          <w:rFonts w:ascii="Bookman Old Style" w:hAnsi="Bookman Old Style"/>
        </w:rPr>
        <w:t xml:space="preserve">CREG </w:t>
      </w:r>
      <w:r w:rsidR="001E0A04" w:rsidRPr="00D22E84">
        <w:rPr>
          <w:rFonts w:ascii="Bookman Old Style" w:hAnsi="Bookman Old Style"/>
        </w:rPr>
        <w:t>124 de 2013</w:t>
      </w:r>
      <w:r w:rsidR="001E0A04">
        <w:rPr>
          <w:rFonts w:ascii="Bookman Old Style" w:hAnsi="Bookman Old Style"/>
        </w:rPr>
        <w:t xml:space="preserve"> relativas a las garantías exigidas y a las labores que estarán a cargo de la fiducia</w:t>
      </w:r>
      <w:r w:rsidRPr="00D22E84">
        <w:rPr>
          <w:rFonts w:ascii="Bookman Old Style" w:hAnsi="Bookman Old Style"/>
          <w:lang w:val="es-CO"/>
        </w:rPr>
        <w:t>.</w:t>
      </w:r>
      <w:r w:rsidR="009D257F">
        <w:rPr>
          <w:rFonts w:ascii="Bookman Old Style" w:hAnsi="Bookman Old Style"/>
          <w:lang w:val="es-CO"/>
        </w:rPr>
        <w:t xml:space="preserve"> </w:t>
      </w:r>
    </w:p>
    <w:p w:rsidR="001E0A04" w:rsidRDefault="001E0A04" w:rsidP="00D22E84">
      <w:pPr>
        <w:ind w:left="0" w:right="-73"/>
        <w:jc w:val="both"/>
        <w:rPr>
          <w:rFonts w:ascii="Bookman Old Style" w:hAnsi="Bookman Old Style"/>
          <w:lang w:val="es-CO"/>
        </w:rPr>
      </w:pPr>
    </w:p>
    <w:p w:rsidR="00067ACE" w:rsidRPr="00D22E84" w:rsidRDefault="001E0A04" w:rsidP="00D22E84">
      <w:pPr>
        <w:ind w:left="0" w:right="-73"/>
        <w:jc w:val="both"/>
        <w:rPr>
          <w:rFonts w:ascii="Bookman Old Style" w:hAnsi="Bookman Old Style"/>
          <w:lang w:val="es-CO"/>
        </w:rPr>
      </w:pPr>
      <w:r>
        <w:rPr>
          <w:rFonts w:ascii="Bookman Old Style" w:hAnsi="Bookman Old Style"/>
          <w:lang w:val="es-CO"/>
        </w:rPr>
        <w:t>Se ha identificado la posibilidad de ajustar el cronograma del proceso de selección, de forma tal que se pueda reducir el tiempo del mismo.</w:t>
      </w:r>
    </w:p>
    <w:p w:rsidR="00735E22" w:rsidRDefault="00735E22" w:rsidP="00D22E84">
      <w:pPr>
        <w:jc w:val="center"/>
        <w:rPr>
          <w:rFonts w:ascii="Bookman Old Style" w:hAnsi="Bookman Old Style" w:cs="Arial"/>
          <w:b/>
          <w:color w:val="000000"/>
          <w:lang w:val="es-CO"/>
        </w:rPr>
      </w:pPr>
    </w:p>
    <w:p w:rsidR="001E0A04" w:rsidRPr="001E0A04" w:rsidRDefault="001E0A04" w:rsidP="00D22E84">
      <w:pPr>
        <w:jc w:val="center"/>
        <w:rPr>
          <w:rFonts w:ascii="Bookman Old Style" w:hAnsi="Bookman Old Style" w:cs="Arial"/>
          <w:b/>
          <w:color w:val="000000"/>
          <w:lang w:val="es-CO"/>
        </w:rPr>
      </w:pPr>
    </w:p>
    <w:p w:rsidR="00735E22" w:rsidRPr="00D22E84" w:rsidRDefault="00735E22" w:rsidP="00D22E84">
      <w:pPr>
        <w:ind w:left="0"/>
        <w:jc w:val="center"/>
        <w:rPr>
          <w:rFonts w:ascii="Bookman Old Style" w:hAnsi="Bookman Old Style" w:cs="Arial"/>
          <w:b/>
          <w:color w:val="000000"/>
        </w:rPr>
      </w:pPr>
      <w:r w:rsidRPr="00D22E84">
        <w:rPr>
          <w:rFonts w:ascii="Bookman Old Style" w:hAnsi="Bookman Old Style" w:cs="Arial"/>
          <w:b/>
          <w:color w:val="000000"/>
        </w:rPr>
        <w:t>R E S U E L V E:</w:t>
      </w:r>
    </w:p>
    <w:p w:rsidR="00735E22" w:rsidRDefault="00735E22" w:rsidP="00D22E84">
      <w:pPr>
        <w:ind w:left="0"/>
        <w:rPr>
          <w:rFonts w:ascii="Bookman Old Style" w:hAnsi="Bookman Old Style" w:cs="Arial"/>
          <w:b/>
          <w:color w:val="000000"/>
        </w:rPr>
      </w:pPr>
    </w:p>
    <w:p w:rsidR="009D257F" w:rsidRPr="00D22E84" w:rsidRDefault="009D257F" w:rsidP="00D22E84">
      <w:pPr>
        <w:ind w:left="0"/>
        <w:rPr>
          <w:rFonts w:ascii="Bookman Old Style" w:hAnsi="Bookman Old Style" w:cs="Arial"/>
          <w:b/>
          <w:color w:val="000000"/>
        </w:rPr>
      </w:pPr>
    </w:p>
    <w:p w:rsidR="00837913" w:rsidRPr="00D22E84" w:rsidRDefault="00304195" w:rsidP="00D22E84">
      <w:pPr>
        <w:ind w:left="0"/>
        <w:jc w:val="both"/>
        <w:rPr>
          <w:rFonts w:ascii="Bookman Old Style" w:hAnsi="Bookman Old Style" w:cs="Arial"/>
          <w:bCs/>
          <w:iCs/>
        </w:rPr>
      </w:pPr>
      <w:r w:rsidRPr="00D22E84">
        <w:rPr>
          <w:rFonts w:ascii="Bookman Old Style" w:hAnsi="Bookman Old Style" w:cs="Arial"/>
          <w:b/>
          <w:bCs/>
          <w:iCs/>
        </w:rPr>
        <w:t xml:space="preserve">Artículo </w:t>
      </w:r>
      <w:r w:rsidR="00735E22" w:rsidRPr="00D22E84">
        <w:rPr>
          <w:rFonts w:ascii="Bookman Old Style" w:hAnsi="Bookman Old Style" w:cs="Arial"/>
          <w:b/>
          <w:bCs/>
          <w:iCs/>
        </w:rPr>
        <w:t>1.</w:t>
      </w:r>
      <w:r w:rsidR="00837913" w:rsidRPr="00D22E84">
        <w:rPr>
          <w:rFonts w:ascii="Bookman Old Style" w:hAnsi="Bookman Old Style" w:cs="Arial"/>
          <w:b/>
          <w:bCs/>
          <w:iCs/>
        </w:rPr>
        <w:t xml:space="preserve"> </w:t>
      </w:r>
      <w:r w:rsidR="00837913" w:rsidRPr="00D22E84">
        <w:rPr>
          <w:rFonts w:ascii="Bookman Old Style" w:hAnsi="Bookman Old Style" w:cs="Arial"/>
          <w:bCs/>
          <w:iCs/>
        </w:rPr>
        <w:t>Modificar el Artículo 4 de la Resolución</w:t>
      </w:r>
      <w:r w:rsidR="00E84B16">
        <w:rPr>
          <w:rFonts w:ascii="Bookman Old Style" w:hAnsi="Bookman Old Style" w:cs="Arial"/>
          <w:bCs/>
          <w:iCs/>
        </w:rPr>
        <w:t xml:space="preserve"> CREG</w:t>
      </w:r>
      <w:r w:rsidR="00837913" w:rsidRPr="00D22E84">
        <w:rPr>
          <w:rFonts w:ascii="Bookman Old Style" w:hAnsi="Bookman Old Style" w:cs="Arial"/>
          <w:bCs/>
          <w:iCs/>
        </w:rPr>
        <w:t xml:space="preserve"> 124 de 2013</w:t>
      </w:r>
      <w:r w:rsidR="001E0A04">
        <w:rPr>
          <w:rFonts w:ascii="Bookman Old Style" w:hAnsi="Bookman Old Style" w:cs="Arial"/>
          <w:bCs/>
          <w:iCs/>
        </w:rPr>
        <w:t xml:space="preserve">, modificado por el Artículo </w:t>
      </w:r>
      <w:r w:rsidR="00672A5B">
        <w:rPr>
          <w:rFonts w:ascii="Bookman Old Style" w:hAnsi="Bookman Old Style" w:cs="Arial"/>
          <w:bCs/>
          <w:iCs/>
        </w:rPr>
        <w:t>1 de la Resolución CREG 200 de 2013</w:t>
      </w:r>
      <w:r w:rsidR="00810929" w:rsidRPr="00D22E84">
        <w:rPr>
          <w:rFonts w:ascii="Bookman Old Style" w:hAnsi="Bookman Old Style" w:cs="Arial"/>
          <w:bCs/>
          <w:iCs/>
        </w:rPr>
        <w:t xml:space="preserve">, </w:t>
      </w:r>
      <w:r w:rsidR="00837913" w:rsidRPr="00D22E84">
        <w:rPr>
          <w:rFonts w:ascii="Bookman Old Style" w:hAnsi="Bookman Old Style" w:cs="Arial"/>
          <w:bCs/>
          <w:iCs/>
        </w:rPr>
        <w:t xml:space="preserve">el cual quedará así: </w:t>
      </w:r>
    </w:p>
    <w:p w:rsidR="00837913" w:rsidRPr="00D22E84" w:rsidRDefault="00735E22" w:rsidP="00D22E84">
      <w:pPr>
        <w:ind w:left="0"/>
        <w:jc w:val="both"/>
        <w:rPr>
          <w:rFonts w:ascii="Bookman Old Style" w:hAnsi="Bookman Old Style" w:cs="Arial"/>
          <w:b/>
          <w:bCs/>
          <w:iCs/>
        </w:rPr>
      </w:pPr>
      <w:r w:rsidRPr="00D22E84">
        <w:rPr>
          <w:rFonts w:ascii="Bookman Old Style" w:hAnsi="Bookman Old Style" w:cs="Arial"/>
          <w:b/>
          <w:bCs/>
          <w:iCs/>
        </w:rPr>
        <w:t xml:space="preserve"> </w:t>
      </w:r>
    </w:p>
    <w:p w:rsidR="00626269" w:rsidRPr="00704008" w:rsidRDefault="009D257F" w:rsidP="008C630A">
      <w:pPr>
        <w:pStyle w:val="ARTICULOS"/>
        <w:numPr>
          <w:ilvl w:val="0"/>
          <w:numId w:val="0"/>
        </w:numPr>
        <w:ind w:left="426"/>
      </w:pPr>
      <w:bookmarkStart w:id="1" w:name="_Ref341796837"/>
      <w:bookmarkStart w:id="2" w:name="_Ref342399431"/>
      <w:r w:rsidRPr="00704008">
        <w:rPr>
          <w:b/>
          <w:lang w:val="es-CO"/>
        </w:rPr>
        <w:t xml:space="preserve">Artículo 4. </w:t>
      </w:r>
      <w:r w:rsidR="00626269" w:rsidRPr="00704008">
        <w:rPr>
          <w:b/>
        </w:rPr>
        <w:t>Proceso de selección.</w:t>
      </w:r>
      <w:bookmarkEnd w:id="1"/>
      <w:r w:rsidR="00626269" w:rsidRPr="00704008">
        <w:rPr>
          <w:b/>
        </w:rPr>
        <w:t xml:space="preserve"> </w:t>
      </w:r>
      <w:r w:rsidR="00626269" w:rsidRPr="00704008">
        <w:t>La Comisión de Regulación de Energía y Gas seleccionará el gestor del mercado mediante un concurso público sujeto a las reglas definidas en esta Resolución. Este concurso considerará las siguientes etapas:</w:t>
      </w:r>
      <w:bookmarkEnd w:id="2"/>
    </w:p>
    <w:p w:rsidR="00626269" w:rsidRPr="00672A5B" w:rsidRDefault="00626269" w:rsidP="009D257F">
      <w:pPr>
        <w:pStyle w:val="ARTICULOS"/>
        <w:numPr>
          <w:ilvl w:val="0"/>
          <w:numId w:val="0"/>
        </w:numPr>
        <w:ind w:left="426"/>
        <w:rPr>
          <w:rFonts w:cs="Arial"/>
          <w:i/>
          <w:color w:val="000000" w:themeColor="text1"/>
          <w:lang w:val="es-ES"/>
        </w:rPr>
      </w:pP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378"/>
        <w:gridCol w:w="4725"/>
        <w:gridCol w:w="3827"/>
      </w:tblGrid>
      <w:tr w:rsidR="00626269" w:rsidRPr="00672A5B" w:rsidTr="00672A5B">
        <w:trPr>
          <w:trHeight w:val="630"/>
          <w:tblHeader/>
        </w:trPr>
        <w:tc>
          <w:tcPr>
            <w:tcW w:w="5103" w:type="dxa"/>
            <w:gridSpan w:val="2"/>
            <w:tcBorders>
              <w:right w:val="single" w:sz="4" w:space="0" w:color="auto"/>
            </w:tcBorders>
            <w:shd w:val="clear" w:color="000000" w:fill="auto"/>
            <w:noWrap/>
            <w:vAlign w:val="center"/>
            <w:hideMark/>
          </w:tcPr>
          <w:p w:rsidR="00626269" w:rsidRPr="00672A5B" w:rsidRDefault="00626269" w:rsidP="00D22E84">
            <w:pPr>
              <w:ind w:left="0"/>
              <w:jc w:val="center"/>
              <w:rPr>
                <w:rFonts w:ascii="Bookman Old Style" w:hAnsi="Bookman Old Style" w:cs="Arial"/>
                <w:b/>
                <w:bCs/>
                <w:color w:val="000000" w:themeColor="text1"/>
                <w:lang w:val="es-CO" w:eastAsia="es-CO"/>
              </w:rPr>
            </w:pPr>
            <w:r w:rsidRPr="00672A5B">
              <w:rPr>
                <w:rFonts w:ascii="Bookman Old Style" w:hAnsi="Bookman Old Style" w:cs="Arial"/>
                <w:b/>
                <w:bCs/>
                <w:color w:val="000000" w:themeColor="text1"/>
                <w:lang w:val="es-CO" w:eastAsia="es-CO"/>
              </w:rPr>
              <w:t>Actividad</w:t>
            </w:r>
          </w:p>
        </w:tc>
        <w:tc>
          <w:tcPr>
            <w:tcW w:w="3827" w:type="dxa"/>
            <w:tcBorders>
              <w:left w:val="single" w:sz="4" w:space="0" w:color="auto"/>
            </w:tcBorders>
            <w:shd w:val="clear" w:color="000000" w:fill="auto"/>
            <w:noWrap/>
            <w:vAlign w:val="center"/>
            <w:hideMark/>
          </w:tcPr>
          <w:p w:rsidR="00626269" w:rsidRPr="00672A5B" w:rsidRDefault="00626269" w:rsidP="00D22E84">
            <w:pPr>
              <w:ind w:left="0"/>
              <w:jc w:val="center"/>
              <w:rPr>
                <w:rFonts w:ascii="Bookman Old Style" w:hAnsi="Bookman Old Style" w:cs="Arial"/>
                <w:b/>
                <w:bCs/>
                <w:color w:val="000000" w:themeColor="text1"/>
                <w:lang w:val="es-CO" w:eastAsia="es-CO"/>
              </w:rPr>
            </w:pPr>
            <w:r w:rsidRPr="00672A5B">
              <w:rPr>
                <w:rFonts w:ascii="Bookman Old Style" w:hAnsi="Bookman Old Style" w:cs="Arial"/>
                <w:b/>
                <w:bCs/>
                <w:color w:val="000000" w:themeColor="text1"/>
                <w:lang w:val="es-CO" w:eastAsia="es-CO"/>
              </w:rPr>
              <w:t>Plazo</w:t>
            </w:r>
          </w:p>
        </w:tc>
      </w:tr>
      <w:tr w:rsidR="00626269" w:rsidRPr="00672A5B" w:rsidTr="00672A5B">
        <w:trPr>
          <w:trHeight w:val="271"/>
        </w:trPr>
        <w:tc>
          <w:tcPr>
            <w:tcW w:w="378" w:type="dxa"/>
            <w:shd w:val="clear" w:color="auto" w:fill="auto"/>
            <w:vAlign w:val="center"/>
            <w:hideMark/>
          </w:tcPr>
          <w:p w:rsidR="00626269" w:rsidRPr="00672A5B" w:rsidRDefault="00626269" w:rsidP="00D22E84">
            <w:pPr>
              <w:ind w:left="0"/>
              <w:jc w:val="right"/>
              <w:rPr>
                <w:rFonts w:ascii="Bookman Old Style" w:hAnsi="Bookman Old Style" w:cs="Arial"/>
                <w:bCs/>
                <w:lang w:val="es-CO" w:eastAsia="es-CO"/>
              </w:rPr>
            </w:pPr>
            <w:r w:rsidRPr="00672A5B">
              <w:rPr>
                <w:rFonts w:ascii="Bookman Old Style" w:hAnsi="Bookman Old Style" w:cs="Arial"/>
                <w:bCs/>
                <w:lang w:val="es-CO" w:eastAsia="es-CO"/>
              </w:rPr>
              <w:t>1.</w:t>
            </w:r>
          </w:p>
        </w:tc>
        <w:tc>
          <w:tcPr>
            <w:tcW w:w="4725" w:type="dxa"/>
            <w:tcBorders>
              <w:right w:val="single" w:sz="4" w:space="0" w:color="auto"/>
            </w:tcBorders>
            <w:shd w:val="clear" w:color="auto" w:fill="auto"/>
            <w:vAlign w:val="center"/>
            <w:hideMark/>
          </w:tcPr>
          <w:p w:rsidR="00626269" w:rsidRPr="00672A5B" w:rsidRDefault="00626269" w:rsidP="00D22E84">
            <w:pPr>
              <w:ind w:left="0"/>
              <w:rPr>
                <w:rFonts w:ascii="Bookman Old Style" w:hAnsi="Bookman Old Style" w:cs="Arial"/>
                <w:color w:val="000000"/>
                <w:lang w:val="es-CO" w:eastAsia="es-CO"/>
              </w:rPr>
            </w:pPr>
            <w:r w:rsidRPr="00672A5B">
              <w:rPr>
                <w:rFonts w:ascii="Bookman Old Style" w:hAnsi="Bookman Old Style" w:cs="Arial"/>
                <w:color w:val="000000"/>
                <w:lang w:val="es-CO" w:eastAsia="es-CO"/>
              </w:rPr>
              <w:t>Apertura del proceso de selección</w:t>
            </w:r>
          </w:p>
        </w:tc>
        <w:tc>
          <w:tcPr>
            <w:tcW w:w="3827" w:type="dxa"/>
            <w:tcBorders>
              <w:left w:val="single" w:sz="4" w:space="0" w:color="auto"/>
            </w:tcBorders>
            <w:shd w:val="clear" w:color="auto" w:fill="auto"/>
            <w:vAlign w:val="center"/>
            <w:hideMark/>
          </w:tcPr>
          <w:p w:rsidR="00626269" w:rsidRPr="00672A5B" w:rsidRDefault="00626269" w:rsidP="00D22E84">
            <w:pPr>
              <w:ind w:left="0"/>
              <w:rPr>
                <w:rFonts w:ascii="Bookman Old Style" w:hAnsi="Bookman Old Style" w:cs="Arial"/>
                <w:color w:val="000000"/>
                <w:lang w:val="es-CO" w:eastAsia="es-CO"/>
              </w:rPr>
            </w:pPr>
            <w:r w:rsidRPr="00672A5B">
              <w:rPr>
                <w:rFonts w:ascii="Bookman Old Style" w:hAnsi="Bookman Old Style" w:cs="Arial"/>
                <w:color w:val="000000"/>
                <w:lang w:val="es-CO" w:eastAsia="es-CO"/>
              </w:rPr>
              <w:t>La fecha de apertura se establecerá mediante resolución de la CREG</w:t>
            </w:r>
          </w:p>
        </w:tc>
      </w:tr>
      <w:tr w:rsidR="00626269" w:rsidRPr="00672A5B" w:rsidTr="00672A5B">
        <w:trPr>
          <w:trHeight w:val="630"/>
        </w:trPr>
        <w:tc>
          <w:tcPr>
            <w:tcW w:w="378" w:type="dxa"/>
            <w:shd w:val="clear" w:color="auto" w:fill="auto"/>
            <w:vAlign w:val="center"/>
            <w:hideMark/>
          </w:tcPr>
          <w:p w:rsidR="00626269" w:rsidRPr="00672A5B" w:rsidRDefault="00626269" w:rsidP="00D22E84">
            <w:pPr>
              <w:ind w:left="0"/>
              <w:jc w:val="right"/>
              <w:rPr>
                <w:rFonts w:ascii="Bookman Old Style" w:hAnsi="Bookman Old Style" w:cs="Arial"/>
                <w:bCs/>
                <w:i/>
                <w:lang w:val="es-CO" w:eastAsia="es-CO"/>
              </w:rPr>
            </w:pPr>
            <w:r w:rsidRPr="00672A5B">
              <w:rPr>
                <w:rFonts w:ascii="Bookman Old Style" w:hAnsi="Bookman Old Style" w:cs="Arial"/>
                <w:bCs/>
                <w:lang w:val="es-CO" w:eastAsia="es-CO"/>
              </w:rPr>
              <w:t>2</w:t>
            </w:r>
            <w:r w:rsidRPr="00672A5B">
              <w:rPr>
                <w:rFonts w:ascii="Bookman Old Style" w:hAnsi="Bookman Old Style" w:cs="Arial"/>
                <w:bCs/>
                <w:i/>
                <w:lang w:val="es-CO" w:eastAsia="es-CO"/>
              </w:rPr>
              <w:t>.</w:t>
            </w:r>
          </w:p>
        </w:tc>
        <w:tc>
          <w:tcPr>
            <w:tcW w:w="4725" w:type="dxa"/>
            <w:tcBorders>
              <w:right w:val="single" w:sz="4" w:space="0" w:color="auto"/>
            </w:tcBorders>
            <w:shd w:val="clear" w:color="auto" w:fill="auto"/>
            <w:vAlign w:val="center"/>
          </w:tcPr>
          <w:p w:rsidR="00626269" w:rsidRPr="00672A5B" w:rsidRDefault="00626269" w:rsidP="00D22E84">
            <w:pPr>
              <w:ind w:left="0"/>
              <w:jc w:val="both"/>
              <w:rPr>
                <w:rFonts w:ascii="Bookman Old Style" w:hAnsi="Bookman Old Style" w:cs="Arial"/>
                <w:color w:val="000000"/>
                <w:lang w:val="es-CO" w:eastAsia="es-CO"/>
              </w:rPr>
            </w:pPr>
            <w:r w:rsidRPr="00672A5B">
              <w:rPr>
                <w:rFonts w:ascii="Bookman Old Style" w:hAnsi="Bookman Old Style" w:cs="Arial"/>
                <w:color w:val="000000"/>
                <w:lang w:val="es-CO" w:eastAsia="es-CO"/>
              </w:rPr>
              <w:t>Atención de preguntas y observaciones</w:t>
            </w:r>
          </w:p>
        </w:tc>
        <w:tc>
          <w:tcPr>
            <w:tcW w:w="3827" w:type="dxa"/>
            <w:tcBorders>
              <w:left w:val="single" w:sz="4" w:space="0" w:color="auto"/>
            </w:tcBorders>
            <w:shd w:val="clear" w:color="auto" w:fill="auto"/>
            <w:vAlign w:val="center"/>
          </w:tcPr>
          <w:p w:rsidR="00626269" w:rsidRPr="00672A5B" w:rsidRDefault="00626269" w:rsidP="00D22E84">
            <w:pPr>
              <w:ind w:left="0"/>
              <w:rPr>
                <w:rFonts w:ascii="Bookman Old Style" w:hAnsi="Bookman Old Style" w:cs="Arial"/>
                <w:color w:val="000000"/>
                <w:lang w:val="es-CO" w:eastAsia="es-CO"/>
              </w:rPr>
            </w:pPr>
          </w:p>
        </w:tc>
      </w:tr>
      <w:tr w:rsidR="00626269" w:rsidRPr="00672A5B" w:rsidTr="00672A5B">
        <w:trPr>
          <w:trHeight w:val="630"/>
        </w:trPr>
        <w:tc>
          <w:tcPr>
            <w:tcW w:w="378" w:type="dxa"/>
            <w:shd w:val="clear" w:color="auto" w:fill="auto"/>
            <w:vAlign w:val="center"/>
          </w:tcPr>
          <w:p w:rsidR="00626269" w:rsidRPr="00672A5B" w:rsidRDefault="00626269" w:rsidP="00D22E84">
            <w:pPr>
              <w:ind w:left="0"/>
              <w:jc w:val="right"/>
              <w:rPr>
                <w:rFonts w:ascii="Bookman Old Style" w:hAnsi="Bookman Old Style" w:cs="Arial"/>
                <w:bCs/>
                <w:i/>
                <w:lang w:val="es-CO" w:eastAsia="es-CO"/>
              </w:rPr>
            </w:pPr>
          </w:p>
        </w:tc>
        <w:tc>
          <w:tcPr>
            <w:tcW w:w="4725" w:type="dxa"/>
            <w:tcBorders>
              <w:right w:val="single" w:sz="4" w:space="0" w:color="auto"/>
            </w:tcBorders>
            <w:shd w:val="clear" w:color="auto" w:fill="auto"/>
            <w:vAlign w:val="center"/>
          </w:tcPr>
          <w:p w:rsidR="00626269" w:rsidRPr="00672A5B" w:rsidRDefault="00626269" w:rsidP="00D22E84">
            <w:pPr>
              <w:tabs>
                <w:tab w:val="left" w:pos="559"/>
              </w:tabs>
              <w:ind w:left="0"/>
              <w:jc w:val="both"/>
              <w:rPr>
                <w:rFonts w:ascii="Bookman Old Style" w:hAnsi="Bookman Old Style" w:cs="Arial"/>
                <w:color w:val="000000"/>
                <w:lang w:val="es-CO" w:eastAsia="es-CO"/>
              </w:rPr>
            </w:pPr>
            <w:r w:rsidRPr="00672A5B">
              <w:rPr>
                <w:rFonts w:ascii="Bookman Old Style" w:hAnsi="Bookman Old Style" w:cs="Arial"/>
                <w:color w:val="000000"/>
                <w:lang w:val="es-CO" w:eastAsia="es-CO"/>
              </w:rPr>
              <w:t>2.1. Presentación de preguntas y observaciones por parte de los interesados</w:t>
            </w:r>
          </w:p>
        </w:tc>
        <w:tc>
          <w:tcPr>
            <w:tcW w:w="3827" w:type="dxa"/>
            <w:tcBorders>
              <w:left w:val="single" w:sz="4" w:space="0" w:color="auto"/>
            </w:tcBorders>
            <w:shd w:val="clear" w:color="auto" w:fill="auto"/>
            <w:vAlign w:val="center"/>
          </w:tcPr>
          <w:p w:rsidR="00626269" w:rsidRPr="00672A5B" w:rsidRDefault="00626269" w:rsidP="00D22E84">
            <w:pPr>
              <w:ind w:left="0"/>
              <w:rPr>
                <w:rFonts w:ascii="Bookman Old Style" w:hAnsi="Bookman Old Style" w:cs="Arial"/>
                <w:color w:val="000000"/>
                <w:lang w:val="es-CO" w:eastAsia="es-CO"/>
              </w:rPr>
            </w:pPr>
            <w:r w:rsidRPr="00672A5B">
              <w:rPr>
                <w:rFonts w:ascii="Bookman Old Style" w:hAnsi="Bookman Old Style" w:cs="Arial"/>
                <w:color w:val="000000"/>
                <w:lang w:val="es-CO" w:eastAsia="es-CO"/>
              </w:rPr>
              <w:t>4 semanas a partir de la fecha de apertura</w:t>
            </w:r>
          </w:p>
        </w:tc>
      </w:tr>
      <w:tr w:rsidR="00626269" w:rsidRPr="00672A5B" w:rsidTr="00672A5B">
        <w:trPr>
          <w:trHeight w:val="630"/>
        </w:trPr>
        <w:tc>
          <w:tcPr>
            <w:tcW w:w="378" w:type="dxa"/>
            <w:shd w:val="clear" w:color="auto" w:fill="auto"/>
            <w:vAlign w:val="center"/>
            <w:hideMark/>
          </w:tcPr>
          <w:p w:rsidR="00626269" w:rsidRPr="00672A5B" w:rsidRDefault="00626269" w:rsidP="00D22E84">
            <w:pPr>
              <w:ind w:left="0"/>
              <w:jc w:val="right"/>
              <w:rPr>
                <w:rFonts w:ascii="Bookman Old Style" w:hAnsi="Bookman Old Style" w:cs="Arial"/>
                <w:bCs/>
                <w:i/>
                <w:lang w:val="es-CO" w:eastAsia="es-CO"/>
              </w:rPr>
            </w:pPr>
          </w:p>
        </w:tc>
        <w:tc>
          <w:tcPr>
            <w:tcW w:w="4725" w:type="dxa"/>
            <w:tcBorders>
              <w:right w:val="single" w:sz="4" w:space="0" w:color="auto"/>
            </w:tcBorders>
            <w:shd w:val="clear" w:color="auto" w:fill="auto"/>
            <w:vAlign w:val="center"/>
            <w:hideMark/>
          </w:tcPr>
          <w:p w:rsidR="00626269" w:rsidRPr="00672A5B" w:rsidRDefault="00626269" w:rsidP="00D22E84">
            <w:pPr>
              <w:ind w:left="0"/>
              <w:jc w:val="both"/>
              <w:rPr>
                <w:rFonts w:ascii="Bookman Old Style" w:hAnsi="Bookman Old Style" w:cs="Arial"/>
                <w:color w:val="000000"/>
                <w:lang w:val="es-CO" w:eastAsia="es-CO"/>
              </w:rPr>
            </w:pPr>
            <w:r w:rsidRPr="00672A5B">
              <w:rPr>
                <w:rFonts w:ascii="Bookman Old Style" w:hAnsi="Bookman Old Style" w:cs="Arial"/>
                <w:color w:val="000000"/>
                <w:lang w:val="es-CO" w:eastAsia="es-CO"/>
              </w:rPr>
              <w:t>2.2. Respuesta a las preguntas y observaciones por parte de la CREG</w:t>
            </w:r>
          </w:p>
        </w:tc>
        <w:tc>
          <w:tcPr>
            <w:tcW w:w="3827" w:type="dxa"/>
            <w:tcBorders>
              <w:left w:val="single" w:sz="4" w:space="0" w:color="auto"/>
            </w:tcBorders>
            <w:shd w:val="clear" w:color="auto" w:fill="auto"/>
            <w:vAlign w:val="center"/>
            <w:hideMark/>
          </w:tcPr>
          <w:p w:rsidR="00626269" w:rsidRPr="00672A5B" w:rsidRDefault="00626269" w:rsidP="00D22E84">
            <w:pPr>
              <w:ind w:left="0"/>
              <w:rPr>
                <w:rFonts w:ascii="Bookman Old Style" w:hAnsi="Bookman Old Style" w:cs="Arial"/>
                <w:color w:val="000000"/>
                <w:lang w:val="es-CO" w:eastAsia="es-CO"/>
              </w:rPr>
            </w:pPr>
            <w:r w:rsidRPr="00672A5B">
              <w:rPr>
                <w:rFonts w:ascii="Bookman Old Style" w:hAnsi="Bookman Old Style" w:cs="Arial"/>
                <w:color w:val="000000"/>
                <w:lang w:val="es-CO" w:eastAsia="es-CO"/>
              </w:rPr>
              <w:t>2 semanas a partir de la finalización de la actividad 2.1</w:t>
            </w:r>
          </w:p>
        </w:tc>
      </w:tr>
      <w:tr w:rsidR="00626269" w:rsidRPr="00672A5B" w:rsidTr="00672A5B">
        <w:trPr>
          <w:trHeight w:val="630"/>
        </w:trPr>
        <w:tc>
          <w:tcPr>
            <w:tcW w:w="378" w:type="dxa"/>
            <w:shd w:val="clear" w:color="auto" w:fill="auto"/>
            <w:vAlign w:val="center"/>
          </w:tcPr>
          <w:p w:rsidR="00626269" w:rsidRPr="00672A5B" w:rsidRDefault="00626269" w:rsidP="00D22E84">
            <w:pPr>
              <w:ind w:left="0"/>
              <w:jc w:val="right"/>
              <w:rPr>
                <w:rFonts w:ascii="Bookman Old Style" w:hAnsi="Bookman Old Style" w:cs="Arial"/>
                <w:bCs/>
                <w:i/>
                <w:lang w:val="es-CO" w:eastAsia="es-CO"/>
              </w:rPr>
            </w:pPr>
            <w:r w:rsidRPr="00672A5B">
              <w:rPr>
                <w:rFonts w:ascii="Bookman Old Style" w:hAnsi="Bookman Old Style" w:cs="Arial"/>
                <w:bCs/>
                <w:lang w:val="es-CO" w:eastAsia="es-CO"/>
              </w:rPr>
              <w:t>3</w:t>
            </w:r>
            <w:r w:rsidRPr="00672A5B">
              <w:rPr>
                <w:rFonts w:ascii="Bookman Old Style" w:hAnsi="Bookman Old Style" w:cs="Arial"/>
                <w:bCs/>
                <w:i/>
                <w:lang w:val="es-CO" w:eastAsia="es-CO"/>
              </w:rPr>
              <w:t>.</w:t>
            </w:r>
          </w:p>
        </w:tc>
        <w:tc>
          <w:tcPr>
            <w:tcW w:w="4725" w:type="dxa"/>
            <w:tcBorders>
              <w:right w:val="single" w:sz="4" w:space="0" w:color="auto"/>
            </w:tcBorders>
            <w:shd w:val="clear" w:color="auto" w:fill="auto"/>
            <w:vAlign w:val="center"/>
          </w:tcPr>
          <w:p w:rsidR="00626269" w:rsidRPr="00672A5B" w:rsidRDefault="00626269" w:rsidP="00D22E84">
            <w:pPr>
              <w:ind w:left="0"/>
              <w:jc w:val="both"/>
              <w:rPr>
                <w:rFonts w:ascii="Bookman Old Style" w:hAnsi="Bookman Old Style" w:cs="Arial"/>
                <w:color w:val="000000"/>
                <w:lang w:val="es-CO" w:eastAsia="es-CO"/>
              </w:rPr>
            </w:pPr>
            <w:r w:rsidRPr="00672A5B">
              <w:rPr>
                <w:rFonts w:ascii="Bookman Old Style" w:hAnsi="Bookman Old Style" w:cs="Arial"/>
                <w:color w:val="000000"/>
                <w:lang w:val="es-CO" w:eastAsia="es-CO"/>
              </w:rPr>
              <w:t>Precalificación</w:t>
            </w:r>
          </w:p>
        </w:tc>
        <w:tc>
          <w:tcPr>
            <w:tcW w:w="3827" w:type="dxa"/>
            <w:tcBorders>
              <w:left w:val="single" w:sz="4" w:space="0" w:color="auto"/>
            </w:tcBorders>
            <w:shd w:val="clear" w:color="auto" w:fill="auto"/>
            <w:vAlign w:val="center"/>
          </w:tcPr>
          <w:p w:rsidR="00626269" w:rsidRPr="00672A5B" w:rsidRDefault="00626269" w:rsidP="00D22E84">
            <w:pPr>
              <w:ind w:left="0"/>
              <w:rPr>
                <w:rFonts w:ascii="Bookman Old Style" w:hAnsi="Bookman Old Style" w:cs="Arial"/>
                <w:color w:val="000000"/>
                <w:lang w:val="es-CO" w:eastAsia="es-CO"/>
              </w:rPr>
            </w:pPr>
          </w:p>
        </w:tc>
      </w:tr>
      <w:tr w:rsidR="00626269" w:rsidRPr="00672A5B" w:rsidTr="00672A5B">
        <w:trPr>
          <w:trHeight w:val="630"/>
        </w:trPr>
        <w:tc>
          <w:tcPr>
            <w:tcW w:w="378" w:type="dxa"/>
            <w:shd w:val="clear" w:color="auto" w:fill="auto"/>
            <w:vAlign w:val="center"/>
            <w:hideMark/>
          </w:tcPr>
          <w:p w:rsidR="00626269" w:rsidRPr="00672A5B" w:rsidRDefault="00626269" w:rsidP="00D22E84">
            <w:pPr>
              <w:ind w:left="0"/>
              <w:jc w:val="right"/>
              <w:rPr>
                <w:rFonts w:ascii="Bookman Old Style" w:hAnsi="Bookman Old Style" w:cs="Arial"/>
                <w:bCs/>
                <w:i/>
                <w:lang w:val="es-CO" w:eastAsia="es-CO"/>
              </w:rPr>
            </w:pPr>
          </w:p>
        </w:tc>
        <w:tc>
          <w:tcPr>
            <w:tcW w:w="4725" w:type="dxa"/>
            <w:tcBorders>
              <w:right w:val="single" w:sz="4" w:space="0" w:color="auto"/>
            </w:tcBorders>
            <w:shd w:val="clear" w:color="auto" w:fill="auto"/>
            <w:vAlign w:val="center"/>
            <w:hideMark/>
          </w:tcPr>
          <w:p w:rsidR="00626269" w:rsidRPr="00672A5B" w:rsidRDefault="00626269" w:rsidP="00D22E84">
            <w:pPr>
              <w:ind w:left="0"/>
              <w:jc w:val="both"/>
              <w:rPr>
                <w:rFonts w:ascii="Bookman Old Style" w:hAnsi="Bookman Old Style" w:cs="Arial"/>
                <w:color w:val="000000"/>
                <w:lang w:val="es-CO" w:eastAsia="es-CO"/>
              </w:rPr>
            </w:pPr>
            <w:r w:rsidRPr="00672A5B">
              <w:rPr>
                <w:rFonts w:ascii="Bookman Old Style" w:hAnsi="Bookman Old Style" w:cs="Arial"/>
                <w:color w:val="000000"/>
                <w:lang w:val="es-CO" w:eastAsia="es-CO"/>
              </w:rPr>
              <w:t>3.1. Presentación de información de los interesados para la precalificación</w:t>
            </w:r>
          </w:p>
        </w:tc>
        <w:tc>
          <w:tcPr>
            <w:tcW w:w="3827" w:type="dxa"/>
            <w:tcBorders>
              <w:left w:val="single" w:sz="4" w:space="0" w:color="auto"/>
            </w:tcBorders>
            <w:shd w:val="clear" w:color="auto" w:fill="auto"/>
            <w:vAlign w:val="center"/>
            <w:hideMark/>
          </w:tcPr>
          <w:p w:rsidR="00626269" w:rsidRPr="00672A5B" w:rsidRDefault="00626269" w:rsidP="00D22E84">
            <w:pPr>
              <w:ind w:left="0"/>
              <w:rPr>
                <w:rFonts w:ascii="Bookman Old Style" w:hAnsi="Bookman Old Style" w:cs="Arial"/>
                <w:color w:val="000000"/>
                <w:lang w:val="es-CO" w:eastAsia="es-CO"/>
              </w:rPr>
            </w:pPr>
            <w:r w:rsidRPr="00672A5B">
              <w:rPr>
                <w:rFonts w:ascii="Bookman Old Style" w:hAnsi="Bookman Old Style" w:cs="Arial"/>
                <w:color w:val="000000"/>
                <w:lang w:val="es-CO" w:eastAsia="es-CO"/>
              </w:rPr>
              <w:t>5 semanas a partir de la finalización de la actividad 2.2</w:t>
            </w:r>
          </w:p>
        </w:tc>
      </w:tr>
      <w:tr w:rsidR="00626269" w:rsidRPr="00672A5B" w:rsidTr="00672A5B">
        <w:trPr>
          <w:trHeight w:val="630"/>
        </w:trPr>
        <w:tc>
          <w:tcPr>
            <w:tcW w:w="378" w:type="dxa"/>
            <w:shd w:val="clear" w:color="auto" w:fill="auto"/>
            <w:vAlign w:val="center"/>
            <w:hideMark/>
          </w:tcPr>
          <w:p w:rsidR="00626269" w:rsidRPr="00672A5B" w:rsidRDefault="00626269" w:rsidP="00D22E84">
            <w:pPr>
              <w:ind w:left="0"/>
              <w:jc w:val="right"/>
              <w:rPr>
                <w:rFonts w:ascii="Bookman Old Style" w:hAnsi="Bookman Old Style" w:cs="Arial"/>
                <w:bCs/>
                <w:i/>
                <w:lang w:val="es-CO" w:eastAsia="es-CO"/>
              </w:rPr>
            </w:pPr>
          </w:p>
        </w:tc>
        <w:tc>
          <w:tcPr>
            <w:tcW w:w="4725" w:type="dxa"/>
            <w:tcBorders>
              <w:right w:val="single" w:sz="4" w:space="0" w:color="auto"/>
            </w:tcBorders>
            <w:shd w:val="clear" w:color="auto" w:fill="auto"/>
            <w:vAlign w:val="center"/>
            <w:hideMark/>
          </w:tcPr>
          <w:p w:rsidR="00626269" w:rsidRPr="00672A5B" w:rsidRDefault="00626269" w:rsidP="00D22E84">
            <w:pPr>
              <w:ind w:left="0"/>
              <w:jc w:val="both"/>
              <w:rPr>
                <w:rFonts w:ascii="Bookman Old Style" w:hAnsi="Bookman Old Style" w:cs="Arial"/>
                <w:color w:val="000000"/>
                <w:lang w:val="es-CO" w:eastAsia="es-CO"/>
              </w:rPr>
            </w:pPr>
            <w:r w:rsidRPr="00672A5B">
              <w:rPr>
                <w:rFonts w:ascii="Bookman Old Style" w:hAnsi="Bookman Old Style" w:cs="Arial"/>
                <w:color w:val="000000"/>
                <w:lang w:val="es-CO" w:eastAsia="es-CO"/>
              </w:rPr>
              <w:t>3.2. Precalificación por parte de la CREG</w:t>
            </w:r>
          </w:p>
        </w:tc>
        <w:tc>
          <w:tcPr>
            <w:tcW w:w="3827" w:type="dxa"/>
            <w:tcBorders>
              <w:left w:val="single" w:sz="4" w:space="0" w:color="auto"/>
            </w:tcBorders>
            <w:shd w:val="clear" w:color="auto" w:fill="auto"/>
            <w:vAlign w:val="center"/>
            <w:hideMark/>
          </w:tcPr>
          <w:p w:rsidR="00626269" w:rsidRPr="00672A5B" w:rsidRDefault="00626269" w:rsidP="00D22E84">
            <w:pPr>
              <w:ind w:left="0"/>
              <w:rPr>
                <w:rFonts w:ascii="Bookman Old Style" w:hAnsi="Bookman Old Style" w:cs="Arial"/>
                <w:color w:val="000000"/>
                <w:lang w:val="es-CO" w:eastAsia="es-CO"/>
              </w:rPr>
            </w:pPr>
            <w:r w:rsidRPr="00672A5B">
              <w:rPr>
                <w:rFonts w:ascii="Bookman Old Style" w:hAnsi="Bookman Old Style" w:cs="Arial"/>
                <w:color w:val="000000"/>
                <w:lang w:val="es-CO" w:eastAsia="es-CO"/>
              </w:rPr>
              <w:t>2 semanas a partir de la finalización de la actividad 3.1</w:t>
            </w:r>
          </w:p>
        </w:tc>
      </w:tr>
      <w:tr w:rsidR="00626269" w:rsidRPr="00672A5B" w:rsidTr="00672A5B">
        <w:trPr>
          <w:trHeight w:val="630"/>
        </w:trPr>
        <w:tc>
          <w:tcPr>
            <w:tcW w:w="378" w:type="dxa"/>
            <w:shd w:val="clear" w:color="auto" w:fill="auto"/>
            <w:vAlign w:val="center"/>
          </w:tcPr>
          <w:p w:rsidR="00626269" w:rsidRPr="00672A5B" w:rsidRDefault="00626269" w:rsidP="00D22E84">
            <w:pPr>
              <w:ind w:left="0"/>
              <w:jc w:val="right"/>
              <w:rPr>
                <w:rFonts w:ascii="Bookman Old Style" w:hAnsi="Bookman Old Style" w:cs="Arial"/>
                <w:bCs/>
                <w:lang w:val="es-CO" w:eastAsia="es-CO"/>
              </w:rPr>
            </w:pPr>
            <w:r w:rsidRPr="00672A5B">
              <w:rPr>
                <w:rFonts w:ascii="Bookman Old Style" w:hAnsi="Bookman Old Style" w:cs="Arial"/>
                <w:bCs/>
                <w:lang w:val="es-CO" w:eastAsia="es-CO"/>
              </w:rPr>
              <w:t>4.</w:t>
            </w:r>
          </w:p>
        </w:tc>
        <w:tc>
          <w:tcPr>
            <w:tcW w:w="4725" w:type="dxa"/>
            <w:tcBorders>
              <w:right w:val="single" w:sz="4" w:space="0" w:color="auto"/>
            </w:tcBorders>
            <w:shd w:val="clear" w:color="auto" w:fill="auto"/>
            <w:vAlign w:val="center"/>
          </w:tcPr>
          <w:p w:rsidR="00626269" w:rsidRPr="00672A5B" w:rsidRDefault="00626269" w:rsidP="00D22E84">
            <w:pPr>
              <w:ind w:left="0"/>
              <w:jc w:val="both"/>
              <w:rPr>
                <w:rFonts w:ascii="Bookman Old Style" w:hAnsi="Bookman Old Style" w:cs="Arial"/>
                <w:color w:val="000000"/>
                <w:lang w:val="es-CO" w:eastAsia="es-CO"/>
              </w:rPr>
            </w:pPr>
            <w:r w:rsidRPr="00672A5B">
              <w:rPr>
                <w:rFonts w:ascii="Bookman Old Style" w:hAnsi="Bookman Old Style" w:cs="Arial"/>
                <w:color w:val="000000"/>
                <w:lang w:val="es-CO" w:eastAsia="es-CO"/>
              </w:rPr>
              <w:t>Selección</w:t>
            </w:r>
          </w:p>
        </w:tc>
        <w:tc>
          <w:tcPr>
            <w:tcW w:w="3827" w:type="dxa"/>
            <w:tcBorders>
              <w:left w:val="single" w:sz="4" w:space="0" w:color="auto"/>
            </w:tcBorders>
            <w:shd w:val="clear" w:color="auto" w:fill="auto"/>
            <w:vAlign w:val="center"/>
          </w:tcPr>
          <w:p w:rsidR="00626269" w:rsidRPr="00672A5B" w:rsidRDefault="00626269" w:rsidP="00D22E84">
            <w:pPr>
              <w:ind w:left="0"/>
              <w:rPr>
                <w:rFonts w:ascii="Bookman Old Style" w:hAnsi="Bookman Old Style" w:cs="Arial"/>
                <w:color w:val="000000"/>
                <w:lang w:val="es-CO" w:eastAsia="es-CO"/>
              </w:rPr>
            </w:pPr>
          </w:p>
        </w:tc>
      </w:tr>
      <w:tr w:rsidR="00626269" w:rsidRPr="00672A5B" w:rsidTr="00672A5B">
        <w:trPr>
          <w:trHeight w:val="630"/>
        </w:trPr>
        <w:tc>
          <w:tcPr>
            <w:tcW w:w="378" w:type="dxa"/>
            <w:shd w:val="clear" w:color="auto" w:fill="auto"/>
            <w:vAlign w:val="center"/>
          </w:tcPr>
          <w:p w:rsidR="00626269" w:rsidRPr="00672A5B" w:rsidRDefault="00626269" w:rsidP="00D22E84">
            <w:pPr>
              <w:ind w:left="0"/>
              <w:jc w:val="right"/>
              <w:rPr>
                <w:rFonts w:ascii="Bookman Old Style" w:hAnsi="Bookman Old Style" w:cs="Arial"/>
                <w:bCs/>
                <w:i/>
                <w:lang w:val="es-CO" w:eastAsia="es-CO"/>
              </w:rPr>
            </w:pPr>
          </w:p>
        </w:tc>
        <w:tc>
          <w:tcPr>
            <w:tcW w:w="4725" w:type="dxa"/>
            <w:tcBorders>
              <w:right w:val="single" w:sz="4" w:space="0" w:color="auto"/>
            </w:tcBorders>
            <w:shd w:val="clear" w:color="auto" w:fill="auto"/>
            <w:vAlign w:val="center"/>
          </w:tcPr>
          <w:p w:rsidR="00626269" w:rsidRPr="00672A5B" w:rsidRDefault="00626269" w:rsidP="00D22E84">
            <w:pPr>
              <w:ind w:left="0"/>
              <w:jc w:val="both"/>
              <w:rPr>
                <w:rFonts w:ascii="Bookman Old Style" w:hAnsi="Bookman Old Style" w:cs="Arial"/>
                <w:color w:val="000000"/>
                <w:lang w:val="es-CO" w:eastAsia="es-CO"/>
              </w:rPr>
            </w:pPr>
            <w:r w:rsidRPr="00672A5B">
              <w:rPr>
                <w:rFonts w:ascii="Bookman Old Style" w:hAnsi="Bookman Old Style" w:cs="Arial"/>
                <w:color w:val="000000"/>
                <w:lang w:val="es-CO" w:eastAsia="es-CO"/>
              </w:rPr>
              <w:t>4.1. Levantamiento de información por parte de los interesados precalificados</w:t>
            </w:r>
          </w:p>
        </w:tc>
        <w:tc>
          <w:tcPr>
            <w:tcW w:w="3827" w:type="dxa"/>
            <w:tcBorders>
              <w:left w:val="single" w:sz="4" w:space="0" w:color="auto"/>
            </w:tcBorders>
            <w:shd w:val="clear" w:color="auto" w:fill="auto"/>
            <w:vAlign w:val="center"/>
          </w:tcPr>
          <w:p w:rsidR="00626269" w:rsidRPr="00672A5B" w:rsidRDefault="00626269" w:rsidP="00D22E84">
            <w:pPr>
              <w:ind w:left="0"/>
              <w:rPr>
                <w:rFonts w:ascii="Bookman Old Style" w:hAnsi="Bookman Old Style" w:cs="Arial"/>
                <w:color w:val="000000"/>
                <w:lang w:val="es-CO" w:eastAsia="es-CO"/>
              </w:rPr>
            </w:pPr>
            <w:r w:rsidRPr="00672A5B">
              <w:rPr>
                <w:rFonts w:ascii="Bookman Old Style" w:hAnsi="Bookman Old Style" w:cs="Arial"/>
                <w:color w:val="000000"/>
                <w:lang w:val="es-CO" w:eastAsia="es-CO"/>
              </w:rPr>
              <w:t>4 semanas a partir de la finalización de la actividad 3.2</w:t>
            </w:r>
          </w:p>
        </w:tc>
      </w:tr>
      <w:tr w:rsidR="00626269" w:rsidRPr="00672A5B" w:rsidTr="00672A5B">
        <w:trPr>
          <w:trHeight w:val="630"/>
        </w:trPr>
        <w:tc>
          <w:tcPr>
            <w:tcW w:w="378" w:type="dxa"/>
            <w:shd w:val="clear" w:color="auto" w:fill="auto"/>
            <w:vAlign w:val="center"/>
            <w:hideMark/>
          </w:tcPr>
          <w:p w:rsidR="00626269" w:rsidRPr="00672A5B" w:rsidRDefault="00626269" w:rsidP="00D22E84">
            <w:pPr>
              <w:ind w:left="0"/>
              <w:jc w:val="right"/>
              <w:rPr>
                <w:rFonts w:ascii="Bookman Old Style" w:hAnsi="Bookman Old Style" w:cs="Arial"/>
                <w:bCs/>
                <w:i/>
                <w:lang w:val="es-CO" w:eastAsia="es-CO"/>
              </w:rPr>
            </w:pPr>
          </w:p>
        </w:tc>
        <w:tc>
          <w:tcPr>
            <w:tcW w:w="4725" w:type="dxa"/>
            <w:tcBorders>
              <w:right w:val="single" w:sz="4" w:space="0" w:color="auto"/>
            </w:tcBorders>
            <w:shd w:val="clear" w:color="auto" w:fill="auto"/>
            <w:vAlign w:val="center"/>
            <w:hideMark/>
          </w:tcPr>
          <w:p w:rsidR="00626269" w:rsidRPr="00672A5B" w:rsidRDefault="00626269" w:rsidP="00D22E84">
            <w:pPr>
              <w:ind w:left="0"/>
              <w:jc w:val="both"/>
              <w:rPr>
                <w:rFonts w:ascii="Bookman Old Style" w:hAnsi="Bookman Old Style" w:cs="Arial"/>
                <w:color w:val="000000"/>
                <w:lang w:val="es-CO" w:eastAsia="es-CO"/>
              </w:rPr>
            </w:pPr>
            <w:r w:rsidRPr="00672A5B">
              <w:rPr>
                <w:rFonts w:ascii="Bookman Old Style" w:hAnsi="Bookman Old Style" w:cs="Arial"/>
                <w:color w:val="000000"/>
                <w:lang w:val="es-CO" w:eastAsia="es-CO"/>
              </w:rPr>
              <w:t>4.2. Presentación de ofertas por parte de los interesados precalificados</w:t>
            </w:r>
          </w:p>
        </w:tc>
        <w:tc>
          <w:tcPr>
            <w:tcW w:w="3827" w:type="dxa"/>
            <w:tcBorders>
              <w:left w:val="single" w:sz="4" w:space="0" w:color="auto"/>
            </w:tcBorders>
            <w:shd w:val="clear" w:color="auto" w:fill="auto"/>
            <w:vAlign w:val="center"/>
            <w:hideMark/>
          </w:tcPr>
          <w:p w:rsidR="00626269" w:rsidRPr="00672A5B" w:rsidRDefault="00626269" w:rsidP="00D22E84">
            <w:pPr>
              <w:ind w:left="0"/>
              <w:rPr>
                <w:rFonts w:ascii="Bookman Old Style" w:hAnsi="Bookman Old Style" w:cs="Arial"/>
                <w:color w:val="000000"/>
                <w:lang w:val="es-CO" w:eastAsia="es-CO"/>
              </w:rPr>
            </w:pPr>
            <w:r w:rsidRPr="00672A5B">
              <w:rPr>
                <w:rFonts w:ascii="Bookman Old Style" w:hAnsi="Bookman Old Style" w:cs="Arial"/>
                <w:color w:val="000000"/>
                <w:lang w:val="es-CO" w:eastAsia="es-CO"/>
              </w:rPr>
              <w:t>2 semanas a partir de la finalización de la actividad 4.1</w:t>
            </w:r>
          </w:p>
        </w:tc>
      </w:tr>
      <w:tr w:rsidR="00626269" w:rsidRPr="00672A5B" w:rsidTr="00672A5B">
        <w:trPr>
          <w:trHeight w:val="630"/>
        </w:trPr>
        <w:tc>
          <w:tcPr>
            <w:tcW w:w="378" w:type="dxa"/>
            <w:shd w:val="clear" w:color="auto" w:fill="auto"/>
            <w:vAlign w:val="center"/>
            <w:hideMark/>
          </w:tcPr>
          <w:p w:rsidR="00626269" w:rsidRPr="00672A5B" w:rsidRDefault="00626269" w:rsidP="00D22E84">
            <w:pPr>
              <w:ind w:left="0"/>
              <w:jc w:val="right"/>
              <w:rPr>
                <w:rFonts w:ascii="Bookman Old Style" w:hAnsi="Bookman Old Style" w:cs="Arial"/>
                <w:bCs/>
                <w:i/>
                <w:lang w:val="es-CO" w:eastAsia="es-CO"/>
              </w:rPr>
            </w:pPr>
          </w:p>
        </w:tc>
        <w:tc>
          <w:tcPr>
            <w:tcW w:w="4725" w:type="dxa"/>
            <w:tcBorders>
              <w:right w:val="single" w:sz="4" w:space="0" w:color="auto"/>
            </w:tcBorders>
            <w:shd w:val="clear" w:color="auto" w:fill="auto"/>
            <w:vAlign w:val="center"/>
            <w:hideMark/>
          </w:tcPr>
          <w:p w:rsidR="00626269" w:rsidRPr="00672A5B" w:rsidRDefault="00626269" w:rsidP="00D22E84">
            <w:pPr>
              <w:ind w:left="0"/>
              <w:jc w:val="both"/>
              <w:rPr>
                <w:rFonts w:ascii="Bookman Old Style" w:hAnsi="Bookman Old Style" w:cs="Arial"/>
                <w:color w:val="000000"/>
                <w:lang w:val="es-CO" w:eastAsia="es-CO"/>
              </w:rPr>
            </w:pPr>
            <w:r w:rsidRPr="00672A5B">
              <w:rPr>
                <w:rFonts w:ascii="Bookman Old Style" w:hAnsi="Bookman Old Style" w:cs="Arial"/>
                <w:color w:val="000000"/>
                <w:lang w:val="es-CO" w:eastAsia="es-CO"/>
              </w:rPr>
              <w:t>4.3. Demostración por parte de los interesados precalificados</w:t>
            </w:r>
          </w:p>
        </w:tc>
        <w:tc>
          <w:tcPr>
            <w:tcW w:w="3827" w:type="dxa"/>
            <w:tcBorders>
              <w:left w:val="single" w:sz="4" w:space="0" w:color="auto"/>
            </w:tcBorders>
            <w:shd w:val="clear" w:color="auto" w:fill="auto"/>
            <w:vAlign w:val="center"/>
            <w:hideMark/>
          </w:tcPr>
          <w:p w:rsidR="00626269" w:rsidRPr="00672A5B" w:rsidRDefault="00BA4910" w:rsidP="00D22E84">
            <w:pPr>
              <w:ind w:left="0"/>
              <w:rPr>
                <w:rFonts w:ascii="Bookman Old Style" w:hAnsi="Bookman Old Style" w:cs="Arial"/>
                <w:color w:val="000000"/>
                <w:lang w:val="es-CO" w:eastAsia="es-CO"/>
              </w:rPr>
            </w:pPr>
            <w:r w:rsidRPr="00672A5B">
              <w:rPr>
                <w:rFonts w:ascii="Bookman Old Style" w:hAnsi="Bookman Old Style" w:cs="Arial"/>
                <w:color w:val="000000"/>
                <w:lang w:val="es-CO" w:eastAsia="es-CO"/>
              </w:rPr>
              <w:t xml:space="preserve">Hasta </w:t>
            </w:r>
            <w:r w:rsidR="00626269" w:rsidRPr="00672A5B">
              <w:rPr>
                <w:rFonts w:ascii="Bookman Old Style" w:hAnsi="Bookman Old Style" w:cs="Arial"/>
                <w:color w:val="000000"/>
                <w:lang w:val="es-CO" w:eastAsia="es-CO"/>
              </w:rPr>
              <w:t>2 semanas a partir de la finalización de la actividad 4.2</w:t>
            </w:r>
          </w:p>
        </w:tc>
      </w:tr>
      <w:tr w:rsidR="00626269" w:rsidRPr="00672A5B" w:rsidTr="00672A5B">
        <w:trPr>
          <w:trHeight w:val="630"/>
        </w:trPr>
        <w:tc>
          <w:tcPr>
            <w:tcW w:w="378" w:type="dxa"/>
            <w:shd w:val="clear" w:color="auto" w:fill="auto"/>
            <w:vAlign w:val="center"/>
          </w:tcPr>
          <w:p w:rsidR="00626269" w:rsidRPr="00672A5B" w:rsidRDefault="00626269" w:rsidP="00D22E84">
            <w:pPr>
              <w:ind w:left="0"/>
              <w:jc w:val="right"/>
              <w:rPr>
                <w:rFonts w:ascii="Bookman Old Style" w:hAnsi="Bookman Old Style" w:cs="Arial"/>
                <w:bCs/>
                <w:i/>
                <w:lang w:eastAsia="es-CO"/>
              </w:rPr>
            </w:pPr>
          </w:p>
        </w:tc>
        <w:tc>
          <w:tcPr>
            <w:tcW w:w="4725" w:type="dxa"/>
            <w:tcBorders>
              <w:right w:val="single" w:sz="4" w:space="0" w:color="auto"/>
            </w:tcBorders>
            <w:shd w:val="clear" w:color="auto" w:fill="auto"/>
            <w:vAlign w:val="center"/>
          </w:tcPr>
          <w:p w:rsidR="00626269" w:rsidRPr="00672A5B" w:rsidRDefault="00626269" w:rsidP="00D22E84">
            <w:pPr>
              <w:ind w:left="0"/>
              <w:jc w:val="both"/>
              <w:rPr>
                <w:rFonts w:ascii="Bookman Old Style" w:hAnsi="Bookman Old Style" w:cs="Arial"/>
                <w:color w:val="000000"/>
                <w:lang w:val="es-CO" w:eastAsia="es-CO"/>
              </w:rPr>
            </w:pPr>
            <w:r w:rsidRPr="00672A5B">
              <w:rPr>
                <w:rFonts w:ascii="Bookman Old Style" w:hAnsi="Bookman Old Style" w:cs="Arial"/>
                <w:color w:val="000000"/>
                <w:lang w:val="es-CO" w:eastAsia="es-CO"/>
              </w:rPr>
              <w:t>4.4. Definición de precalificados elegibles por parte de la CREG</w:t>
            </w:r>
          </w:p>
        </w:tc>
        <w:tc>
          <w:tcPr>
            <w:tcW w:w="3827" w:type="dxa"/>
            <w:tcBorders>
              <w:left w:val="single" w:sz="4" w:space="0" w:color="auto"/>
            </w:tcBorders>
            <w:shd w:val="clear" w:color="auto" w:fill="auto"/>
            <w:vAlign w:val="center"/>
          </w:tcPr>
          <w:p w:rsidR="00626269" w:rsidRPr="00672A5B" w:rsidRDefault="00BA4910" w:rsidP="00672A5B">
            <w:pPr>
              <w:ind w:left="0"/>
              <w:rPr>
                <w:rFonts w:ascii="Bookman Old Style" w:hAnsi="Bookman Old Style" w:cs="Arial"/>
                <w:color w:val="000000"/>
                <w:lang w:val="es-CO" w:eastAsia="es-CO"/>
              </w:rPr>
            </w:pPr>
            <w:r w:rsidRPr="00672A5B">
              <w:rPr>
                <w:rFonts w:ascii="Bookman Old Style" w:hAnsi="Bookman Old Style" w:cs="Arial"/>
                <w:color w:val="000000"/>
                <w:lang w:val="es-CO" w:eastAsia="es-CO"/>
              </w:rPr>
              <w:t xml:space="preserve">Hasta 2 </w:t>
            </w:r>
            <w:r w:rsidR="00626269" w:rsidRPr="00672A5B">
              <w:rPr>
                <w:rFonts w:ascii="Bookman Old Style" w:hAnsi="Bookman Old Style" w:cs="Arial"/>
                <w:color w:val="000000"/>
                <w:lang w:val="es-CO" w:eastAsia="es-CO"/>
              </w:rPr>
              <w:t>semana a partir de la finalización de la actividad 4.</w:t>
            </w:r>
            <w:r w:rsidR="00672A5B">
              <w:rPr>
                <w:rFonts w:ascii="Bookman Old Style" w:hAnsi="Bookman Old Style" w:cs="Arial"/>
                <w:color w:val="000000"/>
                <w:lang w:val="es-CO" w:eastAsia="es-CO"/>
              </w:rPr>
              <w:t>2</w:t>
            </w:r>
          </w:p>
        </w:tc>
      </w:tr>
      <w:tr w:rsidR="00626269" w:rsidRPr="00672A5B" w:rsidTr="00672A5B">
        <w:trPr>
          <w:trHeight w:val="630"/>
        </w:trPr>
        <w:tc>
          <w:tcPr>
            <w:tcW w:w="378" w:type="dxa"/>
            <w:shd w:val="clear" w:color="auto" w:fill="auto"/>
            <w:vAlign w:val="center"/>
            <w:hideMark/>
          </w:tcPr>
          <w:p w:rsidR="00626269" w:rsidRPr="00672A5B" w:rsidRDefault="00626269" w:rsidP="00D22E84">
            <w:pPr>
              <w:ind w:left="0"/>
              <w:jc w:val="right"/>
              <w:rPr>
                <w:rFonts w:ascii="Bookman Old Style" w:hAnsi="Bookman Old Style" w:cs="Arial"/>
                <w:bCs/>
                <w:i/>
                <w:lang w:eastAsia="es-CO"/>
              </w:rPr>
            </w:pPr>
          </w:p>
        </w:tc>
        <w:tc>
          <w:tcPr>
            <w:tcW w:w="4725" w:type="dxa"/>
            <w:tcBorders>
              <w:right w:val="single" w:sz="4" w:space="0" w:color="auto"/>
            </w:tcBorders>
            <w:shd w:val="clear" w:color="auto" w:fill="auto"/>
            <w:vAlign w:val="center"/>
            <w:hideMark/>
          </w:tcPr>
          <w:p w:rsidR="00626269" w:rsidRPr="00672A5B" w:rsidRDefault="00626269" w:rsidP="00BA4910">
            <w:pPr>
              <w:ind w:left="0"/>
              <w:jc w:val="both"/>
              <w:rPr>
                <w:rFonts w:ascii="Bookman Old Style" w:hAnsi="Bookman Old Style" w:cs="Arial"/>
                <w:color w:val="000000"/>
                <w:lang w:val="es-CO" w:eastAsia="es-CO"/>
              </w:rPr>
            </w:pPr>
            <w:r w:rsidRPr="00672A5B">
              <w:rPr>
                <w:rFonts w:ascii="Bookman Old Style" w:hAnsi="Bookman Old Style" w:cs="Arial"/>
                <w:color w:val="000000"/>
                <w:lang w:val="es-CO" w:eastAsia="es-CO"/>
              </w:rPr>
              <w:t xml:space="preserve">4.5. Evaluación de propuestas </w:t>
            </w:r>
          </w:p>
          <w:p w:rsidR="00BA4910" w:rsidRPr="00672A5B" w:rsidRDefault="00BA4910" w:rsidP="00BA4910">
            <w:pPr>
              <w:ind w:left="0"/>
              <w:jc w:val="both"/>
              <w:rPr>
                <w:rFonts w:ascii="Bookman Old Style" w:hAnsi="Bookman Old Style" w:cs="Arial"/>
                <w:color w:val="000000"/>
                <w:lang w:val="es-CO" w:eastAsia="es-CO"/>
              </w:rPr>
            </w:pPr>
            <w:r w:rsidRPr="00672A5B">
              <w:rPr>
                <w:rFonts w:ascii="Bookman Old Style" w:hAnsi="Bookman Old Style" w:cs="Arial"/>
                <w:color w:val="000000"/>
                <w:lang w:val="es-CO" w:eastAsia="es-CO"/>
              </w:rPr>
              <w:t>(determinación orden de elegibilidad)</w:t>
            </w:r>
          </w:p>
        </w:tc>
        <w:tc>
          <w:tcPr>
            <w:tcW w:w="3827" w:type="dxa"/>
            <w:tcBorders>
              <w:left w:val="single" w:sz="4" w:space="0" w:color="auto"/>
            </w:tcBorders>
            <w:shd w:val="clear" w:color="auto" w:fill="auto"/>
            <w:vAlign w:val="center"/>
            <w:hideMark/>
          </w:tcPr>
          <w:p w:rsidR="00626269" w:rsidRPr="00672A5B" w:rsidRDefault="00626269" w:rsidP="00A12DCE">
            <w:pPr>
              <w:ind w:left="0"/>
              <w:rPr>
                <w:rFonts w:ascii="Bookman Old Style" w:hAnsi="Bookman Old Style" w:cs="Arial"/>
                <w:color w:val="000000"/>
                <w:lang w:val="es-CO" w:eastAsia="es-CO"/>
              </w:rPr>
            </w:pPr>
            <w:r w:rsidRPr="00672A5B">
              <w:rPr>
                <w:rFonts w:ascii="Bookman Old Style" w:hAnsi="Bookman Old Style" w:cs="Arial"/>
                <w:color w:val="000000"/>
                <w:lang w:val="es-CO" w:eastAsia="es-CO"/>
              </w:rPr>
              <w:t xml:space="preserve">Hasta </w:t>
            </w:r>
            <w:r w:rsidR="00A12DCE">
              <w:rPr>
                <w:rFonts w:ascii="Bookman Old Style" w:hAnsi="Bookman Old Style" w:cs="Arial"/>
                <w:color w:val="000000"/>
                <w:lang w:val="es-CO" w:eastAsia="es-CO"/>
              </w:rPr>
              <w:t>1</w:t>
            </w:r>
            <w:r w:rsidRPr="00672A5B">
              <w:rPr>
                <w:rFonts w:ascii="Bookman Old Style" w:hAnsi="Bookman Old Style" w:cs="Arial"/>
                <w:color w:val="000000"/>
                <w:lang w:val="es-CO" w:eastAsia="es-CO"/>
              </w:rPr>
              <w:t xml:space="preserve"> semana a partir de la finalización de la actividad 4.</w:t>
            </w:r>
            <w:r w:rsidR="00A4015C">
              <w:rPr>
                <w:rFonts w:ascii="Bookman Old Style" w:hAnsi="Bookman Old Style" w:cs="Arial"/>
                <w:color w:val="000000"/>
                <w:lang w:val="es-CO" w:eastAsia="es-CO"/>
              </w:rPr>
              <w:t>4</w:t>
            </w:r>
          </w:p>
        </w:tc>
      </w:tr>
      <w:tr w:rsidR="00BA4910" w:rsidRPr="00672A5B" w:rsidTr="00672A5B">
        <w:trPr>
          <w:trHeight w:val="630"/>
        </w:trPr>
        <w:tc>
          <w:tcPr>
            <w:tcW w:w="378" w:type="dxa"/>
            <w:shd w:val="clear" w:color="auto" w:fill="auto"/>
            <w:vAlign w:val="center"/>
          </w:tcPr>
          <w:p w:rsidR="00BA4910" w:rsidRPr="00672A5B" w:rsidRDefault="00BA4910" w:rsidP="00D22E84">
            <w:pPr>
              <w:ind w:left="0"/>
              <w:jc w:val="right"/>
              <w:rPr>
                <w:rFonts w:ascii="Bookman Old Style" w:hAnsi="Bookman Old Style" w:cs="Arial"/>
                <w:bCs/>
                <w:i/>
                <w:lang w:eastAsia="es-CO"/>
              </w:rPr>
            </w:pPr>
          </w:p>
        </w:tc>
        <w:tc>
          <w:tcPr>
            <w:tcW w:w="4725" w:type="dxa"/>
            <w:tcBorders>
              <w:right w:val="single" w:sz="4" w:space="0" w:color="auto"/>
            </w:tcBorders>
            <w:shd w:val="clear" w:color="auto" w:fill="auto"/>
            <w:vAlign w:val="center"/>
          </w:tcPr>
          <w:p w:rsidR="00BA4910" w:rsidRPr="00672A5B" w:rsidRDefault="00BA4910" w:rsidP="00C805F5">
            <w:pPr>
              <w:ind w:left="0"/>
              <w:jc w:val="both"/>
              <w:rPr>
                <w:rFonts w:ascii="Bookman Old Style" w:hAnsi="Bookman Old Style" w:cs="Arial"/>
                <w:color w:val="000000"/>
                <w:lang w:val="es-CO" w:eastAsia="es-CO"/>
              </w:rPr>
            </w:pPr>
            <w:r w:rsidRPr="00672A5B">
              <w:rPr>
                <w:rFonts w:ascii="Bookman Old Style" w:hAnsi="Bookman Old Style" w:cs="Arial"/>
                <w:color w:val="000000"/>
                <w:lang w:val="es-CO" w:eastAsia="es-CO"/>
              </w:rPr>
              <w:t>4.6. Selección del gestor del mercado</w:t>
            </w:r>
          </w:p>
        </w:tc>
        <w:tc>
          <w:tcPr>
            <w:tcW w:w="3827" w:type="dxa"/>
            <w:tcBorders>
              <w:left w:val="single" w:sz="4" w:space="0" w:color="auto"/>
            </w:tcBorders>
            <w:shd w:val="clear" w:color="auto" w:fill="auto"/>
            <w:vAlign w:val="center"/>
          </w:tcPr>
          <w:p w:rsidR="00BA4910" w:rsidRPr="00672A5B" w:rsidRDefault="00BA4910" w:rsidP="00C805F5">
            <w:pPr>
              <w:ind w:left="0"/>
              <w:rPr>
                <w:rFonts w:ascii="Bookman Old Style" w:hAnsi="Bookman Old Style" w:cs="Arial"/>
                <w:color w:val="000000"/>
                <w:lang w:val="es-CO" w:eastAsia="es-CO"/>
              </w:rPr>
            </w:pPr>
            <w:r w:rsidRPr="00672A5B">
              <w:rPr>
                <w:rFonts w:ascii="Bookman Old Style" w:hAnsi="Bookman Old Style" w:cs="Arial"/>
                <w:color w:val="000000"/>
                <w:lang w:val="es-CO" w:eastAsia="es-CO"/>
              </w:rPr>
              <w:t>Hasta 1 semana a partir de la finalización de la actividad 4.5</w:t>
            </w:r>
          </w:p>
        </w:tc>
      </w:tr>
    </w:tbl>
    <w:p w:rsidR="00626269" w:rsidRPr="00672A5B" w:rsidRDefault="00626269" w:rsidP="009D257F">
      <w:pPr>
        <w:ind w:left="426"/>
        <w:rPr>
          <w:rFonts w:ascii="Bookman Old Style" w:hAnsi="Bookman Old Style" w:cs="Arial"/>
          <w:i/>
          <w:color w:val="000000" w:themeColor="text1"/>
          <w:lang w:val="es-CO"/>
        </w:rPr>
      </w:pPr>
    </w:p>
    <w:p w:rsidR="00626269" w:rsidRPr="00704008" w:rsidRDefault="00626269" w:rsidP="0003706E">
      <w:pPr>
        <w:pStyle w:val="ARTICULOS"/>
        <w:numPr>
          <w:ilvl w:val="0"/>
          <w:numId w:val="0"/>
        </w:numPr>
        <w:tabs>
          <w:tab w:val="left" w:pos="1560"/>
        </w:tabs>
        <w:ind w:left="425"/>
        <w:rPr>
          <w:color w:val="000000" w:themeColor="text1"/>
          <w:lang w:val="es-CO"/>
        </w:rPr>
      </w:pPr>
      <w:r w:rsidRPr="00704008">
        <w:rPr>
          <w:rFonts w:cs="Arial"/>
          <w:b/>
          <w:color w:val="000000" w:themeColor="text1"/>
          <w:lang w:val="es-ES"/>
        </w:rPr>
        <w:t>Parágrafo 1.</w:t>
      </w:r>
      <w:r w:rsidRPr="00704008">
        <w:rPr>
          <w:color w:val="000000" w:themeColor="text1"/>
          <w:lang w:val="es-CO"/>
        </w:rPr>
        <w:t xml:space="preserve"> Los interesados podrán participar en este proceso de manera individual o a través de consorcios. Para los efectos de la presente </w:t>
      </w:r>
      <w:r w:rsidR="00E84B16" w:rsidRPr="00704008">
        <w:rPr>
          <w:color w:val="000000" w:themeColor="text1"/>
          <w:lang w:val="es-CO"/>
        </w:rPr>
        <w:t>R</w:t>
      </w:r>
      <w:r w:rsidRPr="00704008">
        <w:rPr>
          <w:color w:val="000000" w:themeColor="text1"/>
          <w:lang w:val="es-CO"/>
        </w:rPr>
        <w:t>esolución</w:t>
      </w:r>
      <w:r w:rsidRPr="00704008" w:rsidDel="003449CF">
        <w:rPr>
          <w:color w:val="000000" w:themeColor="text1"/>
          <w:lang w:val="es-CO"/>
        </w:rPr>
        <w:t xml:space="preserve"> </w:t>
      </w:r>
      <w:r w:rsidRPr="00704008">
        <w:rPr>
          <w:color w:val="000000" w:themeColor="text1"/>
          <w:lang w:val="es-CO"/>
        </w:rPr>
        <w:t>se entenderá que un consorcio es una forma de participación en la cual dos o más personas presentan en forma conjunta una misma propuesta para la participación en el proceso de selección del gestor del mercado, respondiendo solidariamente por todas y cada una de las obligaciones derivadas de la propuesta presentada y de las obligaciones derivadas de la ejecución que ello conlleva en caso de ser seleccionado como gestor del mercado, afectando a todos los miembros que lo conforman.</w:t>
      </w:r>
    </w:p>
    <w:p w:rsidR="00626269" w:rsidRPr="00704008" w:rsidRDefault="00626269" w:rsidP="009D257F">
      <w:pPr>
        <w:ind w:left="426"/>
        <w:jc w:val="both"/>
        <w:rPr>
          <w:rFonts w:ascii="Bookman Old Style" w:hAnsi="Bookman Old Style" w:cs="Arial"/>
          <w:color w:val="000000" w:themeColor="text1"/>
          <w:lang w:val="es-CO"/>
        </w:rPr>
      </w:pPr>
    </w:p>
    <w:p w:rsidR="00626269" w:rsidRPr="00704008" w:rsidRDefault="00626269" w:rsidP="0003706E">
      <w:pPr>
        <w:ind w:left="425"/>
        <w:jc w:val="both"/>
        <w:rPr>
          <w:rFonts w:ascii="Bookman Old Style" w:hAnsi="Bookman Old Style" w:cs="Arial"/>
          <w:color w:val="000000" w:themeColor="text1"/>
          <w:lang w:val="es-CO"/>
        </w:rPr>
      </w:pPr>
      <w:r w:rsidRPr="00704008">
        <w:rPr>
          <w:rFonts w:ascii="Bookman Old Style" w:hAnsi="Bookman Old Style" w:cs="Arial"/>
          <w:b/>
          <w:color w:val="000000" w:themeColor="text1"/>
        </w:rPr>
        <w:t xml:space="preserve">Parágrafo 2. </w:t>
      </w:r>
      <w:r w:rsidRPr="00704008">
        <w:rPr>
          <w:rFonts w:ascii="Bookman Old Style" w:hAnsi="Bookman Old Style" w:cs="Arial"/>
          <w:color w:val="000000" w:themeColor="text1"/>
        </w:rPr>
        <w:t>En la resolución de apertura del proceso de selección se señalará la dirección en Bogotá o el correo electrónico a los que se deberá enviar la información establecida en este capítulo.</w:t>
      </w:r>
    </w:p>
    <w:p w:rsidR="00626269" w:rsidRPr="00D22E84" w:rsidRDefault="00626269" w:rsidP="00D22E84">
      <w:pPr>
        <w:ind w:left="0"/>
        <w:jc w:val="both"/>
        <w:rPr>
          <w:rFonts w:ascii="Bookman Old Style" w:hAnsi="Bookman Old Style" w:cs="Arial"/>
          <w:b/>
          <w:bCs/>
          <w:iCs/>
          <w:lang w:val="es-CO"/>
        </w:rPr>
      </w:pPr>
    </w:p>
    <w:p w:rsidR="00504736" w:rsidRPr="00D22E84" w:rsidRDefault="00304195" w:rsidP="00D22E84">
      <w:pPr>
        <w:ind w:left="0"/>
        <w:jc w:val="both"/>
        <w:rPr>
          <w:rFonts w:ascii="Bookman Old Style" w:hAnsi="Bookman Old Style" w:cs="Arial"/>
          <w:b/>
          <w:bCs/>
          <w:iCs/>
        </w:rPr>
      </w:pPr>
      <w:r w:rsidRPr="00D22E84">
        <w:rPr>
          <w:rFonts w:ascii="Bookman Old Style" w:hAnsi="Bookman Old Style" w:cs="Arial"/>
          <w:b/>
          <w:bCs/>
          <w:iCs/>
        </w:rPr>
        <w:t xml:space="preserve">Artículo </w:t>
      </w:r>
      <w:r w:rsidR="00837913" w:rsidRPr="00D22E84">
        <w:rPr>
          <w:rFonts w:ascii="Bookman Old Style" w:hAnsi="Bookman Old Style" w:cs="Arial"/>
          <w:b/>
          <w:bCs/>
          <w:iCs/>
        </w:rPr>
        <w:t xml:space="preserve">2. </w:t>
      </w:r>
      <w:r w:rsidR="00504736" w:rsidRPr="00D22E84">
        <w:rPr>
          <w:rFonts w:ascii="Bookman Old Style" w:hAnsi="Bookman Old Style" w:cs="Arial"/>
          <w:bCs/>
          <w:iCs/>
        </w:rPr>
        <w:t xml:space="preserve">Modificar el </w:t>
      </w:r>
      <w:r w:rsidR="00672A5B">
        <w:rPr>
          <w:rFonts w:ascii="Bookman Old Style" w:hAnsi="Bookman Old Style" w:cs="Arial"/>
          <w:bCs/>
          <w:iCs/>
        </w:rPr>
        <w:t>A</w:t>
      </w:r>
      <w:r w:rsidR="0003706E">
        <w:rPr>
          <w:rFonts w:ascii="Bookman Old Style" w:hAnsi="Bookman Old Style" w:cs="Arial"/>
          <w:bCs/>
          <w:iCs/>
        </w:rPr>
        <w:t>rtículo 12</w:t>
      </w:r>
      <w:r w:rsidR="007B1629" w:rsidRPr="00D22E84">
        <w:rPr>
          <w:rFonts w:ascii="Bookman Old Style" w:hAnsi="Bookman Old Style" w:cs="Arial"/>
          <w:bCs/>
          <w:iCs/>
        </w:rPr>
        <w:t xml:space="preserve"> </w:t>
      </w:r>
      <w:r w:rsidR="0003706E">
        <w:rPr>
          <w:rFonts w:ascii="Bookman Old Style" w:hAnsi="Bookman Old Style" w:cs="Arial"/>
          <w:bCs/>
          <w:iCs/>
        </w:rPr>
        <w:t xml:space="preserve">de </w:t>
      </w:r>
      <w:r w:rsidR="00504736" w:rsidRPr="00D22E84">
        <w:rPr>
          <w:rFonts w:ascii="Bookman Old Style" w:hAnsi="Bookman Old Style" w:cs="Arial"/>
          <w:bCs/>
          <w:iCs/>
        </w:rPr>
        <w:t>la Resolución</w:t>
      </w:r>
      <w:r w:rsidR="00E84B16">
        <w:rPr>
          <w:rFonts w:ascii="Bookman Old Style" w:hAnsi="Bookman Old Style" w:cs="Arial"/>
          <w:bCs/>
          <w:iCs/>
        </w:rPr>
        <w:t xml:space="preserve"> CREG</w:t>
      </w:r>
      <w:r w:rsidR="00504736" w:rsidRPr="00D22E84">
        <w:rPr>
          <w:rFonts w:ascii="Bookman Old Style" w:hAnsi="Bookman Old Style" w:cs="Arial"/>
          <w:bCs/>
          <w:iCs/>
        </w:rPr>
        <w:t xml:space="preserve"> 124 de 2013, el cual quedará así:</w:t>
      </w:r>
    </w:p>
    <w:p w:rsidR="0003706E" w:rsidRDefault="0003706E" w:rsidP="0003706E">
      <w:pPr>
        <w:pStyle w:val="ARTICULOS"/>
        <w:numPr>
          <w:ilvl w:val="0"/>
          <w:numId w:val="0"/>
        </w:numPr>
        <w:rPr>
          <w:rFonts w:cs="Arial"/>
          <w:color w:val="000000" w:themeColor="text1"/>
          <w:sz w:val="22"/>
          <w:lang w:val="es-ES"/>
        </w:rPr>
      </w:pPr>
    </w:p>
    <w:p w:rsidR="0003706E" w:rsidRDefault="0003706E" w:rsidP="0003706E">
      <w:pPr>
        <w:pStyle w:val="ARTICULOS"/>
        <w:numPr>
          <w:ilvl w:val="0"/>
          <w:numId w:val="0"/>
        </w:numPr>
        <w:tabs>
          <w:tab w:val="left" w:pos="1701"/>
        </w:tabs>
        <w:ind w:left="425"/>
        <w:textAlignment w:val="auto"/>
        <w:rPr>
          <w:rFonts w:cs="Arial"/>
          <w:color w:val="000000" w:themeColor="text1"/>
          <w:lang w:val="es-CO"/>
        </w:rPr>
      </w:pPr>
      <w:bookmarkStart w:id="3" w:name="_Ref366848869"/>
      <w:bookmarkStart w:id="4" w:name="_Ref342068274"/>
      <w:bookmarkStart w:id="5" w:name="_Ref330828080"/>
      <w:bookmarkStart w:id="6" w:name="_Ref330310840"/>
      <w:r>
        <w:rPr>
          <w:rFonts w:cs="Arial"/>
          <w:b/>
          <w:color w:val="000000" w:themeColor="text1"/>
          <w:lang w:val="es-ES"/>
        </w:rPr>
        <w:t>Artículo 12. Condiciones generales para la prestación de los servicios.</w:t>
      </w:r>
      <w:r>
        <w:rPr>
          <w:rFonts w:cs="Arial"/>
          <w:color w:val="000000" w:themeColor="text1"/>
          <w:lang w:val="es-ES"/>
        </w:rPr>
        <w:t xml:space="preserve"> </w:t>
      </w:r>
      <w:r>
        <w:rPr>
          <w:rFonts w:cs="Arial"/>
          <w:color w:val="000000" w:themeColor="text1"/>
          <w:lang w:val="es-CO"/>
        </w:rPr>
        <w:t xml:space="preserve">El gestor del mercado deberá cumplir los siguientes requisitos durante </w:t>
      </w:r>
      <w:r>
        <w:rPr>
          <w:rFonts w:cs="Arial"/>
          <w:color w:val="000000" w:themeColor="text1"/>
          <w:lang w:val="es-ES"/>
        </w:rPr>
        <w:t>el período de planeación</w:t>
      </w:r>
      <w:r>
        <w:rPr>
          <w:rFonts w:cs="Arial"/>
          <w:color w:val="000000" w:themeColor="text1"/>
          <w:lang w:val="es-CO"/>
        </w:rPr>
        <w:t xml:space="preserve"> y durante el período </w:t>
      </w:r>
      <w:r>
        <w:rPr>
          <w:rFonts w:cs="Arial"/>
          <w:color w:val="000000" w:themeColor="text1"/>
          <w:lang w:val="es-ES"/>
        </w:rPr>
        <w:t>de vigencia de la obligación de prestación de los servicios</w:t>
      </w:r>
      <w:r>
        <w:rPr>
          <w:rFonts w:cs="Arial"/>
          <w:color w:val="000000" w:themeColor="text1"/>
          <w:lang w:val="es-CO"/>
        </w:rPr>
        <w:t>:</w:t>
      </w:r>
      <w:bookmarkEnd w:id="3"/>
      <w:bookmarkEnd w:id="4"/>
    </w:p>
    <w:p w:rsidR="0003706E" w:rsidRDefault="0003706E" w:rsidP="0003706E">
      <w:pPr>
        <w:pStyle w:val="ARTICULOS"/>
        <w:numPr>
          <w:ilvl w:val="0"/>
          <w:numId w:val="0"/>
        </w:numPr>
        <w:tabs>
          <w:tab w:val="left" w:pos="1701"/>
        </w:tabs>
        <w:ind w:left="425"/>
        <w:textAlignment w:val="auto"/>
        <w:rPr>
          <w:rFonts w:cs="Arial"/>
          <w:color w:val="000000" w:themeColor="text1"/>
          <w:lang w:val="es-ES"/>
        </w:rPr>
      </w:pPr>
    </w:p>
    <w:p w:rsidR="0003706E" w:rsidRDefault="0003706E" w:rsidP="0003706E">
      <w:pPr>
        <w:pStyle w:val="ARTICULOS"/>
        <w:numPr>
          <w:ilvl w:val="1"/>
          <w:numId w:val="47"/>
        </w:numPr>
        <w:ind w:left="992" w:hanging="567"/>
        <w:textAlignment w:val="auto"/>
        <w:rPr>
          <w:rFonts w:cs="Arial"/>
          <w:color w:val="000000" w:themeColor="text1"/>
          <w:lang w:val="es-ES"/>
        </w:rPr>
      </w:pPr>
      <w:bookmarkStart w:id="7" w:name="_Ref366848896"/>
      <w:r>
        <w:rPr>
          <w:rFonts w:cs="Arial"/>
          <w:color w:val="000000" w:themeColor="text1"/>
          <w:lang w:val="es-CO"/>
        </w:rPr>
        <w:lastRenderedPageBreak/>
        <w:t>Establecer una oficina en Colombia.</w:t>
      </w:r>
      <w:bookmarkEnd w:id="7"/>
    </w:p>
    <w:p w:rsidR="0003706E" w:rsidRDefault="0003706E" w:rsidP="0003706E">
      <w:pPr>
        <w:pStyle w:val="ARTICULOS"/>
        <w:numPr>
          <w:ilvl w:val="0"/>
          <w:numId w:val="0"/>
        </w:numPr>
        <w:ind w:left="425"/>
        <w:rPr>
          <w:rFonts w:cs="Arial"/>
          <w:color w:val="000000" w:themeColor="text1"/>
          <w:lang w:val="es-ES"/>
        </w:rPr>
      </w:pPr>
    </w:p>
    <w:p w:rsidR="0003706E" w:rsidRDefault="0003706E" w:rsidP="0003706E">
      <w:pPr>
        <w:pStyle w:val="ARTICULOS"/>
        <w:numPr>
          <w:ilvl w:val="1"/>
          <w:numId w:val="47"/>
        </w:numPr>
        <w:ind w:left="992" w:hanging="567"/>
        <w:textAlignment w:val="auto"/>
        <w:rPr>
          <w:rFonts w:cs="Arial"/>
          <w:color w:val="000000" w:themeColor="text1"/>
          <w:lang w:val="es-ES"/>
        </w:rPr>
      </w:pPr>
      <w:r>
        <w:rPr>
          <w:rFonts w:cs="Arial"/>
          <w:color w:val="000000" w:themeColor="text1"/>
          <w:lang w:val="es-CO"/>
        </w:rPr>
        <w:t>Establecerse como compañía bajo las leyes colombianas.</w:t>
      </w:r>
    </w:p>
    <w:p w:rsidR="0003706E" w:rsidRDefault="0003706E" w:rsidP="0003706E">
      <w:pPr>
        <w:pStyle w:val="ARTICULOS"/>
        <w:numPr>
          <w:ilvl w:val="0"/>
          <w:numId w:val="0"/>
        </w:numPr>
        <w:ind w:left="425"/>
        <w:rPr>
          <w:rFonts w:cs="Arial"/>
          <w:color w:val="000000" w:themeColor="text1"/>
          <w:lang w:val="es-ES"/>
        </w:rPr>
      </w:pPr>
    </w:p>
    <w:p w:rsidR="0003706E" w:rsidRPr="0003706E" w:rsidRDefault="0003706E" w:rsidP="0003706E">
      <w:pPr>
        <w:pStyle w:val="ARTICULOS"/>
        <w:numPr>
          <w:ilvl w:val="1"/>
          <w:numId w:val="47"/>
        </w:numPr>
        <w:ind w:left="992" w:hanging="567"/>
        <w:textAlignment w:val="auto"/>
        <w:rPr>
          <w:rFonts w:cs="Arial"/>
          <w:color w:val="000000" w:themeColor="text1"/>
          <w:lang w:val="es-ES"/>
        </w:rPr>
      </w:pPr>
      <w:r w:rsidRPr="0003706E">
        <w:rPr>
          <w:rFonts w:cs="Arial"/>
          <w:color w:val="000000" w:themeColor="text1"/>
          <w:lang w:val="es-CO"/>
        </w:rPr>
        <w:t>Someterse</w:t>
      </w:r>
      <w:r>
        <w:rPr>
          <w:rFonts w:cs="Arial"/>
          <w:color w:val="000000" w:themeColor="text1"/>
        </w:rPr>
        <w:t xml:space="preserve"> a la regulación </w:t>
      </w:r>
      <w:r>
        <w:rPr>
          <w:rFonts w:cs="Arial"/>
          <w:color w:val="000000" w:themeColor="text1"/>
          <w:lang w:val="es-CO"/>
        </w:rPr>
        <w:t>de</w:t>
      </w:r>
      <w:r>
        <w:rPr>
          <w:rFonts w:cs="Arial"/>
          <w:color w:val="000000" w:themeColor="text1"/>
        </w:rPr>
        <w:t xml:space="preserve"> la CREG.</w:t>
      </w:r>
    </w:p>
    <w:p w:rsidR="0003706E" w:rsidRDefault="0003706E" w:rsidP="0003706E">
      <w:pPr>
        <w:pStyle w:val="Prrafodelista"/>
        <w:rPr>
          <w:rFonts w:cs="Arial"/>
          <w:color w:val="000000" w:themeColor="text1"/>
          <w:lang w:val="es-ES"/>
        </w:rPr>
      </w:pPr>
    </w:p>
    <w:p w:rsidR="0003706E" w:rsidRDefault="0003706E" w:rsidP="0003706E">
      <w:pPr>
        <w:pStyle w:val="ARTICULOS"/>
        <w:numPr>
          <w:ilvl w:val="1"/>
          <w:numId w:val="47"/>
        </w:numPr>
        <w:ind w:left="992" w:hanging="567"/>
        <w:textAlignment w:val="auto"/>
        <w:rPr>
          <w:rFonts w:cs="Arial"/>
          <w:color w:val="000000" w:themeColor="text1"/>
          <w:lang w:val="es-ES"/>
        </w:rPr>
      </w:pPr>
      <w:r>
        <w:rPr>
          <w:rFonts w:cs="Arial"/>
          <w:color w:val="000000" w:themeColor="text1"/>
          <w:lang w:val="es-ES"/>
        </w:rPr>
        <w:t>Garantizar el trato confidencial de la información a la que tenga acceso en la prestación de los servicios de que trata la regulación vigente.</w:t>
      </w:r>
    </w:p>
    <w:p w:rsidR="0003706E" w:rsidRDefault="0003706E" w:rsidP="0003706E">
      <w:pPr>
        <w:pStyle w:val="ARTICULOS"/>
        <w:numPr>
          <w:ilvl w:val="0"/>
          <w:numId w:val="0"/>
        </w:numPr>
        <w:ind w:left="425"/>
        <w:rPr>
          <w:rFonts w:cs="Arial"/>
          <w:color w:val="000000" w:themeColor="text1"/>
          <w:lang w:val="es-ES"/>
        </w:rPr>
      </w:pPr>
    </w:p>
    <w:p w:rsidR="0003706E" w:rsidRDefault="0003706E" w:rsidP="0003706E">
      <w:pPr>
        <w:pStyle w:val="ARTICULOS"/>
        <w:numPr>
          <w:ilvl w:val="1"/>
          <w:numId w:val="47"/>
        </w:numPr>
        <w:ind w:left="992" w:hanging="567"/>
        <w:textAlignment w:val="auto"/>
        <w:rPr>
          <w:rFonts w:cs="Arial"/>
          <w:color w:val="000000" w:themeColor="text1"/>
          <w:lang w:val="es-ES"/>
        </w:rPr>
      </w:pPr>
      <w:bookmarkStart w:id="8" w:name="_Ref342068300"/>
      <w:r>
        <w:rPr>
          <w:rFonts w:cs="Arial"/>
          <w:color w:val="000000" w:themeColor="text1"/>
        </w:rPr>
        <w:t>Ser</w:t>
      </w:r>
      <w:r>
        <w:rPr>
          <w:rFonts w:cs="Arial"/>
          <w:color w:val="000000" w:themeColor="text1"/>
          <w:lang w:val="es-CO"/>
        </w:rPr>
        <w:t xml:space="preserve"> neutral, transparente, objetivo e independiente, lo cual será entendido en los términos del numeral 1 del Artículo 5 de esta Resolución, para lo cual deberá presentar una declaración anual en los términos establecidos en ese mismo artículo.</w:t>
      </w:r>
      <w:bookmarkEnd w:id="8"/>
    </w:p>
    <w:p w:rsidR="0003706E" w:rsidRDefault="0003706E" w:rsidP="0003706E">
      <w:pPr>
        <w:pStyle w:val="ARTICULOS"/>
        <w:numPr>
          <w:ilvl w:val="0"/>
          <w:numId w:val="0"/>
        </w:numPr>
        <w:ind w:left="425"/>
        <w:rPr>
          <w:rFonts w:cs="Arial"/>
          <w:color w:val="000000" w:themeColor="text1"/>
          <w:lang w:val="es-ES"/>
        </w:rPr>
      </w:pPr>
    </w:p>
    <w:p w:rsidR="0003706E" w:rsidRDefault="0003706E" w:rsidP="0003706E">
      <w:pPr>
        <w:pStyle w:val="ARTICULOS"/>
        <w:numPr>
          <w:ilvl w:val="1"/>
          <w:numId w:val="47"/>
        </w:numPr>
        <w:ind w:left="992" w:hanging="567"/>
        <w:textAlignment w:val="auto"/>
        <w:rPr>
          <w:rFonts w:cs="Arial"/>
          <w:color w:val="000000" w:themeColor="text1"/>
          <w:lang w:val="es-ES"/>
        </w:rPr>
      </w:pPr>
      <w:bookmarkStart w:id="9" w:name="_Ref366848987"/>
      <w:r w:rsidRPr="0003706E">
        <w:rPr>
          <w:rFonts w:cs="Arial"/>
          <w:color w:val="000000" w:themeColor="text1"/>
        </w:rPr>
        <w:t>Obtener</w:t>
      </w:r>
      <w:r>
        <w:rPr>
          <w:rFonts w:cs="Arial"/>
          <w:color w:val="000000" w:themeColor="text1"/>
          <w:lang w:val="es-CO"/>
        </w:rPr>
        <w:t>, con al menos tres (3) meses de anticipación al inicio de cada subasta, la aprobación por parte de la CREG del subastador que ejecutará las subastas de que trata el artículo 27 de la Resolución CREG 089 de 2013 y del proceso úselo o véndalo de largo plazo de que trata el artículo 44 de la Resolución CREG 089 de 2013.</w:t>
      </w:r>
      <w:bookmarkEnd w:id="9"/>
    </w:p>
    <w:p w:rsidR="0003706E" w:rsidRDefault="0003706E" w:rsidP="0003706E">
      <w:pPr>
        <w:pStyle w:val="ARTICULOS"/>
        <w:numPr>
          <w:ilvl w:val="0"/>
          <w:numId w:val="0"/>
        </w:numPr>
        <w:ind w:left="425"/>
        <w:rPr>
          <w:rFonts w:cs="Arial"/>
          <w:color w:val="000000" w:themeColor="text1"/>
          <w:lang w:val="es-ES"/>
        </w:rPr>
      </w:pPr>
    </w:p>
    <w:p w:rsidR="0003706E" w:rsidRDefault="0003706E" w:rsidP="0003706E">
      <w:pPr>
        <w:pStyle w:val="ARTICULOS"/>
        <w:numPr>
          <w:ilvl w:val="1"/>
          <w:numId w:val="47"/>
        </w:numPr>
        <w:ind w:left="992" w:hanging="567"/>
        <w:textAlignment w:val="auto"/>
        <w:rPr>
          <w:rFonts w:cs="Arial"/>
          <w:color w:val="000000" w:themeColor="text1"/>
          <w:lang w:val="es-ES"/>
        </w:rPr>
      </w:pPr>
      <w:bookmarkStart w:id="10" w:name="_Ref366848916"/>
      <w:r w:rsidRPr="0003706E">
        <w:rPr>
          <w:rFonts w:cs="Arial"/>
          <w:color w:val="000000" w:themeColor="text1"/>
        </w:rPr>
        <w:t>Contar</w:t>
      </w:r>
      <w:r>
        <w:rPr>
          <w:rFonts w:cs="Arial"/>
          <w:color w:val="000000" w:themeColor="text1"/>
          <w:lang w:val="es-ES"/>
        </w:rPr>
        <w:t xml:space="preserve"> con un certificado de gestión de la calidad vigente conforme a la norma ISO 9001:2008 o aquella que la actualice, en el cual deberán incluirse los procedimientos requeridos para la prestación de los servicios a los que se hace referencia en el Artículo 11 de esta Resolución. Esta condición deberá cumplirse a partir del segundo año del período de vigencia de la obligación de prestación de los servicios.</w:t>
      </w:r>
      <w:bookmarkEnd w:id="10"/>
    </w:p>
    <w:p w:rsidR="0003706E" w:rsidRDefault="0003706E" w:rsidP="0003706E">
      <w:pPr>
        <w:pStyle w:val="ARTICULOS"/>
        <w:numPr>
          <w:ilvl w:val="0"/>
          <w:numId w:val="0"/>
        </w:numPr>
        <w:rPr>
          <w:rFonts w:cs="Arial"/>
          <w:color w:val="000000" w:themeColor="text1"/>
          <w:lang w:val="es-ES"/>
        </w:rPr>
      </w:pPr>
    </w:p>
    <w:p w:rsidR="0003706E" w:rsidRDefault="0003706E" w:rsidP="0003706E">
      <w:pPr>
        <w:pStyle w:val="ARTICULOS"/>
        <w:numPr>
          <w:ilvl w:val="0"/>
          <w:numId w:val="0"/>
        </w:numPr>
        <w:ind w:left="425"/>
        <w:rPr>
          <w:rFonts w:cs="Arial"/>
          <w:color w:val="000000" w:themeColor="text1"/>
          <w:lang w:val="es-ES"/>
        </w:rPr>
      </w:pPr>
      <w:r>
        <w:rPr>
          <w:rFonts w:cs="Arial"/>
          <w:b/>
          <w:color w:val="000000" w:themeColor="text1"/>
          <w:lang w:val="es-ES"/>
        </w:rPr>
        <w:t>Parágrafo.</w:t>
      </w:r>
      <w:r>
        <w:rPr>
          <w:rFonts w:cs="Arial"/>
          <w:color w:val="000000" w:themeColor="text1"/>
          <w:lang w:val="es-ES"/>
        </w:rPr>
        <w:t xml:space="preserve"> Para acreditar las calidades del subastador según lo dispuesto en el numeral 5 de este artículo el gestor del mercado deberá demostrar que el profesional escogido tiene experiencia como subastador en al menos tres (3) subastas que cumplan las condiciones establecidas en el numeral 4 del Artículo 5 de esta Resolución.</w:t>
      </w:r>
      <w:bookmarkEnd w:id="5"/>
      <w:bookmarkEnd w:id="6"/>
    </w:p>
    <w:p w:rsidR="0003706E" w:rsidRPr="00D22E84" w:rsidRDefault="0003706E" w:rsidP="00D22E84">
      <w:pPr>
        <w:ind w:left="0"/>
        <w:jc w:val="both"/>
        <w:rPr>
          <w:rFonts w:ascii="Bookman Old Style" w:hAnsi="Bookman Old Style" w:cs="Arial"/>
          <w:b/>
          <w:bCs/>
          <w:iCs/>
        </w:rPr>
      </w:pPr>
    </w:p>
    <w:p w:rsidR="007B1629" w:rsidRPr="00D22E84" w:rsidRDefault="00304195" w:rsidP="00D22E84">
      <w:pPr>
        <w:ind w:left="0"/>
        <w:jc w:val="both"/>
        <w:rPr>
          <w:rFonts w:ascii="Bookman Old Style" w:hAnsi="Bookman Old Style" w:cs="Arial"/>
          <w:b/>
          <w:bCs/>
          <w:iCs/>
        </w:rPr>
      </w:pPr>
      <w:r w:rsidRPr="00D22E84">
        <w:rPr>
          <w:rFonts w:ascii="Bookman Old Style" w:hAnsi="Bookman Old Style" w:cs="Arial"/>
          <w:b/>
          <w:bCs/>
          <w:iCs/>
        </w:rPr>
        <w:t xml:space="preserve">Artículo </w:t>
      </w:r>
      <w:r w:rsidR="007B1629" w:rsidRPr="00D22E84">
        <w:rPr>
          <w:rFonts w:ascii="Bookman Old Style" w:hAnsi="Bookman Old Style" w:cs="Arial"/>
          <w:b/>
          <w:bCs/>
          <w:iCs/>
        </w:rPr>
        <w:t xml:space="preserve">3. </w:t>
      </w:r>
      <w:r w:rsidR="007B1629" w:rsidRPr="00D22E84">
        <w:rPr>
          <w:rFonts w:ascii="Bookman Old Style" w:hAnsi="Bookman Old Style" w:cs="Arial"/>
          <w:bCs/>
          <w:iCs/>
        </w:rPr>
        <w:t xml:space="preserve">Modificar el </w:t>
      </w:r>
      <w:r w:rsidR="00672A5B">
        <w:rPr>
          <w:rFonts w:ascii="Bookman Old Style" w:hAnsi="Bookman Old Style" w:cs="Arial"/>
          <w:bCs/>
          <w:iCs/>
        </w:rPr>
        <w:t>A</w:t>
      </w:r>
      <w:r w:rsidR="0003706E">
        <w:rPr>
          <w:rFonts w:ascii="Bookman Old Style" w:hAnsi="Bookman Old Style" w:cs="Arial"/>
          <w:bCs/>
          <w:iCs/>
        </w:rPr>
        <w:t xml:space="preserve">rtículo 30 </w:t>
      </w:r>
      <w:r w:rsidR="007B1629" w:rsidRPr="00D22E84">
        <w:rPr>
          <w:rFonts w:ascii="Bookman Old Style" w:hAnsi="Bookman Old Style" w:cs="Arial"/>
          <w:bCs/>
          <w:iCs/>
        </w:rPr>
        <w:t xml:space="preserve">de la Resolución </w:t>
      </w:r>
      <w:r w:rsidR="00E84B16">
        <w:rPr>
          <w:rFonts w:ascii="Bookman Old Style" w:hAnsi="Bookman Old Style" w:cs="Arial"/>
          <w:bCs/>
          <w:iCs/>
        </w:rPr>
        <w:t xml:space="preserve">CREG </w:t>
      </w:r>
      <w:r w:rsidR="007B1629" w:rsidRPr="00D22E84">
        <w:rPr>
          <w:rFonts w:ascii="Bookman Old Style" w:hAnsi="Bookman Old Style" w:cs="Arial"/>
          <w:bCs/>
          <w:iCs/>
        </w:rPr>
        <w:t>124 de 2013, el cual quedará así:</w:t>
      </w:r>
    </w:p>
    <w:p w:rsidR="00504736" w:rsidRPr="00704008" w:rsidRDefault="00504736" w:rsidP="00D22E84">
      <w:pPr>
        <w:ind w:left="0"/>
        <w:jc w:val="both"/>
        <w:rPr>
          <w:rFonts w:ascii="Bookman Old Style" w:hAnsi="Bookman Old Style" w:cs="Arial"/>
          <w:b/>
          <w:bCs/>
          <w:iCs/>
        </w:rPr>
      </w:pPr>
    </w:p>
    <w:p w:rsidR="00C805F5" w:rsidRPr="007A08D5" w:rsidRDefault="00C805F5" w:rsidP="00C805F5">
      <w:pPr>
        <w:pStyle w:val="ARTICULOS"/>
        <w:numPr>
          <w:ilvl w:val="0"/>
          <w:numId w:val="0"/>
        </w:numPr>
        <w:tabs>
          <w:tab w:val="left" w:pos="1560"/>
        </w:tabs>
        <w:ind w:left="425"/>
        <w:rPr>
          <w:color w:val="000000" w:themeColor="text1"/>
          <w:lang w:val="es-ES"/>
        </w:rPr>
      </w:pPr>
      <w:bookmarkStart w:id="11" w:name="_Ref341944728"/>
      <w:bookmarkStart w:id="12" w:name="_Ref364759172"/>
      <w:r>
        <w:rPr>
          <w:rFonts w:cs="Arial"/>
          <w:b/>
          <w:color w:val="000000" w:themeColor="text1"/>
          <w:lang w:val="es-ES"/>
        </w:rPr>
        <w:t xml:space="preserve">Artículo 30. </w:t>
      </w:r>
      <w:r w:rsidRPr="007A08D5">
        <w:rPr>
          <w:rFonts w:cs="Arial"/>
          <w:b/>
          <w:color w:val="000000" w:themeColor="text1"/>
          <w:lang w:val="es-ES"/>
        </w:rPr>
        <w:t>Garantías exigidas.</w:t>
      </w:r>
      <w:bookmarkEnd w:id="11"/>
      <w:r w:rsidRPr="007A08D5">
        <w:rPr>
          <w:color w:val="000000" w:themeColor="text1"/>
          <w:lang w:val="es-ES"/>
        </w:rPr>
        <w:t xml:space="preserve"> </w:t>
      </w:r>
      <w:bookmarkStart w:id="13" w:name="_Ref342547694"/>
      <w:r w:rsidRPr="007A08D5">
        <w:rPr>
          <w:color w:val="000000" w:themeColor="text1"/>
          <w:lang w:val="es-ES"/>
        </w:rPr>
        <w:t>Los interesados en participar en el proceso de selección del gestor del mercado deberán presentar las garantías aquí señaladas:</w:t>
      </w:r>
      <w:bookmarkEnd w:id="12"/>
      <w:bookmarkEnd w:id="13"/>
    </w:p>
    <w:p w:rsidR="00C805F5" w:rsidRPr="007A08D5"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C805F5">
      <w:pPr>
        <w:pStyle w:val="ARTICULOS"/>
        <w:numPr>
          <w:ilvl w:val="1"/>
          <w:numId w:val="53"/>
        </w:numPr>
        <w:ind w:left="992" w:hanging="567"/>
        <w:rPr>
          <w:rFonts w:cs="Arial"/>
          <w:color w:val="000000" w:themeColor="text1"/>
          <w:lang w:val="es-CO"/>
        </w:rPr>
      </w:pPr>
      <w:bookmarkStart w:id="14" w:name="_Ref343763436"/>
      <w:r w:rsidRPr="007A08D5">
        <w:rPr>
          <w:rFonts w:cs="Arial"/>
          <w:color w:val="000000" w:themeColor="text1"/>
          <w:lang w:val="es-CO"/>
        </w:rPr>
        <w:t>Garantía de seriedad de la propuesta. Los interesados deberán haber obtenido la aprobación de esta garantía al momento de presentar los documentos a que hace referencia el</w:t>
      </w:r>
      <w:r>
        <w:rPr>
          <w:rFonts w:cs="Arial"/>
          <w:color w:val="000000" w:themeColor="text1"/>
          <w:lang w:val="es-CO"/>
        </w:rPr>
        <w:t xml:space="preserve"> Artículo 7 </w:t>
      </w:r>
      <w:r w:rsidRPr="007A08D5">
        <w:rPr>
          <w:rFonts w:cs="Arial"/>
          <w:color w:val="000000" w:themeColor="text1"/>
          <w:lang w:val="es-CO"/>
        </w:rPr>
        <w:t>de esta Resolución.</w:t>
      </w:r>
      <w:bookmarkEnd w:id="14"/>
    </w:p>
    <w:p w:rsidR="00C805F5" w:rsidRPr="007A08D5"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C805F5">
      <w:pPr>
        <w:pStyle w:val="ARTICULOS"/>
        <w:numPr>
          <w:ilvl w:val="0"/>
          <w:numId w:val="0"/>
        </w:numPr>
        <w:tabs>
          <w:tab w:val="left" w:pos="1560"/>
        </w:tabs>
        <w:ind w:left="993"/>
        <w:rPr>
          <w:color w:val="000000" w:themeColor="text1"/>
          <w:lang w:val="es-CO"/>
        </w:rPr>
      </w:pPr>
      <w:r w:rsidRPr="007A08D5">
        <w:rPr>
          <w:color w:val="000000" w:themeColor="text1"/>
          <w:lang w:val="es-CO"/>
        </w:rPr>
        <w:t xml:space="preserve">La garantía de seriedad se deberá constituir para responder por el cumplimiento oportuno por parte del proponente de las estipulaciones y especificaciones contenidas en la propuesta que ampara y, en especial, las de aceptar el vínculo que entre él y los participantes del mercado surge como resultado del proceso de selección que se regla en esta Resolución. Este mecanismo de cubrimiento también servirá para garantizar que el interesado, en caso de ser seleccionado como gestor </w:t>
      </w:r>
      <w:r w:rsidRPr="007A08D5">
        <w:rPr>
          <w:color w:val="000000" w:themeColor="text1"/>
          <w:lang w:val="es-CO"/>
        </w:rPr>
        <w:lastRenderedPageBreak/>
        <w:t>del mercado, realizará el pago de la comisión de éxito del promotor contratado por la CREG para la promoción del proceso de selección y obtendrá oportunamente la aprobación de la garantía de que trata e</w:t>
      </w:r>
      <w:r w:rsidRPr="007A08D5">
        <w:rPr>
          <w:rFonts w:cs="Arial"/>
          <w:color w:val="000000" w:themeColor="text1"/>
        </w:rPr>
        <w:t>l numeral</w:t>
      </w:r>
      <w:r>
        <w:rPr>
          <w:rFonts w:cs="Arial"/>
          <w:color w:val="000000" w:themeColor="text1"/>
          <w:lang w:val="es-CO"/>
        </w:rPr>
        <w:t xml:space="preserve"> 2</w:t>
      </w:r>
      <w:r w:rsidRPr="007A08D5">
        <w:rPr>
          <w:rFonts w:cs="Arial"/>
          <w:color w:val="000000" w:themeColor="text1"/>
        </w:rPr>
        <w:t xml:space="preserve"> de este artículo</w:t>
      </w:r>
      <w:r w:rsidRPr="007A08D5">
        <w:rPr>
          <w:rFonts w:cs="Arial"/>
          <w:color w:val="000000" w:themeColor="text1"/>
          <w:lang w:val="es-CO"/>
        </w:rPr>
        <w:t>.</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C805F5">
      <w:pPr>
        <w:pStyle w:val="ARTICULOS"/>
        <w:numPr>
          <w:ilvl w:val="0"/>
          <w:numId w:val="0"/>
        </w:numPr>
        <w:tabs>
          <w:tab w:val="left" w:pos="1560"/>
        </w:tabs>
        <w:ind w:left="992"/>
        <w:rPr>
          <w:color w:val="000000" w:themeColor="text1"/>
          <w:lang w:val="es-CO"/>
        </w:rPr>
      </w:pPr>
      <w:r w:rsidRPr="007A08D5">
        <w:rPr>
          <w:color w:val="000000" w:themeColor="text1"/>
          <w:lang w:val="es-CO"/>
        </w:rPr>
        <w:t>Esta garantía deberá cumplir las siguientes condiciones:</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C805F5">
      <w:pPr>
        <w:numPr>
          <w:ilvl w:val="0"/>
          <w:numId w:val="54"/>
        </w:numPr>
        <w:autoSpaceDE w:val="0"/>
        <w:autoSpaceDN w:val="0"/>
        <w:adjustRightInd w:val="0"/>
        <w:ind w:left="1559" w:hanging="567"/>
        <w:jc w:val="both"/>
        <w:rPr>
          <w:rFonts w:ascii="Bookman Old Style" w:hAnsi="Bookman Old Style" w:cs="Arial"/>
          <w:color w:val="000000" w:themeColor="text1"/>
        </w:rPr>
      </w:pPr>
      <w:r w:rsidRPr="007A08D5">
        <w:rPr>
          <w:rFonts w:ascii="Bookman Old Style" w:hAnsi="Bookman Old Style" w:cs="Arial"/>
          <w:color w:val="000000" w:themeColor="text1"/>
        </w:rPr>
        <w:t xml:space="preserve">Valor de la cobertura: quinientos mil dólares de los Estados Unidos de América. </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C805F5">
      <w:pPr>
        <w:numPr>
          <w:ilvl w:val="0"/>
          <w:numId w:val="54"/>
        </w:numPr>
        <w:autoSpaceDE w:val="0"/>
        <w:autoSpaceDN w:val="0"/>
        <w:adjustRightInd w:val="0"/>
        <w:ind w:left="1559" w:hanging="567"/>
        <w:jc w:val="both"/>
        <w:rPr>
          <w:rFonts w:ascii="Bookman Old Style" w:hAnsi="Bookman Old Style" w:cs="Arial"/>
          <w:color w:val="000000" w:themeColor="text1"/>
        </w:rPr>
      </w:pPr>
      <w:r w:rsidRPr="007A08D5">
        <w:rPr>
          <w:rFonts w:ascii="Bookman Old Style" w:hAnsi="Bookman Old Style" w:cs="Arial"/>
          <w:color w:val="000000" w:themeColor="text1"/>
        </w:rPr>
        <w:t>Vigencia: cuatro (4) meses.</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9A5266" w:rsidRDefault="00C805F5" w:rsidP="00C805F5">
      <w:pPr>
        <w:numPr>
          <w:ilvl w:val="0"/>
          <w:numId w:val="54"/>
        </w:numPr>
        <w:autoSpaceDE w:val="0"/>
        <w:autoSpaceDN w:val="0"/>
        <w:adjustRightInd w:val="0"/>
        <w:ind w:left="1559" w:hanging="567"/>
        <w:jc w:val="both"/>
        <w:rPr>
          <w:rFonts w:ascii="Bookman Old Style" w:hAnsi="Bookman Old Style" w:cs="Arial"/>
          <w:color w:val="000000" w:themeColor="text1"/>
        </w:rPr>
      </w:pPr>
      <w:r w:rsidRPr="007A08D5">
        <w:rPr>
          <w:rFonts w:ascii="Bookman Old Style" w:hAnsi="Bookman Old Style" w:cs="Arial"/>
          <w:color w:val="000000" w:themeColor="text1"/>
        </w:rPr>
        <w:t>Beneficiario</w:t>
      </w:r>
      <w:r w:rsidR="00882D0B">
        <w:rPr>
          <w:rFonts w:ascii="Bookman Old Style" w:hAnsi="Bookman Old Style" w:cs="Arial"/>
          <w:color w:val="000000" w:themeColor="text1"/>
        </w:rPr>
        <w:t xml:space="preserve"> de las garantías</w:t>
      </w:r>
      <w:r w:rsidRPr="007A08D5">
        <w:rPr>
          <w:rFonts w:ascii="Bookman Old Style" w:hAnsi="Bookman Old Style" w:cs="Arial"/>
          <w:color w:val="000000" w:themeColor="text1"/>
        </w:rPr>
        <w:t xml:space="preserve">: </w:t>
      </w:r>
      <w:r>
        <w:rPr>
          <w:rFonts w:ascii="Bookman Old Style" w:hAnsi="Bookman Old Style"/>
          <w:color w:val="000000" w:themeColor="text1"/>
          <w:lang w:val="es-CO"/>
        </w:rPr>
        <w:t>fideicomiso o patrimonio autónomo que se conforma por la celebración del contrato de fiducia mercantil que suscriba el Fideicomiso CREG con un agente fiduciario.</w:t>
      </w:r>
    </w:p>
    <w:p w:rsidR="00AB578F" w:rsidRDefault="00AB578F" w:rsidP="009A5266">
      <w:pPr>
        <w:pStyle w:val="Prrafodelista"/>
        <w:rPr>
          <w:rFonts w:ascii="Bookman Old Style" w:hAnsi="Bookman Old Style" w:cs="Arial"/>
          <w:color w:val="000000" w:themeColor="text1"/>
        </w:rPr>
      </w:pPr>
    </w:p>
    <w:p w:rsidR="00AB578F" w:rsidRPr="007A08D5" w:rsidRDefault="00AB578F" w:rsidP="009A5266">
      <w:pPr>
        <w:numPr>
          <w:ilvl w:val="0"/>
          <w:numId w:val="54"/>
        </w:numPr>
        <w:autoSpaceDE w:val="0"/>
        <w:autoSpaceDN w:val="0"/>
        <w:adjustRightInd w:val="0"/>
        <w:ind w:left="1559" w:hanging="567"/>
        <w:jc w:val="both"/>
        <w:rPr>
          <w:rFonts w:ascii="Bookman Old Style" w:hAnsi="Bookman Old Style" w:cs="Arial"/>
          <w:color w:val="000000" w:themeColor="text1"/>
        </w:rPr>
      </w:pPr>
      <w:r>
        <w:rPr>
          <w:rFonts w:ascii="Bookman Old Style" w:hAnsi="Bookman Old Style" w:cs="Arial"/>
          <w:color w:val="000000" w:themeColor="text1"/>
        </w:rPr>
        <w:t xml:space="preserve">Beneficiarios de los dineros que resulten de la ejecución de las garantías por parte del fideicomiso o patrimonio autónomo: </w:t>
      </w:r>
      <w:r w:rsidRPr="007A08D5">
        <w:rPr>
          <w:rFonts w:ascii="Bookman Old Style" w:hAnsi="Bookman Old Style"/>
          <w:color w:val="000000" w:themeColor="text1"/>
          <w:lang w:val="es-CO"/>
        </w:rPr>
        <w:t>el promotor del proceso de selección del gestor del mercado y los vendedores de gas natural en el mercado primario, estos últimos en proporción a las ventas de gas que hayan realizado mediante los contratos firmes y los contratos de suministro con firmeza condicionada que se encuentren vigentes</w:t>
      </w:r>
      <w:r w:rsidR="009A5266">
        <w:rPr>
          <w:rFonts w:ascii="Bookman Old Style" w:hAnsi="Bookman Old Style"/>
          <w:color w:val="000000" w:themeColor="text1"/>
          <w:lang w:val="es-CO"/>
        </w:rPr>
        <w:t xml:space="preserve"> en la fecha máxima prevista para la presentación de ofertas por parte de los interesados precalificados</w:t>
      </w:r>
      <w:r w:rsidRPr="007A08D5">
        <w:rPr>
          <w:rFonts w:ascii="Bookman Old Style" w:hAnsi="Bookman Old Style"/>
          <w:color w:val="000000" w:themeColor="text1"/>
          <w:lang w:val="es-CO"/>
        </w:rPr>
        <w:t>.</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C805F5">
      <w:pPr>
        <w:numPr>
          <w:ilvl w:val="0"/>
          <w:numId w:val="54"/>
        </w:numPr>
        <w:autoSpaceDE w:val="0"/>
        <w:autoSpaceDN w:val="0"/>
        <w:adjustRightInd w:val="0"/>
        <w:ind w:left="1559" w:hanging="567"/>
        <w:jc w:val="both"/>
        <w:rPr>
          <w:rFonts w:ascii="Bookman Old Style" w:hAnsi="Bookman Old Style" w:cs="Arial"/>
          <w:color w:val="000000" w:themeColor="text1"/>
        </w:rPr>
      </w:pPr>
      <w:r w:rsidRPr="007A08D5">
        <w:rPr>
          <w:rFonts w:ascii="Bookman Old Style" w:hAnsi="Bookman Old Style" w:cs="Arial"/>
          <w:color w:val="000000" w:themeColor="text1"/>
        </w:rPr>
        <w:t>Eventos de incumplimiento: la garantía se hará efectiva si el proponente es seleccionado como gestor del mercado y no realiza el pago de la comisión de éxito del promotor contratado por la CREG para la promoción del proceso de selección dentro del mes siguiente a la fecha de selección del gestor del mercado. También se hará efectiva si el proponente es seleccionado como gestor del mercado y no obtiene oportunamente la aprobación de la garantía de que trata el numeral</w:t>
      </w:r>
      <w:r w:rsidR="00A12DCE">
        <w:rPr>
          <w:rFonts w:ascii="Bookman Old Style" w:hAnsi="Bookman Old Style" w:cs="Arial"/>
          <w:color w:val="000000" w:themeColor="text1"/>
        </w:rPr>
        <w:t xml:space="preserve"> 2</w:t>
      </w:r>
      <w:r w:rsidRPr="007A08D5">
        <w:rPr>
          <w:rFonts w:ascii="Bookman Old Style" w:hAnsi="Bookman Old Style" w:cs="Arial"/>
          <w:color w:val="000000" w:themeColor="text1"/>
        </w:rPr>
        <w:t xml:space="preserve"> de este artículo. </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C805F5">
      <w:pPr>
        <w:pStyle w:val="ARTICULOS"/>
        <w:numPr>
          <w:ilvl w:val="1"/>
          <w:numId w:val="53"/>
        </w:numPr>
        <w:ind w:left="992" w:hanging="567"/>
        <w:rPr>
          <w:rFonts w:cs="Arial"/>
          <w:color w:val="000000" w:themeColor="text1"/>
          <w:lang w:val="es-ES"/>
        </w:rPr>
      </w:pPr>
      <w:bookmarkStart w:id="15" w:name="_Ref342468658"/>
      <w:bookmarkStart w:id="16" w:name="_Ref342653841"/>
      <w:r w:rsidRPr="007A08D5">
        <w:rPr>
          <w:rFonts w:cs="Arial"/>
          <w:color w:val="000000" w:themeColor="text1"/>
          <w:lang w:val="es-CO"/>
        </w:rPr>
        <w:t>Garantía de cumplimiento de puesta en operación</w:t>
      </w:r>
      <w:bookmarkEnd w:id="15"/>
      <w:r w:rsidRPr="007A08D5">
        <w:rPr>
          <w:color w:val="000000" w:themeColor="text1"/>
          <w:lang w:val="es-CO"/>
        </w:rPr>
        <w:t xml:space="preserve">. El proponente seleccionado como gestor del mercado deberá constituir un mecanismo de cubrimiento </w:t>
      </w:r>
      <w:r w:rsidRPr="007A08D5">
        <w:rPr>
          <w:rFonts w:cs="Arial"/>
          <w:color w:val="000000" w:themeColor="text1"/>
          <w:lang w:val="es-ES"/>
        </w:rPr>
        <w:t xml:space="preserve">que garantice que durante el período de planeación implementará los mecanismos requeridos para la prestación de los servicios establecidos en el </w:t>
      </w:r>
      <w:r w:rsidR="00A12DCE">
        <w:rPr>
          <w:rFonts w:cs="Arial"/>
          <w:color w:val="000000" w:themeColor="text1"/>
          <w:lang w:val="es-ES"/>
        </w:rPr>
        <w:t xml:space="preserve">Artículo 11 </w:t>
      </w:r>
      <w:r w:rsidRPr="007A08D5">
        <w:rPr>
          <w:rFonts w:cs="Arial"/>
          <w:color w:val="000000" w:themeColor="text1"/>
          <w:lang w:val="es-ES"/>
        </w:rPr>
        <w:t xml:space="preserve">de esta Resolución, conforme a lo que señale en el plan detallado que entregó en la propuesta técnica. Este mecanismo de cubrimiento también servirá para garantizar que el gestor del mercado obtendrá oportunamente la aprobación de </w:t>
      </w:r>
      <w:r w:rsidRPr="007A08D5">
        <w:rPr>
          <w:rFonts w:cs="Arial"/>
          <w:color w:val="000000" w:themeColor="text1"/>
        </w:rPr>
        <w:t xml:space="preserve">la garantía a que hace referencia </w:t>
      </w:r>
      <w:r w:rsidRPr="007A08D5">
        <w:rPr>
          <w:rFonts w:cs="Arial"/>
          <w:color w:val="000000" w:themeColor="text1"/>
          <w:lang w:val="es-CO"/>
        </w:rPr>
        <w:t>el</w:t>
      </w:r>
      <w:r w:rsidRPr="007A08D5">
        <w:rPr>
          <w:rFonts w:cs="Arial"/>
          <w:color w:val="000000" w:themeColor="text1"/>
        </w:rPr>
        <w:t xml:space="preserve"> numeral</w:t>
      </w:r>
      <w:r w:rsidR="00A12DCE">
        <w:rPr>
          <w:rFonts w:cs="Arial"/>
          <w:color w:val="000000" w:themeColor="text1"/>
          <w:lang w:val="es-CO"/>
        </w:rPr>
        <w:t xml:space="preserve"> 3</w:t>
      </w:r>
      <w:r w:rsidRPr="007A08D5">
        <w:rPr>
          <w:rFonts w:cs="Arial"/>
          <w:color w:val="000000" w:themeColor="text1"/>
        </w:rPr>
        <w:t xml:space="preserve"> de este artículo</w:t>
      </w:r>
      <w:r w:rsidRPr="007A08D5">
        <w:rPr>
          <w:rFonts w:cs="Arial"/>
          <w:color w:val="000000" w:themeColor="text1"/>
          <w:lang w:val="es-CO"/>
        </w:rPr>
        <w:t>.</w:t>
      </w:r>
      <w:bookmarkEnd w:id="16"/>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C805F5">
      <w:pPr>
        <w:pStyle w:val="ARTICULOS"/>
        <w:numPr>
          <w:ilvl w:val="0"/>
          <w:numId w:val="0"/>
        </w:numPr>
        <w:tabs>
          <w:tab w:val="left" w:pos="1560"/>
        </w:tabs>
        <w:ind w:left="992"/>
        <w:rPr>
          <w:color w:val="000000" w:themeColor="text1"/>
          <w:lang w:val="es-CO"/>
        </w:rPr>
      </w:pPr>
      <w:r w:rsidRPr="007A08D5">
        <w:rPr>
          <w:color w:val="000000" w:themeColor="text1"/>
          <w:lang w:val="es-CO"/>
        </w:rPr>
        <w:t>Esta garantía, cuya aprobación deberá ser obtenida dentro de los dos (2) meses siguientes a la fecha de selección del gestor del mercado, deberá cumplir las siguientes condiciones:</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C805F5">
      <w:pPr>
        <w:numPr>
          <w:ilvl w:val="0"/>
          <w:numId w:val="55"/>
        </w:numPr>
        <w:autoSpaceDE w:val="0"/>
        <w:autoSpaceDN w:val="0"/>
        <w:adjustRightInd w:val="0"/>
        <w:ind w:left="1559" w:hanging="567"/>
        <w:jc w:val="both"/>
        <w:rPr>
          <w:rFonts w:ascii="Bookman Old Style" w:hAnsi="Bookman Old Style" w:cs="Arial"/>
          <w:color w:val="000000" w:themeColor="text1"/>
        </w:rPr>
      </w:pPr>
      <w:r w:rsidRPr="007A08D5">
        <w:rPr>
          <w:rFonts w:ascii="Bookman Old Style" w:hAnsi="Bookman Old Style" w:cs="Arial"/>
          <w:color w:val="000000" w:themeColor="text1"/>
        </w:rPr>
        <w:t xml:space="preserve">Valor de la cobertura: 10% del valor presente del ingreso anual esperado durante el período de vigencia de la obligación de </w:t>
      </w:r>
      <w:r w:rsidRPr="007A08D5">
        <w:rPr>
          <w:rFonts w:ascii="Bookman Old Style" w:hAnsi="Bookman Old Style" w:cs="Arial"/>
          <w:color w:val="000000" w:themeColor="text1"/>
        </w:rPr>
        <w:lastRenderedPageBreak/>
        <w:t xml:space="preserve">prestación de los servicios. Para los efectos del cálculo del valor presente se utilizará una tasa de descuento del 15%. </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017E52">
      <w:pPr>
        <w:tabs>
          <w:tab w:val="left" w:pos="1560"/>
        </w:tabs>
        <w:autoSpaceDE w:val="0"/>
        <w:autoSpaceDN w:val="0"/>
        <w:adjustRightInd w:val="0"/>
        <w:ind w:left="1560"/>
        <w:jc w:val="both"/>
        <w:rPr>
          <w:rFonts w:ascii="Bookman Old Style" w:hAnsi="Bookman Old Style" w:cs="Arial"/>
          <w:color w:val="000000" w:themeColor="text1"/>
        </w:rPr>
      </w:pPr>
      <w:r w:rsidRPr="007A08D5">
        <w:rPr>
          <w:rFonts w:ascii="Bookman Old Style" w:hAnsi="Bookman Old Style" w:cs="Arial"/>
          <w:color w:val="000000" w:themeColor="text1"/>
        </w:rPr>
        <w:t>El valor de la cobertura se deberá incrementar en los eventos señalados en el</w:t>
      </w:r>
      <w:r w:rsidR="00017E52">
        <w:rPr>
          <w:rFonts w:ascii="Bookman Old Style" w:hAnsi="Bookman Old Style" w:cs="Arial"/>
          <w:color w:val="000000" w:themeColor="text1"/>
        </w:rPr>
        <w:t xml:space="preserve"> Artículo 15</w:t>
      </w:r>
      <w:r w:rsidRPr="007A08D5">
        <w:rPr>
          <w:rFonts w:ascii="Bookman Old Style" w:hAnsi="Bookman Old Style" w:cs="Arial"/>
          <w:color w:val="000000" w:themeColor="text1"/>
        </w:rPr>
        <w:t xml:space="preserve"> de esta Resolución.</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C805F5">
      <w:pPr>
        <w:numPr>
          <w:ilvl w:val="0"/>
          <w:numId w:val="55"/>
        </w:numPr>
        <w:autoSpaceDE w:val="0"/>
        <w:autoSpaceDN w:val="0"/>
        <w:adjustRightInd w:val="0"/>
        <w:ind w:left="1559" w:hanging="567"/>
        <w:jc w:val="both"/>
        <w:rPr>
          <w:rFonts w:ascii="Bookman Old Style" w:hAnsi="Bookman Old Style" w:cs="Arial"/>
          <w:color w:val="000000" w:themeColor="text1"/>
        </w:rPr>
      </w:pPr>
      <w:r w:rsidRPr="007A08D5">
        <w:rPr>
          <w:rFonts w:ascii="Bookman Old Style" w:hAnsi="Bookman Old Style" w:cs="Arial"/>
          <w:color w:val="000000" w:themeColor="text1"/>
        </w:rPr>
        <w:t>Vigencia: período de planeación y cuatro meses más.</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A767E0" w:rsidRDefault="00C805F5" w:rsidP="00C805F5">
      <w:pPr>
        <w:numPr>
          <w:ilvl w:val="0"/>
          <w:numId w:val="55"/>
        </w:numPr>
        <w:autoSpaceDE w:val="0"/>
        <w:autoSpaceDN w:val="0"/>
        <w:adjustRightInd w:val="0"/>
        <w:ind w:left="1559" w:hanging="567"/>
        <w:jc w:val="both"/>
        <w:rPr>
          <w:rFonts w:ascii="Bookman Old Style" w:hAnsi="Bookman Old Style" w:cs="Arial"/>
          <w:color w:val="000000" w:themeColor="text1"/>
        </w:rPr>
      </w:pPr>
      <w:r w:rsidRPr="007A08D5">
        <w:rPr>
          <w:rFonts w:ascii="Bookman Old Style" w:hAnsi="Bookman Old Style" w:cs="Arial"/>
          <w:color w:val="000000" w:themeColor="text1"/>
        </w:rPr>
        <w:t>Beneficiario</w:t>
      </w:r>
      <w:r w:rsidR="00882D0B">
        <w:rPr>
          <w:rFonts w:ascii="Bookman Old Style" w:hAnsi="Bookman Old Style" w:cs="Arial"/>
          <w:color w:val="000000" w:themeColor="text1"/>
        </w:rPr>
        <w:t xml:space="preserve"> de las garantías</w:t>
      </w:r>
      <w:r w:rsidRPr="007A08D5">
        <w:rPr>
          <w:rFonts w:ascii="Bookman Old Style" w:hAnsi="Bookman Old Style" w:cs="Arial"/>
          <w:color w:val="000000" w:themeColor="text1"/>
        </w:rPr>
        <w:t xml:space="preserve">: </w:t>
      </w:r>
      <w:r w:rsidR="00212B71">
        <w:rPr>
          <w:rFonts w:ascii="Bookman Old Style" w:hAnsi="Bookman Old Style"/>
          <w:color w:val="000000" w:themeColor="text1"/>
          <w:lang w:val="es-CO"/>
        </w:rPr>
        <w:t>el fideicomiso o patrimonio autónomo que se conforma por la celebración del contrato de fiducia mercantil que suscriba el Fideicomiso CREG con un agente fiduciario.</w:t>
      </w:r>
    </w:p>
    <w:p w:rsidR="00882D0B" w:rsidRDefault="00882D0B" w:rsidP="00A767E0">
      <w:pPr>
        <w:pStyle w:val="Prrafodelista"/>
        <w:rPr>
          <w:rFonts w:ascii="Bookman Old Style" w:hAnsi="Bookman Old Style" w:cs="Arial"/>
          <w:color w:val="000000" w:themeColor="text1"/>
        </w:rPr>
      </w:pPr>
    </w:p>
    <w:p w:rsidR="00882D0B" w:rsidRPr="007A08D5" w:rsidRDefault="00882D0B" w:rsidP="00C805F5">
      <w:pPr>
        <w:numPr>
          <w:ilvl w:val="0"/>
          <w:numId w:val="55"/>
        </w:numPr>
        <w:autoSpaceDE w:val="0"/>
        <w:autoSpaceDN w:val="0"/>
        <w:adjustRightInd w:val="0"/>
        <w:ind w:left="1559" w:hanging="567"/>
        <w:jc w:val="both"/>
        <w:rPr>
          <w:rFonts w:ascii="Bookman Old Style" w:hAnsi="Bookman Old Style" w:cs="Arial"/>
          <w:color w:val="000000" w:themeColor="text1"/>
        </w:rPr>
      </w:pPr>
      <w:r>
        <w:rPr>
          <w:rFonts w:ascii="Bookman Old Style" w:hAnsi="Bookman Old Style" w:cs="Arial"/>
          <w:color w:val="000000" w:themeColor="text1"/>
        </w:rPr>
        <w:t>Beneficiarios de los dineros que resulten de la ejecución de las garantías por parte de</w:t>
      </w:r>
      <w:r w:rsidR="00AB578F">
        <w:rPr>
          <w:rFonts w:ascii="Bookman Old Style" w:hAnsi="Bookman Old Style" w:cs="Arial"/>
          <w:color w:val="000000" w:themeColor="text1"/>
        </w:rPr>
        <w:t>l fideicomiso o patrimonio autónomo: los vendedores de gas natural en el mercado primario, en proporción a las ventas de gas que hayan realizado mediante los contratos firmes y los contratos de suministro con firmeza condicionada que se encuentren vigentes</w:t>
      </w:r>
      <w:r w:rsidR="00DB7773">
        <w:rPr>
          <w:rFonts w:ascii="Bookman Old Style" w:hAnsi="Bookman Old Style" w:cs="Arial"/>
          <w:color w:val="000000" w:themeColor="text1"/>
        </w:rPr>
        <w:t xml:space="preserve"> en la fecha de inicio del período de planeación</w:t>
      </w:r>
      <w:r w:rsidR="00AB578F">
        <w:rPr>
          <w:rFonts w:ascii="Bookman Old Style" w:hAnsi="Bookman Old Style" w:cs="Arial"/>
          <w:color w:val="000000" w:themeColor="text1"/>
        </w:rPr>
        <w:t>.</w:t>
      </w:r>
    </w:p>
    <w:p w:rsidR="00AB578F" w:rsidRDefault="00AB578F" w:rsidP="00A767E0">
      <w:pPr>
        <w:autoSpaceDE w:val="0"/>
        <w:autoSpaceDN w:val="0"/>
        <w:adjustRightInd w:val="0"/>
        <w:ind w:left="1559"/>
        <w:jc w:val="both"/>
        <w:rPr>
          <w:rFonts w:ascii="Bookman Old Style" w:hAnsi="Bookman Old Style" w:cs="Arial"/>
          <w:color w:val="000000" w:themeColor="text1"/>
        </w:rPr>
      </w:pPr>
    </w:p>
    <w:p w:rsidR="00C805F5" w:rsidRPr="007A08D5" w:rsidRDefault="00C805F5" w:rsidP="00C805F5">
      <w:pPr>
        <w:numPr>
          <w:ilvl w:val="0"/>
          <w:numId w:val="55"/>
        </w:numPr>
        <w:autoSpaceDE w:val="0"/>
        <w:autoSpaceDN w:val="0"/>
        <w:adjustRightInd w:val="0"/>
        <w:ind w:left="1559" w:hanging="567"/>
        <w:jc w:val="both"/>
        <w:rPr>
          <w:rFonts w:ascii="Bookman Old Style" w:hAnsi="Bookman Old Style" w:cs="Arial"/>
          <w:color w:val="000000" w:themeColor="text1"/>
        </w:rPr>
      </w:pPr>
      <w:r w:rsidRPr="007A08D5">
        <w:rPr>
          <w:rFonts w:ascii="Bookman Old Style" w:hAnsi="Bookman Old Style" w:cs="Arial"/>
          <w:color w:val="000000" w:themeColor="text1"/>
        </w:rPr>
        <w:t xml:space="preserve">Eventos de incumplimiento: </w:t>
      </w:r>
      <w:r w:rsidR="00EA02A2" w:rsidRPr="007A08D5">
        <w:rPr>
          <w:rFonts w:ascii="Bookman Old Style" w:hAnsi="Bookman Old Style" w:cs="Arial"/>
          <w:color w:val="000000" w:themeColor="text1"/>
        </w:rPr>
        <w:t xml:space="preserve">la garantía se hará efectiva si el gestor del mercado no </w:t>
      </w:r>
      <w:r w:rsidR="00EA02A2">
        <w:rPr>
          <w:rFonts w:ascii="Bookman Old Style" w:hAnsi="Bookman Old Style" w:cs="Arial"/>
          <w:color w:val="000000" w:themeColor="text1"/>
        </w:rPr>
        <w:t xml:space="preserve">realiza oportunamente los incrementos en el valor de la cobertura a los que se hace referencia en el literal a) de este numeral. También </w:t>
      </w:r>
      <w:r w:rsidRPr="007A08D5">
        <w:rPr>
          <w:rFonts w:ascii="Bookman Old Style" w:hAnsi="Bookman Old Style" w:cs="Arial"/>
          <w:color w:val="000000" w:themeColor="text1"/>
        </w:rPr>
        <w:t xml:space="preserve">se hará efectiva en los eventos señalados en el numeral </w:t>
      </w:r>
      <w:r w:rsidR="000614C3">
        <w:rPr>
          <w:rFonts w:ascii="Bookman Old Style" w:hAnsi="Bookman Old Style" w:cs="Arial"/>
          <w:color w:val="000000" w:themeColor="text1"/>
        </w:rPr>
        <w:t>3</w:t>
      </w:r>
      <w:r w:rsidRPr="007A08D5">
        <w:rPr>
          <w:rFonts w:ascii="Bookman Old Style" w:hAnsi="Bookman Old Style" w:cs="Arial"/>
          <w:color w:val="000000" w:themeColor="text1"/>
        </w:rPr>
        <w:t xml:space="preserve"> del </w:t>
      </w:r>
      <w:r w:rsidR="000614C3">
        <w:rPr>
          <w:rFonts w:ascii="Bookman Old Style" w:hAnsi="Bookman Old Style" w:cs="Arial"/>
          <w:color w:val="000000" w:themeColor="text1"/>
        </w:rPr>
        <w:t>Artículo 17</w:t>
      </w:r>
      <w:r w:rsidRPr="007A08D5">
        <w:rPr>
          <w:rFonts w:ascii="Bookman Old Style" w:hAnsi="Bookman Old Style" w:cs="Arial"/>
          <w:color w:val="000000" w:themeColor="text1"/>
        </w:rPr>
        <w:t xml:space="preserve"> de esta Resolución. </w:t>
      </w:r>
      <w:r w:rsidR="00EA02A2">
        <w:rPr>
          <w:rFonts w:ascii="Bookman Old Style" w:hAnsi="Bookman Old Style" w:cs="Arial"/>
          <w:color w:val="000000" w:themeColor="text1"/>
        </w:rPr>
        <w:t>L</w:t>
      </w:r>
      <w:r w:rsidR="00EA02A2" w:rsidRPr="007A08D5">
        <w:rPr>
          <w:rFonts w:ascii="Bookman Old Style" w:hAnsi="Bookman Old Style" w:cs="Arial"/>
          <w:color w:val="000000" w:themeColor="text1"/>
        </w:rPr>
        <w:t xml:space="preserve">a garantía </w:t>
      </w:r>
      <w:r w:rsidR="00EA02A2">
        <w:rPr>
          <w:rFonts w:ascii="Bookman Old Style" w:hAnsi="Bookman Old Style" w:cs="Arial"/>
          <w:color w:val="000000" w:themeColor="text1"/>
        </w:rPr>
        <w:t>t</w:t>
      </w:r>
      <w:r w:rsidRPr="007A08D5">
        <w:rPr>
          <w:rFonts w:ascii="Bookman Old Style" w:hAnsi="Bookman Old Style" w:cs="Arial"/>
          <w:color w:val="000000" w:themeColor="text1"/>
        </w:rPr>
        <w:t xml:space="preserve">ambién se hará efectiva si el gestor del mercado no obtiene oportunamente la aprobación de la garantía a la que se hace referencia </w:t>
      </w:r>
      <w:r w:rsidRPr="007A08D5">
        <w:rPr>
          <w:rFonts w:ascii="Bookman Old Style" w:hAnsi="Bookman Old Style" w:cs="Arial"/>
          <w:color w:val="000000" w:themeColor="text1"/>
          <w:lang w:val="es-CO"/>
        </w:rPr>
        <w:t>el</w:t>
      </w:r>
      <w:r w:rsidRPr="007A08D5">
        <w:rPr>
          <w:rFonts w:ascii="Bookman Old Style" w:hAnsi="Bookman Old Style" w:cs="Arial"/>
          <w:color w:val="000000" w:themeColor="text1"/>
        </w:rPr>
        <w:t xml:space="preserve"> numeral </w:t>
      </w:r>
      <w:r w:rsidRPr="007A08D5">
        <w:rPr>
          <w:rFonts w:ascii="Bookman Old Style" w:hAnsi="Bookman Old Style" w:cs="Arial"/>
          <w:color w:val="000000" w:themeColor="text1"/>
        </w:rPr>
        <w:fldChar w:fldCharType="begin"/>
      </w:r>
      <w:r w:rsidRPr="007A08D5">
        <w:rPr>
          <w:rFonts w:ascii="Bookman Old Style" w:hAnsi="Bookman Old Style" w:cs="Arial"/>
          <w:color w:val="000000" w:themeColor="text1"/>
        </w:rPr>
        <w:instrText xml:space="preserve"> REF _Ref342459653 \r \h  \* MERGEFORMAT </w:instrText>
      </w:r>
      <w:r w:rsidRPr="007A08D5">
        <w:rPr>
          <w:rFonts w:ascii="Bookman Old Style" w:hAnsi="Bookman Old Style" w:cs="Arial"/>
          <w:color w:val="000000" w:themeColor="text1"/>
        </w:rPr>
      </w:r>
      <w:r w:rsidRPr="007A08D5">
        <w:rPr>
          <w:rFonts w:ascii="Bookman Old Style" w:hAnsi="Bookman Old Style" w:cs="Arial"/>
          <w:color w:val="000000" w:themeColor="text1"/>
        </w:rPr>
        <w:fldChar w:fldCharType="separate"/>
      </w:r>
      <w:r w:rsidR="00E57BF2">
        <w:rPr>
          <w:rFonts w:ascii="Bookman Old Style" w:hAnsi="Bookman Old Style" w:cs="Arial"/>
          <w:color w:val="000000" w:themeColor="text1"/>
        </w:rPr>
        <w:t>3</w:t>
      </w:r>
      <w:r w:rsidRPr="007A08D5">
        <w:rPr>
          <w:rFonts w:ascii="Bookman Old Style" w:hAnsi="Bookman Old Style" w:cs="Arial"/>
          <w:color w:val="000000" w:themeColor="text1"/>
        </w:rPr>
        <w:fldChar w:fldCharType="end"/>
      </w:r>
      <w:r w:rsidRPr="007A08D5">
        <w:rPr>
          <w:rFonts w:ascii="Bookman Old Style" w:hAnsi="Bookman Old Style" w:cs="Arial"/>
          <w:color w:val="000000" w:themeColor="text1"/>
        </w:rPr>
        <w:t xml:space="preserve"> de este artículo.</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C805F5">
      <w:pPr>
        <w:pStyle w:val="ARTICULOS"/>
        <w:numPr>
          <w:ilvl w:val="1"/>
          <w:numId w:val="53"/>
        </w:numPr>
        <w:ind w:left="992" w:hanging="567"/>
        <w:rPr>
          <w:color w:val="000000" w:themeColor="text1"/>
          <w:lang w:val="es-CO"/>
        </w:rPr>
      </w:pPr>
      <w:bookmarkStart w:id="17" w:name="_Ref342459653"/>
      <w:bookmarkStart w:id="18" w:name="_Ref342653844"/>
      <w:r w:rsidRPr="007A08D5">
        <w:rPr>
          <w:rFonts w:cs="Arial"/>
          <w:color w:val="000000" w:themeColor="text1"/>
          <w:lang w:val="es-CO"/>
        </w:rPr>
        <w:t>Garantía de cumplimiento</w:t>
      </w:r>
      <w:bookmarkEnd w:id="17"/>
      <w:r w:rsidRPr="007A08D5">
        <w:rPr>
          <w:rFonts w:cs="Arial"/>
          <w:color w:val="000000" w:themeColor="text1"/>
          <w:lang w:val="es-CO"/>
        </w:rPr>
        <w:t>.</w:t>
      </w:r>
      <w:r w:rsidRPr="007A08D5">
        <w:rPr>
          <w:color w:val="000000" w:themeColor="text1"/>
          <w:lang w:val="es-CO"/>
        </w:rPr>
        <w:t xml:space="preserve"> El proponente seleccionado como gestor del </w:t>
      </w:r>
      <w:r w:rsidRPr="00C805F5">
        <w:rPr>
          <w:rFonts w:cs="Arial"/>
          <w:color w:val="000000" w:themeColor="text1"/>
          <w:lang w:val="es-CO"/>
        </w:rPr>
        <w:t>mercado</w:t>
      </w:r>
      <w:r w:rsidRPr="007A08D5">
        <w:rPr>
          <w:color w:val="000000" w:themeColor="text1"/>
          <w:lang w:val="es-CO"/>
        </w:rPr>
        <w:t xml:space="preserve"> deberá constituir una garantía de cumplimiento de los servicios </w:t>
      </w:r>
      <w:r w:rsidRPr="007A08D5">
        <w:rPr>
          <w:rFonts w:cs="Arial"/>
          <w:color w:val="000000" w:themeColor="text1"/>
          <w:lang w:val="es-ES"/>
        </w:rPr>
        <w:t xml:space="preserve">establecidos en el </w:t>
      </w:r>
      <w:r w:rsidR="00017E52">
        <w:rPr>
          <w:rFonts w:cs="Arial"/>
          <w:color w:val="000000" w:themeColor="text1"/>
          <w:lang w:val="es-ES"/>
        </w:rPr>
        <w:t xml:space="preserve">Artículo 11 </w:t>
      </w:r>
      <w:r w:rsidRPr="007A08D5">
        <w:rPr>
          <w:rFonts w:cs="Arial"/>
          <w:color w:val="000000" w:themeColor="text1"/>
          <w:lang w:val="es-ES"/>
        </w:rPr>
        <w:t>de esta Resolución</w:t>
      </w:r>
      <w:r w:rsidRPr="007A08D5">
        <w:rPr>
          <w:color w:val="000000" w:themeColor="text1"/>
          <w:lang w:val="es-CO"/>
        </w:rPr>
        <w:t>.</w:t>
      </w:r>
      <w:bookmarkEnd w:id="18"/>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C805F5">
      <w:pPr>
        <w:pStyle w:val="ARTICULOS"/>
        <w:numPr>
          <w:ilvl w:val="0"/>
          <w:numId w:val="0"/>
        </w:numPr>
        <w:tabs>
          <w:tab w:val="left" w:pos="1560"/>
        </w:tabs>
        <w:ind w:left="992"/>
        <w:rPr>
          <w:color w:val="000000" w:themeColor="text1"/>
          <w:lang w:val="es-CO"/>
        </w:rPr>
      </w:pPr>
      <w:r w:rsidRPr="007A08D5">
        <w:rPr>
          <w:color w:val="000000" w:themeColor="text1"/>
          <w:lang w:val="es-CO"/>
        </w:rPr>
        <w:t xml:space="preserve">Esta garantía deberá estar aprobada un mes antes de la fecha de inicio </w:t>
      </w:r>
      <w:r w:rsidRPr="00C805F5">
        <w:rPr>
          <w:color w:val="000000" w:themeColor="text1"/>
          <w:lang w:val="es-CO"/>
        </w:rPr>
        <w:t>del período de vigencia de la obligación de prestación de los servicios</w:t>
      </w:r>
      <w:r w:rsidRPr="007A08D5">
        <w:rPr>
          <w:color w:val="000000" w:themeColor="text1"/>
          <w:lang w:val="es-CO"/>
        </w:rPr>
        <w:t xml:space="preserve"> y se renovará anualmente. Deberá cumplir las siguientes condiciones:</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C805F5">
      <w:pPr>
        <w:numPr>
          <w:ilvl w:val="0"/>
          <w:numId w:val="56"/>
        </w:numPr>
        <w:autoSpaceDE w:val="0"/>
        <w:autoSpaceDN w:val="0"/>
        <w:adjustRightInd w:val="0"/>
        <w:ind w:left="1559" w:hanging="567"/>
        <w:jc w:val="both"/>
        <w:rPr>
          <w:rFonts w:ascii="Bookman Old Style" w:hAnsi="Bookman Old Style" w:cs="Arial"/>
          <w:color w:val="000000" w:themeColor="text1"/>
        </w:rPr>
      </w:pPr>
      <w:r w:rsidRPr="007A08D5">
        <w:rPr>
          <w:rFonts w:ascii="Bookman Old Style" w:hAnsi="Bookman Old Style" w:cs="Arial"/>
          <w:color w:val="000000" w:themeColor="text1"/>
        </w:rPr>
        <w:t>Valor de la cobertura: 20% del promedio aritmético del ingreso anual esperado.</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C805F5">
      <w:pPr>
        <w:numPr>
          <w:ilvl w:val="0"/>
          <w:numId w:val="56"/>
        </w:numPr>
        <w:autoSpaceDE w:val="0"/>
        <w:autoSpaceDN w:val="0"/>
        <w:adjustRightInd w:val="0"/>
        <w:ind w:left="1559" w:hanging="567"/>
        <w:jc w:val="both"/>
        <w:rPr>
          <w:rFonts w:ascii="Bookman Old Style" w:hAnsi="Bookman Old Style" w:cs="Arial"/>
          <w:color w:val="000000" w:themeColor="text1"/>
        </w:rPr>
      </w:pPr>
      <w:r w:rsidRPr="007A08D5">
        <w:rPr>
          <w:rFonts w:ascii="Bookman Old Style" w:hAnsi="Bookman Old Style" w:cs="Arial"/>
          <w:color w:val="000000" w:themeColor="text1"/>
        </w:rPr>
        <w:t>Vigencia: tendrá una vigencia de trece meses. El gestor del mercado deberá renovarla anualmente para mantener vigente la garantía constituida y amparar la obligación de prestación de los servicios a su cargo.</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1D73C5" w:rsidRPr="007A08D5" w:rsidRDefault="00C805F5" w:rsidP="001D73C5">
      <w:pPr>
        <w:numPr>
          <w:ilvl w:val="0"/>
          <w:numId w:val="55"/>
        </w:numPr>
        <w:autoSpaceDE w:val="0"/>
        <w:autoSpaceDN w:val="0"/>
        <w:adjustRightInd w:val="0"/>
        <w:ind w:left="1559" w:hanging="567"/>
        <w:jc w:val="both"/>
        <w:rPr>
          <w:rFonts w:ascii="Bookman Old Style" w:hAnsi="Bookman Old Style" w:cs="Arial"/>
          <w:color w:val="000000" w:themeColor="text1"/>
        </w:rPr>
      </w:pPr>
      <w:r w:rsidRPr="007A08D5">
        <w:rPr>
          <w:rFonts w:ascii="Bookman Old Style" w:hAnsi="Bookman Old Style" w:cs="Arial"/>
          <w:color w:val="000000" w:themeColor="text1"/>
        </w:rPr>
        <w:t>Beneficiario</w:t>
      </w:r>
      <w:r w:rsidR="00882D0B">
        <w:rPr>
          <w:rFonts w:ascii="Bookman Old Style" w:hAnsi="Bookman Old Style" w:cs="Arial"/>
          <w:color w:val="000000" w:themeColor="text1"/>
        </w:rPr>
        <w:t xml:space="preserve"> de las garantías</w:t>
      </w:r>
      <w:r w:rsidRPr="007A08D5">
        <w:rPr>
          <w:rFonts w:ascii="Bookman Old Style" w:hAnsi="Bookman Old Style" w:cs="Arial"/>
          <w:color w:val="000000" w:themeColor="text1"/>
        </w:rPr>
        <w:t xml:space="preserve">: </w:t>
      </w:r>
      <w:r w:rsidR="001D73C5">
        <w:rPr>
          <w:rFonts w:ascii="Bookman Old Style" w:hAnsi="Bookman Old Style"/>
          <w:color w:val="000000" w:themeColor="text1"/>
          <w:lang w:val="es-CO"/>
        </w:rPr>
        <w:t>el fideicomiso o patrimonio autónomo que se conforma por la celebración del contrato de fiducia mercantil que suscriba el gestor del mercado seleccionado por la CREG.</w:t>
      </w:r>
    </w:p>
    <w:p w:rsidR="00AB578F" w:rsidRDefault="00AB578F" w:rsidP="00DB7773">
      <w:pPr>
        <w:autoSpaceDE w:val="0"/>
        <w:autoSpaceDN w:val="0"/>
        <w:adjustRightInd w:val="0"/>
        <w:ind w:left="992"/>
        <w:jc w:val="both"/>
        <w:rPr>
          <w:rFonts w:ascii="Bookman Old Style" w:hAnsi="Bookman Old Style"/>
          <w:color w:val="000000" w:themeColor="text1"/>
        </w:rPr>
      </w:pPr>
    </w:p>
    <w:p w:rsidR="00AB578F" w:rsidRPr="007A08D5" w:rsidRDefault="00AB578F" w:rsidP="00AB578F">
      <w:pPr>
        <w:numPr>
          <w:ilvl w:val="0"/>
          <w:numId w:val="55"/>
        </w:numPr>
        <w:autoSpaceDE w:val="0"/>
        <w:autoSpaceDN w:val="0"/>
        <w:adjustRightInd w:val="0"/>
        <w:ind w:left="1559" w:hanging="567"/>
        <w:jc w:val="both"/>
        <w:rPr>
          <w:rFonts w:ascii="Bookman Old Style" w:hAnsi="Bookman Old Style" w:cs="Arial"/>
          <w:color w:val="000000" w:themeColor="text1"/>
        </w:rPr>
      </w:pPr>
      <w:r>
        <w:rPr>
          <w:rFonts w:ascii="Bookman Old Style" w:hAnsi="Bookman Old Style" w:cs="Arial"/>
          <w:color w:val="000000" w:themeColor="text1"/>
        </w:rPr>
        <w:lastRenderedPageBreak/>
        <w:t>Beneficiarios de los dineros que resulten de la ejecución de las garantías por parte del fideicomiso o patrimonio autónomo: los vendedores de gas natural en el mercado primario, en proporción a las ventas de gas que hayan realizado mediante los contratos firmes y los contratos de suministro con firmeza condicionada que se encuentren vigentes</w:t>
      </w:r>
      <w:r w:rsidR="007F0E65">
        <w:rPr>
          <w:rFonts w:ascii="Bookman Old Style" w:hAnsi="Bookman Old Style" w:cs="Arial"/>
          <w:color w:val="000000" w:themeColor="text1"/>
        </w:rPr>
        <w:t xml:space="preserve"> conforme s</w:t>
      </w:r>
      <w:r w:rsidR="00AD08E4">
        <w:rPr>
          <w:rFonts w:ascii="Bookman Old Style" w:hAnsi="Bookman Old Style" w:cs="Arial"/>
          <w:color w:val="000000" w:themeColor="text1"/>
        </w:rPr>
        <w:t>e</w:t>
      </w:r>
      <w:r w:rsidR="007F0E65">
        <w:rPr>
          <w:rFonts w:ascii="Bookman Old Style" w:hAnsi="Bookman Old Style" w:cs="Arial"/>
          <w:color w:val="000000" w:themeColor="text1"/>
        </w:rPr>
        <w:t xml:space="preserve"> ordena en el parágrafo 3 de este artículo.</w:t>
      </w:r>
    </w:p>
    <w:p w:rsidR="00C805F5" w:rsidRPr="0059235B" w:rsidRDefault="00C805F5" w:rsidP="00DB7773">
      <w:pPr>
        <w:autoSpaceDE w:val="0"/>
        <w:autoSpaceDN w:val="0"/>
        <w:adjustRightInd w:val="0"/>
        <w:ind w:left="992"/>
        <w:jc w:val="both"/>
        <w:rPr>
          <w:rFonts w:ascii="Bookman Old Style" w:hAnsi="Bookman Old Style" w:cs="Arial"/>
          <w:color w:val="000000" w:themeColor="text1"/>
          <w:sz w:val="22"/>
          <w:szCs w:val="22"/>
        </w:rPr>
      </w:pPr>
    </w:p>
    <w:p w:rsidR="00C805F5" w:rsidRPr="007A08D5" w:rsidRDefault="00C805F5" w:rsidP="00C805F5">
      <w:pPr>
        <w:numPr>
          <w:ilvl w:val="0"/>
          <w:numId w:val="56"/>
        </w:numPr>
        <w:autoSpaceDE w:val="0"/>
        <w:autoSpaceDN w:val="0"/>
        <w:adjustRightInd w:val="0"/>
        <w:ind w:left="1559" w:hanging="567"/>
        <w:jc w:val="both"/>
        <w:rPr>
          <w:rFonts w:ascii="Bookman Old Style" w:hAnsi="Bookman Old Style" w:cs="Arial"/>
          <w:color w:val="000000" w:themeColor="text1"/>
        </w:rPr>
      </w:pPr>
      <w:r w:rsidRPr="007A08D5">
        <w:rPr>
          <w:rFonts w:ascii="Bookman Old Style" w:hAnsi="Bookman Old Style" w:cs="Arial"/>
          <w:color w:val="000000" w:themeColor="text1"/>
        </w:rPr>
        <w:t xml:space="preserve">Eventos de incumplimiento: la garantía se hará efectiva en los eventos señalados en los numerales </w:t>
      </w:r>
      <w:r w:rsidR="00032BBF">
        <w:rPr>
          <w:rFonts w:ascii="Bookman Old Style" w:hAnsi="Bookman Old Style" w:cs="Arial"/>
          <w:color w:val="000000" w:themeColor="text1"/>
        </w:rPr>
        <w:t>1</w:t>
      </w:r>
      <w:r w:rsidR="00DB7773">
        <w:rPr>
          <w:rFonts w:ascii="Bookman Old Style" w:hAnsi="Bookman Old Style" w:cs="Arial"/>
          <w:color w:val="000000" w:themeColor="text1"/>
        </w:rPr>
        <w:t xml:space="preserve"> </w:t>
      </w:r>
      <w:r w:rsidRPr="007A08D5">
        <w:rPr>
          <w:rFonts w:ascii="Bookman Old Style" w:hAnsi="Bookman Old Style" w:cs="Arial"/>
          <w:color w:val="000000" w:themeColor="text1"/>
        </w:rPr>
        <w:t xml:space="preserve">y </w:t>
      </w:r>
      <w:r w:rsidR="00032BBF">
        <w:rPr>
          <w:rFonts w:ascii="Bookman Old Style" w:hAnsi="Bookman Old Style" w:cs="Arial"/>
          <w:color w:val="000000" w:themeColor="text1"/>
        </w:rPr>
        <w:t>2</w:t>
      </w:r>
      <w:r w:rsidRPr="007A08D5">
        <w:rPr>
          <w:rFonts w:ascii="Bookman Old Style" w:hAnsi="Bookman Old Style" w:cs="Arial"/>
          <w:color w:val="000000" w:themeColor="text1"/>
        </w:rPr>
        <w:t xml:space="preserve"> del </w:t>
      </w:r>
      <w:r w:rsidR="00032BBF">
        <w:rPr>
          <w:rFonts w:ascii="Bookman Old Style" w:hAnsi="Bookman Old Style" w:cs="Arial"/>
          <w:color w:val="000000" w:themeColor="text1"/>
        </w:rPr>
        <w:t>Artículo 17</w:t>
      </w:r>
      <w:r w:rsidRPr="007A08D5">
        <w:rPr>
          <w:rFonts w:ascii="Bookman Old Style" w:hAnsi="Bookman Old Style" w:cs="Arial"/>
          <w:color w:val="000000" w:themeColor="text1"/>
        </w:rPr>
        <w:t xml:space="preserve"> de esta Resolución. También se hará efectiva si el proponente no obtiene oportunamente la aprobación de la renovación de la garantía de cumplimiento a que hace referencia este numeral. También constituirán eventos de incumplimiento grave e insalvable que dan lugar a que se haga efectiva esta garantía: fraude, evasión de impuestos y condena criminal de los gerentes del prestador de servicios en conexión con sus deberes como el gestor del mercado.</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C805F5">
      <w:pPr>
        <w:pStyle w:val="ARTICULOS"/>
        <w:numPr>
          <w:ilvl w:val="0"/>
          <w:numId w:val="0"/>
        </w:numPr>
        <w:tabs>
          <w:tab w:val="left" w:pos="1560"/>
        </w:tabs>
        <w:ind w:left="425"/>
        <w:rPr>
          <w:b/>
          <w:color w:val="000000" w:themeColor="text1"/>
          <w:lang w:val="es-CO"/>
        </w:rPr>
      </w:pPr>
      <w:r w:rsidRPr="007A08D5">
        <w:rPr>
          <w:b/>
          <w:color w:val="000000" w:themeColor="text1"/>
          <w:lang w:val="es-CO"/>
        </w:rPr>
        <w:t xml:space="preserve">Parágrafo 1. </w:t>
      </w:r>
      <w:r w:rsidR="00870314">
        <w:rPr>
          <w:color w:val="000000" w:themeColor="text1"/>
          <w:lang w:val="es-CO"/>
        </w:rPr>
        <w:t>L</w:t>
      </w:r>
      <w:r w:rsidRPr="007A08D5">
        <w:rPr>
          <w:rFonts w:cs="Arial"/>
          <w:bCs w:val="0"/>
          <w:color w:val="000000" w:themeColor="text1"/>
          <w:lang w:val="es-ES" w:eastAsia="es-ES"/>
        </w:rPr>
        <w:t>a CREG</w:t>
      </w:r>
      <w:r w:rsidR="00870314">
        <w:rPr>
          <w:rFonts w:cs="Arial"/>
          <w:bCs w:val="0"/>
          <w:color w:val="000000" w:themeColor="text1"/>
          <w:lang w:val="es-ES" w:eastAsia="es-ES"/>
        </w:rPr>
        <w:t>, por intermedio del patrimonio autónomo Fideicomiso CREG,</w:t>
      </w:r>
      <w:r w:rsidRPr="007A08D5">
        <w:rPr>
          <w:rFonts w:cs="Arial"/>
          <w:bCs w:val="0"/>
          <w:color w:val="000000" w:themeColor="text1"/>
          <w:lang w:val="es-ES" w:eastAsia="es-ES"/>
        </w:rPr>
        <w:t xml:space="preserve"> constituirá un</w:t>
      </w:r>
      <w:r w:rsidR="004C15BE">
        <w:rPr>
          <w:rFonts w:cs="Arial"/>
          <w:bCs w:val="0"/>
          <w:color w:val="000000" w:themeColor="text1"/>
          <w:lang w:val="es-ES" w:eastAsia="es-ES"/>
        </w:rPr>
        <w:t xml:space="preserve"> fideicomiso o patrimonio autónomo</w:t>
      </w:r>
      <w:r w:rsidRPr="007A08D5">
        <w:rPr>
          <w:rFonts w:cs="Arial"/>
          <w:bCs w:val="0"/>
          <w:color w:val="000000" w:themeColor="text1"/>
          <w:lang w:val="es-ES" w:eastAsia="es-ES"/>
        </w:rPr>
        <w:t xml:space="preserve"> para efectos</w:t>
      </w:r>
      <w:r w:rsidRPr="007A08D5">
        <w:rPr>
          <w:rFonts w:cs="Arial"/>
          <w:color w:val="000000" w:themeColor="text1"/>
          <w:lang w:val="es-ES"/>
        </w:rPr>
        <w:t xml:space="preserve"> de que una fiduciaria reciba, </w:t>
      </w:r>
      <w:r w:rsidRPr="007A08D5">
        <w:rPr>
          <w:rFonts w:cs="Arial"/>
          <w:color w:val="000000" w:themeColor="text1"/>
        </w:rPr>
        <w:t xml:space="preserve">apruebe si es del caso, </w:t>
      </w:r>
      <w:r w:rsidRPr="007A08D5">
        <w:rPr>
          <w:rFonts w:cs="Arial"/>
          <w:color w:val="000000" w:themeColor="text1"/>
          <w:lang w:val="es-ES"/>
        </w:rPr>
        <w:t>administre</w:t>
      </w:r>
      <w:r w:rsidR="00017E52">
        <w:rPr>
          <w:rFonts w:cs="Arial"/>
          <w:color w:val="000000" w:themeColor="text1"/>
          <w:lang w:val="es-ES"/>
        </w:rPr>
        <w:t>,</w:t>
      </w:r>
      <w:r w:rsidRPr="007A08D5">
        <w:rPr>
          <w:rFonts w:cs="Arial"/>
          <w:color w:val="000000" w:themeColor="text1"/>
          <w:lang w:val="es-ES"/>
        </w:rPr>
        <w:t xml:space="preserve"> </w:t>
      </w:r>
      <w:r w:rsidR="00870314">
        <w:rPr>
          <w:rFonts w:cs="Arial"/>
          <w:color w:val="000000" w:themeColor="text1"/>
          <w:lang w:val="es-ES"/>
        </w:rPr>
        <w:t>ejecute</w:t>
      </w:r>
      <w:r w:rsidR="00870314" w:rsidRPr="007A08D5">
        <w:rPr>
          <w:rFonts w:cs="Arial"/>
          <w:color w:val="000000" w:themeColor="text1"/>
          <w:lang w:val="es-ES"/>
        </w:rPr>
        <w:t xml:space="preserve"> </w:t>
      </w:r>
      <w:r w:rsidRPr="007A08D5">
        <w:rPr>
          <w:rFonts w:cs="Arial"/>
          <w:color w:val="000000" w:themeColor="text1"/>
          <w:lang w:val="es-ES"/>
        </w:rPr>
        <w:t>las garantías a los acreedores de las obligaciones incumplidas</w:t>
      </w:r>
      <w:r w:rsidR="00DB7773">
        <w:rPr>
          <w:rFonts w:cs="Arial"/>
          <w:color w:val="000000" w:themeColor="text1"/>
          <w:lang w:val="es-ES"/>
        </w:rPr>
        <w:t xml:space="preserve"> cuando haya lugar a ello</w:t>
      </w:r>
      <w:r w:rsidRPr="007A08D5">
        <w:rPr>
          <w:rFonts w:cs="Arial"/>
          <w:color w:val="000000" w:themeColor="text1"/>
          <w:lang w:val="es-ES"/>
        </w:rPr>
        <w:t xml:space="preserve">, </w:t>
      </w:r>
      <w:r w:rsidR="00DB7773">
        <w:rPr>
          <w:rFonts w:cs="Arial"/>
          <w:color w:val="000000" w:themeColor="text1"/>
          <w:lang w:val="es-ES"/>
        </w:rPr>
        <w:t xml:space="preserve">lo cual </w:t>
      </w:r>
      <w:r w:rsidR="00017E52">
        <w:rPr>
          <w:rFonts w:cs="Arial"/>
          <w:color w:val="000000" w:themeColor="text1"/>
          <w:lang w:val="es-ES"/>
        </w:rPr>
        <w:t>inclu</w:t>
      </w:r>
      <w:r w:rsidR="00DB7773">
        <w:rPr>
          <w:rFonts w:cs="Arial"/>
          <w:color w:val="000000" w:themeColor="text1"/>
          <w:lang w:val="es-ES"/>
        </w:rPr>
        <w:t>irá</w:t>
      </w:r>
      <w:r w:rsidR="00870314">
        <w:rPr>
          <w:rFonts w:cs="Arial"/>
          <w:color w:val="000000" w:themeColor="text1"/>
          <w:lang w:val="es-ES"/>
        </w:rPr>
        <w:t xml:space="preserve"> todas las gestiones tendientes al cobro de las mismas, </w:t>
      </w:r>
      <w:r w:rsidR="00017E52">
        <w:rPr>
          <w:rFonts w:cs="Arial"/>
          <w:color w:val="000000" w:themeColor="text1"/>
          <w:lang w:val="es-ES"/>
        </w:rPr>
        <w:t>y traslade los recursos obtenidos en moneda nacional a los beneficiarios del fideicomiso o patrimonio autónomo</w:t>
      </w:r>
      <w:r w:rsidR="00882D0B">
        <w:rPr>
          <w:rFonts w:cs="Arial"/>
          <w:color w:val="000000" w:themeColor="text1"/>
          <w:lang w:val="es-ES"/>
        </w:rPr>
        <w:t xml:space="preserve">, </w:t>
      </w:r>
      <w:r w:rsidRPr="007A08D5">
        <w:rPr>
          <w:rFonts w:cs="Arial"/>
          <w:color w:val="000000" w:themeColor="text1"/>
          <w:lang w:val="es-ES"/>
        </w:rPr>
        <w:t>conforme a lo establecido en esta Resolución, al acto administrativo que declare el</w:t>
      </w:r>
      <w:r w:rsidRPr="007A08D5">
        <w:rPr>
          <w:rFonts w:cs="Arial"/>
          <w:color w:val="000000" w:themeColor="text1"/>
        </w:rPr>
        <w:t>(los)</w:t>
      </w:r>
      <w:r w:rsidRPr="007A08D5">
        <w:rPr>
          <w:rFonts w:cs="Arial"/>
          <w:color w:val="000000" w:themeColor="text1"/>
          <w:lang w:val="es-ES"/>
        </w:rPr>
        <w:t xml:space="preserve"> incumplimiento</w:t>
      </w:r>
      <w:r w:rsidRPr="007A08D5">
        <w:rPr>
          <w:rFonts w:cs="Arial"/>
          <w:color w:val="000000" w:themeColor="text1"/>
        </w:rPr>
        <w:t>(</w:t>
      </w:r>
      <w:r w:rsidRPr="007A08D5">
        <w:rPr>
          <w:rFonts w:cs="Arial"/>
          <w:color w:val="000000" w:themeColor="text1"/>
          <w:lang w:val="es-ES"/>
        </w:rPr>
        <w:t>s</w:t>
      </w:r>
      <w:r w:rsidRPr="007A08D5">
        <w:rPr>
          <w:rFonts w:cs="Arial"/>
          <w:color w:val="000000" w:themeColor="text1"/>
        </w:rPr>
        <w:t>)</w:t>
      </w:r>
      <w:r w:rsidRPr="007A08D5">
        <w:rPr>
          <w:rFonts w:cs="Arial"/>
          <w:color w:val="000000" w:themeColor="text1"/>
          <w:lang w:val="es-ES"/>
        </w:rPr>
        <w:t xml:space="preserve"> ocurrido</w:t>
      </w:r>
      <w:r w:rsidRPr="007A08D5">
        <w:rPr>
          <w:rFonts w:cs="Arial"/>
          <w:color w:val="000000" w:themeColor="text1"/>
        </w:rPr>
        <w:t>(</w:t>
      </w:r>
      <w:r w:rsidRPr="007A08D5">
        <w:rPr>
          <w:rFonts w:cs="Arial"/>
          <w:color w:val="000000" w:themeColor="text1"/>
          <w:lang w:val="es-ES"/>
        </w:rPr>
        <w:t>s</w:t>
      </w:r>
      <w:r w:rsidRPr="007A08D5">
        <w:rPr>
          <w:rFonts w:cs="Arial"/>
          <w:color w:val="000000" w:themeColor="text1"/>
        </w:rPr>
        <w:t>)</w:t>
      </w:r>
      <w:r w:rsidRPr="007A08D5">
        <w:rPr>
          <w:rFonts w:cs="Arial"/>
          <w:color w:val="000000" w:themeColor="text1"/>
          <w:lang w:val="es-ES"/>
        </w:rPr>
        <w:t xml:space="preserve"> cuando así corresponda y al contrato de fiducia celebrado.</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870314" w:rsidRDefault="00C805F5" w:rsidP="00DB7773">
      <w:pPr>
        <w:pStyle w:val="ARTICULOS"/>
        <w:numPr>
          <w:ilvl w:val="0"/>
          <w:numId w:val="0"/>
        </w:numPr>
        <w:tabs>
          <w:tab w:val="left" w:pos="1134"/>
        </w:tabs>
        <w:ind w:left="425"/>
        <w:rPr>
          <w:color w:val="000000" w:themeColor="text1"/>
          <w:lang w:val="es-CO"/>
        </w:rPr>
      </w:pPr>
      <w:r w:rsidRPr="007A08D5">
        <w:rPr>
          <w:color w:val="000000" w:themeColor="text1"/>
          <w:lang w:val="es-CO"/>
        </w:rPr>
        <w:t>Para estos efectos, la CREG declarará mediante acto administrativo el(los) incumplimiento(s) que ocurra(n)</w:t>
      </w:r>
      <w:r w:rsidR="00870314">
        <w:rPr>
          <w:color w:val="000000" w:themeColor="text1"/>
          <w:lang w:val="es-CO"/>
        </w:rPr>
        <w:t xml:space="preserve"> salvo en los siguientes casos, en los cuales el fideicomiso</w:t>
      </w:r>
      <w:r w:rsidR="00882D0B">
        <w:rPr>
          <w:color w:val="000000" w:themeColor="text1"/>
          <w:lang w:val="es-CO"/>
        </w:rPr>
        <w:t xml:space="preserve"> o patrimonio autónomo</w:t>
      </w:r>
      <w:r w:rsidR="00870314">
        <w:rPr>
          <w:color w:val="000000" w:themeColor="text1"/>
          <w:lang w:val="es-CO"/>
        </w:rPr>
        <w:t xml:space="preserve"> las ejecutará inmediatamente tenga conocimiento del hecho constitutivo de incumplimiento:</w:t>
      </w:r>
    </w:p>
    <w:p w:rsidR="00870314" w:rsidRDefault="00870314" w:rsidP="00C805F5">
      <w:pPr>
        <w:pStyle w:val="ARTICULOS"/>
        <w:numPr>
          <w:ilvl w:val="0"/>
          <w:numId w:val="0"/>
        </w:numPr>
        <w:tabs>
          <w:tab w:val="left" w:pos="1134"/>
        </w:tabs>
        <w:ind w:left="425"/>
        <w:rPr>
          <w:color w:val="000000" w:themeColor="text1"/>
          <w:lang w:val="es-CO"/>
        </w:rPr>
      </w:pPr>
    </w:p>
    <w:p w:rsidR="00870314" w:rsidRPr="00DB7773" w:rsidRDefault="004261A6" w:rsidP="00DB7773">
      <w:pPr>
        <w:numPr>
          <w:ilvl w:val="0"/>
          <w:numId w:val="78"/>
        </w:numPr>
        <w:autoSpaceDE w:val="0"/>
        <w:autoSpaceDN w:val="0"/>
        <w:adjustRightInd w:val="0"/>
        <w:ind w:left="1559" w:hanging="567"/>
        <w:jc w:val="both"/>
        <w:rPr>
          <w:rFonts w:ascii="Bookman Old Style" w:hAnsi="Bookman Old Style" w:cs="Arial"/>
          <w:color w:val="000000" w:themeColor="text1"/>
        </w:rPr>
      </w:pPr>
      <w:r w:rsidRPr="004261A6">
        <w:rPr>
          <w:rFonts w:ascii="Bookman Old Style" w:hAnsi="Bookman Old Style" w:cs="Arial"/>
          <w:color w:val="000000" w:themeColor="text1"/>
        </w:rPr>
        <w:t>En el caso de la garantía de que trata el numeral 1 de este artículo cuando e</w:t>
      </w:r>
      <w:r w:rsidR="00870314" w:rsidRPr="00DB7773">
        <w:rPr>
          <w:rFonts w:ascii="Bookman Old Style" w:hAnsi="Bookman Old Style" w:cs="Arial"/>
          <w:color w:val="000000" w:themeColor="text1"/>
        </w:rPr>
        <w:t>l proponente seleccionado como gestor del mercado no realiza el pago de la comisión de éxito del promotor contratado por la CREG para la promoción del proceso de selección dentro del mes siguiente a la fecha de se</w:t>
      </w:r>
      <w:r w:rsidRPr="00DB7773">
        <w:rPr>
          <w:rFonts w:ascii="Bookman Old Style" w:hAnsi="Bookman Old Style" w:cs="Arial"/>
          <w:color w:val="000000" w:themeColor="text1"/>
        </w:rPr>
        <w:t>lección del gestor del mercado o cuando e</w:t>
      </w:r>
      <w:r w:rsidR="00870314" w:rsidRPr="00DB7773">
        <w:rPr>
          <w:rFonts w:ascii="Bookman Old Style" w:hAnsi="Bookman Old Style" w:cs="Arial"/>
          <w:color w:val="000000" w:themeColor="text1"/>
        </w:rPr>
        <w:t>l proponente seleccionado como gestor del mercado no obtiene oportunamente la aprobación de la garantía de que trata el numeral 2 de este artículo.</w:t>
      </w:r>
    </w:p>
    <w:p w:rsidR="00DB7773" w:rsidRDefault="00DB7773" w:rsidP="00DB7773">
      <w:pPr>
        <w:autoSpaceDE w:val="0"/>
        <w:autoSpaceDN w:val="0"/>
        <w:adjustRightInd w:val="0"/>
        <w:ind w:left="1559"/>
        <w:jc w:val="both"/>
        <w:rPr>
          <w:rFonts w:ascii="Bookman Old Style" w:hAnsi="Bookman Old Style" w:cs="Arial"/>
          <w:color w:val="000000" w:themeColor="text1"/>
        </w:rPr>
      </w:pPr>
    </w:p>
    <w:p w:rsidR="004261A6" w:rsidRPr="00DB7773" w:rsidRDefault="004261A6" w:rsidP="00A767E0">
      <w:pPr>
        <w:numPr>
          <w:ilvl w:val="0"/>
          <w:numId w:val="78"/>
        </w:numPr>
        <w:autoSpaceDE w:val="0"/>
        <w:autoSpaceDN w:val="0"/>
        <w:adjustRightInd w:val="0"/>
        <w:ind w:left="1559" w:hanging="567"/>
        <w:jc w:val="both"/>
        <w:rPr>
          <w:rFonts w:ascii="Bookman Old Style" w:hAnsi="Bookman Old Style" w:cs="Arial"/>
          <w:color w:val="000000" w:themeColor="text1"/>
        </w:rPr>
      </w:pPr>
      <w:r w:rsidRPr="00DB7773">
        <w:rPr>
          <w:rFonts w:ascii="Bookman Old Style" w:hAnsi="Bookman Old Style" w:cs="Arial"/>
          <w:color w:val="000000" w:themeColor="text1"/>
        </w:rPr>
        <w:t>En el caso de la garantía de que trata el numeral 2 de este artículo en los eventos señalados en el numeral</w:t>
      </w:r>
      <w:r>
        <w:rPr>
          <w:rFonts w:ascii="Bookman Old Style" w:hAnsi="Bookman Old Style" w:cs="Arial"/>
          <w:color w:val="000000" w:themeColor="text1"/>
        </w:rPr>
        <w:t xml:space="preserve"> 3</w:t>
      </w:r>
      <w:r w:rsidRPr="00DB7773">
        <w:rPr>
          <w:rFonts w:ascii="Bookman Old Style" w:hAnsi="Bookman Old Style" w:cs="Arial"/>
          <w:color w:val="000000" w:themeColor="text1"/>
        </w:rPr>
        <w:t xml:space="preserve"> del</w:t>
      </w:r>
      <w:r>
        <w:rPr>
          <w:rFonts w:ascii="Bookman Old Style" w:hAnsi="Bookman Old Style" w:cs="Arial"/>
          <w:color w:val="000000" w:themeColor="text1"/>
        </w:rPr>
        <w:t xml:space="preserve"> Artículo 17</w:t>
      </w:r>
      <w:r w:rsidRPr="00DB7773">
        <w:rPr>
          <w:rFonts w:ascii="Bookman Old Style" w:hAnsi="Bookman Old Style" w:cs="Arial"/>
          <w:color w:val="000000" w:themeColor="text1"/>
        </w:rPr>
        <w:t xml:space="preserve"> de esta Resolución. También se hará efectiva si el gestor del mercado no obtiene oportunamente la aprobación de la garantía a la que se hace referencia el numeral </w:t>
      </w:r>
      <w:r>
        <w:rPr>
          <w:rFonts w:ascii="Bookman Old Style" w:hAnsi="Bookman Old Style" w:cs="Arial"/>
          <w:color w:val="000000" w:themeColor="text1"/>
        </w:rPr>
        <w:t>3</w:t>
      </w:r>
      <w:r w:rsidRPr="00DB7773">
        <w:rPr>
          <w:rFonts w:ascii="Bookman Old Style" w:hAnsi="Bookman Old Style" w:cs="Arial"/>
          <w:color w:val="000000" w:themeColor="text1"/>
        </w:rPr>
        <w:t xml:space="preserve"> de este artículo</w:t>
      </w:r>
      <w:r w:rsidR="00CD0411">
        <w:rPr>
          <w:rFonts w:ascii="Bookman Old Style" w:hAnsi="Bookman Old Style" w:cs="Arial"/>
          <w:color w:val="000000" w:themeColor="text1"/>
        </w:rPr>
        <w:t xml:space="preserve"> y cuando no amplíe la cobertura </w:t>
      </w:r>
      <w:r w:rsidR="00884F88">
        <w:rPr>
          <w:rFonts w:ascii="Bookman Old Style" w:hAnsi="Bookman Old Style" w:cs="Arial"/>
          <w:color w:val="000000" w:themeColor="text1"/>
        </w:rPr>
        <w:t xml:space="preserve">de la garantía de cumplimiento </w:t>
      </w:r>
      <w:r w:rsidR="002E448C">
        <w:rPr>
          <w:rFonts w:ascii="Bookman Old Style" w:hAnsi="Bookman Old Style" w:cs="Arial"/>
          <w:color w:val="000000" w:themeColor="text1"/>
        </w:rPr>
        <w:t xml:space="preserve">de puesta en operación </w:t>
      </w:r>
      <w:r w:rsidR="00CD0411">
        <w:rPr>
          <w:rFonts w:ascii="Bookman Old Style" w:hAnsi="Bookman Old Style" w:cs="Arial"/>
          <w:color w:val="000000" w:themeColor="text1"/>
        </w:rPr>
        <w:t xml:space="preserve">según lo ordenado en el </w:t>
      </w:r>
      <w:r w:rsidR="00EA02A2">
        <w:rPr>
          <w:rFonts w:ascii="Bookman Old Style" w:hAnsi="Bookman Old Style" w:cs="Arial"/>
          <w:color w:val="000000" w:themeColor="text1"/>
        </w:rPr>
        <w:t xml:space="preserve">Artículo </w:t>
      </w:r>
      <w:r w:rsidR="00CD0411">
        <w:rPr>
          <w:rFonts w:ascii="Bookman Old Style" w:hAnsi="Bookman Old Style" w:cs="Arial"/>
          <w:color w:val="000000" w:themeColor="text1"/>
        </w:rPr>
        <w:t>15</w:t>
      </w:r>
      <w:r w:rsidR="00EA02A2">
        <w:rPr>
          <w:rFonts w:ascii="Bookman Old Style" w:hAnsi="Bookman Old Style" w:cs="Arial"/>
          <w:color w:val="000000" w:themeColor="text1"/>
        </w:rPr>
        <w:t xml:space="preserve"> de esta Resolución</w:t>
      </w:r>
      <w:r w:rsidRPr="00DB7773">
        <w:rPr>
          <w:rFonts w:ascii="Bookman Old Style" w:hAnsi="Bookman Old Style" w:cs="Arial"/>
          <w:color w:val="000000" w:themeColor="text1"/>
        </w:rPr>
        <w:t>.</w:t>
      </w:r>
    </w:p>
    <w:p w:rsidR="00DB7773" w:rsidRDefault="00DB7773" w:rsidP="00DB7773">
      <w:pPr>
        <w:autoSpaceDE w:val="0"/>
        <w:autoSpaceDN w:val="0"/>
        <w:adjustRightInd w:val="0"/>
        <w:ind w:left="1559"/>
        <w:jc w:val="both"/>
        <w:rPr>
          <w:rFonts w:ascii="Bookman Old Style" w:hAnsi="Bookman Old Style" w:cs="Arial"/>
          <w:color w:val="000000" w:themeColor="text1"/>
        </w:rPr>
      </w:pPr>
    </w:p>
    <w:p w:rsidR="00870314" w:rsidRPr="00DB7773" w:rsidRDefault="004261A6" w:rsidP="00A767E0">
      <w:pPr>
        <w:numPr>
          <w:ilvl w:val="0"/>
          <w:numId w:val="78"/>
        </w:numPr>
        <w:autoSpaceDE w:val="0"/>
        <w:autoSpaceDN w:val="0"/>
        <w:adjustRightInd w:val="0"/>
        <w:ind w:left="1559" w:hanging="567"/>
        <w:jc w:val="both"/>
        <w:rPr>
          <w:rFonts w:ascii="Bookman Old Style" w:hAnsi="Bookman Old Style" w:cs="Arial"/>
          <w:color w:val="000000" w:themeColor="text1"/>
        </w:rPr>
      </w:pPr>
      <w:r w:rsidRPr="00DB7773">
        <w:rPr>
          <w:rFonts w:ascii="Bookman Old Style" w:hAnsi="Bookman Old Style" w:cs="Arial"/>
          <w:color w:val="000000" w:themeColor="text1"/>
        </w:rPr>
        <w:t xml:space="preserve">En el caso de la garantía de que trata el numeral 3 de este artículo en los eventos señalados en los numerales </w:t>
      </w:r>
      <w:r w:rsidR="009F4181" w:rsidRPr="00DB7773">
        <w:rPr>
          <w:rFonts w:ascii="Bookman Old Style" w:hAnsi="Bookman Old Style" w:cs="Arial"/>
          <w:color w:val="000000" w:themeColor="text1"/>
        </w:rPr>
        <w:t>1 y 2</w:t>
      </w:r>
      <w:r w:rsidRPr="00DB7773">
        <w:rPr>
          <w:rFonts w:ascii="Bookman Old Style" w:hAnsi="Bookman Old Style" w:cs="Arial"/>
          <w:color w:val="000000" w:themeColor="text1"/>
        </w:rPr>
        <w:t xml:space="preserve"> del</w:t>
      </w:r>
      <w:r w:rsidR="009F4181" w:rsidRPr="00DB7773">
        <w:rPr>
          <w:rFonts w:ascii="Bookman Old Style" w:hAnsi="Bookman Old Style" w:cs="Arial"/>
          <w:color w:val="000000" w:themeColor="text1"/>
        </w:rPr>
        <w:t xml:space="preserve"> Artículo 17</w:t>
      </w:r>
      <w:r w:rsidRPr="00DB7773">
        <w:rPr>
          <w:rFonts w:ascii="Bookman Old Style" w:hAnsi="Bookman Old Style" w:cs="Arial"/>
          <w:color w:val="000000" w:themeColor="text1"/>
        </w:rPr>
        <w:t xml:space="preserve"> de esta Resolución. También se hará efectiva si el proponente no obtiene oportunamente la aprobación de la renovación de la garantía de cumplimiento a que hace referencia este numeral.</w:t>
      </w:r>
    </w:p>
    <w:p w:rsidR="00C805F5" w:rsidRPr="007A08D5" w:rsidRDefault="00C805F5" w:rsidP="00C805F5">
      <w:pPr>
        <w:pStyle w:val="ARTICULOS"/>
        <w:numPr>
          <w:ilvl w:val="0"/>
          <w:numId w:val="0"/>
        </w:numPr>
        <w:tabs>
          <w:tab w:val="left" w:pos="1134"/>
        </w:tabs>
        <w:ind w:left="425"/>
        <w:rPr>
          <w:color w:val="000000" w:themeColor="text1"/>
          <w:lang w:val="es-CO"/>
        </w:rPr>
      </w:pPr>
    </w:p>
    <w:p w:rsidR="00C805F5" w:rsidRPr="007A08D5" w:rsidRDefault="00C805F5" w:rsidP="00C805F5">
      <w:pPr>
        <w:pStyle w:val="ARTICULOS"/>
        <w:numPr>
          <w:ilvl w:val="0"/>
          <w:numId w:val="0"/>
        </w:numPr>
        <w:tabs>
          <w:tab w:val="left" w:pos="1134"/>
        </w:tabs>
        <w:ind w:left="425"/>
        <w:rPr>
          <w:color w:val="000000" w:themeColor="text1"/>
          <w:lang w:val="es-CO"/>
        </w:rPr>
      </w:pPr>
      <w:r w:rsidRPr="007A08D5">
        <w:rPr>
          <w:b/>
          <w:color w:val="000000" w:themeColor="text1"/>
          <w:lang w:val="es-CO"/>
        </w:rPr>
        <w:t xml:space="preserve">Parágrafo 2. </w:t>
      </w:r>
      <w:r w:rsidRPr="007A08D5">
        <w:rPr>
          <w:color w:val="000000" w:themeColor="text1"/>
          <w:lang w:val="es-CO"/>
        </w:rPr>
        <w:t>Para el caso de las garantías a las que se refiere el numeral</w:t>
      </w:r>
      <w:r w:rsidR="00882D0B">
        <w:rPr>
          <w:color w:val="000000" w:themeColor="text1"/>
          <w:lang w:val="es-CO"/>
        </w:rPr>
        <w:t xml:space="preserve"> 3</w:t>
      </w:r>
      <w:r w:rsidRPr="007A08D5">
        <w:rPr>
          <w:color w:val="000000" w:themeColor="text1"/>
          <w:lang w:val="es-CO"/>
        </w:rPr>
        <w:t xml:space="preserve"> del presente artículo, el proponente seleccionado como gestor del mercado deberá constituir un instrumento fiduciario para efectos de administrar dichas garantías. La fiduciaria recibirá y aprobará si es del caso las garantías que presente el gestor del mercado, y las ejecutará conforme a la presente Resolución. Teniendo en cuenta que los eventos constitutivos del incumplimiento son objetivos, la fiduciaria ejecutará las garantías y pagará a los beneficiarios, según la proporción dispuesta en el literal c) del numeral 3 de este artículo.</w:t>
      </w:r>
    </w:p>
    <w:p w:rsidR="00C805F5" w:rsidRPr="0059235B" w:rsidRDefault="00C805F5" w:rsidP="00C805F5">
      <w:pPr>
        <w:pStyle w:val="Prrafodelista"/>
        <w:ind w:left="0"/>
        <w:jc w:val="both"/>
        <w:rPr>
          <w:rFonts w:ascii="Bookman Old Style" w:hAnsi="Bookman Old Style" w:cs="Arial"/>
          <w:color w:val="000000" w:themeColor="text1"/>
          <w:sz w:val="22"/>
          <w:szCs w:val="22"/>
          <w:lang w:val="es-ES"/>
        </w:rPr>
      </w:pPr>
    </w:p>
    <w:p w:rsidR="00C805F5" w:rsidRPr="007A08D5" w:rsidRDefault="00C805F5" w:rsidP="00C805F5">
      <w:pPr>
        <w:pStyle w:val="ARTICULOS"/>
        <w:numPr>
          <w:ilvl w:val="0"/>
          <w:numId w:val="0"/>
        </w:numPr>
        <w:tabs>
          <w:tab w:val="left" w:pos="1134"/>
        </w:tabs>
        <w:ind w:left="425"/>
        <w:rPr>
          <w:color w:val="000000" w:themeColor="text1"/>
          <w:lang w:val="es-CO"/>
        </w:rPr>
      </w:pPr>
      <w:r w:rsidRPr="007A08D5">
        <w:rPr>
          <w:color w:val="000000" w:themeColor="text1"/>
          <w:lang w:val="es-CO"/>
        </w:rPr>
        <w:t>Para estos efectos el contrato de fiducia que celebre el gestor del mercado deberá contemplar las disposiciones aquí establecidas.</w:t>
      </w:r>
    </w:p>
    <w:p w:rsidR="007B1629" w:rsidRDefault="007B1629" w:rsidP="0003706E">
      <w:pPr>
        <w:pStyle w:val="ARTICULOS"/>
        <w:numPr>
          <w:ilvl w:val="0"/>
          <w:numId w:val="0"/>
        </w:numPr>
        <w:ind w:left="360" w:hanging="360"/>
        <w:rPr>
          <w:rFonts w:cs="Arial"/>
          <w:color w:val="000000" w:themeColor="text1"/>
          <w:lang w:val="es-CO"/>
        </w:rPr>
      </w:pPr>
    </w:p>
    <w:p w:rsidR="00882D0B" w:rsidRDefault="00882D0B" w:rsidP="00882D0B">
      <w:pPr>
        <w:pStyle w:val="ARTICULOS"/>
        <w:numPr>
          <w:ilvl w:val="0"/>
          <w:numId w:val="0"/>
        </w:numPr>
        <w:tabs>
          <w:tab w:val="left" w:pos="1134"/>
        </w:tabs>
        <w:ind w:left="425"/>
        <w:rPr>
          <w:color w:val="000000" w:themeColor="text1"/>
          <w:lang w:val="es-CO"/>
        </w:rPr>
      </w:pPr>
      <w:r w:rsidRPr="007A08D5">
        <w:rPr>
          <w:b/>
          <w:color w:val="000000" w:themeColor="text1"/>
          <w:lang w:val="es-CO"/>
        </w:rPr>
        <w:t xml:space="preserve">Parágrafo </w:t>
      </w:r>
      <w:r>
        <w:rPr>
          <w:b/>
          <w:color w:val="000000" w:themeColor="text1"/>
          <w:lang w:val="es-CO"/>
        </w:rPr>
        <w:t>3</w:t>
      </w:r>
      <w:r w:rsidRPr="007A08D5">
        <w:rPr>
          <w:b/>
          <w:color w:val="000000" w:themeColor="text1"/>
          <w:lang w:val="es-CO"/>
        </w:rPr>
        <w:t xml:space="preserve">. </w:t>
      </w:r>
      <w:r>
        <w:rPr>
          <w:color w:val="000000" w:themeColor="text1"/>
          <w:lang w:val="es-CO"/>
        </w:rPr>
        <w:t>Para el caso de las garantías de que trata</w:t>
      </w:r>
      <w:r w:rsidR="00A767E0">
        <w:rPr>
          <w:color w:val="000000" w:themeColor="text1"/>
          <w:lang w:val="es-CO"/>
        </w:rPr>
        <w:t>n</w:t>
      </w:r>
      <w:r>
        <w:rPr>
          <w:color w:val="000000" w:themeColor="text1"/>
          <w:lang w:val="es-CO"/>
        </w:rPr>
        <w:t xml:space="preserve"> los numerales 1 y 2 de este artículo, con la información disponible</w:t>
      </w:r>
      <w:r w:rsidR="007F0E65">
        <w:rPr>
          <w:color w:val="000000" w:themeColor="text1"/>
          <w:lang w:val="es-CO"/>
        </w:rPr>
        <w:t>,</w:t>
      </w:r>
      <w:r>
        <w:rPr>
          <w:color w:val="000000" w:themeColor="text1"/>
          <w:lang w:val="es-CO"/>
        </w:rPr>
        <w:t xml:space="preserve"> la Dirección Ejecutiva de la CREG hará público los beneficiarios del fideicomiso o patrimonio autónomo que se conforme. </w:t>
      </w:r>
    </w:p>
    <w:p w:rsidR="007E71FA" w:rsidRDefault="007E71FA" w:rsidP="00882D0B">
      <w:pPr>
        <w:pStyle w:val="ARTICULOS"/>
        <w:numPr>
          <w:ilvl w:val="0"/>
          <w:numId w:val="0"/>
        </w:numPr>
        <w:tabs>
          <w:tab w:val="left" w:pos="1134"/>
        </w:tabs>
        <w:ind w:left="425"/>
        <w:rPr>
          <w:color w:val="000000" w:themeColor="text1"/>
          <w:lang w:val="es-CO"/>
        </w:rPr>
      </w:pPr>
    </w:p>
    <w:p w:rsidR="007E71FA" w:rsidRPr="007A08D5" w:rsidRDefault="007E71FA" w:rsidP="00882D0B">
      <w:pPr>
        <w:pStyle w:val="ARTICULOS"/>
        <w:numPr>
          <w:ilvl w:val="0"/>
          <w:numId w:val="0"/>
        </w:numPr>
        <w:tabs>
          <w:tab w:val="left" w:pos="1134"/>
        </w:tabs>
        <w:ind w:left="425"/>
        <w:rPr>
          <w:color w:val="000000" w:themeColor="text1"/>
          <w:lang w:val="es-CO"/>
        </w:rPr>
      </w:pPr>
      <w:r>
        <w:rPr>
          <w:color w:val="000000" w:themeColor="text1"/>
          <w:lang w:val="es-CO"/>
        </w:rPr>
        <w:t>Para el caso de las garantías de que trata el numeral 3 de este artículo, mensualmente, el gestor del mercado hará público los beneficiarios del fideicomiso o patrimonio autónomo que se conforme, con la información disponible del mes anterior a la publicación.</w:t>
      </w:r>
    </w:p>
    <w:p w:rsidR="007B1629" w:rsidRPr="00704008" w:rsidRDefault="007B1629" w:rsidP="008C630A">
      <w:pPr>
        <w:jc w:val="both"/>
        <w:rPr>
          <w:rFonts w:ascii="Bookman Old Style" w:hAnsi="Bookman Old Style" w:cs="Arial"/>
          <w:b/>
          <w:bCs/>
          <w:iCs/>
        </w:rPr>
      </w:pPr>
    </w:p>
    <w:p w:rsidR="008F0067" w:rsidRPr="00D22E84" w:rsidRDefault="00304195" w:rsidP="00D22E84">
      <w:pPr>
        <w:ind w:left="0"/>
        <w:jc w:val="both"/>
        <w:rPr>
          <w:rFonts w:ascii="Bookman Old Style" w:hAnsi="Bookman Old Style" w:cs="Arial"/>
          <w:b/>
          <w:bCs/>
          <w:iCs/>
        </w:rPr>
      </w:pPr>
      <w:r w:rsidRPr="00D22E84">
        <w:rPr>
          <w:rFonts w:ascii="Bookman Old Style" w:hAnsi="Bookman Old Style" w:cs="Arial"/>
          <w:b/>
          <w:bCs/>
          <w:iCs/>
        </w:rPr>
        <w:t xml:space="preserve">Artículo </w:t>
      </w:r>
      <w:r w:rsidR="008F0067" w:rsidRPr="00D22E84">
        <w:rPr>
          <w:rFonts w:ascii="Bookman Old Style" w:hAnsi="Bookman Old Style" w:cs="Arial"/>
          <w:b/>
          <w:bCs/>
          <w:iCs/>
        </w:rPr>
        <w:t xml:space="preserve">4. </w:t>
      </w:r>
      <w:r w:rsidR="00870314" w:rsidRPr="00D22E84">
        <w:rPr>
          <w:rFonts w:ascii="Bookman Old Style" w:hAnsi="Bookman Old Style" w:cs="Arial"/>
          <w:bCs/>
          <w:iCs/>
        </w:rPr>
        <w:t xml:space="preserve">Modificar el </w:t>
      </w:r>
      <w:r w:rsidR="00E57BF2">
        <w:rPr>
          <w:rFonts w:ascii="Bookman Old Style" w:hAnsi="Bookman Old Style" w:cs="Arial"/>
          <w:bCs/>
          <w:iCs/>
        </w:rPr>
        <w:t>A</w:t>
      </w:r>
      <w:r w:rsidR="00870314">
        <w:rPr>
          <w:rFonts w:ascii="Bookman Old Style" w:hAnsi="Bookman Old Style" w:cs="Arial"/>
          <w:bCs/>
          <w:iCs/>
        </w:rPr>
        <w:t xml:space="preserve">rtículo 31 </w:t>
      </w:r>
      <w:r w:rsidR="00870314" w:rsidRPr="00D22E84">
        <w:rPr>
          <w:rFonts w:ascii="Bookman Old Style" w:hAnsi="Bookman Old Style" w:cs="Arial"/>
          <w:bCs/>
          <w:iCs/>
        </w:rPr>
        <w:t xml:space="preserve">de la Resolución </w:t>
      </w:r>
      <w:r w:rsidR="00870314">
        <w:rPr>
          <w:rFonts w:ascii="Bookman Old Style" w:hAnsi="Bookman Old Style" w:cs="Arial"/>
          <w:bCs/>
          <w:iCs/>
        </w:rPr>
        <w:t xml:space="preserve">CREG </w:t>
      </w:r>
      <w:r w:rsidR="00870314" w:rsidRPr="00D22E84">
        <w:rPr>
          <w:rFonts w:ascii="Bookman Old Style" w:hAnsi="Bookman Old Style" w:cs="Arial"/>
          <w:bCs/>
          <w:iCs/>
        </w:rPr>
        <w:t>124 de 2013, el cual quedará así:</w:t>
      </w:r>
    </w:p>
    <w:p w:rsidR="008F0067" w:rsidRPr="00D22E84" w:rsidRDefault="008F0067" w:rsidP="00D22E84">
      <w:pPr>
        <w:ind w:left="0"/>
        <w:jc w:val="both"/>
        <w:rPr>
          <w:rFonts w:ascii="Bookman Old Style" w:hAnsi="Bookman Old Style" w:cs="Arial"/>
          <w:b/>
          <w:bCs/>
          <w:iCs/>
        </w:rPr>
      </w:pPr>
    </w:p>
    <w:p w:rsidR="00243507" w:rsidRPr="007A08D5" w:rsidRDefault="00243507" w:rsidP="00243507">
      <w:pPr>
        <w:pStyle w:val="ARTICULOS"/>
        <w:numPr>
          <w:ilvl w:val="0"/>
          <w:numId w:val="0"/>
        </w:numPr>
        <w:tabs>
          <w:tab w:val="left" w:pos="1701"/>
        </w:tabs>
        <w:ind w:left="425"/>
        <w:rPr>
          <w:color w:val="000000" w:themeColor="text1"/>
          <w:lang w:val="es-ES"/>
        </w:rPr>
      </w:pPr>
      <w:bookmarkStart w:id="19" w:name="_Ref368655700"/>
      <w:r>
        <w:rPr>
          <w:rFonts w:cs="Arial"/>
          <w:b/>
          <w:color w:val="000000" w:themeColor="text1"/>
          <w:lang w:val="es-ES"/>
        </w:rPr>
        <w:t xml:space="preserve">Artículo 31. </w:t>
      </w:r>
      <w:r w:rsidRPr="007A08D5">
        <w:rPr>
          <w:rFonts w:cs="Arial"/>
          <w:b/>
          <w:color w:val="000000" w:themeColor="text1"/>
          <w:lang w:val="es-ES"/>
        </w:rPr>
        <w:t>Principios y otorgamientos de las garantías.</w:t>
      </w:r>
      <w:r w:rsidRPr="007A08D5">
        <w:rPr>
          <w:color w:val="000000" w:themeColor="text1"/>
          <w:lang w:val="es-ES"/>
        </w:rPr>
        <w:t xml:space="preserve"> Las garantías a las que se hace referencia en el </w:t>
      </w:r>
      <w:r w:rsidR="00E57BF2">
        <w:rPr>
          <w:color w:val="000000" w:themeColor="text1"/>
          <w:lang w:val="es-ES"/>
        </w:rPr>
        <w:t>A</w:t>
      </w:r>
      <w:r w:rsidR="00732BA1">
        <w:rPr>
          <w:color w:val="000000" w:themeColor="text1"/>
          <w:lang w:val="es-ES"/>
        </w:rPr>
        <w:t>rtículo 30</w:t>
      </w:r>
      <w:r w:rsidRPr="007A08D5">
        <w:rPr>
          <w:color w:val="000000" w:themeColor="text1"/>
          <w:lang w:val="es-ES"/>
        </w:rPr>
        <w:t xml:space="preserve"> de esta Resolución deberán cumplir los siguientes criterios:</w:t>
      </w:r>
      <w:bookmarkEnd w:id="19"/>
    </w:p>
    <w:p w:rsidR="00243507" w:rsidRPr="0059235B" w:rsidRDefault="00243507" w:rsidP="00243507">
      <w:pPr>
        <w:pStyle w:val="Prrafodelista"/>
        <w:ind w:left="0"/>
        <w:jc w:val="both"/>
        <w:rPr>
          <w:rFonts w:ascii="Bookman Old Style" w:hAnsi="Bookman Old Style" w:cs="Arial"/>
          <w:color w:val="000000" w:themeColor="text1"/>
          <w:sz w:val="22"/>
          <w:szCs w:val="22"/>
          <w:lang w:val="es-ES"/>
        </w:rPr>
      </w:pPr>
    </w:p>
    <w:p w:rsidR="00243507" w:rsidRPr="00A767E0" w:rsidRDefault="00243507" w:rsidP="00243507">
      <w:pPr>
        <w:pStyle w:val="ARTICULOS"/>
        <w:numPr>
          <w:ilvl w:val="1"/>
          <w:numId w:val="67"/>
        </w:numPr>
        <w:ind w:left="992" w:hanging="567"/>
        <w:rPr>
          <w:rFonts w:cs="Arial"/>
          <w:color w:val="000000" w:themeColor="text1"/>
          <w:lang w:val="es-CO"/>
        </w:rPr>
      </w:pPr>
      <w:r w:rsidRPr="00A767E0">
        <w:rPr>
          <w:rFonts w:cs="Arial"/>
          <w:color w:val="000000" w:themeColor="text1"/>
          <w:lang w:val="es-CO"/>
        </w:rPr>
        <w:t>Cuando se trate de garantías otorgadas por una entidad financiera domiciliada en Colombia, se deberá acreditar una calificación de riesgo crediticio de la deuda de largo plazo de grado de inversión, por parte de una agencia calificadora de riesgos vigilada por la Superintendencia Financiera de Colombia.</w:t>
      </w:r>
    </w:p>
    <w:p w:rsidR="00243507" w:rsidRPr="00A767E0" w:rsidRDefault="00243507" w:rsidP="00243507">
      <w:pPr>
        <w:pStyle w:val="Prrafodelista"/>
        <w:ind w:left="0"/>
        <w:jc w:val="both"/>
        <w:rPr>
          <w:rFonts w:ascii="Bookman Old Style" w:hAnsi="Bookman Old Style" w:cs="Arial"/>
          <w:color w:val="000000" w:themeColor="text1"/>
          <w:sz w:val="24"/>
          <w:szCs w:val="24"/>
          <w:lang w:val="es-ES"/>
        </w:rPr>
      </w:pPr>
    </w:p>
    <w:p w:rsidR="00243507" w:rsidRPr="00A767E0" w:rsidRDefault="00243507" w:rsidP="00243507">
      <w:pPr>
        <w:pStyle w:val="ARTICULOS"/>
        <w:numPr>
          <w:ilvl w:val="1"/>
          <w:numId w:val="67"/>
        </w:numPr>
        <w:ind w:left="992" w:hanging="567"/>
        <w:rPr>
          <w:rFonts w:cs="Arial"/>
          <w:color w:val="000000" w:themeColor="text1"/>
          <w:lang w:val="es-CO"/>
        </w:rPr>
      </w:pPr>
      <w:r w:rsidRPr="00A767E0">
        <w:rPr>
          <w:rFonts w:cs="Arial"/>
          <w:color w:val="000000" w:themeColor="text1"/>
          <w:lang w:val="es-CO"/>
        </w:rPr>
        <w:t xml:space="preserve">Cuando se trate de garantías otorgadas por una entidad financiera del exterior, ésta deberá estar incluida en el listado de entidades financieras del exterior contenido en el anexo No. 1 de la Circular Reglamentaria Externa DCIN-83 de 2003 del Banco de la República o en las normas que lo modifiquen, adicionen o sustituyan y acreditar una calificación de deuda de largo plazo de Standard &amp; </w:t>
      </w:r>
      <w:proofErr w:type="spellStart"/>
      <w:r w:rsidRPr="00A767E0">
        <w:rPr>
          <w:rFonts w:cs="Arial"/>
          <w:color w:val="000000" w:themeColor="text1"/>
          <w:lang w:val="es-CO"/>
        </w:rPr>
        <w:t>Poor’s</w:t>
      </w:r>
      <w:proofErr w:type="spellEnd"/>
      <w:r w:rsidRPr="00A767E0">
        <w:rPr>
          <w:rFonts w:cs="Arial"/>
          <w:color w:val="000000" w:themeColor="text1"/>
          <w:lang w:val="es-CO"/>
        </w:rPr>
        <w:t xml:space="preserve"> </w:t>
      </w:r>
      <w:proofErr w:type="spellStart"/>
      <w:r w:rsidRPr="00A767E0">
        <w:rPr>
          <w:rFonts w:cs="Arial"/>
          <w:color w:val="000000" w:themeColor="text1"/>
          <w:lang w:val="es-CO"/>
        </w:rPr>
        <w:t>Corporation</w:t>
      </w:r>
      <w:proofErr w:type="spellEnd"/>
      <w:r w:rsidRPr="00A767E0">
        <w:rPr>
          <w:rFonts w:cs="Arial"/>
          <w:color w:val="000000" w:themeColor="text1"/>
          <w:lang w:val="es-CO"/>
        </w:rPr>
        <w:t xml:space="preserve">, </w:t>
      </w:r>
      <w:proofErr w:type="spellStart"/>
      <w:r w:rsidRPr="00A767E0">
        <w:rPr>
          <w:rFonts w:cs="Arial"/>
          <w:color w:val="000000" w:themeColor="text1"/>
          <w:lang w:val="es-CO"/>
        </w:rPr>
        <w:t>Fitch</w:t>
      </w:r>
      <w:proofErr w:type="spellEnd"/>
      <w:r w:rsidRPr="00A767E0">
        <w:rPr>
          <w:rFonts w:cs="Arial"/>
          <w:color w:val="000000" w:themeColor="text1"/>
          <w:lang w:val="es-CO"/>
        </w:rPr>
        <w:t xml:space="preserve"> Ratings o de </w:t>
      </w:r>
      <w:proofErr w:type="spellStart"/>
      <w:r w:rsidRPr="00A767E0">
        <w:rPr>
          <w:rFonts w:cs="Arial"/>
          <w:color w:val="000000" w:themeColor="text1"/>
          <w:lang w:val="es-CO"/>
        </w:rPr>
        <w:t>Moody’s</w:t>
      </w:r>
      <w:proofErr w:type="spellEnd"/>
      <w:r w:rsidRPr="00A767E0">
        <w:rPr>
          <w:rFonts w:cs="Arial"/>
          <w:color w:val="000000" w:themeColor="text1"/>
          <w:lang w:val="es-CO"/>
        </w:rPr>
        <w:t xml:space="preserve"> </w:t>
      </w:r>
      <w:proofErr w:type="spellStart"/>
      <w:r w:rsidRPr="00A767E0">
        <w:rPr>
          <w:rFonts w:cs="Arial"/>
          <w:color w:val="000000" w:themeColor="text1"/>
          <w:lang w:val="es-CO"/>
        </w:rPr>
        <w:t>Investor’s</w:t>
      </w:r>
      <w:proofErr w:type="spellEnd"/>
      <w:r w:rsidRPr="00A767E0">
        <w:rPr>
          <w:rFonts w:cs="Arial"/>
          <w:color w:val="000000" w:themeColor="text1"/>
          <w:lang w:val="es-CO"/>
        </w:rPr>
        <w:t xml:space="preserve"> </w:t>
      </w:r>
      <w:proofErr w:type="spellStart"/>
      <w:r w:rsidRPr="00A767E0">
        <w:rPr>
          <w:rFonts w:cs="Arial"/>
          <w:color w:val="000000" w:themeColor="text1"/>
          <w:lang w:val="es-CO"/>
        </w:rPr>
        <w:t>Services</w:t>
      </w:r>
      <w:proofErr w:type="spellEnd"/>
      <w:r w:rsidRPr="00A767E0">
        <w:rPr>
          <w:rFonts w:cs="Arial"/>
          <w:color w:val="000000" w:themeColor="text1"/>
          <w:lang w:val="es-CO"/>
        </w:rPr>
        <w:t xml:space="preserve"> Inc., de al </w:t>
      </w:r>
      <w:r w:rsidRPr="00A767E0">
        <w:rPr>
          <w:rFonts w:cs="Arial"/>
          <w:color w:val="000000" w:themeColor="text1"/>
          <w:lang w:val="es-CO"/>
        </w:rPr>
        <w:lastRenderedPageBreak/>
        <w:t>menos grado de inversión.</w:t>
      </w:r>
    </w:p>
    <w:p w:rsidR="00243507" w:rsidRPr="00A767E0" w:rsidRDefault="00243507" w:rsidP="00243507">
      <w:pPr>
        <w:pStyle w:val="Prrafodelista"/>
        <w:ind w:left="0"/>
        <w:jc w:val="both"/>
        <w:rPr>
          <w:rFonts w:ascii="Bookman Old Style" w:hAnsi="Bookman Old Style" w:cs="Arial"/>
          <w:color w:val="000000" w:themeColor="text1"/>
          <w:sz w:val="24"/>
          <w:szCs w:val="24"/>
          <w:lang w:val="es-ES"/>
        </w:rPr>
      </w:pPr>
    </w:p>
    <w:p w:rsidR="00243507" w:rsidRPr="00A767E0" w:rsidRDefault="00243507" w:rsidP="00243507">
      <w:pPr>
        <w:pStyle w:val="ARTICULOS"/>
        <w:numPr>
          <w:ilvl w:val="1"/>
          <w:numId w:val="67"/>
        </w:numPr>
        <w:ind w:left="992" w:hanging="567"/>
        <w:rPr>
          <w:rFonts w:cs="Arial"/>
          <w:color w:val="000000" w:themeColor="text1"/>
          <w:lang w:val="es-CO"/>
        </w:rPr>
      </w:pPr>
      <w:r w:rsidRPr="00A767E0">
        <w:rPr>
          <w:rFonts w:cs="Arial"/>
          <w:color w:val="000000" w:themeColor="text1"/>
          <w:lang w:val="es-CO"/>
        </w:rPr>
        <w:t>La entidad financiera otorgante deberá pagar al primer requerimiento del beneficiario.</w:t>
      </w:r>
    </w:p>
    <w:p w:rsidR="00B15147" w:rsidRPr="00A767E0" w:rsidRDefault="00B15147" w:rsidP="00B15147">
      <w:pPr>
        <w:pStyle w:val="Prrafodelista"/>
        <w:rPr>
          <w:rFonts w:cs="Arial"/>
          <w:color w:val="000000" w:themeColor="text1"/>
          <w:sz w:val="24"/>
          <w:szCs w:val="24"/>
        </w:rPr>
      </w:pPr>
    </w:p>
    <w:p w:rsidR="00B15147" w:rsidRPr="00A767E0" w:rsidRDefault="00B15147" w:rsidP="00243507">
      <w:pPr>
        <w:pStyle w:val="ARTICULOS"/>
        <w:numPr>
          <w:ilvl w:val="1"/>
          <w:numId w:val="67"/>
        </w:numPr>
        <w:ind w:left="992" w:hanging="567"/>
        <w:rPr>
          <w:rFonts w:cs="Arial"/>
          <w:color w:val="000000" w:themeColor="text1"/>
          <w:lang w:val="es-CO"/>
        </w:rPr>
      </w:pPr>
      <w:r w:rsidRPr="00A767E0">
        <w:rPr>
          <w:rFonts w:cs="Arial"/>
          <w:color w:val="000000" w:themeColor="text1"/>
          <w:lang w:val="es-CO"/>
        </w:rPr>
        <w:t>Las garantías deben ser otorgadas de manera irrevocable e incondicional a la orden del fideicomiso o patrimonio autónomo que se conforme.</w:t>
      </w:r>
    </w:p>
    <w:p w:rsidR="00B15147" w:rsidRPr="00A767E0" w:rsidRDefault="00B15147" w:rsidP="00B15147">
      <w:pPr>
        <w:pStyle w:val="Prrafodelista"/>
        <w:rPr>
          <w:rFonts w:cs="Arial"/>
          <w:color w:val="000000" w:themeColor="text1"/>
          <w:sz w:val="24"/>
          <w:szCs w:val="24"/>
        </w:rPr>
      </w:pPr>
    </w:p>
    <w:p w:rsidR="00B15147" w:rsidRPr="00A767E0" w:rsidRDefault="00B15147" w:rsidP="00243507">
      <w:pPr>
        <w:pStyle w:val="ARTICULOS"/>
        <w:numPr>
          <w:ilvl w:val="1"/>
          <w:numId w:val="67"/>
        </w:numPr>
        <w:ind w:left="992" w:hanging="567"/>
        <w:rPr>
          <w:rFonts w:cs="Arial"/>
          <w:color w:val="000000" w:themeColor="text1"/>
          <w:lang w:val="es-CO"/>
        </w:rPr>
      </w:pPr>
      <w:r w:rsidRPr="00A767E0">
        <w:rPr>
          <w:rFonts w:cs="Arial"/>
          <w:color w:val="000000" w:themeColor="text1"/>
          <w:lang w:val="es-CO"/>
        </w:rPr>
        <w:t>El fideicomiso o patrimonio autónomo que se conforme debe tener la preferencia para obtener incondicionalmente y de manera inmediata el pago de la obligación garantizada en el momento de su ejecución</w:t>
      </w:r>
      <w:r w:rsidR="002D54B7" w:rsidRPr="00A767E0">
        <w:rPr>
          <w:rFonts w:cs="Arial"/>
          <w:color w:val="000000" w:themeColor="text1"/>
          <w:lang w:val="es-CO"/>
        </w:rPr>
        <w:t>, en la cuenta bancaria en Colombia que para tales efectos establezca el fideicomiso o patrimonio autónomo.</w:t>
      </w:r>
    </w:p>
    <w:p w:rsidR="00C03762" w:rsidRPr="00A767E0" w:rsidRDefault="00C03762" w:rsidP="00C03762">
      <w:pPr>
        <w:pStyle w:val="Prrafodelista"/>
        <w:rPr>
          <w:rFonts w:cs="Arial"/>
          <w:color w:val="000000" w:themeColor="text1"/>
          <w:sz w:val="24"/>
          <w:szCs w:val="24"/>
        </w:rPr>
      </w:pPr>
    </w:p>
    <w:p w:rsidR="00C03762" w:rsidRPr="00A767E0" w:rsidRDefault="00C03762" w:rsidP="00243507">
      <w:pPr>
        <w:pStyle w:val="ARTICULOS"/>
        <w:numPr>
          <w:ilvl w:val="1"/>
          <w:numId w:val="67"/>
        </w:numPr>
        <w:ind w:left="992" w:hanging="567"/>
        <w:rPr>
          <w:rFonts w:cs="Arial"/>
          <w:color w:val="000000" w:themeColor="text1"/>
          <w:lang w:val="es-CO"/>
        </w:rPr>
      </w:pPr>
      <w:r w:rsidRPr="00A767E0">
        <w:rPr>
          <w:rFonts w:cs="Arial"/>
          <w:color w:val="000000" w:themeColor="text1"/>
          <w:lang w:val="es-CO"/>
        </w:rPr>
        <w:t>Las garantías deben ser líquidas y fácilmente realizables en el momento en que deban hacerse efectivas.</w:t>
      </w:r>
    </w:p>
    <w:p w:rsidR="00C03762" w:rsidRPr="00A767E0" w:rsidRDefault="00C03762" w:rsidP="00B15147">
      <w:pPr>
        <w:pStyle w:val="Prrafodelista"/>
        <w:rPr>
          <w:rFonts w:cs="Arial"/>
          <w:color w:val="000000" w:themeColor="text1"/>
          <w:sz w:val="24"/>
          <w:szCs w:val="24"/>
          <w:lang w:val="es-MX"/>
        </w:rPr>
      </w:pPr>
    </w:p>
    <w:p w:rsidR="00243507" w:rsidRPr="00A767E0" w:rsidRDefault="00243507" w:rsidP="00243507">
      <w:pPr>
        <w:pStyle w:val="ARTICULOS"/>
        <w:numPr>
          <w:ilvl w:val="1"/>
          <w:numId w:val="67"/>
        </w:numPr>
        <w:ind w:left="992" w:hanging="567"/>
        <w:rPr>
          <w:rFonts w:cs="Arial"/>
          <w:color w:val="000000" w:themeColor="text1"/>
          <w:lang w:val="es-CO"/>
        </w:rPr>
      </w:pPr>
      <w:r w:rsidRPr="00A767E0">
        <w:rPr>
          <w:rFonts w:cs="Arial"/>
          <w:color w:val="000000" w:themeColor="text1"/>
          <w:lang w:val="es-CO"/>
        </w:rPr>
        <w:t>La entidad financiera otorgante deberá pagar dentro de los dos (2) días hábiles siguientes a la fecha en que se realice el primer requerimiento siempre que se trate de una entidad financiera domiciliada en Colombia, o dentro de los quince días calendario siguientes a la fecha en que se realice el primer requerimiento, siempre que se trate de una entidad financiera del exterior.</w:t>
      </w:r>
    </w:p>
    <w:p w:rsidR="00243507" w:rsidRPr="00A767E0" w:rsidRDefault="00243507" w:rsidP="00243507">
      <w:pPr>
        <w:pStyle w:val="Prrafodelista"/>
        <w:ind w:left="0"/>
        <w:jc w:val="both"/>
        <w:rPr>
          <w:rFonts w:ascii="Bookman Old Style" w:hAnsi="Bookman Old Style" w:cs="Arial"/>
          <w:color w:val="000000" w:themeColor="text1"/>
          <w:sz w:val="24"/>
          <w:szCs w:val="24"/>
          <w:lang w:val="es-ES"/>
        </w:rPr>
      </w:pPr>
    </w:p>
    <w:p w:rsidR="00243507" w:rsidRPr="00A767E0" w:rsidRDefault="00243507" w:rsidP="00243507">
      <w:pPr>
        <w:pStyle w:val="ARTICULOS"/>
        <w:numPr>
          <w:ilvl w:val="1"/>
          <w:numId w:val="67"/>
        </w:numPr>
        <w:ind w:left="992" w:hanging="567"/>
        <w:rPr>
          <w:rFonts w:cs="Arial"/>
          <w:color w:val="000000" w:themeColor="text1"/>
          <w:lang w:val="es-CO"/>
        </w:rPr>
      </w:pPr>
      <w:r w:rsidRPr="00A767E0">
        <w:rPr>
          <w:rFonts w:cs="Arial"/>
          <w:color w:val="000000" w:themeColor="text1"/>
          <w:lang w:val="es-CO"/>
        </w:rPr>
        <w:t>El valor pagado por la entidad financiera otorgante deberá ser igual al valor total de la cobertura conforme con lo indicado en la presente Resolución. Por tanto, el valor pagado deberá ser neto, libre de cualquier tipo de deducción, depósito, comisión, encaje, impuesto, tasa, contribución, afectación o retención por parte de la entidad financiera otorgante y/o de las autoridades cambiarias, tributarias o de cualquier otra índole que pueda afectar el valor del desembolso de la garantía.</w:t>
      </w:r>
    </w:p>
    <w:p w:rsidR="00243507" w:rsidRPr="00A767E0" w:rsidRDefault="00243507" w:rsidP="00243507">
      <w:pPr>
        <w:pStyle w:val="Prrafodelista"/>
        <w:ind w:left="0"/>
        <w:jc w:val="both"/>
        <w:rPr>
          <w:rFonts w:ascii="Bookman Old Style" w:hAnsi="Bookman Old Style" w:cs="Arial"/>
          <w:color w:val="000000" w:themeColor="text1"/>
          <w:sz w:val="24"/>
          <w:szCs w:val="24"/>
          <w:lang w:val="es-ES"/>
        </w:rPr>
      </w:pPr>
    </w:p>
    <w:p w:rsidR="00243507" w:rsidRPr="00A767E0" w:rsidRDefault="00243507" w:rsidP="00243507">
      <w:pPr>
        <w:pStyle w:val="ARTICULOS"/>
        <w:numPr>
          <w:ilvl w:val="1"/>
          <w:numId w:val="67"/>
        </w:numPr>
        <w:ind w:left="992" w:hanging="567"/>
        <w:rPr>
          <w:rFonts w:cs="Arial"/>
          <w:color w:val="000000" w:themeColor="text1"/>
          <w:lang w:val="es-CO"/>
        </w:rPr>
      </w:pPr>
      <w:r w:rsidRPr="00A767E0">
        <w:rPr>
          <w:rFonts w:cs="Arial"/>
          <w:color w:val="000000" w:themeColor="text1"/>
          <w:lang w:val="es-CO"/>
        </w:rPr>
        <w:t>La entidad financiera otorgante de la garantía deberá renunciar a requerimientos judiciales, extrajudiciales o de cualquier otro tipo, para el pago de la obligación garantizada, tanto en Colombia como en el exterior.</w:t>
      </w:r>
    </w:p>
    <w:p w:rsidR="00243507" w:rsidRPr="00A767E0" w:rsidRDefault="00243507" w:rsidP="00243507">
      <w:pPr>
        <w:pStyle w:val="Prrafodelista"/>
        <w:ind w:left="0"/>
        <w:jc w:val="both"/>
        <w:rPr>
          <w:rFonts w:ascii="Bookman Old Style" w:hAnsi="Bookman Old Style" w:cs="Arial"/>
          <w:color w:val="000000" w:themeColor="text1"/>
          <w:sz w:val="24"/>
          <w:szCs w:val="24"/>
          <w:lang w:val="es-ES"/>
        </w:rPr>
      </w:pPr>
    </w:p>
    <w:p w:rsidR="00243507" w:rsidRPr="00A767E0" w:rsidRDefault="00243507" w:rsidP="00243507">
      <w:pPr>
        <w:pStyle w:val="ARTICULOS"/>
        <w:numPr>
          <w:ilvl w:val="1"/>
          <w:numId w:val="67"/>
        </w:numPr>
        <w:ind w:left="992" w:hanging="567"/>
        <w:rPr>
          <w:rFonts w:cs="Arial"/>
          <w:color w:val="000000" w:themeColor="text1"/>
          <w:lang w:val="es-CO"/>
        </w:rPr>
      </w:pPr>
      <w:r w:rsidRPr="00A767E0">
        <w:rPr>
          <w:rFonts w:cs="Arial"/>
          <w:color w:val="000000" w:themeColor="text1"/>
          <w:lang w:val="es-CO"/>
        </w:rPr>
        <w:t>Cuando se trate de garantías expedidas por entidades financieras domiciliadas en Colombia, el valor de la garantía constituida deberá estar calculado en moneda nacional o en dólares de los Estados Unidos de América y ser exigible de acuerdo con la Ley Colombiana.</w:t>
      </w:r>
    </w:p>
    <w:p w:rsidR="00243507" w:rsidRPr="00A767E0" w:rsidRDefault="00243507" w:rsidP="00243507">
      <w:pPr>
        <w:pStyle w:val="Prrafodelista"/>
        <w:ind w:left="0"/>
        <w:jc w:val="both"/>
        <w:rPr>
          <w:rFonts w:ascii="Bookman Old Style" w:hAnsi="Bookman Old Style" w:cs="Arial"/>
          <w:color w:val="000000" w:themeColor="text1"/>
          <w:sz w:val="24"/>
          <w:szCs w:val="24"/>
          <w:lang w:val="es-ES"/>
        </w:rPr>
      </w:pPr>
    </w:p>
    <w:p w:rsidR="00243507" w:rsidRPr="00A767E0" w:rsidRDefault="00243507" w:rsidP="00243507">
      <w:pPr>
        <w:pStyle w:val="ARTICULOS"/>
        <w:numPr>
          <w:ilvl w:val="1"/>
          <w:numId w:val="67"/>
        </w:numPr>
        <w:ind w:left="992" w:hanging="567"/>
        <w:rPr>
          <w:rFonts w:cs="Arial"/>
          <w:color w:val="000000" w:themeColor="text1"/>
          <w:lang w:val="es-CO"/>
        </w:rPr>
      </w:pPr>
      <w:r w:rsidRPr="00A767E0">
        <w:rPr>
          <w:rFonts w:cs="Arial"/>
          <w:color w:val="000000" w:themeColor="text1"/>
          <w:lang w:val="es-CO"/>
        </w:rPr>
        <w:t xml:space="preserve">Cuando se trate de garantías expedidas por entidades financieras del exterior, el valor de la garantía constituida deberá estar calculado en dólares de los Estados Unidos de América a la tasa representativa del mercado del último día hábil del mes anterior a su presentación, y ser exigible de acuerdo con las Normas RRUU 600 de la Cámara de Comercio Internacional -CCI- (ICC </w:t>
      </w:r>
      <w:proofErr w:type="spellStart"/>
      <w:r w:rsidRPr="00A767E0">
        <w:rPr>
          <w:rFonts w:cs="Arial"/>
          <w:color w:val="000000" w:themeColor="text1"/>
          <w:lang w:val="es-CO"/>
        </w:rPr>
        <w:t>Uniform</w:t>
      </w:r>
      <w:proofErr w:type="spellEnd"/>
      <w:r w:rsidRPr="00A767E0">
        <w:rPr>
          <w:rFonts w:cs="Arial"/>
          <w:color w:val="000000" w:themeColor="text1"/>
          <w:lang w:val="es-CO"/>
        </w:rPr>
        <w:t xml:space="preserve"> </w:t>
      </w:r>
      <w:proofErr w:type="spellStart"/>
      <w:r w:rsidRPr="00A767E0">
        <w:rPr>
          <w:rFonts w:cs="Arial"/>
          <w:color w:val="000000" w:themeColor="text1"/>
          <w:lang w:val="es-CO"/>
        </w:rPr>
        <w:t>Customs</w:t>
      </w:r>
      <w:proofErr w:type="spellEnd"/>
      <w:r w:rsidRPr="00A767E0">
        <w:rPr>
          <w:rFonts w:cs="Arial"/>
          <w:color w:val="000000" w:themeColor="text1"/>
          <w:lang w:val="es-CO"/>
        </w:rPr>
        <w:t xml:space="preserve"> and </w:t>
      </w:r>
      <w:proofErr w:type="spellStart"/>
      <w:r w:rsidRPr="00A767E0">
        <w:rPr>
          <w:rFonts w:cs="Arial"/>
          <w:color w:val="000000" w:themeColor="text1"/>
          <w:lang w:val="es-CO"/>
        </w:rPr>
        <w:t>Practice</w:t>
      </w:r>
      <w:proofErr w:type="spellEnd"/>
      <w:r w:rsidRPr="00A767E0">
        <w:rPr>
          <w:rFonts w:cs="Arial"/>
          <w:color w:val="000000" w:themeColor="text1"/>
          <w:lang w:val="es-CO"/>
        </w:rPr>
        <w:t xml:space="preserve"> </w:t>
      </w:r>
      <w:proofErr w:type="spellStart"/>
      <w:r w:rsidRPr="00A767E0">
        <w:rPr>
          <w:rFonts w:cs="Arial"/>
          <w:color w:val="000000" w:themeColor="text1"/>
          <w:lang w:val="es-CO"/>
        </w:rPr>
        <w:t>for</w:t>
      </w:r>
      <w:proofErr w:type="spellEnd"/>
      <w:r w:rsidRPr="00A767E0">
        <w:rPr>
          <w:rFonts w:cs="Arial"/>
          <w:color w:val="000000" w:themeColor="text1"/>
          <w:lang w:val="es-CO"/>
        </w:rPr>
        <w:t xml:space="preserve"> </w:t>
      </w:r>
      <w:proofErr w:type="spellStart"/>
      <w:r w:rsidRPr="00A767E0">
        <w:rPr>
          <w:rFonts w:cs="Arial"/>
          <w:color w:val="000000" w:themeColor="text1"/>
          <w:lang w:val="es-CO"/>
        </w:rPr>
        <w:t>Documentary</w:t>
      </w:r>
      <w:proofErr w:type="spellEnd"/>
      <w:r w:rsidRPr="00A767E0">
        <w:rPr>
          <w:rFonts w:cs="Arial"/>
          <w:color w:val="000000" w:themeColor="text1"/>
          <w:lang w:val="es-CO"/>
        </w:rPr>
        <w:t xml:space="preserve"> </w:t>
      </w:r>
      <w:proofErr w:type="spellStart"/>
      <w:r w:rsidRPr="00A767E0">
        <w:rPr>
          <w:rFonts w:cs="Arial"/>
          <w:color w:val="000000" w:themeColor="text1"/>
          <w:lang w:val="es-CO"/>
        </w:rPr>
        <w:t>Credits</w:t>
      </w:r>
      <w:proofErr w:type="spellEnd"/>
      <w:r w:rsidRPr="00A767E0">
        <w:rPr>
          <w:rFonts w:cs="Arial"/>
          <w:color w:val="000000" w:themeColor="text1"/>
          <w:lang w:val="es-CO"/>
        </w:rPr>
        <w:t xml:space="preserve"> UCP 600) o aquellas Normas que las modifiquen, </w:t>
      </w:r>
      <w:r w:rsidRPr="00A767E0">
        <w:rPr>
          <w:rFonts w:cs="Arial"/>
          <w:color w:val="000000" w:themeColor="text1"/>
          <w:lang w:val="es-CO"/>
        </w:rPr>
        <w:lastRenderedPageBreak/>
        <w:t>adicionan o sustituyan y con las normas del estado Nueva York de los Estados Unidos de América. Estas garantías deberán prever mecanismos expeditos y eficaces para resolver definitivamente cualquier disputa que pueda surgir en relación con la garantía entre el beneficiario y el otorgante aplicando las normas que rigen su exigibilidad, tales como la decisión definitiva bajo las reglas de conciliación y arbitraje de la CCI, por uno o más árbitros designados según lo establecen las mencionadas reglas, o a través de los jueces del Estado de Nueva York.</w:t>
      </w:r>
    </w:p>
    <w:p w:rsidR="00243507" w:rsidRPr="0059235B" w:rsidRDefault="00243507" w:rsidP="00243507">
      <w:pPr>
        <w:pStyle w:val="Prrafodelista"/>
        <w:ind w:left="0"/>
        <w:jc w:val="both"/>
        <w:rPr>
          <w:rFonts w:ascii="Bookman Old Style" w:hAnsi="Bookman Old Style" w:cs="Arial"/>
          <w:color w:val="000000" w:themeColor="text1"/>
          <w:sz w:val="22"/>
          <w:szCs w:val="22"/>
          <w:lang w:val="es-ES"/>
        </w:rPr>
      </w:pPr>
    </w:p>
    <w:p w:rsidR="00243507" w:rsidRPr="007A08D5" w:rsidRDefault="00243507" w:rsidP="00243507">
      <w:pPr>
        <w:pStyle w:val="ARTICULOS"/>
        <w:numPr>
          <w:ilvl w:val="0"/>
          <w:numId w:val="0"/>
        </w:numPr>
        <w:tabs>
          <w:tab w:val="left" w:pos="1560"/>
        </w:tabs>
        <w:ind w:left="425"/>
        <w:rPr>
          <w:color w:val="000000" w:themeColor="text1"/>
          <w:lang w:val="es-ES"/>
        </w:rPr>
      </w:pPr>
      <w:r w:rsidRPr="007A08D5">
        <w:rPr>
          <w:rFonts w:cs="Arial"/>
          <w:b/>
          <w:color w:val="000000" w:themeColor="text1"/>
          <w:lang w:val="es-ES"/>
        </w:rPr>
        <w:t>Parágrafo 1</w:t>
      </w:r>
      <w:r w:rsidRPr="007A08D5">
        <w:rPr>
          <w:color w:val="000000" w:themeColor="text1"/>
          <w:lang w:val="es-ES"/>
        </w:rPr>
        <w:t>. Para efectos de demostrar el cumplimiento de los criterios 1 y 2 del presente artículo, los interesados deberán acreditar a la fiduciaria, al momento de presentación, ajuste o reposición de las garantías, que la entidad financiera otorgante satisface los requerimientos indicados en estos criterios.</w:t>
      </w:r>
    </w:p>
    <w:p w:rsidR="00243507" w:rsidRPr="0059235B" w:rsidRDefault="00243507" w:rsidP="00243507">
      <w:pPr>
        <w:pStyle w:val="Prrafodelista"/>
        <w:ind w:left="0"/>
        <w:jc w:val="both"/>
        <w:rPr>
          <w:rFonts w:ascii="Bookman Old Style" w:hAnsi="Bookman Old Style" w:cs="Arial"/>
          <w:color w:val="000000" w:themeColor="text1"/>
          <w:sz w:val="22"/>
          <w:szCs w:val="22"/>
          <w:lang w:val="es-ES"/>
        </w:rPr>
      </w:pPr>
    </w:p>
    <w:p w:rsidR="00243507" w:rsidRPr="007A08D5" w:rsidRDefault="00243507" w:rsidP="00243507">
      <w:pPr>
        <w:pStyle w:val="ARTICULOS"/>
        <w:numPr>
          <w:ilvl w:val="0"/>
          <w:numId w:val="0"/>
        </w:numPr>
        <w:tabs>
          <w:tab w:val="left" w:pos="1560"/>
        </w:tabs>
        <w:ind w:left="425"/>
        <w:rPr>
          <w:color w:val="000000" w:themeColor="text1"/>
          <w:lang w:val="es-ES"/>
        </w:rPr>
      </w:pPr>
      <w:r w:rsidRPr="007A08D5">
        <w:rPr>
          <w:rFonts w:cs="Arial"/>
          <w:b/>
          <w:color w:val="000000" w:themeColor="text1"/>
          <w:lang w:val="es-ES"/>
        </w:rPr>
        <w:t>Parágrafo 2.</w:t>
      </w:r>
      <w:r w:rsidRPr="007A08D5">
        <w:rPr>
          <w:color w:val="000000" w:themeColor="text1"/>
          <w:lang w:val="es-ES"/>
        </w:rPr>
        <w:t xml:space="preserve"> El interesado deberá informar a la fiduciaria cualquier modificación en la calificación de que tratan los numerales 1 y 2 del presente artículo, así como también toda circunstancia que afecte o pueda llegar a afectar en cualquier forma la garantía o la efectividad de la misma. Dicha información deberá ser comunicada a más tardar quince (15) días hábiles después de ocurrido el hecho.</w:t>
      </w:r>
    </w:p>
    <w:p w:rsidR="00243507" w:rsidRPr="007A08D5" w:rsidRDefault="00243507" w:rsidP="00243507">
      <w:pPr>
        <w:pStyle w:val="ARTICULOS"/>
        <w:numPr>
          <w:ilvl w:val="0"/>
          <w:numId w:val="0"/>
        </w:numPr>
        <w:tabs>
          <w:tab w:val="left" w:pos="1560"/>
        </w:tabs>
        <w:ind w:left="425"/>
        <w:rPr>
          <w:color w:val="000000" w:themeColor="text1"/>
          <w:lang w:val="es-ES"/>
        </w:rPr>
      </w:pPr>
      <w:r w:rsidRPr="0059235B">
        <w:rPr>
          <w:rFonts w:cs="Arial"/>
          <w:bCs w:val="0"/>
          <w:color w:val="000000" w:themeColor="text1"/>
          <w:sz w:val="22"/>
          <w:szCs w:val="22"/>
          <w:lang w:val="es-ES"/>
        </w:rPr>
        <w:br/>
      </w:r>
      <w:r w:rsidRPr="007A08D5">
        <w:rPr>
          <w:rFonts w:cs="Arial"/>
          <w:b/>
          <w:color w:val="000000" w:themeColor="text1"/>
          <w:lang w:val="es-ES"/>
        </w:rPr>
        <w:t>Parágrafo 3.</w:t>
      </w:r>
      <w:r w:rsidRPr="007A08D5">
        <w:rPr>
          <w:color w:val="000000" w:themeColor="text1"/>
          <w:lang w:val="es-ES"/>
        </w:rPr>
        <w:t xml:space="preserve"> Para la aceptación de una garantía otorgada por una entidad financiera del exterior, el agente generador o persona jurídica interesada deberá adjuntar los formularios debidamente diligenciados y registrados ante el Banco de la República y que, de acuerdo con las normas del mismo, sean necesarios para el cobro de la garantía por parte de la fiducia.</w:t>
      </w:r>
    </w:p>
    <w:p w:rsidR="00E15981" w:rsidRPr="00243507" w:rsidRDefault="00E15981" w:rsidP="00D22E84">
      <w:pPr>
        <w:jc w:val="both"/>
        <w:rPr>
          <w:rFonts w:ascii="Bookman Old Style" w:hAnsi="Bookman Old Style"/>
          <w:b/>
          <w:bCs/>
        </w:rPr>
      </w:pPr>
    </w:p>
    <w:p w:rsidR="00735E22" w:rsidRPr="00D22E84" w:rsidRDefault="00304195" w:rsidP="00D22E84">
      <w:pPr>
        <w:ind w:left="0"/>
        <w:jc w:val="both"/>
        <w:rPr>
          <w:rFonts w:ascii="Bookman Old Style" w:hAnsi="Bookman Old Style"/>
          <w:b/>
          <w:lang w:val="es-ES_tradnl" w:eastAsia="es-CO"/>
        </w:rPr>
      </w:pPr>
      <w:r w:rsidRPr="00D22E84">
        <w:rPr>
          <w:rFonts w:ascii="Bookman Old Style" w:hAnsi="Bookman Old Style" w:cs="Arial"/>
          <w:b/>
          <w:bCs/>
          <w:iCs/>
          <w:lang w:val="es-MX"/>
        </w:rPr>
        <w:t>A</w:t>
      </w:r>
      <w:proofErr w:type="spellStart"/>
      <w:r w:rsidR="00870314" w:rsidRPr="00D22E84">
        <w:rPr>
          <w:rFonts w:ascii="Bookman Old Style" w:hAnsi="Bookman Old Style" w:cs="Arial"/>
          <w:b/>
          <w:bCs/>
          <w:iCs/>
        </w:rPr>
        <w:t>rtículo</w:t>
      </w:r>
      <w:proofErr w:type="spellEnd"/>
      <w:r w:rsidRPr="00D22E84">
        <w:rPr>
          <w:rFonts w:ascii="Bookman Old Style" w:hAnsi="Bookman Old Style" w:cs="Arial"/>
          <w:b/>
          <w:bCs/>
          <w:iCs/>
        </w:rPr>
        <w:t xml:space="preserve"> </w:t>
      </w:r>
      <w:r w:rsidR="00870314">
        <w:rPr>
          <w:rFonts w:ascii="Bookman Old Style" w:hAnsi="Bookman Old Style" w:cs="Arial"/>
          <w:b/>
          <w:bCs/>
          <w:iCs/>
        </w:rPr>
        <w:t>5</w:t>
      </w:r>
      <w:r w:rsidR="00735E22" w:rsidRPr="00D22E84">
        <w:rPr>
          <w:rFonts w:ascii="Bookman Old Style" w:hAnsi="Bookman Old Style" w:cs="Arial"/>
          <w:b/>
          <w:bCs/>
          <w:iCs/>
        </w:rPr>
        <w:t>. Vigencia de la presente resolución</w:t>
      </w:r>
      <w:r w:rsidR="00735E22" w:rsidRPr="00D22E84">
        <w:rPr>
          <w:rFonts w:ascii="Bookman Old Style" w:hAnsi="Bookman Old Style" w:cs="Arial"/>
          <w:iCs/>
        </w:rPr>
        <w:t>.</w:t>
      </w:r>
      <w:r w:rsidR="00735E22" w:rsidRPr="00D22E84">
        <w:rPr>
          <w:rFonts w:ascii="Bookman Old Style" w:hAnsi="Bookman Old Style" w:cs="Arial"/>
          <w:b/>
          <w:bCs/>
          <w:iCs/>
        </w:rPr>
        <w:t xml:space="preserve">  </w:t>
      </w:r>
      <w:r w:rsidR="00B73E1C" w:rsidRPr="00D22E84">
        <w:rPr>
          <w:rFonts w:ascii="Bookman Old Style" w:hAnsi="Bookman Old Style" w:cs="Arial"/>
          <w:iCs/>
        </w:rPr>
        <w:t>La presente Resolución rige a partir de la fecha de su publicación en el Diario Oficial</w:t>
      </w:r>
      <w:r w:rsidR="003C01EA">
        <w:rPr>
          <w:rFonts w:ascii="Bookman Old Style" w:hAnsi="Bookman Old Style" w:cs="Arial"/>
          <w:iCs/>
        </w:rPr>
        <w:t>. L</w:t>
      </w:r>
      <w:r w:rsidR="00B73E1C" w:rsidRPr="00D22E84">
        <w:rPr>
          <w:rFonts w:ascii="Bookman Old Style" w:hAnsi="Bookman Old Style" w:cs="Arial"/>
          <w:iCs/>
        </w:rPr>
        <w:t>o</w:t>
      </w:r>
      <w:r w:rsidR="003C01EA">
        <w:rPr>
          <w:rFonts w:ascii="Bookman Old Style" w:hAnsi="Bookman Old Style" w:cs="Arial"/>
          <w:iCs/>
        </w:rPr>
        <w:t>s</w:t>
      </w:r>
      <w:r w:rsidR="00B73E1C" w:rsidRPr="00D22E84">
        <w:rPr>
          <w:rFonts w:ascii="Bookman Old Style" w:hAnsi="Bookman Old Style" w:cs="Arial"/>
          <w:iCs/>
        </w:rPr>
        <w:t xml:space="preserve"> aspectos de la Resolución </w:t>
      </w:r>
      <w:r w:rsidR="003C01EA">
        <w:rPr>
          <w:rFonts w:ascii="Bookman Old Style" w:hAnsi="Bookman Old Style" w:cs="Arial"/>
          <w:iCs/>
        </w:rPr>
        <w:t xml:space="preserve">CREG </w:t>
      </w:r>
      <w:r w:rsidR="00B73E1C" w:rsidRPr="00D22E84">
        <w:rPr>
          <w:rFonts w:ascii="Bookman Old Style" w:hAnsi="Bookman Old Style" w:cs="Arial"/>
          <w:iCs/>
        </w:rPr>
        <w:t>124 de 2013 que no hayan sido modificad</w:t>
      </w:r>
      <w:r w:rsidR="003C01EA">
        <w:rPr>
          <w:rFonts w:ascii="Bookman Old Style" w:hAnsi="Bookman Old Style" w:cs="Arial"/>
          <w:iCs/>
        </w:rPr>
        <w:t>o</w:t>
      </w:r>
      <w:r w:rsidR="00B73E1C" w:rsidRPr="00D22E84">
        <w:rPr>
          <w:rFonts w:ascii="Bookman Old Style" w:hAnsi="Bookman Old Style" w:cs="Arial"/>
          <w:iCs/>
        </w:rPr>
        <w:t xml:space="preserve">s con la presente </w:t>
      </w:r>
      <w:r w:rsidR="003C01EA">
        <w:rPr>
          <w:rFonts w:ascii="Bookman Old Style" w:hAnsi="Bookman Old Style" w:cs="Arial"/>
          <w:iCs/>
        </w:rPr>
        <w:t>R</w:t>
      </w:r>
      <w:r w:rsidR="00B73E1C" w:rsidRPr="00D22E84">
        <w:rPr>
          <w:rFonts w:ascii="Bookman Old Style" w:hAnsi="Bookman Old Style" w:cs="Arial"/>
          <w:iCs/>
        </w:rPr>
        <w:t>esolución permanecerán vigentes.</w:t>
      </w:r>
    </w:p>
    <w:p w:rsidR="00735E22" w:rsidRDefault="00735E22" w:rsidP="00D22E84">
      <w:pPr>
        <w:ind w:left="0"/>
        <w:rPr>
          <w:rFonts w:ascii="Bookman Old Style" w:hAnsi="Bookman Old Style"/>
          <w:b/>
          <w:lang w:val="es-ES_tradnl" w:eastAsia="es-CO"/>
        </w:rPr>
      </w:pPr>
    </w:p>
    <w:p w:rsidR="004E0205" w:rsidRPr="00D22E84" w:rsidRDefault="004E0205" w:rsidP="00D22E84">
      <w:pPr>
        <w:ind w:left="0"/>
        <w:rPr>
          <w:rFonts w:ascii="Bookman Old Style" w:hAnsi="Bookman Old Style"/>
          <w:b/>
          <w:lang w:val="es-ES_tradnl" w:eastAsia="es-CO"/>
        </w:rPr>
      </w:pPr>
    </w:p>
    <w:p w:rsidR="00735E22" w:rsidRPr="00D22E84" w:rsidRDefault="00735E22" w:rsidP="00D22E84">
      <w:pPr>
        <w:keepNext/>
        <w:jc w:val="center"/>
        <w:rPr>
          <w:rFonts w:ascii="Bookman Old Style" w:hAnsi="Bookman Old Style" w:cs="Arial"/>
          <w:b/>
        </w:rPr>
      </w:pPr>
      <w:r w:rsidRPr="00D22E84">
        <w:rPr>
          <w:rFonts w:ascii="Bookman Old Style" w:hAnsi="Bookman Old Style" w:cs="Arial"/>
          <w:b/>
        </w:rPr>
        <w:t>PUBLÍQUESE Y CÚMPLASE</w:t>
      </w:r>
    </w:p>
    <w:p w:rsidR="00735E22" w:rsidRPr="00D22E84" w:rsidRDefault="00735E22" w:rsidP="00D22E84">
      <w:pPr>
        <w:keepNext/>
        <w:jc w:val="center"/>
        <w:rPr>
          <w:rFonts w:ascii="Bookman Old Style" w:hAnsi="Bookman Old Style" w:cs="Arial"/>
          <w:b/>
        </w:rPr>
      </w:pPr>
    </w:p>
    <w:p w:rsidR="00735E22" w:rsidRPr="00D22E84" w:rsidRDefault="0085772D" w:rsidP="00D22E84">
      <w:pPr>
        <w:keepNext/>
        <w:tabs>
          <w:tab w:val="left" w:pos="7371"/>
          <w:tab w:val="left" w:pos="7938"/>
        </w:tabs>
        <w:ind w:left="7088" w:right="-601" w:hanging="7088"/>
        <w:rPr>
          <w:rFonts w:ascii="Bookman Old Style" w:hAnsi="Bookman Old Style" w:cs="Arial"/>
        </w:rPr>
      </w:pPr>
      <w:r>
        <w:rPr>
          <w:rFonts w:ascii="Bookman Old Style" w:hAnsi="Bookman Old Style" w:cs="Arial"/>
        </w:rPr>
        <w:t>Firmas del proyecto</w:t>
      </w:r>
    </w:p>
    <w:p w:rsidR="00A92F16" w:rsidRPr="00D22E84" w:rsidRDefault="00A92F16" w:rsidP="00D22E84">
      <w:pPr>
        <w:keepNext/>
        <w:tabs>
          <w:tab w:val="left" w:pos="-720"/>
          <w:tab w:val="left" w:pos="1985"/>
        </w:tabs>
        <w:suppressAutoHyphens/>
        <w:ind w:left="0"/>
        <w:jc w:val="both"/>
        <w:rPr>
          <w:rFonts w:ascii="Bookman Old Style" w:hAnsi="Bookman Old Style" w:cs="Arial"/>
          <w:spacing w:val="-4"/>
        </w:rPr>
      </w:pPr>
      <w:r w:rsidRPr="00D22E84">
        <w:rPr>
          <w:rFonts w:ascii="Bookman Old Style" w:hAnsi="Bookman Old Style" w:cs="Arial"/>
          <w:b/>
          <w:bCs/>
        </w:rPr>
        <w:t xml:space="preserve">  </w:t>
      </w:r>
      <w:r w:rsidRPr="00D22E84">
        <w:rPr>
          <w:rFonts w:ascii="Bookman Old Style" w:hAnsi="Bookman Old Style" w:cs="Arial"/>
          <w:spacing w:val="-4"/>
        </w:rPr>
        <w:tab/>
      </w:r>
    </w:p>
    <w:p w:rsidR="00B779EB" w:rsidRDefault="00B779EB" w:rsidP="00D22E84">
      <w:pPr>
        <w:ind w:left="0"/>
        <w:jc w:val="both"/>
        <w:rPr>
          <w:rFonts w:ascii="Bookman Old Style" w:hAnsi="Bookman Old Style" w:cs="Arial"/>
        </w:rPr>
      </w:pPr>
    </w:p>
    <w:p w:rsidR="00032BBF" w:rsidRPr="00D22E84" w:rsidRDefault="00032BBF" w:rsidP="00D22E84">
      <w:pPr>
        <w:ind w:left="0"/>
        <w:jc w:val="both"/>
        <w:rPr>
          <w:rFonts w:ascii="Bookman Old Style" w:hAnsi="Bookman Old Style" w:cs="Arial"/>
        </w:rPr>
      </w:pPr>
    </w:p>
    <w:p w:rsidR="00B779EB" w:rsidRPr="00D22E84" w:rsidRDefault="00B779EB" w:rsidP="00D22E84">
      <w:pPr>
        <w:ind w:left="0"/>
        <w:jc w:val="both"/>
        <w:rPr>
          <w:rFonts w:ascii="Bookman Old Style" w:hAnsi="Bookman Old Style" w:cs="Arial"/>
        </w:rPr>
      </w:pPr>
    </w:p>
    <w:p w:rsidR="00B779EB" w:rsidRPr="00D22E84" w:rsidRDefault="00B779EB" w:rsidP="00D22E84">
      <w:pPr>
        <w:ind w:left="0"/>
        <w:jc w:val="both"/>
        <w:rPr>
          <w:rFonts w:ascii="Bookman Old Style" w:hAnsi="Bookman Old Style" w:cs="Arial"/>
        </w:rPr>
      </w:pPr>
    </w:p>
    <w:tbl>
      <w:tblPr>
        <w:tblW w:w="0" w:type="auto"/>
        <w:jc w:val="center"/>
        <w:tblLayout w:type="fixed"/>
        <w:tblCellMar>
          <w:left w:w="70" w:type="dxa"/>
          <w:right w:w="70" w:type="dxa"/>
        </w:tblCellMar>
        <w:tblLook w:val="0000" w:firstRow="0" w:lastRow="0" w:firstColumn="0" w:lastColumn="0" w:noHBand="0" w:noVBand="0"/>
      </w:tblPr>
      <w:tblGrid>
        <w:gridCol w:w="4491"/>
        <w:gridCol w:w="4491"/>
      </w:tblGrid>
      <w:tr w:rsidR="00A92F16" w:rsidRPr="00D22E84" w:rsidTr="00DC403B">
        <w:trPr>
          <w:trHeight w:val="195"/>
          <w:jc w:val="center"/>
        </w:trPr>
        <w:tc>
          <w:tcPr>
            <w:tcW w:w="4491" w:type="dxa"/>
            <w:vAlign w:val="center"/>
          </w:tcPr>
          <w:p w:rsidR="00A92F16" w:rsidRPr="00D22E84" w:rsidRDefault="00E42F72" w:rsidP="00D22E84">
            <w:pPr>
              <w:tabs>
                <w:tab w:val="left" w:pos="-720"/>
              </w:tabs>
              <w:snapToGrid w:val="0"/>
              <w:ind w:left="0"/>
              <w:jc w:val="center"/>
              <w:rPr>
                <w:rFonts w:ascii="Bookman Old Style" w:hAnsi="Bookman Old Style"/>
                <w:b/>
                <w:spacing w:val="-3"/>
                <w:lang w:val="es-CO"/>
              </w:rPr>
            </w:pPr>
            <w:r w:rsidRPr="00D22E84">
              <w:rPr>
                <w:rFonts w:ascii="Bookman Old Style" w:hAnsi="Bookman Old Style"/>
                <w:b/>
                <w:spacing w:val="-3"/>
                <w:lang w:val="es-CO"/>
              </w:rPr>
              <w:t>ORLANDO CABRALES</w:t>
            </w:r>
            <w:r w:rsidR="008368C4" w:rsidRPr="00D22E84">
              <w:rPr>
                <w:rFonts w:ascii="Bookman Old Style" w:hAnsi="Bookman Old Style"/>
                <w:b/>
                <w:spacing w:val="-3"/>
                <w:lang w:val="es-CO"/>
              </w:rPr>
              <w:t xml:space="preserve"> SEGOVIA</w:t>
            </w:r>
          </w:p>
        </w:tc>
        <w:tc>
          <w:tcPr>
            <w:tcW w:w="4491" w:type="dxa"/>
            <w:vAlign w:val="center"/>
          </w:tcPr>
          <w:p w:rsidR="00A92F16" w:rsidRPr="00D22E84" w:rsidRDefault="00A92F16" w:rsidP="00D22E84">
            <w:pPr>
              <w:tabs>
                <w:tab w:val="left" w:pos="-720"/>
              </w:tabs>
              <w:snapToGrid w:val="0"/>
              <w:ind w:left="0"/>
              <w:jc w:val="center"/>
              <w:rPr>
                <w:rFonts w:ascii="Bookman Old Style" w:hAnsi="Bookman Old Style"/>
                <w:b/>
                <w:spacing w:val="-3"/>
                <w:lang w:val="es-CO"/>
              </w:rPr>
            </w:pPr>
            <w:r w:rsidRPr="00D22E84">
              <w:rPr>
                <w:rFonts w:ascii="Bookman Old Style" w:hAnsi="Bookman Old Style"/>
                <w:b/>
                <w:spacing w:val="-3"/>
                <w:lang w:val="es-CO"/>
              </w:rPr>
              <w:t>GERMÁN CASTRO FERREIRA</w:t>
            </w:r>
          </w:p>
        </w:tc>
      </w:tr>
      <w:tr w:rsidR="00A92F16" w:rsidRPr="00D22E84" w:rsidTr="00DC403B">
        <w:trPr>
          <w:trHeight w:val="200"/>
          <w:jc w:val="center"/>
        </w:trPr>
        <w:tc>
          <w:tcPr>
            <w:tcW w:w="4491" w:type="dxa"/>
          </w:tcPr>
          <w:p w:rsidR="00A92F16" w:rsidRPr="00D22E84" w:rsidRDefault="00A92F16" w:rsidP="00D22E84">
            <w:pPr>
              <w:tabs>
                <w:tab w:val="left" w:pos="-720"/>
              </w:tabs>
              <w:snapToGrid w:val="0"/>
              <w:ind w:left="0"/>
              <w:jc w:val="center"/>
              <w:rPr>
                <w:rFonts w:ascii="Bookman Old Style" w:hAnsi="Bookman Old Style"/>
                <w:spacing w:val="-3"/>
              </w:rPr>
            </w:pPr>
            <w:r w:rsidRPr="00D22E84">
              <w:rPr>
                <w:rFonts w:ascii="Bookman Old Style" w:hAnsi="Bookman Old Style"/>
                <w:spacing w:val="-3"/>
              </w:rPr>
              <w:t xml:space="preserve">Viceministro </w:t>
            </w:r>
            <w:r w:rsidR="001F7418" w:rsidRPr="00D22E84">
              <w:rPr>
                <w:rFonts w:ascii="Bookman Old Style" w:hAnsi="Bookman Old Style"/>
                <w:spacing w:val="-3"/>
              </w:rPr>
              <w:t>de</w:t>
            </w:r>
            <w:r w:rsidRPr="00D22E84">
              <w:rPr>
                <w:rFonts w:ascii="Bookman Old Style" w:hAnsi="Bookman Old Style"/>
                <w:spacing w:val="-3"/>
              </w:rPr>
              <w:t xml:space="preserve"> Energía</w:t>
            </w:r>
          </w:p>
        </w:tc>
        <w:tc>
          <w:tcPr>
            <w:tcW w:w="4491" w:type="dxa"/>
          </w:tcPr>
          <w:p w:rsidR="00A92F16" w:rsidRPr="00D22E84" w:rsidRDefault="00AC69C6" w:rsidP="00D22E84">
            <w:pPr>
              <w:tabs>
                <w:tab w:val="left" w:pos="-720"/>
              </w:tabs>
              <w:snapToGrid w:val="0"/>
              <w:ind w:left="0"/>
              <w:jc w:val="center"/>
              <w:rPr>
                <w:rFonts w:ascii="Bookman Old Style" w:hAnsi="Bookman Old Style"/>
                <w:spacing w:val="-3"/>
              </w:rPr>
            </w:pPr>
            <w:r w:rsidRPr="00D22E84">
              <w:rPr>
                <w:rFonts w:ascii="Bookman Old Style" w:hAnsi="Bookman Old Style"/>
                <w:spacing w:val="-3"/>
              </w:rPr>
              <w:t xml:space="preserve"> </w:t>
            </w:r>
            <w:r w:rsidR="00A92F16" w:rsidRPr="00D22E84">
              <w:rPr>
                <w:rFonts w:ascii="Bookman Old Style" w:hAnsi="Bookman Old Style"/>
                <w:spacing w:val="-3"/>
              </w:rPr>
              <w:t>Director Ejecutivo</w:t>
            </w:r>
          </w:p>
        </w:tc>
      </w:tr>
      <w:tr w:rsidR="00A92F16" w:rsidRPr="00D22E84" w:rsidTr="00DC403B">
        <w:trPr>
          <w:trHeight w:val="473"/>
          <w:jc w:val="center"/>
        </w:trPr>
        <w:tc>
          <w:tcPr>
            <w:tcW w:w="4491" w:type="dxa"/>
          </w:tcPr>
          <w:p w:rsidR="00A92F16" w:rsidRPr="00D22E84" w:rsidRDefault="00A92F16" w:rsidP="00D22E84">
            <w:pPr>
              <w:tabs>
                <w:tab w:val="left" w:pos="-720"/>
              </w:tabs>
              <w:snapToGrid w:val="0"/>
              <w:ind w:left="0"/>
              <w:jc w:val="center"/>
              <w:rPr>
                <w:rFonts w:ascii="Bookman Old Style" w:hAnsi="Bookman Old Style"/>
                <w:spacing w:val="-3"/>
              </w:rPr>
            </w:pPr>
            <w:r w:rsidRPr="00D22E84">
              <w:rPr>
                <w:rFonts w:ascii="Bookman Old Style" w:hAnsi="Bookman Old Style"/>
                <w:spacing w:val="-3"/>
              </w:rPr>
              <w:t>Delegado del Ministro de Minas y Energía</w:t>
            </w:r>
          </w:p>
        </w:tc>
        <w:tc>
          <w:tcPr>
            <w:tcW w:w="4491" w:type="dxa"/>
          </w:tcPr>
          <w:p w:rsidR="00A92F16" w:rsidRPr="00D22E84" w:rsidRDefault="00A92F16" w:rsidP="00D22E84">
            <w:pPr>
              <w:tabs>
                <w:tab w:val="left" w:pos="-720"/>
              </w:tabs>
              <w:snapToGrid w:val="0"/>
              <w:ind w:left="0"/>
              <w:jc w:val="both"/>
              <w:rPr>
                <w:rFonts w:ascii="Bookman Old Style" w:hAnsi="Bookman Old Style"/>
                <w:spacing w:val="-3"/>
              </w:rPr>
            </w:pPr>
          </w:p>
        </w:tc>
      </w:tr>
      <w:tr w:rsidR="00A92F16" w:rsidRPr="00D22E84" w:rsidTr="00DC403B">
        <w:trPr>
          <w:jc w:val="center"/>
        </w:trPr>
        <w:tc>
          <w:tcPr>
            <w:tcW w:w="4491" w:type="dxa"/>
          </w:tcPr>
          <w:p w:rsidR="00A92F16" w:rsidRPr="00D22E84" w:rsidRDefault="00A92F16" w:rsidP="00D22E84">
            <w:pPr>
              <w:tabs>
                <w:tab w:val="left" w:pos="-720"/>
              </w:tabs>
              <w:snapToGrid w:val="0"/>
              <w:ind w:left="0"/>
              <w:jc w:val="center"/>
              <w:rPr>
                <w:rFonts w:ascii="Bookman Old Style" w:hAnsi="Bookman Old Style"/>
                <w:spacing w:val="-3"/>
              </w:rPr>
            </w:pPr>
            <w:r w:rsidRPr="00D22E84">
              <w:rPr>
                <w:rFonts w:ascii="Bookman Old Style" w:hAnsi="Bookman Old Style"/>
                <w:spacing w:val="-3"/>
              </w:rPr>
              <w:t>Presidente</w:t>
            </w:r>
          </w:p>
        </w:tc>
        <w:tc>
          <w:tcPr>
            <w:tcW w:w="4491" w:type="dxa"/>
          </w:tcPr>
          <w:p w:rsidR="00A92F16" w:rsidRPr="00D22E84" w:rsidRDefault="00A92F16" w:rsidP="00D22E84">
            <w:pPr>
              <w:tabs>
                <w:tab w:val="left" w:pos="-720"/>
              </w:tabs>
              <w:snapToGrid w:val="0"/>
              <w:ind w:left="0"/>
              <w:jc w:val="both"/>
              <w:rPr>
                <w:rFonts w:ascii="Bookman Old Style" w:hAnsi="Bookman Old Style"/>
                <w:spacing w:val="-3"/>
              </w:rPr>
            </w:pPr>
          </w:p>
        </w:tc>
      </w:tr>
    </w:tbl>
    <w:p w:rsidR="00B351B4" w:rsidRPr="00D22E84" w:rsidRDefault="00B351B4" w:rsidP="00D22E84">
      <w:pPr>
        <w:ind w:left="0"/>
        <w:rPr>
          <w:rFonts w:ascii="Bookman Old Style" w:hAnsi="Bookman Old Style"/>
          <w:bCs/>
          <w:lang w:val="es-CO"/>
        </w:rPr>
      </w:pPr>
    </w:p>
    <w:sectPr w:rsidR="00B351B4" w:rsidRPr="00D22E84"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2DC" w:rsidRDefault="00BE42DC">
      <w:r>
        <w:separator/>
      </w:r>
    </w:p>
  </w:endnote>
  <w:endnote w:type="continuationSeparator" w:id="0">
    <w:p w:rsidR="00BE42DC" w:rsidRDefault="00BE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2DC" w:rsidRDefault="00BE42DC">
      <w:r>
        <w:separator/>
      </w:r>
    </w:p>
  </w:footnote>
  <w:footnote w:type="continuationSeparator" w:id="0">
    <w:p w:rsidR="00BE42DC" w:rsidRDefault="00BE4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5F5" w:rsidRDefault="00C805F5" w:rsidP="00951F79">
    <w:pPr>
      <w:pStyle w:val="Ttulo1"/>
      <w:ind w:right="6"/>
      <w:jc w:val="left"/>
      <w:rPr>
        <w:rFonts w:ascii="Bookman Old Style" w:hAnsi="Bookman Old Style" w:cs="Arial"/>
        <w:b w:val="0"/>
        <w:sz w:val="22"/>
        <w:szCs w:val="22"/>
      </w:rPr>
    </w:pPr>
  </w:p>
  <w:p w:rsidR="00C805F5" w:rsidRPr="00951F79" w:rsidRDefault="00C805F5"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4112C">
      <w:rPr>
        <w:rFonts w:ascii="Bookman Old Style" w:hAnsi="Bookman Old Style" w:cs="Arial"/>
        <w:b w:val="0"/>
        <w:noProof/>
        <w:sz w:val="22"/>
        <w:szCs w:val="22"/>
      </w:rPr>
      <w:t>12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E4112C">
      <w:fldChar w:fldCharType="begin"/>
    </w:r>
    <w:r w:rsidR="00E4112C">
      <w:instrText xml:space="preserve"> NUMPAGES  \* MERGEFORMAT </w:instrText>
    </w:r>
    <w:r w:rsidR="00E4112C">
      <w:fldChar w:fldCharType="separate"/>
    </w:r>
    <w:r w:rsidR="00E4112C" w:rsidRPr="00E4112C">
      <w:rPr>
        <w:rFonts w:ascii="Bookman Old Style" w:hAnsi="Bookman Old Style" w:cs="Arial"/>
        <w:b w:val="0"/>
        <w:noProof/>
        <w:sz w:val="22"/>
        <w:szCs w:val="22"/>
      </w:rPr>
      <w:t>12</w:t>
    </w:r>
    <w:r w:rsidR="00E4112C">
      <w:rPr>
        <w:rFonts w:ascii="Bookman Old Style" w:hAnsi="Bookman Old Style" w:cs="Arial"/>
        <w:b w:val="0"/>
        <w:noProof/>
        <w:sz w:val="22"/>
        <w:szCs w:val="22"/>
      </w:rPr>
      <w:fldChar w:fldCharType="end"/>
    </w:r>
  </w:p>
  <w:p w:rsidR="00C805F5" w:rsidRDefault="00C805F5"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444B6E0" wp14:editId="1B288BC4">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C805F5" w:rsidRPr="00704008" w:rsidRDefault="00C805F5" w:rsidP="00704008">
    <w:pPr>
      <w:pBdr>
        <w:bottom w:val="single" w:sz="4" w:space="11" w:color="auto"/>
      </w:pBdr>
      <w:ind w:left="142" w:right="147"/>
      <w:jc w:val="both"/>
      <w:rPr>
        <w:rFonts w:ascii="Bookman Old Style" w:hAnsi="Bookman Old Style" w:cs="Arial"/>
        <w:b/>
        <w:bCs/>
        <w:color w:val="000000" w:themeColor="text1"/>
        <w:sz w:val="22"/>
        <w:szCs w:val="22"/>
        <w:lang w:eastAsia="es-CO"/>
      </w:rPr>
    </w:pPr>
    <w:r w:rsidRPr="00704008">
      <w:rPr>
        <w:rFonts w:ascii="Bookman Old Style" w:hAnsi="Bookman Old Style" w:cs="Arial"/>
        <w:sz w:val="22"/>
        <w:szCs w:val="22"/>
      </w:rPr>
      <w:t>Por la cual se ordena hacer público un proyecto de resolución de carácter general “Por la cual se modifica la Resolución CREG 124 de 2013”</w:t>
    </w:r>
    <w:r w:rsidRPr="00704008">
      <w:rPr>
        <w:rFonts w:ascii="Bookman Old Style" w:hAnsi="Bookman Old Style" w:cs="Arial"/>
        <w:color w:val="000000" w:themeColor="text1"/>
        <w:sz w:val="22"/>
        <w:szCs w:val="22"/>
        <w:lang w:eastAsia="es-CO"/>
      </w:rPr>
      <w:t>.</w:t>
    </w:r>
  </w:p>
  <w:p w:rsidR="00C805F5" w:rsidRPr="00704008" w:rsidRDefault="00C805F5" w:rsidP="00C032E5">
    <w:pPr>
      <w:widowControl w:val="0"/>
      <w:tabs>
        <w:tab w:val="center" w:pos="4512"/>
        <w:tab w:val="left" w:pos="7088"/>
      </w:tabs>
      <w:suppressAutoHyphens/>
      <w:adjustRightInd w:val="0"/>
      <w:ind w:left="0" w:right="51"/>
      <w:jc w:val="both"/>
      <w:textAlignment w:val="baseline"/>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5F5" w:rsidRDefault="00C805F5"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C805F5" w:rsidRDefault="00C805F5">
    <w:pPr>
      <w:pStyle w:val="Encabezado"/>
      <w:jc w:val="center"/>
      <w:rPr>
        <w:rFonts w:ascii="Arial" w:hAnsi="Arial" w:cs="Arial"/>
        <w:spacing w:val="20"/>
        <w:sz w:val="20"/>
      </w:rPr>
    </w:pPr>
  </w:p>
  <w:p w:rsidR="00C805F5" w:rsidRDefault="00C805F5"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4501F8C"/>
    <w:lvl w:ilvl="0">
      <w:numFmt w:val="bullet"/>
      <w:lvlText w:val="*"/>
      <w:lvlJc w:val="left"/>
    </w:lvl>
  </w:abstractNum>
  <w:abstractNum w:abstractNumId="1">
    <w:nsid w:val="01694371"/>
    <w:multiLevelType w:val="hybridMultilevel"/>
    <w:tmpl w:val="0BA03AD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37F413A"/>
    <w:multiLevelType w:val="hybridMultilevel"/>
    <w:tmpl w:val="35568B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075036FC"/>
    <w:multiLevelType w:val="hybridMultilevel"/>
    <w:tmpl w:val="0BA03AD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nsid w:val="0A1E4F53"/>
    <w:multiLevelType w:val="hybridMultilevel"/>
    <w:tmpl w:val="D5D83BB2"/>
    <w:lvl w:ilvl="0" w:tplc="240A0011">
      <w:start w:val="1"/>
      <w:numFmt w:val="decimal"/>
      <w:lvlText w:val="%1)"/>
      <w:lvlJc w:val="left"/>
      <w:pPr>
        <w:tabs>
          <w:tab w:val="num" w:pos="360"/>
        </w:tabs>
        <w:ind w:left="340" w:hanging="340"/>
      </w:pPr>
      <w:rPr>
        <w:rFonts w:hint="default"/>
        <w:b w:val="0"/>
        <w:i w:val="0"/>
        <w:sz w:val="22"/>
      </w:rPr>
    </w:lvl>
    <w:lvl w:ilvl="1" w:tplc="0C0A0019">
      <w:start w:val="1"/>
      <w:numFmt w:val="lowerLetter"/>
      <w:lvlText w:val="%2."/>
      <w:lvlJc w:val="left"/>
      <w:pPr>
        <w:tabs>
          <w:tab w:val="num" w:pos="1440"/>
        </w:tabs>
        <w:ind w:left="1440" w:hanging="360"/>
      </w:pPr>
    </w:lvl>
    <w:lvl w:ilvl="2" w:tplc="033C6B4E">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0A94060E"/>
    <w:multiLevelType w:val="hybridMultilevel"/>
    <w:tmpl w:val="F468C012"/>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0B1C5795"/>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EE2331E"/>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1123189E"/>
    <w:multiLevelType w:val="hybridMultilevel"/>
    <w:tmpl w:val="DE503508"/>
    <w:lvl w:ilvl="0" w:tplc="EE0493D6">
      <w:start w:val="1"/>
      <w:numFmt w:val="lowerRoman"/>
      <w:lvlText w:val="(%1)"/>
      <w:lvlJc w:val="left"/>
      <w:pPr>
        <w:ind w:left="1425" w:hanging="720"/>
      </w:pPr>
      <w:rPr>
        <w:rFonts w:eastAsia="Arial" w:cs="Arial"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3">
    <w:nsid w:val="11CE4180"/>
    <w:multiLevelType w:val="hybridMultilevel"/>
    <w:tmpl w:val="675833E8"/>
    <w:lvl w:ilvl="0" w:tplc="B86811D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13E91419"/>
    <w:multiLevelType w:val="hybridMultilevel"/>
    <w:tmpl w:val="F468C012"/>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1A4B6400"/>
    <w:multiLevelType w:val="hybridMultilevel"/>
    <w:tmpl w:val="D2964FF6"/>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nsid w:val="1A653BF3"/>
    <w:multiLevelType w:val="hybridMultilevel"/>
    <w:tmpl w:val="2284710E"/>
    <w:lvl w:ilvl="0" w:tplc="8526645A">
      <w:start w:val="2"/>
      <w:numFmt w:val="lowerLetter"/>
      <w:lvlText w:val="%1)"/>
      <w:lvlJc w:val="left"/>
      <w:pPr>
        <w:ind w:left="1440" w:hanging="720"/>
      </w:pPr>
      <w:rPr>
        <w:rFonts w:hint="default"/>
        <w:b w:val="0"/>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1B6F357D"/>
    <w:multiLevelType w:val="hybridMultilevel"/>
    <w:tmpl w:val="0A8CFBAA"/>
    <w:lvl w:ilvl="0" w:tplc="240A0019">
      <w:start w:val="1"/>
      <w:numFmt w:val="lowerLetter"/>
      <w:lvlText w:val="%1."/>
      <w:lvlJc w:val="left"/>
      <w:pPr>
        <w:ind w:left="1495"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1C2740DC"/>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nsid w:val="1DB30709"/>
    <w:multiLevelType w:val="multilevel"/>
    <w:tmpl w:val="15A0DB38"/>
    <w:lvl w:ilvl="0">
      <w:start w:val="4"/>
      <w:numFmt w:val="decimal"/>
      <w:lvlText w:val="%1."/>
      <w:lvlJc w:val="left"/>
      <w:pPr>
        <w:ind w:left="480" w:hanging="480"/>
      </w:pPr>
      <w:rPr>
        <w:b/>
      </w:rPr>
    </w:lvl>
    <w:lvl w:ilvl="1">
      <w:start w:val="1"/>
      <w:numFmt w:val="decimal"/>
      <w:lvlText w:val="%2."/>
      <w:lvlJc w:val="left"/>
      <w:pPr>
        <w:ind w:left="720" w:hanging="720"/>
      </w:pPr>
      <w:rPr>
        <w:b w:val="0"/>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20">
    <w:nsid w:val="21D05B0C"/>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BDC4112"/>
    <w:multiLevelType w:val="hybridMultilevel"/>
    <w:tmpl w:val="24182452"/>
    <w:lvl w:ilvl="0" w:tplc="E8C8DCDA">
      <w:numFmt w:val="bullet"/>
      <w:lvlText w:val="-"/>
      <w:lvlJc w:val="left"/>
      <w:pPr>
        <w:ind w:left="720" w:hanging="360"/>
      </w:pPr>
      <w:rPr>
        <w:rFonts w:ascii="Bookman Old Style" w:eastAsia="Times New Roman" w:hAnsi="Bookman Old Style" w:cs="Arial" w:hint="default"/>
        <w:b w:val="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3213303F"/>
    <w:multiLevelType w:val="hybridMultilevel"/>
    <w:tmpl w:val="D2964FF6"/>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DA5DEE"/>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7">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9">
    <w:nsid w:val="50B152F1"/>
    <w:multiLevelType w:val="hybridMultilevel"/>
    <w:tmpl w:val="0E86A976"/>
    <w:lvl w:ilvl="0" w:tplc="240A000F">
      <w:start w:val="1"/>
      <w:numFmt w:val="decimal"/>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2D166C7"/>
    <w:multiLevelType w:val="singleLevel"/>
    <w:tmpl w:val="7A94FA80"/>
    <w:lvl w:ilvl="0">
      <w:start w:val="1"/>
      <w:numFmt w:val="lowerRoman"/>
      <w:lvlText w:val="(%1)   "/>
      <w:legacy w:legacy="1" w:legacySpace="0" w:legacyIndent="283"/>
      <w:lvlJc w:val="left"/>
      <w:pPr>
        <w:ind w:left="3118" w:hanging="283"/>
      </w:pPr>
    </w:lvl>
  </w:abstractNum>
  <w:abstractNum w:abstractNumId="31">
    <w:nsid w:val="5AA07BF6"/>
    <w:multiLevelType w:val="singleLevel"/>
    <w:tmpl w:val="7A94FA80"/>
    <w:lvl w:ilvl="0">
      <w:start w:val="1"/>
      <w:numFmt w:val="lowerRoman"/>
      <w:lvlText w:val="(%1)   "/>
      <w:legacy w:legacy="1" w:legacySpace="0" w:legacyIndent="283"/>
      <w:lvlJc w:val="left"/>
      <w:pPr>
        <w:ind w:left="283" w:hanging="283"/>
      </w:pPr>
    </w:lvl>
  </w:abstractNum>
  <w:abstractNum w:abstractNumId="32">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D9E45A4"/>
    <w:multiLevelType w:val="hybridMultilevel"/>
    <w:tmpl w:val="F468C012"/>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614E283E"/>
    <w:multiLevelType w:val="hybridMultilevel"/>
    <w:tmpl w:val="C35E919C"/>
    <w:lvl w:ilvl="0" w:tplc="240A000F">
      <w:start w:val="1"/>
      <w:numFmt w:val="decimal"/>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nsid w:val="64735DA3"/>
    <w:multiLevelType w:val="hybridMultilevel"/>
    <w:tmpl w:val="1D52355A"/>
    <w:lvl w:ilvl="0" w:tplc="82D0F006">
      <w:start w:val="3"/>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684142E0"/>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9">
    <w:nsid w:val="6A7A0E04"/>
    <w:multiLevelType w:val="hybridMultilevel"/>
    <w:tmpl w:val="459851AA"/>
    <w:lvl w:ilvl="0" w:tplc="240A0017">
      <w:start w:val="1"/>
      <w:numFmt w:val="lowerLetter"/>
      <w:lvlText w:val="%1)"/>
      <w:lvlJc w:val="left"/>
      <w:pPr>
        <w:ind w:left="1440" w:hanging="720"/>
      </w:pPr>
      <w:rPr>
        <w:rFonts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150574F"/>
    <w:multiLevelType w:val="hybridMultilevel"/>
    <w:tmpl w:val="498E398C"/>
    <w:lvl w:ilvl="0" w:tplc="3EA47094">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2">
    <w:nsid w:val="73432BD8"/>
    <w:multiLevelType w:val="hybridMultilevel"/>
    <w:tmpl w:val="5CD4C5D8"/>
    <w:lvl w:ilvl="0" w:tplc="7AA45F42">
      <w:start w:val="4"/>
      <w:numFmt w:val="decimal"/>
      <w:pStyle w:val="ARTICULOS"/>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0"/>
        <w:szCs w:val="20"/>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1615" w:hanging="360"/>
      </w:pPr>
    </w:lvl>
    <w:lvl w:ilvl="2" w:tplc="240A000F">
      <w:start w:val="1"/>
      <w:numFmt w:val="decimal"/>
      <w:lvlText w:val="%3."/>
      <w:lvlJc w:val="left"/>
      <w:pPr>
        <w:ind w:left="-895" w:hanging="180"/>
      </w:pPr>
    </w:lvl>
    <w:lvl w:ilvl="3" w:tplc="F4E8F414">
      <w:start w:val="1"/>
      <w:numFmt w:val="lowerRoman"/>
      <w:lvlText w:val="%4)"/>
      <w:lvlJc w:val="left"/>
      <w:pPr>
        <w:ind w:left="185" w:hanging="720"/>
      </w:pPr>
      <w:rPr>
        <w:rFonts w:hint="default"/>
      </w:rPr>
    </w:lvl>
    <w:lvl w:ilvl="4" w:tplc="240A0019" w:tentative="1">
      <w:start w:val="1"/>
      <w:numFmt w:val="lowerLetter"/>
      <w:lvlText w:val="%5."/>
      <w:lvlJc w:val="left"/>
      <w:pPr>
        <w:ind w:left="545" w:hanging="360"/>
      </w:pPr>
    </w:lvl>
    <w:lvl w:ilvl="5" w:tplc="240A001B" w:tentative="1">
      <w:start w:val="1"/>
      <w:numFmt w:val="lowerRoman"/>
      <w:lvlText w:val="%6."/>
      <w:lvlJc w:val="right"/>
      <w:pPr>
        <w:ind w:left="1265" w:hanging="180"/>
      </w:pPr>
    </w:lvl>
    <w:lvl w:ilvl="6" w:tplc="240A000F" w:tentative="1">
      <w:start w:val="1"/>
      <w:numFmt w:val="decimal"/>
      <w:lvlText w:val="%7."/>
      <w:lvlJc w:val="left"/>
      <w:pPr>
        <w:ind w:left="1985" w:hanging="360"/>
      </w:pPr>
    </w:lvl>
    <w:lvl w:ilvl="7" w:tplc="240A0019" w:tentative="1">
      <w:start w:val="1"/>
      <w:numFmt w:val="lowerLetter"/>
      <w:lvlText w:val="%8."/>
      <w:lvlJc w:val="left"/>
      <w:pPr>
        <w:ind w:left="2705" w:hanging="360"/>
      </w:pPr>
    </w:lvl>
    <w:lvl w:ilvl="8" w:tplc="240A001B" w:tentative="1">
      <w:start w:val="1"/>
      <w:numFmt w:val="lowerRoman"/>
      <w:lvlText w:val="%9."/>
      <w:lvlJc w:val="right"/>
      <w:pPr>
        <w:ind w:left="3425" w:hanging="180"/>
      </w:pPr>
    </w:lvl>
  </w:abstractNum>
  <w:abstractNum w:abstractNumId="43">
    <w:nsid w:val="74943570"/>
    <w:multiLevelType w:val="hybridMultilevel"/>
    <w:tmpl w:val="925EC9E4"/>
    <w:lvl w:ilvl="0" w:tplc="7312EAC8">
      <w:start w:val="1"/>
      <w:numFmt w:val="lowerRoman"/>
      <w:lvlText w:val="(%1)"/>
      <w:lvlJc w:val="left"/>
      <w:pPr>
        <w:ind w:left="1425" w:hanging="72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4">
    <w:nsid w:val="76305926"/>
    <w:multiLevelType w:val="hybridMultilevel"/>
    <w:tmpl w:val="B4662FD8"/>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31CA9968">
      <w:start w:val="1"/>
      <w:numFmt w:val="lowerRoman"/>
      <w:lvlText w:val="%3."/>
      <w:lvlJc w:val="left"/>
      <w:pPr>
        <w:ind w:left="2727" w:hanging="180"/>
      </w:pPr>
      <w:rPr>
        <w:rFonts w:hint="default"/>
      </w:r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4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7C4E01DB"/>
    <w:multiLevelType w:val="hybridMultilevel"/>
    <w:tmpl w:val="D082B194"/>
    <w:lvl w:ilvl="0" w:tplc="1C9CED36">
      <w:start w:val="1"/>
      <w:numFmt w:val="bullet"/>
      <w:lvlText w:val="•"/>
      <w:lvlJc w:val="left"/>
      <w:pPr>
        <w:tabs>
          <w:tab w:val="num" w:pos="720"/>
        </w:tabs>
        <w:ind w:left="720" w:hanging="360"/>
      </w:pPr>
      <w:rPr>
        <w:rFonts w:ascii="Times New Roman" w:hAnsi="Times New Roman" w:hint="default"/>
      </w:rPr>
    </w:lvl>
    <w:lvl w:ilvl="1" w:tplc="E00E2450" w:tentative="1">
      <w:start w:val="1"/>
      <w:numFmt w:val="bullet"/>
      <w:lvlText w:val="•"/>
      <w:lvlJc w:val="left"/>
      <w:pPr>
        <w:tabs>
          <w:tab w:val="num" w:pos="1440"/>
        </w:tabs>
        <w:ind w:left="1440" w:hanging="360"/>
      </w:pPr>
      <w:rPr>
        <w:rFonts w:ascii="Times New Roman" w:hAnsi="Times New Roman" w:hint="default"/>
      </w:rPr>
    </w:lvl>
    <w:lvl w:ilvl="2" w:tplc="675EF214" w:tentative="1">
      <w:start w:val="1"/>
      <w:numFmt w:val="bullet"/>
      <w:lvlText w:val="•"/>
      <w:lvlJc w:val="left"/>
      <w:pPr>
        <w:tabs>
          <w:tab w:val="num" w:pos="2160"/>
        </w:tabs>
        <w:ind w:left="2160" w:hanging="360"/>
      </w:pPr>
      <w:rPr>
        <w:rFonts w:ascii="Times New Roman" w:hAnsi="Times New Roman" w:hint="default"/>
      </w:rPr>
    </w:lvl>
    <w:lvl w:ilvl="3" w:tplc="7E3E8882" w:tentative="1">
      <w:start w:val="1"/>
      <w:numFmt w:val="bullet"/>
      <w:lvlText w:val="•"/>
      <w:lvlJc w:val="left"/>
      <w:pPr>
        <w:tabs>
          <w:tab w:val="num" w:pos="2880"/>
        </w:tabs>
        <w:ind w:left="2880" w:hanging="360"/>
      </w:pPr>
      <w:rPr>
        <w:rFonts w:ascii="Times New Roman" w:hAnsi="Times New Roman" w:hint="default"/>
      </w:rPr>
    </w:lvl>
    <w:lvl w:ilvl="4" w:tplc="5DE8E9DC" w:tentative="1">
      <w:start w:val="1"/>
      <w:numFmt w:val="bullet"/>
      <w:lvlText w:val="•"/>
      <w:lvlJc w:val="left"/>
      <w:pPr>
        <w:tabs>
          <w:tab w:val="num" w:pos="3600"/>
        </w:tabs>
        <w:ind w:left="3600" w:hanging="360"/>
      </w:pPr>
      <w:rPr>
        <w:rFonts w:ascii="Times New Roman" w:hAnsi="Times New Roman" w:hint="default"/>
      </w:rPr>
    </w:lvl>
    <w:lvl w:ilvl="5" w:tplc="3978FC46" w:tentative="1">
      <w:start w:val="1"/>
      <w:numFmt w:val="bullet"/>
      <w:lvlText w:val="•"/>
      <w:lvlJc w:val="left"/>
      <w:pPr>
        <w:tabs>
          <w:tab w:val="num" w:pos="4320"/>
        </w:tabs>
        <w:ind w:left="4320" w:hanging="360"/>
      </w:pPr>
      <w:rPr>
        <w:rFonts w:ascii="Times New Roman" w:hAnsi="Times New Roman" w:hint="default"/>
      </w:rPr>
    </w:lvl>
    <w:lvl w:ilvl="6" w:tplc="A1666C52" w:tentative="1">
      <w:start w:val="1"/>
      <w:numFmt w:val="bullet"/>
      <w:lvlText w:val="•"/>
      <w:lvlJc w:val="left"/>
      <w:pPr>
        <w:tabs>
          <w:tab w:val="num" w:pos="5040"/>
        </w:tabs>
        <w:ind w:left="5040" w:hanging="360"/>
      </w:pPr>
      <w:rPr>
        <w:rFonts w:ascii="Times New Roman" w:hAnsi="Times New Roman" w:hint="default"/>
      </w:rPr>
    </w:lvl>
    <w:lvl w:ilvl="7" w:tplc="28EC6C08" w:tentative="1">
      <w:start w:val="1"/>
      <w:numFmt w:val="bullet"/>
      <w:lvlText w:val="•"/>
      <w:lvlJc w:val="left"/>
      <w:pPr>
        <w:tabs>
          <w:tab w:val="num" w:pos="5760"/>
        </w:tabs>
        <w:ind w:left="5760" w:hanging="360"/>
      </w:pPr>
      <w:rPr>
        <w:rFonts w:ascii="Times New Roman" w:hAnsi="Times New Roman" w:hint="default"/>
      </w:rPr>
    </w:lvl>
    <w:lvl w:ilvl="8" w:tplc="C700E178" w:tentative="1">
      <w:start w:val="1"/>
      <w:numFmt w:val="bullet"/>
      <w:lvlText w:val="•"/>
      <w:lvlJc w:val="left"/>
      <w:pPr>
        <w:tabs>
          <w:tab w:val="num" w:pos="6480"/>
        </w:tabs>
        <w:ind w:left="6480" w:hanging="360"/>
      </w:pPr>
      <w:rPr>
        <w:rFonts w:ascii="Times New Roman" w:hAnsi="Times New Roman" w:hint="default"/>
      </w:rPr>
    </w:lvl>
  </w:abstractNum>
  <w:abstractNum w:abstractNumId="48">
    <w:nsid w:val="7D3E74E3"/>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9">
    <w:nsid w:val="7EC07242"/>
    <w:multiLevelType w:val="hybridMultilevel"/>
    <w:tmpl w:val="5DC0EE90"/>
    <w:lvl w:ilvl="0" w:tplc="AC02404C">
      <w:start w:val="1"/>
      <w:numFmt w:val="bullet"/>
      <w:lvlText w:val="•"/>
      <w:lvlJc w:val="left"/>
      <w:pPr>
        <w:tabs>
          <w:tab w:val="num" w:pos="720"/>
        </w:tabs>
        <w:ind w:left="720" w:hanging="360"/>
      </w:pPr>
      <w:rPr>
        <w:rFonts w:ascii="Times New Roman" w:hAnsi="Times New Roman" w:hint="default"/>
      </w:rPr>
    </w:lvl>
    <w:lvl w:ilvl="1" w:tplc="2EAE1AFC" w:tentative="1">
      <w:start w:val="1"/>
      <w:numFmt w:val="bullet"/>
      <w:lvlText w:val="•"/>
      <w:lvlJc w:val="left"/>
      <w:pPr>
        <w:tabs>
          <w:tab w:val="num" w:pos="1440"/>
        </w:tabs>
        <w:ind w:left="1440" w:hanging="360"/>
      </w:pPr>
      <w:rPr>
        <w:rFonts w:ascii="Times New Roman" w:hAnsi="Times New Roman" w:hint="default"/>
      </w:rPr>
    </w:lvl>
    <w:lvl w:ilvl="2" w:tplc="7A3E23E0" w:tentative="1">
      <w:start w:val="1"/>
      <w:numFmt w:val="bullet"/>
      <w:lvlText w:val="•"/>
      <w:lvlJc w:val="left"/>
      <w:pPr>
        <w:tabs>
          <w:tab w:val="num" w:pos="2160"/>
        </w:tabs>
        <w:ind w:left="2160" w:hanging="360"/>
      </w:pPr>
      <w:rPr>
        <w:rFonts w:ascii="Times New Roman" w:hAnsi="Times New Roman" w:hint="default"/>
      </w:rPr>
    </w:lvl>
    <w:lvl w:ilvl="3" w:tplc="A4E46020" w:tentative="1">
      <w:start w:val="1"/>
      <w:numFmt w:val="bullet"/>
      <w:lvlText w:val="•"/>
      <w:lvlJc w:val="left"/>
      <w:pPr>
        <w:tabs>
          <w:tab w:val="num" w:pos="2880"/>
        </w:tabs>
        <w:ind w:left="2880" w:hanging="360"/>
      </w:pPr>
      <w:rPr>
        <w:rFonts w:ascii="Times New Roman" w:hAnsi="Times New Roman" w:hint="default"/>
      </w:rPr>
    </w:lvl>
    <w:lvl w:ilvl="4" w:tplc="36AE3966" w:tentative="1">
      <w:start w:val="1"/>
      <w:numFmt w:val="bullet"/>
      <w:lvlText w:val="•"/>
      <w:lvlJc w:val="left"/>
      <w:pPr>
        <w:tabs>
          <w:tab w:val="num" w:pos="3600"/>
        </w:tabs>
        <w:ind w:left="3600" w:hanging="360"/>
      </w:pPr>
      <w:rPr>
        <w:rFonts w:ascii="Times New Roman" w:hAnsi="Times New Roman" w:hint="default"/>
      </w:rPr>
    </w:lvl>
    <w:lvl w:ilvl="5" w:tplc="676ACAB8" w:tentative="1">
      <w:start w:val="1"/>
      <w:numFmt w:val="bullet"/>
      <w:lvlText w:val="•"/>
      <w:lvlJc w:val="left"/>
      <w:pPr>
        <w:tabs>
          <w:tab w:val="num" w:pos="4320"/>
        </w:tabs>
        <w:ind w:left="4320" w:hanging="360"/>
      </w:pPr>
      <w:rPr>
        <w:rFonts w:ascii="Times New Roman" w:hAnsi="Times New Roman" w:hint="default"/>
      </w:rPr>
    </w:lvl>
    <w:lvl w:ilvl="6" w:tplc="6EAC589C" w:tentative="1">
      <w:start w:val="1"/>
      <w:numFmt w:val="bullet"/>
      <w:lvlText w:val="•"/>
      <w:lvlJc w:val="left"/>
      <w:pPr>
        <w:tabs>
          <w:tab w:val="num" w:pos="5040"/>
        </w:tabs>
        <w:ind w:left="5040" w:hanging="360"/>
      </w:pPr>
      <w:rPr>
        <w:rFonts w:ascii="Times New Roman" w:hAnsi="Times New Roman" w:hint="default"/>
      </w:rPr>
    </w:lvl>
    <w:lvl w:ilvl="7" w:tplc="B82605A8" w:tentative="1">
      <w:start w:val="1"/>
      <w:numFmt w:val="bullet"/>
      <w:lvlText w:val="•"/>
      <w:lvlJc w:val="left"/>
      <w:pPr>
        <w:tabs>
          <w:tab w:val="num" w:pos="5760"/>
        </w:tabs>
        <w:ind w:left="5760" w:hanging="360"/>
      </w:pPr>
      <w:rPr>
        <w:rFonts w:ascii="Times New Roman" w:hAnsi="Times New Roman" w:hint="default"/>
      </w:rPr>
    </w:lvl>
    <w:lvl w:ilvl="8" w:tplc="7150A3EA" w:tentative="1">
      <w:start w:val="1"/>
      <w:numFmt w:val="bullet"/>
      <w:lvlText w:val="•"/>
      <w:lvlJc w:val="left"/>
      <w:pPr>
        <w:tabs>
          <w:tab w:val="num" w:pos="6480"/>
        </w:tabs>
        <w:ind w:left="6480" w:hanging="360"/>
      </w:pPr>
      <w:rPr>
        <w:rFonts w:ascii="Times New Roman" w:hAnsi="Times New Roman" w:hint="default"/>
      </w:rPr>
    </w:lvl>
  </w:abstractNum>
  <w:num w:numId="1">
    <w:abstractNumId w:val="26"/>
  </w:num>
  <w:num w:numId="2">
    <w:abstractNumId w:val="10"/>
  </w:num>
  <w:num w:numId="3">
    <w:abstractNumId w:val="45"/>
  </w:num>
  <w:num w:numId="4">
    <w:abstractNumId w:val="21"/>
  </w:num>
  <w:num w:numId="5">
    <w:abstractNumId w:val="32"/>
  </w:num>
  <w:num w:numId="6">
    <w:abstractNumId w:val="5"/>
  </w:num>
  <w:num w:numId="7">
    <w:abstractNumId w:val="3"/>
  </w:num>
  <w:num w:numId="8">
    <w:abstractNumId w:val="36"/>
  </w:num>
  <w:num w:numId="9">
    <w:abstractNumId w:val="34"/>
  </w:num>
  <w:num w:numId="10">
    <w:abstractNumId w:val="27"/>
  </w:num>
  <w:num w:numId="11">
    <w:abstractNumId w:val="46"/>
  </w:num>
  <w:num w:numId="12">
    <w:abstractNumId w:val="40"/>
  </w:num>
  <w:num w:numId="13">
    <w:abstractNumId w:val="24"/>
  </w:num>
  <w:num w:numId="14">
    <w:abstractNumId w:val="2"/>
  </w:num>
  <w:num w:numId="15">
    <w:abstractNumId w:val="28"/>
  </w:num>
  <w:num w:numId="1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7">
    <w:abstractNumId w:val="31"/>
  </w:num>
  <w:num w:numId="18">
    <w:abstractNumId w:val="30"/>
  </w:num>
  <w:num w:numId="19">
    <w:abstractNumId w:val="17"/>
  </w:num>
  <w:num w:numId="20">
    <w:abstractNumId w:val="22"/>
  </w:num>
  <w:num w:numId="21">
    <w:abstractNumId w:val="8"/>
  </w:num>
  <w:num w:numId="22">
    <w:abstractNumId w:val="12"/>
  </w:num>
  <w:num w:numId="23">
    <w:abstractNumId w:val="4"/>
  </w:num>
  <w:num w:numId="24">
    <w:abstractNumId w:val="33"/>
  </w:num>
  <w:num w:numId="25">
    <w:abstractNumId w:val="43"/>
  </w:num>
  <w:num w:numId="26">
    <w:abstractNumId w:val="14"/>
  </w:num>
  <w:num w:numId="27">
    <w:abstractNumId w:val="49"/>
  </w:num>
  <w:num w:numId="28">
    <w:abstractNumId w:val="47"/>
  </w:num>
  <w:num w:numId="29">
    <w:abstractNumId w:val="42"/>
  </w:num>
  <w:num w:numId="30">
    <w:abstractNumId w:val="20"/>
  </w:num>
  <w:num w:numId="31">
    <w:abstractNumId w:val="13"/>
  </w:num>
  <w:num w:numId="32">
    <w:abstractNumId w:val="44"/>
  </w:num>
  <w:num w:numId="33">
    <w:abstractNumId w:val="41"/>
  </w:num>
  <w:num w:numId="34">
    <w:abstractNumId w:val="39"/>
  </w:num>
  <w:num w:numId="35">
    <w:abstractNumId w:val="18"/>
  </w:num>
  <w:num w:numId="36">
    <w:abstractNumId w:val="37"/>
  </w:num>
  <w:num w:numId="37">
    <w:abstractNumId w:val="16"/>
  </w:num>
  <w:num w:numId="38">
    <w:abstractNumId w:val="25"/>
  </w:num>
  <w:num w:numId="39">
    <w:abstractNumId w:val="35"/>
  </w:num>
  <w:num w:numId="40">
    <w:abstractNumId w:val="29"/>
  </w:num>
  <w:num w:numId="41">
    <w:abstractNumId w:val="1"/>
  </w:num>
  <w:num w:numId="42">
    <w:abstractNumId w:val="6"/>
  </w:num>
  <w:num w:numId="43">
    <w:abstractNumId w:val="42"/>
  </w:num>
  <w:num w:numId="44">
    <w:abstractNumId w:val="42"/>
  </w:num>
  <w:num w:numId="45">
    <w:abstractNumId w:val="42"/>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42"/>
  </w:num>
  <w:num w:numId="50">
    <w:abstractNumId w:val="42"/>
  </w:num>
  <w:num w:numId="51">
    <w:abstractNumId w:val="42"/>
  </w:num>
  <w:num w:numId="52">
    <w:abstractNumId w:val="42"/>
  </w:num>
  <w:num w:numId="53">
    <w:abstractNumId w:val="9"/>
  </w:num>
  <w:num w:numId="54">
    <w:abstractNumId w:val="48"/>
  </w:num>
  <w:num w:numId="55">
    <w:abstractNumId w:val="38"/>
  </w:num>
  <w:num w:numId="56">
    <w:abstractNumId w:val="23"/>
  </w:num>
  <w:num w:numId="57">
    <w:abstractNumId w:val="42"/>
    <w:lvlOverride w:ilvl="0">
      <w:startOverride w:val="30"/>
    </w:lvlOverride>
  </w:num>
  <w:num w:numId="58">
    <w:abstractNumId w:val="42"/>
  </w:num>
  <w:num w:numId="59">
    <w:abstractNumId w:val="42"/>
  </w:num>
  <w:num w:numId="60">
    <w:abstractNumId w:val="42"/>
  </w:num>
  <w:num w:numId="61">
    <w:abstractNumId w:val="42"/>
  </w:num>
  <w:num w:numId="62">
    <w:abstractNumId w:val="42"/>
  </w:num>
  <w:num w:numId="63">
    <w:abstractNumId w:val="42"/>
  </w:num>
  <w:num w:numId="64">
    <w:abstractNumId w:val="42"/>
  </w:num>
  <w:num w:numId="65">
    <w:abstractNumId w:val="42"/>
  </w:num>
  <w:num w:numId="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num>
  <w:num w:numId="68">
    <w:abstractNumId w:val="42"/>
  </w:num>
  <w:num w:numId="69">
    <w:abstractNumId w:val="42"/>
  </w:num>
  <w:num w:numId="70">
    <w:abstractNumId w:val="42"/>
  </w:num>
  <w:num w:numId="71">
    <w:abstractNumId w:val="42"/>
  </w:num>
  <w:num w:numId="72">
    <w:abstractNumId w:val="42"/>
  </w:num>
  <w:num w:numId="73">
    <w:abstractNumId w:val="42"/>
  </w:num>
  <w:num w:numId="74">
    <w:abstractNumId w:val="42"/>
  </w:num>
  <w:num w:numId="75">
    <w:abstractNumId w:val="42"/>
  </w:num>
  <w:num w:numId="76">
    <w:abstractNumId w:val="42"/>
  </w:num>
  <w:num w:numId="77">
    <w:abstractNumId w:val="7"/>
  </w:num>
  <w:num w:numId="78">
    <w:abstractNumId w:val="1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2259"/>
    <w:rsid w:val="00017E52"/>
    <w:rsid w:val="00025383"/>
    <w:rsid w:val="00026DDC"/>
    <w:rsid w:val="00032BBF"/>
    <w:rsid w:val="000351F1"/>
    <w:rsid w:val="0003706E"/>
    <w:rsid w:val="000374BD"/>
    <w:rsid w:val="000438C8"/>
    <w:rsid w:val="00043E1D"/>
    <w:rsid w:val="00045292"/>
    <w:rsid w:val="000614C3"/>
    <w:rsid w:val="00061E0F"/>
    <w:rsid w:val="00062A50"/>
    <w:rsid w:val="000635ED"/>
    <w:rsid w:val="00063657"/>
    <w:rsid w:val="00064023"/>
    <w:rsid w:val="00067ACE"/>
    <w:rsid w:val="0007330C"/>
    <w:rsid w:val="00076680"/>
    <w:rsid w:val="0008073E"/>
    <w:rsid w:val="00086EB4"/>
    <w:rsid w:val="00090188"/>
    <w:rsid w:val="00091CDB"/>
    <w:rsid w:val="00092DF9"/>
    <w:rsid w:val="00096914"/>
    <w:rsid w:val="000A19AC"/>
    <w:rsid w:val="000A1DE0"/>
    <w:rsid w:val="000A6B4C"/>
    <w:rsid w:val="000C3AAC"/>
    <w:rsid w:val="000D26F8"/>
    <w:rsid w:val="000D7A77"/>
    <w:rsid w:val="000F46C3"/>
    <w:rsid w:val="00104074"/>
    <w:rsid w:val="0012387A"/>
    <w:rsid w:val="00130196"/>
    <w:rsid w:val="00130FB2"/>
    <w:rsid w:val="00133589"/>
    <w:rsid w:val="001405C6"/>
    <w:rsid w:val="00141013"/>
    <w:rsid w:val="001435C6"/>
    <w:rsid w:val="001471E9"/>
    <w:rsid w:val="001555EA"/>
    <w:rsid w:val="00156748"/>
    <w:rsid w:val="001632A4"/>
    <w:rsid w:val="0016377D"/>
    <w:rsid w:val="00164352"/>
    <w:rsid w:val="00164A41"/>
    <w:rsid w:val="00176D80"/>
    <w:rsid w:val="001826AC"/>
    <w:rsid w:val="00192CBF"/>
    <w:rsid w:val="00192FF1"/>
    <w:rsid w:val="001A030C"/>
    <w:rsid w:val="001A1B9F"/>
    <w:rsid w:val="001A4330"/>
    <w:rsid w:val="001A491D"/>
    <w:rsid w:val="001A5F1B"/>
    <w:rsid w:val="001B1C22"/>
    <w:rsid w:val="001B34C6"/>
    <w:rsid w:val="001C1589"/>
    <w:rsid w:val="001C1A78"/>
    <w:rsid w:val="001C6E7C"/>
    <w:rsid w:val="001D49F4"/>
    <w:rsid w:val="001D73C5"/>
    <w:rsid w:val="001D7832"/>
    <w:rsid w:val="001E0A04"/>
    <w:rsid w:val="001E0C7F"/>
    <w:rsid w:val="001E1F10"/>
    <w:rsid w:val="001E470E"/>
    <w:rsid w:val="001F6049"/>
    <w:rsid w:val="001F7418"/>
    <w:rsid w:val="002072C7"/>
    <w:rsid w:val="00210A94"/>
    <w:rsid w:val="00211D34"/>
    <w:rsid w:val="00212B71"/>
    <w:rsid w:val="00214F04"/>
    <w:rsid w:val="0022197C"/>
    <w:rsid w:val="00221F8A"/>
    <w:rsid w:val="0023108F"/>
    <w:rsid w:val="00233AED"/>
    <w:rsid w:val="0023636B"/>
    <w:rsid w:val="00243507"/>
    <w:rsid w:val="00251AE4"/>
    <w:rsid w:val="002527D6"/>
    <w:rsid w:val="002611B2"/>
    <w:rsid w:val="002632E7"/>
    <w:rsid w:val="00266CD6"/>
    <w:rsid w:val="00270B7E"/>
    <w:rsid w:val="00275DAB"/>
    <w:rsid w:val="00293721"/>
    <w:rsid w:val="002A0C3C"/>
    <w:rsid w:val="002A1AE7"/>
    <w:rsid w:val="002A782A"/>
    <w:rsid w:val="002A7DB8"/>
    <w:rsid w:val="002B11E2"/>
    <w:rsid w:val="002B1212"/>
    <w:rsid w:val="002B24B8"/>
    <w:rsid w:val="002B3370"/>
    <w:rsid w:val="002B745B"/>
    <w:rsid w:val="002C62FE"/>
    <w:rsid w:val="002D0518"/>
    <w:rsid w:val="002D3AE9"/>
    <w:rsid w:val="002D40A6"/>
    <w:rsid w:val="002D4510"/>
    <w:rsid w:val="002D54B7"/>
    <w:rsid w:val="002E448C"/>
    <w:rsid w:val="002E6BC7"/>
    <w:rsid w:val="002E70A4"/>
    <w:rsid w:val="002F0734"/>
    <w:rsid w:val="002F36BD"/>
    <w:rsid w:val="002F46E7"/>
    <w:rsid w:val="00300724"/>
    <w:rsid w:val="003012F9"/>
    <w:rsid w:val="00304195"/>
    <w:rsid w:val="003101DA"/>
    <w:rsid w:val="00314757"/>
    <w:rsid w:val="00315087"/>
    <w:rsid w:val="00316DF1"/>
    <w:rsid w:val="003211CE"/>
    <w:rsid w:val="003213FF"/>
    <w:rsid w:val="003438BD"/>
    <w:rsid w:val="003478F3"/>
    <w:rsid w:val="00352208"/>
    <w:rsid w:val="0035403A"/>
    <w:rsid w:val="00355B03"/>
    <w:rsid w:val="00360722"/>
    <w:rsid w:val="0036394B"/>
    <w:rsid w:val="00365533"/>
    <w:rsid w:val="00365CD9"/>
    <w:rsid w:val="00366F69"/>
    <w:rsid w:val="003709B5"/>
    <w:rsid w:val="00372C73"/>
    <w:rsid w:val="003759C2"/>
    <w:rsid w:val="00380832"/>
    <w:rsid w:val="00383EC3"/>
    <w:rsid w:val="00397365"/>
    <w:rsid w:val="00397778"/>
    <w:rsid w:val="003A31F6"/>
    <w:rsid w:val="003A7D7F"/>
    <w:rsid w:val="003B0053"/>
    <w:rsid w:val="003B2302"/>
    <w:rsid w:val="003B2376"/>
    <w:rsid w:val="003B3315"/>
    <w:rsid w:val="003C01EA"/>
    <w:rsid w:val="003C3447"/>
    <w:rsid w:val="003D076C"/>
    <w:rsid w:val="003D3788"/>
    <w:rsid w:val="003E3243"/>
    <w:rsid w:val="003E78B5"/>
    <w:rsid w:val="003F301F"/>
    <w:rsid w:val="003F332D"/>
    <w:rsid w:val="003F69E1"/>
    <w:rsid w:val="00401765"/>
    <w:rsid w:val="00415BAB"/>
    <w:rsid w:val="00415ED2"/>
    <w:rsid w:val="00416328"/>
    <w:rsid w:val="00417EB6"/>
    <w:rsid w:val="0042068C"/>
    <w:rsid w:val="004239AA"/>
    <w:rsid w:val="00424572"/>
    <w:rsid w:val="004261A6"/>
    <w:rsid w:val="00434F59"/>
    <w:rsid w:val="00440E10"/>
    <w:rsid w:val="0044170C"/>
    <w:rsid w:val="004434F5"/>
    <w:rsid w:val="004603EE"/>
    <w:rsid w:val="00464A05"/>
    <w:rsid w:val="00467E37"/>
    <w:rsid w:val="0047122B"/>
    <w:rsid w:val="0047341F"/>
    <w:rsid w:val="00473B7A"/>
    <w:rsid w:val="00480067"/>
    <w:rsid w:val="00491568"/>
    <w:rsid w:val="00494EDF"/>
    <w:rsid w:val="004960E9"/>
    <w:rsid w:val="00497B58"/>
    <w:rsid w:val="004A2E88"/>
    <w:rsid w:val="004A5305"/>
    <w:rsid w:val="004B2136"/>
    <w:rsid w:val="004B52BA"/>
    <w:rsid w:val="004C15BE"/>
    <w:rsid w:val="004D4DAA"/>
    <w:rsid w:val="004D5A8F"/>
    <w:rsid w:val="004D7634"/>
    <w:rsid w:val="004E0205"/>
    <w:rsid w:val="004E230E"/>
    <w:rsid w:val="004E2D04"/>
    <w:rsid w:val="004E4D89"/>
    <w:rsid w:val="0050294E"/>
    <w:rsid w:val="005041A3"/>
    <w:rsid w:val="00504736"/>
    <w:rsid w:val="005049C0"/>
    <w:rsid w:val="00507887"/>
    <w:rsid w:val="00513373"/>
    <w:rsid w:val="00516164"/>
    <w:rsid w:val="00516D8E"/>
    <w:rsid w:val="0051786C"/>
    <w:rsid w:val="00527041"/>
    <w:rsid w:val="005300D3"/>
    <w:rsid w:val="00533BF9"/>
    <w:rsid w:val="00533C61"/>
    <w:rsid w:val="005351E7"/>
    <w:rsid w:val="00540EFD"/>
    <w:rsid w:val="00544CDE"/>
    <w:rsid w:val="00544F82"/>
    <w:rsid w:val="00547420"/>
    <w:rsid w:val="00551D6E"/>
    <w:rsid w:val="0055278D"/>
    <w:rsid w:val="00552B08"/>
    <w:rsid w:val="005663F4"/>
    <w:rsid w:val="005811F1"/>
    <w:rsid w:val="0058142C"/>
    <w:rsid w:val="00582703"/>
    <w:rsid w:val="00584694"/>
    <w:rsid w:val="00590C68"/>
    <w:rsid w:val="00593C4F"/>
    <w:rsid w:val="005946A8"/>
    <w:rsid w:val="0059472A"/>
    <w:rsid w:val="005A1537"/>
    <w:rsid w:val="005A4407"/>
    <w:rsid w:val="005A59EF"/>
    <w:rsid w:val="005A73E9"/>
    <w:rsid w:val="005B191B"/>
    <w:rsid w:val="005C233A"/>
    <w:rsid w:val="005D3545"/>
    <w:rsid w:val="005D69F6"/>
    <w:rsid w:val="005F6F41"/>
    <w:rsid w:val="00600A8E"/>
    <w:rsid w:val="00602663"/>
    <w:rsid w:val="006038EE"/>
    <w:rsid w:val="00603DF1"/>
    <w:rsid w:val="00604C8E"/>
    <w:rsid w:val="006078F5"/>
    <w:rsid w:val="0061213F"/>
    <w:rsid w:val="00625DC6"/>
    <w:rsid w:val="00626269"/>
    <w:rsid w:val="0064065A"/>
    <w:rsid w:val="00640AED"/>
    <w:rsid w:val="00640EDE"/>
    <w:rsid w:val="00641551"/>
    <w:rsid w:val="006433E8"/>
    <w:rsid w:val="0064391D"/>
    <w:rsid w:val="00651821"/>
    <w:rsid w:val="00654384"/>
    <w:rsid w:val="00662A5A"/>
    <w:rsid w:val="00665A76"/>
    <w:rsid w:val="006675CD"/>
    <w:rsid w:val="00672A5B"/>
    <w:rsid w:val="00673C8C"/>
    <w:rsid w:val="00677AB8"/>
    <w:rsid w:val="00681126"/>
    <w:rsid w:val="0068131F"/>
    <w:rsid w:val="00684D9B"/>
    <w:rsid w:val="00697556"/>
    <w:rsid w:val="006B0112"/>
    <w:rsid w:val="006B027B"/>
    <w:rsid w:val="006B4C2B"/>
    <w:rsid w:val="006B6D47"/>
    <w:rsid w:val="006C5AFE"/>
    <w:rsid w:val="006D008A"/>
    <w:rsid w:val="006D5584"/>
    <w:rsid w:val="006F22AA"/>
    <w:rsid w:val="006F6D95"/>
    <w:rsid w:val="00701591"/>
    <w:rsid w:val="007017A8"/>
    <w:rsid w:val="00704008"/>
    <w:rsid w:val="00706F13"/>
    <w:rsid w:val="007072E8"/>
    <w:rsid w:val="0071168C"/>
    <w:rsid w:val="0071618D"/>
    <w:rsid w:val="007223C9"/>
    <w:rsid w:val="00725FA4"/>
    <w:rsid w:val="0073263F"/>
    <w:rsid w:val="00732BA1"/>
    <w:rsid w:val="00734E1B"/>
    <w:rsid w:val="00735E22"/>
    <w:rsid w:val="00740446"/>
    <w:rsid w:val="007408B1"/>
    <w:rsid w:val="007438A9"/>
    <w:rsid w:val="0074491E"/>
    <w:rsid w:val="007465A4"/>
    <w:rsid w:val="00752B9A"/>
    <w:rsid w:val="0076247A"/>
    <w:rsid w:val="00764FF5"/>
    <w:rsid w:val="0077263D"/>
    <w:rsid w:val="00775964"/>
    <w:rsid w:val="007765FE"/>
    <w:rsid w:val="007800BC"/>
    <w:rsid w:val="0078580E"/>
    <w:rsid w:val="00795BFB"/>
    <w:rsid w:val="007A1515"/>
    <w:rsid w:val="007B09DB"/>
    <w:rsid w:val="007B1629"/>
    <w:rsid w:val="007B2760"/>
    <w:rsid w:val="007B6419"/>
    <w:rsid w:val="007C126B"/>
    <w:rsid w:val="007C67A5"/>
    <w:rsid w:val="007D5911"/>
    <w:rsid w:val="007D5E0F"/>
    <w:rsid w:val="007E71FA"/>
    <w:rsid w:val="007F0E65"/>
    <w:rsid w:val="00802781"/>
    <w:rsid w:val="00803916"/>
    <w:rsid w:val="00805AC1"/>
    <w:rsid w:val="00806C01"/>
    <w:rsid w:val="00810929"/>
    <w:rsid w:val="00810DFF"/>
    <w:rsid w:val="00811E0E"/>
    <w:rsid w:val="008148CC"/>
    <w:rsid w:val="00814C05"/>
    <w:rsid w:val="008211A4"/>
    <w:rsid w:val="00831A04"/>
    <w:rsid w:val="008353B3"/>
    <w:rsid w:val="008368C4"/>
    <w:rsid w:val="00837913"/>
    <w:rsid w:val="00844F37"/>
    <w:rsid w:val="008524A5"/>
    <w:rsid w:val="0085772D"/>
    <w:rsid w:val="0086398F"/>
    <w:rsid w:val="00870314"/>
    <w:rsid w:val="00873150"/>
    <w:rsid w:val="00875AD3"/>
    <w:rsid w:val="0087657D"/>
    <w:rsid w:val="008807D5"/>
    <w:rsid w:val="00880832"/>
    <w:rsid w:val="00882D0B"/>
    <w:rsid w:val="00884F88"/>
    <w:rsid w:val="00886EE1"/>
    <w:rsid w:val="0088727D"/>
    <w:rsid w:val="00897C75"/>
    <w:rsid w:val="008A41A4"/>
    <w:rsid w:val="008A6474"/>
    <w:rsid w:val="008A6B3B"/>
    <w:rsid w:val="008B0969"/>
    <w:rsid w:val="008B5B4F"/>
    <w:rsid w:val="008B79D6"/>
    <w:rsid w:val="008C1130"/>
    <w:rsid w:val="008C630A"/>
    <w:rsid w:val="008D1623"/>
    <w:rsid w:val="008D18E6"/>
    <w:rsid w:val="008D32D6"/>
    <w:rsid w:val="008D7368"/>
    <w:rsid w:val="008D7A9B"/>
    <w:rsid w:val="008E76AC"/>
    <w:rsid w:val="008F0067"/>
    <w:rsid w:val="008F21F6"/>
    <w:rsid w:val="00906A6B"/>
    <w:rsid w:val="00907653"/>
    <w:rsid w:val="00907977"/>
    <w:rsid w:val="00911CC0"/>
    <w:rsid w:val="00913876"/>
    <w:rsid w:val="00922C77"/>
    <w:rsid w:val="009230AD"/>
    <w:rsid w:val="00925E0C"/>
    <w:rsid w:val="00941BC9"/>
    <w:rsid w:val="00951F79"/>
    <w:rsid w:val="00956080"/>
    <w:rsid w:val="00960C58"/>
    <w:rsid w:val="00962038"/>
    <w:rsid w:val="00974AB5"/>
    <w:rsid w:val="0098706D"/>
    <w:rsid w:val="009935FB"/>
    <w:rsid w:val="009973FB"/>
    <w:rsid w:val="00997651"/>
    <w:rsid w:val="009A06C1"/>
    <w:rsid w:val="009A1A08"/>
    <w:rsid w:val="009A239F"/>
    <w:rsid w:val="009A5266"/>
    <w:rsid w:val="009B028A"/>
    <w:rsid w:val="009C6B85"/>
    <w:rsid w:val="009D257F"/>
    <w:rsid w:val="009E5148"/>
    <w:rsid w:val="009F4181"/>
    <w:rsid w:val="009F4A54"/>
    <w:rsid w:val="009F4BEC"/>
    <w:rsid w:val="00A12DCE"/>
    <w:rsid w:val="00A155CD"/>
    <w:rsid w:val="00A23D35"/>
    <w:rsid w:val="00A25363"/>
    <w:rsid w:val="00A25FD7"/>
    <w:rsid w:val="00A30851"/>
    <w:rsid w:val="00A4015C"/>
    <w:rsid w:val="00A43AFF"/>
    <w:rsid w:val="00A52ABB"/>
    <w:rsid w:val="00A556B9"/>
    <w:rsid w:val="00A62919"/>
    <w:rsid w:val="00A72532"/>
    <w:rsid w:val="00A725A3"/>
    <w:rsid w:val="00A767E0"/>
    <w:rsid w:val="00A7793A"/>
    <w:rsid w:val="00A814ED"/>
    <w:rsid w:val="00A84BCF"/>
    <w:rsid w:val="00A92F16"/>
    <w:rsid w:val="00A97C2A"/>
    <w:rsid w:val="00AA4CC7"/>
    <w:rsid w:val="00AA5E8E"/>
    <w:rsid w:val="00AA60CA"/>
    <w:rsid w:val="00AB578F"/>
    <w:rsid w:val="00AB6CA7"/>
    <w:rsid w:val="00AC1126"/>
    <w:rsid w:val="00AC5188"/>
    <w:rsid w:val="00AC69C6"/>
    <w:rsid w:val="00AD01E4"/>
    <w:rsid w:val="00AD0858"/>
    <w:rsid w:val="00AD08E4"/>
    <w:rsid w:val="00AD5891"/>
    <w:rsid w:val="00AE3564"/>
    <w:rsid w:val="00AE7340"/>
    <w:rsid w:val="00AF1BBD"/>
    <w:rsid w:val="00AF65AD"/>
    <w:rsid w:val="00B02621"/>
    <w:rsid w:val="00B04ABC"/>
    <w:rsid w:val="00B06DFD"/>
    <w:rsid w:val="00B0771A"/>
    <w:rsid w:val="00B10207"/>
    <w:rsid w:val="00B11DF2"/>
    <w:rsid w:val="00B128BC"/>
    <w:rsid w:val="00B141E7"/>
    <w:rsid w:val="00B15147"/>
    <w:rsid w:val="00B221E9"/>
    <w:rsid w:val="00B2301B"/>
    <w:rsid w:val="00B34374"/>
    <w:rsid w:val="00B351B4"/>
    <w:rsid w:val="00B40AA3"/>
    <w:rsid w:val="00B46BCA"/>
    <w:rsid w:val="00B54B82"/>
    <w:rsid w:val="00B568BE"/>
    <w:rsid w:val="00B6068B"/>
    <w:rsid w:val="00B63B40"/>
    <w:rsid w:val="00B6564F"/>
    <w:rsid w:val="00B73E1C"/>
    <w:rsid w:val="00B779EB"/>
    <w:rsid w:val="00B87806"/>
    <w:rsid w:val="00B87EC9"/>
    <w:rsid w:val="00B90BAF"/>
    <w:rsid w:val="00B9376F"/>
    <w:rsid w:val="00B9710C"/>
    <w:rsid w:val="00BA04BF"/>
    <w:rsid w:val="00BA093E"/>
    <w:rsid w:val="00BA11D4"/>
    <w:rsid w:val="00BA3A82"/>
    <w:rsid w:val="00BA4910"/>
    <w:rsid w:val="00BB0CCC"/>
    <w:rsid w:val="00BB57E6"/>
    <w:rsid w:val="00BB66CE"/>
    <w:rsid w:val="00BC1B3A"/>
    <w:rsid w:val="00BC2D33"/>
    <w:rsid w:val="00BC36EC"/>
    <w:rsid w:val="00BC38FD"/>
    <w:rsid w:val="00BD4A6B"/>
    <w:rsid w:val="00BE42DC"/>
    <w:rsid w:val="00BE4D2A"/>
    <w:rsid w:val="00BF20CB"/>
    <w:rsid w:val="00BF2E40"/>
    <w:rsid w:val="00BF333B"/>
    <w:rsid w:val="00BF6B75"/>
    <w:rsid w:val="00C025F1"/>
    <w:rsid w:val="00C032E5"/>
    <w:rsid w:val="00C034CB"/>
    <w:rsid w:val="00C03762"/>
    <w:rsid w:val="00C051A8"/>
    <w:rsid w:val="00C054BC"/>
    <w:rsid w:val="00C17897"/>
    <w:rsid w:val="00C17F20"/>
    <w:rsid w:val="00C25705"/>
    <w:rsid w:val="00C320F5"/>
    <w:rsid w:val="00C334BB"/>
    <w:rsid w:val="00C409D5"/>
    <w:rsid w:val="00C435C3"/>
    <w:rsid w:val="00C52A96"/>
    <w:rsid w:val="00C55041"/>
    <w:rsid w:val="00C6234B"/>
    <w:rsid w:val="00C63EAE"/>
    <w:rsid w:val="00C74E7D"/>
    <w:rsid w:val="00C7629F"/>
    <w:rsid w:val="00C76F0A"/>
    <w:rsid w:val="00C805F5"/>
    <w:rsid w:val="00C8661B"/>
    <w:rsid w:val="00C9027F"/>
    <w:rsid w:val="00C903C0"/>
    <w:rsid w:val="00C938D5"/>
    <w:rsid w:val="00C97943"/>
    <w:rsid w:val="00CA139A"/>
    <w:rsid w:val="00CA149E"/>
    <w:rsid w:val="00CA2899"/>
    <w:rsid w:val="00CA3A3D"/>
    <w:rsid w:val="00CA4609"/>
    <w:rsid w:val="00CA77FB"/>
    <w:rsid w:val="00CB2629"/>
    <w:rsid w:val="00CB379B"/>
    <w:rsid w:val="00CB5DD0"/>
    <w:rsid w:val="00CB7227"/>
    <w:rsid w:val="00CC51D4"/>
    <w:rsid w:val="00CC65DA"/>
    <w:rsid w:val="00CD0411"/>
    <w:rsid w:val="00CD7F87"/>
    <w:rsid w:val="00CE2C2F"/>
    <w:rsid w:val="00CE4DDD"/>
    <w:rsid w:val="00CE6DE5"/>
    <w:rsid w:val="00CF11C0"/>
    <w:rsid w:val="00CF21B9"/>
    <w:rsid w:val="00CF3BF7"/>
    <w:rsid w:val="00CF6BF9"/>
    <w:rsid w:val="00D0033F"/>
    <w:rsid w:val="00D03800"/>
    <w:rsid w:val="00D065D3"/>
    <w:rsid w:val="00D14C94"/>
    <w:rsid w:val="00D14ECC"/>
    <w:rsid w:val="00D22E84"/>
    <w:rsid w:val="00D32B0A"/>
    <w:rsid w:val="00D342A6"/>
    <w:rsid w:val="00D452EC"/>
    <w:rsid w:val="00D464BF"/>
    <w:rsid w:val="00D533A1"/>
    <w:rsid w:val="00D53E26"/>
    <w:rsid w:val="00D54D1C"/>
    <w:rsid w:val="00D565F8"/>
    <w:rsid w:val="00D610CE"/>
    <w:rsid w:val="00D63880"/>
    <w:rsid w:val="00D63F92"/>
    <w:rsid w:val="00D65B56"/>
    <w:rsid w:val="00D721AF"/>
    <w:rsid w:val="00D75E00"/>
    <w:rsid w:val="00D77A02"/>
    <w:rsid w:val="00D84F4D"/>
    <w:rsid w:val="00D87E1A"/>
    <w:rsid w:val="00D95BE4"/>
    <w:rsid w:val="00DA15B9"/>
    <w:rsid w:val="00DA60C5"/>
    <w:rsid w:val="00DB081E"/>
    <w:rsid w:val="00DB228D"/>
    <w:rsid w:val="00DB7773"/>
    <w:rsid w:val="00DC03C2"/>
    <w:rsid w:val="00DC0847"/>
    <w:rsid w:val="00DC403B"/>
    <w:rsid w:val="00DD4F0E"/>
    <w:rsid w:val="00DD55F5"/>
    <w:rsid w:val="00DE6CCF"/>
    <w:rsid w:val="00DE7063"/>
    <w:rsid w:val="00DE7C15"/>
    <w:rsid w:val="00DE7EAD"/>
    <w:rsid w:val="00DF0BF0"/>
    <w:rsid w:val="00DF4F50"/>
    <w:rsid w:val="00E02D47"/>
    <w:rsid w:val="00E05E0A"/>
    <w:rsid w:val="00E06167"/>
    <w:rsid w:val="00E12902"/>
    <w:rsid w:val="00E15981"/>
    <w:rsid w:val="00E15F1B"/>
    <w:rsid w:val="00E1766D"/>
    <w:rsid w:val="00E23F4C"/>
    <w:rsid w:val="00E4112C"/>
    <w:rsid w:val="00E42F72"/>
    <w:rsid w:val="00E4645B"/>
    <w:rsid w:val="00E47D72"/>
    <w:rsid w:val="00E534CF"/>
    <w:rsid w:val="00E568E8"/>
    <w:rsid w:val="00E57BF2"/>
    <w:rsid w:val="00E76783"/>
    <w:rsid w:val="00E81B21"/>
    <w:rsid w:val="00E81CB4"/>
    <w:rsid w:val="00E83112"/>
    <w:rsid w:val="00E8373E"/>
    <w:rsid w:val="00E84A2B"/>
    <w:rsid w:val="00E84B16"/>
    <w:rsid w:val="00E8585B"/>
    <w:rsid w:val="00E928CD"/>
    <w:rsid w:val="00E974AD"/>
    <w:rsid w:val="00EA02A2"/>
    <w:rsid w:val="00EA28F4"/>
    <w:rsid w:val="00EA3ABD"/>
    <w:rsid w:val="00EA3F15"/>
    <w:rsid w:val="00EA722B"/>
    <w:rsid w:val="00EA7847"/>
    <w:rsid w:val="00EB2F1A"/>
    <w:rsid w:val="00EB30E6"/>
    <w:rsid w:val="00EB6F36"/>
    <w:rsid w:val="00EC4DA5"/>
    <w:rsid w:val="00EC710F"/>
    <w:rsid w:val="00EE2E6E"/>
    <w:rsid w:val="00EE45FF"/>
    <w:rsid w:val="00EE50E8"/>
    <w:rsid w:val="00EF1C2A"/>
    <w:rsid w:val="00EF2AEE"/>
    <w:rsid w:val="00F02299"/>
    <w:rsid w:val="00F02AF1"/>
    <w:rsid w:val="00F0759E"/>
    <w:rsid w:val="00F17602"/>
    <w:rsid w:val="00F33350"/>
    <w:rsid w:val="00F37A9B"/>
    <w:rsid w:val="00F460BC"/>
    <w:rsid w:val="00F52A6C"/>
    <w:rsid w:val="00F621C1"/>
    <w:rsid w:val="00F67784"/>
    <w:rsid w:val="00F75B2E"/>
    <w:rsid w:val="00F75C42"/>
    <w:rsid w:val="00F76D7A"/>
    <w:rsid w:val="00F814BA"/>
    <w:rsid w:val="00F821A3"/>
    <w:rsid w:val="00F9314A"/>
    <w:rsid w:val="00FC3FED"/>
    <w:rsid w:val="00FC5586"/>
    <w:rsid w:val="00FC58EF"/>
    <w:rsid w:val="00FD160F"/>
    <w:rsid w:val="00FD290E"/>
    <w:rsid w:val="00FD2F85"/>
    <w:rsid w:val="00FD33DF"/>
    <w:rsid w:val="00FD438A"/>
    <w:rsid w:val="00FD4CF4"/>
    <w:rsid w:val="00FE39D7"/>
    <w:rsid w:val="00FF48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1D49F4"/>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1632A4"/>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iPriority w:val="99"/>
    <w:semiHidden/>
    <w:unhideWhenUsed/>
    <w:rsid w:val="00BA04BF"/>
    <w:pPr>
      <w:spacing w:after="120"/>
      <w:ind w:left="283"/>
    </w:pPr>
  </w:style>
  <w:style w:type="character" w:customStyle="1" w:styleId="SangradetextonormalCar">
    <w:name w:val="Sangría de texto normal Car"/>
    <w:link w:val="Sangradetextonormal"/>
    <w:uiPriority w:val="99"/>
    <w:semiHidden/>
    <w:rsid w:val="00BA04BF"/>
    <w:rPr>
      <w:sz w:val="24"/>
      <w:szCs w:val="24"/>
      <w:lang w:val="es-ES" w:eastAsia="es-ES"/>
    </w:rPr>
  </w:style>
  <w:style w:type="character" w:styleId="Refdecomentario">
    <w:name w:val="annotation reference"/>
    <w:uiPriority w:val="99"/>
    <w:semiHidden/>
    <w:unhideWhenUsed/>
    <w:rsid w:val="00156748"/>
    <w:rPr>
      <w:sz w:val="16"/>
      <w:szCs w:val="16"/>
    </w:rPr>
  </w:style>
  <w:style w:type="paragraph" w:styleId="Textocomentario">
    <w:name w:val="annotation text"/>
    <w:basedOn w:val="Normal"/>
    <w:link w:val="TextocomentarioCar"/>
    <w:uiPriority w:val="99"/>
    <w:unhideWhenUsed/>
    <w:rsid w:val="00156748"/>
    <w:rPr>
      <w:sz w:val="20"/>
      <w:szCs w:val="20"/>
    </w:rPr>
  </w:style>
  <w:style w:type="character" w:customStyle="1" w:styleId="TextocomentarioCar">
    <w:name w:val="Texto comentario Car"/>
    <w:link w:val="Textocomentario"/>
    <w:uiPriority w:val="99"/>
    <w:rsid w:val="00156748"/>
    <w:rPr>
      <w:lang w:val="es-ES" w:eastAsia="es-ES"/>
    </w:rPr>
  </w:style>
  <w:style w:type="paragraph" w:styleId="Asuntodelcomentario">
    <w:name w:val="annotation subject"/>
    <w:basedOn w:val="Textocomentario"/>
    <w:next w:val="Textocomentario"/>
    <w:link w:val="AsuntodelcomentarioCar"/>
    <w:uiPriority w:val="99"/>
    <w:semiHidden/>
    <w:unhideWhenUsed/>
    <w:rsid w:val="00156748"/>
    <w:rPr>
      <w:b/>
      <w:bCs/>
    </w:rPr>
  </w:style>
  <w:style w:type="character" w:customStyle="1" w:styleId="AsuntodelcomentarioCar">
    <w:name w:val="Asunto del comentario Car"/>
    <w:link w:val="Asuntodelcomentario"/>
    <w:uiPriority w:val="99"/>
    <w:semiHidden/>
    <w:rsid w:val="00156748"/>
    <w:rPr>
      <w:b/>
      <w:bCs/>
      <w:lang w:val="es-ES" w:eastAsia="es-ES"/>
    </w:rPr>
  </w:style>
  <w:style w:type="paragraph" w:styleId="Revisin">
    <w:name w:val="Revision"/>
    <w:hidden/>
    <w:uiPriority w:val="99"/>
    <w:semiHidden/>
    <w:rsid w:val="00C55041"/>
    <w:rPr>
      <w:sz w:val="24"/>
      <w:szCs w:val="24"/>
      <w:lang w:val="es-ES" w:eastAsia="es-ES"/>
    </w:rPr>
  </w:style>
  <w:style w:type="character" w:customStyle="1" w:styleId="Ttulo2Car">
    <w:name w:val="Título 2 Car"/>
    <w:link w:val="Ttulo2"/>
    <w:uiPriority w:val="9"/>
    <w:semiHidden/>
    <w:rsid w:val="001D49F4"/>
    <w:rPr>
      <w:rFonts w:ascii="Cambria" w:eastAsia="Times New Roman" w:hAnsi="Cambria" w:cs="Times New Roman"/>
      <w:b/>
      <w:bCs/>
      <w:i/>
      <w:iCs/>
      <w:sz w:val="28"/>
      <w:szCs w:val="28"/>
      <w:lang w:val="es-ES" w:eastAsia="es-ES"/>
    </w:rPr>
  </w:style>
  <w:style w:type="character" w:styleId="Textodelmarcadordeposicin">
    <w:name w:val="Placeholder Text"/>
    <w:uiPriority w:val="99"/>
    <w:semiHidden/>
    <w:rsid w:val="003B0053"/>
    <w:rPr>
      <w:color w:val="808080"/>
    </w:rPr>
  </w:style>
  <w:style w:type="character" w:customStyle="1" w:styleId="Ttulo7Car">
    <w:name w:val="Título 7 Car"/>
    <w:link w:val="Ttulo7"/>
    <w:uiPriority w:val="9"/>
    <w:semiHidden/>
    <w:rsid w:val="001632A4"/>
    <w:rPr>
      <w:rFonts w:ascii="Calibri" w:eastAsia="Times New Roman" w:hAnsi="Calibri"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735E2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35E22"/>
    <w:rPr>
      <w:sz w:val="16"/>
      <w:szCs w:val="16"/>
      <w:lang w:val="es-ES" w:eastAsia="es-ES"/>
    </w:rPr>
  </w:style>
  <w:style w:type="paragraph" w:styleId="NormalWeb">
    <w:name w:val="Normal (Web)"/>
    <w:basedOn w:val="Normal"/>
    <w:uiPriority w:val="99"/>
    <w:semiHidden/>
    <w:unhideWhenUsed/>
    <w:rsid w:val="00E15981"/>
    <w:pPr>
      <w:spacing w:before="100" w:beforeAutospacing="1" w:after="100" w:afterAutospacing="1"/>
      <w:ind w:left="0"/>
    </w:pPr>
    <w:rPr>
      <w:lang w:val="es-CO" w:eastAsia="es-CO"/>
    </w:rPr>
  </w:style>
  <w:style w:type="paragraph" w:customStyle="1" w:styleId="ARTICULOS">
    <w:name w:val="ARTICULOS"/>
    <w:basedOn w:val="Normal"/>
    <w:link w:val="ARTICULOSCar"/>
    <w:qFormat/>
    <w:rsid w:val="00B73E1C"/>
    <w:pPr>
      <w:widowControl w:val="0"/>
      <w:numPr>
        <w:numId w:val="29"/>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B73E1C"/>
    <w:rPr>
      <w:rFonts w:ascii="Bookman Old Style" w:hAnsi="Bookman Old Style"/>
      <w:bCs/>
      <w:sz w:val="24"/>
      <w:szCs w:val="24"/>
      <w:lang w:val="x-none" w:eastAsia="x-none"/>
    </w:rPr>
  </w:style>
  <w:style w:type="paragraph" w:customStyle="1" w:styleId="NormalCarCarCar1Car">
    <w:name w:val="Normal Car Car Car1 Car"/>
    <w:basedOn w:val="Normal"/>
    <w:rsid w:val="00B15147"/>
    <w:pPr>
      <w:suppressAutoHyphens/>
      <w:ind w:left="0"/>
      <w:jc w:val="both"/>
    </w:pPr>
    <w:rPr>
      <w:rFonts w:ascii="Arial" w:hAnsi="Arial" w:cs="Arial"/>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1D49F4"/>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1632A4"/>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iPriority w:val="99"/>
    <w:semiHidden/>
    <w:unhideWhenUsed/>
    <w:rsid w:val="00BA04BF"/>
    <w:pPr>
      <w:spacing w:after="120"/>
      <w:ind w:left="283"/>
    </w:pPr>
  </w:style>
  <w:style w:type="character" w:customStyle="1" w:styleId="SangradetextonormalCar">
    <w:name w:val="Sangría de texto normal Car"/>
    <w:link w:val="Sangradetextonormal"/>
    <w:uiPriority w:val="99"/>
    <w:semiHidden/>
    <w:rsid w:val="00BA04BF"/>
    <w:rPr>
      <w:sz w:val="24"/>
      <w:szCs w:val="24"/>
      <w:lang w:val="es-ES" w:eastAsia="es-ES"/>
    </w:rPr>
  </w:style>
  <w:style w:type="character" w:styleId="Refdecomentario">
    <w:name w:val="annotation reference"/>
    <w:uiPriority w:val="99"/>
    <w:semiHidden/>
    <w:unhideWhenUsed/>
    <w:rsid w:val="00156748"/>
    <w:rPr>
      <w:sz w:val="16"/>
      <w:szCs w:val="16"/>
    </w:rPr>
  </w:style>
  <w:style w:type="paragraph" w:styleId="Textocomentario">
    <w:name w:val="annotation text"/>
    <w:basedOn w:val="Normal"/>
    <w:link w:val="TextocomentarioCar"/>
    <w:uiPriority w:val="99"/>
    <w:unhideWhenUsed/>
    <w:rsid w:val="00156748"/>
    <w:rPr>
      <w:sz w:val="20"/>
      <w:szCs w:val="20"/>
    </w:rPr>
  </w:style>
  <w:style w:type="character" w:customStyle="1" w:styleId="TextocomentarioCar">
    <w:name w:val="Texto comentario Car"/>
    <w:link w:val="Textocomentario"/>
    <w:uiPriority w:val="99"/>
    <w:rsid w:val="00156748"/>
    <w:rPr>
      <w:lang w:val="es-ES" w:eastAsia="es-ES"/>
    </w:rPr>
  </w:style>
  <w:style w:type="paragraph" w:styleId="Asuntodelcomentario">
    <w:name w:val="annotation subject"/>
    <w:basedOn w:val="Textocomentario"/>
    <w:next w:val="Textocomentario"/>
    <w:link w:val="AsuntodelcomentarioCar"/>
    <w:uiPriority w:val="99"/>
    <w:semiHidden/>
    <w:unhideWhenUsed/>
    <w:rsid w:val="00156748"/>
    <w:rPr>
      <w:b/>
      <w:bCs/>
    </w:rPr>
  </w:style>
  <w:style w:type="character" w:customStyle="1" w:styleId="AsuntodelcomentarioCar">
    <w:name w:val="Asunto del comentario Car"/>
    <w:link w:val="Asuntodelcomentario"/>
    <w:uiPriority w:val="99"/>
    <w:semiHidden/>
    <w:rsid w:val="00156748"/>
    <w:rPr>
      <w:b/>
      <w:bCs/>
      <w:lang w:val="es-ES" w:eastAsia="es-ES"/>
    </w:rPr>
  </w:style>
  <w:style w:type="paragraph" w:styleId="Revisin">
    <w:name w:val="Revision"/>
    <w:hidden/>
    <w:uiPriority w:val="99"/>
    <w:semiHidden/>
    <w:rsid w:val="00C55041"/>
    <w:rPr>
      <w:sz w:val="24"/>
      <w:szCs w:val="24"/>
      <w:lang w:val="es-ES" w:eastAsia="es-ES"/>
    </w:rPr>
  </w:style>
  <w:style w:type="character" w:customStyle="1" w:styleId="Ttulo2Car">
    <w:name w:val="Título 2 Car"/>
    <w:link w:val="Ttulo2"/>
    <w:uiPriority w:val="9"/>
    <w:semiHidden/>
    <w:rsid w:val="001D49F4"/>
    <w:rPr>
      <w:rFonts w:ascii="Cambria" w:eastAsia="Times New Roman" w:hAnsi="Cambria" w:cs="Times New Roman"/>
      <w:b/>
      <w:bCs/>
      <w:i/>
      <w:iCs/>
      <w:sz w:val="28"/>
      <w:szCs w:val="28"/>
      <w:lang w:val="es-ES" w:eastAsia="es-ES"/>
    </w:rPr>
  </w:style>
  <w:style w:type="character" w:styleId="Textodelmarcadordeposicin">
    <w:name w:val="Placeholder Text"/>
    <w:uiPriority w:val="99"/>
    <w:semiHidden/>
    <w:rsid w:val="003B0053"/>
    <w:rPr>
      <w:color w:val="808080"/>
    </w:rPr>
  </w:style>
  <w:style w:type="character" w:customStyle="1" w:styleId="Ttulo7Car">
    <w:name w:val="Título 7 Car"/>
    <w:link w:val="Ttulo7"/>
    <w:uiPriority w:val="9"/>
    <w:semiHidden/>
    <w:rsid w:val="001632A4"/>
    <w:rPr>
      <w:rFonts w:ascii="Calibri" w:eastAsia="Times New Roman" w:hAnsi="Calibri"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735E2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35E22"/>
    <w:rPr>
      <w:sz w:val="16"/>
      <w:szCs w:val="16"/>
      <w:lang w:val="es-ES" w:eastAsia="es-ES"/>
    </w:rPr>
  </w:style>
  <w:style w:type="paragraph" w:styleId="NormalWeb">
    <w:name w:val="Normal (Web)"/>
    <w:basedOn w:val="Normal"/>
    <w:uiPriority w:val="99"/>
    <w:semiHidden/>
    <w:unhideWhenUsed/>
    <w:rsid w:val="00E15981"/>
    <w:pPr>
      <w:spacing w:before="100" w:beforeAutospacing="1" w:after="100" w:afterAutospacing="1"/>
      <w:ind w:left="0"/>
    </w:pPr>
    <w:rPr>
      <w:lang w:val="es-CO" w:eastAsia="es-CO"/>
    </w:rPr>
  </w:style>
  <w:style w:type="paragraph" w:customStyle="1" w:styleId="ARTICULOS">
    <w:name w:val="ARTICULOS"/>
    <w:basedOn w:val="Normal"/>
    <w:link w:val="ARTICULOSCar"/>
    <w:qFormat/>
    <w:rsid w:val="00B73E1C"/>
    <w:pPr>
      <w:widowControl w:val="0"/>
      <w:numPr>
        <w:numId w:val="29"/>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B73E1C"/>
    <w:rPr>
      <w:rFonts w:ascii="Bookman Old Style" w:hAnsi="Bookman Old Style"/>
      <w:bCs/>
      <w:sz w:val="24"/>
      <w:szCs w:val="24"/>
      <w:lang w:val="x-none" w:eastAsia="x-none"/>
    </w:rPr>
  </w:style>
  <w:style w:type="paragraph" w:customStyle="1" w:styleId="NormalCarCarCar1Car">
    <w:name w:val="Normal Car Car Car1 Car"/>
    <w:basedOn w:val="Normal"/>
    <w:rsid w:val="00B15147"/>
    <w:pPr>
      <w:suppressAutoHyphens/>
      <w:ind w:left="0"/>
      <w:jc w:val="both"/>
    </w:pPr>
    <w:rPr>
      <w:rFonts w:ascii="Arial" w:hAnsi="Arial" w:cs="Arial"/>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454">
      <w:bodyDiv w:val="1"/>
      <w:marLeft w:val="0"/>
      <w:marRight w:val="0"/>
      <w:marTop w:val="0"/>
      <w:marBottom w:val="0"/>
      <w:divBdr>
        <w:top w:val="none" w:sz="0" w:space="0" w:color="auto"/>
        <w:left w:val="none" w:sz="0" w:space="0" w:color="auto"/>
        <w:bottom w:val="none" w:sz="0" w:space="0" w:color="auto"/>
        <w:right w:val="none" w:sz="0" w:space="0" w:color="auto"/>
      </w:divBdr>
    </w:div>
    <w:div w:id="26686943">
      <w:bodyDiv w:val="1"/>
      <w:marLeft w:val="0"/>
      <w:marRight w:val="0"/>
      <w:marTop w:val="0"/>
      <w:marBottom w:val="0"/>
      <w:divBdr>
        <w:top w:val="none" w:sz="0" w:space="0" w:color="auto"/>
        <w:left w:val="none" w:sz="0" w:space="0" w:color="auto"/>
        <w:bottom w:val="none" w:sz="0" w:space="0" w:color="auto"/>
        <w:right w:val="none" w:sz="0" w:space="0" w:color="auto"/>
      </w:divBdr>
      <w:divsChild>
        <w:div w:id="1135756320">
          <w:marLeft w:val="547"/>
          <w:marRight w:val="0"/>
          <w:marTop w:val="0"/>
          <w:marBottom w:val="120"/>
          <w:divBdr>
            <w:top w:val="none" w:sz="0" w:space="0" w:color="auto"/>
            <w:left w:val="none" w:sz="0" w:space="0" w:color="auto"/>
            <w:bottom w:val="none" w:sz="0" w:space="0" w:color="auto"/>
            <w:right w:val="none" w:sz="0" w:space="0" w:color="auto"/>
          </w:divBdr>
        </w:div>
        <w:div w:id="79496259">
          <w:marLeft w:val="547"/>
          <w:marRight w:val="0"/>
          <w:marTop w:val="0"/>
          <w:marBottom w:val="120"/>
          <w:divBdr>
            <w:top w:val="none" w:sz="0" w:space="0" w:color="auto"/>
            <w:left w:val="none" w:sz="0" w:space="0" w:color="auto"/>
            <w:bottom w:val="none" w:sz="0" w:space="0" w:color="auto"/>
            <w:right w:val="none" w:sz="0" w:space="0" w:color="auto"/>
          </w:divBdr>
        </w:div>
      </w:divsChild>
    </w:div>
    <w:div w:id="598217463">
      <w:bodyDiv w:val="1"/>
      <w:marLeft w:val="0"/>
      <w:marRight w:val="0"/>
      <w:marTop w:val="0"/>
      <w:marBottom w:val="0"/>
      <w:divBdr>
        <w:top w:val="none" w:sz="0" w:space="0" w:color="auto"/>
        <w:left w:val="none" w:sz="0" w:space="0" w:color="auto"/>
        <w:bottom w:val="none" w:sz="0" w:space="0" w:color="auto"/>
        <w:right w:val="none" w:sz="0" w:space="0" w:color="auto"/>
      </w:divBdr>
      <w:divsChild>
        <w:div w:id="286549464">
          <w:marLeft w:val="547"/>
          <w:marRight w:val="0"/>
          <w:marTop w:val="0"/>
          <w:marBottom w:val="120"/>
          <w:divBdr>
            <w:top w:val="none" w:sz="0" w:space="0" w:color="auto"/>
            <w:left w:val="none" w:sz="0" w:space="0" w:color="auto"/>
            <w:bottom w:val="none" w:sz="0" w:space="0" w:color="auto"/>
            <w:right w:val="none" w:sz="0" w:space="0" w:color="auto"/>
          </w:divBdr>
        </w:div>
      </w:divsChild>
    </w:div>
    <w:div w:id="1172530448">
      <w:bodyDiv w:val="1"/>
      <w:marLeft w:val="0"/>
      <w:marRight w:val="0"/>
      <w:marTop w:val="0"/>
      <w:marBottom w:val="0"/>
      <w:divBdr>
        <w:top w:val="none" w:sz="0" w:space="0" w:color="auto"/>
        <w:left w:val="none" w:sz="0" w:space="0" w:color="auto"/>
        <w:bottom w:val="none" w:sz="0" w:space="0" w:color="auto"/>
        <w:right w:val="none" w:sz="0" w:space="0" w:color="auto"/>
      </w:divBdr>
    </w:div>
    <w:div w:id="1177423699">
      <w:bodyDiv w:val="1"/>
      <w:marLeft w:val="0"/>
      <w:marRight w:val="0"/>
      <w:marTop w:val="0"/>
      <w:marBottom w:val="0"/>
      <w:divBdr>
        <w:top w:val="none" w:sz="0" w:space="0" w:color="auto"/>
        <w:left w:val="none" w:sz="0" w:space="0" w:color="auto"/>
        <w:bottom w:val="none" w:sz="0" w:space="0" w:color="auto"/>
        <w:right w:val="none" w:sz="0" w:space="0" w:color="auto"/>
      </w:divBdr>
    </w:div>
    <w:div w:id="1257713626">
      <w:bodyDiv w:val="1"/>
      <w:marLeft w:val="0"/>
      <w:marRight w:val="0"/>
      <w:marTop w:val="0"/>
      <w:marBottom w:val="0"/>
      <w:divBdr>
        <w:top w:val="none" w:sz="0" w:space="0" w:color="auto"/>
        <w:left w:val="none" w:sz="0" w:space="0" w:color="auto"/>
        <w:bottom w:val="none" w:sz="0" w:space="0" w:color="auto"/>
        <w:right w:val="none" w:sz="0" w:space="0" w:color="auto"/>
      </w:divBdr>
    </w:div>
    <w:div w:id="1342119891">
      <w:bodyDiv w:val="1"/>
      <w:marLeft w:val="0"/>
      <w:marRight w:val="0"/>
      <w:marTop w:val="0"/>
      <w:marBottom w:val="0"/>
      <w:divBdr>
        <w:top w:val="none" w:sz="0" w:space="0" w:color="auto"/>
        <w:left w:val="none" w:sz="0" w:space="0" w:color="auto"/>
        <w:bottom w:val="none" w:sz="0" w:space="0" w:color="auto"/>
        <w:right w:val="none" w:sz="0" w:space="0" w:color="auto"/>
      </w:divBdr>
    </w:div>
    <w:div w:id="1597206528">
      <w:bodyDiv w:val="1"/>
      <w:marLeft w:val="0"/>
      <w:marRight w:val="0"/>
      <w:marTop w:val="0"/>
      <w:marBottom w:val="0"/>
      <w:divBdr>
        <w:top w:val="none" w:sz="0" w:space="0" w:color="auto"/>
        <w:left w:val="none" w:sz="0" w:space="0" w:color="auto"/>
        <w:bottom w:val="none" w:sz="0" w:space="0" w:color="auto"/>
        <w:right w:val="none" w:sz="0" w:space="0" w:color="auto"/>
      </w:divBdr>
    </w:div>
    <w:div w:id="1732776878">
      <w:bodyDiv w:val="1"/>
      <w:marLeft w:val="0"/>
      <w:marRight w:val="0"/>
      <w:marTop w:val="0"/>
      <w:marBottom w:val="0"/>
      <w:divBdr>
        <w:top w:val="none" w:sz="0" w:space="0" w:color="auto"/>
        <w:left w:val="none" w:sz="0" w:space="0" w:color="auto"/>
        <w:bottom w:val="none" w:sz="0" w:space="0" w:color="auto"/>
        <w:right w:val="none" w:sz="0" w:space="0" w:color="auto"/>
      </w:divBdr>
    </w:div>
    <w:div w:id="1763836629">
      <w:bodyDiv w:val="1"/>
      <w:marLeft w:val="0"/>
      <w:marRight w:val="0"/>
      <w:marTop w:val="0"/>
      <w:marBottom w:val="0"/>
      <w:divBdr>
        <w:top w:val="none" w:sz="0" w:space="0" w:color="auto"/>
        <w:left w:val="none" w:sz="0" w:space="0" w:color="auto"/>
        <w:bottom w:val="none" w:sz="0" w:space="0" w:color="auto"/>
        <w:right w:val="none" w:sz="0" w:space="0" w:color="auto"/>
      </w:divBdr>
    </w:div>
    <w:div w:id="1869491773">
      <w:bodyDiv w:val="1"/>
      <w:marLeft w:val="0"/>
      <w:marRight w:val="0"/>
      <w:marTop w:val="0"/>
      <w:marBottom w:val="0"/>
      <w:divBdr>
        <w:top w:val="none" w:sz="0" w:space="0" w:color="auto"/>
        <w:left w:val="none" w:sz="0" w:space="0" w:color="auto"/>
        <w:bottom w:val="none" w:sz="0" w:space="0" w:color="auto"/>
        <w:right w:val="none" w:sz="0" w:space="0" w:color="auto"/>
      </w:divBdr>
    </w:div>
    <w:div w:id="2045785001">
      <w:bodyDiv w:val="1"/>
      <w:marLeft w:val="0"/>
      <w:marRight w:val="0"/>
      <w:marTop w:val="0"/>
      <w:marBottom w:val="0"/>
      <w:divBdr>
        <w:top w:val="none" w:sz="0" w:space="0" w:color="auto"/>
        <w:left w:val="none" w:sz="0" w:space="0" w:color="auto"/>
        <w:bottom w:val="none" w:sz="0" w:space="0" w:color="auto"/>
        <w:right w:val="none" w:sz="0" w:space="0" w:color="auto"/>
      </w:divBdr>
    </w:div>
    <w:div w:id="20655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C918A-CB10-4E22-9E6C-5F059A46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12</Pages>
  <Words>4097</Words>
  <Characters>22539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2014-01-30T22:42:00Z</cp:lastPrinted>
  <dcterms:created xsi:type="dcterms:W3CDTF">2014-02-01T00:12:00Z</dcterms:created>
  <dcterms:modified xsi:type="dcterms:W3CDTF">2014-02-01T00:12:00Z</dcterms:modified>
</cp:coreProperties>
</file>