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2A1" w:rsidRPr="00295A57" w:rsidRDefault="00991CDB"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8240" fillcolor="#0c9">
            <v:imagedata r:id="rId8" o:title=""/>
          </v:shape>
          <o:OLEObject Type="Embed" ProgID="PBrush" ShapeID="_x0000_s1027" DrawAspect="Content" ObjectID="_1537024972" r:id="rId9"/>
        </w:object>
      </w:r>
    </w:p>
    <w:p w:rsidR="00A172A1" w:rsidRPr="00295A57" w:rsidRDefault="00A172A1" w:rsidP="00012259">
      <w:pPr>
        <w:pStyle w:val="Ttulo4"/>
        <w:tabs>
          <w:tab w:val="left" w:pos="0"/>
          <w:tab w:val="right" w:pos="9356"/>
        </w:tabs>
        <w:ind w:left="0"/>
        <w:rPr>
          <w:rFonts w:ascii="Bookman Old Style" w:hAnsi="Bookman Old Style"/>
          <w:b w:val="0"/>
          <w:bCs/>
          <w:noProof/>
          <w:sz w:val="24"/>
          <w:szCs w:val="24"/>
          <w:lang w:val="es-ES"/>
        </w:rPr>
      </w:pPr>
      <w:r w:rsidRPr="00295A57">
        <w:rPr>
          <w:rFonts w:ascii="Bookman Old Style" w:hAnsi="Bookman Old Style"/>
          <w:b w:val="0"/>
          <w:bCs/>
          <w:sz w:val="24"/>
          <w:szCs w:val="24"/>
        </w:rPr>
        <w:t>Ministerio de Minas y Energía</w:t>
      </w:r>
    </w:p>
    <w:p w:rsidR="00A172A1" w:rsidRPr="00295A57" w:rsidRDefault="00A172A1" w:rsidP="00012259">
      <w:pPr>
        <w:pStyle w:val="Ttulo4"/>
        <w:tabs>
          <w:tab w:val="left" w:pos="0"/>
          <w:tab w:val="right" w:pos="9356"/>
        </w:tabs>
        <w:ind w:left="0"/>
        <w:rPr>
          <w:rFonts w:ascii="Bookman Old Style" w:hAnsi="Bookman Old Style"/>
          <w:b w:val="0"/>
          <w:bCs/>
          <w:sz w:val="24"/>
          <w:szCs w:val="24"/>
        </w:rPr>
      </w:pPr>
    </w:p>
    <w:p w:rsidR="00A172A1" w:rsidRPr="00295A57" w:rsidRDefault="00A172A1" w:rsidP="005263A8">
      <w:pPr>
        <w:jc w:val="center"/>
        <w:rPr>
          <w:rFonts w:ascii="Bookman Old Style" w:hAnsi="Bookman Old Style"/>
          <w:b/>
        </w:rPr>
      </w:pPr>
      <w:r w:rsidRPr="00295A57">
        <w:rPr>
          <w:rFonts w:ascii="Bookman Old Style" w:hAnsi="Bookman Old Style"/>
          <w:b/>
        </w:rPr>
        <w:t>COMISIÓN DE REGULACIÓN DE ENERGÍA Y GAS</w:t>
      </w:r>
    </w:p>
    <w:p w:rsidR="00A172A1" w:rsidRPr="00295A57" w:rsidRDefault="00A172A1" w:rsidP="00012259">
      <w:pPr>
        <w:pStyle w:val="Ttulo5"/>
        <w:tabs>
          <w:tab w:val="left" w:pos="0"/>
          <w:tab w:val="right" w:pos="9356"/>
        </w:tabs>
        <w:ind w:left="0"/>
        <w:rPr>
          <w:rFonts w:ascii="Bookman Old Style" w:hAnsi="Bookman Old Style"/>
          <w:sz w:val="24"/>
          <w:szCs w:val="24"/>
        </w:rPr>
      </w:pPr>
    </w:p>
    <w:p w:rsidR="00A172A1" w:rsidRPr="00295A57" w:rsidRDefault="00A172A1" w:rsidP="00012259">
      <w:pPr>
        <w:pStyle w:val="Ttulo5"/>
        <w:tabs>
          <w:tab w:val="left" w:pos="0"/>
          <w:tab w:val="right" w:pos="9356"/>
        </w:tabs>
        <w:ind w:left="0"/>
        <w:rPr>
          <w:rFonts w:ascii="Bookman Old Style" w:hAnsi="Bookman Old Style"/>
          <w:sz w:val="24"/>
          <w:szCs w:val="24"/>
        </w:rPr>
      </w:pPr>
    </w:p>
    <w:p w:rsidR="00A172A1" w:rsidRPr="00295A57" w:rsidRDefault="00A172A1" w:rsidP="00012259">
      <w:pPr>
        <w:pStyle w:val="Ttulo5"/>
        <w:tabs>
          <w:tab w:val="left" w:pos="0"/>
          <w:tab w:val="right" w:pos="9356"/>
        </w:tabs>
        <w:ind w:left="0"/>
        <w:rPr>
          <w:rFonts w:ascii="Bookman Old Style" w:hAnsi="Bookman Old Style"/>
          <w:sz w:val="24"/>
          <w:szCs w:val="24"/>
        </w:rPr>
      </w:pPr>
      <w:r w:rsidRPr="00295A57">
        <w:rPr>
          <w:rFonts w:ascii="Bookman Old Style" w:hAnsi="Bookman Old Style"/>
          <w:sz w:val="24"/>
          <w:szCs w:val="24"/>
        </w:rPr>
        <w:t xml:space="preserve">RESOLUCIÓN No.     </w:t>
      </w:r>
      <w:r w:rsidR="00992E04" w:rsidRPr="00295A57">
        <w:rPr>
          <w:rFonts w:ascii="Bookman Old Style" w:hAnsi="Bookman Old Style"/>
          <w:sz w:val="24"/>
          <w:szCs w:val="24"/>
        </w:rPr>
        <w:t xml:space="preserve"> </w:t>
      </w:r>
      <w:r w:rsidRPr="00295A57">
        <w:rPr>
          <w:rFonts w:ascii="Bookman Old Style" w:hAnsi="Bookman Old Style"/>
          <w:sz w:val="24"/>
          <w:szCs w:val="24"/>
        </w:rPr>
        <w:t xml:space="preserve">              DE 201</w:t>
      </w:r>
      <w:r w:rsidR="007E2416" w:rsidRPr="00295A57">
        <w:rPr>
          <w:rFonts w:ascii="Bookman Old Style" w:hAnsi="Bookman Old Style"/>
          <w:sz w:val="24"/>
          <w:szCs w:val="24"/>
        </w:rPr>
        <w:t>6</w:t>
      </w:r>
    </w:p>
    <w:p w:rsidR="00A172A1" w:rsidRPr="00295A57" w:rsidRDefault="00A172A1" w:rsidP="00012259">
      <w:pPr>
        <w:tabs>
          <w:tab w:val="left" w:pos="0"/>
          <w:tab w:val="right" w:pos="9356"/>
        </w:tabs>
        <w:ind w:left="0"/>
        <w:jc w:val="center"/>
        <w:rPr>
          <w:rFonts w:ascii="Bookman Old Style" w:hAnsi="Bookman Old Style" w:cs="Arial"/>
          <w:b/>
          <w:snapToGrid w:val="0"/>
          <w:color w:val="000000"/>
          <w:lang w:val="es-ES_tradnl"/>
        </w:rPr>
      </w:pPr>
    </w:p>
    <w:p w:rsidR="00A172A1" w:rsidRPr="00295A57" w:rsidRDefault="00A172A1" w:rsidP="005263A8">
      <w:pPr>
        <w:jc w:val="center"/>
        <w:rPr>
          <w:rFonts w:ascii="Bookman Old Style" w:hAnsi="Bookman Old Style"/>
          <w:b/>
        </w:rPr>
      </w:pPr>
      <w:r w:rsidRPr="00295A57">
        <w:rPr>
          <w:rFonts w:ascii="Bookman Old Style" w:hAnsi="Bookman Old Style"/>
        </w:rPr>
        <w:t xml:space="preserve">( </w:t>
      </w:r>
      <w:r w:rsidR="0097166D" w:rsidRPr="00295A57">
        <w:rPr>
          <w:rFonts w:ascii="Bookman Old Style" w:hAnsi="Bookman Old Style"/>
        </w:rPr>
        <w:t xml:space="preserve">  </w:t>
      </w:r>
      <w:r w:rsidR="00992E04" w:rsidRPr="00295A57">
        <w:rPr>
          <w:rFonts w:ascii="Bookman Old Style" w:hAnsi="Bookman Old Style"/>
        </w:rPr>
        <w:t xml:space="preserve">                               </w:t>
      </w:r>
      <w:r w:rsidRPr="00295A57">
        <w:rPr>
          <w:rFonts w:ascii="Bookman Old Style" w:hAnsi="Bookman Old Style"/>
        </w:rPr>
        <w:t xml:space="preserve">     )</w:t>
      </w:r>
    </w:p>
    <w:p w:rsidR="00A172A1" w:rsidRPr="00295A57" w:rsidRDefault="00A172A1" w:rsidP="00012259">
      <w:pPr>
        <w:tabs>
          <w:tab w:val="left" w:pos="0"/>
          <w:tab w:val="right" w:pos="9356"/>
        </w:tabs>
        <w:ind w:left="0"/>
        <w:jc w:val="center"/>
        <w:rPr>
          <w:rFonts w:ascii="Bookman Old Style" w:hAnsi="Bookman Old Style"/>
          <w:lang w:val="es-ES_tradnl"/>
        </w:rPr>
      </w:pPr>
    </w:p>
    <w:p w:rsidR="00992E04" w:rsidRPr="00295A57" w:rsidRDefault="00992E04" w:rsidP="00195A95">
      <w:pPr>
        <w:ind w:left="0"/>
        <w:jc w:val="center"/>
        <w:rPr>
          <w:rFonts w:ascii="Bookman Old Style" w:hAnsi="Bookman Old Style"/>
        </w:rPr>
      </w:pPr>
    </w:p>
    <w:p w:rsidR="00992E04" w:rsidRPr="00295A57" w:rsidRDefault="00992E04" w:rsidP="00195A95">
      <w:pPr>
        <w:ind w:left="0"/>
        <w:jc w:val="center"/>
        <w:rPr>
          <w:rFonts w:ascii="Bookman Old Style" w:hAnsi="Bookman Old Style"/>
        </w:rPr>
      </w:pPr>
    </w:p>
    <w:p w:rsidR="00195A95" w:rsidRPr="00295A57" w:rsidRDefault="00195A95" w:rsidP="00195A95">
      <w:pPr>
        <w:ind w:left="0"/>
        <w:jc w:val="center"/>
        <w:rPr>
          <w:rFonts w:ascii="Bookman Old Style" w:hAnsi="Bookman Old Style"/>
        </w:rPr>
      </w:pPr>
      <w:r w:rsidRPr="00295A57">
        <w:rPr>
          <w:rFonts w:ascii="Bookman Old Style" w:hAnsi="Bookman Old Style"/>
        </w:rPr>
        <w:t xml:space="preserve">Por la cual se ordena hacer público un proyecto de resolución de carácter general, “Por la cual se </w:t>
      </w:r>
      <w:r w:rsidR="00FA19E4" w:rsidRPr="00295A57">
        <w:rPr>
          <w:rFonts w:ascii="Bookman Old Style" w:hAnsi="Bookman Old Style"/>
        </w:rPr>
        <w:t xml:space="preserve">define la metodología </w:t>
      </w:r>
      <w:r w:rsidR="00B110FB" w:rsidRPr="00295A57">
        <w:rPr>
          <w:rFonts w:ascii="Bookman Old Style" w:hAnsi="Bookman Old Style"/>
        </w:rPr>
        <w:t>y parámetros</w:t>
      </w:r>
      <w:r w:rsidR="00FA19E4" w:rsidRPr="00295A57">
        <w:rPr>
          <w:rFonts w:ascii="Bookman Old Style" w:hAnsi="Bookman Old Style"/>
        </w:rPr>
        <w:t xml:space="preserve"> </w:t>
      </w:r>
      <w:r w:rsidR="00F44246" w:rsidRPr="00295A57">
        <w:rPr>
          <w:rFonts w:ascii="Bookman Old Style" w:hAnsi="Bookman Old Style"/>
        </w:rPr>
        <w:t xml:space="preserve">de referencia </w:t>
      </w:r>
      <w:r w:rsidR="00FA19E4" w:rsidRPr="00295A57">
        <w:rPr>
          <w:rFonts w:ascii="Bookman Old Style" w:hAnsi="Bookman Old Style"/>
        </w:rPr>
        <w:t>del ingreso al productor de Biocombustibles</w:t>
      </w:r>
      <w:r w:rsidRPr="00295A57">
        <w:rPr>
          <w:rFonts w:ascii="Bookman Old Style" w:hAnsi="Bookman Old Style"/>
        </w:rPr>
        <w:t>”</w:t>
      </w:r>
    </w:p>
    <w:p w:rsidR="00195A95" w:rsidRPr="00295A57" w:rsidRDefault="00195A95" w:rsidP="00195A95">
      <w:pPr>
        <w:ind w:left="0"/>
        <w:rPr>
          <w:rFonts w:ascii="Bookman Old Style" w:hAnsi="Bookman Old Style"/>
        </w:rPr>
      </w:pPr>
    </w:p>
    <w:p w:rsidR="00992E04" w:rsidRPr="00295A57" w:rsidRDefault="00992E04" w:rsidP="00195A95">
      <w:pPr>
        <w:jc w:val="center"/>
        <w:rPr>
          <w:rFonts w:ascii="Bookman Old Style" w:hAnsi="Bookman Old Style" w:cs="Arial"/>
          <w:b/>
        </w:rPr>
      </w:pPr>
    </w:p>
    <w:p w:rsidR="00195A95" w:rsidRPr="00295A57" w:rsidRDefault="00195A95" w:rsidP="00195A95">
      <w:pPr>
        <w:jc w:val="center"/>
        <w:rPr>
          <w:rFonts w:ascii="Bookman Old Style" w:hAnsi="Bookman Old Style" w:cs="Arial"/>
          <w:b/>
        </w:rPr>
      </w:pPr>
      <w:r w:rsidRPr="00295A57">
        <w:rPr>
          <w:rFonts w:ascii="Bookman Old Style" w:hAnsi="Bookman Old Style" w:cs="Arial"/>
          <w:b/>
        </w:rPr>
        <w:t>LA COMISIÓN DE REGULACIÓN DE ENERGÍA Y GAS</w:t>
      </w:r>
    </w:p>
    <w:p w:rsidR="00195A95" w:rsidRPr="00295A57" w:rsidRDefault="00195A95" w:rsidP="00195A95">
      <w:pPr>
        <w:jc w:val="center"/>
        <w:rPr>
          <w:rFonts w:ascii="Bookman Old Style" w:hAnsi="Bookman Old Style" w:cs="Arial"/>
        </w:rPr>
      </w:pPr>
    </w:p>
    <w:p w:rsidR="00195A95" w:rsidRPr="00295A57" w:rsidRDefault="00195A95" w:rsidP="00195A95">
      <w:pPr>
        <w:jc w:val="center"/>
        <w:rPr>
          <w:rFonts w:ascii="Bookman Old Style" w:hAnsi="Bookman Old Style" w:cs="Arial"/>
        </w:rPr>
      </w:pPr>
    </w:p>
    <w:p w:rsidR="00195A95" w:rsidRPr="00295A57" w:rsidRDefault="00195A95" w:rsidP="002F0BB5">
      <w:pPr>
        <w:ind w:left="0"/>
        <w:jc w:val="both"/>
        <w:rPr>
          <w:rFonts w:ascii="Bookman Old Style" w:hAnsi="Bookman Old Style" w:cs="Arial"/>
        </w:rPr>
      </w:pPr>
      <w:r w:rsidRPr="00295A57">
        <w:rPr>
          <w:rFonts w:ascii="Bookman Old Style" w:hAnsi="Bookman Old Style" w:cs="Arial"/>
        </w:rPr>
        <w:t>En ejercicio de sus atribuciones legales, en especial las conferidas por el  Decreto 4130 de 2011</w:t>
      </w:r>
      <w:r w:rsidR="002F0BB5" w:rsidRPr="00295A57">
        <w:rPr>
          <w:rFonts w:ascii="Bookman Old Style" w:hAnsi="Bookman Old Style" w:cs="Arial"/>
        </w:rPr>
        <w:t xml:space="preserve"> y</w:t>
      </w:r>
      <w:r w:rsidRPr="00295A57">
        <w:rPr>
          <w:rFonts w:ascii="Bookman Old Style" w:hAnsi="Bookman Old Style" w:cs="Arial"/>
        </w:rPr>
        <w:t xml:space="preserve"> el Decreto 1260 de 2013</w:t>
      </w:r>
      <w:r w:rsidR="002F0BB5" w:rsidRPr="00295A57">
        <w:rPr>
          <w:rFonts w:ascii="Bookman Old Style" w:hAnsi="Bookman Old Style" w:cs="Arial"/>
        </w:rPr>
        <w:t xml:space="preserve"> </w:t>
      </w:r>
      <w:r w:rsidRPr="00295A57">
        <w:rPr>
          <w:rFonts w:ascii="Bookman Old Style" w:hAnsi="Bookman Old Style" w:cs="Arial"/>
        </w:rPr>
        <w:t>y</w:t>
      </w:r>
    </w:p>
    <w:p w:rsidR="00195A95" w:rsidRPr="00295A57" w:rsidRDefault="00195A95" w:rsidP="00195A95">
      <w:pPr>
        <w:jc w:val="center"/>
        <w:rPr>
          <w:rFonts w:ascii="Bookman Old Style" w:hAnsi="Bookman Old Style" w:cs="Arial"/>
        </w:rPr>
      </w:pPr>
    </w:p>
    <w:p w:rsidR="00992E04" w:rsidRPr="00295A57" w:rsidRDefault="00992E04" w:rsidP="00195A95">
      <w:pPr>
        <w:jc w:val="center"/>
        <w:rPr>
          <w:rFonts w:ascii="Bookman Old Style" w:hAnsi="Bookman Old Style" w:cs="Arial"/>
        </w:rPr>
      </w:pPr>
    </w:p>
    <w:p w:rsidR="00195A95" w:rsidRPr="00295A57" w:rsidRDefault="00195A95" w:rsidP="00195A95">
      <w:pPr>
        <w:jc w:val="center"/>
        <w:rPr>
          <w:rFonts w:ascii="Bookman Old Style" w:hAnsi="Bookman Old Style" w:cs="Arial"/>
          <w:b/>
        </w:rPr>
      </w:pPr>
      <w:r w:rsidRPr="00295A57">
        <w:rPr>
          <w:rStyle w:val="SubttuloCar"/>
          <w:rFonts w:ascii="Bookman Old Style" w:hAnsi="Bookman Old Style"/>
        </w:rPr>
        <w:t>CONSIDERANDO QUE</w:t>
      </w:r>
      <w:r w:rsidRPr="00295A57">
        <w:rPr>
          <w:rFonts w:ascii="Bookman Old Style" w:hAnsi="Bookman Old Style" w:cs="Arial"/>
          <w:b/>
        </w:rPr>
        <w:t>:</w:t>
      </w:r>
    </w:p>
    <w:p w:rsidR="00195A95" w:rsidRPr="00295A57" w:rsidRDefault="00195A95" w:rsidP="00195A95">
      <w:pPr>
        <w:ind w:left="0"/>
        <w:rPr>
          <w:rFonts w:ascii="Bookman Old Style" w:hAnsi="Bookman Old Style"/>
        </w:rPr>
      </w:pPr>
    </w:p>
    <w:p w:rsidR="00992E04" w:rsidRPr="00295A57" w:rsidRDefault="00992E04" w:rsidP="00195A95">
      <w:pPr>
        <w:ind w:left="0"/>
        <w:rPr>
          <w:rFonts w:ascii="Bookman Old Style" w:hAnsi="Bookman Old Style"/>
        </w:rPr>
      </w:pPr>
    </w:p>
    <w:p w:rsidR="00195A95" w:rsidRDefault="00195A95" w:rsidP="00A9585F">
      <w:pPr>
        <w:tabs>
          <w:tab w:val="left" w:pos="993"/>
        </w:tabs>
        <w:ind w:left="0"/>
        <w:jc w:val="both"/>
        <w:rPr>
          <w:rFonts w:ascii="Bookman Old Style" w:hAnsi="Bookman Old Style"/>
        </w:rPr>
      </w:pPr>
      <w:r w:rsidRPr="00295A57">
        <w:rPr>
          <w:rFonts w:ascii="Bookman Old Style" w:hAnsi="Bookman Old Style"/>
        </w:rPr>
        <w:t>Conforme a lo dispuesto por el artículo 9 del Decreto 2696 de 2004, concordante con el artículo 8 del Código de Procedimiento Administrativo y de lo Contencioso Administrativo, la Comisión debe hacer público en su página web todos los proyectos de resolución de carác</w:t>
      </w:r>
      <w:r w:rsidR="00357B81" w:rsidRPr="00295A57">
        <w:rPr>
          <w:rFonts w:ascii="Bookman Old Style" w:hAnsi="Bookman Old Style"/>
        </w:rPr>
        <w:t>ter general</w:t>
      </w:r>
      <w:r w:rsidRPr="00295A57">
        <w:rPr>
          <w:rFonts w:ascii="Bookman Old Style" w:hAnsi="Bookman Old Style"/>
        </w:rPr>
        <w:t>.</w:t>
      </w:r>
    </w:p>
    <w:p w:rsidR="00A9585F" w:rsidRPr="00295A57" w:rsidRDefault="00A9585F" w:rsidP="00A9585F">
      <w:pPr>
        <w:tabs>
          <w:tab w:val="left" w:pos="993"/>
        </w:tabs>
        <w:ind w:left="0"/>
        <w:jc w:val="both"/>
        <w:rPr>
          <w:rFonts w:ascii="Bookman Old Style" w:hAnsi="Bookman Old Style"/>
        </w:rPr>
      </w:pPr>
    </w:p>
    <w:p w:rsidR="00BE1BF6" w:rsidRPr="00295A57" w:rsidRDefault="00BE1BF6" w:rsidP="00BE1BF6">
      <w:pPr>
        <w:pStyle w:val="Default"/>
        <w:jc w:val="both"/>
        <w:rPr>
          <w:rFonts w:ascii="Bookman Old Style" w:hAnsi="Bookman Old Style"/>
        </w:rPr>
      </w:pPr>
      <w:r w:rsidRPr="00295A57">
        <w:rPr>
          <w:rFonts w:ascii="Bookman Old Style" w:hAnsi="Bookman Old Style"/>
        </w:rPr>
        <w:t xml:space="preserve">La Comisión aprobó la presente resolución en la sesión </w:t>
      </w:r>
      <w:r w:rsidR="006147FA" w:rsidRPr="00295A57">
        <w:rPr>
          <w:rFonts w:ascii="Bookman Old Style" w:hAnsi="Bookman Old Style"/>
        </w:rPr>
        <w:t>734</w:t>
      </w:r>
      <w:r w:rsidRPr="00295A57">
        <w:rPr>
          <w:rFonts w:ascii="Bookman Old Style" w:hAnsi="Bookman Old Style"/>
        </w:rPr>
        <w:t xml:space="preserve"> del </w:t>
      </w:r>
      <w:r w:rsidR="006147FA" w:rsidRPr="00295A57">
        <w:rPr>
          <w:rFonts w:ascii="Bookman Old Style" w:hAnsi="Bookman Old Style"/>
        </w:rPr>
        <w:t>3</w:t>
      </w:r>
      <w:r w:rsidRPr="00295A57">
        <w:rPr>
          <w:rFonts w:ascii="Bookman Old Style" w:hAnsi="Bookman Old Style"/>
        </w:rPr>
        <w:t xml:space="preserve"> de </w:t>
      </w:r>
      <w:r w:rsidR="00131941" w:rsidRPr="00295A57">
        <w:rPr>
          <w:rFonts w:ascii="Bookman Old Style" w:hAnsi="Bookman Old Style"/>
        </w:rPr>
        <w:t>octu</w:t>
      </w:r>
      <w:r w:rsidR="00B92CD7" w:rsidRPr="00295A57">
        <w:rPr>
          <w:rFonts w:ascii="Bookman Old Style" w:hAnsi="Bookman Old Style"/>
        </w:rPr>
        <w:t xml:space="preserve">bre </w:t>
      </w:r>
      <w:r w:rsidR="00AA0792" w:rsidRPr="00295A57">
        <w:rPr>
          <w:rFonts w:ascii="Bookman Old Style" w:hAnsi="Bookman Old Style"/>
        </w:rPr>
        <w:t>de 2016</w:t>
      </w:r>
      <w:r w:rsidRPr="00295A57">
        <w:rPr>
          <w:rFonts w:ascii="Bookman Old Style" w:hAnsi="Bookman Old Style"/>
        </w:rPr>
        <w:t>.</w:t>
      </w:r>
    </w:p>
    <w:p w:rsidR="00195A95" w:rsidRPr="00295A57" w:rsidRDefault="00195A95" w:rsidP="00195A95">
      <w:pPr>
        <w:tabs>
          <w:tab w:val="left" w:pos="993"/>
        </w:tabs>
        <w:spacing w:after="120"/>
        <w:ind w:left="0"/>
        <w:jc w:val="both"/>
        <w:rPr>
          <w:rFonts w:ascii="Bookman Old Style" w:hAnsi="Bookman Old Style"/>
          <w:lang w:val="es-CO"/>
        </w:rPr>
      </w:pPr>
    </w:p>
    <w:p w:rsidR="00195A95" w:rsidRPr="00295A57" w:rsidRDefault="00195A95" w:rsidP="00992E04">
      <w:pPr>
        <w:pStyle w:val="Puesto"/>
        <w:rPr>
          <w:rFonts w:ascii="Bookman Old Style" w:hAnsi="Bookman Old Style"/>
        </w:rPr>
      </w:pPr>
      <w:r w:rsidRPr="00295A57">
        <w:rPr>
          <w:rFonts w:ascii="Bookman Old Style" w:hAnsi="Bookman Old Style"/>
        </w:rPr>
        <w:t>R E S U E L V E:</w:t>
      </w:r>
    </w:p>
    <w:p w:rsidR="00195A95" w:rsidRPr="00295A57" w:rsidRDefault="00195A95" w:rsidP="00195A95">
      <w:pPr>
        <w:jc w:val="center"/>
        <w:rPr>
          <w:rFonts w:ascii="Bookman Old Style" w:hAnsi="Bookman Old Style"/>
          <w:b/>
        </w:rPr>
      </w:pPr>
    </w:p>
    <w:p w:rsidR="00195A95" w:rsidRPr="00295A57" w:rsidRDefault="00195A95" w:rsidP="00195A95">
      <w:pPr>
        <w:ind w:left="0"/>
        <w:jc w:val="both"/>
        <w:rPr>
          <w:rFonts w:ascii="Bookman Old Style" w:hAnsi="Bookman Old Style"/>
        </w:rPr>
      </w:pPr>
      <w:r w:rsidRPr="00295A57">
        <w:rPr>
          <w:rFonts w:ascii="Bookman Old Style" w:hAnsi="Bookman Old Style"/>
          <w:b/>
        </w:rPr>
        <w:t>Artículo 1.</w:t>
      </w:r>
      <w:r w:rsidRPr="00295A57">
        <w:rPr>
          <w:rFonts w:ascii="Bookman Old Style" w:hAnsi="Bookman Old Style"/>
        </w:rPr>
        <w:tab/>
      </w:r>
      <w:r w:rsidRPr="00295A57">
        <w:rPr>
          <w:rFonts w:ascii="Bookman Old Style" w:hAnsi="Bookman Old Style"/>
          <w:b/>
          <w:bCs/>
        </w:rPr>
        <w:t xml:space="preserve">Objeto. </w:t>
      </w:r>
      <w:r w:rsidRPr="00295A57">
        <w:rPr>
          <w:rFonts w:ascii="Bookman Old Style" w:hAnsi="Bookman Old Style"/>
        </w:rPr>
        <w:t>Hágase público el proyecto de resolución</w:t>
      </w:r>
      <w:r w:rsidR="00AA0792" w:rsidRPr="00295A57">
        <w:rPr>
          <w:rFonts w:ascii="Bookman Old Style" w:hAnsi="Bookman Old Style"/>
        </w:rPr>
        <w:t xml:space="preserve"> de carácter general</w:t>
      </w:r>
      <w:r w:rsidRPr="00295A57">
        <w:rPr>
          <w:rFonts w:ascii="Bookman Old Style" w:hAnsi="Bookman Old Style"/>
        </w:rPr>
        <w:t xml:space="preserve"> “</w:t>
      </w:r>
      <w:r w:rsidR="00AA0792" w:rsidRPr="00295A57">
        <w:rPr>
          <w:rFonts w:ascii="Bookman Old Style" w:hAnsi="Bookman Old Style"/>
        </w:rPr>
        <w:t xml:space="preserve">Por la cual se define la metodología </w:t>
      </w:r>
      <w:r w:rsidR="00A40B57" w:rsidRPr="00295A57">
        <w:rPr>
          <w:rFonts w:ascii="Bookman Old Style" w:hAnsi="Bookman Old Style"/>
        </w:rPr>
        <w:t xml:space="preserve">y parámetros </w:t>
      </w:r>
      <w:r w:rsidR="00AA0792" w:rsidRPr="00295A57">
        <w:rPr>
          <w:rFonts w:ascii="Bookman Old Style" w:hAnsi="Bookman Old Style"/>
        </w:rPr>
        <w:t>de referencia del ingreso al productor de Biocombustibles</w:t>
      </w:r>
      <w:r w:rsidRPr="00295A57">
        <w:rPr>
          <w:rFonts w:ascii="Bookman Old Style" w:hAnsi="Bookman Old Style"/>
        </w:rPr>
        <w:t>”.</w:t>
      </w:r>
    </w:p>
    <w:p w:rsidR="00195A95" w:rsidRPr="00295A57" w:rsidRDefault="00195A95" w:rsidP="00195A95">
      <w:pPr>
        <w:ind w:left="0"/>
        <w:jc w:val="both"/>
        <w:rPr>
          <w:rFonts w:ascii="Bookman Old Style" w:hAnsi="Bookman Old Style"/>
        </w:rPr>
      </w:pPr>
    </w:p>
    <w:p w:rsidR="00195A95" w:rsidRPr="00295A57" w:rsidRDefault="00195A95" w:rsidP="00195A95">
      <w:pPr>
        <w:ind w:left="0"/>
        <w:jc w:val="both"/>
        <w:rPr>
          <w:rFonts w:ascii="Bookman Old Style" w:hAnsi="Bookman Old Style"/>
        </w:rPr>
      </w:pPr>
      <w:r w:rsidRPr="00295A57">
        <w:rPr>
          <w:rFonts w:ascii="Bookman Old Style" w:hAnsi="Bookman Old Style"/>
          <w:b/>
        </w:rPr>
        <w:t>Artículo 2.</w:t>
      </w:r>
      <w:r w:rsidRPr="00295A57">
        <w:rPr>
          <w:rFonts w:ascii="Bookman Old Style" w:hAnsi="Bookman Old Style"/>
        </w:rPr>
        <w:tab/>
      </w:r>
      <w:r w:rsidRPr="00295A57">
        <w:rPr>
          <w:rFonts w:ascii="Bookman Old Style" w:hAnsi="Bookman Old Style"/>
          <w:b/>
          <w:bCs/>
        </w:rPr>
        <w:t>Presentación de comentarios, observaciones y sugerencias.</w:t>
      </w:r>
      <w:r w:rsidRPr="00295A57">
        <w:rPr>
          <w:rFonts w:ascii="Bookman Old Style" w:hAnsi="Bookman Old Style"/>
        </w:rPr>
        <w:t xml:space="preserve"> Se invita a los consumidores, a los agentes, a la Superintendencia de Industria y Comercio y a los demás interesados para que remitan sus observaciones o sugerencias sobre la propuesta, </w:t>
      </w:r>
      <w:r w:rsidR="002E7F47">
        <w:rPr>
          <w:rFonts w:ascii="Bookman Old Style" w:hAnsi="Bookman Old Style"/>
        </w:rPr>
        <w:t>hasta el 8 de noviembre de 2016</w:t>
      </w:r>
      <w:r w:rsidRPr="00295A57">
        <w:rPr>
          <w:rFonts w:ascii="Bookman Old Style" w:hAnsi="Bookman Old Style"/>
        </w:rPr>
        <w:t>.</w:t>
      </w:r>
    </w:p>
    <w:p w:rsidR="00195A95" w:rsidRPr="00295A57" w:rsidRDefault="00195A95" w:rsidP="00195A95">
      <w:pPr>
        <w:ind w:left="0"/>
        <w:jc w:val="both"/>
        <w:rPr>
          <w:rFonts w:ascii="Bookman Old Style" w:hAnsi="Bookman Old Style"/>
        </w:rPr>
      </w:pPr>
    </w:p>
    <w:p w:rsidR="00195A95" w:rsidRPr="00295A57" w:rsidRDefault="00195A95" w:rsidP="00195A95">
      <w:pPr>
        <w:ind w:left="0"/>
        <w:jc w:val="both"/>
        <w:rPr>
          <w:rFonts w:ascii="Bookman Old Style" w:hAnsi="Bookman Old Style"/>
        </w:rPr>
      </w:pPr>
      <w:r w:rsidRPr="00295A57">
        <w:rPr>
          <w:rFonts w:ascii="Bookman Old Style" w:hAnsi="Bookman Old Style"/>
          <w:b/>
        </w:rPr>
        <w:t xml:space="preserve">Artículo 3. </w:t>
      </w:r>
      <w:r w:rsidRPr="00295A57">
        <w:rPr>
          <w:rFonts w:ascii="Bookman Old Style" w:hAnsi="Bookman Old Style"/>
          <w:b/>
          <w:bCs/>
        </w:rPr>
        <w:t>Información.</w:t>
      </w:r>
      <w:r w:rsidRPr="00295A57">
        <w:rPr>
          <w:rFonts w:ascii="Bookman Old Style" w:hAnsi="Bookman Old Style"/>
        </w:rPr>
        <w:t xml:space="preserve"> Las observaciones y sugerencias sobre el proyecto deberán dirigirse al Director Ejecutivo de la Comisión, a la siguiente dirección: </w:t>
      </w:r>
      <w:r w:rsidR="00B92CD7" w:rsidRPr="00295A57">
        <w:rPr>
          <w:rFonts w:ascii="Bookman Old Style" w:hAnsi="Bookman Old Style"/>
        </w:rPr>
        <w:t>A</w:t>
      </w:r>
      <w:r w:rsidRPr="00295A57">
        <w:rPr>
          <w:rFonts w:ascii="Bookman Old Style" w:hAnsi="Bookman Old Style"/>
        </w:rPr>
        <w:t xml:space="preserve">venida calle 116 No. 7-15, Edificio Torre Cusezar, Interior 2, oficina 901 o al correo electrónico </w:t>
      </w:r>
      <w:hyperlink r:id="rId10" w:history="1">
        <w:r w:rsidRPr="00295A57">
          <w:rPr>
            <w:rFonts w:ascii="Bookman Old Style" w:hAnsi="Bookman Old Style"/>
            <w:color w:val="0000FF"/>
            <w:u w:val="single"/>
          </w:rPr>
          <w:t>creg@creg.gov.co</w:t>
        </w:r>
      </w:hyperlink>
      <w:r w:rsidRPr="00295A57">
        <w:rPr>
          <w:rFonts w:ascii="Bookman Old Style" w:hAnsi="Bookman Old Style"/>
        </w:rPr>
        <w:t xml:space="preserve"> </w:t>
      </w:r>
    </w:p>
    <w:p w:rsidR="00195A95" w:rsidRPr="00295A57" w:rsidRDefault="00195A95" w:rsidP="00195A95">
      <w:pPr>
        <w:ind w:left="0"/>
        <w:jc w:val="both"/>
        <w:rPr>
          <w:rFonts w:ascii="Bookman Old Style" w:hAnsi="Bookman Old Style"/>
        </w:rPr>
      </w:pPr>
    </w:p>
    <w:p w:rsidR="00195A95" w:rsidRPr="00295A57" w:rsidRDefault="00195A95" w:rsidP="00195A95">
      <w:pPr>
        <w:ind w:left="0"/>
        <w:jc w:val="both"/>
        <w:rPr>
          <w:rFonts w:ascii="Bookman Old Style" w:hAnsi="Bookman Old Style"/>
        </w:rPr>
      </w:pPr>
      <w:r w:rsidRPr="00295A57">
        <w:rPr>
          <w:rFonts w:ascii="Bookman Old Style" w:hAnsi="Bookman Old Style"/>
          <w:b/>
        </w:rPr>
        <w:lastRenderedPageBreak/>
        <w:t>Artículo 4.</w:t>
      </w:r>
      <w:r w:rsidRPr="00295A57">
        <w:rPr>
          <w:rFonts w:ascii="Bookman Old Style" w:hAnsi="Bookman Old Style"/>
        </w:rPr>
        <w:tab/>
      </w:r>
      <w:r w:rsidRPr="00295A57">
        <w:rPr>
          <w:rFonts w:ascii="Bookman Old Style" w:hAnsi="Bookman Old Style"/>
          <w:b/>
          <w:bCs/>
        </w:rPr>
        <w:t>Vigencia.</w:t>
      </w:r>
      <w:r w:rsidRPr="00295A57">
        <w:rPr>
          <w:rFonts w:ascii="Bookman Old Style" w:hAnsi="Bookman Old Style"/>
        </w:rPr>
        <w:t xml:space="preserve"> La presente resolución no deroga ni modifica disposiciones vigentes por tratarse de un acto de trámite.</w:t>
      </w:r>
    </w:p>
    <w:p w:rsidR="00195A95" w:rsidRPr="00295A57" w:rsidRDefault="00195A95" w:rsidP="00195A95">
      <w:pPr>
        <w:ind w:left="0"/>
        <w:jc w:val="both"/>
        <w:rPr>
          <w:rFonts w:ascii="Bookman Old Style" w:hAnsi="Bookman Old Style"/>
        </w:rPr>
      </w:pPr>
    </w:p>
    <w:p w:rsidR="00195A95" w:rsidRPr="00295A57" w:rsidRDefault="00195A95" w:rsidP="00195A95">
      <w:pPr>
        <w:rPr>
          <w:rFonts w:ascii="Bookman Old Style" w:hAnsi="Bookman Old Style"/>
        </w:rPr>
      </w:pPr>
    </w:p>
    <w:p w:rsidR="00195A95" w:rsidRPr="00295A57" w:rsidRDefault="00195A95" w:rsidP="00195A95">
      <w:pPr>
        <w:ind w:left="0"/>
        <w:jc w:val="center"/>
        <w:rPr>
          <w:rFonts w:ascii="Bookman Old Style" w:hAnsi="Bookman Old Style" w:cs="Arial"/>
          <w:b/>
          <w:lang w:val="es-CO"/>
        </w:rPr>
      </w:pPr>
      <w:r w:rsidRPr="00295A57">
        <w:rPr>
          <w:rFonts w:ascii="Bookman Old Style" w:hAnsi="Bookman Old Style" w:cs="Arial"/>
          <w:b/>
          <w:lang w:val="es-CO"/>
        </w:rPr>
        <w:t>PUBLÍQUESE Y CÚMPLASE</w:t>
      </w:r>
    </w:p>
    <w:p w:rsidR="00195A95" w:rsidRPr="00295A57" w:rsidRDefault="00195A95" w:rsidP="00195A95">
      <w:pPr>
        <w:rPr>
          <w:rFonts w:ascii="Bookman Old Style" w:hAnsi="Bookman Old Style"/>
        </w:rPr>
      </w:pPr>
    </w:p>
    <w:p w:rsidR="00195A95" w:rsidRPr="00295A57" w:rsidRDefault="00195A95" w:rsidP="00195A95">
      <w:pPr>
        <w:ind w:left="0"/>
        <w:rPr>
          <w:rFonts w:ascii="Bookman Old Style" w:hAnsi="Bookman Old Style"/>
          <w:b/>
          <w:bCs/>
        </w:rPr>
      </w:pPr>
      <w:r w:rsidRPr="00295A57">
        <w:rPr>
          <w:rFonts w:ascii="Bookman Old Style" w:hAnsi="Bookman Old Style"/>
        </w:rPr>
        <w:t>Dada en Bogotá, D.C., a</w:t>
      </w:r>
    </w:p>
    <w:p w:rsidR="00195A95" w:rsidRPr="00295A57" w:rsidRDefault="00195A95" w:rsidP="00195A95">
      <w:pPr>
        <w:rPr>
          <w:rFonts w:ascii="Bookman Old Style" w:hAnsi="Bookman Old Style"/>
        </w:rPr>
      </w:pPr>
    </w:p>
    <w:p w:rsidR="00195A95" w:rsidRPr="00295A57" w:rsidRDefault="00195A95" w:rsidP="00195A95">
      <w:pPr>
        <w:rPr>
          <w:rFonts w:ascii="Bookman Old Style" w:hAnsi="Bookman Old Style"/>
        </w:rPr>
      </w:pPr>
    </w:p>
    <w:p w:rsidR="00BE1BF6" w:rsidRPr="00295A57" w:rsidRDefault="00BE1BF6" w:rsidP="00195A95">
      <w:pPr>
        <w:rPr>
          <w:rFonts w:ascii="Bookman Old Style" w:hAnsi="Bookman Old Style"/>
        </w:rPr>
      </w:pPr>
    </w:p>
    <w:p w:rsidR="00195A95" w:rsidRPr="00295A57" w:rsidRDefault="00195A95" w:rsidP="00195A95">
      <w:pPr>
        <w:rPr>
          <w:rFonts w:ascii="Bookman Old Style" w:hAnsi="Bookman Old Style"/>
        </w:rPr>
      </w:pPr>
    </w:p>
    <w:p w:rsidR="00195A95" w:rsidRPr="00295A57" w:rsidRDefault="00195A95" w:rsidP="00195A95">
      <w:pPr>
        <w:rPr>
          <w:rFonts w:ascii="Bookman Old Style" w:hAnsi="Bookman Old Style"/>
        </w:rPr>
      </w:pPr>
    </w:p>
    <w:tbl>
      <w:tblPr>
        <w:tblW w:w="0" w:type="auto"/>
        <w:jc w:val="center"/>
        <w:tblLayout w:type="fixed"/>
        <w:tblCellMar>
          <w:left w:w="70" w:type="dxa"/>
          <w:right w:w="70" w:type="dxa"/>
        </w:tblCellMar>
        <w:tblLook w:val="0000" w:firstRow="0" w:lastRow="0" w:firstColumn="0" w:lastColumn="0" w:noHBand="0" w:noVBand="0"/>
      </w:tblPr>
      <w:tblGrid>
        <w:gridCol w:w="4904"/>
        <w:gridCol w:w="4477"/>
      </w:tblGrid>
      <w:tr w:rsidR="00195A95" w:rsidRPr="00295A57" w:rsidTr="00AA5304">
        <w:trPr>
          <w:trHeight w:val="329"/>
          <w:jc w:val="center"/>
        </w:trPr>
        <w:tc>
          <w:tcPr>
            <w:tcW w:w="4904" w:type="dxa"/>
          </w:tcPr>
          <w:p w:rsidR="00195A95" w:rsidRPr="00295A57" w:rsidRDefault="00B7442C" w:rsidP="00B7442C">
            <w:pPr>
              <w:keepNext/>
              <w:tabs>
                <w:tab w:val="left" w:pos="-720"/>
              </w:tabs>
              <w:suppressAutoHyphens/>
              <w:ind w:left="0"/>
              <w:jc w:val="center"/>
              <w:rPr>
                <w:rFonts w:ascii="Bookman Old Style" w:hAnsi="Bookman Old Style"/>
                <w:b/>
              </w:rPr>
            </w:pPr>
            <w:r w:rsidRPr="00295A57">
              <w:rPr>
                <w:rFonts w:ascii="Bookman Old Style" w:hAnsi="Bookman Old Style"/>
                <w:b/>
                <w:bCs/>
              </w:rPr>
              <w:t>GERMÁN ARCE ZAPATA</w:t>
            </w:r>
          </w:p>
        </w:tc>
        <w:tc>
          <w:tcPr>
            <w:tcW w:w="4477" w:type="dxa"/>
            <w:vAlign w:val="center"/>
          </w:tcPr>
          <w:p w:rsidR="00195A95" w:rsidRPr="00295A57" w:rsidRDefault="00195A95" w:rsidP="00AA5304">
            <w:pPr>
              <w:keepNext/>
              <w:suppressAutoHyphens/>
              <w:ind w:left="0"/>
              <w:jc w:val="center"/>
              <w:rPr>
                <w:rFonts w:ascii="Bookman Old Style" w:hAnsi="Bookman Old Style"/>
                <w:b/>
              </w:rPr>
            </w:pPr>
            <w:r w:rsidRPr="00295A57">
              <w:rPr>
                <w:rFonts w:ascii="Bookman Old Style" w:hAnsi="Bookman Old Style"/>
                <w:b/>
              </w:rPr>
              <w:t>JORGE PINTO NOLLA</w:t>
            </w:r>
          </w:p>
        </w:tc>
      </w:tr>
      <w:tr w:rsidR="00195A95" w:rsidRPr="00295A57" w:rsidTr="00AA5304">
        <w:trPr>
          <w:trHeight w:val="254"/>
          <w:jc w:val="center"/>
        </w:trPr>
        <w:tc>
          <w:tcPr>
            <w:tcW w:w="4904" w:type="dxa"/>
          </w:tcPr>
          <w:p w:rsidR="00195A95" w:rsidRPr="00295A57" w:rsidRDefault="00B7442C" w:rsidP="00AA5304">
            <w:pPr>
              <w:keepNext/>
              <w:suppressAutoHyphens/>
              <w:ind w:left="0"/>
              <w:jc w:val="center"/>
              <w:rPr>
                <w:rFonts w:ascii="Bookman Old Style" w:hAnsi="Bookman Old Style"/>
              </w:rPr>
            </w:pPr>
            <w:r w:rsidRPr="00295A57">
              <w:rPr>
                <w:rFonts w:ascii="Bookman Old Style" w:hAnsi="Bookman Old Style" w:cs="Arial"/>
                <w:spacing w:val="-3"/>
              </w:rPr>
              <w:t>Ministro de Minas y</w:t>
            </w:r>
            <w:r w:rsidR="00195A95" w:rsidRPr="00295A57">
              <w:rPr>
                <w:rFonts w:ascii="Bookman Old Style" w:hAnsi="Bookman Old Style" w:cs="Arial"/>
                <w:spacing w:val="-3"/>
              </w:rPr>
              <w:t xml:space="preserve"> Energía</w:t>
            </w:r>
          </w:p>
        </w:tc>
        <w:tc>
          <w:tcPr>
            <w:tcW w:w="4477" w:type="dxa"/>
          </w:tcPr>
          <w:p w:rsidR="00195A95" w:rsidRPr="00295A57" w:rsidRDefault="00195A95" w:rsidP="00AA5304">
            <w:pPr>
              <w:keepNext/>
              <w:tabs>
                <w:tab w:val="left" w:pos="-720"/>
              </w:tabs>
              <w:suppressAutoHyphens/>
              <w:ind w:left="0"/>
              <w:jc w:val="center"/>
              <w:rPr>
                <w:rFonts w:ascii="Bookman Old Style" w:hAnsi="Bookman Old Style"/>
              </w:rPr>
            </w:pPr>
            <w:r w:rsidRPr="00295A57">
              <w:rPr>
                <w:rFonts w:ascii="Bookman Old Style" w:hAnsi="Bookman Old Style"/>
              </w:rPr>
              <w:t>Director Ejecutivo</w:t>
            </w:r>
          </w:p>
        </w:tc>
      </w:tr>
      <w:tr w:rsidR="00195A95" w:rsidRPr="00295A57" w:rsidTr="00AA5304">
        <w:trPr>
          <w:trHeight w:val="73"/>
          <w:jc w:val="center"/>
        </w:trPr>
        <w:tc>
          <w:tcPr>
            <w:tcW w:w="4904" w:type="dxa"/>
          </w:tcPr>
          <w:p w:rsidR="00195A95" w:rsidRPr="00295A57" w:rsidRDefault="00195A95" w:rsidP="00AA5304">
            <w:pPr>
              <w:tabs>
                <w:tab w:val="left" w:pos="-720"/>
              </w:tabs>
              <w:suppressAutoHyphens/>
              <w:ind w:left="0"/>
              <w:jc w:val="center"/>
              <w:rPr>
                <w:rFonts w:ascii="Bookman Old Style" w:hAnsi="Bookman Old Style"/>
              </w:rPr>
            </w:pPr>
            <w:r w:rsidRPr="00295A57">
              <w:rPr>
                <w:rFonts w:ascii="Bookman Old Style" w:hAnsi="Bookman Old Style" w:cs="Arial"/>
                <w:spacing w:val="-3"/>
              </w:rPr>
              <w:t>Presidente</w:t>
            </w:r>
          </w:p>
        </w:tc>
        <w:tc>
          <w:tcPr>
            <w:tcW w:w="4477" w:type="dxa"/>
            <w:vAlign w:val="center"/>
          </w:tcPr>
          <w:p w:rsidR="00195A95" w:rsidRPr="00295A57" w:rsidRDefault="00195A95" w:rsidP="00AA5304">
            <w:pPr>
              <w:ind w:left="708" w:hanging="708"/>
              <w:rPr>
                <w:rFonts w:ascii="Bookman Old Style" w:hAnsi="Bookman Old Style"/>
                <w:b/>
                <w:bCs/>
              </w:rPr>
            </w:pPr>
          </w:p>
        </w:tc>
      </w:tr>
    </w:tbl>
    <w:p w:rsidR="00195A95" w:rsidRPr="00295A57" w:rsidRDefault="00195A95" w:rsidP="00195A95">
      <w:pPr>
        <w:ind w:left="0"/>
        <w:rPr>
          <w:rFonts w:ascii="Bookman Old Style" w:hAnsi="Bookman Old Style"/>
        </w:rPr>
      </w:pPr>
    </w:p>
    <w:p w:rsidR="00195A95" w:rsidRPr="00295A57" w:rsidRDefault="00195A95" w:rsidP="00195A95">
      <w:pPr>
        <w:ind w:left="0"/>
        <w:jc w:val="center"/>
        <w:rPr>
          <w:rFonts w:ascii="Bookman Old Style" w:hAnsi="Bookman Old Style"/>
        </w:rPr>
      </w:pPr>
      <w:r w:rsidRPr="00295A57">
        <w:rPr>
          <w:rFonts w:ascii="Bookman Old Style" w:hAnsi="Bookman Old Style"/>
        </w:rPr>
        <w:br w:type="page"/>
      </w:r>
    </w:p>
    <w:p w:rsidR="00F92E65" w:rsidRPr="00295A57" w:rsidRDefault="00F92E65" w:rsidP="00F92E65">
      <w:pPr>
        <w:ind w:left="0"/>
        <w:jc w:val="center"/>
        <w:rPr>
          <w:rFonts w:ascii="Bookman Old Style" w:hAnsi="Bookman Old Style" w:cs="Arial"/>
          <w:b/>
          <w:lang w:val="es-CO"/>
        </w:rPr>
      </w:pPr>
      <w:r w:rsidRPr="00295A57">
        <w:rPr>
          <w:rFonts w:ascii="Bookman Old Style" w:hAnsi="Bookman Old Style" w:cs="Arial"/>
          <w:b/>
          <w:lang w:val="es-CO"/>
        </w:rPr>
        <w:lastRenderedPageBreak/>
        <w:t>PROYECTO DE RESOLUCIÓN</w:t>
      </w:r>
    </w:p>
    <w:p w:rsidR="00F92E65" w:rsidRPr="00295A57" w:rsidRDefault="00F92E65" w:rsidP="00F92E65">
      <w:pPr>
        <w:ind w:left="0"/>
        <w:rPr>
          <w:rFonts w:ascii="Bookman Old Style" w:hAnsi="Bookman Old Style"/>
          <w:bCs/>
          <w:lang w:val="es-CO"/>
        </w:rPr>
      </w:pPr>
    </w:p>
    <w:p w:rsidR="00F92E65" w:rsidRPr="00295A57" w:rsidRDefault="00F92E65" w:rsidP="00F92E65">
      <w:pPr>
        <w:ind w:left="0"/>
        <w:rPr>
          <w:rFonts w:ascii="Bookman Old Style" w:hAnsi="Bookman Old Style"/>
          <w:bCs/>
          <w:lang w:val="es-CO"/>
        </w:rPr>
      </w:pPr>
    </w:p>
    <w:p w:rsidR="00F92E65" w:rsidRPr="00295A57" w:rsidRDefault="00F92E65" w:rsidP="00F92E65">
      <w:pPr>
        <w:ind w:left="0"/>
        <w:jc w:val="both"/>
        <w:rPr>
          <w:rFonts w:ascii="Bookman Old Style" w:hAnsi="Bookman Old Style" w:cs="Arial"/>
          <w:b/>
          <w:szCs w:val="20"/>
          <w:lang w:val="es-CO"/>
        </w:rPr>
      </w:pPr>
      <w:r w:rsidRPr="00295A57">
        <w:rPr>
          <w:rFonts w:ascii="Bookman Old Style" w:hAnsi="Bookman Old Style" w:cs="Arial"/>
          <w:szCs w:val="20"/>
          <w:lang w:val="es-CO"/>
        </w:rPr>
        <w:t xml:space="preserve">Por la cual </w:t>
      </w:r>
      <w:r w:rsidRPr="00295A57">
        <w:rPr>
          <w:rFonts w:ascii="Bookman Old Style" w:hAnsi="Bookman Old Style" w:cs="Arial"/>
        </w:rPr>
        <w:t xml:space="preserve">se </w:t>
      </w:r>
      <w:r w:rsidR="00B7442C" w:rsidRPr="00295A57">
        <w:rPr>
          <w:rFonts w:ascii="Bookman Old Style" w:hAnsi="Bookman Old Style" w:cs="Arial"/>
        </w:rPr>
        <w:t xml:space="preserve">define la metodología </w:t>
      </w:r>
      <w:r w:rsidR="00A40B57" w:rsidRPr="00295A57">
        <w:rPr>
          <w:rFonts w:ascii="Bookman Old Style" w:hAnsi="Bookman Old Style" w:cs="Arial"/>
        </w:rPr>
        <w:t xml:space="preserve">y parámetros </w:t>
      </w:r>
      <w:r w:rsidR="00B7442C" w:rsidRPr="00295A57">
        <w:rPr>
          <w:rFonts w:ascii="Bookman Old Style" w:hAnsi="Bookman Old Style" w:cs="Arial"/>
        </w:rPr>
        <w:t>de referencia del ingreso al productor de Biocombustibles</w:t>
      </w:r>
      <w:r w:rsidRPr="00295A57">
        <w:rPr>
          <w:rFonts w:ascii="Bookman Old Style" w:hAnsi="Bookman Old Style" w:cs="Arial"/>
        </w:rPr>
        <w:t>.</w:t>
      </w:r>
    </w:p>
    <w:p w:rsidR="00F92E65" w:rsidRPr="00295A57" w:rsidRDefault="00F92E65" w:rsidP="00F92E65">
      <w:pPr>
        <w:ind w:left="0"/>
        <w:jc w:val="both"/>
        <w:rPr>
          <w:rFonts w:ascii="Bookman Old Style" w:hAnsi="Bookman Old Style" w:cs="Arial"/>
          <w:szCs w:val="20"/>
          <w:lang w:val="es-CO"/>
        </w:rPr>
      </w:pPr>
    </w:p>
    <w:p w:rsidR="00F92E65" w:rsidRPr="00295A57" w:rsidRDefault="00F92E65" w:rsidP="00F92E65">
      <w:pPr>
        <w:ind w:left="0"/>
        <w:jc w:val="both"/>
        <w:rPr>
          <w:rFonts w:ascii="Bookman Old Style" w:hAnsi="Bookman Old Style" w:cs="Arial"/>
          <w:szCs w:val="20"/>
          <w:lang w:val="es-CO"/>
        </w:rPr>
      </w:pPr>
    </w:p>
    <w:p w:rsidR="00F92E65" w:rsidRPr="00295A57" w:rsidRDefault="00F92E65" w:rsidP="00F92E65">
      <w:pPr>
        <w:pStyle w:val="Ttulo6"/>
        <w:spacing w:before="0" w:after="0"/>
        <w:ind w:left="0"/>
        <w:jc w:val="center"/>
        <w:rPr>
          <w:rFonts w:ascii="Bookman Old Style" w:hAnsi="Bookman Old Style"/>
          <w:sz w:val="24"/>
          <w:szCs w:val="20"/>
        </w:rPr>
      </w:pPr>
      <w:r w:rsidRPr="00295A57">
        <w:rPr>
          <w:rFonts w:ascii="Bookman Old Style" w:hAnsi="Bookman Old Style"/>
          <w:sz w:val="24"/>
          <w:szCs w:val="20"/>
        </w:rPr>
        <w:t>LA COMISIÓN DE REGULACIÓN DE ENERGÍA Y GAS</w:t>
      </w:r>
    </w:p>
    <w:p w:rsidR="00F92E65" w:rsidRPr="00295A57" w:rsidRDefault="00F92E65" w:rsidP="00F92E65">
      <w:pPr>
        <w:ind w:left="0"/>
        <w:jc w:val="both"/>
        <w:rPr>
          <w:rFonts w:ascii="Bookman Old Style" w:hAnsi="Bookman Old Style" w:cs="Arial"/>
          <w:szCs w:val="20"/>
        </w:rPr>
      </w:pPr>
    </w:p>
    <w:p w:rsidR="00F92E65" w:rsidRPr="00295A57" w:rsidRDefault="00F92E65" w:rsidP="00524E01">
      <w:pPr>
        <w:ind w:left="0"/>
        <w:jc w:val="both"/>
        <w:rPr>
          <w:rFonts w:ascii="Bookman Old Style" w:hAnsi="Bookman Old Style" w:cs="Arial"/>
        </w:rPr>
      </w:pPr>
      <w:r w:rsidRPr="00295A57">
        <w:rPr>
          <w:rFonts w:ascii="Bookman Old Style" w:hAnsi="Bookman Old Style" w:cs="Arial"/>
        </w:rPr>
        <w:t>En ejercicio de sus atribuciones legales, en especial las conferidas por el  Decreto 4130 de 2011</w:t>
      </w:r>
      <w:r w:rsidR="00B92CD7" w:rsidRPr="00295A57">
        <w:rPr>
          <w:rFonts w:ascii="Bookman Old Style" w:hAnsi="Bookman Old Style" w:cs="Arial"/>
        </w:rPr>
        <w:t xml:space="preserve"> y</w:t>
      </w:r>
      <w:r w:rsidRPr="00295A57">
        <w:rPr>
          <w:rFonts w:ascii="Bookman Old Style" w:hAnsi="Bookman Old Style" w:cs="Arial"/>
        </w:rPr>
        <w:t xml:space="preserve"> el Decreto 1260 de 2013 y</w:t>
      </w:r>
      <w:r w:rsidR="00B92CD7" w:rsidRPr="00295A57">
        <w:rPr>
          <w:rFonts w:ascii="Bookman Old Style" w:hAnsi="Bookman Old Style" w:cs="Arial"/>
        </w:rPr>
        <w:t>,</w:t>
      </w:r>
    </w:p>
    <w:p w:rsidR="00F92E65" w:rsidRPr="00295A57" w:rsidRDefault="00F92E65" w:rsidP="00F92E65">
      <w:pPr>
        <w:ind w:left="0"/>
        <w:jc w:val="both"/>
        <w:rPr>
          <w:rFonts w:ascii="Bookman Old Style" w:hAnsi="Bookman Old Style" w:cs="Arial"/>
          <w:szCs w:val="20"/>
        </w:rPr>
      </w:pPr>
    </w:p>
    <w:p w:rsidR="00F92E65" w:rsidRPr="00295A57" w:rsidRDefault="00F92E65" w:rsidP="00F92E65">
      <w:pPr>
        <w:ind w:left="0"/>
        <w:jc w:val="both"/>
        <w:rPr>
          <w:rFonts w:ascii="Bookman Old Style" w:hAnsi="Bookman Old Style" w:cs="Arial"/>
          <w:szCs w:val="20"/>
        </w:rPr>
      </w:pPr>
    </w:p>
    <w:p w:rsidR="00F92E65" w:rsidRPr="00295A57" w:rsidRDefault="00F92E65" w:rsidP="00F92E65">
      <w:pPr>
        <w:pStyle w:val="Puesto"/>
        <w:rPr>
          <w:rFonts w:ascii="Bookman Old Style" w:hAnsi="Bookman Old Style"/>
        </w:rPr>
      </w:pPr>
      <w:r w:rsidRPr="00295A57">
        <w:rPr>
          <w:rFonts w:ascii="Bookman Old Style" w:hAnsi="Bookman Old Style"/>
        </w:rPr>
        <w:t>C O N S I D E R A N D O  Q U E:</w:t>
      </w:r>
    </w:p>
    <w:p w:rsidR="00F92E65" w:rsidRPr="00295A57" w:rsidRDefault="00F92E65" w:rsidP="00F92E65">
      <w:pPr>
        <w:ind w:left="0"/>
        <w:jc w:val="both"/>
        <w:rPr>
          <w:rFonts w:ascii="Bookman Old Style" w:hAnsi="Bookman Old Style" w:cs="Arial"/>
          <w:szCs w:val="20"/>
        </w:rPr>
      </w:pPr>
    </w:p>
    <w:p w:rsidR="00F92E65" w:rsidRPr="00295A57" w:rsidRDefault="00F92E65" w:rsidP="00F92E65">
      <w:pPr>
        <w:ind w:left="0"/>
        <w:jc w:val="both"/>
        <w:rPr>
          <w:rFonts w:ascii="Bookman Old Style" w:hAnsi="Bookman Old Style" w:cs="Arial"/>
          <w:szCs w:val="20"/>
        </w:rPr>
      </w:pPr>
    </w:p>
    <w:p w:rsidR="00F92E65" w:rsidRPr="00295A57" w:rsidRDefault="00F92E65" w:rsidP="00F92E65">
      <w:pPr>
        <w:ind w:left="0"/>
        <w:jc w:val="both"/>
        <w:rPr>
          <w:rFonts w:ascii="Bookman Old Style" w:hAnsi="Bookman Old Style" w:cs="Arial"/>
        </w:rPr>
      </w:pPr>
      <w:r w:rsidRPr="00295A57">
        <w:rPr>
          <w:rFonts w:ascii="Bookman Old Style" w:hAnsi="Bookman Old Style" w:cs="Arial"/>
        </w:rPr>
        <w:t>El artículo 334 de la Constitución Política de Colombia consideró la facultad del Estado para intervenir en la explotación de los recursos naturales como el petróleo, en la producción y distribución de bienes como son los combustibles líquidos derivados del petróleo, y en los servicios públicos y privados.</w:t>
      </w:r>
    </w:p>
    <w:p w:rsidR="00F92E65" w:rsidRPr="00295A57" w:rsidRDefault="00F92E65" w:rsidP="00F92E65">
      <w:pPr>
        <w:ind w:left="0"/>
        <w:jc w:val="both"/>
        <w:rPr>
          <w:rFonts w:ascii="Bookman Old Style" w:hAnsi="Bookman Old Style" w:cs="Arial"/>
        </w:rPr>
      </w:pPr>
    </w:p>
    <w:p w:rsidR="00F92E65" w:rsidRPr="00295A57" w:rsidRDefault="00F92E65" w:rsidP="00F92E65">
      <w:pPr>
        <w:ind w:left="0"/>
        <w:jc w:val="both"/>
        <w:rPr>
          <w:rFonts w:ascii="Bookman Old Style" w:hAnsi="Bookman Old Style" w:cs="Arial"/>
        </w:rPr>
      </w:pPr>
      <w:r w:rsidRPr="00295A57">
        <w:rPr>
          <w:rFonts w:ascii="Bookman Old Style" w:hAnsi="Bookman Old Style" w:cs="Arial"/>
        </w:rPr>
        <w:t>En el artículo 365 de la Constitución Política de Colombia, se establece como finalidad social del Estado la prestación de los servicios públicos, y el deber de asegurar por parte de este</w:t>
      </w:r>
      <w:r w:rsidR="009158DC" w:rsidRPr="00295A57">
        <w:rPr>
          <w:rFonts w:ascii="Bookman Old Style" w:hAnsi="Bookman Old Style" w:cs="Arial"/>
        </w:rPr>
        <w:t>,</w:t>
      </w:r>
      <w:r w:rsidRPr="00295A57">
        <w:rPr>
          <w:rFonts w:ascii="Bookman Old Style" w:hAnsi="Bookman Old Style" w:cs="Arial"/>
        </w:rPr>
        <w:t xml:space="preserve"> la prestación eficiente a todos los habitantes del territorio </w:t>
      </w:r>
      <w:r w:rsidR="00FA1D91" w:rsidRPr="00295A57">
        <w:rPr>
          <w:rFonts w:ascii="Bookman Old Style" w:hAnsi="Bookman Old Style" w:cs="Arial"/>
        </w:rPr>
        <w:t>nacional. Así mismo se determin</w:t>
      </w:r>
      <w:r w:rsidRPr="00295A57">
        <w:rPr>
          <w:rFonts w:ascii="Bookman Old Style" w:hAnsi="Bookman Old Style" w:cs="Arial"/>
        </w:rPr>
        <w:t>ó la facultad del Estado de mantener la regulación, el control y la vigilancia de los servicios públicos.</w:t>
      </w:r>
    </w:p>
    <w:p w:rsidR="002C06A1" w:rsidRPr="00295A57" w:rsidRDefault="002C06A1" w:rsidP="00F92E65">
      <w:pPr>
        <w:ind w:left="0"/>
        <w:jc w:val="both"/>
        <w:rPr>
          <w:rFonts w:ascii="Bookman Old Style" w:hAnsi="Bookman Old Style" w:cs="Arial"/>
        </w:rPr>
      </w:pPr>
    </w:p>
    <w:p w:rsidR="00850014" w:rsidRPr="00295A57" w:rsidRDefault="00850014" w:rsidP="00850014">
      <w:pPr>
        <w:ind w:left="0"/>
        <w:jc w:val="both"/>
        <w:rPr>
          <w:rFonts w:ascii="Bookman Old Style" w:hAnsi="Bookman Old Style" w:cs="Arial"/>
        </w:rPr>
      </w:pPr>
      <w:r w:rsidRPr="00295A57">
        <w:rPr>
          <w:rFonts w:ascii="Bookman Old Style" w:hAnsi="Bookman Old Style" w:cs="Arial"/>
        </w:rPr>
        <w:t>En virtud del artículo 212 del Decreto 1056 de 1953 Código de Petróleos, el transporte y la distribución del petróleo y sus derivados constituyen un servicio público, y las personas o entidades dedicadas a esa actividad deben ejercerla de conformidad con los reglamentos que dicte el Gobierno en guarda de los intereses generales.</w:t>
      </w:r>
    </w:p>
    <w:p w:rsidR="00850014" w:rsidRPr="00295A57" w:rsidRDefault="00850014" w:rsidP="00F92E65">
      <w:pPr>
        <w:ind w:left="0"/>
        <w:jc w:val="both"/>
        <w:rPr>
          <w:rFonts w:ascii="Bookman Old Style" w:hAnsi="Bookman Old Style" w:cs="Arial"/>
        </w:rPr>
      </w:pPr>
    </w:p>
    <w:p w:rsidR="004A52C1" w:rsidRPr="00295A57" w:rsidRDefault="009158DC" w:rsidP="00F92E65">
      <w:pPr>
        <w:ind w:left="0"/>
        <w:jc w:val="both"/>
        <w:rPr>
          <w:rFonts w:ascii="Bookman Old Style" w:hAnsi="Bookman Old Style" w:cs="Arial"/>
        </w:rPr>
      </w:pPr>
      <w:r w:rsidRPr="00295A57">
        <w:rPr>
          <w:rFonts w:ascii="Bookman Old Style" w:hAnsi="Bookman Old Style" w:cs="Arial"/>
        </w:rPr>
        <w:t>De</w:t>
      </w:r>
      <w:r w:rsidR="00850014" w:rsidRPr="00295A57">
        <w:rPr>
          <w:rFonts w:ascii="Bookman Old Style" w:hAnsi="Bookman Old Style" w:cs="Arial"/>
        </w:rPr>
        <w:t xml:space="preserve"> acuerdo con el artículo 1º de la</w:t>
      </w:r>
      <w:r w:rsidR="00FA1D91" w:rsidRPr="00295A57">
        <w:rPr>
          <w:rFonts w:ascii="Bookman Old Style" w:hAnsi="Bookman Old Style" w:cs="Arial"/>
        </w:rPr>
        <w:t xml:space="preserve"> </w:t>
      </w:r>
      <w:hyperlink r:id="rId11" w:tooltip="Haga clic para abrir TODA la Ley 39 de 1987" w:history="1">
        <w:r w:rsidR="00850014" w:rsidRPr="00295A57">
          <w:rPr>
            <w:rFonts w:ascii="Bookman Old Style" w:hAnsi="Bookman Old Style" w:cs="Arial"/>
          </w:rPr>
          <w:t>Ley 39 de 1987</w:t>
        </w:r>
      </w:hyperlink>
      <w:r w:rsidR="00850014" w:rsidRPr="00295A57">
        <w:rPr>
          <w:rFonts w:ascii="Bookman Old Style" w:hAnsi="Bookman Old Style" w:cs="Arial"/>
        </w:rPr>
        <w:t>, por la cual se dictan disposiciones sobre la distribución del petróleo y sus derivados, </w:t>
      </w:r>
      <w:r w:rsidR="004A52C1" w:rsidRPr="00295A57">
        <w:rPr>
          <w:rFonts w:ascii="Bookman Old Style" w:hAnsi="Bookman Old Style" w:cs="Arial"/>
        </w:rPr>
        <w:t xml:space="preserve"> </w:t>
      </w:r>
      <w:r w:rsidR="00850014" w:rsidRPr="00295A57">
        <w:rPr>
          <w:rFonts w:ascii="Bookman Old Style" w:hAnsi="Bookman Old Style" w:cs="Arial"/>
        </w:rPr>
        <w:t xml:space="preserve">la distribución de combustibles líquidos derivados del petróleo </w:t>
      </w:r>
      <w:r w:rsidRPr="00295A57">
        <w:rPr>
          <w:rFonts w:ascii="Bookman Old Style" w:hAnsi="Bookman Old Style" w:cs="Arial"/>
        </w:rPr>
        <w:t>constituyen un servicio</w:t>
      </w:r>
      <w:r w:rsidR="004A52C1" w:rsidRPr="00295A57">
        <w:rPr>
          <w:rFonts w:ascii="Bookman Old Style" w:hAnsi="Bookman Old Style" w:cs="Arial"/>
        </w:rPr>
        <w:t xml:space="preserve"> público que debiera prestarse de acuerdo a la Ley, y el Gobierno tiene la facultad para determinar normas sobre medida, calidad y control de los combustibles.</w:t>
      </w:r>
    </w:p>
    <w:p w:rsidR="004A52C1" w:rsidRPr="00295A57" w:rsidRDefault="004A52C1" w:rsidP="00F92E65">
      <w:pPr>
        <w:ind w:left="0"/>
        <w:jc w:val="both"/>
        <w:rPr>
          <w:rFonts w:ascii="Verdana" w:hAnsi="Verdana"/>
          <w:color w:val="000000"/>
          <w:sz w:val="22"/>
          <w:szCs w:val="22"/>
        </w:rPr>
      </w:pPr>
    </w:p>
    <w:p w:rsidR="00850014" w:rsidRPr="00295A57" w:rsidRDefault="002C06A1" w:rsidP="00F92E65">
      <w:pPr>
        <w:ind w:left="0"/>
        <w:jc w:val="both"/>
        <w:rPr>
          <w:rFonts w:ascii="Bookman Old Style" w:hAnsi="Bookman Old Style" w:cs="Arial"/>
        </w:rPr>
      </w:pPr>
      <w:r w:rsidRPr="00295A57">
        <w:rPr>
          <w:rFonts w:ascii="Bookman Old Style" w:hAnsi="Bookman Old Style" w:cs="Arial"/>
        </w:rPr>
        <w:t xml:space="preserve">La Ley 693 de 2001 por la cual se dictan normas sobre </w:t>
      </w:r>
      <w:r w:rsidR="00850014" w:rsidRPr="00295A57">
        <w:rPr>
          <w:rFonts w:ascii="Bookman Old Style" w:hAnsi="Bookman Old Style" w:cs="Arial"/>
        </w:rPr>
        <w:t xml:space="preserve">el uso de alcoholes carburantes, creó </w:t>
      </w:r>
      <w:r w:rsidRPr="00295A57">
        <w:rPr>
          <w:rFonts w:ascii="Bookman Old Style" w:hAnsi="Bookman Old Style" w:cs="Arial"/>
        </w:rPr>
        <w:t>estímulos para su producción, comercialización y consumo</w:t>
      </w:r>
      <w:r w:rsidR="00850014" w:rsidRPr="00295A57">
        <w:rPr>
          <w:rFonts w:ascii="Bookman Old Style" w:hAnsi="Bookman Old Style" w:cs="Arial"/>
        </w:rPr>
        <w:t>, autoriza</w:t>
      </w:r>
      <w:r w:rsidR="00FA1D91" w:rsidRPr="00295A57">
        <w:rPr>
          <w:rFonts w:ascii="Bookman Old Style" w:hAnsi="Bookman Old Style" w:cs="Arial"/>
        </w:rPr>
        <w:t>ndo que el combustible diésel</w:t>
      </w:r>
      <w:r w:rsidR="00E34E30" w:rsidRPr="00295A57">
        <w:rPr>
          <w:rFonts w:ascii="Bookman Old Style" w:hAnsi="Bookman Old Style" w:cs="Arial"/>
        </w:rPr>
        <w:t xml:space="preserve"> podría mezclarse con </w:t>
      </w:r>
      <w:r w:rsidR="00850014" w:rsidRPr="00295A57">
        <w:rPr>
          <w:rFonts w:ascii="Bookman Old Style" w:hAnsi="Bookman Old Style" w:cs="Arial"/>
        </w:rPr>
        <w:t>componente</w:t>
      </w:r>
      <w:r w:rsidR="00E34E30" w:rsidRPr="00295A57">
        <w:rPr>
          <w:rFonts w:ascii="Bookman Old Style" w:hAnsi="Bookman Old Style" w:cs="Arial"/>
        </w:rPr>
        <w:t>s</w:t>
      </w:r>
      <w:r w:rsidR="00850014" w:rsidRPr="00295A57">
        <w:rPr>
          <w:rFonts w:ascii="Bookman Old Style" w:hAnsi="Bookman Old Style" w:cs="Arial"/>
        </w:rPr>
        <w:t xml:space="preserve"> oxigenante</w:t>
      </w:r>
      <w:r w:rsidR="00E34E30" w:rsidRPr="00295A57">
        <w:rPr>
          <w:rFonts w:ascii="Bookman Old Style" w:hAnsi="Bookman Old Style" w:cs="Arial"/>
        </w:rPr>
        <w:t>s</w:t>
      </w:r>
      <w:r w:rsidR="00850014" w:rsidRPr="00295A57">
        <w:rPr>
          <w:rFonts w:ascii="Bookman Old Style" w:hAnsi="Bookman Old Style" w:cs="Arial"/>
        </w:rPr>
        <w:t xml:space="preserve"> </w:t>
      </w:r>
      <w:r w:rsidR="006725E5" w:rsidRPr="00295A57">
        <w:rPr>
          <w:rFonts w:ascii="Bookman Old Style" w:hAnsi="Bookman Old Style" w:cs="Arial"/>
        </w:rPr>
        <w:t>en la</w:t>
      </w:r>
      <w:r w:rsidR="00850014" w:rsidRPr="00295A57">
        <w:rPr>
          <w:rFonts w:ascii="Bookman Old Style" w:hAnsi="Bookman Old Style" w:cs="Arial"/>
        </w:rPr>
        <w:t xml:space="preserve"> cantidad y calidad </w:t>
      </w:r>
      <w:r w:rsidR="006725E5" w:rsidRPr="00295A57">
        <w:rPr>
          <w:rFonts w:ascii="Bookman Old Style" w:hAnsi="Bookman Old Style" w:cs="Arial"/>
        </w:rPr>
        <w:t xml:space="preserve">que </w:t>
      </w:r>
      <w:r w:rsidR="00850014" w:rsidRPr="00295A57">
        <w:rPr>
          <w:rFonts w:ascii="Bookman Old Style" w:hAnsi="Bookman Old Style" w:cs="Arial"/>
        </w:rPr>
        <w:t>determinará el Ministerio de Minas y Energía.</w:t>
      </w:r>
    </w:p>
    <w:p w:rsidR="00850014" w:rsidRPr="00295A57" w:rsidRDefault="00850014" w:rsidP="00F92E65">
      <w:pPr>
        <w:ind w:left="0"/>
        <w:jc w:val="both"/>
        <w:rPr>
          <w:rFonts w:ascii="Bookman Old Style" w:hAnsi="Bookman Old Style" w:cs="Arial"/>
        </w:rPr>
      </w:pPr>
    </w:p>
    <w:p w:rsidR="002C06A1" w:rsidRPr="00295A57" w:rsidRDefault="004A52C1" w:rsidP="00F92E65">
      <w:pPr>
        <w:ind w:left="0"/>
        <w:jc w:val="both"/>
        <w:rPr>
          <w:rFonts w:ascii="Verdana" w:hAnsi="Verdana"/>
          <w:color w:val="000000"/>
          <w:sz w:val="22"/>
          <w:szCs w:val="22"/>
        </w:rPr>
      </w:pPr>
      <w:r w:rsidRPr="00295A57">
        <w:rPr>
          <w:rFonts w:ascii="Bookman Old Style" w:hAnsi="Bookman Old Style" w:cs="Arial"/>
        </w:rPr>
        <w:t>Conforme lo definido en el parágrafo 2º del artículo 1º de la </w:t>
      </w:r>
      <w:hyperlink r:id="rId12" w:tooltip="Haga clic para abrir TODA la Ley 693 de 2001" w:history="1">
        <w:r w:rsidRPr="00295A57">
          <w:rPr>
            <w:rFonts w:ascii="Bookman Old Style" w:hAnsi="Bookman Old Style" w:cs="Arial"/>
          </w:rPr>
          <w:t>Ley 693 de</w:t>
        </w:r>
        <w:r w:rsidR="00E20B7C" w:rsidRPr="00295A57">
          <w:rPr>
            <w:rFonts w:ascii="Bookman Old Style" w:hAnsi="Bookman Old Style" w:cs="Arial"/>
          </w:rPr>
          <w:t xml:space="preserve"> </w:t>
        </w:r>
        <w:r w:rsidRPr="00295A57">
          <w:rPr>
            <w:rFonts w:ascii="Bookman Old Style" w:hAnsi="Bookman Old Style" w:cs="Arial"/>
          </w:rPr>
          <w:t>2001</w:t>
        </w:r>
      </w:hyperlink>
      <w:r w:rsidRPr="00295A57">
        <w:rPr>
          <w:rFonts w:ascii="Bookman Old Style" w:hAnsi="Bookman Old Style" w:cs="Arial"/>
        </w:rPr>
        <w:t xml:space="preserve"> el Ministerio de Minas y Energía </w:t>
      </w:r>
      <w:r w:rsidR="00E20B7C" w:rsidRPr="00295A57">
        <w:rPr>
          <w:rFonts w:ascii="Bookman Old Style" w:hAnsi="Bookman Old Style" w:cs="Arial"/>
        </w:rPr>
        <w:t xml:space="preserve">es competente para </w:t>
      </w:r>
      <w:r w:rsidRPr="00295A57">
        <w:rPr>
          <w:rFonts w:ascii="Bookman Old Style" w:hAnsi="Bookman Old Style" w:cs="Arial"/>
        </w:rPr>
        <w:t>establecer la reg</w:t>
      </w:r>
      <w:r w:rsidR="00E20B7C" w:rsidRPr="00295A57">
        <w:rPr>
          <w:rFonts w:ascii="Bookman Old Style" w:hAnsi="Bookman Old Style" w:cs="Arial"/>
        </w:rPr>
        <w:t>ulación técnica y reglamentar lo correspondiente</w:t>
      </w:r>
      <w:r w:rsidRPr="00295A57">
        <w:rPr>
          <w:rFonts w:ascii="Bookman Old Style" w:hAnsi="Bookman Old Style" w:cs="Arial"/>
        </w:rPr>
        <w:t xml:space="preserve"> </w:t>
      </w:r>
      <w:r w:rsidR="00E20B7C" w:rsidRPr="00295A57">
        <w:rPr>
          <w:rFonts w:ascii="Bookman Old Style" w:hAnsi="Bookman Old Style" w:cs="Arial"/>
        </w:rPr>
        <w:t>a</w:t>
      </w:r>
      <w:r w:rsidRPr="00295A57">
        <w:rPr>
          <w:rFonts w:ascii="Bookman Old Style" w:hAnsi="Bookman Old Style" w:cs="Arial"/>
        </w:rPr>
        <w:t xml:space="preserve"> las normas para la producción, acopio, distribución y puntos de mezcla de los alcoholes carburantes</w:t>
      </w:r>
      <w:r w:rsidR="00E20B7C" w:rsidRPr="00295A57">
        <w:rPr>
          <w:rFonts w:ascii="Verdana" w:hAnsi="Verdana"/>
          <w:color w:val="000000"/>
          <w:sz w:val="22"/>
          <w:szCs w:val="22"/>
        </w:rPr>
        <w:t>.</w:t>
      </w:r>
    </w:p>
    <w:p w:rsidR="00E20B7C" w:rsidRPr="00295A57" w:rsidRDefault="00E20B7C" w:rsidP="00F92E65">
      <w:pPr>
        <w:ind w:left="0"/>
        <w:jc w:val="both"/>
        <w:rPr>
          <w:rFonts w:ascii="Bookman Old Style" w:hAnsi="Bookman Old Style" w:cs="Arial"/>
        </w:rPr>
      </w:pPr>
      <w:r w:rsidRPr="00295A57">
        <w:rPr>
          <w:rFonts w:ascii="Bookman Old Style" w:hAnsi="Bookman Old Style" w:cs="Arial"/>
        </w:rPr>
        <w:lastRenderedPageBreak/>
        <w:t xml:space="preserve">En virtud de las funciones descritas en la Ley 693 de 2001, el Ministerio de Minas y Energía definió </w:t>
      </w:r>
      <w:r w:rsidR="009E0AD1" w:rsidRPr="00295A57">
        <w:rPr>
          <w:rFonts w:ascii="Bookman Old Style" w:hAnsi="Bookman Old Style" w:cs="Arial"/>
        </w:rPr>
        <w:t>en</w:t>
      </w:r>
      <w:r w:rsidRPr="00295A57">
        <w:rPr>
          <w:rFonts w:ascii="Bookman Old Style" w:hAnsi="Bookman Old Style" w:cs="Arial"/>
        </w:rPr>
        <w:t xml:space="preserve"> el artículo 4° de la Resolución 18 0687 de 2003, </w:t>
      </w:r>
      <w:r w:rsidR="009E0AD1" w:rsidRPr="00295A57">
        <w:rPr>
          <w:rFonts w:ascii="Bookman Old Style" w:hAnsi="Bookman Old Style" w:cs="Arial"/>
        </w:rPr>
        <w:t xml:space="preserve">al </w:t>
      </w:r>
      <w:r w:rsidRPr="00295A57">
        <w:rPr>
          <w:rFonts w:ascii="Bookman Old Style" w:hAnsi="Bookman Old Style" w:cs="Arial"/>
        </w:rPr>
        <w:t>almacenamiento, manejo, transporte y distribución de alcoholes carburantes y combustibles oxigenados como un servicio público que debía prestarse conforme lo establecido en la Ley.</w:t>
      </w:r>
    </w:p>
    <w:p w:rsidR="00AE6B04" w:rsidRPr="00295A57" w:rsidRDefault="00AE6B04" w:rsidP="00F92E65">
      <w:pPr>
        <w:ind w:left="0"/>
        <w:jc w:val="both"/>
        <w:rPr>
          <w:rFonts w:ascii="Bookman Old Style" w:hAnsi="Bookman Old Style" w:cs="Arial"/>
        </w:rPr>
      </w:pPr>
    </w:p>
    <w:p w:rsidR="00AE6B04" w:rsidRPr="00295A57" w:rsidRDefault="00AE6B04" w:rsidP="00F92E65">
      <w:pPr>
        <w:ind w:left="0"/>
        <w:jc w:val="both"/>
        <w:rPr>
          <w:rFonts w:ascii="Bookman Old Style" w:hAnsi="Bookman Old Style" w:cs="Arial"/>
        </w:rPr>
      </w:pPr>
      <w:r w:rsidRPr="00295A57">
        <w:rPr>
          <w:rFonts w:ascii="Bookman Old Style" w:hAnsi="Bookman Old Style" w:cs="Arial"/>
        </w:rPr>
        <w:t>Mediante el artículo 1° de la Ley 697 de 2001, el Gobierno Nacional fomentó y promovió el uso racional y eficiente de la energía, así como la utilización de energías alternativas declarando el uso Racional y Eficiente de la Energía (URE) como un asunto de interés social, público y de conveniencia nacional, fundamental para asegurar el abastecimiento energético pleno y oportuno, la competitividad de la economía colombiana, la protección al consumidor y la promoción del uso de energías no convencionales de manera sostenible con el medio ambiente y los recursos naturales.</w:t>
      </w:r>
    </w:p>
    <w:p w:rsidR="00E20B7C" w:rsidRPr="00295A57" w:rsidRDefault="00E20B7C" w:rsidP="00F92E65">
      <w:pPr>
        <w:ind w:left="0"/>
        <w:jc w:val="both"/>
        <w:rPr>
          <w:rFonts w:ascii="Bookman Old Style" w:hAnsi="Bookman Old Style" w:cs="Arial"/>
        </w:rPr>
      </w:pPr>
    </w:p>
    <w:p w:rsidR="00E20B7C" w:rsidRPr="00295A57" w:rsidRDefault="00E20B7C" w:rsidP="00E20B7C">
      <w:pPr>
        <w:ind w:left="0"/>
        <w:jc w:val="both"/>
        <w:rPr>
          <w:rFonts w:ascii="Bookman Old Style" w:hAnsi="Bookman Old Style" w:cs="Arial"/>
        </w:rPr>
      </w:pPr>
      <w:r w:rsidRPr="00295A57">
        <w:rPr>
          <w:rFonts w:ascii="Bookman Old Style" w:hAnsi="Bookman Old Style" w:cs="Arial"/>
        </w:rPr>
        <w:t>En línea con las reglamentaciones descritas, los Ministerios de Ambiente, Vivienda y Desarrollo T</w:t>
      </w:r>
      <w:r w:rsidR="00B87D97" w:rsidRPr="00295A57">
        <w:rPr>
          <w:rFonts w:ascii="Bookman Old Style" w:hAnsi="Bookman Old Style" w:cs="Arial"/>
        </w:rPr>
        <w:t xml:space="preserve">erritorial y de Minas y Energía a través de </w:t>
      </w:r>
      <w:r w:rsidR="004166D1" w:rsidRPr="00295A57">
        <w:rPr>
          <w:rFonts w:ascii="Bookman Old Style" w:hAnsi="Bookman Old Style" w:cs="Arial"/>
        </w:rPr>
        <w:t>la</w:t>
      </w:r>
      <w:r w:rsidR="00854BF1" w:rsidRPr="00295A57">
        <w:rPr>
          <w:rFonts w:ascii="Bookman Old Style" w:hAnsi="Bookman Old Style" w:cs="Arial"/>
        </w:rPr>
        <w:t xml:space="preserve"> Resolución 447 de 2003, </w:t>
      </w:r>
      <w:r w:rsidRPr="00295A57">
        <w:rPr>
          <w:rFonts w:ascii="Bookman Old Style" w:hAnsi="Bookman Old Style" w:cs="Arial"/>
        </w:rPr>
        <w:t>establecieron los requisitos de calidad técnicos y ambientales de los alcoholes carburantes y los combustibles oxigenados a distribuir en el</w:t>
      </w:r>
      <w:r w:rsidR="00854BF1" w:rsidRPr="00295A57">
        <w:rPr>
          <w:rFonts w:ascii="Bookman Old Style" w:hAnsi="Bookman Old Style" w:cs="Arial"/>
        </w:rPr>
        <w:t xml:space="preserve"> país a partir del</w:t>
      </w:r>
      <w:r w:rsidRPr="00295A57">
        <w:rPr>
          <w:rFonts w:ascii="Bookman Old Style" w:hAnsi="Bookman Old Style" w:cs="Arial"/>
        </w:rPr>
        <w:t xml:space="preserve"> año 2005.</w:t>
      </w:r>
    </w:p>
    <w:p w:rsidR="00E20B7C" w:rsidRPr="00295A57" w:rsidRDefault="00E20B7C" w:rsidP="00F92E65">
      <w:pPr>
        <w:ind w:left="0"/>
        <w:jc w:val="both"/>
        <w:rPr>
          <w:rFonts w:ascii="Verdana" w:hAnsi="Verdana"/>
          <w:color w:val="000000"/>
          <w:sz w:val="22"/>
          <w:szCs w:val="22"/>
        </w:rPr>
      </w:pPr>
    </w:p>
    <w:p w:rsidR="00186A5D" w:rsidRPr="00295A57" w:rsidRDefault="00186A5D" w:rsidP="00F92E65">
      <w:pPr>
        <w:ind w:left="0"/>
        <w:jc w:val="both"/>
        <w:rPr>
          <w:rFonts w:ascii="Bookman Old Style" w:hAnsi="Bookman Old Style" w:cs="Arial"/>
        </w:rPr>
      </w:pPr>
      <w:r w:rsidRPr="00295A57">
        <w:rPr>
          <w:rFonts w:ascii="Bookman Old Style" w:hAnsi="Bookman Old Style" w:cs="Arial"/>
        </w:rPr>
        <w:t xml:space="preserve">Mediante el artículo 6° </w:t>
      </w:r>
      <w:r w:rsidR="009F3EFC" w:rsidRPr="00295A57">
        <w:rPr>
          <w:rFonts w:ascii="Bookman Old Style" w:hAnsi="Bookman Old Style" w:cs="Arial"/>
        </w:rPr>
        <w:t>de la Ley 939 de 2004 se definieron</w:t>
      </w:r>
      <w:r w:rsidRPr="00295A57">
        <w:rPr>
          <w:rFonts w:ascii="Bookman Old Style" w:hAnsi="Bookman Old Style" w:cs="Arial"/>
        </w:rPr>
        <w:t xml:space="preserve"> los Biocombustibles como los combustibles líquidos o gaseosos que han sido obtenidos de un vegetal o animal que se pueden emplear en proc</w:t>
      </w:r>
      <w:r w:rsidR="009F18DC" w:rsidRPr="00295A57">
        <w:rPr>
          <w:rFonts w:ascii="Bookman Old Style" w:hAnsi="Bookman Old Style" w:cs="Arial"/>
        </w:rPr>
        <w:t>esos de combustión, que cumplan</w:t>
      </w:r>
      <w:r w:rsidRPr="00295A57">
        <w:rPr>
          <w:rFonts w:ascii="Bookman Old Style" w:hAnsi="Bookman Old Style" w:cs="Arial"/>
        </w:rPr>
        <w:t xml:space="preserve"> con las definiciones y normas de calidad establecidas por la autoridad competente, destinados a ser sustituto</w:t>
      </w:r>
      <w:r w:rsidR="009F3EFC" w:rsidRPr="00295A57">
        <w:rPr>
          <w:rFonts w:ascii="Bookman Old Style" w:hAnsi="Bookman Old Style" w:cs="Arial"/>
        </w:rPr>
        <w:t>s</w:t>
      </w:r>
      <w:r w:rsidRPr="00295A57">
        <w:rPr>
          <w:rFonts w:ascii="Bookman Old Style" w:hAnsi="Bookman Old Style" w:cs="Arial"/>
        </w:rPr>
        <w:t xml:space="preserve"> parcial</w:t>
      </w:r>
      <w:r w:rsidR="009F3EFC" w:rsidRPr="00295A57">
        <w:rPr>
          <w:rFonts w:ascii="Bookman Old Style" w:hAnsi="Bookman Old Style" w:cs="Arial"/>
        </w:rPr>
        <w:t>es</w:t>
      </w:r>
      <w:r w:rsidRPr="00295A57">
        <w:rPr>
          <w:rFonts w:ascii="Bookman Old Style" w:hAnsi="Bookman Old Style" w:cs="Arial"/>
        </w:rPr>
        <w:t xml:space="preserve"> o total</w:t>
      </w:r>
      <w:r w:rsidR="009F3EFC" w:rsidRPr="00295A57">
        <w:rPr>
          <w:rFonts w:ascii="Bookman Old Style" w:hAnsi="Bookman Old Style" w:cs="Arial"/>
        </w:rPr>
        <w:t>es</w:t>
      </w:r>
      <w:r w:rsidRPr="00295A57">
        <w:rPr>
          <w:rFonts w:ascii="Bookman Old Style" w:hAnsi="Bookman Old Style" w:cs="Arial"/>
        </w:rPr>
        <w:t xml:space="preserve"> del</w:t>
      </w:r>
      <w:r w:rsidR="00E60286" w:rsidRPr="00295A57">
        <w:rPr>
          <w:rFonts w:ascii="Bookman Old Style" w:hAnsi="Bookman Old Style" w:cs="Arial"/>
        </w:rPr>
        <w:t xml:space="preserve"> diésel </w:t>
      </w:r>
      <w:r w:rsidRPr="00295A57">
        <w:rPr>
          <w:rFonts w:ascii="Bookman Old Style" w:hAnsi="Bookman Old Style" w:cs="Arial"/>
        </w:rPr>
        <w:t xml:space="preserve">utilizado en motores diésel, </w:t>
      </w:r>
      <w:r w:rsidR="009F18DC" w:rsidRPr="00295A57">
        <w:rPr>
          <w:rFonts w:ascii="Bookman Old Style" w:hAnsi="Bookman Old Style" w:cs="Arial"/>
        </w:rPr>
        <w:t>mencionando</w:t>
      </w:r>
      <w:r w:rsidRPr="00295A57">
        <w:rPr>
          <w:rFonts w:ascii="Bookman Old Style" w:hAnsi="Bookman Old Style" w:cs="Arial"/>
        </w:rPr>
        <w:t xml:space="preserve"> al Bioetanol, Biodiésel, Biometanol, Biometilester, Biocombustibles sintéticos, Biohidrógeno y Aceites vegetales puros. </w:t>
      </w:r>
    </w:p>
    <w:p w:rsidR="005146C9" w:rsidRPr="00295A57" w:rsidRDefault="005146C9" w:rsidP="00F92E65">
      <w:pPr>
        <w:ind w:left="0"/>
        <w:jc w:val="both"/>
        <w:rPr>
          <w:rFonts w:ascii="Bookman Old Style" w:hAnsi="Bookman Old Style" w:cs="Arial"/>
        </w:rPr>
      </w:pPr>
    </w:p>
    <w:p w:rsidR="005146C9" w:rsidRPr="00295A57" w:rsidRDefault="005146C9" w:rsidP="00F92E65">
      <w:pPr>
        <w:ind w:left="0"/>
        <w:jc w:val="both"/>
        <w:rPr>
          <w:rFonts w:ascii="Bookman Old Style" w:hAnsi="Bookman Old Style" w:cs="Arial"/>
        </w:rPr>
      </w:pPr>
      <w:r w:rsidRPr="00295A57">
        <w:rPr>
          <w:rFonts w:ascii="Bookman Old Style" w:hAnsi="Bookman Old Style" w:cs="Arial"/>
        </w:rPr>
        <w:t>Más adelante</w:t>
      </w:r>
      <w:r w:rsidR="006725E5" w:rsidRPr="00295A57">
        <w:rPr>
          <w:rFonts w:ascii="Bookman Old Style" w:hAnsi="Bookman Old Style" w:cs="Arial"/>
        </w:rPr>
        <w:t>,</w:t>
      </w:r>
      <w:r w:rsidRPr="00295A57">
        <w:rPr>
          <w:rFonts w:ascii="Bookman Old Style" w:hAnsi="Bookman Old Style" w:cs="Arial"/>
        </w:rPr>
        <w:t xml:space="preserve"> el Decreto 3492 de 2007</w:t>
      </w:r>
      <w:r w:rsidR="0059058C">
        <w:rPr>
          <w:rFonts w:ascii="Bookman Old Style" w:hAnsi="Bookman Old Style" w:cs="Arial"/>
        </w:rPr>
        <w:t>, compilado en el Decreto 1073 de 2015, artículo 2.2.1.1.2.2,3.119</w:t>
      </w:r>
      <w:r w:rsidRPr="00295A57">
        <w:rPr>
          <w:rFonts w:ascii="Bookman Old Style" w:hAnsi="Bookman Old Style" w:cs="Arial"/>
        </w:rPr>
        <w:t xml:space="preserve"> reglamentó lo dispuesto en la Ley 939 de 2004, con el objeto de hacer viable el programa de mezclas</w:t>
      </w:r>
      <w:r w:rsidR="00C9255E" w:rsidRPr="00295A57">
        <w:rPr>
          <w:rFonts w:ascii="Bookman Old Style" w:hAnsi="Bookman Old Style" w:cs="Arial"/>
        </w:rPr>
        <w:t xml:space="preserve"> del diésel de origen fósil</w:t>
      </w:r>
      <w:r w:rsidRPr="00295A57">
        <w:rPr>
          <w:rFonts w:ascii="Bookman Old Style" w:hAnsi="Bookman Old Style" w:cs="Arial"/>
        </w:rPr>
        <w:t xml:space="preserve">, con los biocombustibles de origen vegetal o animal y para ello, estableció que dichas mezclas no serían consideradas como proceso industrial o de producción para efectos fiscales. </w:t>
      </w:r>
    </w:p>
    <w:p w:rsidR="00AE6B04" w:rsidRPr="00295A57" w:rsidRDefault="00AE6B04" w:rsidP="00F92E65">
      <w:pPr>
        <w:ind w:left="0"/>
        <w:jc w:val="both"/>
        <w:rPr>
          <w:rFonts w:ascii="Bookman Old Style" w:hAnsi="Bookman Old Style" w:cs="Arial"/>
        </w:rPr>
      </w:pPr>
    </w:p>
    <w:p w:rsidR="00AE6B04" w:rsidRPr="00295A57" w:rsidRDefault="00AE6B04" w:rsidP="00F92E65">
      <w:pPr>
        <w:ind w:left="0"/>
        <w:jc w:val="both"/>
        <w:rPr>
          <w:rFonts w:ascii="Bookman Old Style" w:hAnsi="Bookman Old Style" w:cs="Arial"/>
        </w:rPr>
      </w:pPr>
      <w:r w:rsidRPr="00295A57">
        <w:rPr>
          <w:rFonts w:ascii="Bookman Old Style" w:hAnsi="Bookman Old Style" w:cs="Arial"/>
        </w:rPr>
        <w:t xml:space="preserve">A </w:t>
      </w:r>
      <w:r w:rsidR="002A7D0E" w:rsidRPr="00295A57">
        <w:rPr>
          <w:rFonts w:ascii="Bookman Old Style" w:hAnsi="Bookman Old Style" w:cs="Arial"/>
        </w:rPr>
        <w:t>partir del Decreto 2629 de 2007</w:t>
      </w:r>
      <w:r w:rsidRPr="00295A57">
        <w:rPr>
          <w:rFonts w:ascii="Bookman Old Style" w:hAnsi="Bookman Old Style" w:cs="Arial"/>
        </w:rPr>
        <w:t xml:space="preserve"> y</w:t>
      </w:r>
      <w:r w:rsidR="002A7D0E" w:rsidRPr="00295A57">
        <w:rPr>
          <w:rFonts w:ascii="Bookman Old Style" w:hAnsi="Bookman Old Style" w:cs="Arial"/>
        </w:rPr>
        <w:t>,</w:t>
      </w:r>
      <w:r w:rsidRPr="00295A57">
        <w:rPr>
          <w:rFonts w:ascii="Bookman Old Style" w:hAnsi="Bookman Old Style" w:cs="Arial"/>
        </w:rPr>
        <w:t xml:space="preserve"> en lo relativo a la producción de Biocombustibles, el Gobierno Nacional estableció medidas y plazos aplicables a los vehículos y demás artefactos a motor que utilizaran combustibles, para la promoción de las plantaciones y la producción de alcoholes carburantes y biocombustibles, atendiendo a las necesidades del momento, de proteger y conservar los ecosistemas y la biodiversidad.</w:t>
      </w:r>
    </w:p>
    <w:p w:rsidR="00CC6CEA" w:rsidRPr="00295A57" w:rsidRDefault="00CC6CEA" w:rsidP="00F92E65">
      <w:pPr>
        <w:ind w:left="0"/>
        <w:jc w:val="both"/>
        <w:rPr>
          <w:rFonts w:ascii="Bookman Old Style" w:hAnsi="Bookman Old Style" w:cs="Arial"/>
        </w:rPr>
      </w:pPr>
    </w:p>
    <w:p w:rsidR="00CC6CEA" w:rsidRPr="00295A57" w:rsidRDefault="00CC6CEA" w:rsidP="00F92E65">
      <w:pPr>
        <w:ind w:left="0"/>
        <w:jc w:val="both"/>
        <w:rPr>
          <w:rFonts w:ascii="Bookman Old Style" w:hAnsi="Bookman Old Style" w:cs="Arial"/>
        </w:rPr>
      </w:pPr>
      <w:r w:rsidRPr="00295A57">
        <w:rPr>
          <w:rFonts w:ascii="Bookman Old Style" w:hAnsi="Bookman Old Style" w:cs="Arial"/>
        </w:rPr>
        <w:t xml:space="preserve">Con el CONPES 3510 de 2008, </w:t>
      </w:r>
      <w:r w:rsidR="005146C9" w:rsidRPr="00295A57">
        <w:rPr>
          <w:rFonts w:ascii="Bookman Old Style" w:hAnsi="Bookman Old Style" w:cs="Arial"/>
        </w:rPr>
        <w:t>el Consejo Nacional de Política Económica y Social –DNP-, presentó una política orientada a promover la producción sostenible de Biocombustibles en el país, reconociendo las competencias de los Ministerio de Ambiente, Vivienda y Desarrollo Territorial y Minas y Energía para regular los precios, determinar criterios ambientales, técnicos, de calidad y seguridad de los Biocombustibles.</w:t>
      </w:r>
    </w:p>
    <w:p w:rsidR="00BC0270" w:rsidRPr="00295A57" w:rsidRDefault="00BC0270" w:rsidP="00F92E65">
      <w:pPr>
        <w:ind w:left="0"/>
        <w:jc w:val="both"/>
        <w:rPr>
          <w:rFonts w:ascii="Bookman Old Style" w:hAnsi="Bookman Old Style" w:cs="Arial"/>
        </w:rPr>
      </w:pPr>
    </w:p>
    <w:p w:rsidR="00AE6B04" w:rsidRPr="00295A57" w:rsidRDefault="00BC0270" w:rsidP="00F92E65">
      <w:pPr>
        <w:ind w:left="0"/>
        <w:jc w:val="both"/>
        <w:rPr>
          <w:rFonts w:ascii="Bookman Old Style" w:hAnsi="Bookman Old Style" w:cs="Arial"/>
        </w:rPr>
      </w:pPr>
      <w:r w:rsidRPr="00295A57">
        <w:rPr>
          <w:rFonts w:ascii="Bookman Old Style" w:hAnsi="Bookman Old Style" w:cs="Arial"/>
        </w:rPr>
        <w:lastRenderedPageBreak/>
        <w:t xml:space="preserve">Mediante el Decreto 2328 de 2008, </w:t>
      </w:r>
      <w:r w:rsidR="006725E5" w:rsidRPr="00295A57">
        <w:rPr>
          <w:rFonts w:ascii="Bookman Old Style" w:hAnsi="Bookman Old Style" w:cs="Arial"/>
        </w:rPr>
        <w:t>el Gobierno Nacional creó</w:t>
      </w:r>
      <w:r w:rsidRPr="00295A57">
        <w:rPr>
          <w:rFonts w:ascii="Bookman Old Style" w:hAnsi="Bookman Old Style" w:cs="Arial"/>
        </w:rPr>
        <w:t xml:space="preserve"> la Comisión Intersectorial para el manejo de Biocombustibles, con el fin de que </w:t>
      </w:r>
      <w:r w:rsidR="0019640D" w:rsidRPr="00295A57">
        <w:rPr>
          <w:rFonts w:ascii="Bookman Old Style" w:hAnsi="Bookman Old Style" w:cs="Arial"/>
        </w:rPr>
        <w:t>coordinara y orientara</w:t>
      </w:r>
      <w:r w:rsidRPr="00295A57">
        <w:rPr>
          <w:rFonts w:ascii="Bookman Old Style" w:hAnsi="Bookman Old Style" w:cs="Arial"/>
        </w:rPr>
        <w:t xml:space="preserve"> la implementación de políticas en materia de Biocombustibles.</w:t>
      </w:r>
    </w:p>
    <w:p w:rsidR="00BC0270" w:rsidRPr="00295A57" w:rsidRDefault="00BC0270" w:rsidP="00F92E65">
      <w:pPr>
        <w:ind w:left="0"/>
        <w:jc w:val="both"/>
        <w:rPr>
          <w:rFonts w:ascii="Bookman Old Style" w:hAnsi="Bookman Old Style" w:cs="Arial"/>
        </w:rPr>
      </w:pPr>
    </w:p>
    <w:p w:rsidR="00AE6B04" w:rsidRPr="00295A57" w:rsidRDefault="00AE6B04" w:rsidP="00F92E65">
      <w:pPr>
        <w:ind w:left="0"/>
        <w:jc w:val="both"/>
        <w:rPr>
          <w:rFonts w:ascii="Bookman Old Style" w:hAnsi="Bookman Old Style" w:cs="Arial"/>
        </w:rPr>
      </w:pPr>
      <w:r w:rsidRPr="00295A57">
        <w:rPr>
          <w:rFonts w:ascii="Bookman Old Style" w:hAnsi="Bookman Old Style" w:cs="Arial"/>
        </w:rPr>
        <w:t>Con el fin de reglamenta</w:t>
      </w:r>
      <w:r w:rsidR="00B13461" w:rsidRPr="00295A57">
        <w:rPr>
          <w:rFonts w:ascii="Bookman Old Style" w:hAnsi="Bookman Old Style" w:cs="Arial"/>
        </w:rPr>
        <w:t>r</w:t>
      </w:r>
      <w:r w:rsidRPr="00295A57">
        <w:rPr>
          <w:rFonts w:ascii="Bookman Old Style" w:hAnsi="Bookman Old Style" w:cs="Arial"/>
        </w:rPr>
        <w:t xml:space="preserve"> la producción, despacho y comercialización de alcoholes carburantes, el Ministerio de Minas y Energía, expidió las Resoluciones 18 0687 de 2003, 18 2142 de 2007, 18 0643 de 2012 y 91 150 de 2013, estableciendo el ingreso al productor del </w:t>
      </w:r>
      <w:r w:rsidR="00425EC3" w:rsidRPr="00295A57">
        <w:rPr>
          <w:rFonts w:ascii="Bookman Old Style" w:hAnsi="Bookman Old Style" w:cs="Arial"/>
        </w:rPr>
        <w:t>al</w:t>
      </w:r>
      <w:r w:rsidRPr="00295A57">
        <w:rPr>
          <w:rFonts w:ascii="Bookman Old Style" w:hAnsi="Bookman Old Style" w:cs="Arial"/>
        </w:rPr>
        <w:t>cohol carburante y del Biocombustible, normas para el registro de productores y/o importadores de biocombustibles</w:t>
      </w:r>
      <w:r w:rsidR="00425EC3" w:rsidRPr="00295A57">
        <w:rPr>
          <w:rFonts w:ascii="Bookman Old Style" w:hAnsi="Bookman Old Style" w:cs="Arial"/>
        </w:rPr>
        <w:t xml:space="preserve"> y regulación técnica relativa al acopio, distribución y puntos de mezcla.</w:t>
      </w:r>
    </w:p>
    <w:p w:rsidR="00AE6B04" w:rsidRPr="00295A57" w:rsidRDefault="00AE6B04" w:rsidP="00F92E65">
      <w:pPr>
        <w:ind w:left="0"/>
        <w:jc w:val="both"/>
        <w:rPr>
          <w:rFonts w:ascii="Bookman Old Style" w:hAnsi="Bookman Old Style" w:cs="Arial"/>
        </w:rPr>
      </w:pPr>
    </w:p>
    <w:p w:rsidR="00052BF3" w:rsidRPr="00295A57" w:rsidRDefault="00052BF3" w:rsidP="00F92E65">
      <w:pPr>
        <w:ind w:left="0"/>
        <w:jc w:val="both"/>
        <w:rPr>
          <w:rFonts w:ascii="Bookman Old Style" w:hAnsi="Bookman Old Style" w:cs="Arial"/>
        </w:rPr>
      </w:pPr>
      <w:r w:rsidRPr="00295A57">
        <w:rPr>
          <w:rFonts w:ascii="Bookman Old Style" w:hAnsi="Bookman Old Style" w:cs="Arial"/>
        </w:rPr>
        <w:t>Mediante el Decreto 4892 de 2011</w:t>
      </w:r>
      <w:r w:rsidR="0059058C">
        <w:rPr>
          <w:rFonts w:ascii="Bookman Old Style" w:hAnsi="Bookman Old Style" w:cs="Arial"/>
        </w:rPr>
        <w:t>, compilado en el Decreto 1073 de 2015</w:t>
      </w:r>
      <w:r w:rsidRPr="00295A57">
        <w:rPr>
          <w:rFonts w:ascii="Bookman Old Style" w:hAnsi="Bookman Old Style" w:cs="Arial"/>
        </w:rPr>
        <w:t>,</w:t>
      </w:r>
      <w:r w:rsidR="00BE14DE">
        <w:rPr>
          <w:rFonts w:ascii="Bookman Old Style" w:hAnsi="Bookman Old Style" w:cs="Arial"/>
        </w:rPr>
        <w:t xml:space="preserve"> artículo 2.2.1.1.2.2,3.111</w:t>
      </w:r>
      <w:r w:rsidRPr="00295A57">
        <w:rPr>
          <w:rFonts w:ascii="Bookman Old Style" w:hAnsi="Bookman Old Style" w:cs="Arial"/>
        </w:rPr>
        <w:t xml:space="preserve"> el Ministerio de Minas y Energía dictó disposiciones aplicables al uso de alcoholes carburantes y biocombustibles para vehículos automotores, con el fin de que la industria automotriz pudiera realizar previsiones de los vehículos que ofreciera en el mercado.</w:t>
      </w:r>
    </w:p>
    <w:p w:rsidR="00025CF2" w:rsidRPr="00295A57" w:rsidRDefault="00025CF2" w:rsidP="00F92E65">
      <w:pPr>
        <w:ind w:left="0"/>
        <w:jc w:val="both"/>
        <w:rPr>
          <w:rFonts w:ascii="Bookman Old Style" w:hAnsi="Bookman Old Style" w:cs="Arial"/>
        </w:rPr>
      </w:pPr>
    </w:p>
    <w:p w:rsidR="00025CF2" w:rsidRPr="00295A57" w:rsidRDefault="008E6920" w:rsidP="00F92E65">
      <w:pPr>
        <w:ind w:left="0"/>
        <w:jc w:val="both"/>
        <w:rPr>
          <w:rFonts w:ascii="Bookman Old Style" w:hAnsi="Bookman Old Style" w:cs="Arial"/>
        </w:rPr>
      </w:pPr>
      <w:r w:rsidRPr="00295A57">
        <w:rPr>
          <w:rFonts w:ascii="Bookman Old Style" w:hAnsi="Bookman Old Style" w:cs="Arial"/>
        </w:rPr>
        <w:t>El numeral 2 del artículo 1° del Decreto 381 de 2012 asignó al Ministerio de Minas y Energía, la competencia para formular, adoptar, dirigir y coordinar la política nacional en materia de exploración, explotación, transporte, refinación, procesamiento, beneficio, transformación y distribución de minerales, hidrocarburos y biocombustibles, así como las funciones de expedir los reglamentos en materia de Biocombustibles.</w:t>
      </w:r>
    </w:p>
    <w:p w:rsidR="008E6920" w:rsidRPr="00295A57" w:rsidRDefault="008E6920" w:rsidP="00F92E65">
      <w:pPr>
        <w:ind w:left="0"/>
        <w:jc w:val="both"/>
        <w:rPr>
          <w:rFonts w:ascii="Bookman Old Style" w:hAnsi="Bookman Old Style" w:cs="Arial"/>
        </w:rPr>
      </w:pPr>
    </w:p>
    <w:p w:rsidR="008E6920" w:rsidRPr="00295A57" w:rsidRDefault="008E6920" w:rsidP="00F92E65">
      <w:pPr>
        <w:ind w:left="0"/>
        <w:jc w:val="both"/>
        <w:rPr>
          <w:rFonts w:ascii="Bookman Old Style" w:hAnsi="Bookman Old Style" w:cs="Arial"/>
        </w:rPr>
      </w:pPr>
      <w:r w:rsidRPr="00295A57">
        <w:rPr>
          <w:rFonts w:ascii="Bookman Old Style" w:hAnsi="Bookman Old Style" w:cs="Arial"/>
        </w:rPr>
        <w:t xml:space="preserve">El numeral 18 del artículo 2° del Decreto 381 de 2012, estableció en cabeza del Ministerio de Minas y Energía, la función de </w:t>
      </w:r>
      <w:r w:rsidR="00F44246" w:rsidRPr="00295A57">
        <w:rPr>
          <w:rFonts w:ascii="Bookman Old Style" w:hAnsi="Bookman Old Style" w:cs="Arial"/>
        </w:rPr>
        <w:t>e</w:t>
      </w:r>
      <w:r w:rsidRPr="00295A57">
        <w:rPr>
          <w:rFonts w:ascii="Bookman Old Style" w:hAnsi="Bookman Old Style" w:cs="Arial"/>
        </w:rPr>
        <w:t xml:space="preserve">stablecer los parámetros y la metodología para definir el precio de referencia de la gasolina motor y del ACPM, teniendo en cuenta los parámetros que expida la CREG para determinar el precio de paridad; así como establecer los parámetros y la metodología para definir el precio de los biocombustibles y de las mezclas de los anteriores. </w:t>
      </w:r>
    </w:p>
    <w:p w:rsidR="008E6920" w:rsidRPr="00295A57" w:rsidRDefault="008E6920" w:rsidP="00F92E65">
      <w:pPr>
        <w:ind w:left="0"/>
        <w:jc w:val="both"/>
        <w:rPr>
          <w:rFonts w:ascii="Bookman Old Style" w:hAnsi="Bookman Old Style" w:cs="Arial"/>
        </w:rPr>
      </w:pPr>
    </w:p>
    <w:p w:rsidR="008E6920" w:rsidRPr="00295A57" w:rsidRDefault="008E6920" w:rsidP="00F92E65">
      <w:pPr>
        <w:ind w:left="0"/>
        <w:jc w:val="both"/>
        <w:rPr>
          <w:rFonts w:ascii="Bookman Old Style" w:hAnsi="Bookman Old Style" w:cs="Arial"/>
        </w:rPr>
      </w:pPr>
      <w:r w:rsidRPr="00295A57">
        <w:rPr>
          <w:rFonts w:ascii="Bookman Old Style" w:hAnsi="Bookman Old Style" w:cs="Arial"/>
        </w:rPr>
        <w:t>Los numerales 2 y 5 del artículo 3° del Dec</w:t>
      </w:r>
      <w:r w:rsidR="00B13461" w:rsidRPr="00295A57">
        <w:rPr>
          <w:rFonts w:ascii="Bookman Old Style" w:hAnsi="Bookman Old Style" w:cs="Arial"/>
        </w:rPr>
        <w:t>reto Ley 4130 de 2011, reasigna</w:t>
      </w:r>
      <w:r w:rsidRPr="00295A57">
        <w:rPr>
          <w:rFonts w:ascii="Bookman Old Style" w:hAnsi="Bookman Old Style" w:cs="Arial"/>
        </w:rPr>
        <w:t xml:space="preserve"> funciones del Ministerio de Minas y Energía a la Comisión de Regulación de Energía y Gas, </w:t>
      </w:r>
      <w:r w:rsidR="009F3EFC" w:rsidRPr="00295A57">
        <w:rPr>
          <w:rFonts w:ascii="Bookman Old Style" w:hAnsi="Bookman Old Style" w:cs="Arial"/>
        </w:rPr>
        <w:t xml:space="preserve">y </w:t>
      </w:r>
      <w:r w:rsidRPr="00295A57">
        <w:rPr>
          <w:rFonts w:ascii="Bookman Old Style" w:hAnsi="Bookman Old Style" w:cs="Arial"/>
        </w:rPr>
        <w:t>en concreto</w:t>
      </w:r>
      <w:r w:rsidR="009F3EFC" w:rsidRPr="00295A57">
        <w:rPr>
          <w:rFonts w:ascii="Bookman Old Style" w:hAnsi="Bookman Old Style" w:cs="Arial"/>
        </w:rPr>
        <w:t>,</w:t>
      </w:r>
      <w:r w:rsidRPr="00295A57">
        <w:rPr>
          <w:rFonts w:ascii="Bookman Old Style" w:hAnsi="Bookman Old Style" w:cs="Arial"/>
        </w:rPr>
        <w:t xml:space="preserve"> las de determinar parámetros y metodología para calcular el precio de los combustibles, </w:t>
      </w:r>
      <w:r w:rsidR="009F3EFC" w:rsidRPr="00295A57">
        <w:rPr>
          <w:rFonts w:ascii="Bookman Old Style" w:hAnsi="Bookman Old Style" w:cs="Arial"/>
        </w:rPr>
        <w:t>y</w:t>
      </w:r>
      <w:r w:rsidRPr="00295A57">
        <w:rPr>
          <w:rFonts w:ascii="Bookman Old Style" w:hAnsi="Bookman Old Style" w:cs="Arial"/>
        </w:rPr>
        <w:t xml:space="preserve"> la de regular las actividades de refinación, importación, almacenamiento, distribución, y transporte de los combustibles líquidos derivados del petróleo.</w:t>
      </w:r>
    </w:p>
    <w:p w:rsidR="008E6920" w:rsidRPr="00295A57" w:rsidRDefault="008E6920" w:rsidP="00F92E65">
      <w:pPr>
        <w:ind w:left="0"/>
        <w:jc w:val="both"/>
        <w:rPr>
          <w:rFonts w:ascii="Bookman Old Style" w:hAnsi="Bookman Old Style" w:cs="Arial"/>
        </w:rPr>
      </w:pPr>
    </w:p>
    <w:p w:rsidR="008E6920" w:rsidRPr="00295A57" w:rsidRDefault="009F3EFC" w:rsidP="00F92E65">
      <w:pPr>
        <w:ind w:left="0"/>
        <w:jc w:val="both"/>
        <w:rPr>
          <w:rFonts w:ascii="Bookman Old Style" w:hAnsi="Bookman Old Style" w:cs="Arial"/>
        </w:rPr>
      </w:pPr>
      <w:r w:rsidRPr="00295A57">
        <w:rPr>
          <w:rFonts w:ascii="Bookman Old Style" w:hAnsi="Bookman Old Style" w:cs="Arial"/>
        </w:rPr>
        <w:t xml:space="preserve">Mediante el numeral 4, </w:t>
      </w:r>
      <w:r w:rsidR="008E6920" w:rsidRPr="00295A57">
        <w:rPr>
          <w:rFonts w:ascii="Bookman Old Style" w:hAnsi="Bookman Old Style" w:cs="Arial"/>
        </w:rPr>
        <w:t>literal b del artículo 4° del Decreto 1260 de 2013, se reglamenta una de las funciones reasignadas a la Comisión de Regulación de Energía y Gas del Decreto Ley 4130 de 2011, estableciendo en cabeza de la Comisión, la función de determinar los parámetros y la metodología de referencia utilizada por Ministerio de Minas y Energía para fijar el precio del ingreso al productor y de venta al público de la gasolina motor corriente, el ACPM y los Biocombustibles.</w:t>
      </w:r>
    </w:p>
    <w:p w:rsidR="008E6920" w:rsidRPr="00295A57" w:rsidRDefault="008E6920" w:rsidP="00F92E65">
      <w:pPr>
        <w:ind w:left="0"/>
        <w:jc w:val="both"/>
        <w:rPr>
          <w:rFonts w:ascii="Bookman Old Style" w:hAnsi="Bookman Old Style" w:cs="Arial"/>
        </w:rPr>
      </w:pPr>
    </w:p>
    <w:p w:rsidR="00C03356" w:rsidRPr="00295A57" w:rsidRDefault="00F92E65" w:rsidP="00F92E65">
      <w:pPr>
        <w:ind w:left="0"/>
        <w:jc w:val="both"/>
        <w:rPr>
          <w:rFonts w:ascii="Bookman Old Style" w:hAnsi="Bookman Old Style" w:cs="Arial"/>
        </w:rPr>
      </w:pPr>
      <w:r w:rsidRPr="00295A57">
        <w:rPr>
          <w:rFonts w:ascii="Bookman Old Style" w:hAnsi="Bookman Old Style" w:cs="Arial"/>
        </w:rPr>
        <w:t xml:space="preserve">Como se indicó, dentro de las funciones de la CREG está la de </w:t>
      </w:r>
      <w:r w:rsidR="009F3EFC" w:rsidRPr="00295A57">
        <w:rPr>
          <w:rFonts w:ascii="Bookman Old Style" w:hAnsi="Bookman Old Style" w:cs="Arial"/>
        </w:rPr>
        <w:t xml:space="preserve">determinar la metodología y los parámetros de referencia para fijar el ingreso al productor de </w:t>
      </w:r>
      <w:r w:rsidR="009F3EFC" w:rsidRPr="00295A57">
        <w:rPr>
          <w:rFonts w:ascii="Bookman Old Style" w:hAnsi="Bookman Old Style" w:cs="Arial"/>
        </w:rPr>
        <w:lastRenderedPageBreak/>
        <w:t>los Biocombustibles, la cual podrá ser utilizada por el Ministerio de Minas y Energía, en el ejercicio de las funciones asignadas por las Leyes 693 de 2001 y 939 de 2004.</w:t>
      </w:r>
    </w:p>
    <w:p w:rsidR="00F92E65" w:rsidRPr="00295A57" w:rsidRDefault="00F92E65" w:rsidP="00F92E65">
      <w:pPr>
        <w:ind w:left="0"/>
        <w:jc w:val="both"/>
        <w:rPr>
          <w:rFonts w:ascii="Bookman Old Style" w:hAnsi="Bookman Old Style" w:cs="Arial"/>
        </w:rPr>
      </w:pPr>
    </w:p>
    <w:p w:rsidR="00C23FB5" w:rsidRPr="00295A57" w:rsidRDefault="00F92E65" w:rsidP="00F92E65">
      <w:pPr>
        <w:ind w:left="0"/>
        <w:jc w:val="both"/>
        <w:rPr>
          <w:rFonts w:ascii="Bookman Old Style" w:hAnsi="Bookman Old Style" w:cs="Arial"/>
        </w:rPr>
      </w:pPr>
      <w:r w:rsidRPr="00295A57">
        <w:rPr>
          <w:rFonts w:ascii="Bookman Old Style" w:hAnsi="Bookman Old Style" w:cs="Arial"/>
        </w:rPr>
        <w:t xml:space="preserve">A partir de las disposiciones antes mencionadas y según lo contenido en el Decreto </w:t>
      </w:r>
      <w:r w:rsidR="00C23FB5" w:rsidRPr="00295A57">
        <w:rPr>
          <w:rFonts w:ascii="Bookman Old Style" w:hAnsi="Bookman Old Style" w:cs="Arial"/>
        </w:rPr>
        <w:t xml:space="preserve">Ley </w:t>
      </w:r>
      <w:r w:rsidRPr="00295A57">
        <w:rPr>
          <w:rFonts w:ascii="Bookman Old Style" w:hAnsi="Bookman Old Style" w:cs="Arial"/>
        </w:rPr>
        <w:t xml:space="preserve">4130 de 2011 y 1260 de 2013, le corresponde a la CREG expedir </w:t>
      </w:r>
      <w:r w:rsidR="00C23FB5" w:rsidRPr="00295A57">
        <w:rPr>
          <w:rFonts w:ascii="Bookman Old Style" w:hAnsi="Bookman Old Style" w:cs="Arial"/>
        </w:rPr>
        <w:t>la metodología y los parámetros de referencia del ingreso al productor de Biocombustibles.</w:t>
      </w:r>
    </w:p>
    <w:p w:rsidR="00C23FB5" w:rsidRPr="00295A57" w:rsidRDefault="00C23FB5" w:rsidP="00F92E65">
      <w:pPr>
        <w:ind w:left="0"/>
        <w:jc w:val="both"/>
        <w:rPr>
          <w:rFonts w:ascii="Bookman Old Style" w:hAnsi="Bookman Old Style" w:cs="Arial"/>
        </w:rPr>
      </w:pPr>
    </w:p>
    <w:p w:rsidR="00F92E65" w:rsidRPr="00295A57" w:rsidRDefault="00F92E65" w:rsidP="00F92E65">
      <w:pPr>
        <w:ind w:left="0"/>
        <w:jc w:val="both"/>
        <w:rPr>
          <w:rFonts w:ascii="Bookman Old Style" w:hAnsi="Bookman Old Style" w:cs="Arial"/>
        </w:rPr>
      </w:pPr>
      <w:r w:rsidRPr="00295A57">
        <w:rPr>
          <w:rFonts w:ascii="Bookman Old Style" w:hAnsi="Bookman Old Style" w:cs="Arial"/>
        </w:rPr>
        <w:t>En consecuencia,</w:t>
      </w:r>
    </w:p>
    <w:p w:rsidR="00F92E65" w:rsidRPr="00295A57" w:rsidRDefault="00F92E65" w:rsidP="00F92E65">
      <w:pPr>
        <w:ind w:left="0"/>
        <w:jc w:val="both"/>
        <w:rPr>
          <w:rFonts w:ascii="Bookman Old Style" w:hAnsi="Bookman Old Style" w:cs="Arial"/>
          <w:bCs/>
          <w:szCs w:val="20"/>
        </w:rPr>
      </w:pPr>
    </w:p>
    <w:p w:rsidR="00F92E65" w:rsidRPr="00295A57" w:rsidRDefault="00F92E65" w:rsidP="00F92E65">
      <w:pPr>
        <w:jc w:val="center"/>
        <w:rPr>
          <w:rFonts w:ascii="Bookman Old Style" w:hAnsi="Bookman Old Style"/>
          <w:b/>
          <w:szCs w:val="22"/>
        </w:rPr>
      </w:pPr>
      <w:r w:rsidRPr="00295A57">
        <w:rPr>
          <w:rFonts w:ascii="Bookman Old Style" w:hAnsi="Bookman Old Style"/>
          <w:b/>
          <w:szCs w:val="22"/>
        </w:rPr>
        <w:t>R E S U E L V E:</w:t>
      </w:r>
    </w:p>
    <w:p w:rsidR="00F92E65" w:rsidRPr="00295A57" w:rsidRDefault="00F92E65" w:rsidP="00F92E65">
      <w:pPr>
        <w:jc w:val="center"/>
        <w:rPr>
          <w:rFonts w:ascii="Bookman Old Style" w:hAnsi="Bookman Old Style"/>
          <w:b/>
          <w:szCs w:val="22"/>
        </w:rPr>
      </w:pPr>
    </w:p>
    <w:p w:rsidR="00F92E65" w:rsidRPr="00295A57" w:rsidRDefault="00F92E65" w:rsidP="00F92E65">
      <w:pPr>
        <w:jc w:val="center"/>
        <w:rPr>
          <w:rFonts w:ascii="Bookman Old Style" w:hAnsi="Bookman Old Style"/>
          <w:b/>
          <w:szCs w:val="22"/>
        </w:rPr>
      </w:pPr>
    </w:p>
    <w:p w:rsidR="000A0600" w:rsidRPr="00295A57" w:rsidRDefault="000A0600" w:rsidP="000A0600">
      <w:pPr>
        <w:ind w:left="0"/>
        <w:jc w:val="both"/>
        <w:rPr>
          <w:rFonts w:ascii="Bookman Old Style" w:hAnsi="Bookman Old Style" w:cs="Arial"/>
        </w:rPr>
      </w:pPr>
      <w:r w:rsidRPr="00295A57">
        <w:rPr>
          <w:rFonts w:ascii="Bookman Old Style" w:hAnsi="Bookman Old Style"/>
          <w:b/>
        </w:rPr>
        <w:t>Artículo 1°.</w:t>
      </w:r>
      <w:r w:rsidRPr="00295A57">
        <w:rPr>
          <w:rFonts w:ascii="Bookman Old Style" w:hAnsi="Bookman Old Style"/>
        </w:rPr>
        <w:t xml:space="preserve"> </w:t>
      </w:r>
      <w:r w:rsidRPr="00295A57">
        <w:rPr>
          <w:rFonts w:ascii="Bookman Old Style" w:hAnsi="Bookman Old Style"/>
          <w:b/>
        </w:rPr>
        <w:t>Objeto.</w:t>
      </w:r>
      <w:r w:rsidRPr="00295A57">
        <w:rPr>
          <w:rFonts w:ascii="Bookman Old Style" w:hAnsi="Bookman Old Style"/>
        </w:rPr>
        <w:t xml:space="preserve"> Definir la metodología y parámetros de referencia </w:t>
      </w:r>
      <w:r w:rsidRPr="00295A57">
        <w:rPr>
          <w:rFonts w:ascii="Bookman Old Style" w:hAnsi="Bookman Old Style" w:cs="Arial"/>
        </w:rPr>
        <w:t>del ingreso al productor de Biocombustibles, contenida en la presente resolución.</w:t>
      </w:r>
    </w:p>
    <w:p w:rsidR="00F66022" w:rsidRPr="00295A57" w:rsidRDefault="00F66022" w:rsidP="000A0600">
      <w:pPr>
        <w:ind w:left="0"/>
        <w:jc w:val="both"/>
        <w:rPr>
          <w:rFonts w:ascii="Bookman Old Style" w:hAnsi="Bookman Old Style" w:cs="Arial"/>
        </w:rPr>
      </w:pPr>
    </w:p>
    <w:p w:rsidR="00F66022" w:rsidRPr="00295A57" w:rsidRDefault="00F66022" w:rsidP="00F66022">
      <w:pPr>
        <w:autoSpaceDE w:val="0"/>
        <w:autoSpaceDN w:val="0"/>
        <w:adjustRightInd w:val="0"/>
        <w:ind w:left="0"/>
        <w:jc w:val="both"/>
        <w:rPr>
          <w:rFonts w:ascii="Bookman Old Style" w:hAnsi="Bookman Old Style" w:cs="Bookman Old Style"/>
          <w:color w:val="000000"/>
          <w:lang w:val="es-CO" w:eastAsia="es-CO"/>
        </w:rPr>
      </w:pPr>
      <w:r w:rsidRPr="00295A57">
        <w:rPr>
          <w:rFonts w:ascii="Bookman Old Style" w:hAnsi="Bookman Old Style"/>
          <w:b/>
        </w:rPr>
        <w:t>Artículo 2°. Alcance.</w:t>
      </w:r>
      <w:r w:rsidRPr="00295A57">
        <w:rPr>
          <w:rFonts w:ascii="Bookman Old Style" w:hAnsi="Bookman Old Style" w:cs="Bookman Old Style"/>
          <w:color w:val="000000"/>
          <w:lang w:val="es-CO" w:eastAsia="es-CO"/>
        </w:rPr>
        <w:t xml:space="preserve"> </w:t>
      </w:r>
      <w:r w:rsidR="00517899" w:rsidRPr="00295A57">
        <w:rPr>
          <w:rFonts w:ascii="Bookman Old Style" w:hAnsi="Bookman Old Style" w:cs="Bookman Old Style"/>
          <w:color w:val="000000"/>
          <w:lang w:val="es-CO" w:eastAsia="es-CO"/>
        </w:rPr>
        <w:t>La m</w:t>
      </w:r>
      <w:r w:rsidRPr="00295A57">
        <w:rPr>
          <w:rFonts w:ascii="Bookman Old Style" w:hAnsi="Bookman Old Style" w:cs="Bookman Old Style"/>
          <w:color w:val="000000"/>
          <w:lang w:val="es-CO" w:eastAsia="es-CO"/>
        </w:rPr>
        <w:t xml:space="preserve">etodología y parámetros de referencia </w:t>
      </w:r>
      <w:r w:rsidR="00517899" w:rsidRPr="00295A57">
        <w:rPr>
          <w:rFonts w:ascii="Bookman Old Style" w:hAnsi="Bookman Old Style" w:cs="Bookman Old Style"/>
          <w:color w:val="000000"/>
          <w:lang w:val="es-CO" w:eastAsia="es-CO"/>
        </w:rPr>
        <w:t>contenidos en la presente resolución serán adoptados</w:t>
      </w:r>
      <w:r w:rsidRPr="00295A57">
        <w:rPr>
          <w:rFonts w:ascii="Bookman Old Style" w:hAnsi="Bookman Old Style" w:cs="Bookman Old Style"/>
          <w:color w:val="000000"/>
          <w:lang w:val="es-CO" w:eastAsia="es-CO"/>
        </w:rPr>
        <w:t xml:space="preserve"> por el Ministerio de Minas y Energía, entidad que bajo sus competencias legales definirá el ingreso al productor de biocombustibles.</w:t>
      </w:r>
    </w:p>
    <w:p w:rsidR="00F66022" w:rsidRPr="00295A57" w:rsidRDefault="00F66022" w:rsidP="00F66022">
      <w:pPr>
        <w:autoSpaceDE w:val="0"/>
        <w:autoSpaceDN w:val="0"/>
        <w:adjustRightInd w:val="0"/>
        <w:ind w:left="0"/>
        <w:jc w:val="both"/>
        <w:rPr>
          <w:rFonts w:ascii="Bookman Old Style" w:hAnsi="Bookman Old Style" w:cs="Bookman Old Style"/>
          <w:color w:val="000000"/>
          <w:lang w:val="es-CO" w:eastAsia="es-CO"/>
        </w:rPr>
      </w:pPr>
    </w:p>
    <w:p w:rsidR="000A0600" w:rsidRPr="00295A57" w:rsidRDefault="00F66022" w:rsidP="00F66022">
      <w:pPr>
        <w:ind w:left="0"/>
        <w:jc w:val="both"/>
        <w:rPr>
          <w:rFonts w:ascii="Bookman Old Style" w:hAnsi="Bookman Old Style"/>
          <w:b/>
        </w:rPr>
      </w:pPr>
      <w:r w:rsidRPr="00295A57">
        <w:rPr>
          <w:rFonts w:ascii="Bookman Old Style" w:hAnsi="Bookman Old Style" w:cs="Bookman Old Style"/>
          <w:color w:val="000000"/>
          <w:lang w:val="es-CO" w:eastAsia="es-CO"/>
        </w:rPr>
        <w:t>Los agentes productores, importadores</w:t>
      </w:r>
      <w:r w:rsidR="00873395" w:rsidRPr="00295A57">
        <w:rPr>
          <w:rFonts w:ascii="Bookman Old Style" w:hAnsi="Bookman Old Style" w:cs="Bookman Old Style"/>
          <w:color w:val="000000"/>
          <w:lang w:val="es-CO" w:eastAsia="es-CO"/>
        </w:rPr>
        <w:t>,</w:t>
      </w:r>
      <w:r w:rsidRPr="00295A57">
        <w:rPr>
          <w:rFonts w:ascii="Bookman Old Style" w:hAnsi="Bookman Old Style" w:cs="Bookman Old Style"/>
          <w:color w:val="000000"/>
          <w:lang w:val="es-CO" w:eastAsia="es-CO"/>
        </w:rPr>
        <w:t xml:space="preserve"> distribuidores y comercializadores de </w:t>
      </w:r>
      <w:r w:rsidR="00517899" w:rsidRPr="00295A57">
        <w:rPr>
          <w:rFonts w:ascii="Bookman Old Style" w:hAnsi="Bookman Old Style" w:cs="Bookman Old Style"/>
          <w:color w:val="000000"/>
          <w:lang w:val="es-CO" w:eastAsia="es-CO"/>
        </w:rPr>
        <w:t>biocombustibles</w:t>
      </w:r>
      <w:r w:rsidRPr="00295A57">
        <w:rPr>
          <w:rFonts w:ascii="Bookman Old Style" w:hAnsi="Bookman Old Style" w:cs="Bookman Old Style"/>
          <w:color w:val="000000"/>
          <w:lang w:val="es-CO" w:eastAsia="es-CO"/>
        </w:rPr>
        <w:t xml:space="preserve"> deberán remitirse a las disposiciones que </w:t>
      </w:r>
      <w:r w:rsidR="00517899" w:rsidRPr="00295A57">
        <w:rPr>
          <w:rFonts w:ascii="Bookman Old Style" w:hAnsi="Bookman Old Style" w:cs="Bookman Old Style"/>
          <w:color w:val="000000"/>
          <w:lang w:val="es-CO" w:eastAsia="es-CO"/>
        </w:rPr>
        <w:t>sobre el ingres</w:t>
      </w:r>
      <w:r w:rsidR="00873395" w:rsidRPr="00295A57">
        <w:rPr>
          <w:rFonts w:ascii="Bookman Old Style" w:hAnsi="Bookman Old Style" w:cs="Bookman Old Style"/>
          <w:color w:val="000000"/>
          <w:lang w:val="es-CO" w:eastAsia="es-CO"/>
        </w:rPr>
        <w:t xml:space="preserve">o </w:t>
      </w:r>
      <w:r w:rsidR="00517899" w:rsidRPr="00295A57">
        <w:rPr>
          <w:rFonts w:ascii="Bookman Old Style" w:hAnsi="Bookman Old Style" w:cs="Bookman Old Style"/>
          <w:color w:val="000000"/>
          <w:lang w:val="es-CO" w:eastAsia="es-CO"/>
        </w:rPr>
        <w:t xml:space="preserve">al productor de biocombustibles </w:t>
      </w:r>
      <w:r w:rsidRPr="00295A57">
        <w:rPr>
          <w:rFonts w:ascii="Bookman Old Style" w:hAnsi="Bookman Old Style" w:cs="Bookman Old Style"/>
          <w:color w:val="000000"/>
          <w:lang w:val="es-CO" w:eastAsia="es-CO"/>
        </w:rPr>
        <w:t>adopte el Ministerio de Minas y Energía.</w:t>
      </w:r>
    </w:p>
    <w:p w:rsidR="00F66022" w:rsidRPr="00295A57" w:rsidRDefault="00F66022" w:rsidP="000A0600">
      <w:pPr>
        <w:ind w:left="0"/>
        <w:jc w:val="both"/>
        <w:rPr>
          <w:rFonts w:ascii="Bookman Old Style" w:hAnsi="Bookman Old Style"/>
          <w:b/>
        </w:rPr>
      </w:pPr>
    </w:p>
    <w:p w:rsidR="000A0600" w:rsidRPr="00295A57" w:rsidRDefault="000A0600" w:rsidP="000A0600">
      <w:pPr>
        <w:ind w:left="0"/>
        <w:jc w:val="both"/>
        <w:rPr>
          <w:rFonts w:ascii="Bookman Old Style" w:eastAsia="Arial" w:hAnsi="Bookman Old Style" w:cs="Arial"/>
        </w:rPr>
      </w:pPr>
      <w:r w:rsidRPr="00295A57">
        <w:rPr>
          <w:rFonts w:ascii="Bookman Old Style" w:hAnsi="Bookman Old Style"/>
          <w:b/>
        </w:rPr>
        <w:t xml:space="preserve">Artículo </w:t>
      </w:r>
      <w:r w:rsidR="00517899" w:rsidRPr="00295A57">
        <w:rPr>
          <w:rFonts w:ascii="Bookman Old Style" w:hAnsi="Bookman Old Style"/>
          <w:b/>
        </w:rPr>
        <w:t>3</w:t>
      </w:r>
      <w:r w:rsidRPr="00295A57">
        <w:rPr>
          <w:rFonts w:ascii="Bookman Old Style" w:hAnsi="Bookman Old Style"/>
          <w:b/>
        </w:rPr>
        <w:t>°.</w:t>
      </w:r>
      <w:r w:rsidRPr="00295A57">
        <w:rPr>
          <w:rFonts w:ascii="Bookman Old Style" w:eastAsia="Arial" w:hAnsi="Bookman Old Style" w:cs="Arial"/>
          <w:b/>
          <w:bCs/>
        </w:rPr>
        <w:t xml:space="preserve"> Criterios Generales:</w:t>
      </w:r>
      <w:r w:rsidRPr="00295A57">
        <w:rPr>
          <w:rFonts w:ascii="Bookman Old Style" w:eastAsia="Arial" w:hAnsi="Bookman Old Style" w:cs="Arial"/>
        </w:rPr>
        <w:t xml:space="preserve"> La metodología de referencia definida en la presente resolución tiene en cuenta los siguientes criterios generales:</w:t>
      </w:r>
    </w:p>
    <w:p w:rsidR="000A0600" w:rsidRPr="00295A57" w:rsidRDefault="000A0600" w:rsidP="000A0600">
      <w:pPr>
        <w:ind w:left="0"/>
        <w:jc w:val="both"/>
        <w:rPr>
          <w:rFonts w:ascii="Bookman Old Style" w:eastAsia="Arial" w:hAnsi="Bookman Old Style" w:cs="Arial"/>
        </w:rPr>
      </w:pPr>
    </w:p>
    <w:p w:rsidR="000A0600" w:rsidRPr="00295A57" w:rsidRDefault="009F30AA" w:rsidP="00683C45">
      <w:pPr>
        <w:pStyle w:val="Prrafodelista"/>
        <w:numPr>
          <w:ilvl w:val="0"/>
          <w:numId w:val="59"/>
        </w:numPr>
        <w:ind w:left="426" w:hanging="426"/>
        <w:jc w:val="both"/>
        <w:rPr>
          <w:rFonts w:ascii="Bookman Old Style" w:eastAsia="Arial" w:hAnsi="Bookman Old Style" w:cs="Arial"/>
          <w:sz w:val="24"/>
          <w:szCs w:val="24"/>
        </w:rPr>
      </w:pPr>
      <w:r w:rsidRPr="00295A57">
        <w:rPr>
          <w:rFonts w:ascii="Bookman Old Style" w:eastAsia="Arial" w:hAnsi="Bookman Old Style" w:cs="Arial"/>
          <w:sz w:val="24"/>
          <w:szCs w:val="24"/>
        </w:rPr>
        <w:t>V</w:t>
      </w:r>
      <w:r w:rsidR="000A0600" w:rsidRPr="00295A57">
        <w:rPr>
          <w:rFonts w:ascii="Bookman Old Style" w:eastAsia="Arial" w:hAnsi="Bookman Old Style" w:cs="Arial"/>
          <w:sz w:val="24"/>
          <w:szCs w:val="24"/>
        </w:rPr>
        <w:t>alora</w:t>
      </w:r>
      <w:r w:rsidRPr="00295A57">
        <w:rPr>
          <w:rFonts w:ascii="Bookman Old Style" w:eastAsia="Arial" w:hAnsi="Bookman Old Style" w:cs="Arial"/>
          <w:sz w:val="24"/>
          <w:szCs w:val="24"/>
        </w:rPr>
        <w:t>ción</w:t>
      </w:r>
      <w:r w:rsidR="000A0600" w:rsidRPr="00295A57">
        <w:rPr>
          <w:rFonts w:ascii="Bookman Old Style" w:eastAsia="Arial" w:hAnsi="Bookman Old Style" w:cs="Arial"/>
          <w:sz w:val="24"/>
          <w:szCs w:val="24"/>
        </w:rPr>
        <w:t xml:space="preserve"> de los biocombustibles </w:t>
      </w:r>
      <w:r w:rsidRPr="00295A57">
        <w:rPr>
          <w:rFonts w:ascii="Bookman Old Style" w:eastAsia="Arial" w:hAnsi="Bookman Old Style" w:cs="Arial"/>
          <w:sz w:val="24"/>
          <w:szCs w:val="24"/>
        </w:rPr>
        <w:t>atendiendo al análisis de precios de oportunidad del respectivo</w:t>
      </w:r>
      <w:r w:rsidR="000A0600" w:rsidRPr="00295A57">
        <w:rPr>
          <w:rFonts w:ascii="Bookman Old Style" w:eastAsia="Arial" w:hAnsi="Bookman Old Style" w:cs="Arial"/>
          <w:sz w:val="24"/>
          <w:szCs w:val="24"/>
        </w:rPr>
        <w:t xml:space="preserve"> energético, utilizan</w:t>
      </w:r>
      <w:r w:rsidRPr="00295A57">
        <w:rPr>
          <w:rFonts w:ascii="Bookman Old Style" w:eastAsia="Arial" w:hAnsi="Bookman Old Style" w:cs="Arial"/>
          <w:sz w:val="24"/>
          <w:szCs w:val="24"/>
        </w:rPr>
        <w:t>do</w:t>
      </w:r>
      <w:r w:rsidR="000A0600" w:rsidRPr="00295A57">
        <w:rPr>
          <w:rFonts w:ascii="Bookman Old Style" w:eastAsia="Arial" w:hAnsi="Bookman Old Style" w:cs="Arial"/>
          <w:sz w:val="24"/>
          <w:szCs w:val="24"/>
        </w:rPr>
        <w:t xml:space="preserve"> indicadores de mercados internacionales de biocombustibles similares a los usados en el país.</w:t>
      </w:r>
    </w:p>
    <w:p w:rsidR="000A0600" w:rsidRPr="00295A57" w:rsidRDefault="005A6533" w:rsidP="00683C45">
      <w:pPr>
        <w:pStyle w:val="Prrafodelista"/>
        <w:numPr>
          <w:ilvl w:val="0"/>
          <w:numId w:val="59"/>
        </w:numPr>
        <w:ind w:left="426" w:hanging="426"/>
        <w:jc w:val="both"/>
        <w:rPr>
          <w:rFonts w:ascii="Bookman Old Style" w:eastAsia="Arial" w:hAnsi="Bookman Old Style" w:cs="Arial"/>
          <w:sz w:val="24"/>
          <w:szCs w:val="24"/>
        </w:rPr>
      </w:pPr>
      <w:r w:rsidRPr="00295A57">
        <w:rPr>
          <w:rFonts w:ascii="Bookman Old Style" w:eastAsia="Arial" w:hAnsi="Bookman Old Style" w:cs="Arial"/>
          <w:sz w:val="24"/>
          <w:szCs w:val="24"/>
        </w:rPr>
        <w:t>E</w:t>
      </w:r>
      <w:r w:rsidR="000A0600" w:rsidRPr="00295A57">
        <w:rPr>
          <w:rFonts w:ascii="Bookman Old Style" w:eastAsia="Arial" w:hAnsi="Bookman Old Style" w:cs="Arial"/>
          <w:sz w:val="24"/>
          <w:szCs w:val="24"/>
        </w:rPr>
        <w:t>volución y maduración del sector de biocombustibles en Colombia con el fin de establecer el nivel eficiente de precios que se debe trasladar al usuario.</w:t>
      </w:r>
    </w:p>
    <w:p w:rsidR="000A0600" w:rsidRPr="00295A57" w:rsidRDefault="009F30AA" w:rsidP="00683C45">
      <w:pPr>
        <w:pStyle w:val="Prrafodelista"/>
        <w:numPr>
          <w:ilvl w:val="0"/>
          <w:numId w:val="59"/>
        </w:numPr>
        <w:ind w:left="426" w:hanging="426"/>
        <w:jc w:val="both"/>
        <w:rPr>
          <w:rFonts w:ascii="Bookman Old Style" w:eastAsia="Arial" w:hAnsi="Bookman Old Style" w:cs="Arial"/>
          <w:sz w:val="24"/>
          <w:szCs w:val="24"/>
        </w:rPr>
      </w:pPr>
      <w:r w:rsidRPr="00295A57">
        <w:rPr>
          <w:rFonts w:ascii="Bookman Old Style" w:eastAsia="Arial" w:hAnsi="Bookman Old Style" w:cs="Arial"/>
          <w:sz w:val="24"/>
          <w:szCs w:val="24"/>
        </w:rPr>
        <w:t>M</w:t>
      </w:r>
      <w:r w:rsidR="000A0600" w:rsidRPr="00295A57">
        <w:rPr>
          <w:rFonts w:ascii="Bookman Old Style" w:eastAsia="Arial" w:hAnsi="Bookman Old Style" w:cs="Arial"/>
          <w:sz w:val="24"/>
          <w:szCs w:val="24"/>
        </w:rPr>
        <w:t>itigar la volatilidad de los elementos que intervienen en la valoración de los biocombustibles para dar una mayor estab</w:t>
      </w:r>
      <w:r w:rsidR="007B103E" w:rsidRPr="00295A57">
        <w:rPr>
          <w:rFonts w:ascii="Bookman Old Style" w:eastAsia="Arial" w:hAnsi="Bookman Old Style" w:cs="Arial"/>
          <w:sz w:val="24"/>
          <w:szCs w:val="24"/>
        </w:rPr>
        <w:t>ilidad de precios al usuario</w:t>
      </w:r>
      <w:r w:rsidR="000A0600" w:rsidRPr="00295A57">
        <w:rPr>
          <w:rFonts w:ascii="Bookman Old Style" w:eastAsia="Arial" w:hAnsi="Bookman Old Style" w:cs="Arial"/>
          <w:sz w:val="24"/>
          <w:szCs w:val="24"/>
        </w:rPr>
        <w:t>.</w:t>
      </w:r>
    </w:p>
    <w:p w:rsidR="000A0600" w:rsidRPr="00295A57" w:rsidRDefault="009F30AA" w:rsidP="00683C45">
      <w:pPr>
        <w:pStyle w:val="Prrafodelista"/>
        <w:numPr>
          <w:ilvl w:val="0"/>
          <w:numId w:val="59"/>
        </w:numPr>
        <w:ind w:left="426" w:hanging="426"/>
        <w:jc w:val="both"/>
        <w:rPr>
          <w:rFonts w:ascii="Bookman Old Style" w:eastAsia="Arial" w:hAnsi="Bookman Old Style" w:cs="Arial"/>
          <w:sz w:val="24"/>
          <w:szCs w:val="24"/>
        </w:rPr>
      </w:pPr>
      <w:r w:rsidRPr="00295A57">
        <w:rPr>
          <w:rFonts w:ascii="Bookman Old Style" w:eastAsia="Arial" w:hAnsi="Bookman Old Style" w:cs="Arial"/>
          <w:sz w:val="24"/>
          <w:szCs w:val="24"/>
        </w:rPr>
        <w:t>A</w:t>
      </w:r>
      <w:r w:rsidR="009179C6" w:rsidRPr="00295A57">
        <w:rPr>
          <w:rFonts w:ascii="Bookman Old Style" w:eastAsia="Arial" w:hAnsi="Bookman Old Style" w:cs="Arial"/>
          <w:sz w:val="24"/>
          <w:szCs w:val="24"/>
        </w:rPr>
        <w:t>nálisis de</w:t>
      </w:r>
      <w:r w:rsidR="000A0600" w:rsidRPr="00295A57">
        <w:rPr>
          <w:rFonts w:ascii="Bookman Old Style" w:eastAsia="Arial" w:hAnsi="Bookman Old Style" w:cs="Arial"/>
          <w:sz w:val="24"/>
          <w:szCs w:val="24"/>
        </w:rPr>
        <w:t xml:space="preserve"> las condiciones de oferta y demanda nacional, para definir el esquema de precios de mercado.</w:t>
      </w:r>
    </w:p>
    <w:p w:rsidR="000A0600" w:rsidRPr="00295A57" w:rsidRDefault="009179C6" w:rsidP="00683C45">
      <w:pPr>
        <w:pStyle w:val="Prrafodelista"/>
        <w:numPr>
          <w:ilvl w:val="0"/>
          <w:numId w:val="59"/>
        </w:numPr>
        <w:ind w:left="426" w:hanging="426"/>
        <w:jc w:val="both"/>
        <w:rPr>
          <w:rFonts w:ascii="Bookman Old Style" w:eastAsia="Arial" w:hAnsi="Bookman Old Style" w:cs="Arial"/>
          <w:sz w:val="24"/>
          <w:szCs w:val="24"/>
        </w:rPr>
      </w:pPr>
      <w:r w:rsidRPr="00295A57">
        <w:rPr>
          <w:rFonts w:ascii="Bookman Old Style" w:eastAsia="Arial" w:hAnsi="Bookman Old Style" w:cs="Arial"/>
          <w:sz w:val="24"/>
          <w:szCs w:val="24"/>
        </w:rPr>
        <w:t>R</w:t>
      </w:r>
      <w:r w:rsidR="000A0600" w:rsidRPr="00295A57">
        <w:rPr>
          <w:rFonts w:ascii="Bookman Old Style" w:eastAsia="Arial" w:hAnsi="Bookman Old Style" w:cs="Arial"/>
          <w:sz w:val="24"/>
          <w:szCs w:val="24"/>
        </w:rPr>
        <w:t>econoce</w:t>
      </w:r>
      <w:r w:rsidRPr="00295A57">
        <w:rPr>
          <w:rFonts w:ascii="Bookman Old Style" w:eastAsia="Arial" w:hAnsi="Bookman Old Style" w:cs="Arial"/>
          <w:sz w:val="24"/>
          <w:szCs w:val="24"/>
        </w:rPr>
        <w:t>r</w:t>
      </w:r>
      <w:r w:rsidR="000A0600" w:rsidRPr="00295A57">
        <w:rPr>
          <w:rFonts w:ascii="Bookman Old Style" w:eastAsia="Arial" w:hAnsi="Bookman Old Style" w:cs="Arial"/>
          <w:sz w:val="24"/>
          <w:szCs w:val="24"/>
        </w:rPr>
        <w:t xml:space="preserve"> al productor de biocombustibles un ingreso que le permita recuperar sus costos eficientes y participar en un mercado competitivo</w:t>
      </w:r>
      <w:r w:rsidRPr="00295A57">
        <w:rPr>
          <w:rFonts w:ascii="Bookman Old Style" w:eastAsia="Arial" w:hAnsi="Bookman Old Style" w:cs="Arial"/>
          <w:sz w:val="24"/>
          <w:szCs w:val="24"/>
        </w:rPr>
        <w:t xml:space="preserve">. Dicho </w:t>
      </w:r>
      <w:r w:rsidR="000A0600" w:rsidRPr="00295A57">
        <w:rPr>
          <w:rFonts w:ascii="Bookman Old Style" w:eastAsia="Arial" w:hAnsi="Bookman Old Style" w:cs="Arial"/>
          <w:sz w:val="24"/>
          <w:szCs w:val="24"/>
        </w:rPr>
        <w:t>ingreso puede ser aplicado por los productores independientemente de la materia prima o tecnología utilizada en la producción de biocombustibles.</w:t>
      </w:r>
    </w:p>
    <w:p w:rsidR="000A0600" w:rsidRPr="00295A57" w:rsidRDefault="009179C6" w:rsidP="00683C45">
      <w:pPr>
        <w:pStyle w:val="Prrafodelista"/>
        <w:numPr>
          <w:ilvl w:val="0"/>
          <w:numId w:val="59"/>
        </w:numPr>
        <w:ind w:left="426" w:hanging="426"/>
        <w:jc w:val="both"/>
        <w:rPr>
          <w:rFonts w:ascii="Bookman Old Style" w:eastAsia="Arial" w:hAnsi="Bookman Old Style" w:cs="Arial"/>
          <w:sz w:val="24"/>
          <w:szCs w:val="24"/>
        </w:rPr>
      </w:pPr>
      <w:r w:rsidRPr="00295A57">
        <w:rPr>
          <w:rFonts w:ascii="Bookman Old Style" w:eastAsia="Arial" w:hAnsi="Bookman Old Style" w:cs="Arial"/>
          <w:sz w:val="24"/>
          <w:szCs w:val="24"/>
        </w:rPr>
        <w:t xml:space="preserve">Reconocer al productor de biocombustibles los costos asociados </w:t>
      </w:r>
      <w:r w:rsidR="006147FA" w:rsidRPr="00295A57">
        <w:rPr>
          <w:rFonts w:ascii="Bookman Old Style" w:eastAsia="Arial" w:hAnsi="Bookman Old Style" w:cs="Arial"/>
          <w:sz w:val="24"/>
          <w:szCs w:val="24"/>
        </w:rPr>
        <w:t>a</w:t>
      </w:r>
      <w:r w:rsidR="007B4D8F" w:rsidRPr="00295A57">
        <w:rPr>
          <w:rFonts w:ascii="Bookman Old Style" w:eastAsia="Arial" w:hAnsi="Bookman Old Style" w:cs="Arial"/>
          <w:sz w:val="24"/>
          <w:szCs w:val="24"/>
        </w:rPr>
        <w:t xml:space="preserve"> colocar el producto </w:t>
      </w:r>
      <w:r w:rsidRPr="00295A57">
        <w:rPr>
          <w:rFonts w:ascii="Bookman Old Style" w:eastAsia="Arial" w:hAnsi="Bookman Old Style" w:cs="Arial"/>
          <w:sz w:val="24"/>
          <w:szCs w:val="24"/>
        </w:rPr>
        <w:t>dispuesto para su</w:t>
      </w:r>
      <w:r w:rsidR="007B4D8F" w:rsidRPr="00295A57">
        <w:rPr>
          <w:rFonts w:ascii="Bookman Old Style" w:eastAsia="Arial" w:hAnsi="Bookman Old Style" w:cs="Arial"/>
          <w:sz w:val="24"/>
          <w:szCs w:val="24"/>
        </w:rPr>
        <w:t xml:space="preserve"> comercialización, incluyendo las </w:t>
      </w:r>
      <w:r w:rsidR="000A0600" w:rsidRPr="00295A57">
        <w:rPr>
          <w:rFonts w:ascii="Bookman Old Style" w:eastAsia="Arial" w:hAnsi="Bookman Old Style" w:cs="Arial"/>
          <w:sz w:val="24"/>
          <w:szCs w:val="24"/>
        </w:rPr>
        <w:t>especificaciones</w:t>
      </w:r>
      <w:r w:rsidR="007B4D8F" w:rsidRPr="00295A57">
        <w:rPr>
          <w:rFonts w:ascii="Bookman Old Style" w:eastAsia="Arial" w:hAnsi="Bookman Old Style" w:cs="Arial"/>
          <w:sz w:val="24"/>
          <w:szCs w:val="24"/>
        </w:rPr>
        <w:t xml:space="preserve"> técnicas de calidad que le sean exigibles</w:t>
      </w:r>
      <w:r w:rsidR="000A0600" w:rsidRPr="00295A57">
        <w:rPr>
          <w:rFonts w:ascii="Bookman Old Style" w:eastAsia="Arial" w:hAnsi="Bookman Old Style" w:cs="Arial"/>
          <w:sz w:val="24"/>
          <w:szCs w:val="24"/>
        </w:rPr>
        <w:t>.</w:t>
      </w:r>
    </w:p>
    <w:p w:rsidR="000A0600" w:rsidRPr="00295A57" w:rsidRDefault="006147FA" w:rsidP="00683C45">
      <w:pPr>
        <w:pStyle w:val="Prrafodelista"/>
        <w:numPr>
          <w:ilvl w:val="0"/>
          <w:numId w:val="59"/>
        </w:numPr>
        <w:ind w:left="426" w:hanging="426"/>
        <w:jc w:val="both"/>
        <w:rPr>
          <w:rFonts w:ascii="Bookman Old Style" w:eastAsia="Arial" w:hAnsi="Bookman Old Style" w:cs="Arial"/>
          <w:sz w:val="24"/>
          <w:szCs w:val="24"/>
        </w:rPr>
      </w:pPr>
      <w:r w:rsidRPr="00295A57">
        <w:rPr>
          <w:rFonts w:ascii="Bookman Old Style" w:eastAsia="Arial" w:hAnsi="Bookman Old Style" w:cs="Arial"/>
          <w:sz w:val="24"/>
          <w:szCs w:val="24"/>
        </w:rPr>
        <w:t>C</w:t>
      </w:r>
      <w:r w:rsidR="000A0600" w:rsidRPr="00295A57">
        <w:rPr>
          <w:rFonts w:ascii="Bookman Old Style" w:eastAsia="Arial" w:hAnsi="Bookman Old Style" w:cs="Arial"/>
          <w:sz w:val="24"/>
          <w:szCs w:val="24"/>
        </w:rPr>
        <w:t xml:space="preserve">orresponde </w:t>
      </w:r>
      <w:r w:rsidRPr="00295A57">
        <w:rPr>
          <w:rFonts w:ascii="Bookman Old Style" w:eastAsia="Arial" w:hAnsi="Bookman Old Style" w:cs="Arial"/>
          <w:sz w:val="24"/>
          <w:szCs w:val="24"/>
        </w:rPr>
        <w:t xml:space="preserve">a una metodología de precio máximo, que en este caso es el </w:t>
      </w:r>
      <w:r w:rsidR="000A0600" w:rsidRPr="00295A57">
        <w:rPr>
          <w:rFonts w:ascii="Bookman Old Style" w:eastAsia="Arial" w:hAnsi="Bookman Old Style" w:cs="Arial"/>
          <w:sz w:val="24"/>
          <w:szCs w:val="24"/>
        </w:rPr>
        <w:t>valor máximo de ingreso al productor de biocombustibles.</w:t>
      </w:r>
    </w:p>
    <w:p w:rsidR="000A0600" w:rsidRPr="00295A57" w:rsidRDefault="006147FA" w:rsidP="00683C45">
      <w:pPr>
        <w:pStyle w:val="Prrafodelista"/>
        <w:numPr>
          <w:ilvl w:val="0"/>
          <w:numId w:val="59"/>
        </w:numPr>
        <w:ind w:left="426" w:hanging="426"/>
        <w:jc w:val="both"/>
        <w:rPr>
          <w:rFonts w:ascii="Bookman Old Style" w:eastAsia="Arial" w:hAnsi="Bookman Old Style" w:cs="Arial"/>
          <w:sz w:val="24"/>
          <w:szCs w:val="24"/>
        </w:rPr>
      </w:pPr>
      <w:r w:rsidRPr="00295A57">
        <w:rPr>
          <w:rFonts w:ascii="Bookman Old Style" w:eastAsia="Arial" w:hAnsi="Bookman Old Style" w:cs="Arial"/>
          <w:sz w:val="24"/>
          <w:szCs w:val="24"/>
        </w:rPr>
        <w:t>A</w:t>
      </w:r>
      <w:r w:rsidR="000A0600" w:rsidRPr="00295A57">
        <w:rPr>
          <w:rFonts w:ascii="Bookman Old Style" w:eastAsia="Arial" w:hAnsi="Bookman Old Style" w:cs="Arial"/>
          <w:sz w:val="24"/>
          <w:szCs w:val="24"/>
        </w:rPr>
        <w:t>plica a un galón de biocombustible medido a condiciones estándar.</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hAnsi="Bookman Old Style"/>
          <w:b/>
        </w:rPr>
        <w:lastRenderedPageBreak/>
        <w:t xml:space="preserve">Artículo </w:t>
      </w:r>
      <w:r w:rsidR="00517899" w:rsidRPr="00295A57">
        <w:rPr>
          <w:rFonts w:ascii="Bookman Old Style" w:hAnsi="Bookman Old Style"/>
          <w:b/>
        </w:rPr>
        <w:t>4</w:t>
      </w:r>
      <w:r w:rsidRPr="00295A57">
        <w:rPr>
          <w:rFonts w:ascii="Bookman Old Style" w:hAnsi="Bookman Old Style"/>
          <w:b/>
        </w:rPr>
        <w:t>°.</w:t>
      </w:r>
      <w:r w:rsidRPr="00295A57">
        <w:rPr>
          <w:rFonts w:ascii="Bookman Old Style" w:eastAsia="Arial" w:hAnsi="Bookman Old Style" w:cs="Arial"/>
          <w:b/>
          <w:bCs/>
        </w:rPr>
        <w:t xml:space="preserve"> Metodología de Referencia del Ingreso al Productor del Alcohol Carburante.</w:t>
      </w:r>
      <w:r w:rsidRPr="00295A57">
        <w:rPr>
          <w:rFonts w:ascii="Bookman Old Style" w:eastAsia="Arial" w:hAnsi="Bookman Old Style" w:cs="Arial"/>
        </w:rPr>
        <w:t xml:space="preserve"> El valor que se trasladará al usuario por concepto de ingreso al productor de alcohol carburante (etanol) en Colombia considerará el precio eficiente establecido en mercados internacionales para transacciones de dicho producto y el precio nacional de su sust</w:t>
      </w:r>
      <w:r w:rsidR="006147FA" w:rsidRPr="00295A57">
        <w:rPr>
          <w:rFonts w:ascii="Bookman Old Style" w:eastAsia="Arial" w:hAnsi="Bookman Old Style" w:cs="Arial"/>
        </w:rPr>
        <w:t xml:space="preserve">ituto fósil, aplicando </w:t>
      </w:r>
      <w:r w:rsidRPr="00295A57">
        <w:rPr>
          <w:rFonts w:ascii="Bookman Old Style" w:eastAsia="Arial" w:hAnsi="Bookman Old Style" w:cs="Arial"/>
        </w:rPr>
        <w:t>el menor entre estos.</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 xml:space="preserve">Para la determinación del precio eficiente de mercados internacionales se </w:t>
      </w:r>
      <w:r w:rsidR="006147FA" w:rsidRPr="00295A57">
        <w:rPr>
          <w:rFonts w:ascii="Bookman Old Style" w:eastAsia="Arial" w:hAnsi="Bookman Old Style" w:cs="Arial"/>
        </w:rPr>
        <w:t>definirá</w:t>
      </w:r>
      <w:r w:rsidRPr="00295A57">
        <w:rPr>
          <w:rFonts w:ascii="Bookman Old Style" w:eastAsia="Arial" w:hAnsi="Bookman Old Style" w:cs="Arial"/>
        </w:rPr>
        <w:t xml:space="preserve"> el precio a pagar por parte del usuario para el alcohol carburante como una paridad importación del mercado internacional, </w:t>
      </w:r>
      <w:r w:rsidR="00683C45" w:rsidRPr="00295A57">
        <w:rPr>
          <w:rFonts w:ascii="Bookman Old Style" w:eastAsia="Arial" w:hAnsi="Bookman Old Style" w:cs="Arial"/>
        </w:rPr>
        <w:t>teniendo en cuenta</w:t>
      </w:r>
      <w:r w:rsidRPr="00295A57">
        <w:rPr>
          <w:rFonts w:ascii="Bookman Old Style" w:eastAsia="Arial" w:hAnsi="Bookman Old Style" w:cs="Arial"/>
        </w:rPr>
        <w:t xml:space="preserve"> una canasta de productos, con diferentes materias primas, transables en el mercado internacional. Estos valores considerarán un promedio móvil que permite mitigar las volatilidades de los precios spot internacionales.</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hAnsi="Bookman Old Style"/>
          <w:b/>
        </w:rPr>
        <w:t xml:space="preserve">Artículo </w:t>
      </w:r>
      <w:r w:rsidR="00517899" w:rsidRPr="00295A57">
        <w:rPr>
          <w:rFonts w:ascii="Bookman Old Style" w:hAnsi="Bookman Old Style"/>
          <w:b/>
        </w:rPr>
        <w:t>5</w:t>
      </w:r>
      <w:r w:rsidRPr="00295A57">
        <w:rPr>
          <w:rFonts w:ascii="Bookman Old Style" w:hAnsi="Bookman Old Style"/>
          <w:b/>
        </w:rPr>
        <w:t>°.</w:t>
      </w:r>
      <w:r w:rsidRPr="00295A57">
        <w:rPr>
          <w:rFonts w:ascii="Bookman Old Style" w:eastAsia="Arial" w:hAnsi="Bookman Old Style" w:cs="Arial"/>
          <w:b/>
          <w:bCs/>
        </w:rPr>
        <w:t xml:space="preserve">  Parámetros de Referencia para el cálculo del Ingreso al Productor del Etanol. </w:t>
      </w:r>
      <w:r w:rsidRPr="00295A57">
        <w:rPr>
          <w:rFonts w:ascii="Bookman Old Style" w:eastAsia="Arial" w:hAnsi="Bookman Old Style" w:cs="Arial"/>
          <w:bCs/>
        </w:rPr>
        <w:t xml:space="preserve">Los parámetros para determinar el ingreso al productor </w:t>
      </w:r>
      <w:r w:rsidRPr="00295A57">
        <w:rPr>
          <w:rFonts w:ascii="Bookman Old Style" w:eastAsia="Arial" w:hAnsi="Bookman Old Style" w:cs="Arial"/>
        </w:rPr>
        <w:t>de alcohol carburante (etanol) en Colombia se calcularán con base en las siguientes expresiones:</w:t>
      </w:r>
    </w:p>
    <w:p w:rsidR="000C51A1" w:rsidRPr="00295A57" w:rsidRDefault="000C51A1" w:rsidP="000C51A1">
      <w:pPr>
        <w:ind w:left="0"/>
        <w:rPr>
          <w:rFonts w:ascii="Bookman Old Style" w:eastAsia="Arial" w:hAnsi="Bookman Old Style" w:cs="Arial"/>
        </w:rPr>
      </w:pPr>
    </w:p>
    <w:p w:rsidR="000C51A1" w:rsidRPr="00295A57" w:rsidRDefault="00991CDB" w:rsidP="000A0600">
      <w:pPr>
        <w:ind w:left="0"/>
        <w:jc w:val="center"/>
        <w:rPr>
          <w:rFonts w:ascii="Bookman Old Style" w:eastAsia="Arial" w:hAnsi="Bookman Old Style" w:cs="Arial"/>
        </w:rPr>
      </w:pPr>
      <m:oMathPara>
        <m:oMath>
          <m:sSub>
            <m:sSubPr>
              <m:ctrlPr>
                <w:rPr>
                  <w:rFonts w:ascii="Cambria Math" w:eastAsia="Arial" w:hAnsi="Cambria Math" w:cs="Arial"/>
                  <w:i/>
                </w:rPr>
              </m:ctrlPr>
            </m:sSubPr>
            <m:e>
              <m:r>
                <w:rPr>
                  <w:rFonts w:ascii="Cambria Math" w:eastAsia="Arial" w:hAnsi="Cambria Math" w:cs="Arial"/>
                </w:rPr>
                <m:t>IPAC</m:t>
              </m:r>
            </m:e>
            <m:sub>
              <m:r>
                <w:rPr>
                  <w:rFonts w:ascii="Cambria Math" w:eastAsia="Arial" w:hAnsi="Cambria Math" w:cs="Arial"/>
                </w:rPr>
                <m:t>p</m:t>
              </m:r>
            </m:sub>
          </m:sSub>
          <m:r>
            <w:rPr>
              <w:rFonts w:ascii="Cambria Math" w:eastAsia="Arial" w:hAnsi="Cambria Math" w:cs="Arial"/>
            </w:rPr>
            <m:t>=Min {</m:t>
          </m:r>
          <m:sSub>
            <m:sSubPr>
              <m:ctrlPr>
                <w:rPr>
                  <w:rFonts w:ascii="Cambria Math" w:eastAsia="Arial" w:hAnsi="Cambria Math" w:cs="Arial"/>
                  <w:i/>
                </w:rPr>
              </m:ctrlPr>
            </m:sSubPr>
            <m:e>
              <m:r>
                <w:rPr>
                  <w:rFonts w:ascii="Cambria Math" w:eastAsia="Arial" w:hAnsi="Cambria Math" w:cs="Arial"/>
                </w:rPr>
                <m:t>PEFA</m:t>
              </m:r>
            </m:e>
            <m:sub>
              <m:r>
                <w:rPr>
                  <w:rFonts w:ascii="Cambria Math" w:eastAsia="Arial" w:hAnsi="Cambria Math" w:cs="Arial"/>
                </w:rPr>
                <m:t>B,p-1</m:t>
              </m:r>
            </m:sub>
          </m:sSub>
          <m:r>
            <w:rPr>
              <w:rFonts w:ascii="Cambria Math" w:eastAsia="Arial" w:hAnsi="Cambria Math" w:cs="Arial"/>
            </w:rPr>
            <m:t xml:space="preserve">; </m:t>
          </m:r>
          <m:sSub>
            <m:sSubPr>
              <m:ctrlPr>
                <w:rPr>
                  <w:rFonts w:ascii="Cambria Math" w:eastAsia="Arial" w:hAnsi="Cambria Math" w:cs="Arial"/>
                  <w:i/>
                </w:rPr>
              </m:ctrlPr>
            </m:sSubPr>
            <m:e>
              <m:r>
                <w:rPr>
                  <w:rFonts w:ascii="Cambria Math" w:eastAsia="Arial" w:hAnsi="Cambria Math" w:cs="Arial"/>
                </w:rPr>
                <m:t>PPIA</m:t>
              </m:r>
            </m:e>
            <m:sub>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oMath>
      </m:oMathPara>
    </w:p>
    <w:p w:rsidR="000A0600" w:rsidRPr="00295A57" w:rsidRDefault="000A0600" w:rsidP="000A0600">
      <w:pPr>
        <w:ind w:left="0"/>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 xml:space="preserve">Donde, </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IPAC</w:t>
      </w:r>
      <w:r w:rsidR="000C51A1" w:rsidRPr="00295A57">
        <w:rPr>
          <w:rFonts w:ascii="Bookman Old Style" w:eastAsia="Arial" w:hAnsi="Bookman Old Style" w:cs="Arial"/>
          <w:vertAlign w:val="subscript"/>
        </w:rPr>
        <w:t>p</w:t>
      </w:r>
      <w:r w:rsidRPr="00295A57">
        <w:rPr>
          <w:rFonts w:ascii="Bookman Old Style" w:eastAsia="Arial" w:hAnsi="Bookman Old Style" w:cs="Arial"/>
        </w:rPr>
        <w:t xml:space="preserve">: </w:t>
      </w:r>
      <w:r w:rsidRPr="00295A57">
        <w:rPr>
          <w:rFonts w:ascii="Bookman Old Style" w:eastAsia="Arial" w:hAnsi="Bookman Old Style" w:cs="Arial"/>
        </w:rPr>
        <w:tab/>
        <w:t xml:space="preserve">ingreso al productor de alcohol carburante en el punto de producción o en el puerto colombiano de importación, aplicable para el periodo </w:t>
      </w:r>
      <w:r w:rsidR="000C51A1" w:rsidRPr="00295A57">
        <w:rPr>
          <w:rFonts w:ascii="Bookman Old Style" w:eastAsia="Arial" w:hAnsi="Bookman Old Style" w:cs="Arial"/>
          <w:i/>
        </w:rPr>
        <w:t>p</w:t>
      </w:r>
      <w:r w:rsidRPr="00295A57">
        <w:rPr>
          <w:rFonts w:ascii="Bookman Old Style" w:eastAsia="Arial" w:hAnsi="Bookman Old Style" w:cs="Arial"/>
        </w:rPr>
        <w:t xml:space="preserve">, expresado en pesos por galón, </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PEFA</w:t>
      </w:r>
      <w:r w:rsidRPr="00295A57">
        <w:rPr>
          <w:rFonts w:ascii="Bookman Old Style" w:eastAsia="Arial" w:hAnsi="Bookman Old Style" w:cs="Arial"/>
          <w:vertAlign w:val="subscript"/>
        </w:rPr>
        <w:t>B,p</w:t>
      </w:r>
      <w:r w:rsidR="000C51A1" w:rsidRPr="00295A57">
        <w:rPr>
          <w:rFonts w:ascii="Bookman Old Style" w:eastAsia="Arial" w:hAnsi="Bookman Old Style" w:cs="Arial"/>
          <w:vertAlign w:val="subscript"/>
        </w:rPr>
        <w:t>-1</w:t>
      </w:r>
      <w:r w:rsidRPr="00295A57">
        <w:rPr>
          <w:rFonts w:ascii="Bookman Old Style" w:eastAsia="Arial" w:hAnsi="Bookman Old Style" w:cs="Arial"/>
        </w:rPr>
        <w:t xml:space="preserve">: </w:t>
      </w:r>
      <w:r w:rsidRPr="00295A57">
        <w:rPr>
          <w:rFonts w:ascii="Bookman Old Style" w:eastAsia="Arial" w:hAnsi="Bookman Old Style" w:cs="Arial"/>
        </w:rPr>
        <w:tab/>
        <w:t xml:space="preserve">precio equivalente del fósil para el alcohol carburante, corresponde al precio de la gasolina para una mezcla E0 con base en el precio </w:t>
      </w:r>
      <w:r w:rsidR="00683C45" w:rsidRPr="00295A57">
        <w:rPr>
          <w:rFonts w:ascii="Bookman Old Style" w:eastAsia="Arial" w:hAnsi="Bookman Old Style" w:cs="Arial"/>
        </w:rPr>
        <w:t xml:space="preserve">de venta al público </w:t>
      </w:r>
      <w:r w:rsidRPr="00295A57">
        <w:rPr>
          <w:rFonts w:ascii="Bookman Old Style" w:eastAsia="Arial" w:hAnsi="Bookman Old Style" w:cs="Arial"/>
        </w:rPr>
        <w:t xml:space="preserve">de referencia </w:t>
      </w:r>
      <w:r w:rsidR="00BE5E3A">
        <w:rPr>
          <w:rFonts w:ascii="Bookman Old Style" w:eastAsia="Arial" w:hAnsi="Bookman Old Style" w:cs="Arial"/>
        </w:rPr>
        <w:t>en Mansilla</w:t>
      </w:r>
      <w:r w:rsidRPr="00295A57">
        <w:rPr>
          <w:rFonts w:ascii="Bookman Old Style" w:eastAsia="Arial" w:hAnsi="Bookman Old Style" w:cs="Arial"/>
        </w:rPr>
        <w:t xml:space="preserve"> de gasolina motor publicado por el Ministerio de Minas y Energía para el periodo </w:t>
      </w:r>
      <w:r w:rsidRPr="00295A57">
        <w:rPr>
          <w:rFonts w:ascii="Bookman Old Style" w:eastAsia="Arial" w:hAnsi="Bookman Old Style" w:cs="Arial"/>
          <w:i/>
        </w:rPr>
        <w:t>p</w:t>
      </w:r>
      <w:r w:rsidR="000C51A1" w:rsidRPr="00295A57">
        <w:rPr>
          <w:rFonts w:ascii="Bookman Old Style" w:eastAsia="Arial" w:hAnsi="Bookman Old Style" w:cs="Arial"/>
          <w:i/>
        </w:rPr>
        <w:t>-1</w:t>
      </w:r>
      <w:r w:rsidRPr="00295A57">
        <w:rPr>
          <w:rFonts w:ascii="Bookman Old Style" w:eastAsia="Arial" w:hAnsi="Bookman Old Style" w:cs="Arial"/>
        </w:rPr>
        <w:t xml:space="preserve">, expresado en pesos por galón, </w:t>
      </w:r>
    </w:p>
    <w:p w:rsidR="000A0600" w:rsidRPr="00295A57" w:rsidRDefault="000A0600" w:rsidP="000A0600">
      <w:pPr>
        <w:ind w:left="0"/>
        <w:jc w:val="both"/>
        <w:rPr>
          <w:rFonts w:ascii="Bookman Old Style" w:eastAsia="Arial" w:hAnsi="Bookman Old Style" w:cs="Arial"/>
        </w:rPr>
      </w:pPr>
    </w:p>
    <w:p w:rsidR="000A0600" w:rsidRPr="00295A57" w:rsidRDefault="00991CDB" w:rsidP="000A0600">
      <w:pPr>
        <w:ind w:left="0"/>
        <w:jc w:val="both"/>
        <w:rPr>
          <w:rFonts w:ascii="Bookman Old Style" w:eastAsia="Arial" w:hAnsi="Bookman Old Style" w:cs="Arial"/>
        </w:rPr>
      </w:pPr>
      <m:oMath>
        <m:sSub>
          <m:sSubPr>
            <m:ctrlPr>
              <w:rPr>
                <w:rFonts w:ascii="Cambria Math" w:eastAsia="Arial" w:hAnsi="Cambria Math" w:cs="Arial"/>
              </w:rPr>
            </m:ctrlPr>
          </m:sSubPr>
          <m:e>
            <m:r>
              <m:rPr>
                <m:sty m:val="p"/>
              </m:rPr>
              <w:rPr>
                <w:rFonts w:ascii="Cambria Math" w:eastAsia="Arial" w:hAnsi="Cambria Math" w:cs="Arial"/>
              </w:rPr>
              <m:t>PPIA</m:t>
            </m:r>
          </m:e>
          <m:sub>
            <m:acc>
              <m:accPr>
                <m:chr m:val="̅"/>
                <m:ctrlPr>
                  <w:rPr>
                    <w:rFonts w:ascii="Cambria Math" w:eastAsia="Arial" w:hAnsi="Cambria Math" w:cs="Arial"/>
                  </w:rPr>
                </m:ctrlPr>
              </m:accPr>
              <m:e>
                <m:r>
                  <m:rPr>
                    <m:sty m:val="p"/>
                  </m:rPr>
                  <w:rPr>
                    <w:rFonts w:ascii="Cambria Math" w:eastAsia="Arial" w:hAnsi="Cambria Math" w:cs="Arial"/>
                  </w:rPr>
                  <m:t>p</m:t>
                </m:r>
              </m:e>
            </m:acc>
          </m:sub>
        </m:sSub>
      </m:oMath>
      <w:r w:rsidR="000A0600" w:rsidRPr="00295A57">
        <w:rPr>
          <w:rFonts w:ascii="Bookman Old Style" w:eastAsia="Arial" w:hAnsi="Bookman Old Style" w:cs="Arial"/>
        </w:rPr>
        <w:t>:</w:t>
      </w:r>
      <w:r w:rsidR="000A0600" w:rsidRPr="00295A57">
        <w:rPr>
          <w:rFonts w:ascii="Bookman Old Style" w:eastAsia="Arial" w:hAnsi="Bookman Old Style" w:cs="Arial"/>
        </w:rPr>
        <w:tab/>
      </w:r>
      <w:r w:rsidR="000C51A1" w:rsidRPr="00295A57">
        <w:rPr>
          <w:rFonts w:ascii="Bookman Old Style" w:eastAsia="Arial" w:hAnsi="Bookman Old Style" w:cs="Arial"/>
        </w:rPr>
        <w:tab/>
      </w:r>
      <w:r w:rsidR="000A0600" w:rsidRPr="00295A57">
        <w:rPr>
          <w:rFonts w:ascii="Bookman Old Style" w:eastAsia="Arial" w:hAnsi="Bookman Old Style" w:cs="Arial"/>
        </w:rPr>
        <w:t>precio paridad importación para el alcohol carburante con base en la canasta de productos de referencia, expresado en pesos por galón, resultante de la siguiente expresión:</w:t>
      </w:r>
    </w:p>
    <w:p w:rsidR="000A0600" w:rsidRPr="00295A57" w:rsidRDefault="000A0600" w:rsidP="000A0600">
      <w:pPr>
        <w:ind w:left="0"/>
        <w:rPr>
          <w:rFonts w:ascii="Bookman Old Style" w:eastAsia="Arial" w:hAnsi="Bookman Old Style" w:cs="Arial"/>
        </w:rPr>
      </w:pPr>
    </w:p>
    <w:p w:rsidR="000A0600" w:rsidRPr="00295A57" w:rsidRDefault="00991CDB" w:rsidP="000A0600">
      <w:pPr>
        <w:ind w:left="0"/>
        <w:rPr>
          <w:rFonts w:ascii="Bookman Old Style" w:eastAsia="Arial" w:hAnsi="Bookman Old Style" w:cs="Arial"/>
        </w:rPr>
      </w:pPr>
      <m:oMathPara>
        <m:oMath>
          <m:sSub>
            <m:sSubPr>
              <m:ctrlPr>
                <w:rPr>
                  <w:rFonts w:ascii="Cambria Math" w:eastAsia="Arial" w:hAnsi="Cambria Math" w:cs="Arial"/>
                  <w:i/>
                </w:rPr>
              </m:ctrlPr>
            </m:sSubPr>
            <m:e>
              <m:r>
                <w:rPr>
                  <w:rFonts w:ascii="Cambria Math" w:eastAsia="Arial" w:hAnsi="Cambria Math" w:cs="Arial"/>
                </w:rPr>
                <m:t>PPIA</m:t>
              </m:r>
            </m:e>
            <m:sub>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f>
            <m:fPr>
              <m:ctrlPr>
                <w:rPr>
                  <w:rFonts w:ascii="Cambria Math" w:eastAsia="Arial" w:hAnsi="Cambria Math" w:cs="Arial"/>
                  <w:i/>
                </w:rPr>
              </m:ctrlPr>
            </m:fPr>
            <m:num>
              <m:sSub>
                <m:sSubPr>
                  <m:ctrlPr>
                    <w:rPr>
                      <w:rFonts w:ascii="Cambria Math" w:eastAsia="Arial" w:hAnsi="Cambria Math" w:cs="Arial"/>
                      <w:i/>
                    </w:rPr>
                  </m:ctrlPr>
                </m:sSubPr>
                <m:e>
                  <m:r>
                    <w:rPr>
                      <w:rFonts w:ascii="Cambria Math" w:eastAsia="Arial" w:hAnsi="Cambria Math" w:cs="Arial"/>
                    </w:rPr>
                    <m:t>PMPIAC</m:t>
                  </m:r>
                </m:e>
                <m:sub>
                  <m:r>
                    <w:rPr>
                      <w:rFonts w:ascii="Cambria Math" w:eastAsia="Arial" w:hAnsi="Cambria Math" w:cs="Arial"/>
                    </w:rPr>
                    <m:t>B,</m:t>
                  </m:r>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PMPIAC</m:t>
                  </m:r>
                </m:e>
                <m:sub>
                  <m:r>
                    <w:rPr>
                      <w:rFonts w:ascii="Cambria Math" w:eastAsia="Arial" w:hAnsi="Cambria Math" w:cs="Arial"/>
                    </w:rPr>
                    <m:t>US,</m:t>
                  </m:r>
                  <m:acc>
                    <m:accPr>
                      <m:chr m:val="̅"/>
                      <m:ctrlPr>
                        <w:rPr>
                          <w:rFonts w:ascii="Cambria Math" w:eastAsia="Arial" w:hAnsi="Cambria Math" w:cs="Arial"/>
                          <w:i/>
                        </w:rPr>
                      </m:ctrlPr>
                    </m:accPr>
                    <m:e>
                      <m:r>
                        <w:rPr>
                          <w:rFonts w:ascii="Cambria Math" w:eastAsia="Arial" w:hAnsi="Cambria Math" w:cs="Arial"/>
                        </w:rPr>
                        <m:t>p</m:t>
                      </m:r>
                    </m:e>
                  </m:acc>
                </m:sub>
              </m:sSub>
            </m:num>
            <m:den>
              <m:r>
                <w:rPr>
                  <w:rFonts w:ascii="Cambria Math" w:eastAsia="Arial" w:hAnsi="Cambria Math" w:cs="Arial"/>
                </w:rPr>
                <m:t>2</m:t>
              </m:r>
            </m:den>
          </m:f>
        </m:oMath>
      </m:oMathPara>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Donde:</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PMPIAC</w:t>
      </w:r>
      <w:r w:rsidRPr="00295A57">
        <w:rPr>
          <w:rFonts w:ascii="Bookman Old Style" w:eastAsia="Arial" w:hAnsi="Bookman Old Style" w:cs="Arial"/>
          <w:vertAlign w:val="subscript"/>
        </w:rPr>
        <w:t>B,p</w:t>
      </w:r>
      <w:r w:rsidRPr="00295A57">
        <w:rPr>
          <w:rFonts w:ascii="Bookman Old Style" w:eastAsia="Arial" w:hAnsi="Bookman Old Style" w:cs="Arial"/>
        </w:rPr>
        <w:t>:</w:t>
      </w:r>
      <w:r w:rsidRPr="00295A57">
        <w:rPr>
          <w:rFonts w:ascii="Bookman Old Style" w:eastAsia="Arial" w:hAnsi="Bookman Old Style" w:cs="Arial"/>
        </w:rPr>
        <w:tab/>
        <w:t>promedio móvil</w:t>
      </w:r>
      <w:r w:rsidR="000C51A1" w:rsidRPr="00295A57">
        <w:rPr>
          <w:rFonts w:ascii="Bookman Old Style" w:eastAsia="Arial" w:hAnsi="Bookman Old Style" w:cs="Arial"/>
        </w:rPr>
        <w:t xml:space="preserve"> durante </w:t>
      </w:r>
      <m:oMath>
        <m:acc>
          <m:accPr>
            <m:chr m:val="̅"/>
            <m:ctrlPr>
              <w:rPr>
                <w:rFonts w:ascii="Cambria Math" w:eastAsia="Arial" w:hAnsi="Cambria Math" w:cs="Arial"/>
                <w:i/>
              </w:rPr>
            </m:ctrlPr>
          </m:accPr>
          <m:e>
            <m:r>
              <w:rPr>
                <w:rFonts w:ascii="Cambria Math" w:eastAsia="Arial" w:hAnsi="Cambria Math" w:cs="Arial"/>
              </w:rPr>
              <m:t>p</m:t>
            </m:r>
          </m:e>
        </m:acc>
      </m:oMath>
      <w:r w:rsidRPr="00295A57">
        <w:rPr>
          <w:rFonts w:ascii="Bookman Old Style" w:eastAsia="Arial" w:hAnsi="Bookman Old Style" w:cs="Arial"/>
        </w:rPr>
        <w:t xml:space="preserve"> del precio paridad importación para el alcohol carburante desde Santos, </w:t>
      </w:r>
      <w:r w:rsidR="000C51A1" w:rsidRPr="00295A57">
        <w:rPr>
          <w:rFonts w:ascii="Bookman Old Style" w:eastAsia="Arial" w:hAnsi="Bookman Old Style" w:cs="Arial"/>
        </w:rPr>
        <w:t>Brasil hasta puerto colombiano</w:t>
      </w:r>
      <w:r w:rsidRPr="00295A57">
        <w:rPr>
          <w:rFonts w:ascii="Bookman Old Style" w:eastAsia="Arial" w:hAnsi="Bookman Old Style" w:cs="Arial"/>
        </w:rPr>
        <w:t>, expresado en pesos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PMPIAC</w:t>
      </w:r>
      <w:r w:rsidRPr="00295A57">
        <w:rPr>
          <w:rFonts w:ascii="Bookman Old Style" w:eastAsia="Arial" w:hAnsi="Bookman Old Style" w:cs="Arial"/>
          <w:vertAlign w:val="subscript"/>
        </w:rPr>
        <w:t>US,p</w:t>
      </w:r>
      <w:r w:rsidRPr="00295A57">
        <w:rPr>
          <w:rFonts w:ascii="Bookman Old Style" w:eastAsia="Arial" w:hAnsi="Bookman Old Style" w:cs="Arial"/>
        </w:rPr>
        <w:t>:</w:t>
      </w:r>
      <w:r w:rsidRPr="00295A57">
        <w:rPr>
          <w:rFonts w:ascii="Bookman Old Style" w:eastAsia="Arial" w:hAnsi="Bookman Old Style" w:cs="Arial"/>
        </w:rPr>
        <w:tab/>
        <w:t xml:space="preserve">promedio móvil </w:t>
      </w:r>
      <w:r w:rsidR="000C51A1" w:rsidRPr="00295A57">
        <w:rPr>
          <w:rFonts w:ascii="Bookman Old Style" w:eastAsia="Arial" w:hAnsi="Bookman Old Style" w:cs="Arial"/>
        </w:rPr>
        <w:t xml:space="preserve">durante </w:t>
      </w:r>
      <m:oMath>
        <m:acc>
          <m:accPr>
            <m:chr m:val="̅"/>
            <m:ctrlPr>
              <w:rPr>
                <w:rFonts w:ascii="Cambria Math" w:eastAsia="Arial" w:hAnsi="Cambria Math" w:cs="Arial"/>
                <w:i/>
              </w:rPr>
            </m:ctrlPr>
          </m:accPr>
          <m:e>
            <m:r>
              <w:rPr>
                <w:rFonts w:ascii="Cambria Math" w:eastAsia="Arial" w:hAnsi="Cambria Math" w:cs="Arial"/>
              </w:rPr>
              <m:t>p</m:t>
            </m:r>
          </m:e>
        </m:acc>
      </m:oMath>
      <w:r w:rsidR="000C51A1" w:rsidRPr="00295A57">
        <w:rPr>
          <w:rFonts w:ascii="Bookman Old Style" w:eastAsia="Arial" w:hAnsi="Bookman Old Style" w:cs="Arial"/>
        </w:rPr>
        <w:t xml:space="preserve"> </w:t>
      </w:r>
      <w:r w:rsidRPr="00295A57">
        <w:rPr>
          <w:rFonts w:ascii="Bookman Old Style" w:eastAsia="Arial" w:hAnsi="Bookman Old Style" w:cs="Arial"/>
        </w:rPr>
        <w:t>del precio paridad importación para el alcohol carburante desde Houston – Estados Unidos hasta puerto colombiano, expresado en pesos por galón</w:t>
      </w:r>
    </w:p>
    <w:p w:rsidR="000C51A1" w:rsidRPr="00295A57" w:rsidRDefault="00991CDB" w:rsidP="000A0600">
      <w:pPr>
        <w:ind w:left="0"/>
        <w:jc w:val="both"/>
        <w:rPr>
          <w:rFonts w:ascii="Bookman Old Style" w:eastAsia="Arial" w:hAnsi="Bookman Old Style" w:cs="Arial"/>
        </w:rPr>
      </w:pPr>
      <m:oMath>
        <m:acc>
          <m:accPr>
            <m:chr m:val="̅"/>
            <m:ctrlPr>
              <w:rPr>
                <w:rFonts w:ascii="Cambria Math" w:eastAsia="Arial" w:hAnsi="Cambria Math" w:cs="Arial"/>
                <w:i/>
              </w:rPr>
            </m:ctrlPr>
          </m:accPr>
          <m:e>
            <m:r>
              <w:rPr>
                <w:rFonts w:ascii="Cambria Math" w:eastAsia="Arial" w:hAnsi="Cambria Math" w:cs="Arial"/>
              </w:rPr>
              <m:t>p</m:t>
            </m:r>
          </m:e>
        </m:acc>
      </m:oMath>
      <w:r w:rsidR="000C51A1" w:rsidRPr="00295A57">
        <w:rPr>
          <w:rFonts w:ascii="Bookman Old Style" w:eastAsia="Arial" w:hAnsi="Bookman Old Style" w:cs="Arial"/>
        </w:rPr>
        <w:t>: corresponde a la ventana de tiempo de 6 meses, anteriores al periodo p.</w:t>
      </w:r>
    </w:p>
    <w:p w:rsidR="000A0600" w:rsidRPr="00295A57" w:rsidRDefault="000C51A1" w:rsidP="000A0600">
      <w:pPr>
        <w:ind w:left="0"/>
        <w:jc w:val="both"/>
        <w:rPr>
          <w:rFonts w:ascii="Bookman Old Style" w:eastAsia="Arial" w:hAnsi="Bookman Old Style" w:cs="Arial"/>
        </w:rPr>
      </w:pPr>
      <w:r w:rsidRPr="00295A57">
        <w:rPr>
          <w:rFonts w:ascii="Bookman Old Style" w:eastAsia="Arial" w:hAnsi="Bookman Old Style" w:cs="Arial"/>
        </w:rPr>
        <w:lastRenderedPageBreak/>
        <w:t xml:space="preserve"> </w:t>
      </w: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Los promedios móviles de paridad importación se calculan con la siguiente expresión:</w:t>
      </w:r>
    </w:p>
    <w:p w:rsidR="000A0600" w:rsidRPr="00295A57" w:rsidRDefault="000A0600" w:rsidP="000A0600">
      <w:pPr>
        <w:ind w:left="0"/>
        <w:rPr>
          <w:rFonts w:ascii="Bookman Old Style" w:eastAsia="Arial" w:hAnsi="Bookman Old Style" w:cs="Arial"/>
        </w:rPr>
      </w:pPr>
    </w:p>
    <w:p w:rsidR="000A0600" w:rsidRPr="00295A57" w:rsidRDefault="00991CDB" w:rsidP="000A0600">
      <w:pPr>
        <w:ind w:left="0"/>
        <w:rPr>
          <w:rFonts w:ascii="Bookman Old Style" w:eastAsia="Arial" w:hAnsi="Bookman Old Style" w:cs="Arial"/>
        </w:rPr>
      </w:pPr>
      <m:oMathPara>
        <m:oMath>
          <m:sSub>
            <m:sSubPr>
              <m:ctrlPr>
                <w:rPr>
                  <w:rFonts w:ascii="Cambria Math" w:eastAsia="Arial" w:hAnsi="Cambria Math" w:cs="Arial"/>
                  <w:i/>
                </w:rPr>
              </m:ctrlPr>
            </m:sSubPr>
            <m:e>
              <m:r>
                <w:rPr>
                  <w:rFonts w:ascii="Cambria Math" w:eastAsia="Arial" w:hAnsi="Cambria Math" w:cs="Arial"/>
                </w:rPr>
                <m:t>PMPIAC</m:t>
              </m:r>
            </m:e>
            <m:sub>
              <m:r>
                <w:rPr>
                  <w:rFonts w:ascii="Cambria Math" w:eastAsia="Arial" w:hAnsi="Cambria Math" w:cs="Arial"/>
                </w:rPr>
                <m:t>B,</m:t>
              </m:r>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f>
            <m:fPr>
              <m:ctrlPr>
                <w:rPr>
                  <w:rFonts w:ascii="Cambria Math" w:eastAsia="Arial" w:hAnsi="Cambria Math" w:cs="Arial"/>
                  <w:i/>
                </w:rPr>
              </m:ctrlPr>
            </m:fPr>
            <m:num>
              <m:nary>
                <m:naryPr>
                  <m:chr m:val="∑"/>
                  <m:limLoc m:val="undOvr"/>
                  <m:ctrlPr>
                    <w:rPr>
                      <w:rFonts w:ascii="Cambria Math" w:eastAsia="Arial" w:hAnsi="Cambria Math" w:cs="Arial"/>
                      <w:i/>
                    </w:rPr>
                  </m:ctrlPr>
                </m:naryPr>
                <m:sub>
                  <m:r>
                    <w:rPr>
                      <w:rFonts w:ascii="Cambria Math" w:eastAsia="Arial" w:hAnsi="Cambria Math" w:cs="Arial"/>
                    </w:rPr>
                    <m:t>t=1</m:t>
                  </m:r>
                </m:sub>
                <m:sup>
                  <m:r>
                    <w:rPr>
                      <w:rFonts w:ascii="Cambria Math" w:eastAsia="Arial" w:hAnsi="Cambria Math" w:cs="Arial"/>
                    </w:rPr>
                    <m:t>6</m:t>
                  </m:r>
                </m:sup>
                <m:e>
                  <m:d>
                    <m:dPr>
                      <m:begChr m:val="["/>
                      <m:endChr m:val="]"/>
                      <m:ctrlPr>
                        <w:rPr>
                          <w:rFonts w:ascii="Cambria Math" w:eastAsia="Arial" w:hAnsi="Cambria Math" w:cs="Arial"/>
                          <w:i/>
                        </w:rPr>
                      </m:ctrlPr>
                    </m:dPr>
                    <m:e>
                      <m:d>
                        <m:dPr>
                          <m:ctrlPr>
                            <w:rPr>
                              <w:rFonts w:ascii="Cambria Math" w:eastAsia="Arial" w:hAnsi="Cambria Math" w:cs="Arial"/>
                              <w:i/>
                            </w:rPr>
                          </m:ctrlPr>
                        </m:dPr>
                        <m:e>
                          <m:sSub>
                            <m:sSubPr>
                              <m:ctrlPr>
                                <w:rPr>
                                  <w:rFonts w:ascii="Cambria Math" w:eastAsia="Arial" w:hAnsi="Cambria Math" w:cs="Arial"/>
                                  <w:i/>
                                </w:rPr>
                              </m:ctrlPr>
                            </m:sSubPr>
                            <m:e>
                              <m:sSub>
                                <m:sSubPr>
                                  <m:ctrlPr>
                                    <w:rPr>
                                      <w:rFonts w:ascii="Cambria Math" w:eastAsia="Arial" w:hAnsi="Cambria Math" w:cs="Arial"/>
                                      <w:i/>
                                    </w:rPr>
                                  </m:ctrlPr>
                                </m:sSubPr>
                                <m:e>
                                  <m:r>
                                    <w:rPr>
                                      <w:rFonts w:ascii="Cambria Math" w:eastAsia="Arial" w:hAnsi="Cambria Math" w:cs="Arial"/>
                                    </w:rPr>
                                    <m:t xml:space="preserve">PPI </m:t>
                                  </m:r>
                                </m:e>
                                <m:sub>
                                  <m:r>
                                    <w:rPr>
                                      <w:rFonts w:ascii="Cambria Math" w:eastAsia="Arial" w:hAnsi="Cambria Math" w:cs="Arial"/>
                                    </w:rPr>
                                    <m:t>Brasil</m:t>
                                  </m:r>
                                </m:sub>
                              </m:sSub>
                            </m:e>
                            <m:sub>
                              <m:r>
                                <w:rPr>
                                  <w:rFonts w:ascii="Cambria Math" w:eastAsia="Arial" w:hAnsi="Cambria Math" w:cs="Arial"/>
                                </w:rPr>
                                <m:t>t</m:t>
                              </m:r>
                            </m:sub>
                          </m:sSub>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Flete</m:t>
                              </m:r>
                            </m:e>
                            <m:sub>
                              <m:r>
                                <w:rPr>
                                  <w:rFonts w:ascii="Cambria Math" w:eastAsia="Arial" w:hAnsi="Cambria Math" w:cs="Arial"/>
                                </w:rPr>
                                <m:t>SPC</m:t>
                              </m:r>
                            </m:sub>
                          </m:sSub>
                        </m:e>
                      </m:d>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TRM</m:t>
                          </m:r>
                        </m:e>
                        <m:sub>
                          <m:r>
                            <w:rPr>
                              <w:rFonts w:ascii="Cambria Math" w:eastAsia="Arial" w:hAnsi="Cambria Math" w:cs="Arial"/>
                            </w:rPr>
                            <m:t>t</m:t>
                          </m:r>
                        </m:sub>
                      </m:sSub>
                    </m:e>
                  </m:d>
                </m:e>
              </m:nary>
            </m:num>
            <m:den>
              <m:r>
                <w:rPr>
                  <w:rFonts w:ascii="Cambria Math" w:eastAsia="Arial" w:hAnsi="Cambria Math" w:cs="Arial"/>
                </w:rPr>
                <m:t>6</m:t>
              </m:r>
            </m:den>
          </m:f>
        </m:oMath>
      </m:oMathPara>
    </w:p>
    <w:p w:rsidR="000A0600" w:rsidRPr="00295A57" w:rsidRDefault="000A0600" w:rsidP="000A0600">
      <w:pPr>
        <w:ind w:left="0"/>
        <w:rPr>
          <w:rFonts w:ascii="Bookman Old Style" w:eastAsia="Arial" w:hAnsi="Bookman Old Style" w:cs="Arial"/>
        </w:rPr>
      </w:pPr>
    </w:p>
    <w:p w:rsidR="000A0600" w:rsidRPr="00295A57" w:rsidRDefault="00991CDB" w:rsidP="000A0600">
      <w:pPr>
        <w:ind w:left="0"/>
        <w:rPr>
          <w:rFonts w:ascii="Bookman Old Style" w:eastAsia="Arial" w:hAnsi="Bookman Old Style" w:cs="Arial"/>
        </w:rPr>
      </w:pPr>
      <m:oMathPara>
        <m:oMath>
          <m:sSub>
            <m:sSubPr>
              <m:ctrlPr>
                <w:rPr>
                  <w:rFonts w:ascii="Cambria Math" w:eastAsia="Arial" w:hAnsi="Cambria Math" w:cs="Arial"/>
                  <w:i/>
                </w:rPr>
              </m:ctrlPr>
            </m:sSubPr>
            <m:e>
              <m:r>
                <w:rPr>
                  <w:rFonts w:ascii="Cambria Math" w:eastAsia="Arial" w:hAnsi="Cambria Math" w:cs="Arial"/>
                </w:rPr>
                <m:t>PMPIAC</m:t>
              </m:r>
            </m:e>
            <m:sub>
              <m:r>
                <w:rPr>
                  <w:rFonts w:ascii="Cambria Math" w:eastAsia="Arial" w:hAnsi="Cambria Math" w:cs="Arial"/>
                </w:rPr>
                <m:t>US,</m:t>
              </m:r>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f>
            <m:fPr>
              <m:ctrlPr>
                <w:rPr>
                  <w:rFonts w:ascii="Cambria Math" w:eastAsia="Arial" w:hAnsi="Cambria Math" w:cs="Arial"/>
                  <w:i/>
                </w:rPr>
              </m:ctrlPr>
            </m:fPr>
            <m:num>
              <m:nary>
                <m:naryPr>
                  <m:chr m:val="∑"/>
                  <m:limLoc m:val="undOvr"/>
                  <m:ctrlPr>
                    <w:rPr>
                      <w:rFonts w:ascii="Cambria Math" w:eastAsia="Arial" w:hAnsi="Cambria Math" w:cs="Arial"/>
                      <w:i/>
                    </w:rPr>
                  </m:ctrlPr>
                </m:naryPr>
                <m:sub>
                  <m:r>
                    <w:rPr>
                      <w:rFonts w:ascii="Cambria Math" w:eastAsia="Arial" w:hAnsi="Cambria Math" w:cs="Arial"/>
                    </w:rPr>
                    <m:t>t=1</m:t>
                  </m:r>
                </m:sub>
                <m:sup>
                  <m:r>
                    <w:rPr>
                      <w:rFonts w:ascii="Cambria Math" w:eastAsia="Arial" w:hAnsi="Cambria Math" w:cs="Arial"/>
                    </w:rPr>
                    <m:t>6</m:t>
                  </m:r>
                </m:sup>
                <m:e>
                  <m:d>
                    <m:dPr>
                      <m:begChr m:val="["/>
                      <m:endChr m:val="]"/>
                      <m:ctrlPr>
                        <w:rPr>
                          <w:rFonts w:ascii="Cambria Math" w:eastAsia="Arial" w:hAnsi="Cambria Math" w:cs="Arial"/>
                          <w:i/>
                        </w:rPr>
                      </m:ctrlPr>
                    </m:dPr>
                    <m:e>
                      <m:d>
                        <m:dPr>
                          <m:ctrlPr>
                            <w:rPr>
                              <w:rFonts w:ascii="Cambria Math" w:eastAsia="Arial" w:hAnsi="Cambria Math" w:cs="Arial"/>
                              <w:i/>
                            </w:rPr>
                          </m:ctrlPr>
                        </m:dPr>
                        <m:e>
                          <m:sSub>
                            <m:sSubPr>
                              <m:ctrlPr>
                                <w:rPr>
                                  <w:rFonts w:ascii="Cambria Math" w:eastAsia="Arial" w:hAnsi="Cambria Math" w:cs="Arial"/>
                                  <w:i/>
                                </w:rPr>
                              </m:ctrlPr>
                            </m:sSubPr>
                            <m:e>
                              <m:sSub>
                                <m:sSubPr>
                                  <m:ctrlPr>
                                    <w:rPr>
                                      <w:rFonts w:ascii="Cambria Math" w:eastAsia="Arial" w:hAnsi="Cambria Math" w:cs="Arial"/>
                                      <w:i/>
                                    </w:rPr>
                                  </m:ctrlPr>
                                </m:sSubPr>
                                <m:e>
                                  <m:r>
                                    <w:rPr>
                                      <w:rFonts w:ascii="Cambria Math" w:eastAsia="Arial" w:hAnsi="Cambria Math" w:cs="Arial"/>
                                    </w:rPr>
                                    <m:t xml:space="preserve">PPI </m:t>
                                  </m:r>
                                </m:e>
                                <m:sub>
                                  <m:r>
                                    <w:rPr>
                                      <w:rFonts w:ascii="Cambria Math" w:eastAsia="Arial" w:hAnsi="Cambria Math" w:cs="Arial"/>
                                    </w:rPr>
                                    <m:t>US</m:t>
                                  </m:r>
                                </m:sub>
                              </m:sSub>
                            </m:e>
                            <m:sub>
                              <m:r>
                                <w:rPr>
                                  <w:rFonts w:ascii="Cambria Math" w:eastAsia="Arial" w:hAnsi="Cambria Math" w:cs="Arial"/>
                                </w:rPr>
                                <m:t>t</m:t>
                              </m:r>
                            </m:sub>
                          </m:sSub>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Flete</m:t>
                              </m:r>
                            </m:e>
                            <m:sub>
                              <m:r>
                                <w:rPr>
                                  <w:rFonts w:ascii="Cambria Math" w:eastAsia="Arial" w:hAnsi="Cambria Math" w:cs="Arial"/>
                                </w:rPr>
                                <m:t>HPC</m:t>
                              </m:r>
                            </m:sub>
                          </m:sSub>
                        </m:e>
                      </m:d>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TRM</m:t>
                          </m:r>
                        </m:e>
                        <m:sub>
                          <m:r>
                            <w:rPr>
                              <w:rFonts w:ascii="Cambria Math" w:eastAsia="Arial" w:hAnsi="Cambria Math" w:cs="Arial"/>
                            </w:rPr>
                            <m:t>t</m:t>
                          </m:r>
                        </m:sub>
                      </m:sSub>
                    </m:e>
                  </m:d>
                </m:e>
              </m:nary>
            </m:num>
            <m:den>
              <m:r>
                <w:rPr>
                  <w:rFonts w:ascii="Cambria Math" w:eastAsia="Arial" w:hAnsi="Cambria Math" w:cs="Arial"/>
                </w:rPr>
                <m:t>6</m:t>
              </m:r>
            </m:den>
          </m:f>
        </m:oMath>
      </m:oMathPara>
    </w:p>
    <w:p w:rsidR="000A0600" w:rsidRPr="00295A57" w:rsidRDefault="000A0600" w:rsidP="000A0600">
      <w:pPr>
        <w:ind w:left="0"/>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PPI</w:t>
      </w:r>
      <w:r w:rsidRPr="00295A57">
        <w:rPr>
          <w:rFonts w:ascii="Bookman Old Style" w:eastAsia="Arial" w:hAnsi="Bookman Old Style" w:cs="Arial"/>
          <w:vertAlign w:val="subscript"/>
        </w:rPr>
        <w:t>Brasil,</w:t>
      </w:r>
      <w:r w:rsidR="000C51A1" w:rsidRPr="00295A57">
        <w:rPr>
          <w:rFonts w:ascii="Bookman Old Style" w:eastAsia="Arial" w:hAnsi="Bookman Old Style" w:cs="Arial"/>
          <w:vertAlign w:val="subscript"/>
        </w:rPr>
        <w:t>t</w:t>
      </w:r>
      <w:r w:rsidRPr="00295A57">
        <w:rPr>
          <w:rFonts w:ascii="Bookman Old Style" w:eastAsia="Arial" w:hAnsi="Bookman Old Style" w:cs="Arial"/>
          <w:vertAlign w:val="subscript"/>
        </w:rPr>
        <w:tab/>
      </w:r>
      <w:r w:rsidRPr="00295A57">
        <w:rPr>
          <w:rFonts w:ascii="Bookman Old Style" w:eastAsia="Arial" w:hAnsi="Bookman Old Style" w:cs="Arial"/>
        </w:rPr>
        <w:t>promedio simple mens</w:t>
      </w:r>
      <w:r w:rsidR="00683C45" w:rsidRPr="00295A57">
        <w:rPr>
          <w:rFonts w:ascii="Bookman Old Style" w:eastAsia="Arial" w:hAnsi="Bookman Old Style" w:cs="Arial"/>
        </w:rPr>
        <w:t>ual del indicador PLATTS</w:t>
      </w:r>
      <w:r w:rsidRPr="00295A57">
        <w:rPr>
          <w:rFonts w:ascii="Bookman Old Style" w:eastAsia="Arial" w:hAnsi="Bookman Old Style" w:cs="Arial"/>
        </w:rPr>
        <w:t xml:space="preserve">, del alcohol anhidro transado en Santos-Brasil </w:t>
      </w:r>
      <w:r w:rsidR="000C51A1" w:rsidRPr="00295A57">
        <w:rPr>
          <w:rFonts w:ascii="Bookman Old Style" w:eastAsia="Arial" w:hAnsi="Bookman Old Style" w:cs="Arial"/>
        </w:rPr>
        <w:t>en el mes t</w:t>
      </w:r>
      <w:r w:rsidRPr="00295A57">
        <w:rPr>
          <w:rFonts w:ascii="Bookman Old Style" w:eastAsia="Arial" w:hAnsi="Bookman Old Style" w:cs="Arial"/>
        </w:rPr>
        <w:t>, expresado en dólares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PPI</w:t>
      </w:r>
      <w:r w:rsidRPr="00295A57">
        <w:rPr>
          <w:rFonts w:ascii="Bookman Old Style" w:eastAsia="Arial" w:hAnsi="Bookman Old Style" w:cs="Arial"/>
          <w:vertAlign w:val="subscript"/>
        </w:rPr>
        <w:t>US,</w:t>
      </w:r>
      <w:r w:rsidR="000C51A1" w:rsidRPr="00295A57">
        <w:rPr>
          <w:rFonts w:ascii="Bookman Old Style" w:eastAsia="Arial" w:hAnsi="Bookman Old Style" w:cs="Arial"/>
          <w:vertAlign w:val="subscript"/>
        </w:rPr>
        <w:t>t</w:t>
      </w:r>
      <w:r w:rsidRPr="00295A57">
        <w:rPr>
          <w:rFonts w:ascii="Bookman Old Style" w:eastAsia="Arial" w:hAnsi="Bookman Old Style" w:cs="Arial"/>
          <w:vertAlign w:val="subscript"/>
        </w:rPr>
        <w:tab/>
      </w:r>
      <w:r w:rsidRPr="00295A57">
        <w:rPr>
          <w:rFonts w:ascii="Bookman Old Style" w:eastAsia="Arial" w:hAnsi="Bookman Old Style" w:cs="Arial"/>
        </w:rPr>
        <w:t xml:space="preserve">promedio simple mensual del indicador PLATTS, del alcohol anhidro transado en Houston-Estados Unidos </w:t>
      </w:r>
      <w:r w:rsidR="000C51A1" w:rsidRPr="00295A57">
        <w:rPr>
          <w:rFonts w:ascii="Bookman Old Style" w:eastAsia="Arial" w:hAnsi="Bookman Old Style" w:cs="Arial"/>
        </w:rPr>
        <w:t>en el mes t</w:t>
      </w:r>
      <w:r w:rsidRPr="00295A57">
        <w:rPr>
          <w:rFonts w:ascii="Bookman Old Style" w:eastAsia="Arial" w:hAnsi="Bookman Old Style" w:cs="Arial"/>
        </w:rPr>
        <w:t>, expresado en dólares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Flete</w:t>
      </w:r>
      <w:r w:rsidRPr="00295A57">
        <w:rPr>
          <w:rFonts w:ascii="Bookman Old Style" w:eastAsia="Arial" w:hAnsi="Bookman Old Style" w:cs="Arial"/>
          <w:vertAlign w:val="subscript"/>
        </w:rPr>
        <w:t>SPC</w:t>
      </w:r>
      <w:r w:rsidRPr="00295A57">
        <w:rPr>
          <w:rFonts w:ascii="Bookman Old Style" w:eastAsia="Arial" w:hAnsi="Bookman Old Style" w:cs="Arial"/>
        </w:rPr>
        <w:t xml:space="preserve">: </w:t>
      </w:r>
      <w:r w:rsidRPr="00295A57">
        <w:rPr>
          <w:rFonts w:ascii="Bookman Old Style" w:eastAsia="Arial" w:hAnsi="Bookman Old Style" w:cs="Arial"/>
        </w:rPr>
        <w:tab/>
        <w:t xml:space="preserve">corresponde al último valor disponible en PLATTS para la tarifa del transporte en la ruta Santos – Pozos Colorados, </w:t>
      </w:r>
      <w:r w:rsidR="000C51A1" w:rsidRPr="00295A57">
        <w:rPr>
          <w:rFonts w:ascii="Bookman Old Style" w:eastAsia="Arial" w:hAnsi="Bookman Old Style" w:cs="Arial"/>
        </w:rPr>
        <w:t xml:space="preserve">vigente en el mes t, </w:t>
      </w:r>
      <w:r w:rsidRPr="00295A57">
        <w:rPr>
          <w:rFonts w:ascii="Bookman Old Style" w:eastAsia="Arial" w:hAnsi="Bookman Old Style" w:cs="Arial"/>
        </w:rPr>
        <w:t>expresado en dólares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Flete</w:t>
      </w:r>
      <w:r w:rsidRPr="00295A57">
        <w:rPr>
          <w:rFonts w:ascii="Bookman Old Style" w:eastAsia="Arial" w:hAnsi="Bookman Old Style" w:cs="Arial"/>
          <w:vertAlign w:val="subscript"/>
        </w:rPr>
        <w:t>HPC</w:t>
      </w:r>
      <w:r w:rsidRPr="00295A57">
        <w:rPr>
          <w:rFonts w:ascii="Bookman Old Style" w:eastAsia="Arial" w:hAnsi="Bookman Old Style" w:cs="Arial"/>
        </w:rPr>
        <w:t xml:space="preserve">: </w:t>
      </w:r>
      <w:r w:rsidRPr="00295A57">
        <w:rPr>
          <w:rFonts w:ascii="Bookman Old Style" w:eastAsia="Arial" w:hAnsi="Bookman Old Style" w:cs="Arial"/>
        </w:rPr>
        <w:tab/>
        <w:t xml:space="preserve">corresponde al último valor disponible en PLATTS para la tarifa del transporte en la ruta Houston – Pozos Colorados, </w:t>
      </w:r>
      <w:r w:rsidR="000C51A1" w:rsidRPr="00295A57">
        <w:rPr>
          <w:rFonts w:ascii="Bookman Old Style" w:eastAsia="Arial" w:hAnsi="Bookman Old Style" w:cs="Arial"/>
        </w:rPr>
        <w:t xml:space="preserve">vigente en el mes t, </w:t>
      </w:r>
      <w:r w:rsidRPr="00295A57">
        <w:rPr>
          <w:rFonts w:ascii="Bookman Old Style" w:eastAsia="Arial" w:hAnsi="Bookman Old Style" w:cs="Arial"/>
        </w:rPr>
        <w:t>expresado en dólares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TRM</w:t>
      </w:r>
      <w:r w:rsidR="00BC33EB" w:rsidRPr="00295A57">
        <w:rPr>
          <w:rFonts w:ascii="Bookman Old Style" w:eastAsia="Arial" w:hAnsi="Bookman Old Style" w:cs="Arial"/>
          <w:vertAlign w:val="subscript"/>
        </w:rPr>
        <w:t>t</w:t>
      </w:r>
      <w:r w:rsidRPr="00295A57">
        <w:rPr>
          <w:rFonts w:ascii="Bookman Old Style" w:eastAsia="Arial" w:hAnsi="Bookman Old Style" w:cs="Arial"/>
        </w:rPr>
        <w:t xml:space="preserve">: </w:t>
      </w:r>
      <w:r w:rsidRPr="00295A57">
        <w:rPr>
          <w:rFonts w:ascii="Bookman Old Style" w:eastAsia="Arial" w:hAnsi="Bookman Old Style" w:cs="Arial"/>
        </w:rPr>
        <w:tab/>
        <w:t xml:space="preserve">promedio simple mensual de la Tasa Representativa del Mercado, certificada por la autoridad competente, </w:t>
      </w:r>
      <w:r w:rsidR="000C51A1" w:rsidRPr="00295A57">
        <w:rPr>
          <w:rFonts w:ascii="Bookman Old Style" w:eastAsia="Arial" w:hAnsi="Bookman Old Style" w:cs="Arial"/>
        </w:rPr>
        <w:t>durante</w:t>
      </w:r>
      <w:r w:rsidRPr="00295A57">
        <w:rPr>
          <w:rFonts w:ascii="Bookman Old Style" w:eastAsia="Arial" w:hAnsi="Bookman Old Style" w:cs="Arial"/>
        </w:rPr>
        <w:t xml:space="preserve"> </w:t>
      </w:r>
      <w:r w:rsidR="000C51A1" w:rsidRPr="00295A57">
        <w:rPr>
          <w:rFonts w:ascii="Bookman Old Style" w:eastAsia="Arial" w:hAnsi="Bookman Old Style" w:cs="Arial"/>
        </w:rPr>
        <w:t>e</w:t>
      </w:r>
      <w:r w:rsidRPr="00295A57">
        <w:rPr>
          <w:rFonts w:ascii="Bookman Old Style" w:eastAsia="Arial" w:hAnsi="Bookman Old Style" w:cs="Arial"/>
        </w:rPr>
        <w:t xml:space="preserve">l </w:t>
      </w:r>
      <w:r w:rsidR="00BC33EB" w:rsidRPr="00295A57">
        <w:rPr>
          <w:rFonts w:ascii="Bookman Old Style" w:eastAsia="Arial" w:hAnsi="Bookman Old Style" w:cs="Arial"/>
        </w:rPr>
        <w:t>mes</w:t>
      </w:r>
      <w:r w:rsidRPr="00295A57">
        <w:rPr>
          <w:rFonts w:ascii="Bookman Old Style" w:eastAsia="Arial" w:hAnsi="Bookman Old Style" w:cs="Arial"/>
        </w:rPr>
        <w:t xml:space="preserve"> </w:t>
      </w:r>
      <m:oMath>
        <m:r>
          <w:rPr>
            <w:rFonts w:ascii="Cambria Math" w:eastAsia="Arial" w:hAnsi="Cambria Math" w:cs="Arial"/>
          </w:rPr>
          <m:t>t</m:t>
        </m:r>
      </m:oMath>
      <w:r w:rsidRPr="00295A57">
        <w:rPr>
          <w:rFonts w:ascii="Bookman Old Style" w:eastAsia="Arial" w:hAnsi="Bookman Old Style" w:cs="Arial"/>
        </w:rPr>
        <w:t>.</w:t>
      </w:r>
    </w:p>
    <w:p w:rsidR="000C51A1" w:rsidRPr="00295A57" w:rsidRDefault="000C51A1"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hAnsi="Bookman Old Style"/>
          <w:b/>
        </w:rPr>
        <w:t xml:space="preserve">Artículo </w:t>
      </w:r>
      <w:r w:rsidR="00517899" w:rsidRPr="00295A57">
        <w:rPr>
          <w:rFonts w:ascii="Bookman Old Style" w:hAnsi="Bookman Old Style"/>
          <w:b/>
        </w:rPr>
        <w:t>6</w:t>
      </w:r>
      <w:r w:rsidRPr="00295A57">
        <w:rPr>
          <w:rFonts w:ascii="Bookman Old Style" w:hAnsi="Bookman Old Style"/>
          <w:b/>
        </w:rPr>
        <w:t>°.</w:t>
      </w:r>
      <w:r w:rsidRPr="00295A57">
        <w:rPr>
          <w:rFonts w:ascii="Bookman Old Style" w:eastAsia="Arial" w:hAnsi="Bookman Old Style" w:cs="Arial"/>
          <w:b/>
          <w:bCs/>
        </w:rPr>
        <w:t xml:space="preserve">  Metodología de Referencia del Ingreso al Productor del Biocombustible para uso motores diésel</w:t>
      </w:r>
      <w:r w:rsidRPr="00295A57">
        <w:rPr>
          <w:rFonts w:ascii="Bookman Old Style" w:eastAsia="Arial" w:hAnsi="Bookman Old Style" w:cs="Arial"/>
        </w:rPr>
        <w:t>. El valor que se trasladará al usuario por concepto de ingreso al productor de biocombustibles para uso en motores diésel en Colombia considerará el precio eficiente establecido en mercados internacionales para transacciones de los metil-éster producidos con diferentes materias primas y el precio nacional de su sustituto fósil, aplica</w:t>
      </w:r>
      <w:r w:rsidR="00BC33EB" w:rsidRPr="00295A57">
        <w:rPr>
          <w:rFonts w:ascii="Bookman Old Style" w:eastAsia="Arial" w:hAnsi="Bookman Old Style" w:cs="Arial"/>
        </w:rPr>
        <w:t>n</w:t>
      </w:r>
      <w:r w:rsidRPr="00295A57">
        <w:rPr>
          <w:rFonts w:ascii="Bookman Old Style" w:eastAsia="Arial" w:hAnsi="Bookman Old Style" w:cs="Arial"/>
        </w:rPr>
        <w:t>do el menor entre estos.</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 xml:space="preserve">Para la determinación del precio eficiente de mercados internacionales se </w:t>
      </w:r>
      <w:r w:rsidR="00BC33EB" w:rsidRPr="00295A57">
        <w:rPr>
          <w:rFonts w:ascii="Bookman Old Style" w:eastAsia="Arial" w:hAnsi="Bookman Old Style" w:cs="Arial"/>
        </w:rPr>
        <w:t>defini</w:t>
      </w:r>
      <w:r w:rsidRPr="00295A57">
        <w:rPr>
          <w:rFonts w:ascii="Bookman Old Style" w:eastAsia="Arial" w:hAnsi="Bookman Old Style" w:cs="Arial"/>
        </w:rPr>
        <w:t xml:space="preserve">rá el precio a pagar por parte del usuario para el metil-éster como una paridad importación del mercado internacional, </w:t>
      </w:r>
      <w:r w:rsidR="00BC33EB" w:rsidRPr="00295A57">
        <w:rPr>
          <w:rFonts w:ascii="Bookman Old Style" w:eastAsia="Arial" w:hAnsi="Bookman Old Style" w:cs="Arial"/>
        </w:rPr>
        <w:t>teniendo en cuenta</w:t>
      </w:r>
      <w:r w:rsidRPr="00295A57">
        <w:rPr>
          <w:rFonts w:ascii="Bookman Old Style" w:eastAsia="Arial" w:hAnsi="Bookman Old Style" w:cs="Arial"/>
        </w:rPr>
        <w:t xml:space="preserve"> una canasta de productos, con diferentes materias primas, transables en el mercado internacional. Estos valores considerarán un promedio móvil que permite mitigar las volatilidades de los precios internacionales.</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hAnsi="Bookman Old Style"/>
          <w:b/>
        </w:rPr>
        <w:t xml:space="preserve">Artículo </w:t>
      </w:r>
      <w:r w:rsidR="00517899" w:rsidRPr="00295A57">
        <w:rPr>
          <w:rFonts w:ascii="Bookman Old Style" w:hAnsi="Bookman Old Style"/>
          <w:b/>
        </w:rPr>
        <w:t>7</w:t>
      </w:r>
      <w:r w:rsidRPr="00295A57">
        <w:rPr>
          <w:rFonts w:ascii="Bookman Old Style" w:hAnsi="Bookman Old Style"/>
          <w:b/>
        </w:rPr>
        <w:t>°.</w:t>
      </w:r>
      <w:r w:rsidRPr="00295A57">
        <w:rPr>
          <w:rFonts w:ascii="Bookman Old Style" w:eastAsia="Arial" w:hAnsi="Bookman Old Style" w:cs="Arial"/>
          <w:b/>
          <w:bCs/>
        </w:rPr>
        <w:t xml:space="preserve">  Parámetros de Referencia para el cálculo del Ingreso al Productor de Biocombustibles para uso en Motores Diésel. </w:t>
      </w:r>
      <w:r w:rsidRPr="00295A57">
        <w:rPr>
          <w:rFonts w:ascii="Bookman Old Style" w:eastAsia="Arial" w:hAnsi="Bookman Old Style" w:cs="Arial"/>
          <w:bCs/>
        </w:rPr>
        <w:t xml:space="preserve">Los parámetros para determinar el ingreso </w:t>
      </w:r>
      <w:r w:rsidRPr="00295A57">
        <w:rPr>
          <w:rFonts w:ascii="Bookman Old Style" w:eastAsia="Arial" w:hAnsi="Bookman Old Style" w:cs="Arial"/>
        </w:rPr>
        <w:t>al productor de biocombustible para uso en motor diésel en Colombia se calculará con base en las siguientes expresiones:</w:t>
      </w:r>
    </w:p>
    <w:p w:rsidR="000A0600" w:rsidRPr="00295A57" w:rsidRDefault="000A0600" w:rsidP="000A0600">
      <w:pPr>
        <w:ind w:left="0"/>
        <w:jc w:val="both"/>
        <w:rPr>
          <w:rFonts w:ascii="Bookman Old Style" w:eastAsia="Arial" w:hAnsi="Bookman Old Style" w:cs="Arial"/>
        </w:rPr>
      </w:pPr>
    </w:p>
    <w:p w:rsidR="00BC33EB" w:rsidRPr="00295A57" w:rsidRDefault="00991CDB" w:rsidP="000A0600">
      <w:pPr>
        <w:ind w:left="0"/>
        <w:jc w:val="both"/>
        <w:rPr>
          <w:rFonts w:ascii="Bookman Old Style" w:eastAsia="Arial" w:hAnsi="Bookman Old Style" w:cs="Arial"/>
        </w:rPr>
      </w:pPr>
      <m:oMathPara>
        <m:oMath>
          <m:sSub>
            <m:sSubPr>
              <m:ctrlPr>
                <w:rPr>
                  <w:rFonts w:ascii="Cambria Math" w:eastAsia="Arial" w:hAnsi="Cambria Math" w:cs="Arial"/>
                  <w:i/>
                </w:rPr>
              </m:ctrlPr>
            </m:sSubPr>
            <m:e>
              <m:r>
                <w:rPr>
                  <w:rFonts w:ascii="Cambria Math" w:eastAsia="Arial" w:hAnsi="Cambria Math" w:cs="Arial"/>
                </w:rPr>
                <m:t>IPBMD</m:t>
              </m:r>
            </m:e>
            <m:sub>
              <m:r>
                <w:rPr>
                  <w:rFonts w:ascii="Cambria Math" w:eastAsia="Arial" w:hAnsi="Cambria Math" w:cs="Arial"/>
                </w:rPr>
                <m:t>p</m:t>
              </m:r>
            </m:sub>
          </m:sSub>
          <m:r>
            <w:rPr>
              <w:rFonts w:ascii="Cambria Math" w:eastAsia="Arial" w:hAnsi="Cambria Math" w:cs="Arial"/>
            </w:rPr>
            <m:t>=Min {</m:t>
          </m:r>
          <m:sSub>
            <m:sSubPr>
              <m:ctrlPr>
                <w:rPr>
                  <w:rFonts w:ascii="Cambria Math" w:eastAsia="Arial" w:hAnsi="Cambria Math" w:cs="Arial"/>
                  <w:i/>
                </w:rPr>
              </m:ctrlPr>
            </m:sSubPr>
            <m:e>
              <m:r>
                <w:rPr>
                  <w:rFonts w:ascii="Cambria Math" w:eastAsia="Arial" w:hAnsi="Cambria Math" w:cs="Arial"/>
                </w:rPr>
                <m:t>PEFB</m:t>
              </m:r>
            </m:e>
            <m:sub>
              <m:r>
                <w:rPr>
                  <w:rFonts w:ascii="Cambria Math" w:eastAsia="Arial" w:hAnsi="Cambria Math" w:cs="Arial"/>
                </w:rPr>
                <m:t>B,p-1</m:t>
              </m:r>
            </m:sub>
          </m:sSub>
          <m:r>
            <w:rPr>
              <w:rFonts w:ascii="Cambria Math" w:eastAsia="Arial" w:hAnsi="Cambria Math" w:cs="Arial"/>
            </w:rPr>
            <m:t xml:space="preserve">; </m:t>
          </m:r>
          <m:sSub>
            <m:sSubPr>
              <m:ctrlPr>
                <w:rPr>
                  <w:rFonts w:ascii="Cambria Math" w:eastAsia="Arial" w:hAnsi="Cambria Math" w:cs="Arial"/>
                  <w:i/>
                </w:rPr>
              </m:ctrlPr>
            </m:sSubPr>
            <m:e>
              <m:r>
                <w:rPr>
                  <w:rFonts w:ascii="Cambria Math" w:eastAsia="Arial" w:hAnsi="Cambria Math" w:cs="Arial"/>
                </w:rPr>
                <m:t>PPIBMD</m:t>
              </m:r>
            </m:e>
            <m:sub>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oMath>
      </m:oMathPara>
    </w:p>
    <w:p w:rsidR="00BC33EB" w:rsidRPr="00295A57" w:rsidRDefault="00BC33EB"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Donde</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IPBMD</w:t>
      </w:r>
      <w:r w:rsidRPr="00295A57">
        <w:rPr>
          <w:rFonts w:ascii="Bookman Old Style" w:eastAsia="Arial" w:hAnsi="Bookman Old Style" w:cs="Arial"/>
          <w:vertAlign w:val="subscript"/>
        </w:rPr>
        <w:t>p</w:t>
      </w:r>
      <w:r w:rsidRPr="00295A57">
        <w:rPr>
          <w:rFonts w:ascii="Bookman Old Style" w:eastAsia="Arial" w:hAnsi="Bookman Old Style" w:cs="Arial"/>
        </w:rPr>
        <w:t>:</w:t>
      </w:r>
      <w:r w:rsidRPr="00295A57">
        <w:rPr>
          <w:rFonts w:ascii="Bookman Old Style" w:eastAsia="Arial" w:hAnsi="Bookman Old Style" w:cs="Arial"/>
        </w:rPr>
        <w:tab/>
        <w:t xml:space="preserve">ingreso al productor de biocombustible para uso en motor diésel en el punto de producción o en el puerto colombiano de importación, aplicable para el periodo </w:t>
      </w:r>
      <w:r w:rsidRPr="00295A57">
        <w:rPr>
          <w:rFonts w:ascii="Bookman Old Style" w:eastAsia="Arial" w:hAnsi="Bookman Old Style" w:cs="Arial"/>
          <w:i/>
        </w:rPr>
        <w:t>p</w:t>
      </w:r>
      <w:r w:rsidRPr="00295A57">
        <w:rPr>
          <w:rFonts w:ascii="Bookman Old Style" w:eastAsia="Arial" w:hAnsi="Bookman Old Style" w:cs="Arial"/>
        </w:rPr>
        <w:t xml:space="preserve">, expresado en pesos por galón, </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PEFB</w:t>
      </w:r>
      <w:r w:rsidRPr="00295A57">
        <w:rPr>
          <w:rFonts w:ascii="Bookman Old Style" w:eastAsia="Arial" w:hAnsi="Bookman Old Style" w:cs="Arial"/>
          <w:vertAlign w:val="subscript"/>
        </w:rPr>
        <w:t>B,p</w:t>
      </w:r>
      <w:r w:rsidR="00D02731" w:rsidRPr="00295A57">
        <w:rPr>
          <w:rFonts w:ascii="Bookman Old Style" w:eastAsia="Arial" w:hAnsi="Bookman Old Style" w:cs="Arial"/>
          <w:vertAlign w:val="subscript"/>
        </w:rPr>
        <w:t>-1</w:t>
      </w:r>
      <w:r w:rsidRPr="00295A57">
        <w:rPr>
          <w:rFonts w:ascii="Bookman Old Style" w:eastAsia="Arial" w:hAnsi="Bookman Old Style" w:cs="Arial"/>
        </w:rPr>
        <w:t xml:space="preserve">: </w:t>
      </w:r>
      <w:r w:rsidRPr="00295A57">
        <w:rPr>
          <w:rFonts w:ascii="Bookman Old Style" w:eastAsia="Arial" w:hAnsi="Bookman Old Style" w:cs="Arial"/>
        </w:rPr>
        <w:tab/>
        <w:t xml:space="preserve">precio equivalente del fósil para el biocombustible para uso en motor diésel, corresponde al precio del </w:t>
      </w:r>
      <w:r w:rsidR="00D02731" w:rsidRPr="00295A57">
        <w:rPr>
          <w:rFonts w:ascii="Bookman Old Style" w:eastAsia="Arial" w:hAnsi="Bookman Old Style" w:cs="Arial"/>
        </w:rPr>
        <w:t>diésel</w:t>
      </w:r>
      <w:r w:rsidRPr="00295A57">
        <w:rPr>
          <w:rFonts w:ascii="Bookman Old Style" w:eastAsia="Arial" w:hAnsi="Bookman Old Style" w:cs="Arial"/>
        </w:rPr>
        <w:t xml:space="preserve"> para una mezcla B0 con base en el precio </w:t>
      </w:r>
      <w:r w:rsidR="00D02731" w:rsidRPr="00295A57">
        <w:rPr>
          <w:rFonts w:ascii="Bookman Old Style" w:eastAsia="Arial" w:hAnsi="Bookman Old Style" w:cs="Arial"/>
        </w:rPr>
        <w:t xml:space="preserve">de venta al público </w:t>
      </w:r>
      <w:r w:rsidRPr="00295A57">
        <w:rPr>
          <w:rFonts w:ascii="Bookman Old Style" w:eastAsia="Arial" w:hAnsi="Bookman Old Style" w:cs="Arial"/>
        </w:rPr>
        <w:t xml:space="preserve">de referencia </w:t>
      </w:r>
      <w:r w:rsidR="00BE5E3A">
        <w:rPr>
          <w:rFonts w:ascii="Bookman Old Style" w:eastAsia="Arial" w:hAnsi="Bookman Old Style" w:cs="Arial"/>
        </w:rPr>
        <w:t>en Mansilla</w:t>
      </w:r>
      <w:r w:rsidRPr="00295A57">
        <w:rPr>
          <w:rFonts w:ascii="Bookman Old Style" w:eastAsia="Arial" w:hAnsi="Bookman Old Style" w:cs="Arial"/>
        </w:rPr>
        <w:t xml:space="preserve"> de </w:t>
      </w:r>
      <w:r w:rsidR="00D02731" w:rsidRPr="00295A57">
        <w:rPr>
          <w:rFonts w:ascii="Bookman Old Style" w:eastAsia="Arial" w:hAnsi="Bookman Old Style" w:cs="Arial"/>
        </w:rPr>
        <w:t>diésel</w:t>
      </w:r>
      <w:r w:rsidRPr="00295A57">
        <w:rPr>
          <w:rFonts w:ascii="Bookman Old Style" w:eastAsia="Arial" w:hAnsi="Bookman Old Style" w:cs="Arial"/>
        </w:rPr>
        <w:t xml:space="preserve"> publicado por el Ministerio de Minas y Energía para el periodo </w:t>
      </w:r>
      <w:r w:rsidRPr="00295A57">
        <w:rPr>
          <w:rFonts w:ascii="Bookman Old Style" w:eastAsia="Arial" w:hAnsi="Bookman Old Style" w:cs="Arial"/>
          <w:i/>
        </w:rPr>
        <w:t>p-1</w:t>
      </w:r>
      <w:r w:rsidRPr="00295A57">
        <w:rPr>
          <w:rFonts w:ascii="Bookman Old Style" w:eastAsia="Arial" w:hAnsi="Bookman Old Style" w:cs="Arial"/>
        </w:rPr>
        <w:t xml:space="preserve">, expresado en pesos por galón, </w:t>
      </w:r>
    </w:p>
    <w:p w:rsidR="000A0600" w:rsidRPr="00295A57" w:rsidRDefault="000A0600" w:rsidP="000A0600">
      <w:pPr>
        <w:ind w:left="0"/>
        <w:jc w:val="both"/>
        <w:rPr>
          <w:rFonts w:ascii="Bookman Old Style" w:eastAsia="Arial" w:hAnsi="Bookman Old Style" w:cs="Arial"/>
        </w:rPr>
      </w:pPr>
    </w:p>
    <w:p w:rsidR="000A0600" w:rsidRPr="00295A57" w:rsidRDefault="00991CDB" w:rsidP="000A0600">
      <w:pPr>
        <w:ind w:left="0"/>
        <w:jc w:val="both"/>
        <w:rPr>
          <w:rFonts w:ascii="Bookman Old Style" w:eastAsia="Arial" w:hAnsi="Bookman Old Style" w:cs="Arial"/>
        </w:rPr>
      </w:pPr>
      <m:oMath>
        <m:sSub>
          <m:sSubPr>
            <m:ctrlPr>
              <w:rPr>
                <w:rFonts w:ascii="Cambria Math" w:eastAsia="Arial" w:hAnsi="Cambria Math" w:cs="Arial"/>
              </w:rPr>
            </m:ctrlPr>
          </m:sSubPr>
          <m:e>
            <m:r>
              <m:rPr>
                <m:sty m:val="p"/>
              </m:rPr>
              <w:rPr>
                <w:rFonts w:ascii="Cambria Math" w:eastAsia="Arial" w:hAnsi="Cambria Math" w:cs="Arial"/>
              </w:rPr>
              <m:t>PPIBMD</m:t>
            </m:r>
          </m:e>
          <m:sub>
            <m:acc>
              <m:accPr>
                <m:chr m:val="̅"/>
                <m:ctrlPr>
                  <w:rPr>
                    <w:rFonts w:ascii="Cambria Math" w:eastAsia="Arial" w:hAnsi="Cambria Math" w:cs="Arial"/>
                  </w:rPr>
                </m:ctrlPr>
              </m:accPr>
              <m:e>
                <m:r>
                  <m:rPr>
                    <m:sty m:val="p"/>
                  </m:rPr>
                  <w:rPr>
                    <w:rFonts w:ascii="Cambria Math" w:eastAsia="Arial" w:hAnsi="Cambria Math" w:cs="Arial"/>
                  </w:rPr>
                  <m:t>p</m:t>
                </m:r>
              </m:e>
            </m:acc>
          </m:sub>
        </m:sSub>
      </m:oMath>
      <w:r w:rsidR="000A0600" w:rsidRPr="00295A57">
        <w:rPr>
          <w:rFonts w:ascii="Bookman Old Style" w:eastAsia="Arial" w:hAnsi="Bookman Old Style" w:cs="Arial"/>
        </w:rPr>
        <w:t>:</w:t>
      </w:r>
      <w:r w:rsidR="000A0600" w:rsidRPr="00295A57">
        <w:rPr>
          <w:rFonts w:ascii="Bookman Old Style" w:eastAsia="Arial" w:hAnsi="Bookman Old Style" w:cs="Arial"/>
        </w:rPr>
        <w:tab/>
        <w:t>precio paridad importación para el biocombustible para uso en motor diésel con base en la canasta de productos de referencia, expresado en pesos por galón, resultante de la siguiente expresión:</w:t>
      </w:r>
    </w:p>
    <w:p w:rsidR="000A0600" w:rsidRPr="00295A57" w:rsidRDefault="000A0600" w:rsidP="000A0600">
      <w:pPr>
        <w:ind w:left="0"/>
        <w:rPr>
          <w:rFonts w:ascii="Bookman Old Style" w:eastAsia="Arial" w:hAnsi="Bookman Old Style" w:cs="Arial"/>
        </w:rPr>
      </w:pPr>
    </w:p>
    <w:p w:rsidR="000A0600" w:rsidRPr="00295A57" w:rsidRDefault="00991CDB" w:rsidP="000A0600">
      <w:pPr>
        <w:ind w:left="0"/>
        <w:rPr>
          <w:rFonts w:ascii="Bookman Old Style" w:eastAsia="Arial" w:hAnsi="Bookman Old Style" w:cs="Arial"/>
        </w:rPr>
      </w:pPr>
      <m:oMathPara>
        <m:oMath>
          <m:sSub>
            <m:sSubPr>
              <m:ctrlPr>
                <w:rPr>
                  <w:rFonts w:ascii="Cambria Math" w:eastAsia="Arial" w:hAnsi="Cambria Math" w:cs="Arial"/>
                  <w:i/>
                </w:rPr>
              </m:ctrlPr>
            </m:sSubPr>
            <m:e>
              <m:r>
                <w:rPr>
                  <w:rFonts w:ascii="Cambria Math" w:eastAsia="Arial" w:hAnsi="Cambria Math" w:cs="Arial"/>
                </w:rPr>
                <m:t>PPIBMD</m:t>
              </m:r>
            </m:e>
            <m:sub>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f>
            <m:fPr>
              <m:ctrlPr>
                <w:rPr>
                  <w:rFonts w:ascii="Cambria Math" w:eastAsia="Arial" w:hAnsi="Cambria Math" w:cs="Arial"/>
                  <w:i/>
                </w:rPr>
              </m:ctrlPr>
            </m:fPr>
            <m:num>
              <m:sSub>
                <m:sSubPr>
                  <m:ctrlPr>
                    <w:rPr>
                      <w:rFonts w:ascii="Cambria Math" w:eastAsia="Arial" w:hAnsi="Cambria Math" w:cs="Arial"/>
                      <w:i/>
                    </w:rPr>
                  </m:ctrlPr>
                </m:sSubPr>
                <m:e>
                  <m:r>
                    <w:rPr>
                      <w:rFonts w:ascii="Cambria Math" w:eastAsia="Arial" w:hAnsi="Cambria Math" w:cs="Arial"/>
                    </w:rPr>
                    <m:t>PMPIPME</m:t>
                  </m:r>
                </m:e>
                <m:sub>
                  <m:r>
                    <w:rPr>
                      <w:rFonts w:ascii="Cambria Math" w:eastAsia="Arial" w:hAnsi="Cambria Math" w:cs="Arial"/>
                    </w:rPr>
                    <m:t>Mal,</m:t>
                  </m:r>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PMPIFAME</m:t>
                  </m:r>
                </m:e>
                <m:sub>
                  <m:r>
                    <w:rPr>
                      <w:rFonts w:ascii="Cambria Math" w:eastAsia="Arial" w:hAnsi="Cambria Math" w:cs="Arial"/>
                    </w:rPr>
                    <m:t>Rot,</m:t>
                  </m:r>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PMPISME</m:t>
                  </m:r>
                </m:e>
                <m:sub>
                  <m:r>
                    <w:rPr>
                      <w:rFonts w:ascii="Cambria Math" w:eastAsia="Arial" w:hAnsi="Cambria Math" w:cs="Arial"/>
                    </w:rPr>
                    <m:t>Arg,</m:t>
                  </m:r>
                  <m:acc>
                    <m:accPr>
                      <m:chr m:val="̅"/>
                      <m:ctrlPr>
                        <w:rPr>
                          <w:rFonts w:ascii="Cambria Math" w:eastAsia="Arial" w:hAnsi="Cambria Math" w:cs="Arial"/>
                          <w:i/>
                        </w:rPr>
                      </m:ctrlPr>
                    </m:accPr>
                    <m:e>
                      <m:r>
                        <w:rPr>
                          <w:rFonts w:ascii="Cambria Math" w:eastAsia="Arial" w:hAnsi="Cambria Math" w:cs="Arial"/>
                        </w:rPr>
                        <m:t>p</m:t>
                      </m:r>
                    </m:e>
                  </m:acc>
                </m:sub>
              </m:sSub>
            </m:num>
            <m:den>
              <m:r>
                <w:rPr>
                  <w:rFonts w:ascii="Cambria Math" w:eastAsia="Arial" w:hAnsi="Cambria Math" w:cs="Arial"/>
                </w:rPr>
                <m:t>3</m:t>
              </m:r>
            </m:den>
          </m:f>
        </m:oMath>
      </m:oMathPara>
    </w:p>
    <w:p w:rsidR="000A0600" w:rsidRPr="00295A57" w:rsidRDefault="000A0600" w:rsidP="000A0600">
      <w:pPr>
        <w:ind w:left="0"/>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Donde:</w:t>
      </w:r>
    </w:p>
    <w:p w:rsidR="000A0600" w:rsidRPr="00295A57" w:rsidRDefault="000A0600" w:rsidP="000A0600">
      <w:pPr>
        <w:ind w:left="0"/>
        <w:jc w:val="both"/>
        <w:rPr>
          <w:rFonts w:ascii="Bookman Old Style" w:eastAsia="Arial" w:hAnsi="Bookman Old Style" w:cs="Arial"/>
        </w:rPr>
      </w:pPr>
    </w:p>
    <w:p w:rsidR="000A0600" w:rsidRPr="00295A57" w:rsidRDefault="00991CDB" w:rsidP="000A0600">
      <w:pPr>
        <w:ind w:left="0"/>
        <w:jc w:val="both"/>
        <w:rPr>
          <w:rFonts w:ascii="Bookman Old Style" w:eastAsia="Arial" w:hAnsi="Bookman Old Style" w:cs="Arial"/>
        </w:rPr>
      </w:pPr>
      <m:oMath>
        <m:sSub>
          <m:sSubPr>
            <m:ctrlPr>
              <w:rPr>
                <w:rFonts w:ascii="Cambria Math" w:eastAsia="Arial" w:hAnsi="Cambria Math" w:cs="Arial"/>
              </w:rPr>
            </m:ctrlPr>
          </m:sSubPr>
          <m:e>
            <m:r>
              <m:rPr>
                <m:sty m:val="p"/>
              </m:rPr>
              <w:rPr>
                <w:rFonts w:ascii="Cambria Math" w:eastAsia="Arial" w:hAnsi="Cambria Math" w:cs="Arial"/>
              </w:rPr>
              <m:t>PMPIPME</m:t>
            </m:r>
          </m:e>
          <m:sub>
            <m:r>
              <m:rPr>
                <m:sty m:val="p"/>
              </m:rPr>
              <w:rPr>
                <w:rFonts w:ascii="Cambria Math" w:eastAsia="Arial" w:hAnsi="Cambria Math" w:cs="Arial"/>
              </w:rPr>
              <m:t>Mal,</m:t>
            </m:r>
            <m:acc>
              <m:accPr>
                <m:chr m:val="̅"/>
                <m:ctrlPr>
                  <w:rPr>
                    <w:rFonts w:ascii="Cambria Math" w:eastAsia="Arial" w:hAnsi="Cambria Math" w:cs="Arial"/>
                  </w:rPr>
                </m:ctrlPr>
              </m:accPr>
              <m:e>
                <m:r>
                  <m:rPr>
                    <m:sty m:val="p"/>
                  </m:rPr>
                  <w:rPr>
                    <w:rFonts w:ascii="Cambria Math" w:eastAsia="Arial" w:hAnsi="Cambria Math" w:cs="Arial"/>
                  </w:rPr>
                  <m:t>p</m:t>
                </m:r>
              </m:e>
            </m:acc>
          </m:sub>
        </m:sSub>
      </m:oMath>
      <w:r w:rsidR="000A0600" w:rsidRPr="00295A57">
        <w:rPr>
          <w:rFonts w:ascii="Bookman Old Style" w:eastAsia="Arial" w:hAnsi="Bookman Old Style" w:cs="Arial"/>
        </w:rPr>
        <w:t>:</w:t>
      </w:r>
      <w:r w:rsidR="000A0600" w:rsidRPr="00295A57">
        <w:rPr>
          <w:rFonts w:ascii="Bookman Old Style" w:eastAsia="Arial" w:hAnsi="Bookman Old Style" w:cs="Arial"/>
        </w:rPr>
        <w:tab/>
        <w:t xml:space="preserve">promedio móvil </w:t>
      </w:r>
      <w:r w:rsidR="00D02731" w:rsidRPr="00295A57">
        <w:rPr>
          <w:rFonts w:ascii="Bookman Old Style" w:eastAsia="Arial" w:hAnsi="Bookman Old Style" w:cs="Arial"/>
        </w:rPr>
        <w:t xml:space="preserve">durante </w:t>
      </w:r>
      <m:oMath>
        <m:acc>
          <m:accPr>
            <m:chr m:val="̅"/>
            <m:ctrlPr>
              <w:rPr>
                <w:rFonts w:ascii="Cambria Math" w:eastAsia="Arial" w:hAnsi="Cambria Math" w:cs="Arial"/>
                <w:i/>
              </w:rPr>
            </m:ctrlPr>
          </m:accPr>
          <m:e>
            <m:r>
              <w:rPr>
                <w:rFonts w:ascii="Cambria Math" w:eastAsia="Arial" w:hAnsi="Cambria Math" w:cs="Arial"/>
              </w:rPr>
              <m:t>p</m:t>
            </m:r>
          </m:e>
        </m:acc>
      </m:oMath>
      <w:r w:rsidR="00D02731" w:rsidRPr="00295A57">
        <w:rPr>
          <w:rFonts w:ascii="Bookman Old Style" w:eastAsia="Arial" w:hAnsi="Bookman Old Style" w:cs="Arial"/>
        </w:rPr>
        <w:t xml:space="preserve"> </w:t>
      </w:r>
      <w:r w:rsidR="000A0600" w:rsidRPr="00295A57">
        <w:rPr>
          <w:rFonts w:ascii="Bookman Old Style" w:eastAsia="Arial" w:hAnsi="Bookman Old Style" w:cs="Arial"/>
        </w:rPr>
        <w:t>del precio paridad importación para el metil-éster de palma desde Malasia hasta puerto colombiano, expresado en pesos por galón</w:t>
      </w:r>
    </w:p>
    <w:p w:rsidR="000A0600" w:rsidRPr="00295A57" w:rsidRDefault="000A0600" w:rsidP="000A0600">
      <w:pPr>
        <w:ind w:left="0"/>
        <w:jc w:val="both"/>
        <w:rPr>
          <w:rFonts w:ascii="Bookman Old Style" w:eastAsia="Arial" w:hAnsi="Bookman Old Style" w:cs="Arial"/>
        </w:rPr>
      </w:pPr>
    </w:p>
    <w:p w:rsidR="000A0600" w:rsidRPr="00295A57" w:rsidRDefault="00991CDB" w:rsidP="000A0600">
      <w:pPr>
        <w:ind w:left="0"/>
        <w:jc w:val="both"/>
        <w:rPr>
          <w:rFonts w:ascii="Bookman Old Style" w:eastAsia="Arial" w:hAnsi="Bookman Old Style" w:cs="Arial"/>
        </w:rPr>
      </w:pPr>
      <m:oMath>
        <m:sSub>
          <m:sSubPr>
            <m:ctrlPr>
              <w:rPr>
                <w:rFonts w:ascii="Cambria Math" w:eastAsia="Arial" w:hAnsi="Cambria Math" w:cs="Arial"/>
              </w:rPr>
            </m:ctrlPr>
          </m:sSubPr>
          <m:e>
            <m:r>
              <m:rPr>
                <m:sty m:val="p"/>
              </m:rPr>
              <w:rPr>
                <w:rFonts w:ascii="Cambria Math" w:eastAsia="Arial" w:hAnsi="Cambria Math" w:cs="Arial"/>
              </w:rPr>
              <m:t>PMPIFAME</m:t>
            </m:r>
          </m:e>
          <m:sub>
            <m:r>
              <m:rPr>
                <m:sty m:val="p"/>
              </m:rPr>
              <w:rPr>
                <w:rFonts w:ascii="Cambria Math" w:eastAsia="Arial" w:hAnsi="Cambria Math" w:cs="Arial"/>
              </w:rPr>
              <m:t>Rot,</m:t>
            </m:r>
            <m:acc>
              <m:accPr>
                <m:chr m:val="̅"/>
                <m:ctrlPr>
                  <w:rPr>
                    <w:rFonts w:ascii="Cambria Math" w:eastAsia="Arial" w:hAnsi="Cambria Math" w:cs="Arial"/>
                  </w:rPr>
                </m:ctrlPr>
              </m:accPr>
              <m:e>
                <m:r>
                  <m:rPr>
                    <m:sty m:val="p"/>
                  </m:rPr>
                  <w:rPr>
                    <w:rFonts w:ascii="Cambria Math" w:eastAsia="Arial" w:hAnsi="Cambria Math" w:cs="Arial"/>
                  </w:rPr>
                  <m:t>p</m:t>
                </m:r>
              </m:e>
            </m:acc>
          </m:sub>
        </m:sSub>
      </m:oMath>
      <w:r w:rsidR="000A0600" w:rsidRPr="00295A57">
        <w:rPr>
          <w:rFonts w:ascii="Bookman Old Style" w:eastAsia="Arial" w:hAnsi="Bookman Old Style" w:cs="Arial"/>
        </w:rPr>
        <w:t>:</w:t>
      </w:r>
      <w:r w:rsidR="00D02731" w:rsidRPr="00295A57">
        <w:rPr>
          <w:rFonts w:ascii="Bookman Old Style" w:eastAsia="Arial" w:hAnsi="Bookman Old Style" w:cs="Arial"/>
        </w:rPr>
        <w:tab/>
      </w:r>
      <w:r w:rsidR="000A0600" w:rsidRPr="00295A57">
        <w:rPr>
          <w:rFonts w:ascii="Bookman Old Style" w:eastAsia="Arial" w:hAnsi="Bookman Old Style" w:cs="Arial"/>
        </w:rPr>
        <w:t xml:space="preserve">promedio móvil </w:t>
      </w:r>
      <w:r w:rsidR="00D02731" w:rsidRPr="00295A57">
        <w:rPr>
          <w:rFonts w:ascii="Bookman Old Style" w:eastAsia="Arial" w:hAnsi="Bookman Old Style" w:cs="Arial"/>
        </w:rPr>
        <w:t xml:space="preserve">durante </w:t>
      </w:r>
      <m:oMath>
        <m:acc>
          <m:accPr>
            <m:chr m:val="̅"/>
            <m:ctrlPr>
              <w:rPr>
                <w:rFonts w:ascii="Cambria Math" w:eastAsia="Arial" w:hAnsi="Cambria Math" w:cs="Arial"/>
                <w:i/>
              </w:rPr>
            </m:ctrlPr>
          </m:accPr>
          <m:e>
            <m:r>
              <w:rPr>
                <w:rFonts w:ascii="Cambria Math" w:eastAsia="Arial" w:hAnsi="Cambria Math" w:cs="Arial"/>
              </w:rPr>
              <m:t>p</m:t>
            </m:r>
          </m:e>
        </m:acc>
      </m:oMath>
      <w:r w:rsidR="00D02731" w:rsidRPr="00295A57">
        <w:rPr>
          <w:rFonts w:ascii="Bookman Old Style" w:eastAsia="Arial" w:hAnsi="Bookman Old Style" w:cs="Arial"/>
        </w:rPr>
        <w:t xml:space="preserve"> </w:t>
      </w:r>
      <w:r w:rsidR="000A0600" w:rsidRPr="00295A57">
        <w:rPr>
          <w:rFonts w:ascii="Bookman Old Style" w:eastAsia="Arial" w:hAnsi="Bookman Old Style" w:cs="Arial"/>
        </w:rPr>
        <w:t>del precio paridad importación para el fatty acid metil-éster desde Rotterdam hasta puerto colombiano, expresado en pesos por galón</w:t>
      </w:r>
    </w:p>
    <w:p w:rsidR="000A0600" w:rsidRPr="00295A57" w:rsidRDefault="000A0600" w:rsidP="000A0600">
      <w:pPr>
        <w:ind w:left="0"/>
        <w:jc w:val="both"/>
        <w:rPr>
          <w:rFonts w:ascii="Bookman Old Style" w:eastAsia="Arial" w:hAnsi="Bookman Old Style" w:cs="Arial"/>
        </w:rPr>
      </w:pPr>
    </w:p>
    <w:p w:rsidR="000A0600" w:rsidRPr="00295A57" w:rsidRDefault="00991CDB" w:rsidP="000A0600">
      <w:pPr>
        <w:ind w:left="0"/>
        <w:jc w:val="both"/>
        <w:rPr>
          <w:rFonts w:ascii="Bookman Old Style" w:eastAsia="Arial" w:hAnsi="Bookman Old Style" w:cs="Arial"/>
        </w:rPr>
      </w:pPr>
      <m:oMath>
        <m:sSub>
          <m:sSubPr>
            <m:ctrlPr>
              <w:rPr>
                <w:rFonts w:ascii="Cambria Math" w:eastAsia="Arial" w:hAnsi="Cambria Math" w:cs="Arial"/>
              </w:rPr>
            </m:ctrlPr>
          </m:sSubPr>
          <m:e>
            <m:r>
              <m:rPr>
                <m:sty m:val="p"/>
              </m:rPr>
              <w:rPr>
                <w:rFonts w:ascii="Cambria Math" w:eastAsia="Arial" w:hAnsi="Cambria Math" w:cs="Arial"/>
              </w:rPr>
              <m:t>PMPISME</m:t>
            </m:r>
          </m:e>
          <m:sub>
            <m:r>
              <m:rPr>
                <m:sty m:val="p"/>
              </m:rPr>
              <w:rPr>
                <w:rFonts w:ascii="Cambria Math" w:eastAsia="Arial" w:hAnsi="Cambria Math" w:cs="Arial"/>
              </w:rPr>
              <m:t>Arg,</m:t>
            </m:r>
            <m:acc>
              <m:accPr>
                <m:chr m:val="̅"/>
                <m:ctrlPr>
                  <w:rPr>
                    <w:rFonts w:ascii="Cambria Math" w:eastAsia="Arial" w:hAnsi="Cambria Math" w:cs="Arial"/>
                  </w:rPr>
                </m:ctrlPr>
              </m:accPr>
              <m:e>
                <m:r>
                  <m:rPr>
                    <m:sty m:val="p"/>
                  </m:rPr>
                  <w:rPr>
                    <w:rFonts w:ascii="Cambria Math" w:eastAsia="Arial" w:hAnsi="Cambria Math" w:cs="Arial"/>
                  </w:rPr>
                  <m:t>p</m:t>
                </m:r>
              </m:e>
            </m:acc>
          </m:sub>
        </m:sSub>
      </m:oMath>
      <w:r w:rsidR="000A0600" w:rsidRPr="00295A57">
        <w:rPr>
          <w:rFonts w:ascii="Bookman Old Style" w:eastAsia="Arial" w:hAnsi="Bookman Old Style" w:cs="Arial"/>
        </w:rPr>
        <w:t>:</w:t>
      </w:r>
      <w:r w:rsidR="000A0600" w:rsidRPr="00295A57">
        <w:rPr>
          <w:rFonts w:ascii="Bookman Old Style" w:eastAsia="Arial" w:hAnsi="Bookman Old Style" w:cs="Arial"/>
        </w:rPr>
        <w:tab/>
        <w:t xml:space="preserve">promedio móvil </w:t>
      </w:r>
      <w:r w:rsidR="00D02731" w:rsidRPr="00295A57">
        <w:rPr>
          <w:rFonts w:ascii="Bookman Old Style" w:eastAsia="Arial" w:hAnsi="Bookman Old Style" w:cs="Arial"/>
        </w:rPr>
        <w:t xml:space="preserve">durante </w:t>
      </w:r>
      <m:oMath>
        <m:acc>
          <m:accPr>
            <m:chr m:val="̅"/>
            <m:ctrlPr>
              <w:rPr>
                <w:rFonts w:ascii="Cambria Math" w:eastAsia="Arial" w:hAnsi="Cambria Math" w:cs="Arial"/>
                <w:i/>
              </w:rPr>
            </m:ctrlPr>
          </m:accPr>
          <m:e>
            <m:r>
              <w:rPr>
                <w:rFonts w:ascii="Cambria Math" w:eastAsia="Arial" w:hAnsi="Cambria Math" w:cs="Arial"/>
              </w:rPr>
              <m:t>p</m:t>
            </m:r>
          </m:e>
        </m:acc>
      </m:oMath>
      <w:r w:rsidR="00D02731" w:rsidRPr="00295A57">
        <w:rPr>
          <w:rFonts w:ascii="Bookman Old Style" w:eastAsia="Arial" w:hAnsi="Bookman Old Style" w:cs="Arial"/>
        </w:rPr>
        <w:t xml:space="preserve"> </w:t>
      </w:r>
      <w:r w:rsidR="000A0600" w:rsidRPr="00295A57">
        <w:rPr>
          <w:rFonts w:ascii="Bookman Old Style" w:eastAsia="Arial" w:hAnsi="Bookman Old Style" w:cs="Arial"/>
        </w:rPr>
        <w:t>del precio paridad importación para el soy metil-éster desde Argentina hasta puerto colombiano, expresado en pesos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Los promedios móviles de paridad importación se calculan con la siguiente expresión:</w:t>
      </w:r>
    </w:p>
    <w:p w:rsidR="000A0600" w:rsidRPr="00295A57" w:rsidRDefault="000A0600" w:rsidP="000A0600">
      <w:pPr>
        <w:ind w:left="0"/>
        <w:rPr>
          <w:rFonts w:ascii="Bookman Old Style" w:eastAsia="Arial" w:hAnsi="Bookman Old Style" w:cs="Arial"/>
        </w:rPr>
      </w:pPr>
    </w:p>
    <w:p w:rsidR="000A0600" w:rsidRPr="00295A57" w:rsidRDefault="00991CDB" w:rsidP="000A0600">
      <w:pPr>
        <w:ind w:left="0"/>
        <w:rPr>
          <w:rFonts w:ascii="Bookman Old Style" w:eastAsia="Arial" w:hAnsi="Bookman Old Style" w:cs="Arial"/>
        </w:rPr>
      </w:pPr>
      <m:oMathPara>
        <m:oMathParaPr>
          <m:jc m:val="center"/>
        </m:oMathParaPr>
        <m:oMath>
          <m:sSub>
            <m:sSubPr>
              <m:ctrlPr>
                <w:rPr>
                  <w:rFonts w:ascii="Cambria Math" w:eastAsia="Arial" w:hAnsi="Cambria Math" w:cs="Arial"/>
                  <w:i/>
                </w:rPr>
              </m:ctrlPr>
            </m:sSubPr>
            <m:e>
              <m:r>
                <w:rPr>
                  <w:rFonts w:ascii="Cambria Math" w:eastAsia="Arial" w:hAnsi="Cambria Math" w:cs="Arial"/>
                </w:rPr>
                <m:t>PMPIPME</m:t>
              </m:r>
            </m:e>
            <m:sub>
              <m:r>
                <w:rPr>
                  <w:rFonts w:ascii="Cambria Math" w:eastAsia="Arial" w:hAnsi="Cambria Math" w:cs="Arial"/>
                </w:rPr>
                <m:t>Mal,</m:t>
              </m:r>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f>
            <m:fPr>
              <m:ctrlPr>
                <w:rPr>
                  <w:rFonts w:ascii="Cambria Math" w:eastAsia="Arial" w:hAnsi="Cambria Math" w:cs="Arial"/>
                  <w:i/>
                </w:rPr>
              </m:ctrlPr>
            </m:fPr>
            <m:num>
              <m:nary>
                <m:naryPr>
                  <m:chr m:val="∑"/>
                  <m:limLoc m:val="undOvr"/>
                  <m:ctrlPr>
                    <w:rPr>
                      <w:rFonts w:ascii="Cambria Math" w:eastAsia="Arial" w:hAnsi="Cambria Math" w:cs="Arial"/>
                      <w:i/>
                    </w:rPr>
                  </m:ctrlPr>
                </m:naryPr>
                <m:sub>
                  <m:r>
                    <w:rPr>
                      <w:rFonts w:ascii="Cambria Math" w:eastAsia="Arial" w:hAnsi="Cambria Math" w:cs="Arial"/>
                    </w:rPr>
                    <m:t>t=1</m:t>
                  </m:r>
                </m:sub>
                <m:sup>
                  <m:r>
                    <w:rPr>
                      <w:rFonts w:ascii="Cambria Math" w:eastAsia="Arial" w:hAnsi="Cambria Math" w:cs="Arial"/>
                    </w:rPr>
                    <m:t>6</m:t>
                  </m:r>
                </m:sup>
                <m:e>
                  <m:d>
                    <m:dPr>
                      <m:ctrlPr>
                        <w:rPr>
                          <w:rFonts w:ascii="Cambria Math" w:eastAsia="Arial" w:hAnsi="Cambria Math" w:cs="Arial"/>
                          <w:i/>
                        </w:rPr>
                      </m:ctrlPr>
                    </m:dPr>
                    <m:e>
                      <m:sSub>
                        <m:sSubPr>
                          <m:ctrlPr>
                            <w:rPr>
                              <w:rFonts w:ascii="Cambria Math" w:eastAsia="Arial" w:hAnsi="Cambria Math" w:cs="Arial"/>
                              <w:i/>
                            </w:rPr>
                          </m:ctrlPr>
                        </m:sSubPr>
                        <m:e>
                          <m:r>
                            <w:rPr>
                              <w:rFonts w:ascii="Cambria Math" w:eastAsia="Arial" w:hAnsi="Cambria Math" w:cs="Arial"/>
                            </w:rPr>
                            <m:t>PPI</m:t>
                          </m:r>
                        </m:e>
                        <m:sub>
                          <m:r>
                            <w:rPr>
                              <w:rFonts w:ascii="Cambria Math" w:eastAsia="Arial" w:hAnsi="Cambria Math" w:cs="Arial"/>
                            </w:rPr>
                            <m:t>Mal,t</m:t>
                          </m:r>
                        </m:sub>
                      </m:sSub>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Flete</m:t>
                          </m:r>
                        </m:e>
                        <m:sub>
                          <m:r>
                            <w:rPr>
                              <w:rFonts w:ascii="Cambria Math" w:eastAsia="Arial" w:hAnsi="Cambria Math" w:cs="Arial"/>
                            </w:rPr>
                            <m:t>MPC</m:t>
                          </m:r>
                        </m:sub>
                      </m:sSub>
                    </m:e>
                  </m:d>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TRM</m:t>
                      </m:r>
                    </m:e>
                    <m:sub>
                      <m:r>
                        <w:rPr>
                          <w:rFonts w:ascii="Cambria Math" w:eastAsia="Arial" w:hAnsi="Cambria Math" w:cs="Arial"/>
                        </w:rPr>
                        <m:t>t</m:t>
                      </m:r>
                    </m:sub>
                  </m:sSub>
                </m:e>
              </m:nary>
            </m:num>
            <m:den>
              <m:r>
                <w:rPr>
                  <w:rFonts w:ascii="Cambria Math" w:eastAsia="Arial" w:hAnsi="Cambria Math" w:cs="Arial"/>
                </w:rPr>
                <m:t>6</m:t>
              </m:r>
            </m:den>
          </m:f>
        </m:oMath>
      </m:oMathPara>
    </w:p>
    <w:p w:rsidR="000A0600" w:rsidRPr="00295A57" w:rsidRDefault="000A0600" w:rsidP="000A0600">
      <w:pPr>
        <w:ind w:left="0"/>
        <w:rPr>
          <w:rFonts w:ascii="Bookman Old Style" w:eastAsia="Arial" w:hAnsi="Bookman Old Style" w:cs="Arial"/>
        </w:rPr>
      </w:pPr>
    </w:p>
    <w:p w:rsidR="000A0600" w:rsidRPr="00295A57" w:rsidRDefault="00991CDB" w:rsidP="000A0600">
      <w:pPr>
        <w:ind w:left="0"/>
        <w:rPr>
          <w:rFonts w:ascii="Bookman Old Style" w:eastAsia="Arial" w:hAnsi="Bookman Old Style" w:cs="Arial"/>
        </w:rPr>
      </w:pPr>
      <m:oMathPara>
        <m:oMathParaPr>
          <m:jc m:val="center"/>
        </m:oMathParaPr>
        <m:oMath>
          <m:sSub>
            <m:sSubPr>
              <m:ctrlPr>
                <w:rPr>
                  <w:rFonts w:ascii="Cambria Math" w:eastAsia="Arial" w:hAnsi="Cambria Math" w:cs="Arial"/>
                  <w:i/>
                </w:rPr>
              </m:ctrlPr>
            </m:sSubPr>
            <m:e>
              <m:r>
                <w:rPr>
                  <w:rFonts w:ascii="Cambria Math" w:eastAsia="Arial" w:hAnsi="Cambria Math" w:cs="Arial"/>
                </w:rPr>
                <m:t>PMPIFAME</m:t>
              </m:r>
            </m:e>
            <m:sub>
              <m:r>
                <w:rPr>
                  <w:rFonts w:ascii="Cambria Math" w:eastAsia="Arial" w:hAnsi="Cambria Math" w:cs="Arial"/>
                </w:rPr>
                <m:t>Rot,</m:t>
              </m:r>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f>
            <m:fPr>
              <m:ctrlPr>
                <w:rPr>
                  <w:rFonts w:ascii="Cambria Math" w:eastAsia="Arial" w:hAnsi="Cambria Math" w:cs="Arial"/>
                  <w:i/>
                </w:rPr>
              </m:ctrlPr>
            </m:fPr>
            <m:num>
              <m:nary>
                <m:naryPr>
                  <m:chr m:val="∑"/>
                  <m:limLoc m:val="undOvr"/>
                  <m:ctrlPr>
                    <w:rPr>
                      <w:rFonts w:ascii="Cambria Math" w:eastAsia="Arial" w:hAnsi="Cambria Math" w:cs="Arial"/>
                      <w:i/>
                    </w:rPr>
                  </m:ctrlPr>
                </m:naryPr>
                <m:sub>
                  <m:r>
                    <w:rPr>
                      <w:rFonts w:ascii="Cambria Math" w:eastAsia="Arial" w:hAnsi="Cambria Math" w:cs="Arial"/>
                    </w:rPr>
                    <m:t>t=1</m:t>
                  </m:r>
                </m:sub>
                <m:sup>
                  <m:r>
                    <w:rPr>
                      <w:rFonts w:ascii="Cambria Math" w:eastAsia="Arial" w:hAnsi="Cambria Math" w:cs="Arial"/>
                    </w:rPr>
                    <m:t>6</m:t>
                  </m:r>
                </m:sup>
                <m:e>
                  <m:d>
                    <m:dPr>
                      <m:ctrlPr>
                        <w:rPr>
                          <w:rFonts w:ascii="Cambria Math" w:eastAsia="Arial" w:hAnsi="Cambria Math" w:cs="Arial"/>
                          <w:i/>
                        </w:rPr>
                      </m:ctrlPr>
                    </m:dPr>
                    <m:e>
                      <m:sSub>
                        <m:sSubPr>
                          <m:ctrlPr>
                            <w:rPr>
                              <w:rFonts w:ascii="Cambria Math" w:eastAsia="Arial" w:hAnsi="Cambria Math" w:cs="Arial"/>
                              <w:i/>
                            </w:rPr>
                          </m:ctrlPr>
                        </m:sSubPr>
                        <m:e>
                          <m:r>
                            <w:rPr>
                              <w:rFonts w:ascii="Cambria Math" w:eastAsia="Arial" w:hAnsi="Cambria Math" w:cs="Arial"/>
                            </w:rPr>
                            <m:t>PPI</m:t>
                          </m:r>
                        </m:e>
                        <m:sub>
                          <m:r>
                            <w:rPr>
                              <w:rFonts w:ascii="Cambria Math" w:eastAsia="Arial" w:hAnsi="Cambria Math" w:cs="Arial"/>
                            </w:rPr>
                            <m:t>Rot,t</m:t>
                          </m:r>
                        </m:sub>
                      </m:sSub>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Flete</m:t>
                          </m:r>
                        </m:e>
                        <m:sub>
                          <m:r>
                            <w:rPr>
                              <w:rFonts w:ascii="Cambria Math" w:eastAsia="Arial" w:hAnsi="Cambria Math" w:cs="Arial"/>
                            </w:rPr>
                            <m:t>RPC</m:t>
                          </m:r>
                        </m:sub>
                      </m:sSub>
                    </m:e>
                  </m:d>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TRM</m:t>
                      </m:r>
                    </m:e>
                    <m:sub>
                      <m:r>
                        <w:rPr>
                          <w:rFonts w:ascii="Cambria Math" w:eastAsia="Arial" w:hAnsi="Cambria Math" w:cs="Arial"/>
                        </w:rPr>
                        <m:t>t</m:t>
                      </m:r>
                    </m:sub>
                  </m:sSub>
                </m:e>
              </m:nary>
            </m:num>
            <m:den>
              <m:r>
                <w:rPr>
                  <w:rFonts w:ascii="Cambria Math" w:eastAsia="Arial" w:hAnsi="Cambria Math" w:cs="Arial"/>
                </w:rPr>
                <m:t>6</m:t>
              </m:r>
            </m:den>
          </m:f>
        </m:oMath>
      </m:oMathPara>
    </w:p>
    <w:p w:rsidR="000A0600" w:rsidRPr="00295A57" w:rsidRDefault="000A0600" w:rsidP="000A0600">
      <w:pPr>
        <w:ind w:left="0"/>
        <w:rPr>
          <w:rFonts w:ascii="Bookman Old Style" w:eastAsia="Arial" w:hAnsi="Bookman Old Style" w:cs="Arial"/>
        </w:rPr>
      </w:pPr>
    </w:p>
    <w:p w:rsidR="000A0600" w:rsidRPr="00295A57" w:rsidRDefault="00991CDB" w:rsidP="000A0600">
      <w:pPr>
        <w:ind w:left="0"/>
        <w:rPr>
          <w:rFonts w:ascii="Bookman Old Style" w:eastAsia="Arial" w:hAnsi="Bookman Old Style" w:cs="Arial"/>
        </w:rPr>
      </w:pPr>
      <m:oMathPara>
        <m:oMath>
          <m:sSub>
            <m:sSubPr>
              <m:ctrlPr>
                <w:rPr>
                  <w:rFonts w:ascii="Cambria Math" w:eastAsia="Arial" w:hAnsi="Cambria Math" w:cs="Arial"/>
                  <w:i/>
                </w:rPr>
              </m:ctrlPr>
            </m:sSubPr>
            <m:e>
              <m:r>
                <w:rPr>
                  <w:rFonts w:ascii="Cambria Math" w:eastAsia="Arial" w:hAnsi="Cambria Math" w:cs="Arial"/>
                </w:rPr>
                <m:t>PMPISME</m:t>
              </m:r>
            </m:e>
            <m:sub>
              <m:r>
                <w:rPr>
                  <w:rFonts w:ascii="Cambria Math" w:eastAsia="Arial" w:hAnsi="Cambria Math" w:cs="Arial"/>
                </w:rPr>
                <m:t>Arg,</m:t>
              </m:r>
              <m:acc>
                <m:accPr>
                  <m:chr m:val="̅"/>
                  <m:ctrlPr>
                    <w:rPr>
                      <w:rFonts w:ascii="Cambria Math" w:eastAsia="Arial" w:hAnsi="Cambria Math" w:cs="Arial"/>
                      <w:i/>
                    </w:rPr>
                  </m:ctrlPr>
                </m:accPr>
                <m:e>
                  <m:r>
                    <w:rPr>
                      <w:rFonts w:ascii="Cambria Math" w:eastAsia="Arial" w:hAnsi="Cambria Math" w:cs="Arial"/>
                    </w:rPr>
                    <m:t>p</m:t>
                  </m:r>
                </m:e>
              </m:acc>
            </m:sub>
          </m:sSub>
          <m:r>
            <w:rPr>
              <w:rFonts w:ascii="Cambria Math" w:eastAsia="Arial" w:hAnsi="Cambria Math" w:cs="Arial"/>
            </w:rPr>
            <m:t>=</m:t>
          </m:r>
          <m:f>
            <m:fPr>
              <m:ctrlPr>
                <w:rPr>
                  <w:rFonts w:ascii="Cambria Math" w:eastAsia="Arial" w:hAnsi="Cambria Math" w:cs="Arial"/>
                  <w:i/>
                </w:rPr>
              </m:ctrlPr>
            </m:fPr>
            <m:num>
              <m:nary>
                <m:naryPr>
                  <m:chr m:val="∑"/>
                  <m:limLoc m:val="undOvr"/>
                  <m:ctrlPr>
                    <w:rPr>
                      <w:rFonts w:ascii="Cambria Math" w:eastAsia="Arial" w:hAnsi="Cambria Math" w:cs="Arial"/>
                      <w:i/>
                    </w:rPr>
                  </m:ctrlPr>
                </m:naryPr>
                <m:sub>
                  <m:r>
                    <w:rPr>
                      <w:rFonts w:ascii="Cambria Math" w:eastAsia="Arial" w:hAnsi="Cambria Math" w:cs="Arial"/>
                    </w:rPr>
                    <m:t>t=1</m:t>
                  </m:r>
                </m:sub>
                <m:sup>
                  <m:r>
                    <w:rPr>
                      <w:rFonts w:ascii="Cambria Math" w:eastAsia="Arial" w:hAnsi="Cambria Math" w:cs="Arial"/>
                    </w:rPr>
                    <m:t>6</m:t>
                  </m:r>
                </m:sup>
                <m:e>
                  <m:d>
                    <m:dPr>
                      <m:ctrlPr>
                        <w:rPr>
                          <w:rFonts w:ascii="Cambria Math" w:eastAsia="Arial" w:hAnsi="Cambria Math" w:cs="Arial"/>
                          <w:i/>
                        </w:rPr>
                      </m:ctrlPr>
                    </m:dPr>
                    <m:e>
                      <m:sSub>
                        <m:sSubPr>
                          <m:ctrlPr>
                            <w:rPr>
                              <w:rFonts w:ascii="Cambria Math" w:eastAsia="Arial" w:hAnsi="Cambria Math" w:cs="Arial"/>
                              <w:i/>
                            </w:rPr>
                          </m:ctrlPr>
                        </m:sSubPr>
                        <m:e>
                          <m:r>
                            <w:rPr>
                              <w:rFonts w:ascii="Cambria Math" w:eastAsia="Arial" w:hAnsi="Cambria Math" w:cs="Arial"/>
                            </w:rPr>
                            <m:t>PPI</m:t>
                          </m:r>
                        </m:e>
                        <m:sub>
                          <m:r>
                            <w:rPr>
                              <w:rFonts w:ascii="Cambria Math" w:eastAsia="Arial" w:hAnsi="Cambria Math" w:cs="Arial"/>
                            </w:rPr>
                            <m:t>Arg,t</m:t>
                          </m:r>
                        </m:sub>
                      </m:sSub>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Flete</m:t>
                          </m:r>
                        </m:e>
                        <m:sub>
                          <m:r>
                            <w:rPr>
                              <w:rFonts w:ascii="Cambria Math" w:eastAsia="Arial" w:hAnsi="Cambria Math" w:cs="Arial"/>
                            </w:rPr>
                            <m:t>APC</m:t>
                          </m:r>
                        </m:sub>
                      </m:sSub>
                    </m:e>
                  </m:d>
                  <m:r>
                    <w:rPr>
                      <w:rFonts w:ascii="Cambria Math" w:eastAsia="Arial" w:hAnsi="Cambria Math" w:cs="Arial"/>
                    </w:rPr>
                    <m:t>*</m:t>
                  </m:r>
                  <m:sSub>
                    <m:sSubPr>
                      <m:ctrlPr>
                        <w:rPr>
                          <w:rFonts w:ascii="Cambria Math" w:eastAsia="Arial" w:hAnsi="Cambria Math" w:cs="Arial"/>
                          <w:i/>
                        </w:rPr>
                      </m:ctrlPr>
                    </m:sSubPr>
                    <m:e>
                      <m:r>
                        <w:rPr>
                          <w:rFonts w:ascii="Cambria Math" w:eastAsia="Arial" w:hAnsi="Cambria Math" w:cs="Arial"/>
                        </w:rPr>
                        <m:t>TRM</m:t>
                      </m:r>
                    </m:e>
                    <m:sub>
                      <m:r>
                        <w:rPr>
                          <w:rFonts w:ascii="Cambria Math" w:eastAsia="Arial" w:hAnsi="Cambria Math" w:cs="Arial"/>
                        </w:rPr>
                        <m:t>t</m:t>
                      </m:r>
                    </m:sub>
                  </m:sSub>
                </m:e>
              </m:nary>
            </m:num>
            <m:den>
              <m:r>
                <w:rPr>
                  <w:rFonts w:ascii="Cambria Math" w:eastAsia="Arial" w:hAnsi="Cambria Math" w:cs="Arial"/>
                </w:rPr>
                <m:t>6</m:t>
              </m:r>
            </m:den>
          </m:f>
        </m:oMath>
      </m:oMathPara>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PPI</w:t>
      </w:r>
      <w:r w:rsidRPr="00295A57">
        <w:rPr>
          <w:rFonts w:ascii="Bookman Old Style" w:eastAsia="Arial" w:hAnsi="Bookman Old Style" w:cs="Arial"/>
          <w:vertAlign w:val="subscript"/>
        </w:rPr>
        <w:t>Mal,</w:t>
      </w:r>
      <w:r w:rsidR="00D02731" w:rsidRPr="00295A57">
        <w:rPr>
          <w:rFonts w:ascii="Bookman Old Style" w:eastAsia="Arial" w:hAnsi="Bookman Old Style" w:cs="Arial"/>
          <w:vertAlign w:val="subscript"/>
        </w:rPr>
        <w:t>t</w:t>
      </w:r>
      <w:r w:rsidRPr="00295A57">
        <w:rPr>
          <w:rFonts w:ascii="Bookman Old Style" w:eastAsia="Arial" w:hAnsi="Bookman Old Style" w:cs="Arial"/>
          <w:vertAlign w:val="subscript"/>
        </w:rPr>
        <w:tab/>
      </w:r>
      <w:r w:rsidRPr="00295A57">
        <w:rPr>
          <w:rFonts w:ascii="Bookman Old Style" w:eastAsia="Arial" w:hAnsi="Bookman Old Style" w:cs="Arial"/>
        </w:rPr>
        <w:t xml:space="preserve">promedio simple mensual del indicador PLATTS, para el contrato de futuros del PME transado en Malasia </w:t>
      </w:r>
      <w:r w:rsidR="00D02731" w:rsidRPr="00295A57">
        <w:rPr>
          <w:rFonts w:ascii="Bookman Old Style" w:eastAsia="Arial" w:hAnsi="Bookman Old Style" w:cs="Arial"/>
        </w:rPr>
        <w:t>en</w:t>
      </w:r>
      <w:r w:rsidRPr="00295A57">
        <w:rPr>
          <w:rFonts w:ascii="Bookman Old Style" w:eastAsia="Arial" w:hAnsi="Bookman Old Style" w:cs="Arial"/>
        </w:rPr>
        <w:t xml:space="preserve"> el </w:t>
      </w:r>
      <w:r w:rsidR="00D02731" w:rsidRPr="00295A57">
        <w:rPr>
          <w:rFonts w:ascii="Bookman Old Style" w:eastAsia="Arial" w:hAnsi="Bookman Old Style" w:cs="Arial"/>
        </w:rPr>
        <w:t>mes t</w:t>
      </w:r>
      <w:r w:rsidRPr="00295A57">
        <w:rPr>
          <w:rFonts w:ascii="Bookman Old Style" w:eastAsia="Arial" w:hAnsi="Bookman Old Style" w:cs="Arial"/>
        </w:rPr>
        <w:t>, expresado en dólares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lastRenderedPageBreak/>
        <w:t>PPI</w:t>
      </w:r>
      <w:r w:rsidRPr="00295A57">
        <w:rPr>
          <w:rFonts w:ascii="Bookman Old Style" w:eastAsia="Arial" w:hAnsi="Bookman Old Style" w:cs="Arial"/>
          <w:vertAlign w:val="subscript"/>
        </w:rPr>
        <w:t>Rot,</w:t>
      </w:r>
      <w:r w:rsidR="00D02731" w:rsidRPr="00295A57">
        <w:rPr>
          <w:rFonts w:ascii="Bookman Old Style" w:eastAsia="Arial" w:hAnsi="Bookman Old Style" w:cs="Arial"/>
          <w:vertAlign w:val="subscript"/>
        </w:rPr>
        <w:t>t</w:t>
      </w:r>
      <w:r w:rsidRPr="00295A57">
        <w:rPr>
          <w:rFonts w:ascii="Bookman Old Style" w:eastAsia="Arial" w:hAnsi="Bookman Old Style" w:cs="Arial"/>
          <w:vertAlign w:val="subscript"/>
        </w:rPr>
        <w:tab/>
      </w:r>
      <w:r w:rsidRPr="00295A57">
        <w:rPr>
          <w:rFonts w:ascii="Bookman Old Style" w:eastAsia="Arial" w:hAnsi="Bookman Old Style" w:cs="Arial"/>
        </w:rPr>
        <w:t xml:space="preserve">promedio simple mensual del indicador PLATTS, para el FAME transado en Rotterdam, Holanda </w:t>
      </w:r>
      <w:r w:rsidR="00D02731" w:rsidRPr="00295A57">
        <w:rPr>
          <w:rFonts w:ascii="Bookman Old Style" w:eastAsia="Arial" w:hAnsi="Bookman Old Style" w:cs="Arial"/>
        </w:rPr>
        <w:t>en el mes t</w:t>
      </w:r>
      <w:r w:rsidRPr="00295A57">
        <w:rPr>
          <w:rFonts w:ascii="Bookman Old Style" w:eastAsia="Arial" w:hAnsi="Bookman Old Style" w:cs="Arial"/>
        </w:rPr>
        <w:t>, expresado en dólares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PPI</w:t>
      </w:r>
      <w:r w:rsidRPr="00295A57">
        <w:rPr>
          <w:rFonts w:ascii="Bookman Old Style" w:eastAsia="Arial" w:hAnsi="Bookman Old Style" w:cs="Arial"/>
          <w:vertAlign w:val="subscript"/>
        </w:rPr>
        <w:t>Arg,</w:t>
      </w:r>
      <w:r w:rsidR="00D02731" w:rsidRPr="00295A57">
        <w:rPr>
          <w:rFonts w:ascii="Bookman Old Style" w:eastAsia="Arial" w:hAnsi="Bookman Old Style" w:cs="Arial"/>
          <w:vertAlign w:val="subscript"/>
        </w:rPr>
        <w:t>t</w:t>
      </w:r>
      <w:r w:rsidRPr="00295A57">
        <w:rPr>
          <w:rFonts w:ascii="Bookman Old Style" w:eastAsia="Arial" w:hAnsi="Bookman Old Style" w:cs="Arial"/>
          <w:vertAlign w:val="subscript"/>
        </w:rPr>
        <w:tab/>
      </w:r>
      <w:r w:rsidRPr="00295A57">
        <w:rPr>
          <w:rFonts w:ascii="Bookman Old Style" w:eastAsia="Arial" w:hAnsi="Bookman Old Style" w:cs="Arial"/>
        </w:rPr>
        <w:t xml:space="preserve">promedio simple mensual del indicador PLATTS, para el SME transado en Argentina, </w:t>
      </w:r>
      <w:r w:rsidR="00D02731" w:rsidRPr="00295A57">
        <w:rPr>
          <w:rFonts w:ascii="Bookman Old Style" w:eastAsia="Arial" w:hAnsi="Bookman Old Style" w:cs="Arial"/>
        </w:rPr>
        <w:t>en el mes t</w:t>
      </w:r>
      <w:r w:rsidRPr="00295A57">
        <w:rPr>
          <w:rFonts w:ascii="Bookman Old Style" w:eastAsia="Arial" w:hAnsi="Bookman Old Style" w:cs="Arial"/>
        </w:rPr>
        <w:t>, expresado en dólares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Flete</w:t>
      </w:r>
      <w:r w:rsidRPr="00295A57">
        <w:rPr>
          <w:rFonts w:ascii="Bookman Old Style" w:eastAsia="Arial" w:hAnsi="Bookman Old Style" w:cs="Arial"/>
          <w:vertAlign w:val="subscript"/>
        </w:rPr>
        <w:t>MPC</w:t>
      </w:r>
      <w:r w:rsidRPr="00295A57">
        <w:rPr>
          <w:rFonts w:ascii="Bookman Old Style" w:eastAsia="Arial" w:hAnsi="Bookman Old Style" w:cs="Arial"/>
        </w:rPr>
        <w:t xml:space="preserve">: </w:t>
      </w:r>
      <w:r w:rsidRPr="00295A57">
        <w:rPr>
          <w:rFonts w:ascii="Bookman Old Style" w:eastAsia="Arial" w:hAnsi="Bookman Old Style" w:cs="Arial"/>
        </w:rPr>
        <w:tab/>
        <w:t>corresponde al último valor disponible en PLATTS para la tarifa del transporte en la ruta Malasia – Pozos Colorados, expresado en dólares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Flete</w:t>
      </w:r>
      <w:r w:rsidRPr="00295A57">
        <w:rPr>
          <w:rFonts w:ascii="Bookman Old Style" w:eastAsia="Arial" w:hAnsi="Bookman Old Style" w:cs="Arial"/>
          <w:vertAlign w:val="subscript"/>
        </w:rPr>
        <w:t>RPC</w:t>
      </w:r>
      <w:r w:rsidRPr="00295A57">
        <w:rPr>
          <w:rFonts w:ascii="Bookman Old Style" w:eastAsia="Arial" w:hAnsi="Bookman Old Style" w:cs="Arial"/>
        </w:rPr>
        <w:t xml:space="preserve">: </w:t>
      </w:r>
      <w:r w:rsidRPr="00295A57">
        <w:rPr>
          <w:rFonts w:ascii="Bookman Old Style" w:eastAsia="Arial" w:hAnsi="Bookman Old Style" w:cs="Arial"/>
        </w:rPr>
        <w:tab/>
        <w:t>corresponde al último valor disponible en PLATTS para la tarifa del transporte en la ruta Rotterdam – Pozos Colorados, expresado en dólares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Flete</w:t>
      </w:r>
      <w:r w:rsidRPr="00295A57">
        <w:rPr>
          <w:rFonts w:ascii="Bookman Old Style" w:eastAsia="Arial" w:hAnsi="Bookman Old Style" w:cs="Arial"/>
          <w:vertAlign w:val="subscript"/>
        </w:rPr>
        <w:t>APC</w:t>
      </w:r>
      <w:r w:rsidRPr="00295A57">
        <w:rPr>
          <w:rFonts w:ascii="Bookman Old Style" w:eastAsia="Arial" w:hAnsi="Bookman Old Style" w:cs="Arial"/>
        </w:rPr>
        <w:t xml:space="preserve">: </w:t>
      </w:r>
      <w:r w:rsidRPr="00295A57">
        <w:rPr>
          <w:rFonts w:ascii="Bookman Old Style" w:eastAsia="Arial" w:hAnsi="Bookman Old Style" w:cs="Arial"/>
        </w:rPr>
        <w:tab/>
        <w:t>corresponde al último valor disponible en PLATTS para la tarifa del transporte en la ruta Argentina – Pozos Colorados, expresado en dólares por galón</w:t>
      </w:r>
    </w:p>
    <w:p w:rsidR="000A0600" w:rsidRPr="00295A57" w:rsidRDefault="000A0600" w:rsidP="000A0600">
      <w:pPr>
        <w:ind w:left="0"/>
        <w:jc w:val="both"/>
        <w:rPr>
          <w:rFonts w:ascii="Bookman Old Style" w:eastAsia="Arial" w:hAnsi="Bookman Old Style" w:cs="Arial"/>
        </w:rPr>
      </w:pPr>
    </w:p>
    <w:p w:rsidR="000A0600" w:rsidRPr="00295A57" w:rsidRDefault="000A0600" w:rsidP="000A0600">
      <w:pPr>
        <w:ind w:left="0"/>
        <w:jc w:val="both"/>
        <w:rPr>
          <w:rFonts w:ascii="Bookman Old Style" w:eastAsia="Arial" w:hAnsi="Bookman Old Style" w:cs="Arial"/>
        </w:rPr>
      </w:pPr>
      <w:r w:rsidRPr="00295A57">
        <w:rPr>
          <w:rFonts w:ascii="Bookman Old Style" w:eastAsia="Arial" w:hAnsi="Bookman Old Style" w:cs="Arial"/>
        </w:rPr>
        <w:t>TRM</w:t>
      </w:r>
      <w:r w:rsidR="00D02731" w:rsidRPr="00295A57">
        <w:rPr>
          <w:rFonts w:ascii="Bookman Old Style" w:eastAsia="Arial" w:hAnsi="Bookman Old Style" w:cs="Arial"/>
          <w:vertAlign w:val="subscript"/>
        </w:rPr>
        <w:t>t</w:t>
      </w:r>
      <w:r w:rsidRPr="00295A57">
        <w:rPr>
          <w:rFonts w:ascii="Bookman Old Style" w:eastAsia="Arial" w:hAnsi="Bookman Old Style" w:cs="Arial"/>
        </w:rPr>
        <w:t xml:space="preserve">: </w:t>
      </w:r>
      <w:r w:rsidRPr="00295A57">
        <w:rPr>
          <w:rFonts w:ascii="Bookman Old Style" w:eastAsia="Arial" w:hAnsi="Bookman Old Style" w:cs="Arial"/>
        </w:rPr>
        <w:tab/>
        <w:t xml:space="preserve">promedio simple mensual de la Tasa Representativa del Mercado, certificada por la autoridad competente, </w:t>
      </w:r>
      <w:r w:rsidR="00D02731" w:rsidRPr="00295A57">
        <w:rPr>
          <w:rFonts w:ascii="Bookman Old Style" w:eastAsia="Arial" w:hAnsi="Bookman Old Style" w:cs="Arial"/>
        </w:rPr>
        <w:t>durante el mes t</w:t>
      </w:r>
      <w:r w:rsidRPr="00295A57">
        <w:rPr>
          <w:rFonts w:ascii="Bookman Old Style" w:eastAsia="Arial" w:hAnsi="Bookman Old Style" w:cs="Arial"/>
        </w:rPr>
        <w:t>.</w:t>
      </w:r>
    </w:p>
    <w:p w:rsidR="000A0600" w:rsidRPr="00295A57" w:rsidRDefault="000A0600" w:rsidP="000A0600">
      <w:pPr>
        <w:ind w:left="0"/>
        <w:rPr>
          <w:rFonts w:ascii="Bookman Old Style" w:eastAsia="Arial" w:hAnsi="Bookman Old Style" w:cs="Arial"/>
        </w:rPr>
      </w:pPr>
    </w:p>
    <w:p w:rsidR="000A0600" w:rsidRPr="00295A57" w:rsidRDefault="000A0600" w:rsidP="000A0600">
      <w:pPr>
        <w:ind w:left="0"/>
        <w:jc w:val="both"/>
        <w:rPr>
          <w:rFonts w:ascii="Bookman Old Style" w:hAnsi="Bookman Old Style"/>
        </w:rPr>
      </w:pPr>
      <w:r w:rsidRPr="00295A57">
        <w:rPr>
          <w:rFonts w:ascii="Bookman Old Style" w:hAnsi="Bookman Old Style"/>
          <w:b/>
        </w:rPr>
        <w:t xml:space="preserve">Artículo </w:t>
      </w:r>
      <w:r w:rsidR="00517899" w:rsidRPr="00295A57">
        <w:rPr>
          <w:rFonts w:ascii="Bookman Old Style" w:hAnsi="Bookman Old Style"/>
          <w:b/>
        </w:rPr>
        <w:t>8</w:t>
      </w:r>
      <w:r w:rsidRPr="00295A57">
        <w:rPr>
          <w:rFonts w:ascii="Bookman Old Style" w:hAnsi="Bookman Old Style"/>
          <w:b/>
        </w:rPr>
        <w:t xml:space="preserve">°. Vigencia. </w:t>
      </w:r>
      <w:r w:rsidRPr="00295A57">
        <w:rPr>
          <w:rFonts w:ascii="Bookman Old Style" w:hAnsi="Bookman Old Style"/>
        </w:rPr>
        <w:t xml:space="preserve">La presente resolución rige como metodología de referencia a partir de la fecha de su publicación en el </w:t>
      </w:r>
      <w:r w:rsidRPr="00295A57">
        <w:rPr>
          <w:rFonts w:ascii="Bookman Old Style" w:hAnsi="Bookman Old Style"/>
          <w:i/>
        </w:rPr>
        <w:t>Diario Oficial.</w:t>
      </w:r>
    </w:p>
    <w:p w:rsidR="00D71B8B" w:rsidRPr="00295A57" w:rsidRDefault="00D71B8B" w:rsidP="00F92E65">
      <w:pPr>
        <w:ind w:left="0"/>
        <w:jc w:val="both"/>
        <w:rPr>
          <w:rFonts w:ascii="Bookman Old Style" w:hAnsi="Bookman Old Style"/>
        </w:rPr>
      </w:pPr>
    </w:p>
    <w:p w:rsidR="00F92E65" w:rsidRPr="00295A57" w:rsidRDefault="00F92E65" w:rsidP="00F92E65">
      <w:pPr>
        <w:ind w:left="0"/>
        <w:jc w:val="both"/>
        <w:rPr>
          <w:rFonts w:ascii="Bookman Old Style" w:hAnsi="Bookman Old Style"/>
          <w:b/>
        </w:rPr>
      </w:pPr>
    </w:p>
    <w:p w:rsidR="00F92E65" w:rsidRPr="00295A57" w:rsidRDefault="00F92E65" w:rsidP="00F92E65">
      <w:pPr>
        <w:jc w:val="center"/>
        <w:rPr>
          <w:lang w:eastAsia="ar-SA"/>
        </w:rPr>
      </w:pPr>
      <w:r w:rsidRPr="00295A57">
        <w:rPr>
          <w:rFonts w:ascii="Bookman Old Style" w:hAnsi="Bookman Old Style" w:cs="Arial"/>
          <w:b/>
        </w:rPr>
        <w:t>PUBLÍQUESE Y CÚMPLASE</w:t>
      </w:r>
    </w:p>
    <w:p w:rsidR="00F92E65" w:rsidRPr="00295A57" w:rsidRDefault="00F92E65" w:rsidP="00F92E65">
      <w:pPr>
        <w:rPr>
          <w:rFonts w:ascii="Bookman Old Style" w:hAnsi="Bookman Old Style" w:cs="Arial"/>
          <w:szCs w:val="20"/>
        </w:rPr>
      </w:pPr>
    </w:p>
    <w:p w:rsidR="00F92E65" w:rsidRPr="00295A57" w:rsidRDefault="00627044" w:rsidP="00F92E65">
      <w:pPr>
        <w:ind w:left="0"/>
        <w:rPr>
          <w:rFonts w:ascii="Bookman Old Style" w:hAnsi="Bookman Old Style" w:cs="Arial"/>
          <w:szCs w:val="20"/>
        </w:rPr>
      </w:pPr>
      <w:r>
        <w:rPr>
          <w:rFonts w:ascii="Bookman Old Style" w:hAnsi="Bookman Old Style" w:cs="Arial"/>
          <w:szCs w:val="20"/>
        </w:rPr>
        <w:t>Firma del proyecto,</w:t>
      </w:r>
    </w:p>
    <w:p w:rsidR="00F92E65" w:rsidRPr="00295A57" w:rsidRDefault="00F92E65" w:rsidP="00F92E65">
      <w:pPr>
        <w:rPr>
          <w:rFonts w:ascii="Bookman Old Style" w:hAnsi="Bookman Old Style" w:cs="Arial"/>
          <w:szCs w:val="20"/>
        </w:rPr>
      </w:pPr>
    </w:p>
    <w:p w:rsidR="00F92E65" w:rsidRPr="00295A57" w:rsidRDefault="00F92E65" w:rsidP="00F92E65">
      <w:pPr>
        <w:rPr>
          <w:rFonts w:ascii="Bookman Old Style" w:hAnsi="Bookman Old Style" w:cs="Arial"/>
          <w:szCs w:val="20"/>
        </w:rPr>
      </w:pPr>
    </w:p>
    <w:p w:rsidR="00F92E65" w:rsidRPr="00295A57" w:rsidRDefault="00F92E65" w:rsidP="00F92E65">
      <w:pPr>
        <w:rPr>
          <w:rFonts w:ascii="Bookman Old Style" w:hAnsi="Bookman Old Style" w:cs="Arial"/>
          <w:szCs w:val="20"/>
        </w:rPr>
      </w:pPr>
    </w:p>
    <w:p w:rsidR="00F92E65" w:rsidRPr="00295A57" w:rsidRDefault="00F92E65" w:rsidP="00F92E65">
      <w:pPr>
        <w:rPr>
          <w:rFonts w:ascii="Bookman Old Style" w:hAnsi="Bookman Old Style" w:cs="Arial"/>
          <w:szCs w:val="20"/>
        </w:rPr>
      </w:pPr>
    </w:p>
    <w:p w:rsidR="00F92E65" w:rsidRPr="00295A57" w:rsidRDefault="00F92E65" w:rsidP="00F92E65">
      <w:pPr>
        <w:rPr>
          <w:rFonts w:ascii="Bookman Old Style" w:hAnsi="Bookman Old Style"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904"/>
        <w:gridCol w:w="4477"/>
      </w:tblGrid>
      <w:tr w:rsidR="00F92E65" w:rsidRPr="00295A57" w:rsidTr="00AA0792">
        <w:trPr>
          <w:trHeight w:val="329"/>
          <w:jc w:val="center"/>
        </w:trPr>
        <w:tc>
          <w:tcPr>
            <w:tcW w:w="4904" w:type="dxa"/>
          </w:tcPr>
          <w:p w:rsidR="00F92E65" w:rsidRPr="00295A57" w:rsidRDefault="00D71B8B" w:rsidP="00AA0792">
            <w:pPr>
              <w:keepNext/>
              <w:tabs>
                <w:tab w:val="left" w:pos="-720"/>
              </w:tabs>
              <w:suppressAutoHyphens/>
              <w:ind w:left="0"/>
              <w:jc w:val="center"/>
              <w:rPr>
                <w:rFonts w:ascii="Bookman Old Style" w:hAnsi="Bookman Old Style"/>
                <w:b/>
              </w:rPr>
            </w:pPr>
            <w:r w:rsidRPr="00295A57">
              <w:rPr>
                <w:rFonts w:ascii="Bookman Old Style" w:hAnsi="Bookman Old Style"/>
                <w:b/>
                <w:bCs/>
              </w:rPr>
              <w:t>GERMÁN ARCE ZAPATA</w:t>
            </w:r>
          </w:p>
        </w:tc>
        <w:tc>
          <w:tcPr>
            <w:tcW w:w="4477" w:type="dxa"/>
            <w:vAlign w:val="center"/>
          </w:tcPr>
          <w:p w:rsidR="00F92E65" w:rsidRPr="00295A57" w:rsidRDefault="00F92E65" w:rsidP="00AA0792">
            <w:pPr>
              <w:keepNext/>
              <w:suppressAutoHyphens/>
              <w:ind w:left="0"/>
              <w:jc w:val="center"/>
              <w:rPr>
                <w:rFonts w:ascii="Bookman Old Style" w:hAnsi="Bookman Old Style"/>
                <w:b/>
              </w:rPr>
            </w:pPr>
            <w:r w:rsidRPr="00295A57">
              <w:rPr>
                <w:rFonts w:ascii="Bookman Old Style" w:hAnsi="Bookman Old Style"/>
                <w:b/>
              </w:rPr>
              <w:t>JORGE PINTO NOLLA</w:t>
            </w:r>
          </w:p>
        </w:tc>
      </w:tr>
      <w:tr w:rsidR="00F92E65" w:rsidRPr="00295A57" w:rsidTr="00AA0792">
        <w:trPr>
          <w:trHeight w:val="254"/>
          <w:jc w:val="center"/>
        </w:trPr>
        <w:tc>
          <w:tcPr>
            <w:tcW w:w="4904" w:type="dxa"/>
          </w:tcPr>
          <w:p w:rsidR="00F92E65" w:rsidRPr="00295A57" w:rsidRDefault="00D71B8B" w:rsidP="00AA0792">
            <w:pPr>
              <w:keepNext/>
              <w:suppressAutoHyphens/>
              <w:ind w:left="0"/>
              <w:jc w:val="center"/>
              <w:rPr>
                <w:rFonts w:ascii="Bookman Old Style" w:hAnsi="Bookman Old Style"/>
              </w:rPr>
            </w:pPr>
            <w:r w:rsidRPr="00295A57">
              <w:rPr>
                <w:rFonts w:ascii="Bookman Old Style" w:hAnsi="Bookman Old Style" w:cs="Arial"/>
                <w:spacing w:val="-3"/>
              </w:rPr>
              <w:t>Ministro de Minas y Energía</w:t>
            </w:r>
          </w:p>
        </w:tc>
        <w:tc>
          <w:tcPr>
            <w:tcW w:w="4477" w:type="dxa"/>
          </w:tcPr>
          <w:p w:rsidR="00F92E65" w:rsidRPr="00295A57" w:rsidRDefault="00F92E65" w:rsidP="00AA0792">
            <w:pPr>
              <w:keepNext/>
              <w:tabs>
                <w:tab w:val="left" w:pos="-720"/>
              </w:tabs>
              <w:suppressAutoHyphens/>
              <w:ind w:left="0"/>
              <w:jc w:val="center"/>
              <w:rPr>
                <w:rFonts w:ascii="Bookman Old Style" w:hAnsi="Bookman Old Style"/>
              </w:rPr>
            </w:pPr>
            <w:r w:rsidRPr="00295A57">
              <w:rPr>
                <w:rFonts w:ascii="Bookman Old Style" w:hAnsi="Bookman Old Style"/>
              </w:rPr>
              <w:t>Director Ejecutivo</w:t>
            </w:r>
          </w:p>
        </w:tc>
      </w:tr>
      <w:tr w:rsidR="00F92E65" w:rsidRPr="00D7687D" w:rsidTr="00AA0792">
        <w:trPr>
          <w:trHeight w:val="73"/>
          <w:jc w:val="center"/>
        </w:trPr>
        <w:tc>
          <w:tcPr>
            <w:tcW w:w="4904" w:type="dxa"/>
          </w:tcPr>
          <w:p w:rsidR="00F92E65" w:rsidRPr="00D7687D" w:rsidRDefault="00F92E65" w:rsidP="00AA0792">
            <w:pPr>
              <w:tabs>
                <w:tab w:val="left" w:pos="-720"/>
              </w:tabs>
              <w:suppressAutoHyphens/>
              <w:ind w:left="0"/>
              <w:jc w:val="center"/>
              <w:rPr>
                <w:rFonts w:ascii="Bookman Old Style" w:hAnsi="Bookman Old Style"/>
              </w:rPr>
            </w:pPr>
            <w:r w:rsidRPr="00295A57">
              <w:rPr>
                <w:rFonts w:ascii="Bookman Old Style" w:hAnsi="Bookman Old Style" w:cs="Arial"/>
                <w:spacing w:val="-3"/>
              </w:rPr>
              <w:t>Presidente</w:t>
            </w:r>
          </w:p>
        </w:tc>
        <w:tc>
          <w:tcPr>
            <w:tcW w:w="4477" w:type="dxa"/>
            <w:vAlign w:val="center"/>
          </w:tcPr>
          <w:p w:rsidR="00F92E65" w:rsidRPr="00D7687D" w:rsidRDefault="00F92E65" w:rsidP="00AA0792">
            <w:pPr>
              <w:ind w:left="708" w:hanging="708"/>
              <w:rPr>
                <w:rFonts w:ascii="Bookman Old Style" w:hAnsi="Bookman Old Style"/>
                <w:b/>
                <w:bCs/>
              </w:rPr>
            </w:pPr>
          </w:p>
        </w:tc>
      </w:tr>
    </w:tbl>
    <w:p w:rsidR="00F92E65" w:rsidRDefault="00F92E65" w:rsidP="00F92E65">
      <w:pPr>
        <w:rPr>
          <w:rFonts w:ascii="Bookman Old Style" w:hAnsi="Bookman Old Style" w:cs="Arial"/>
          <w:szCs w:val="20"/>
        </w:rPr>
      </w:pPr>
    </w:p>
    <w:p w:rsidR="00F92E65" w:rsidRDefault="00F92E65" w:rsidP="00F92E65">
      <w:pPr>
        <w:tabs>
          <w:tab w:val="center" w:pos="4512"/>
          <w:tab w:val="left" w:pos="7088"/>
        </w:tabs>
        <w:suppressAutoHyphens/>
        <w:ind w:left="0" w:right="51"/>
        <w:rPr>
          <w:rFonts w:ascii="Bookman Old Style" w:hAnsi="Bookman Old Style" w:cs="Arial"/>
          <w:b/>
          <w:color w:val="000000"/>
        </w:rPr>
      </w:pPr>
    </w:p>
    <w:p w:rsidR="00F92E65" w:rsidRDefault="00F92E65" w:rsidP="00F92E65">
      <w:pPr>
        <w:tabs>
          <w:tab w:val="center" w:pos="4512"/>
          <w:tab w:val="left" w:pos="7088"/>
        </w:tabs>
        <w:suppressAutoHyphens/>
        <w:ind w:left="0" w:right="51"/>
        <w:jc w:val="center"/>
        <w:rPr>
          <w:rFonts w:ascii="Bookman Old Style" w:hAnsi="Bookman Old Style" w:cs="Arial"/>
          <w:b/>
          <w:color w:val="000000"/>
        </w:rPr>
      </w:pPr>
    </w:p>
    <w:p w:rsidR="00F92E65" w:rsidRDefault="00F92E65" w:rsidP="00F92E65">
      <w:pPr>
        <w:tabs>
          <w:tab w:val="center" w:pos="4512"/>
          <w:tab w:val="left" w:pos="7088"/>
        </w:tabs>
        <w:suppressAutoHyphens/>
        <w:ind w:left="0" w:right="51"/>
        <w:jc w:val="center"/>
        <w:rPr>
          <w:rFonts w:ascii="Bookman Old Style" w:hAnsi="Bookman Old Style" w:cs="Arial"/>
          <w:b/>
          <w:color w:val="000000"/>
        </w:rPr>
      </w:pPr>
    </w:p>
    <w:p w:rsidR="00992E04" w:rsidRPr="00A172A1" w:rsidRDefault="00992E04">
      <w:pPr>
        <w:jc w:val="center"/>
      </w:pPr>
    </w:p>
    <w:sectPr w:rsidR="00992E04" w:rsidRPr="00A172A1" w:rsidSect="00193162">
      <w:headerReference w:type="default" r:id="rId13"/>
      <w:headerReference w:type="first" r:id="rId14"/>
      <w:type w:val="continuous"/>
      <w:pgSz w:w="12242" w:h="18705" w:code="184"/>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7A" w:rsidRDefault="00C9277A">
      <w:r>
        <w:separator/>
      </w:r>
    </w:p>
  </w:endnote>
  <w:endnote w:type="continuationSeparator" w:id="0">
    <w:p w:rsidR="00C9277A" w:rsidRDefault="00C9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7A" w:rsidRDefault="00C9277A">
      <w:r>
        <w:separator/>
      </w:r>
    </w:p>
  </w:footnote>
  <w:footnote w:type="continuationSeparator" w:id="0">
    <w:p w:rsidR="00C9277A" w:rsidRDefault="00C92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92" w:rsidRDefault="00AA0792" w:rsidP="00951F79">
    <w:pPr>
      <w:pStyle w:val="Ttulo1"/>
      <w:ind w:right="6"/>
      <w:jc w:val="left"/>
      <w:rPr>
        <w:rFonts w:cs="Arial"/>
        <w:b w:val="0"/>
        <w:sz w:val="22"/>
        <w:szCs w:val="22"/>
      </w:rPr>
    </w:pPr>
  </w:p>
  <w:p w:rsidR="00AA0792" w:rsidRPr="00951F79" w:rsidRDefault="00AA0792" w:rsidP="009F4BEC">
    <w:pPr>
      <w:pStyle w:val="Ttulo1"/>
      <w:ind w:left="0" w:right="6"/>
      <w:jc w:val="left"/>
      <w:rPr>
        <w:rFonts w:cs="Arial"/>
        <w:b w:val="0"/>
        <w:sz w:val="22"/>
        <w:szCs w:val="22"/>
      </w:rPr>
    </w:pPr>
    <w:r w:rsidRPr="00654384">
      <w:rPr>
        <w:rFonts w:cs="Arial"/>
        <w:b w:val="0"/>
        <w:sz w:val="22"/>
        <w:szCs w:val="22"/>
      </w:rPr>
      <w:t>RESOLUCIÓN No.</w:t>
    </w:r>
    <w:r>
      <w:rPr>
        <w:rFonts w:cs="Arial"/>
        <w:b w:val="0"/>
        <w:sz w:val="22"/>
        <w:szCs w:val="22"/>
      </w:rPr>
      <w:t xml:space="preserve">  ________________</w:t>
    </w:r>
    <w:r w:rsidRPr="00654384">
      <w:rPr>
        <w:rFonts w:cs="Arial"/>
        <w:b w:val="0"/>
        <w:sz w:val="22"/>
        <w:szCs w:val="22"/>
      </w:rPr>
      <w:tab/>
    </w:r>
    <w:r>
      <w:rPr>
        <w:rFonts w:cs="Arial"/>
        <w:b w:val="0"/>
        <w:sz w:val="22"/>
        <w:szCs w:val="22"/>
      </w:rPr>
      <w:t>DE ________________</w:t>
    </w:r>
    <w:r>
      <w:rPr>
        <w:rFonts w:cs="Arial"/>
        <w:b w:val="0"/>
        <w:sz w:val="22"/>
        <w:szCs w:val="22"/>
      </w:rPr>
      <w:tab/>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sidR="00991CDB">
      <w:rPr>
        <w:rFonts w:cs="Arial"/>
        <w:b w:val="0"/>
        <w:noProof/>
        <w:sz w:val="22"/>
        <w:szCs w:val="22"/>
      </w:rPr>
      <w:t>10</w:t>
    </w:r>
    <w:r w:rsidRPr="00654384">
      <w:rPr>
        <w:rFonts w:cs="Arial"/>
        <w:b w:val="0"/>
        <w:sz w:val="22"/>
        <w:szCs w:val="22"/>
      </w:rPr>
      <w:fldChar w:fldCharType="end"/>
    </w:r>
    <w:r w:rsidRPr="00654384">
      <w:rPr>
        <w:rFonts w:cs="Arial"/>
        <w:b w:val="0"/>
        <w:sz w:val="22"/>
        <w:szCs w:val="22"/>
      </w:rPr>
      <w:t>/</w:t>
    </w:r>
    <w:fldSimple w:instr=" NUMPAGES  \* MERGEFORMAT ">
      <w:r w:rsidR="00991CDB" w:rsidRPr="00991CDB">
        <w:rPr>
          <w:rFonts w:cs="Arial"/>
          <w:b w:val="0"/>
          <w:noProof/>
          <w:sz w:val="22"/>
          <w:szCs w:val="22"/>
        </w:rPr>
        <w:t>10</w:t>
      </w:r>
    </w:fldSimple>
  </w:p>
  <w:p w:rsidR="00AA0792" w:rsidRDefault="00AA079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1A37880" wp14:editId="175286DE">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39C1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44246" w:rsidRPr="00A9585F" w:rsidRDefault="00A9585F" w:rsidP="00A9585F">
    <w:pPr>
      <w:ind w:left="0"/>
      <w:jc w:val="both"/>
      <w:rPr>
        <w:rFonts w:ascii="Bookman Old Style" w:hAnsi="Bookman Old Style"/>
        <w:sz w:val="22"/>
        <w:szCs w:val="22"/>
      </w:rPr>
    </w:pPr>
    <w:r w:rsidRPr="00A9585F">
      <w:rPr>
        <w:rFonts w:ascii="Bookman Old Style" w:hAnsi="Bookman Old Style"/>
        <w:sz w:val="22"/>
        <w:szCs w:val="22"/>
      </w:rPr>
      <w:t>Por la cual se ordena hacer público un proyecto de resolución de carácter general, “Por la cual se define la metodología y parámetros de referencia del ingreso al productor de Biocombustibles”</w:t>
    </w:r>
  </w:p>
  <w:p w:rsidR="00AA0792" w:rsidRPr="00992E04" w:rsidRDefault="00AA0792" w:rsidP="006D7254">
    <w:pPr>
      <w:pBdr>
        <w:bottom w:val="single" w:sz="4" w:space="1" w:color="auto"/>
      </w:pBdr>
      <w:ind w:left="0" w:right="148"/>
      <w:rPr>
        <w:b/>
      </w:rPr>
    </w:pPr>
  </w:p>
  <w:p w:rsidR="004B33AA" w:rsidRDefault="004B33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92" w:rsidRDefault="00AA0792"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A0792" w:rsidRDefault="00AA0792">
    <w:pPr>
      <w:pStyle w:val="Encabezado"/>
      <w:jc w:val="center"/>
      <w:rPr>
        <w:rFonts w:ascii="Arial" w:hAnsi="Arial" w:cs="Arial"/>
        <w:spacing w:val="20"/>
        <w:sz w:val="20"/>
      </w:rPr>
    </w:pPr>
  </w:p>
  <w:p w:rsidR="00AA0792" w:rsidRDefault="00AA079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21B053D" wp14:editId="71A4DC7C">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4CB7D"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248380E"/>
    <w:multiLevelType w:val="hybridMultilevel"/>
    <w:tmpl w:val="E32A62AA"/>
    <w:lvl w:ilvl="0" w:tplc="6B204CF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9253D2"/>
    <w:multiLevelType w:val="hybridMultilevel"/>
    <w:tmpl w:val="BDB675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347AB"/>
    <w:multiLevelType w:val="multilevel"/>
    <w:tmpl w:val="A76E9422"/>
    <w:lvl w:ilvl="0">
      <w:start w:val="1"/>
      <w:numFmt w:val="decimal"/>
      <w:lvlText w:val="%1."/>
      <w:lvlJc w:val="left"/>
      <w:pPr>
        <w:ind w:left="128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1134" w:firstLine="513"/>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807" w:hanging="144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4" w15:restartNumberingAfterBreak="0">
    <w:nsid w:val="09FC38C2"/>
    <w:multiLevelType w:val="hybridMultilevel"/>
    <w:tmpl w:val="2E7A6B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C5371D"/>
    <w:multiLevelType w:val="hybridMultilevel"/>
    <w:tmpl w:val="486E3722"/>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276A1F"/>
    <w:multiLevelType w:val="hybridMultilevel"/>
    <w:tmpl w:val="A5ECD100"/>
    <w:lvl w:ilvl="0" w:tplc="240A0013">
      <w:start w:val="1"/>
      <w:numFmt w:val="upperRoman"/>
      <w:lvlText w:val="%1."/>
      <w:lvlJc w:val="right"/>
      <w:pPr>
        <w:ind w:left="720" w:hanging="360"/>
      </w:pPr>
    </w:lvl>
    <w:lvl w:ilvl="1" w:tplc="8AF69860">
      <w:start w:val="3"/>
      <w:numFmt w:val="bullet"/>
      <w:lvlText w:val="•"/>
      <w:lvlJc w:val="left"/>
      <w:pPr>
        <w:ind w:left="1785" w:hanging="705"/>
      </w:pPr>
      <w:rPr>
        <w:rFonts w:ascii="Bookman Old Style" w:eastAsia="Times New Roman" w:hAnsi="Bookman Old Style"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572564"/>
    <w:multiLevelType w:val="hybridMultilevel"/>
    <w:tmpl w:val="C4E870F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B26361"/>
    <w:multiLevelType w:val="multilevel"/>
    <w:tmpl w:val="22D467BE"/>
    <w:lvl w:ilvl="0">
      <w:start w:val="1"/>
      <w:numFmt w:val="decimal"/>
      <w:lvlText w:val="%1."/>
      <w:lvlJc w:val="left"/>
      <w:pPr>
        <w:ind w:left="1287"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807" w:hanging="144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9" w15:restartNumberingAfterBreak="0">
    <w:nsid w:val="130309A8"/>
    <w:multiLevelType w:val="hybridMultilevel"/>
    <w:tmpl w:val="6486FF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41F1B4F"/>
    <w:multiLevelType w:val="hybridMultilevel"/>
    <w:tmpl w:val="98240682"/>
    <w:lvl w:ilvl="0" w:tplc="240A0017">
      <w:start w:val="1"/>
      <w:numFmt w:val="lowerLetter"/>
      <w:lvlText w:val="%1)"/>
      <w:lvlJc w:val="left"/>
      <w:pPr>
        <w:ind w:left="1069" w:hanging="360"/>
      </w:p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1" w15:restartNumberingAfterBreak="0">
    <w:nsid w:val="15156EAA"/>
    <w:multiLevelType w:val="hybridMultilevel"/>
    <w:tmpl w:val="C2C44C3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8883C1A"/>
    <w:multiLevelType w:val="hybridMultilevel"/>
    <w:tmpl w:val="C44073CC"/>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9743EB3"/>
    <w:multiLevelType w:val="hybridMultilevel"/>
    <w:tmpl w:val="049076FE"/>
    <w:lvl w:ilvl="0" w:tplc="706EAB38">
      <w:start w:val="1"/>
      <w:numFmt w:val="lowerLetter"/>
      <w:lvlText w:val="%1)"/>
      <w:lvlJc w:val="left"/>
      <w:pPr>
        <w:ind w:left="720" w:hanging="360"/>
      </w:pPr>
      <w:rPr>
        <w:rFonts w:hint="default"/>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6178F4"/>
    <w:multiLevelType w:val="hybridMultilevel"/>
    <w:tmpl w:val="14A2F69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C9068B1"/>
    <w:multiLevelType w:val="hybridMultilevel"/>
    <w:tmpl w:val="710086B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1C9417CA"/>
    <w:multiLevelType w:val="hybridMultilevel"/>
    <w:tmpl w:val="8934FE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F9C48A9"/>
    <w:multiLevelType w:val="hybridMultilevel"/>
    <w:tmpl w:val="3BB881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8D23876"/>
    <w:multiLevelType w:val="hybridMultilevel"/>
    <w:tmpl w:val="69A0AE76"/>
    <w:lvl w:ilvl="0" w:tplc="E9F61234">
      <w:start w:val="1"/>
      <w:numFmt w:val="upperRoman"/>
      <w:lvlText w:val="%1."/>
      <w:lvlJc w:val="left"/>
      <w:pPr>
        <w:ind w:left="1080" w:hanging="720"/>
      </w:pPr>
      <w:rPr>
        <w:rFonts w:hint="default"/>
      </w:rPr>
    </w:lvl>
    <w:lvl w:ilvl="1" w:tplc="5374FA96">
      <w:start w:val="1"/>
      <w:numFmt w:val="lowerLetter"/>
      <w:lvlText w:val="%2."/>
      <w:lvlJc w:val="left"/>
      <w:pPr>
        <w:ind w:left="1935" w:hanging="85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B0105F2"/>
    <w:multiLevelType w:val="hybridMultilevel"/>
    <w:tmpl w:val="62640C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DA669E2"/>
    <w:multiLevelType w:val="hybridMultilevel"/>
    <w:tmpl w:val="7C36B6E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2E78751B"/>
    <w:multiLevelType w:val="multilevel"/>
    <w:tmpl w:val="CD561308"/>
    <w:lvl w:ilvl="0">
      <w:start w:val="4"/>
      <w:numFmt w:val="decimal"/>
      <w:lvlText w:val="%1"/>
      <w:lvlJc w:val="left"/>
      <w:pPr>
        <w:ind w:left="810" w:hanging="810"/>
      </w:pPr>
      <w:rPr>
        <w:rFonts w:hint="default"/>
      </w:rPr>
    </w:lvl>
    <w:lvl w:ilvl="1">
      <w:start w:val="10"/>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03406D3"/>
    <w:multiLevelType w:val="hybridMultilevel"/>
    <w:tmpl w:val="8F227C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13D4045"/>
    <w:multiLevelType w:val="hybridMultilevel"/>
    <w:tmpl w:val="C6A095E4"/>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33CD76F2"/>
    <w:multiLevelType w:val="hybridMultilevel"/>
    <w:tmpl w:val="0BEE0E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3ED362C"/>
    <w:multiLevelType w:val="hybridMultilevel"/>
    <w:tmpl w:val="D884FA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4E6182A"/>
    <w:multiLevelType w:val="hybridMultilevel"/>
    <w:tmpl w:val="995E1F8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8A133EB"/>
    <w:multiLevelType w:val="hybridMultilevel"/>
    <w:tmpl w:val="E02EFC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91E6A80"/>
    <w:multiLevelType w:val="hybridMultilevel"/>
    <w:tmpl w:val="003A1B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A214A98"/>
    <w:multiLevelType w:val="hybridMultilevel"/>
    <w:tmpl w:val="EACC24B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D4B1F5A"/>
    <w:multiLevelType w:val="multilevel"/>
    <w:tmpl w:val="E2741F0E"/>
    <w:lvl w:ilvl="0">
      <w:start w:val="4"/>
      <w:numFmt w:val="decimal"/>
      <w:lvlText w:val="%1."/>
      <w:lvlJc w:val="left"/>
      <w:pPr>
        <w:ind w:left="885" w:hanging="885"/>
      </w:pPr>
      <w:rPr>
        <w:rFonts w:hint="default"/>
      </w:rPr>
    </w:lvl>
    <w:lvl w:ilvl="1">
      <w:start w:val="12"/>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C72ACE"/>
    <w:multiLevelType w:val="hybridMultilevel"/>
    <w:tmpl w:val="3EC2EC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E366FCD"/>
    <w:multiLevelType w:val="hybridMultilevel"/>
    <w:tmpl w:val="CD8035D8"/>
    <w:lvl w:ilvl="0" w:tplc="E1C4A5A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1657E7C"/>
    <w:multiLevelType w:val="multilevel"/>
    <w:tmpl w:val="472CE2A8"/>
    <w:lvl w:ilvl="0">
      <w:start w:val="4"/>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43606FE5"/>
    <w:multiLevelType w:val="hybridMultilevel"/>
    <w:tmpl w:val="0C1C134E"/>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4C746F2"/>
    <w:multiLevelType w:val="hybridMultilevel"/>
    <w:tmpl w:val="ED741534"/>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64747F4"/>
    <w:multiLevelType w:val="hybridMultilevel"/>
    <w:tmpl w:val="3DA06E5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6A578B9"/>
    <w:multiLevelType w:val="multilevel"/>
    <w:tmpl w:val="646AA812"/>
    <w:lvl w:ilvl="0">
      <w:start w:val="4"/>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79C5C7A"/>
    <w:multiLevelType w:val="hybridMultilevel"/>
    <w:tmpl w:val="B784BDBE"/>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88848A5"/>
    <w:multiLevelType w:val="hybridMultilevel"/>
    <w:tmpl w:val="5BA05F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49533BF4"/>
    <w:multiLevelType w:val="hybridMultilevel"/>
    <w:tmpl w:val="66D207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4F9429C1"/>
    <w:multiLevelType w:val="hybridMultilevel"/>
    <w:tmpl w:val="171000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3830B14"/>
    <w:multiLevelType w:val="multilevel"/>
    <w:tmpl w:val="F0601872"/>
    <w:lvl w:ilvl="0">
      <w:start w:val="1"/>
      <w:numFmt w:val="decimal"/>
      <w:lvlText w:val="%1."/>
      <w:lvlJc w:val="left"/>
      <w:pPr>
        <w:ind w:left="705" w:hanging="70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55090510"/>
    <w:multiLevelType w:val="hybridMultilevel"/>
    <w:tmpl w:val="D84A50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82C4681"/>
    <w:multiLevelType w:val="hybridMultilevel"/>
    <w:tmpl w:val="12A493C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9CC22CB"/>
    <w:multiLevelType w:val="hybridMultilevel"/>
    <w:tmpl w:val="1696CD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AF1283F"/>
    <w:multiLevelType w:val="hybridMultilevel"/>
    <w:tmpl w:val="5ED6998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B3719E8"/>
    <w:multiLevelType w:val="hybridMultilevel"/>
    <w:tmpl w:val="60E465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BAE6F7A"/>
    <w:multiLevelType w:val="multilevel"/>
    <w:tmpl w:val="682280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9" w15:restartNumberingAfterBreak="0">
    <w:nsid w:val="60D50D54"/>
    <w:multiLevelType w:val="hybridMultilevel"/>
    <w:tmpl w:val="E68E92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5734617"/>
    <w:multiLevelType w:val="hybridMultilevel"/>
    <w:tmpl w:val="9C4470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6B91BF2"/>
    <w:multiLevelType w:val="hybridMultilevel"/>
    <w:tmpl w:val="9AA8CE2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CF24268"/>
    <w:multiLevelType w:val="hybridMultilevel"/>
    <w:tmpl w:val="3BB881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FC23B15"/>
    <w:multiLevelType w:val="multilevel"/>
    <w:tmpl w:val="900CB042"/>
    <w:lvl w:ilvl="0">
      <w:start w:val="4"/>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0D976EB"/>
    <w:multiLevelType w:val="hybridMultilevel"/>
    <w:tmpl w:val="A4061ABC"/>
    <w:lvl w:ilvl="0" w:tplc="5CAEE1B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5B27A29"/>
    <w:multiLevelType w:val="hybridMultilevel"/>
    <w:tmpl w:val="9278A360"/>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6660489"/>
    <w:multiLevelType w:val="hybridMultilevel"/>
    <w:tmpl w:val="59FEC890"/>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A6E25E9"/>
    <w:multiLevelType w:val="hybridMultilevel"/>
    <w:tmpl w:val="3BB881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DF44891"/>
    <w:multiLevelType w:val="hybridMultilevel"/>
    <w:tmpl w:val="62640C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8"/>
  </w:num>
  <w:num w:numId="3">
    <w:abstractNumId w:val="42"/>
  </w:num>
  <w:num w:numId="4">
    <w:abstractNumId w:val="28"/>
  </w:num>
  <w:num w:numId="5">
    <w:abstractNumId w:val="57"/>
  </w:num>
  <w:num w:numId="6">
    <w:abstractNumId w:val="50"/>
  </w:num>
  <w:num w:numId="7">
    <w:abstractNumId w:val="44"/>
  </w:num>
  <w:num w:numId="8">
    <w:abstractNumId w:val="43"/>
  </w:num>
  <w:num w:numId="9">
    <w:abstractNumId w:val="6"/>
  </w:num>
  <w:num w:numId="10">
    <w:abstractNumId w:val="5"/>
  </w:num>
  <w:num w:numId="11">
    <w:abstractNumId w:val="18"/>
  </w:num>
  <w:num w:numId="12">
    <w:abstractNumId w:val="23"/>
  </w:num>
  <w:num w:numId="13">
    <w:abstractNumId w:val="35"/>
  </w:num>
  <w:num w:numId="14">
    <w:abstractNumId w:val="55"/>
  </w:num>
  <w:num w:numId="15">
    <w:abstractNumId w:val="12"/>
  </w:num>
  <w:num w:numId="16">
    <w:abstractNumId w:val="7"/>
  </w:num>
  <w:num w:numId="17">
    <w:abstractNumId w:val="25"/>
  </w:num>
  <w:num w:numId="18">
    <w:abstractNumId w:val="41"/>
  </w:num>
  <w:num w:numId="19">
    <w:abstractNumId w:val="4"/>
  </w:num>
  <w:num w:numId="20">
    <w:abstractNumId w:val="10"/>
  </w:num>
  <w:num w:numId="21">
    <w:abstractNumId w:val="39"/>
  </w:num>
  <w:num w:numId="22">
    <w:abstractNumId w:val="29"/>
  </w:num>
  <w:num w:numId="23">
    <w:abstractNumId w:val="31"/>
  </w:num>
  <w:num w:numId="24">
    <w:abstractNumId w:val="46"/>
  </w:num>
  <w:num w:numId="25">
    <w:abstractNumId w:val="9"/>
  </w:num>
  <w:num w:numId="26">
    <w:abstractNumId w:val="14"/>
  </w:num>
  <w:num w:numId="27">
    <w:abstractNumId w:val="58"/>
  </w:num>
  <w:num w:numId="28">
    <w:abstractNumId w:val="22"/>
  </w:num>
  <w:num w:numId="29">
    <w:abstractNumId w:val="49"/>
  </w:num>
  <w:num w:numId="30">
    <w:abstractNumId w:val="32"/>
  </w:num>
  <w:num w:numId="31">
    <w:abstractNumId w:val="27"/>
  </w:num>
  <w:num w:numId="32">
    <w:abstractNumId w:val="26"/>
  </w:num>
  <w:num w:numId="33">
    <w:abstractNumId w:val="51"/>
  </w:num>
  <w:num w:numId="34">
    <w:abstractNumId w:val="34"/>
  </w:num>
  <w:num w:numId="35">
    <w:abstractNumId w:val="2"/>
  </w:num>
  <w:num w:numId="36">
    <w:abstractNumId w:val="24"/>
  </w:num>
  <w:num w:numId="37">
    <w:abstractNumId w:val="36"/>
  </w:num>
  <w:num w:numId="38">
    <w:abstractNumId w:val="56"/>
  </w:num>
  <w:num w:numId="39">
    <w:abstractNumId w:val="1"/>
  </w:num>
  <w:num w:numId="40">
    <w:abstractNumId w:val="13"/>
  </w:num>
  <w:num w:numId="41">
    <w:abstractNumId w:val="19"/>
  </w:num>
  <w:num w:numId="42">
    <w:abstractNumId w:val="20"/>
  </w:num>
  <w:num w:numId="43">
    <w:abstractNumId w:val="40"/>
  </w:num>
  <w:num w:numId="44">
    <w:abstractNumId w:val="54"/>
  </w:num>
  <w:num w:numId="45">
    <w:abstractNumId w:val="38"/>
  </w:num>
  <w:num w:numId="46">
    <w:abstractNumId w:val="45"/>
  </w:num>
  <w:num w:numId="47">
    <w:abstractNumId w:val="11"/>
  </w:num>
  <w:num w:numId="48">
    <w:abstractNumId w:val="16"/>
  </w:num>
  <w:num w:numId="49">
    <w:abstractNumId w:val="37"/>
  </w:num>
  <w:num w:numId="50">
    <w:abstractNumId w:val="53"/>
  </w:num>
  <w:num w:numId="51">
    <w:abstractNumId w:val="3"/>
  </w:num>
  <w:num w:numId="52">
    <w:abstractNumId w:val="15"/>
  </w:num>
  <w:num w:numId="53">
    <w:abstractNumId w:val="8"/>
  </w:num>
  <w:num w:numId="54">
    <w:abstractNumId w:val="21"/>
  </w:num>
  <w:num w:numId="55">
    <w:abstractNumId w:val="33"/>
  </w:num>
  <w:num w:numId="56">
    <w:abstractNumId w:val="30"/>
  </w:num>
  <w:num w:numId="57">
    <w:abstractNumId w:val="52"/>
  </w:num>
  <w:num w:numId="58">
    <w:abstractNumId w:val="17"/>
  </w:num>
  <w:num w:numId="59">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2C3"/>
    <w:rsid w:val="00004B4B"/>
    <w:rsid w:val="00006A9E"/>
    <w:rsid w:val="00006AE2"/>
    <w:rsid w:val="000076A1"/>
    <w:rsid w:val="00010A47"/>
    <w:rsid w:val="00010EAA"/>
    <w:rsid w:val="00011BED"/>
    <w:rsid w:val="00012259"/>
    <w:rsid w:val="000158A8"/>
    <w:rsid w:val="00015C10"/>
    <w:rsid w:val="00016A50"/>
    <w:rsid w:val="00017149"/>
    <w:rsid w:val="00020842"/>
    <w:rsid w:val="000211CF"/>
    <w:rsid w:val="00021A7E"/>
    <w:rsid w:val="00021FC5"/>
    <w:rsid w:val="00024289"/>
    <w:rsid w:val="00024C50"/>
    <w:rsid w:val="00025383"/>
    <w:rsid w:val="00025CF2"/>
    <w:rsid w:val="0002630C"/>
    <w:rsid w:val="00026548"/>
    <w:rsid w:val="00026F7C"/>
    <w:rsid w:val="00027443"/>
    <w:rsid w:val="00027447"/>
    <w:rsid w:val="0003070E"/>
    <w:rsid w:val="00031021"/>
    <w:rsid w:val="000320E4"/>
    <w:rsid w:val="0003372D"/>
    <w:rsid w:val="00033EAA"/>
    <w:rsid w:val="00034AAC"/>
    <w:rsid w:val="00036E4E"/>
    <w:rsid w:val="00044620"/>
    <w:rsid w:val="000446D3"/>
    <w:rsid w:val="000454FF"/>
    <w:rsid w:val="00045BB6"/>
    <w:rsid w:val="000477DA"/>
    <w:rsid w:val="00050BFF"/>
    <w:rsid w:val="000515AF"/>
    <w:rsid w:val="00051A3D"/>
    <w:rsid w:val="00052BF3"/>
    <w:rsid w:val="000541A2"/>
    <w:rsid w:val="00055758"/>
    <w:rsid w:val="000566C9"/>
    <w:rsid w:val="000614A8"/>
    <w:rsid w:val="00062BDB"/>
    <w:rsid w:val="00062C53"/>
    <w:rsid w:val="00063657"/>
    <w:rsid w:val="000636D7"/>
    <w:rsid w:val="00063759"/>
    <w:rsid w:val="00064E59"/>
    <w:rsid w:val="00064EB1"/>
    <w:rsid w:val="00065635"/>
    <w:rsid w:val="000667EA"/>
    <w:rsid w:val="000675CE"/>
    <w:rsid w:val="00067F63"/>
    <w:rsid w:val="00070641"/>
    <w:rsid w:val="00070E50"/>
    <w:rsid w:val="0007277F"/>
    <w:rsid w:val="00072B27"/>
    <w:rsid w:val="00072D8E"/>
    <w:rsid w:val="00073DD1"/>
    <w:rsid w:val="0007462D"/>
    <w:rsid w:val="0007653C"/>
    <w:rsid w:val="00076680"/>
    <w:rsid w:val="00076A1D"/>
    <w:rsid w:val="00077072"/>
    <w:rsid w:val="0008073E"/>
    <w:rsid w:val="00081AE7"/>
    <w:rsid w:val="00081E31"/>
    <w:rsid w:val="0008399C"/>
    <w:rsid w:val="000840CF"/>
    <w:rsid w:val="000919FB"/>
    <w:rsid w:val="00091CDB"/>
    <w:rsid w:val="00092F82"/>
    <w:rsid w:val="00093473"/>
    <w:rsid w:val="0009402A"/>
    <w:rsid w:val="00094C20"/>
    <w:rsid w:val="00094C5A"/>
    <w:rsid w:val="0009551C"/>
    <w:rsid w:val="0009566D"/>
    <w:rsid w:val="00097482"/>
    <w:rsid w:val="000A0600"/>
    <w:rsid w:val="000A0D80"/>
    <w:rsid w:val="000A0DF1"/>
    <w:rsid w:val="000A0E4E"/>
    <w:rsid w:val="000A158F"/>
    <w:rsid w:val="000A19AC"/>
    <w:rsid w:val="000A2C8A"/>
    <w:rsid w:val="000A4206"/>
    <w:rsid w:val="000A4BE7"/>
    <w:rsid w:val="000A6407"/>
    <w:rsid w:val="000A6631"/>
    <w:rsid w:val="000A6914"/>
    <w:rsid w:val="000A73F6"/>
    <w:rsid w:val="000A745D"/>
    <w:rsid w:val="000B14D5"/>
    <w:rsid w:val="000B26B3"/>
    <w:rsid w:val="000B2CAC"/>
    <w:rsid w:val="000B3128"/>
    <w:rsid w:val="000B362A"/>
    <w:rsid w:val="000B4A29"/>
    <w:rsid w:val="000B5BE9"/>
    <w:rsid w:val="000B6C76"/>
    <w:rsid w:val="000B72CD"/>
    <w:rsid w:val="000B78EF"/>
    <w:rsid w:val="000B7940"/>
    <w:rsid w:val="000C0324"/>
    <w:rsid w:val="000C0793"/>
    <w:rsid w:val="000C2633"/>
    <w:rsid w:val="000C2C84"/>
    <w:rsid w:val="000C37E9"/>
    <w:rsid w:val="000C49EF"/>
    <w:rsid w:val="000C51A1"/>
    <w:rsid w:val="000C525A"/>
    <w:rsid w:val="000C5AB8"/>
    <w:rsid w:val="000C6623"/>
    <w:rsid w:val="000D1167"/>
    <w:rsid w:val="000D1344"/>
    <w:rsid w:val="000D1AC7"/>
    <w:rsid w:val="000D1BDA"/>
    <w:rsid w:val="000D257C"/>
    <w:rsid w:val="000D26F8"/>
    <w:rsid w:val="000D2F86"/>
    <w:rsid w:val="000D3044"/>
    <w:rsid w:val="000D36C1"/>
    <w:rsid w:val="000D4113"/>
    <w:rsid w:val="000D45A2"/>
    <w:rsid w:val="000D626C"/>
    <w:rsid w:val="000D7A2C"/>
    <w:rsid w:val="000E0A14"/>
    <w:rsid w:val="000E0CA6"/>
    <w:rsid w:val="000E0D51"/>
    <w:rsid w:val="000E0EED"/>
    <w:rsid w:val="000E10C5"/>
    <w:rsid w:val="000E164B"/>
    <w:rsid w:val="000E2558"/>
    <w:rsid w:val="000E7916"/>
    <w:rsid w:val="000E7C0C"/>
    <w:rsid w:val="000F0821"/>
    <w:rsid w:val="000F0C26"/>
    <w:rsid w:val="000F426F"/>
    <w:rsid w:val="000F596C"/>
    <w:rsid w:val="000F5EF5"/>
    <w:rsid w:val="000F6A86"/>
    <w:rsid w:val="000F7BB9"/>
    <w:rsid w:val="00100531"/>
    <w:rsid w:val="00100F65"/>
    <w:rsid w:val="001016AB"/>
    <w:rsid w:val="001024BB"/>
    <w:rsid w:val="00102872"/>
    <w:rsid w:val="0010332D"/>
    <w:rsid w:val="0010444C"/>
    <w:rsid w:val="00105559"/>
    <w:rsid w:val="0010605A"/>
    <w:rsid w:val="00107C5A"/>
    <w:rsid w:val="00112E76"/>
    <w:rsid w:val="00112EED"/>
    <w:rsid w:val="00113ED4"/>
    <w:rsid w:val="001149D0"/>
    <w:rsid w:val="00116CC5"/>
    <w:rsid w:val="00120A37"/>
    <w:rsid w:val="001215FE"/>
    <w:rsid w:val="00121E58"/>
    <w:rsid w:val="00122DFB"/>
    <w:rsid w:val="0012322F"/>
    <w:rsid w:val="00125381"/>
    <w:rsid w:val="001255FA"/>
    <w:rsid w:val="001269DC"/>
    <w:rsid w:val="00126B0A"/>
    <w:rsid w:val="00127F03"/>
    <w:rsid w:val="00130801"/>
    <w:rsid w:val="00130B55"/>
    <w:rsid w:val="00130EAC"/>
    <w:rsid w:val="00131941"/>
    <w:rsid w:val="00132C65"/>
    <w:rsid w:val="0013315D"/>
    <w:rsid w:val="00135403"/>
    <w:rsid w:val="00135D9F"/>
    <w:rsid w:val="00137E99"/>
    <w:rsid w:val="001405C6"/>
    <w:rsid w:val="00141013"/>
    <w:rsid w:val="00141E54"/>
    <w:rsid w:val="0014294A"/>
    <w:rsid w:val="001439A1"/>
    <w:rsid w:val="00144AEF"/>
    <w:rsid w:val="00144BAC"/>
    <w:rsid w:val="00145928"/>
    <w:rsid w:val="001461EB"/>
    <w:rsid w:val="00151F63"/>
    <w:rsid w:val="001522FD"/>
    <w:rsid w:val="00153921"/>
    <w:rsid w:val="0015400C"/>
    <w:rsid w:val="00156C1B"/>
    <w:rsid w:val="00157DFE"/>
    <w:rsid w:val="001603DA"/>
    <w:rsid w:val="001608D1"/>
    <w:rsid w:val="00160A72"/>
    <w:rsid w:val="00160FD4"/>
    <w:rsid w:val="0016227A"/>
    <w:rsid w:val="00164D59"/>
    <w:rsid w:val="00166199"/>
    <w:rsid w:val="00170CF1"/>
    <w:rsid w:val="00171768"/>
    <w:rsid w:val="00173092"/>
    <w:rsid w:val="001730CA"/>
    <w:rsid w:val="001731DC"/>
    <w:rsid w:val="00174E7C"/>
    <w:rsid w:val="00180A08"/>
    <w:rsid w:val="00180C89"/>
    <w:rsid w:val="001825C1"/>
    <w:rsid w:val="001841E8"/>
    <w:rsid w:val="00186A5D"/>
    <w:rsid w:val="00186B80"/>
    <w:rsid w:val="00190E44"/>
    <w:rsid w:val="00192094"/>
    <w:rsid w:val="001927AA"/>
    <w:rsid w:val="00192CBF"/>
    <w:rsid w:val="00192FF1"/>
    <w:rsid w:val="00193162"/>
    <w:rsid w:val="00193A81"/>
    <w:rsid w:val="00195A95"/>
    <w:rsid w:val="0019640D"/>
    <w:rsid w:val="001966E7"/>
    <w:rsid w:val="00197304"/>
    <w:rsid w:val="00197975"/>
    <w:rsid w:val="001A0544"/>
    <w:rsid w:val="001A0B5A"/>
    <w:rsid w:val="001A0C85"/>
    <w:rsid w:val="001A0E56"/>
    <w:rsid w:val="001A39C2"/>
    <w:rsid w:val="001A5F1B"/>
    <w:rsid w:val="001B1C22"/>
    <w:rsid w:val="001B34C6"/>
    <w:rsid w:val="001B452E"/>
    <w:rsid w:val="001B460C"/>
    <w:rsid w:val="001B5AC8"/>
    <w:rsid w:val="001C1687"/>
    <w:rsid w:val="001C176D"/>
    <w:rsid w:val="001C19D0"/>
    <w:rsid w:val="001C29C0"/>
    <w:rsid w:val="001C3950"/>
    <w:rsid w:val="001C3DAD"/>
    <w:rsid w:val="001C4532"/>
    <w:rsid w:val="001C4AA6"/>
    <w:rsid w:val="001C4B18"/>
    <w:rsid w:val="001C53FC"/>
    <w:rsid w:val="001C5901"/>
    <w:rsid w:val="001C649F"/>
    <w:rsid w:val="001C6CD2"/>
    <w:rsid w:val="001C76DD"/>
    <w:rsid w:val="001C7F3B"/>
    <w:rsid w:val="001D03D5"/>
    <w:rsid w:val="001D03E3"/>
    <w:rsid w:val="001D0D58"/>
    <w:rsid w:val="001D2323"/>
    <w:rsid w:val="001D27D5"/>
    <w:rsid w:val="001D2DA7"/>
    <w:rsid w:val="001D3D00"/>
    <w:rsid w:val="001D4242"/>
    <w:rsid w:val="001D777D"/>
    <w:rsid w:val="001D7832"/>
    <w:rsid w:val="001E202C"/>
    <w:rsid w:val="001E379F"/>
    <w:rsid w:val="001E3CA2"/>
    <w:rsid w:val="001E50B0"/>
    <w:rsid w:val="001E6230"/>
    <w:rsid w:val="001F04C5"/>
    <w:rsid w:val="001F051C"/>
    <w:rsid w:val="001F10CD"/>
    <w:rsid w:val="001F15A9"/>
    <w:rsid w:val="001F30ED"/>
    <w:rsid w:val="001F3D86"/>
    <w:rsid w:val="001F6594"/>
    <w:rsid w:val="001F74A6"/>
    <w:rsid w:val="002025A1"/>
    <w:rsid w:val="00202690"/>
    <w:rsid w:val="002038CD"/>
    <w:rsid w:val="00203BBB"/>
    <w:rsid w:val="00205021"/>
    <w:rsid w:val="00207CE3"/>
    <w:rsid w:val="00210A0D"/>
    <w:rsid w:val="00211D34"/>
    <w:rsid w:val="00212484"/>
    <w:rsid w:val="00213111"/>
    <w:rsid w:val="00213F9C"/>
    <w:rsid w:val="002142FC"/>
    <w:rsid w:val="00214F04"/>
    <w:rsid w:val="00215A29"/>
    <w:rsid w:val="00215AB3"/>
    <w:rsid w:val="00215DC9"/>
    <w:rsid w:val="002202F9"/>
    <w:rsid w:val="002203FD"/>
    <w:rsid w:val="0022205F"/>
    <w:rsid w:val="002258CB"/>
    <w:rsid w:val="00226D3F"/>
    <w:rsid w:val="00230443"/>
    <w:rsid w:val="002304B8"/>
    <w:rsid w:val="0023135F"/>
    <w:rsid w:val="002315D8"/>
    <w:rsid w:val="002318E9"/>
    <w:rsid w:val="00232A22"/>
    <w:rsid w:val="002338B8"/>
    <w:rsid w:val="00235FEE"/>
    <w:rsid w:val="00237309"/>
    <w:rsid w:val="00237FD5"/>
    <w:rsid w:val="002400F9"/>
    <w:rsid w:val="00242A70"/>
    <w:rsid w:val="00244CE1"/>
    <w:rsid w:val="00245B41"/>
    <w:rsid w:val="0024679F"/>
    <w:rsid w:val="00247D28"/>
    <w:rsid w:val="002515C9"/>
    <w:rsid w:val="00251F3B"/>
    <w:rsid w:val="00253F72"/>
    <w:rsid w:val="00253FF5"/>
    <w:rsid w:val="0025451D"/>
    <w:rsid w:val="00254973"/>
    <w:rsid w:val="00260194"/>
    <w:rsid w:val="00261BE5"/>
    <w:rsid w:val="00262033"/>
    <w:rsid w:val="002627C5"/>
    <w:rsid w:val="00264EA0"/>
    <w:rsid w:val="002669AB"/>
    <w:rsid w:val="00266CD6"/>
    <w:rsid w:val="00267B57"/>
    <w:rsid w:val="00270498"/>
    <w:rsid w:val="00271EE9"/>
    <w:rsid w:val="00272E87"/>
    <w:rsid w:val="00273276"/>
    <w:rsid w:val="00274A19"/>
    <w:rsid w:val="0027580C"/>
    <w:rsid w:val="00275DAB"/>
    <w:rsid w:val="002777BA"/>
    <w:rsid w:val="00280EE1"/>
    <w:rsid w:val="002819FE"/>
    <w:rsid w:val="00281D20"/>
    <w:rsid w:val="0028295B"/>
    <w:rsid w:val="002831B5"/>
    <w:rsid w:val="00283237"/>
    <w:rsid w:val="00283C37"/>
    <w:rsid w:val="00285813"/>
    <w:rsid w:val="00290E17"/>
    <w:rsid w:val="00293FA5"/>
    <w:rsid w:val="00294028"/>
    <w:rsid w:val="002943E1"/>
    <w:rsid w:val="00294E9A"/>
    <w:rsid w:val="00295584"/>
    <w:rsid w:val="00295A57"/>
    <w:rsid w:val="0029643C"/>
    <w:rsid w:val="002969B8"/>
    <w:rsid w:val="00296B38"/>
    <w:rsid w:val="00296BCB"/>
    <w:rsid w:val="00297596"/>
    <w:rsid w:val="00297C53"/>
    <w:rsid w:val="002A020C"/>
    <w:rsid w:val="002A136A"/>
    <w:rsid w:val="002A310F"/>
    <w:rsid w:val="002A3C62"/>
    <w:rsid w:val="002A58F7"/>
    <w:rsid w:val="002A6F77"/>
    <w:rsid w:val="002A77B1"/>
    <w:rsid w:val="002A782A"/>
    <w:rsid w:val="002A7BE9"/>
    <w:rsid w:val="002A7D0E"/>
    <w:rsid w:val="002B0434"/>
    <w:rsid w:val="002B0CDB"/>
    <w:rsid w:val="002B1144"/>
    <w:rsid w:val="002B11E2"/>
    <w:rsid w:val="002B1CE3"/>
    <w:rsid w:val="002B1ECC"/>
    <w:rsid w:val="002B2492"/>
    <w:rsid w:val="002B24B8"/>
    <w:rsid w:val="002B38EA"/>
    <w:rsid w:val="002B5D01"/>
    <w:rsid w:val="002B7B1C"/>
    <w:rsid w:val="002C06A1"/>
    <w:rsid w:val="002C0EF9"/>
    <w:rsid w:val="002C1021"/>
    <w:rsid w:val="002C2B32"/>
    <w:rsid w:val="002C3409"/>
    <w:rsid w:val="002C342D"/>
    <w:rsid w:val="002C441F"/>
    <w:rsid w:val="002C7BA5"/>
    <w:rsid w:val="002C7FFC"/>
    <w:rsid w:val="002D0621"/>
    <w:rsid w:val="002D1D5C"/>
    <w:rsid w:val="002D31FC"/>
    <w:rsid w:val="002D3808"/>
    <w:rsid w:val="002D3AE9"/>
    <w:rsid w:val="002D4510"/>
    <w:rsid w:val="002D5D86"/>
    <w:rsid w:val="002D5D87"/>
    <w:rsid w:val="002D6170"/>
    <w:rsid w:val="002E20C1"/>
    <w:rsid w:val="002E3F3A"/>
    <w:rsid w:val="002E42EF"/>
    <w:rsid w:val="002E5DCF"/>
    <w:rsid w:val="002E60C4"/>
    <w:rsid w:val="002E6187"/>
    <w:rsid w:val="002E70F7"/>
    <w:rsid w:val="002E7F47"/>
    <w:rsid w:val="002F0734"/>
    <w:rsid w:val="002F0BB5"/>
    <w:rsid w:val="002F0F96"/>
    <w:rsid w:val="002F40B3"/>
    <w:rsid w:val="002F46E7"/>
    <w:rsid w:val="002F5583"/>
    <w:rsid w:val="002F57C7"/>
    <w:rsid w:val="002F5AD2"/>
    <w:rsid w:val="002F646E"/>
    <w:rsid w:val="002F757C"/>
    <w:rsid w:val="00300CCF"/>
    <w:rsid w:val="003052C0"/>
    <w:rsid w:val="00305792"/>
    <w:rsid w:val="00305C35"/>
    <w:rsid w:val="003064AE"/>
    <w:rsid w:val="00306A66"/>
    <w:rsid w:val="003070E7"/>
    <w:rsid w:val="003101DA"/>
    <w:rsid w:val="00311B3C"/>
    <w:rsid w:val="00312A3A"/>
    <w:rsid w:val="00313D74"/>
    <w:rsid w:val="00314757"/>
    <w:rsid w:val="003158B8"/>
    <w:rsid w:val="00320C5F"/>
    <w:rsid w:val="00320EE1"/>
    <w:rsid w:val="003211CE"/>
    <w:rsid w:val="00322041"/>
    <w:rsid w:val="00322D8E"/>
    <w:rsid w:val="00323D4B"/>
    <w:rsid w:val="00326D98"/>
    <w:rsid w:val="003277A2"/>
    <w:rsid w:val="00332FDA"/>
    <w:rsid w:val="00334665"/>
    <w:rsid w:val="00336180"/>
    <w:rsid w:val="00336C23"/>
    <w:rsid w:val="0034017C"/>
    <w:rsid w:val="003402E0"/>
    <w:rsid w:val="0034063E"/>
    <w:rsid w:val="00340B0A"/>
    <w:rsid w:val="003412EE"/>
    <w:rsid w:val="00341D12"/>
    <w:rsid w:val="00342C88"/>
    <w:rsid w:val="00342E13"/>
    <w:rsid w:val="0034452A"/>
    <w:rsid w:val="00344623"/>
    <w:rsid w:val="0034517D"/>
    <w:rsid w:val="00345A5E"/>
    <w:rsid w:val="00346E77"/>
    <w:rsid w:val="00347683"/>
    <w:rsid w:val="00350359"/>
    <w:rsid w:val="00350D94"/>
    <w:rsid w:val="003512A7"/>
    <w:rsid w:val="003522AF"/>
    <w:rsid w:val="003538ED"/>
    <w:rsid w:val="00353CA3"/>
    <w:rsid w:val="0035403A"/>
    <w:rsid w:val="00356CD9"/>
    <w:rsid w:val="0035708D"/>
    <w:rsid w:val="00357B81"/>
    <w:rsid w:val="003610C6"/>
    <w:rsid w:val="003627F5"/>
    <w:rsid w:val="00362C3F"/>
    <w:rsid w:val="00362EC3"/>
    <w:rsid w:val="0036336E"/>
    <w:rsid w:val="0036394B"/>
    <w:rsid w:val="00363AC0"/>
    <w:rsid w:val="00366137"/>
    <w:rsid w:val="00366828"/>
    <w:rsid w:val="00366DB6"/>
    <w:rsid w:val="00367396"/>
    <w:rsid w:val="003676E2"/>
    <w:rsid w:val="00367E3D"/>
    <w:rsid w:val="00370611"/>
    <w:rsid w:val="00370716"/>
    <w:rsid w:val="003709B5"/>
    <w:rsid w:val="00373E4D"/>
    <w:rsid w:val="00374108"/>
    <w:rsid w:val="0037413A"/>
    <w:rsid w:val="00374A98"/>
    <w:rsid w:val="003759C2"/>
    <w:rsid w:val="00377386"/>
    <w:rsid w:val="00380D00"/>
    <w:rsid w:val="0038171C"/>
    <w:rsid w:val="0038175D"/>
    <w:rsid w:val="00382B17"/>
    <w:rsid w:val="00383449"/>
    <w:rsid w:val="00384AD3"/>
    <w:rsid w:val="00386488"/>
    <w:rsid w:val="00387569"/>
    <w:rsid w:val="0038761A"/>
    <w:rsid w:val="00391483"/>
    <w:rsid w:val="00391DCD"/>
    <w:rsid w:val="003942F6"/>
    <w:rsid w:val="00395927"/>
    <w:rsid w:val="00396F2B"/>
    <w:rsid w:val="00397365"/>
    <w:rsid w:val="00397544"/>
    <w:rsid w:val="00397D3E"/>
    <w:rsid w:val="00397E16"/>
    <w:rsid w:val="003A248C"/>
    <w:rsid w:val="003A31F6"/>
    <w:rsid w:val="003A3731"/>
    <w:rsid w:val="003A47EE"/>
    <w:rsid w:val="003A6375"/>
    <w:rsid w:val="003B04F4"/>
    <w:rsid w:val="003B1E93"/>
    <w:rsid w:val="003B2C46"/>
    <w:rsid w:val="003B3CC1"/>
    <w:rsid w:val="003B42D4"/>
    <w:rsid w:val="003B51B7"/>
    <w:rsid w:val="003B7CDB"/>
    <w:rsid w:val="003B7E8E"/>
    <w:rsid w:val="003C0393"/>
    <w:rsid w:val="003C0633"/>
    <w:rsid w:val="003C222B"/>
    <w:rsid w:val="003C2D09"/>
    <w:rsid w:val="003C3447"/>
    <w:rsid w:val="003C3516"/>
    <w:rsid w:val="003C3811"/>
    <w:rsid w:val="003C3E7C"/>
    <w:rsid w:val="003C403B"/>
    <w:rsid w:val="003C78FA"/>
    <w:rsid w:val="003C7EFB"/>
    <w:rsid w:val="003D076C"/>
    <w:rsid w:val="003D1EBC"/>
    <w:rsid w:val="003D2BEA"/>
    <w:rsid w:val="003D3273"/>
    <w:rsid w:val="003D46C1"/>
    <w:rsid w:val="003D47C4"/>
    <w:rsid w:val="003D4E5A"/>
    <w:rsid w:val="003D4FA1"/>
    <w:rsid w:val="003D5795"/>
    <w:rsid w:val="003D6887"/>
    <w:rsid w:val="003E150A"/>
    <w:rsid w:val="003E1598"/>
    <w:rsid w:val="003E1697"/>
    <w:rsid w:val="003E22CC"/>
    <w:rsid w:val="003E4808"/>
    <w:rsid w:val="003E4C91"/>
    <w:rsid w:val="003E4D91"/>
    <w:rsid w:val="003E5166"/>
    <w:rsid w:val="003E676B"/>
    <w:rsid w:val="003E7045"/>
    <w:rsid w:val="003E78B5"/>
    <w:rsid w:val="003F0E7B"/>
    <w:rsid w:val="003F16F7"/>
    <w:rsid w:val="003F1FF4"/>
    <w:rsid w:val="003F2D44"/>
    <w:rsid w:val="003F38F2"/>
    <w:rsid w:val="003F3AD4"/>
    <w:rsid w:val="003F4253"/>
    <w:rsid w:val="003F463E"/>
    <w:rsid w:val="003F4D99"/>
    <w:rsid w:val="003F63C3"/>
    <w:rsid w:val="003F7D02"/>
    <w:rsid w:val="0040077E"/>
    <w:rsid w:val="00401A32"/>
    <w:rsid w:val="00402072"/>
    <w:rsid w:val="00403A49"/>
    <w:rsid w:val="00404271"/>
    <w:rsid w:val="0040591B"/>
    <w:rsid w:val="004078BD"/>
    <w:rsid w:val="004108C9"/>
    <w:rsid w:val="00410CD7"/>
    <w:rsid w:val="004110D9"/>
    <w:rsid w:val="00415BAB"/>
    <w:rsid w:val="00415ED2"/>
    <w:rsid w:val="00415F9C"/>
    <w:rsid w:val="00416241"/>
    <w:rsid w:val="004166D1"/>
    <w:rsid w:val="0041748F"/>
    <w:rsid w:val="00417518"/>
    <w:rsid w:val="004203AA"/>
    <w:rsid w:val="0042068C"/>
    <w:rsid w:val="00421AE1"/>
    <w:rsid w:val="00421BBC"/>
    <w:rsid w:val="004227DD"/>
    <w:rsid w:val="00423740"/>
    <w:rsid w:val="00424325"/>
    <w:rsid w:val="00425280"/>
    <w:rsid w:val="00425C01"/>
    <w:rsid w:val="00425EC3"/>
    <w:rsid w:val="004267C7"/>
    <w:rsid w:val="0042799E"/>
    <w:rsid w:val="004279EE"/>
    <w:rsid w:val="00427DC1"/>
    <w:rsid w:val="00432CB7"/>
    <w:rsid w:val="004335BB"/>
    <w:rsid w:val="00434CED"/>
    <w:rsid w:val="00435155"/>
    <w:rsid w:val="004362B0"/>
    <w:rsid w:val="004378F1"/>
    <w:rsid w:val="00437AEE"/>
    <w:rsid w:val="00442C60"/>
    <w:rsid w:val="0044662B"/>
    <w:rsid w:val="0045232E"/>
    <w:rsid w:val="0045423A"/>
    <w:rsid w:val="00455E84"/>
    <w:rsid w:val="0045607A"/>
    <w:rsid w:val="00456494"/>
    <w:rsid w:val="004564E4"/>
    <w:rsid w:val="00457EBF"/>
    <w:rsid w:val="004600C8"/>
    <w:rsid w:val="00462733"/>
    <w:rsid w:val="0046283A"/>
    <w:rsid w:val="0046365B"/>
    <w:rsid w:val="00463D74"/>
    <w:rsid w:val="00463E51"/>
    <w:rsid w:val="00464174"/>
    <w:rsid w:val="0046432F"/>
    <w:rsid w:val="004646D2"/>
    <w:rsid w:val="00464DCA"/>
    <w:rsid w:val="00465CB3"/>
    <w:rsid w:val="00467274"/>
    <w:rsid w:val="0047018B"/>
    <w:rsid w:val="00471228"/>
    <w:rsid w:val="0047122B"/>
    <w:rsid w:val="004715DF"/>
    <w:rsid w:val="00472BEE"/>
    <w:rsid w:val="00473B7A"/>
    <w:rsid w:val="0047426C"/>
    <w:rsid w:val="0047541A"/>
    <w:rsid w:val="0047576F"/>
    <w:rsid w:val="004763BA"/>
    <w:rsid w:val="004777CA"/>
    <w:rsid w:val="004777E5"/>
    <w:rsid w:val="00477F09"/>
    <w:rsid w:val="00477F87"/>
    <w:rsid w:val="004832B0"/>
    <w:rsid w:val="00484C61"/>
    <w:rsid w:val="00485021"/>
    <w:rsid w:val="004857D7"/>
    <w:rsid w:val="00485AEE"/>
    <w:rsid w:val="0048743F"/>
    <w:rsid w:val="00487D91"/>
    <w:rsid w:val="00490426"/>
    <w:rsid w:val="00490841"/>
    <w:rsid w:val="004915E3"/>
    <w:rsid w:val="004928D2"/>
    <w:rsid w:val="0049404A"/>
    <w:rsid w:val="00494771"/>
    <w:rsid w:val="004948E4"/>
    <w:rsid w:val="00494A49"/>
    <w:rsid w:val="004957D7"/>
    <w:rsid w:val="00495BBA"/>
    <w:rsid w:val="00495BD7"/>
    <w:rsid w:val="00495E40"/>
    <w:rsid w:val="004960E9"/>
    <w:rsid w:val="00496854"/>
    <w:rsid w:val="00497E6B"/>
    <w:rsid w:val="004A0112"/>
    <w:rsid w:val="004A016A"/>
    <w:rsid w:val="004A0526"/>
    <w:rsid w:val="004A2CEA"/>
    <w:rsid w:val="004A2E88"/>
    <w:rsid w:val="004A52C1"/>
    <w:rsid w:val="004A5305"/>
    <w:rsid w:val="004A621A"/>
    <w:rsid w:val="004A664C"/>
    <w:rsid w:val="004A6D85"/>
    <w:rsid w:val="004B04F8"/>
    <w:rsid w:val="004B253D"/>
    <w:rsid w:val="004B33AA"/>
    <w:rsid w:val="004B6BEC"/>
    <w:rsid w:val="004B6D42"/>
    <w:rsid w:val="004C1665"/>
    <w:rsid w:val="004C5969"/>
    <w:rsid w:val="004C7D65"/>
    <w:rsid w:val="004D064E"/>
    <w:rsid w:val="004D082F"/>
    <w:rsid w:val="004D1E7F"/>
    <w:rsid w:val="004D294F"/>
    <w:rsid w:val="004D4A67"/>
    <w:rsid w:val="004D5EAE"/>
    <w:rsid w:val="004D62C4"/>
    <w:rsid w:val="004D6CE8"/>
    <w:rsid w:val="004D7634"/>
    <w:rsid w:val="004E0C1E"/>
    <w:rsid w:val="004E19B1"/>
    <w:rsid w:val="004E4551"/>
    <w:rsid w:val="004E519D"/>
    <w:rsid w:val="004E54D2"/>
    <w:rsid w:val="004E57C2"/>
    <w:rsid w:val="004E66F7"/>
    <w:rsid w:val="004F0305"/>
    <w:rsid w:val="004F0CD0"/>
    <w:rsid w:val="004F114D"/>
    <w:rsid w:val="004F115E"/>
    <w:rsid w:val="004F1DB6"/>
    <w:rsid w:val="004F30A7"/>
    <w:rsid w:val="004F30FD"/>
    <w:rsid w:val="004F5508"/>
    <w:rsid w:val="004F584A"/>
    <w:rsid w:val="004F65A7"/>
    <w:rsid w:val="004F7328"/>
    <w:rsid w:val="004F738A"/>
    <w:rsid w:val="004F74D8"/>
    <w:rsid w:val="004F7E79"/>
    <w:rsid w:val="00500E3B"/>
    <w:rsid w:val="00502405"/>
    <w:rsid w:val="00503021"/>
    <w:rsid w:val="0050464E"/>
    <w:rsid w:val="005062A9"/>
    <w:rsid w:val="00506759"/>
    <w:rsid w:val="00506ED1"/>
    <w:rsid w:val="00507983"/>
    <w:rsid w:val="005146C9"/>
    <w:rsid w:val="00514893"/>
    <w:rsid w:val="00516328"/>
    <w:rsid w:val="00516F53"/>
    <w:rsid w:val="00517899"/>
    <w:rsid w:val="0051795F"/>
    <w:rsid w:val="0052118C"/>
    <w:rsid w:val="00522B25"/>
    <w:rsid w:val="00523E11"/>
    <w:rsid w:val="00524E01"/>
    <w:rsid w:val="00525708"/>
    <w:rsid w:val="005263A8"/>
    <w:rsid w:val="005300D3"/>
    <w:rsid w:val="00531433"/>
    <w:rsid w:val="00534029"/>
    <w:rsid w:val="00534331"/>
    <w:rsid w:val="00535243"/>
    <w:rsid w:val="0053576A"/>
    <w:rsid w:val="005357D9"/>
    <w:rsid w:val="00536204"/>
    <w:rsid w:val="00540485"/>
    <w:rsid w:val="00540A95"/>
    <w:rsid w:val="00543A2A"/>
    <w:rsid w:val="0054422D"/>
    <w:rsid w:val="00544F82"/>
    <w:rsid w:val="0054546F"/>
    <w:rsid w:val="00545D55"/>
    <w:rsid w:val="005500B3"/>
    <w:rsid w:val="00550CC0"/>
    <w:rsid w:val="005520B8"/>
    <w:rsid w:val="00552310"/>
    <w:rsid w:val="0055358C"/>
    <w:rsid w:val="00556837"/>
    <w:rsid w:val="00557065"/>
    <w:rsid w:val="00560A95"/>
    <w:rsid w:val="0056133D"/>
    <w:rsid w:val="00561C77"/>
    <w:rsid w:val="00561D0E"/>
    <w:rsid w:val="00562992"/>
    <w:rsid w:val="0056315F"/>
    <w:rsid w:val="0056382B"/>
    <w:rsid w:val="00563904"/>
    <w:rsid w:val="00563975"/>
    <w:rsid w:val="00563A9F"/>
    <w:rsid w:val="00563B04"/>
    <w:rsid w:val="00564A2B"/>
    <w:rsid w:val="00564E14"/>
    <w:rsid w:val="005653D6"/>
    <w:rsid w:val="005661BF"/>
    <w:rsid w:val="00567D8F"/>
    <w:rsid w:val="00571517"/>
    <w:rsid w:val="00571605"/>
    <w:rsid w:val="005724D0"/>
    <w:rsid w:val="00573B23"/>
    <w:rsid w:val="00580996"/>
    <w:rsid w:val="005815E5"/>
    <w:rsid w:val="00583318"/>
    <w:rsid w:val="005834BC"/>
    <w:rsid w:val="00583615"/>
    <w:rsid w:val="005846CB"/>
    <w:rsid w:val="00584C63"/>
    <w:rsid w:val="00585E94"/>
    <w:rsid w:val="00587216"/>
    <w:rsid w:val="005876A1"/>
    <w:rsid w:val="0059058C"/>
    <w:rsid w:val="005921D9"/>
    <w:rsid w:val="00592B69"/>
    <w:rsid w:val="00592E60"/>
    <w:rsid w:val="00593C4F"/>
    <w:rsid w:val="00594348"/>
    <w:rsid w:val="005944FB"/>
    <w:rsid w:val="005946A8"/>
    <w:rsid w:val="00594A2F"/>
    <w:rsid w:val="0059605E"/>
    <w:rsid w:val="00596C09"/>
    <w:rsid w:val="005A429A"/>
    <w:rsid w:val="005A4407"/>
    <w:rsid w:val="005A5079"/>
    <w:rsid w:val="005A554C"/>
    <w:rsid w:val="005A59EF"/>
    <w:rsid w:val="005A5AEE"/>
    <w:rsid w:val="005A5F1B"/>
    <w:rsid w:val="005A6533"/>
    <w:rsid w:val="005A6D1C"/>
    <w:rsid w:val="005A7121"/>
    <w:rsid w:val="005A757E"/>
    <w:rsid w:val="005B05B5"/>
    <w:rsid w:val="005B1039"/>
    <w:rsid w:val="005B18A5"/>
    <w:rsid w:val="005B1C7E"/>
    <w:rsid w:val="005B2313"/>
    <w:rsid w:val="005B259C"/>
    <w:rsid w:val="005B3716"/>
    <w:rsid w:val="005B5C67"/>
    <w:rsid w:val="005B6E0D"/>
    <w:rsid w:val="005C0441"/>
    <w:rsid w:val="005C11AF"/>
    <w:rsid w:val="005C3448"/>
    <w:rsid w:val="005C3D49"/>
    <w:rsid w:val="005C54DC"/>
    <w:rsid w:val="005C642D"/>
    <w:rsid w:val="005C6976"/>
    <w:rsid w:val="005C6EB2"/>
    <w:rsid w:val="005C70A9"/>
    <w:rsid w:val="005D0B3B"/>
    <w:rsid w:val="005D0ECA"/>
    <w:rsid w:val="005D1688"/>
    <w:rsid w:val="005D34C6"/>
    <w:rsid w:val="005D3626"/>
    <w:rsid w:val="005D3744"/>
    <w:rsid w:val="005D3A0C"/>
    <w:rsid w:val="005D4E3B"/>
    <w:rsid w:val="005D502D"/>
    <w:rsid w:val="005E0336"/>
    <w:rsid w:val="005E1CCD"/>
    <w:rsid w:val="005E3D76"/>
    <w:rsid w:val="005E4EF2"/>
    <w:rsid w:val="005E59EC"/>
    <w:rsid w:val="005E6984"/>
    <w:rsid w:val="005F00A9"/>
    <w:rsid w:val="005F098F"/>
    <w:rsid w:val="005F4AE7"/>
    <w:rsid w:val="005F60A0"/>
    <w:rsid w:val="005F61E2"/>
    <w:rsid w:val="005F68B4"/>
    <w:rsid w:val="005F68EB"/>
    <w:rsid w:val="005F69EC"/>
    <w:rsid w:val="005F6F41"/>
    <w:rsid w:val="00600399"/>
    <w:rsid w:val="00601839"/>
    <w:rsid w:val="00602F78"/>
    <w:rsid w:val="00603499"/>
    <w:rsid w:val="00603BE2"/>
    <w:rsid w:val="00604151"/>
    <w:rsid w:val="006050A7"/>
    <w:rsid w:val="0060561E"/>
    <w:rsid w:val="006120BF"/>
    <w:rsid w:val="00612DD0"/>
    <w:rsid w:val="00612E09"/>
    <w:rsid w:val="00613967"/>
    <w:rsid w:val="006147FA"/>
    <w:rsid w:val="006153A9"/>
    <w:rsid w:val="00617795"/>
    <w:rsid w:val="006203BF"/>
    <w:rsid w:val="00621D76"/>
    <w:rsid w:val="00621E5F"/>
    <w:rsid w:val="006246F8"/>
    <w:rsid w:val="00625283"/>
    <w:rsid w:val="00625A98"/>
    <w:rsid w:val="00625DC6"/>
    <w:rsid w:val="00627044"/>
    <w:rsid w:val="006270B3"/>
    <w:rsid w:val="00630317"/>
    <w:rsid w:val="00631DDB"/>
    <w:rsid w:val="00631E17"/>
    <w:rsid w:val="00632826"/>
    <w:rsid w:val="00633178"/>
    <w:rsid w:val="006333A3"/>
    <w:rsid w:val="006334BE"/>
    <w:rsid w:val="00633B9C"/>
    <w:rsid w:val="006358EA"/>
    <w:rsid w:val="006367C9"/>
    <w:rsid w:val="00636A15"/>
    <w:rsid w:val="00636BEA"/>
    <w:rsid w:val="00636EB0"/>
    <w:rsid w:val="0063718B"/>
    <w:rsid w:val="006400F7"/>
    <w:rsid w:val="00640426"/>
    <w:rsid w:val="00640EE9"/>
    <w:rsid w:val="0064391D"/>
    <w:rsid w:val="006459B4"/>
    <w:rsid w:val="00646535"/>
    <w:rsid w:val="006470F9"/>
    <w:rsid w:val="0064722A"/>
    <w:rsid w:val="00647257"/>
    <w:rsid w:val="006473E4"/>
    <w:rsid w:val="00651821"/>
    <w:rsid w:val="0065390C"/>
    <w:rsid w:val="00654384"/>
    <w:rsid w:val="006545A2"/>
    <w:rsid w:val="006562DF"/>
    <w:rsid w:val="00656A3D"/>
    <w:rsid w:val="006571BD"/>
    <w:rsid w:val="00657F35"/>
    <w:rsid w:val="00660797"/>
    <w:rsid w:val="0066217E"/>
    <w:rsid w:val="00662753"/>
    <w:rsid w:val="006645AC"/>
    <w:rsid w:val="00664BCF"/>
    <w:rsid w:val="006658C9"/>
    <w:rsid w:val="006675CD"/>
    <w:rsid w:val="00667669"/>
    <w:rsid w:val="00670E03"/>
    <w:rsid w:val="0067187C"/>
    <w:rsid w:val="00671880"/>
    <w:rsid w:val="006725E5"/>
    <w:rsid w:val="00675575"/>
    <w:rsid w:val="00676088"/>
    <w:rsid w:val="00677B0B"/>
    <w:rsid w:val="00680450"/>
    <w:rsid w:val="00680BFD"/>
    <w:rsid w:val="0068112E"/>
    <w:rsid w:val="00681B6E"/>
    <w:rsid w:val="00681D24"/>
    <w:rsid w:val="00682E06"/>
    <w:rsid w:val="0068347F"/>
    <w:rsid w:val="006839AB"/>
    <w:rsid w:val="00683C45"/>
    <w:rsid w:val="00684D9B"/>
    <w:rsid w:val="006860CE"/>
    <w:rsid w:val="006878FC"/>
    <w:rsid w:val="00687A0D"/>
    <w:rsid w:val="006906C5"/>
    <w:rsid w:val="00690BB5"/>
    <w:rsid w:val="00692C12"/>
    <w:rsid w:val="00692CE8"/>
    <w:rsid w:val="00692DCF"/>
    <w:rsid w:val="00693425"/>
    <w:rsid w:val="00693731"/>
    <w:rsid w:val="00693C6B"/>
    <w:rsid w:val="00693E61"/>
    <w:rsid w:val="0069513D"/>
    <w:rsid w:val="00695ACC"/>
    <w:rsid w:val="006969C3"/>
    <w:rsid w:val="00697556"/>
    <w:rsid w:val="00697A6E"/>
    <w:rsid w:val="006A033A"/>
    <w:rsid w:val="006A0968"/>
    <w:rsid w:val="006A186C"/>
    <w:rsid w:val="006A1CC4"/>
    <w:rsid w:val="006A2ABF"/>
    <w:rsid w:val="006A3858"/>
    <w:rsid w:val="006A3D6E"/>
    <w:rsid w:val="006A41CA"/>
    <w:rsid w:val="006A4425"/>
    <w:rsid w:val="006A4537"/>
    <w:rsid w:val="006A4E74"/>
    <w:rsid w:val="006A617C"/>
    <w:rsid w:val="006A7699"/>
    <w:rsid w:val="006A77E5"/>
    <w:rsid w:val="006B1066"/>
    <w:rsid w:val="006B17B0"/>
    <w:rsid w:val="006B33E3"/>
    <w:rsid w:val="006B3590"/>
    <w:rsid w:val="006B37F4"/>
    <w:rsid w:val="006B4647"/>
    <w:rsid w:val="006B4C2B"/>
    <w:rsid w:val="006B5CC0"/>
    <w:rsid w:val="006B6402"/>
    <w:rsid w:val="006B6D47"/>
    <w:rsid w:val="006B7CDC"/>
    <w:rsid w:val="006C0024"/>
    <w:rsid w:val="006C10DC"/>
    <w:rsid w:val="006C1B9F"/>
    <w:rsid w:val="006C1DC3"/>
    <w:rsid w:val="006C232B"/>
    <w:rsid w:val="006C2D9B"/>
    <w:rsid w:val="006C4B90"/>
    <w:rsid w:val="006C4E12"/>
    <w:rsid w:val="006C5AFE"/>
    <w:rsid w:val="006C6DF1"/>
    <w:rsid w:val="006D0123"/>
    <w:rsid w:val="006D344E"/>
    <w:rsid w:val="006D3A75"/>
    <w:rsid w:val="006D4259"/>
    <w:rsid w:val="006D473C"/>
    <w:rsid w:val="006D5E5E"/>
    <w:rsid w:val="006D6737"/>
    <w:rsid w:val="006D6E27"/>
    <w:rsid w:val="006D7254"/>
    <w:rsid w:val="006D74E5"/>
    <w:rsid w:val="006E120E"/>
    <w:rsid w:val="006E1DDE"/>
    <w:rsid w:val="006E218F"/>
    <w:rsid w:val="006E3884"/>
    <w:rsid w:val="006E55F4"/>
    <w:rsid w:val="006F003B"/>
    <w:rsid w:val="006F10B7"/>
    <w:rsid w:val="006F4B51"/>
    <w:rsid w:val="006F52DD"/>
    <w:rsid w:val="006F5507"/>
    <w:rsid w:val="006F6D95"/>
    <w:rsid w:val="00700328"/>
    <w:rsid w:val="00700DFD"/>
    <w:rsid w:val="00701C52"/>
    <w:rsid w:val="00703E71"/>
    <w:rsid w:val="00704D08"/>
    <w:rsid w:val="00705011"/>
    <w:rsid w:val="00705BC4"/>
    <w:rsid w:val="00706F13"/>
    <w:rsid w:val="007072E8"/>
    <w:rsid w:val="0070779D"/>
    <w:rsid w:val="00710C2C"/>
    <w:rsid w:val="007118BE"/>
    <w:rsid w:val="00712F50"/>
    <w:rsid w:val="0071320F"/>
    <w:rsid w:val="007139F4"/>
    <w:rsid w:val="00715AC6"/>
    <w:rsid w:val="0071618D"/>
    <w:rsid w:val="0071632D"/>
    <w:rsid w:val="007173D6"/>
    <w:rsid w:val="00717730"/>
    <w:rsid w:val="00720F87"/>
    <w:rsid w:val="0072490B"/>
    <w:rsid w:val="007249F2"/>
    <w:rsid w:val="007259BA"/>
    <w:rsid w:val="00725FA4"/>
    <w:rsid w:val="0072622B"/>
    <w:rsid w:val="0073014B"/>
    <w:rsid w:val="00730BC6"/>
    <w:rsid w:val="00730E85"/>
    <w:rsid w:val="00730F05"/>
    <w:rsid w:val="00731126"/>
    <w:rsid w:val="00731CA1"/>
    <w:rsid w:val="00732C56"/>
    <w:rsid w:val="007337FE"/>
    <w:rsid w:val="0073428F"/>
    <w:rsid w:val="00735D6C"/>
    <w:rsid w:val="007362A3"/>
    <w:rsid w:val="007362B7"/>
    <w:rsid w:val="00737A9A"/>
    <w:rsid w:val="00740446"/>
    <w:rsid w:val="007438A9"/>
    <w:rsid w:val="007446B6"/>
    <w:rsid w:val="0074491E"/>
    <w:rsid w:val="00745697"/>
    <w:rsid w:val="007456D0"/>
    <w:rsid w:val="007456D6"/>
    <w:rsid w:val="00745C02"/>
    <w:rsid w:val="0074655C"/>
    <w:rsid w:val="00746FBE"/>
    <w:rsid w:val="007471FD"/>
    <w:rsid w:val="00752A2D"/>
    <w:rsid w:val="00752C15"/>
    <w:rsid w:val="007537E9"/>
    <w:rsid w:val="00756C93"/>
    <w:rsid w:val="00756FCA"/>
    <w:rsid w:val="007576EB"/>
    <w:rsid w:val="0076058D"/>
    <w:rsid w:val="00760AA7"/>
    <w:rsid w:val="007620BE"/>
    <w:rsid w:val="0076247A"/>
    <w:rsid w:val="00763400"/>
    <w:rsid w:val="00764720"/>
    <w:rsid w:val="00764763"/>
    <w:rsid w:val="00764DDE"/>
    <w:rsid w:val="007667FB"/>
    <w:rsid w:val="007668B2"/>
    <w:rsid w:val="00766DF8"/>
    <w:rsid w:val="007702E6"/>
    <w:rsid w:val="007716FF"/>
    <w:rsid w:val="00771D7C"/>
    <w:rsid w:val="00773D86"/>
    <w:rsid w:val="007745B8"/>
    <w:rsid w:val="00775440"/>
    <w:rsid w:val="00775964"/>
    <w:rsid w:val="00776102"/>
    <w:rsid w:val="007765FE"/>
    <w:rsid w:val="00776837"/>
    <w:rsid w:val="00777BB9"/>
    <w:rsid w:val="00780089"/>
    <w:rsid w:val="0078288D"/>
    <w:rsid w:val="00782982"/>
    <w:rsid w:val="0078306F"/>
    <w:rsid w:val="007840BD"/>
    <w:rsid w:val="0078523D"/>
    <w:rsid w:val="00785BC2"/>
    <w:rsid w:val="0078637F"/>
    <w:rsid w:val="00786C9B"/>
    <w:rsid w:val="0078796A"/>
    <w:rsid w:val="00791269"/>
    <w:rsid w:val="007916ED"/>
    <w:rsid w:val="00792A0E"/>
    <w:rsid w:val="00792A47"/>
    <w:rsid w:val="007958C8"/>
    <w:rsid w:val="00795BFB"/>
    <w:rsid w:val="00795C73"/>
    <w:rsid w:val="007963BC"/>
    <w:rsid w:val="0079714B"/>
    <w:rsid w:val="00797681"/>
    <w:rsid w:val="007A1FDA"/>
    <w:rsid w:val="007A2131"/>
    <w:rsid w:val="007A2557"/>
    <w:rsid w:val="007A2E0C"/>
    <w:rsid w:val="007A3EF4"/>
    <w:rsid w:val="007A400A"/>
    <w:rsid w:val="007A63F9"/>
    <w:rsid w:val="007A7345"/>
    <w:rsid w:val="007A7475"/>
    <w:rsid w:val="007A7612"/>
    <w:rsid w:val="007B0E9C"/>
    <w:rsid w:val="007B103E"/>
    <w:rsid w:val="007B134C"/>
    <w:rsid w:val="007B2760"/>
    <w:rsid w:val="007B4780"/>
    <w:rsid w:val="007B4D8F"/>
    <w:rsid w:val="007B4F14"/>
    <w:rsid w:val="007B53CE"/>
    <w:rsid w:val="007B53FF"/>
    <w:rsid w:val="007C0B92"/>
    <w:rsid w:val="007C25AF"/>
    <w:rsid w:val="007C2DA4"/>
    <w:rsid w:val="007C35ED"/>
    <w:rsid w:val="007C3C66"/>
    <w:rsid w:val="007C4CDF"/>
    <w:rsid w:val="007C6B86"/>
    <w:rsid w:val="007C700B"/>
    <w:rsid w:val="007C73B2"/>
    <w:rsid w:val="007D1804"/>
    <w:rsid w:val="007D3C53"/>
    <w:rsid w:val="007D3F4D"/>
    <w:rsid w:val="007D4674"/>
    <w:rsid w:val="007D5740"/>
    <w:rsid w:val="007D7D6E"/>
    <w:rsid w:val="007E0E6D"/>
    <w:rsid w:val="007E1060"/>
    <w:rsid w:val="007E10BF"/>
    <w:rsid w:val="007E2416"/>
    <w:rsid w:val="007E2E1B"/>
    <w:rsid w:val="007E36EF"/>
    <w:rsid w:val="007E4DBF"/>
    <w:rsid w:val="007F0A4D"/>
    <w:rsid w:val="007F230C"/>
    <w:rsid w:val="007F2EC5"/>
    <w:rsid w:val="007F373A"/>
    <w:rsid w:val="007F3E22"/>
    <w:rsid w:val="007F3E4C"/>
    <w:rsid w:val="007F49D8"/>
    <w:rsid w:val="007F4D29"/>
    <w:rsid w:val="007F60B7"/>
    <w:rsid w:val="007F6F46"/>
    <w:rsid w:val="007F7E27"/>
    <w:rsid w:val="00803BCB"/>
    <w:rsid w:val="0080413C"/>
    <w:rsid w:val="00805694"/>
    <w:rsid w:val="00806C01"/>
    <w:rsid w:val="00807150"/>
    <w:rsid w:val="00810626"/>
    <w:rsid w:val="0081115F"/>
    <w:rsid w:val="00811B77"/>
    <w:rsid w:val="00811C1C"/>
    <w:rsid w:val="0081200D"/>
    <w:rsid w:val="008125A8"/>
    <w:rsid w:val="008145D7"/>
    <w:rsid w:val="008148CC"/>
    <w:rsid w:val="008161BF"/>
    <w:rsid w:val="00817FA3"/>
    <w:rsid w:val="008211A4"/>
    <w:rsid w:val="00822D3C"/>
    <w:rsid w:val="0082440F"/>
    <w:rsid w:val="00825061"/>
    <w:rsid w:val="008262FC"/>
    <w:rsid w:val="00831E02"/>
    <w:rsid w:val="008337C7"/>
    <w:rsid w:val="00833A55"/>
    <w:rsid w:val="00835135"/>
    <w:rsid w:val="00836F7C"/>
    <w:rsid w:val="00837285"/>
    <w:rsid w:val="00840FE3"/>
    <w:rsid w:val="0084159E"/>
    <w:rsid w:val="0084161F"/>
    <w:rsid w:val="008419CF"/>
    <w:rsid w:val="008425E6"/>
    <w:rsid w:val="00842D9E"/>
    <w:rsid w:val="00844C93"/>
    <w:rsid w:val="008466AA"/>
    <w:rsid w:val="008467B1"/>
    <w:rsid w:val="0084707F"/>
    <w:rsid w:val="00847BEB"/>
    <w:rsid w:val="00850014"/>
    <w:rsid w:val="00850266"/>
    <w:rsid w:val="008508C9"/>
    <w:rsid w:val="00850D15"/>
    <w:rsid w:val="00850F28"/>
    <w:rsid w:val="008539B7"/>
    <w:rsid w:val="00854BF1"/>
    <w:rsid w:val="00854FD5"/>
    <w:rsid w:val="00857268"/>
    <w:rsid w:val="00860C22"/>
    <w:rsid w:val="00861637"/>
    <w:rsid w:val="00864BCC"/>
    <w:rsid w:val="00865454"/>
    <w:rsid w:val="00865541"/>
    <w:rsid w:val="00865E01"/>
    <w:rsid w:val="00866228"/>
    <w:rsid w:val="008663AB"/>
    <w:rsid w:val="008670CB"/>
    <w:rsid w:val="008674D4"/>
    <w:rsid w:val="0087000F"/>
    <w:rsid w:val="0087077E"/>
    <w:rsid w:val="00871BE1"/>
    <w:rsid w:val="008729E6"/>
    <w:rsid w:val="00873025"/>
    <w:rsid w:val="00873150"/>
    <w:rsid w:val="00873395"/>
    <w:rsid w:val="00874184"/>
    <w:rsid w:val="008746CE"/>
    <w:rsid w:val="0087558A"/>
    <w:rsid w:val="00875ABB"/>
    <w:rsid w:val="00876560"/>
    <w:rsid w:val="0087657D"/>
    <w:rsid w:val="00876B5A"/>
    <w:rsid w:val="00876B68"/>
    <w:rsid w:val="00876BA4"/>
    <w:rsid w:val="00880159"/>
    <w:rsid w:val="00880669"/>
    <w:rsid w:val="008807D5"/>
    <w:rsid w:val="00880832"/>
    <w:rsid w:val="00886331"/>
    <w:rsid w:val="00886938"/>
    <w:rsid w:val="00886EE1"/>
    <w:rsid w:val="0088727D"/>
    <w:rsid w:val="00891FD2"/>
    <w:rsid w:val="008920F7"/>
    <w:rsid w:val="00892505"/>
    <w:rsid w:val="00892838"/>
    <w:rsid w:val="0089285D"/>
    <w:rsid w:val="008930BE"/>
    <w:rsid w:val="00897C75"/>
    <w:rsid w:val="00897E48"/>
    <w:rsid w:val="008A0A78"/>
    <w:rsid w:val="008A3476"/>
    <w:rsid w:val="008A3AE1"/>
    <w:rsid w:val="008A4372"/>
    <w:rsid w:val="008A4406"/>
    <w:rsid w:val="008B0576"/>
    <w:rsid w:val="008B17E8"/>
    <w:rsid w:val="008B2F38"/>
    <w:rsid w:val="008B5A74"/>
    <w:rsid w:val="008B7CA2"/>
    <w:rsid w:val="008C1130"/>
    <w:rsid w:val="008C11ED"/>
    <w:rsid w:val="008C13F1"/>
    <w:rsid w:val="008C1DC8"/>
    <w:rsid w:val="008C32B2"/>
    <w:rsid w:val="008C55C5"/>
    <w:rsid w:val="008C5AC4"/>
    <w:rsid w:val="008C61A1"/>
    <w:rsid w:val="008C691E"/>
    <w:rsid w:val="008C6B58"/>
    <w:rsid w:val="008C6E48"/>
    <w:rsid w:val="008C7659"/>
    <w:rsid w:val="008D0586"/>
    <w:rsid w:val="008D18E6"/>
    <w:rsid w:val="008D2A23"/>
    <w:rsid w:val="008D4044"/>
    <w:rsid w:val="008D407E"/>
    <w:rsid w:val="008D4339"/>
    <w:rsid w:val="008D5184"/>
    <w:rsid w:val="008D59D2"/>
    <w:rsid w:val="008D67B2"/>
    <w:rsid w:val="008D68C7"/>
    <w:rsid w:val="008D6BBD"/>
    <w:rsid w:val="008D7A9B"/>
    <w:rsid w:val="008D7D5B"/>
    <w:rsid w:val="008E131E"/>
    <w:rsid w:val="008E2298"/>
    <w:rsid w:val="008E2DFB"/>
    <w:rsid w:val="008E4360"/>
    <w:rsid w:val="008E4614"/>
    <w:rsid w:val="008E5229"/>
    <w:rsid w:val="008E5AFB"/>
    <w:rsid w:val="008E6920"/>
    <w:rsid w:val="008E714D"/>
    <w:rsid w:val="008E72EF"/>
    <w:rsid w:val="008E76AC"/>
    <w:rsid w:val="008F0357"/>
    <w:rsid w:val="008F21F6"/>
    <w:rsid w:val="008F2916"/>
    <w:rsid w:val="008F2DD6"/>
    <w:rsid w:val="008F4C3B"/>
    <w:rsid w:val="008F606F"/>
    <w:rsid w:val="008F67A9"/>
    <w:rsid w:val="008F74F1"/>
    <w:rsid w:val="008F7714"/>
    <w:rsid w:val="008F7752"/>
    <w:rsid w:val="00900297"/>
    <w:rsid w:val="009005D5"/>
    <w:rsid w:val="0090124D"/>
    <w:rsid w:val="00901DC9"/>
    <w:rsid w:val="0090429E"/>
    <w:rsid w:val="009049F7"/>
    <w:rsid w:val="00905791"/>
    <w:rsid w:val="00907102"/>
    <w:rsid w:val="00907ED0"/>
    <w:rsid w:val="00911D32"/>
    <w:rsid w:val="00912578"/>
    <w:rsid w:val="009129E4"/>
    <w:rsid w:val="00914D63"/>
    <w:rsid w:val="00915066"/>
    <w:rsid w:val="009157BA"/>
    <w:rsid w:val="009158DC"/>
    <w:rsid w:val="009163FE"/>
    <w:rsid w:val="009179C6"/>
    <w:rsid w:val="00917B27"/>
    <w:rsid w:val="00920173"/>
    <w:rsid w:val="00922290"/>
    <w:rsid w:val="009222EE"/>
    <w:rsid w:val="00922A48"/>
    <w:rsid w:val="00923EB3"/>
    <w:rsid w:val="009240E1"/>
    <w:rsid w:val="00924B52"/>
    <w:rsid w:val="00926675"/>
    <w:rsid w:val="009306CF"/>
    <w:rsid w:val="00931F61"/>
    <w:rsid w:val="0093392E"/>
    <w:rsid w:val="00933D38"/>
    <w:rsid w:val="009347B5"/>
    <w:rsid w:val="00936134"/>
    <w:rsid w:val="0093652E"/>
    <w:rsid w:val="0093688E"/>
    <w:rsid w:val="00936F52"/>
    <w:rsid w:val="00937301"/>
    <w:rsid w:val="0093751A"/>
    <w:rsid w:val="00940175"/>
    <w:rsid w:val="0094042B"/>
    <w:rsid w:val="009408F4"/>
    <w:rsid w:val="00940FC3"/>
    <w:rsid w:val="00941767"/>
    <w:rsid w:val="009418DE"/>
    <w:rsid w:val="0094289F"/>
    <w:rsid w:val="00942927"/>
    <w:rsid w:val="009433B9"/>
    <w:rsid w:val="009473DE"/>
    <w:rsid w:val="009504FE"/>
    <w:rsid w:val="00950AE5"/>
    <w:rsid w:val="00950B82"/>
    <w:rsid w:val="00950C36"/>
    <w:rsid w:val="00950E51"/>
    <w:rsid w:val="00951D78"/>
    <w:rsid w:val="00951F79"/>
    <w:rsid w:val="00952472"/>
    <w:rsid w:val="009530F7"/>
    <w:rsid w:val="00953D91"/>
    <w:rsid w:val="00954B05"/>
    <w:rsid w:val="009578CB"/>
    <w:rsid w:val="00957CC9"/>
    <w:rsid w:val="009603BD"/>
    <w:rsid w:val="00960450"/>
    <w:rsid w:val="009609E8"/>
    <w:rsid w:val="00961977"/>
    <w:rsid w:val="00961FD5"/>
    <w:rsid w:val="00962EEC"/>
    <w:rsid w:val="009638B9"/>
    <w:rsid w:val="0096392A"/>
    <w:rsid w:val="00966095"/>
    <w:rsid w:val="0096638C"/>
    <w:rsid w:val="00967A6D"/>
    <w:rsid w:val="00967E83"/>
    <w:rsid w:val="00970640"/>
    <w:rsid w:val="0097166D"/>
    <w:rsid w:val="00971AAC"/>
    <w:rsid w:val="00973AD2"/>
    <w:rsid w:val="0097411C"/>
    <w:rsid w:val="00974AB5"/>
    <w:rsid w:val="00974DFD"/>
    <w:rsid w:val="0098034A"/>
    <w:rsid w:val="009821A5"/>
    <w:rsid w:val="00982A28"/>
    <w:rsid w:val="0098392B"/>
    <w:rsid w:val="009839D9"/>
    <w:rsid w:val="00983BBF"/>
    <w:rsid w:val="00984736"/>
    <w:rsid w:val="0098706D"/>
    <w:rsid w:val="00987150"/>
    <w:rsid w:val="009871DD"/>
    <w:rsid w:val="0098750E"/>
    <w:rsid w:val="00990428"/>
    <w:rsid w:val="00991CDB"/>
    <w:rsid w:val="009920F5"/>
    <w:rsid w:val="00992E04"/>
    <w:rsid w:val="00993406"/>
    <w:rsid w:val="00993591"/>
    <w:rsid w:val="009935FB"/>
    <w:rsid w:val="00995377"/>
    <w:rsid w:val="00996588"/>
    <w:rsid w:val="009973BB"/>
    <w:rsid w:val="0099764D"/>
    <w:rsid w:val="0099771D"/>
    <w:rsid w:val="009A0E50"/>
    <w:rsid w:val="009A150F"/>
    <w:rsid w:val="009A2E4F"/>
    <w:rsid w:val="009A44F4"/>
    <w:rsid w:val="009A6A23"/>
    <w:rsid w:val="009A7750"/>
    <w:rsid w:val="009B01E3"/>
    <w:rsid w:val="009B02D7"/>
    <w:rsid w:val="009B246A"/>
    <w:rsid w:val="009B246C"/>
    <w:rsid w:val="009B26C0"/>
    <w:rsid w:val="009B6767"/>
    <w:rsid w:val="009B77A1"/>
    <w:rsid w:val="009C0051"/>
    <w:rsid w:val="009C0DC0"/>
    <w:rsid w:val="009C14F3"/>
    <w:rsid w:val="009C3353"/>
    <w:rsid w:val="009C5161"/>
    <w:rsid w:val="009C5FAF"/>
    <w:rsid w:val="009D06EE"/>
    <w:rsid w:val="009D266A"/>
    <w:rsid w:val="009D31E5"/>
    <w:rsid w:val="009D3F47"/>
    <w:rsid w:val="009D483D"/>
    <w:rsid w:val="009D4F36"/>
    <w:rsid w:val="009D556D"/>
    <w:rsid w:val="009D59F4"/>
    <w:rsid w:val="009D6935"/>
    <w:rsid w:val="009E0403"/>
    <w:rsid w:val="009E046D"/>
    <w:rsid w:val="009E0AD1"/>
    <w:rsid w:val="009E0E41"/>
    <w:rsid w:val="009E1216"/>
    <w:rsid w:val="009E2D29"/>
    <w:rsid w:val="009E2D86"/>
    <w:rsid w:val="009E6976"/>
    <w:rsid w:val="009F18DC"/>
    <w:rsid w:val="009F212B"/>
    <w:rsid w:val="009F25FB"/>
    <w:rsid w:val="009F2A32"/>
    <w:rsid w:val="009F2B4E"/>
    <w:rsid w:val="009F30AA"/>
    <w:rsid w:val="009F3EFC"/>
    <w:rsid w:val="009F4A54"/>
    <w:rsid w:val="009F4BEC"/>
    <w:rsid w:val="009F551C"/>
    <w:rsid w:val="009F55CF"/>
    <w:rsid w:val="009F618A"/>
    <w:rsid w:val="009F65A1"/>
    <w:rsid w:val="00A00170"/>
    <w:rsid w:val="00A0312A"/>
    <w:rsid w:val="00A0471C"/>
    <w:rsid w:val="00A0492C"/>
    <w:rsid w:val="00A055C2"/>
    <w:rsid w:val="00A0640E"/>
    <w:rsid w:val="00A06923"/>
    <w:rsid w:val="00A07478"/>
    <w:rsid w:val="00A07FA7"/>
    <w:rsid w:val="00A110D7"/>
    <w:rsid w:val="00A113B6"/>
    <w:rsid w:val="00A11884"/>
    <w:rsid w:val="00A1266E"/>
    <w:rsid w:val="00A127E4"/>
    <w:rsid w:val="00A13B14"/>
    <w:rsid w:val="00A15ECB"/>
    <w:rsid w:val="00A172A1"/>
    <w:rsid w:val="00A17465"/>
    <w:rsid w:val="00A17D9F"/>
    <w:rsid w:val="00A24AF0"/>
    <w:rsid w:val="00A25570"/>
    <w:rsid w:val="00A25FD7"/>
    <w:rsid w:val="00A270B1"/>
    <w:rsid w:val="00A347F3"/>
    <w:rsid w:val="00A34ED9"/>
    <w:rsid w:val="00A3653C"/>
    <w:rsid w:val="00A40B57"/>
    <w:rsid w:val="00A40FDE"/>
    <w:rsid w:val="00A41515"/>
    <w:rsid w:val="00A41976"/>
    <w:rsid w:val="00A433FE"/>
    <w:rsid w:val="00A434B4"/>
    <w:rsid w:val="00A43AFF"/>
    <w:rsid w:val="00A43C03"/>
    <w:rsid w:val="00A445A8"/>
    <w:rsid w:val="00A500EF"/>
    <w:rsid w:val="00A535AB"/>
    <w:rsid w:val="00A555F4"/>
    <w:rsid w:val="00A56855"/>
    <w:rsid w:val="00A5788C"/>
    <w:rsid w:val="00A60B75"/>
    <w:rsid w:val="00A6151F"/>
    <w:rsid w:val="00A6246B"/>
    <w:rsid w:val="00A627E5"/>
    <w:rsid w:val="00A62E1C"/>
    <w:rsid w:val="00A65204"/>
    <w:rsid w:val="00A66B81"/>
    <w:rsid w:val="00A675E4"/>
    <w:rsid w:val="00A70269"/>
    <w:rsid w:val="00A7141F"/>
    <w:rsid w:val="00A72936"/>
    <w:rsid w:val="00A73E68"/>
    <w:rsid w:val="00A75C03"/>
    <w:rsid w:val="00A7793A"/>
    <w:rsid w:val="00A77BCB"/>
    <w:rsid w:val="00A80E12"/>
    <w:rsid w:val="00A80F1B"/>
    <w:rsid w:val="00A81D87"/>
    <w:rsid w:val="00A84CC5"/>
    <w:rsid w:val="00A85223"/>
    <w:rsid w:val="00A85BC5"/>
    <w:rsid w:val="00A909A2"/>
    <w:rsid w:val="00A9148C"/>
    <w:rsid w:val="00A93816"/>
    <w:rsid w:val="00A94DB2"/>
    <w:rsid w:val="00A950E3"/>
    <w:rsid w:val="00A9585F"/>
    <w:rsid w:val="00A95B25"/>
    <w:rsid w:val="00A95CB9"/>
    <w:rsid w:val="00A97316"/>
    <w:rsid w:val="00A97A70"/>
    <w:rsid w:val="00A97E8B"/>
    <w:rsid w:val="00AA0792"/>
    <w:rsid w:val="00AA1493"/>
    <w:rsid w:val="00AA32F8"/>
    <w:rsid w:val="00AA4355"/>
    <w:rsid w:val="00AA4CC7"/>
    <w:rsid w:val="00AA5304"/>
    <w:rsid w:val="00AA5E5F"/>
    <w:rsid w:val="00AA5E8E"/>
    <w:rsid w:val="00AA6702"/>
    <w:rsid w:val="00AB1069"/>
    <w:rsid w:val="00AB13E8"/>
    <w:rsid w:val="00AB6364"/>
    <w:rsid w:val="00AB6CA7"/>
    <w:rsid w:val="00AB7094"/>
    <w:rsid w:val="00AB7B5D"/>
    <w:rsid w:val="00AC140A"/>
    <w:rsid w:val="00AC1A91"/>
    <w:rsid w:val="00AC1B82"/>
    <w:rsid w:val="00AC26F9"/>
    <w:rsid w:val="00AC30DC"/>
    <w:rsid w:val="00AC366D"/>
    <w:rsid w:val="00AC3D30"/>
    <w:rsid w:val="00AC406B"/>
    <w:rsid w:val="00AD01E4"/>
    <w:rsid w:val="00AD03B9"/>
    <w:rsid w:val="00AD0858"/>
    <w:rsid w:val="00AD51CB"/>
    <w:rsid w:val="00AD52DE"/>
    <w:rsid w:val="00AE01DE"/>
    <w:rsid w:val="00AE0299"/>
    <w:rsid w:val="00AE1DC1"/>
    <w:rsid w:val="00AE2DBD"/>
    <w:rsid w:val="00AE334A"/>
    <w:rsid w:val="00AE400D"/>
    <w:rsid w:val="00AE465F"/>
    <w:rsid w:val="00AE4FC1"/>
    <w:rsid w:val="00AE55A8"/>
    <w:rsid w:val="00AE5D23"/>
    <w:rsid w:val="00AE664E"/>
    <w:rsid w:val="00AE6B04"/>
    <w:rsid w:val="00AE6DCD"/>
    <w:rsid w:val="00AE6EFC"/>
    <w:rsid w:val="00AE6FD2"/>
    <w:rsid w:val="00AE7340"/>
    <w:rsid w:val="00AE78D7"/>
    <w:rsid w:val="00AF1BBD"/>
    <w:rsid w:val="00AF32D5"/>
    <w:rsid w:val="00AF44C5"/>
    <w:rsid w:val="00AF44EA"/>
    <w:rsid w:val="00AF4FCB"/>
    <w:rsid w:val="00AF542D"/>
    <w:rsid w:val="00AF6D50"/>
    <w:rsid w:val="00B006A2"/>
    <w:rsid w:val="00B01A26"/>
    <w:rsid w:val="00B0397D"/>
    <w:rsid w:val="00B04860"/>
    <w:rsid w:val="00B049C0"/>
    <w:rsid w:val="00B05A25"/>
    <w:rsid w:val="00B05D41"/>
    <w:rsid w:val="00B10207"/>
    <w:rsid w:val="00B11088"/>
    <w:rsid w:val="00B110FB"/>
    <w:rsid w:val="00B13461"/>
    <w:rsid w:val="00B13B64"/>
    <w:rsid w:val="00B141E7"/>
    <w:rsid w:val="00B14CA9"/>
    <w:rsid w:val="00B17397"/>
    <w:rsid w:val="00B207A1"/>
    <w:rsid w:val="00B210E2"/>
    <w:rsid w:val="00B217E4"/>
    <w:rsid w:val="00B23185"/>
    <w:rsid w:val="00B240DD"/>
    <w:rsid w:val="00B265C4"/>
    <w:rsid w:val="00B26FEB"/>
    <w:rsid w:val="00B271A2"/>
    <w:rsid w:val="00B2739E"/>
    <w:rsid w:val="00B27F55"/>
    <w:rsid w:val="00B32E9F"/>
    <w:rsid w:val="00B34422"/>
    <w:rsid w:val="00B34ADA"/>
    <w:rsid w:val="00B34DBA"/>
    <w:rsid w:val="00B351B4"/>
    <w:rsid w:val="00B36BC6"/>
    <w:rsid w:val="00B372D8"/>
    <w:rsid w:val="00B41171"/>
    <w:rsid w:val="00B412F3"/>
    <w:rsid w:val="00B429E9"/>
    <w:rsid w:val="00B42DAF"/>
    <w:rsid w:val="00B43C29"/>
    <w:rsid w:val="00B43EB0"/>
    <w:rsid w:val="00B44085"/>
    <w:rsid w:val="00B44107"/>
    <w:rsid w:val="00B44D0D"/>
    <w:rsid w:val="00B46956"/>
    <w:rsid w:val="00B46BCA"/>
    <w:rsid w:val="00B46CA0"/>
    <w:rsid w:val="00B4789B"/>
    <w:rsid w:val="00B478AA"/>
    <w:rsid w:val="00B5162B"/>
    <w:rsid w:val="00B532DB"/>
    <w:rsid w:val="00B5371A"/>
    <w:rsid w:val="00B54B3D"/>
    <w:rsid w:val="00B5617F"/>
    <w:rsid w:val="00B56226"/>
    <w:rsid w:val="00B5716E"/>
    <w:rsid w:val="00B5743F"/>
    <w:rsid w:val="00B57643"/>
    <w:rsid w:val="00B60626"/>
    <w:rsid w:val="00B60E20"/>
    <w:rsid w:val="00B6113B"/>
    <w:rsid w:val="00B62C41"/>
    <w:rsid w:val="00B63DDF"/>
    <w:rsid w:val="00B64346"/>
    <w:rsid w:val="00B64420"/>
    <w:rsid w:val="00B66393"/>
    <w:rsid w:val="00B66458"/>
    <w:rsid w:val="00B66595"/>
    <w:rsid w:val="00B70118"/>
    <w:rsid w:val="00B7075D"/>
    <w:rsid w:val="00B70D24"/>
    <w:rsid w:val="00B70DC9"/>
    <w:rsid w:val="00B71B32"/>
    <w:rsid w:val="00B71E4C"/>
    <w:rsid w:val="00B7442C"/>
    <w:rsid w:val="00B74672"/>
    <w:rsid w:val="00B747FD"/>
    <w:rsid w:val="00B749C8"/>
    <w:rsid w:val="00B7524B"/>
    <w:rsid w:val="00B75CCC"/>
    <w:rsid w:val="00B77754"/>
    <w:rsid w:val="00B80680"/>
    <w:rsid w:val="00B80B7C"/>
    <w:rsid w:val="00B80B87"/>
    <w:rsid w:val="00B80E80"/>
    <w:rsid w:val="00B81299"/>
    <w:rsid w:val="00B81C7C"/>
    <w:rsid w:val="00B81FB0"/>
    <w:rsid w:val="00B82378"/>
    <w:rsid w:val="00B823E6"/>
    <w:rsid w:val="00B83177"/>
    <w:rsid w:val="00B832B3"/>
    <w:rsid w:val="00B83878"/>
    <w:rsid w:val="00B83E56"/>
    <w:rsid w:val="00B856CC"/>
    <w:rsid w:val="00B85E03"/>
    <w:rsid w:val="00B85E4D"/>
    <w:rsid w:val="00B8617C"/>
    <w:rsid w:val="00B87806"/>
    <w:rsid w:val="00B87D97"/>
    <w:rsid w:val="00B87EC9"/>
    <w:rsid w:val="00B9007E"/>
    <w:rsid w:val="00B90B4C"/>
    <w:rsid w:val="00B9253F"/>
    <w:rsid w:val="00B92CD7"/>
    <w:rsid w:val="00B92F39"/>
    <w:rsid w:val="00B94716"/>
    <w:rsid w:val="00B9647A"/>
    <w:rsid w:val="00B968CC"/>
    <w:rsid w:val="00BA0128"/>
    <w:rsid w:val="00BA070A"/>
    <w:rsid w:val="00BA0AA9"/>
    <w:rsid w:val="00BA2173"/>
    <w:rsid w:val="00BA3A7B"/>
    <w:rsid w:val="00BA440F"/>
    <w:rsid w:val="00BA5298"/>
    <w:rsid w:val="00BA52BB"/>
    <w:rsid w:val="00BA68C8"/>
    <w:rsid w:val="00BA7914"/>
    <w:rsid w:val="00BA7FD5"/>
    <w:rsid w:val="00BB02D1"/>
    <w:rsid w:val="00BB0616"/>
    <w:rsid w:val="00BB16F0"/>
    <w:rsid w:val="00BB1CE5"/>
    <w:rsid w:val="00BB26F4"/>
    <w:rsid w:val="00BB2D9A"/>
    <w:rsid w:val="00BB2E8A"/>
    <w:rsid w:val="00BB67D1"/>
    <w:rsid w:val="00BC0270"/>
    <w:rsid w:val="00BC09FA"/>
    <w:rsid w:val="00BC1C77"/>
    <w:rsid w:val="00BC30D5"/>
    <w:rsid w:val="00BC33EB"/>
    <w:rsid w:val="00BC3404"/>
    <w:rsid w:val="00BC38FD"/>
    <w:rsid w:val="00BC4BBD"/>
    <w:rsid w:val="00BC63B2"/>
    <w:rsid w:val="00BD1862"/>
    <w:rsid w:val="00BD3B32"/>
    <w:rsid w:val="00BD59DF"/>
    <w:rsid w:val="00BD5BCE"/>
    <w:rsid w:val="00BD7148"/>
    <w:rsid w:val="00BE14DE"/>
    <w:rsid w:val="00BE1BF6"/>
    <w:rsid w:val="00BE5E3A"/>
    <w:rsid w:val="00BE63C7"/>
    <w:rsid w:val="00BE6694"/>
    <w:rsid w:val="00BF0E22"/>
    <w:rsid w:val="00BF0FD2"/>
    <w:rsid w:val="00BF4199"/>
    <w:rsid w:val="00C02F91"/>
    <w:rsid w:val="00C03356"/>
    <w:rsid w:val="00C034CB"/>
    <w:rsid w:val="00C04610"/>
    <w:rsid w:val="00C047A3"/>
    <w:rsid w:val="00C04E14"/>
    <w:rsid w:val="00C051A8"/>
    <w:rsid w:val="00C054BC"/>
    <w:rsid w:val="00C05B1D"/>
    <w:rsid w:val="00C063B1"/>
    <w:rsid w:val="00C065B4"/>
    <w:rsid w:val="00C0688B"/>
    <w:rsid w:val="00C0712E"/>
    <w:rsid w:val="00C10DC4"/>
    <w:rsid w:val="00C11032"/>
    <w:rsid w:val="00C12022"/>
    <w:rsid w:val="00C1291E"/>
    <w:rsid w:val="00C14336"/>
    <w:rsid w:val="00C15918"/>
    <w:rsid w:val="00C17897"/>
    <w:rsid w:val="00C17AC1"/>
    <w:rsid w:val="00C2131C"/>
    <w:rsid w:val="00C213F9"/>
    <w:rsid w:val="00C21B2B"/>
    <w:rsid w:val="00C229B9"/>
    <w:rsid w:val="00C23E80"/>
    <w:rsid w:val="00C23FB5"/>
    <w:rsid w:val="00C240BD"/>
    <w:rsid w:val="00C27137"/>
    <w:rsid w:val="00C30709"/>
    <w:rsid w:val="00C318F2"/>
    <w:rsid w:val="00C3280F"/>
    <w:rsid w:val="00C335E0"/>
    <w:rsid w:val="00C35D0A"/>
    <w:rsid w:val="00C37139"/>
    <w:rsid w:val="00C409D5"/>
    <w:rsid w:val="00C40A9D"/>
    <w:rsid w:val="00C411A4"/>
    <w:rsid w:val="00C41CDE"/>
    <w:rsid w:val="00C435C3"/>
    <w:rsid w:val="00C436C5"/>
    <w:rsid w:val="00C46DC5"/>
    <w:rsid w:val="00C50FAD"/>
    <w:rsid w:val="00C51588"/>
    <w:rsid w:val="00C51735"/>
    <w:rsid w:val="00C52DAA"/>
    <w:rsid w:val="00C5485E"/>
    <w:rsid w:val="00C55C4B"/>
    <w:rsid w:val="00C56D60"/>
    <w:rsid w:val="00C574B4"/>
    <w:rsid w:val="00C579C2"/>
    <w:rsid w:val="00C57B6A"/>
    <w:rsid w:val="00C57C5F"/>
    <w:rsid w:val="00C60022"/>
    <w:rsid w:val="00C60156"/>
    <w:rsid w:val="00C60457"/>
    <w:rsid w:val="00C6217F"/>
    <w:rsid w:val="00C6234B"/>
    <w:rsid w:val="00C62C81"/>
    <w:rsid w:val="00C63EAE"/>
    <w:rsid w:val="00C6483F"/>
    <w:rsid w:val="00C66CE1"/>
    <w:rsid w:val="00C66EE2"/>
    <w:rsid w:val="00C67E22"/>
    <w:rsid w:val="00C67FDB"/>
    <w:rsid w:val="00C70258"/>
    <w:rsid w:val="00C70E1E"/>
    <w:rsid w:val="00C71861"/>
    <w:rsid w:val="00C72334"/>
    <w:rsid w:val="00C72F96"/>
    <w:rsid w:val="00C73CB7"/>
    <w:rsid w:val="00C74D01"/>
    <w:rsid w:val="00C75B54"/>
    <w:rsid w:val="00C75B8C"/>
    <w:rsid w:val="00C7629F"/>
    <w:rsid w:val="00C7645A"/>
    <w:rsid w:val="00C769AE"/>
    <w:rsid w:val="00C769F7"/>
    <w:rsid w:val="00C77103"/>
    <w:rsid w:val="00C77678"/>
    <w:rsid w:val="00C80A47"/>
    <w:rsid w:val="00C81697"/>
    <w:rsid w:val="00C820C7"/>
    <w:rsid w:val="00C822ED"/>
    <w:rsid w:val="00C82D0E"/>
    <w:rsid w:val="00C837F6"/>
    <w:rsid w:val="00C85AE6"/>
    <w:rsid w:val="00C8661B"/>
    <w:rsid w:val="00C8738E"/>
    <w:rsid w:val="00C878AA"/>
    <w:rsid w:val="00C91800"/>
    <w:rsid w:val="00C918B8"/>
    <w:rsid w:val="00C92047"/>
    <w:rsid w:val="00C9255E"/>
    <w:rsid w:val="00C9277A"/>
    <w:rsid w:val="00C92806"/>
    <w:rsid w:val="00C952DF"/>
    <w:rsid w:val="00C9556F"/>
    <w:rsid w:val="00C955AF"/>
    <w:rsid w:val="00C972B1"/>
    <w:rsid w:val="00C978AB"/>
    <w:rsid w:val="00C97D7E"/>
    <w:rsid w:val="00CA0E17"/>
    <w:rsid w:val="00CA139A"/>
    <w:rsid w:val="00CA16E2"/>
    <w:rsid w:val="00CA1D82"/>
    <w:rsid w:val="00CA2899"/>
    <w:rsid w:val="00CA318F"/>
    <w:rsid w:val="00CA3A3D"/>
    <w:rsid w:val="00CA4168"/>
    <w:rsid w:val="00CA4CC5"/>
    <w:rsid w:val="00CA4D06"/>
    <w:rsid w:val="00CA53FA"/>
    <w:rsid w:val="00CA572E"/>
    <w:rsid w:val="00CA5FB6"/>
    <w:rsid w:val="00CA6254"/>
    <w:rsid w:val="00CA6D12"/>
    <w:rsid w:val="00CA7269"/>
    <w:rsid w:val="00CA739F"/>
    <w:rsid w:val="00CA77FB"/>
    <w:rsid w:val="00CB0B4E"/>
    <w:rsid w:val="00CB13EB"/>
    <w:rsid w:val="00CB2EDB"/>
    <w:rsid w:val="00CB35C9"/>
    <w:rsid w:val="00CB379B"/>
    <w:rsid w:val="00CB5247"/>
    <w:rsid w:val="00CB5405"/>
    <w:rsid w:val="00CB5DD0"/>
    <w:rsid w:val="00CB74A3"/>
    <w:rsid w:val="00CB7515"/>
    <w:rsid w:val="00CB7F49"/>
    <w:rsid w:val="00CC01C2"/>
    <w:rsid w:val="00CC1200"/>
    <w:rsid w:val="00CC2651"/>
    <w:rsid w:val="00CC3B17"/>
    <w:rsid w:val="00CC4CE0"/>
    <w:rsid w:val="00CC4D1D"/>
    <w:rsid w:val="00CC51D4"/>
    <w:rsid w:val="00CC571F"/>
    <w:rsid w:val="00CC5E88"/>
    <w:rsid w:val="00CC60D5"/>
    <w:rsid w:val="00CC65DA"/>
    <w:rsid w:val="00CC6BCF"/>
    <w:rsid w:val="00CC6CEA"/>
    <w:rsid w:val="00CC6F8B"/>
    <w:rsid w:val="00CC7893"/>
    <w:rsid w:val="00CC7FF3"/>
    <w:rsid w:val="00CD06A7"/>
    <w:rsid w:val="00CD07F3"/>
    <w:rsid w:val="00CD0869"/>
    <w:rsid w:val="00CD2E02"/>
    <w:rsid w:val="00CD2ED9"/>
    <w:rsid w:val="00CD45C9"/>
    <w:rsid w:val="00CD65D7"/>
    <w:rsid w:val="00CD67EA"/>
    <w:rsid w:val="00CE1DED"/>
    <w:rsid w:val="00CE574F"/>
    <w:rsid w:val="00CE5964"/>
    <w:rsid w:val="00CE5E8C"/>
    <w:rsid w:val="00CE6964"/>
    <w:rsid w:val="00CE73C8"/>
    <w:rsid w:val="00CE7CFE"/>
    <w:rsid w:val="00CF21B9"/>
    <w:rsid w:val="00CF369D"/>
    <w:rsid w:val="00CF6BF9"/>
    <w:rsid w:val="00CF7753"/>
    <w:rsid w:val="00CF7A83"/>
    <w:rsid w:val="00D006F1"/>
    <w:rsid w:val="00D00E39"/>
    <w:rsid w:val="00D013DD"/>
    <w:rsid w:val="00D02731"/>
    <w:rsid w:val="00D03800"/>
    <w:rsid w:val="00D05720"/>
    <w:rsid w:val="00D065D3"/>
    <w:rsid w:val="00D10161"/>
    <w:rsid w:val="00D10F8E"/>
    <w:rsid w:val="00D131D9"/>
    <w:rsid w:val="00D148DC"/>
    <w:rsid w:val="00D14C94"/>
    <w:rsid w:val="00D15719"/>
    <w:rsid w:val="00D15BB6"/>
    <w:rsid w:val="00D17FC0"/>
    <w:rsid w:val="00D21BA7"/>
    <w:rsid w:val="00D23891"/>
    <w:rsid w:val="00D23E0A"/>
    <w:rsid w:val="00D24422"/>
    <w:rsid w:val="00D24893"/>
    <w:rsid w:val="00D30ECA"/>
    <w:rsid w:val="00D30F9E"/>
    <w:rsid w:val="00D31973"/>
    <w:rsid w:val="00D31E0B"/>
    <w:rsid w:val="00D331AF"/>
    <w:rsid w:val="00D332DC"/>
    <w:rsid w:val="00D33D43"/>
    <w:rsid w:val="00D342A6"/>
    <w:rsid w:val="00D37B26"/>
    <w:rsid w:val="00D44743"/>
    <w:rsid w:val="00D44B3D"/>
    <w:rsid w:val="00D464BF"/>
    <w:rsid w:val="00D46BA9"/>
    <w:rsid w:val="00D47483"/>
    <w:rsid w:val="00D47AAF"/>
    <w:rsid w:val="00D50CB0"/>
    <w:rsid w:val="00D51435"/>
    <w:rsid w:val="00D52FB7"/>
    <w:rsid w:val="00D53E26"/>
    <w:rsid w:val="00D55300"/>
    <w:rsid w:val="00D564E2"/>
    <w:rsid w:val="00D56907"/>
    <w:rsid w:val="00D56E47"/>
    <w:rsid w:val="00D57C09"/>
    <w:rsid w:val="00D601DF"/>
    <w:rsid w:val="00D60925"/>
    <w:rsid w:val="00D621A7"/>
    <w:rsid w:val="00D627F6"/>
    <w:rsid w:val="00D62C83"/>
    <w:rsid w:val="00D63CC5"/>
    <w:rsid w:val="00D646FC"/>
    <w:rsid w:val="00D66BA9"/>
    <w:rsid w:val="00D66F49"/>
    <w:rsid w:val="00D673DB"/>
    <w:rsid w:val="00D7026F"/>
    <w:rsid w:val="00D7052C"/>
    <w:rsid w:val="00D71B8B"/>
    <w:rsid w:val="00D71DB4"/>
    <w:rsid w:val="00D71E0F"/>
    <w:rsid w:val="00D733F5"/>
    <w:rsid w:val="00D737EA"/>
    <w:rsid w:val="00D73D41"/>
    <w:rsid w:val="00D75130"/>
    <w:rsid w:val="00D75C39"/>
    <w:rsid w:val="00D76AD9"/>
    <w:rsid w:val="00D77991"/>
    <w:rsid w:val="00D82A5E"/>
    <w:rsid w:val="00D832A9"/>
    <w:rsid w:val="00D838BE"/>
    <w:rsid w:val="00D8424F"/>
    <w:rsid w:val="00D84BE6"/>
    <w:rsid w:val="00D90E1A"/>
    <w:rsid w:val="00D90F3A"/>
    <w:rsid w:val="00D95E37"/>
    <w:rsid w:val="00DA1A4E"/>
    <w:rsid w:val="00DA20D0"/>
    <w:rsid w:val="00DA27E4"/>
    <w:rsid w:val="00DA2BCA"/>
    <w:rsid w:val="00DA2F59"/>
    <w:rsid w:val="00DA4134"/>
    <w:rsid w:val="00DA60C7"/>
    <w:rsid w:val="00DA77EE"/>
    <w:rsid w:val="00DA7859"/>
    <w:rsid w:val="00DB0D9E"/>
    <w:rsid w:val="00DB3528"/>
    <w:rsid w:val="00DB4432"/>
    <w:rsid w:val="00DB53E8"/>
    <w:rsid w:val="00DB5780"/>
    <w:rsid w:val="00DC0AB7"/>
    <w:rsid w:val="00DC129F"/>
    <w:rsid w:val="00DC3314"/>
    <w:rsid w:val="00DC3F0B"/>
    <w:rsid w:val="00DC3F42"/>
    <w:rsid w:val="00DC5719"/>
    <w:rsid w:val="00DC6670"/>
    <w:rsid w:val="00DC6A15"/>
    <w:rsid w:val="00DC7CBE"/>
    <w:rsid w:val="00DD4E60"/>
    <w:rsid w:val="00DD4F0E"/>
    <w:rsid w:val="00DD63A3"/>
    <w:rsid w:val="00DD66B5"/>
    <w:rsid w:val="00DD66CF"/>
    <w:rsid w:val="00DE08CF"/>
    <w:rsid w:val="00DE1CD8"/>
    <w:rsid w:val="00DE1FC9"/>
    <w:rsid w:val="00DE2990"/>
    <w:rsid w:val="00DE2C66"/>
    <w:rsid w:val="00DE3A87"/>
    <w:rsid w:val="00DE6148"/>
    <w:rsid w:val="00DE6B9D"/>
    <w:rsid w:val="00DE714D"/>
    <w:rsid w:val="00DE7240"/>
    <w:rsid w:val="00DF0252"/>
    <w:rsid w:val="00DF0714"/>
    <w:rsid w:val="00DF0BF0"/>
    <w:rsid w:val="00DF30F3"/>
    <w:rsid w:val="00DF4A5E"/>
    <w:rsid w:val="00DF4FEC"/>
    <w:rsid w:val="00DF63E3"/>
    <w:rsid w:val="00DF7688"/>
    <w:rsid w:val="00E011C2"/>
    <w:rsid w:val="00E01463"/>
    <w:rsid w:val="00E01CA4"/>
    <w:rsid w:val="00E04D42"/>
    <w:rsid w:val="00E05487"/>
    <w:rsid w:val="00E054EC"/>
    <w:rsid w:val="00E05984"/>
    <w:rsid w:val="00E05E0A"/>
    <w:rsid w:val="00E061E8"/>
    <w:rsid w:val="00E071B3"/>
    <w:rsid w:val="00E076EB"/>
    <w:rsid w:val="00E11819"/>
    <w:rsid w:val="00E13707"/>
    <w:rsid w:val="00E14534"/>
    <w:rsid w:val="00E14D9E"/>
    <w:rsid w:val="00E15040"/>
    <w:rsid w:val="00E15A4E"/>
    <w:rsid w:val="00E1612B"/>
    <w:rsid w:val="00E17D82"/>
    <w:rsid w:val="00E17DC1"/>
    <w:rsid w:val="00E17F8C"/>
    <w:rsid w:val="00E20B7C"/>
    <w:rsid w:val="00E22784"/>
    <w:rsid w:val="00E2383F"/>
    <w:rsid w:val="00E2556C"/>
    <w:rsid w:val="00E258CB"/>
    <w:rsid w:val="00E278BF"/>
    <w:rsid w:val="00E27DA8"/>
    <w:rsid w:val="00E3063C"/>
    <w:rsid w:val="00E314DC"/>
    <w:rsid w:val="00E31B49"/>
    <w:rsid w:val="00E320E8"/>
    <w:rsid w:val="00E3304C"/>
    <w:rsid w:val="00E3375A"/>
    <w:rsid w:val="00E33AE1"/>
    <w:rsid w:val="00E34668"/>
    <w:rsid w:val="00E34E30"/>
    <w:rsid w:val="00E375FE"/>
    <w:rsid w:val="00E40353"/>
    <w:rsid w:val="00E4637F"/>
    <w:rsid w:val="00E46FCC"/>
    <w:rsid w:val="00E512CC"/>
    <w:rsid w:val="00E524BC"/>
    <w:rsid w:val="00E52F4B"/>
    <w:rsid w:val="00E534CF"/>
    <w:rsid w:val="00E54256"/>
    <w:rsid w:val="00E54D04"/>
    <w:rsid w:val="00E55784"/>
    <w:rsid w:val="00E56545"/>
    <w:rsid w:val="00E56705"/>
    <w:rsid w:val="00E60286"/>
    <w:rsid w:val="00E61CA6"/>
    <w:rsid w:val="00E621A8"/>
    <w:rsid w:val="00E625C2"/>
    <w:rsid w:val="00E63552"/>
    <w:rsid w:val="00E6381A"/>
    <w:rsid w:val="00E646A8"/>
    <w:rsid w:val="00E65F2D"/>
    <w:rsid w:val="00E6620D"/>
    <w:rsid w:val="00E667E7"/>
    <w:rsid w:val="00E66896"/>
    <w:rsid w:val="00E66C80"/>
    <w:rsid w:val="00E673AB"/>
    <w:rsid w:val="00E67F2A"/>
    <w:rsid w:val="00E70DED"/>
    <w:rsid w:val="00E7129C"/>
    <w:rsid w:val="00E719A9"/>
    <w:rsid w:val="00E744B3"/>
    <w:rsid w:val="00E75B83"/>
    <w:rsid w:val="00E7757E"/>
    <w:rsid w:val="00E80985"/>
    <w:rsid w:val="00E81CB4"/>
    <w:rsid w:val="00E822FA"/>
    <w:rsid w:val="00E844EE"/>
    <w:rsid w:val="00E84DED"/>
    <w:rsid w:val="00E8539A"/>
    <w:rsid w:val="00E8585B"/>
    <w:rsid w:val="00E85CCB"/>
    <w:rsid w:val="00E910EC"/>
    <w:rsid w:val="00E91609"/>
    <w:rsid w:val="00E93C0E"/>
    <w:rsid w:val="00E94A03"/>
    <w:rsid w:val="00E9547D"/>
    <w:rsid w:val="00E959E3"/>
    <w:rsid w:val="00EA0A59"/>
    <w:rsid w:val="00EA184A"/>
    <w:rsid w:val="00EA2423"/>
    <w:rsid w:val="00EA2B30"/>
    <w:rsid w:val="00EA2B79"/>
    <w:rsid w:val="00EA2D01"/>
    <w:rsid w:val="00EA3F15"/>
    <w:rsid w:val="00EA5733"/>
    <w:rsid w:val="00EA5C3E"/>
    <w:rsid w:val="00EA70BD"/>
    <w:rsid w:val="00EA7847"/>
    <w:rsid w:val="00EB0383"/>
    <w:rsid w:val="00EB2073"/>
    <w:rsid w:val="00EB4C2F"/>
    <w:rsid w:val="00EB59BF"/>
    <w:rsid w:val="00EB5B26"/>
    <w:rsid w:val="00EB5C3D"/>
    <w:rsid w:val="00EC006A"/>
    <w:rsid w:val="00EC1246"/>
    <w:rsid w:val="00EC2DD4"/>
    <w:rsid w:val="00EC6AD4"/>
    <w:rsid w:val="00EC72DD"/>
    <w:rsid w:val="00ED2341"/>
    <w:rsid w:val="00ED3734"/>
    <w:rsid w:val="00ED3AF6"/>
    <w:rsid w:val="00ED41E7"/>
    <w:rsid w:val="00ED70D6"/>
    <w:rsid w:val="00EE0466"/>
    <w:rsid w:val="00EE0D10"/>
    <w:rsid w:val="00EE2A51"/>
    <w:rsid w:val="00EE2E6E"/>
    <w:rsid w:val="00EE449E"/>
    <w:rsid w:val="00EE4D42"/>
    <w:rsid w:val="00EE64D1"/>
    <w:rsid w:val="00EF1500"/>
    <w:rsid w:val="00EF150E"/>
    <w:rsid w:val="00EF3B75"/>
    <w:rsid w:val="00EF469F"/>
    <w:rsid w:val="00EF4882"/>
    <w:rsid w:val="00EF4BB6"/>
    <w:rsid w:val="00EF4D7F"/>
    <w:rsid w:val="00EF50C2"/>
    <w:rsid w:val="00EF5132"/>
    <w:rsid w:val="00EF5A3F"/>
    <w:rsid w:val="00EF65F3"/>
    <w:rsid w:val="00F00FD3"/>
    <w:rsid w:val="00F02630"/>
    <w:rsid w:val="00F02E8D"/>
    <w:rsid w:val="00F03050"/>
    <w:rsid w:val="00F038C3"/>
    <w:rsid w:val="00F046A5"/>
    <w:rsid w:val="00F04A85"/>
    <w:rsid w:val="00F0602C"/>
    <w:rsid w:val="00F0759E"/>
    <w:rsid w:val="00F07E82"/>
    <w:rsid w:val="00F1479D"/>
    <w:rsid w:val="00F16517"/>
    <w:rsid w:val="00F16A43"/>
    <w:rsid w:val="00F2104F"/>
    <w:rsid w:val="00F22011"/>
    <w:rsid w:val="00F22E8B"/>
    <w:rsid w:val="00F2548E"/>
    <w:rsid w:val="00F27570"/>
    <w:rsid w:val="00F27B30"/>
    <w:rsid w:val="00F27B76"/>
    <w:rsid w:val="00F303BC"/>
    <w:rsid w:val="00F307D9"/>
    <w:rsid w:val="00F30D03"/>
    <w:rsid w:val="00F311D7"/>
    <w:rsid w:val="00F31F83"/>
    <w:rsid w:val="00F331EE"/>
    <w:rsid w:val="00F3434F"/>
    <w:rsid w:val="00F34622"/>
    <w:rsid w:val="00F347D7"/>
    <w:rsid w:val="00F364A8"/>
    <w:rsid w:val="00F37A44"/>
    <w:rsid w:val="00F408CE"/>
    <w:rsid w:val="00F41892"/>
    <w:rsid w:val="00F41EF1"/>
    <w:rsid w:val="00F4280B"/>
    <w:rsid w:val="00F44246"/>
    <w:rsid w:val="00F44783"/>
    <w:rsid w:val="00F45A9C"/>
    <w:rsid w:val="00F45F9F"/>
    <w:rsid w:val="00F46780"/>
    <w:rsid w:val="00F47178"/>
    <w:rsid w:val="00F5142C"/>
    <w:rsid w:val="00F51C07"/>
    <w:rsid w:val="00F51E2E"/>
    <w:rsid w:val="00F5221C"/>
    <w:rsid w:val="00F537E1"/>
    <w:rsid w:val="00F55AA1"/>
    <w:rsid w:val="00F56295"/>
    <w:rsid w:val="00F56883"/>
    <w:rsid w:val="00F56F15"/>
    <w:rsid w:val="00F56FC4"/>
    <w:rsid w:val="00F578D3"/>
    <w:rsid w:val="00F60D36"/>
    <w:rsid w:val="00F60FF8"/>
    <w:rsid w:val="00F61318"/>
    <w:rsid w:val="00F6190A"/>
    <w:rsid w:val="00F61BEC"/>
    <w:rsid w:val="00F62C28"/>
    <w:rsid w:val="00F65C9A"/>
    <w:rsid w:val="00F65CAA"/>
    <w:rsid w:val="00F65DC8"/>
    <w:rsid w:val="00F66022"/>
    <w:rsid w:val="00F66136"/>
    <w:rsid w:val="00F66D14"/>
    <w:rsid w:val="00F6791F"/>
    <w:rsid w:val="00F7051E"/>
    <w:rsid w:val="00F7209F"/>
    <w:rsid w:val="00F72197"/>
    <w:rsid w:val="00F7229D"/>
    <w:rsid w:val="00F733BA"/>
    <w:rsid w:val="00F744CA"/>
    <w:rsid w:val="00F756DB"/>
    <w:rsid w:val="00F760B7"/>
    <w:rsid w:val="00F76CBD"/>
    <w:rsid w:val="00F774AC"/>
    <w:rsid w:val="00F776EF"/>
    <w:rsid w:val="00F810A8"/>
    <w:rsid w:val="00F8128A"/>
    <w:rsid w:val="00F821A3"/>
    <w:rsid w:val="00F82B40"/>
    <w:rsid w:val="00F837BE"/>
    <w:rsid w:val="00F868FC"/>
    <w:rsid w:val="00F87430"/>
    <w:rsid w:val="00F9009C"/>
    <w:rsid w:val="00F908B3"/>
    <w:rsid w:val="00F90983"/>
    <w:rsid w:val="00F927DF"/>
    <w:rsid w:val="00F92E65"/>
    <w:rsid w:val="00F9314A"/>
    <w:rsid w:val="00F9485F"/>
    <w:rsid w:val="00F949B1"/>
    <w:rsid w:val="00F95202"/>
    <w:rsid w:val="00F953E8"/>
    <w:rsid w:val="00F9552E"/>
    <w:rsid w:val="00F9673B"/>
    <w:rsid w:val="00F975A4"/>
    <w:rsid w:val="00F97CD8"/>
    <w:rsid w:val="00FA19E4"/>
    <w:rsid w:val="00FA1D91"/>
    <w:rsid w:val="00FA30B0"/>
    <w:rsid w:val="00FA349A"/>
    <w:rsid w:val="00FA422B"/>
    <w:rsid w:val="00FA4420"/>
    <w:rsid w:val="00FA5229"/>
    <w:rsid w:val="00FA537C"/>
    <w:rsid w:val="00FA591D"/>
    <w:rsid w:val="00FA5C2F"/>
    <w:rsid w:val="00FA65E8"/>
    <w:rsid w:val="00FA6993"/>
    <w:rsid w:val="00FA6ACE"/>
    <w:rsid w:val="00FB0C74"/>
    <w:rsid w:val="00FB0C8E"/>
    <w:rsid w:val="00FB0E9D"/>
    <w:rsid w:val="00FB0FE1"/>
    <w:rsid w:val="00FB1B31"/>
    <w:rsid w:val="00FB2006"/>
    <w:rsid w:val="00FB271D"/>
    <w:rsid w:val="00FB4E4C"/>
    <w:rsid w:val="00FB5D72"/>
    <w:rsid w:val="00FC2E78"/>
    <w:rsid w:val="00FC46AB"/>
    <w:rsid w:val="00FC46AD"/>
    <w:rsid w:val="00FC58EF"/>
    <w:rsid w:val="00FC6CA1"/>
    <w:rsid w:val="00FC749B"/>
    <w:rsid w:val="00FD16DF"/>
    <w:rsid w:val="00FD2E48"/>
    <w:rsid w:val="00FD33DF"/>
    <w:rsid w:val="00FD3B61"/>
    <w:rsid w:val="00FD61A1"/>
    <w:rsid w:val="00FD74B5"/>
    <w:rsid w:val="00FE22EC"/>
    <w:rsid w:val="00FE3125"/>
    <w:rsid w:val="00FE328F"/>
    <w:rsid w:val="00FE39D7"/>
    <w:rsid w:val="00FE4ADF"/>
    <w:rsid w:val="00FE4FED"/>
    <w:rsid w:val="00FE5024"/>
    <w:rsid w:val="00FE54D4"/>
    <w:rsid w:val="00FE57F5"/>
    <w:rsid w:val="00FE5DFC"/>
    <w:rsid w:val="00FE62D6"/>
    <w:rsid w:val="00FE6D50"/>
    <w:rsid w:val="00FE7A26"/>
    <w:rsid w:val="00FF486D"/>
    <w:rsid w:val="00FF5025"/>
    <w:rsid w:val="00FF72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92CF22A-DB13-46AE-B217-998DDEB4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5263A8"/>
    <w:pPr>
      <w:keepNext/>
      <w:jc w:val="center"/>
      <w:outlineLvl w:val="0"/>
    </w:pPr>
    <w:rPr>
      <w:rFonts w:ascii="Bookman Old Style" w:hAnsi="Bookman Old Style"/>
      <w:b/>
      <w:szCs w:val="20"/>
      <w:lang w:val="es-CO"/>
    </w:rPr>
  </w:style>
  <w:style w:type="paragraph" w:styleId="Ttulo2">
    <w:name w:val="heading 2"/>
    <w:basedOn w:val="Normal"/>
    <w:next w:val="Normal"/>
    <w:link w:val="Ttulo2Car"/>
    <w:uiPriority w:val="9"/>
    <w:unhideWhenUsed/>
    <w:qFormat/>
    <w:rsid w:val="005263A8"/>
    <w:pPr>
      <w:keepNext/>
      <w:keepLines/>
      <w:spacing w:before="200"/>
      <w:outlineLvl w:val="1"/>
    </w:pPr>
    <w:rPr>
      <w:rFonts w:ascii="Bookman Old Style" w:eastAsiaTheme="majorEastAsia" w:hAnsi="Bookman Old Style" w:cstheme="majorBidi"/>
      <w:b/>
      <w:bCs/>
      <w:szCs w:val="26"/>
    </w:rPr>
  </w:style>
  <w:style w:type="paragraph" w:styleId="Ttulo3">
    <w:name w:val="heading 3"/>
    <w:basedOn w:val="Normal"/>
    <w:next w:val="Normal"/>
    <w:link w:val="Ttulo3Car"/>
    <w:qFormat/>
    <w:rsid w:val="005263A8"/>
    <w:pPr>
      <w:keepNext/>
      <w:jc w:val="center"/>
      <w:outlineLvl w:val="2"/>
    </w:pPr>
    <w:rPr>
      <w:rFonts w:ascii="Bookman Old Style" w:hAnsi="Bookman Old Style"/>
      <w:b/>
      <w:snapToGrid w:val="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5263A8"/>
    <w:rPr>
      <w:rFonts w:ascii="Bookman Old Style" w:hAnsi="Bookman Old Style"/>
      <w:b/>
      <w:snapToGrid w:val="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customStyle="1" w:styleId="Textoindependiente21">
    <w:name w:val="Texto independiente 21"/>
    <w:basedOn w:val="Normal"/>
    <w:rsid w:val="00AC406B"/>
    <w:pPr>
      <w:widowControl w:val="0"/>
      <w:tabs>
        <w:tab w:val="left" w:pos="3420"/>
      </w:tabs>
      <w:ind w:left="0"/>
      <w:jc w:val="both"/>
    </w:pPr>
    <w:rPr>
      <w:rFonts w:ascii="Arial" w:hAnsi="Arial"/>
      <w:sz w:val="20"/>
      <w:szCs w:val="20"/>
      <w:lang w:val="es-CO" w:eastAsia="es-CO"/>
    </w:rPr>
  </w:style>
  <w:style w:type="paragraph" w:customStyle="1" w:styleId="Default">
    <w:name w:val="Default"/>
    <w:rsid w:val="00CD2E02"/>
    <w:pPr>
      <w:autoSpaceDE w:val="0"/>
      <w:autoSpaceDN w:val="0"/>
      <w:adjustRightInd w:val="0"/>
    </w:pPr>
    <w:rPr>
      <w:rFonts w:ascii="Cambria" w:eastAsia="Calibri" w:hAnsi="Cambria" w:cs="Cambria"/>
      <w:color w:val="000000"/>
      <w:sz w:val="24"/>
      <w:szCs w:val="24"/>
      <w:lang w:eastAsia="en-US"/>
    </w:rPr>
  </w:style>
  <w:style w:type="character" w:customStyle="1" w:styleId="Ttulo1Car">
    <w:name w:val="Título 1 Car"/>
    <w:basedOn w:val="Fuentedeprrafopredeter"/>
    <w:link w:val="Ttulo1"/>
    <w:rsid w:val="005263A8"/>
    <w:rPr>
      <w:rFonts w:ascii="Bookman Old Style" w:hAnsi="Bookman Old Style"/>
      <w:b/>
      <w:sz w:val="24"/>
      <w:lang w:eastAsia="es-ES"/>
    </w:rPr>
  </w:style>
  <w:style w:type="character" w:styleId="Refdecomentario">
    <w:name w:val="annotation reference"/>
    <w:basedOn w:val="Fuentedeprrafopredeter"/>
    <w:uiPriority w:val="99"/>
    <w:semiHidden/>
    <w:unhideWhenUsed/>
    <w:rsid w:val="00A172A1"/>
    <w:rPr>
      <w:sz w:val="16"/>
      <w:szCs w:val="16"/>
    </w:rPr>
  </w:style>
  <w:style w:type="paragraph" w:styleId="Textocomentario">
    <w:name w:val="annotation text"/>
    <w:basedOn w:val="Normal"/>
    <w:link w:val="TextocomentarioCar"/>
    <w:uiPriority w:val="99"/>
    <w:semiHidden/>
    <w:unhideWhenUsed/>
    <w:rsid w:val="00A172A1"/>
    <w:rPr>
      <w:sz w:val="20"/>
      <w:szCs w:val="20"/>
    </w:rPr>
  </w:style>
  <w:style w:type="character" w:customStyle="1" w:styleId="TextocomentarioCar">
    <w:name w:val="Texto comentario Car"/>
    <w:basedOn w:val="Fuentedeprrafopredeter"/>
    <w:link w:val="Textocomentario"/>
    <w:uiPriority w:val="99"/>
    <w:semiHidden/>
    <w:rsid w:val="00A172A1"/>
    <w:rPr>
      <w:lang w:val="es-ES" w:eastAsia="es-ES"/>
    </w:rPr>
  </w:style>
  <w:style w:type="character" w:customStyle="1" w:styleId="Ttulo2Car">
    <w:name w:val="Título 2 Car"/>
    <w:basedOn w:val="Fuentedeprrafopredeter"/>
    <w:link w:val="Ttulo2"/>
    <w:uiPriority w:val="9"/>
    <w:rsid w:val="005263A8"/>
    <w:rPr>
      <w:rFonts w:ascii="Bookman Old Style" w:eastAsiaTheme="majorEastAsia" w:hAnsi="Bookman Old Style" w:cstheme="majorBidi"/>
      <w:b/>
      <w:bCs/>
      <w:sz w:val="24"/>
      <w:szCs w:val="26"/>
      <w:lang w:val="es-ES" w:eastAsia="es-ES"/>
    </w:rPr>
  </w:style>
  <w:style w:type="character" w:customStyle="1" w:styleId="left">
    <w:name w:val="left"/>
    <w:basedOn w:val="Fuentedeprrafopredeter"/>
    <w:rsid w:val="009D31E5"/>
  </w:style>
  <w:style w:type="paragraph" w:styleId="Asuntodelcomentario">
    <w:name w:val="annotation subject"/>
    <w:basedOn w:val="Textocomentario"/>
    <w:next w:val="Textocomentario"/>
    <w:link w:val="AsuntodelcomentarioCar"/>
    <w:uiPriority w:val="99"/>
    <w:semiHidden/>
    <w:unhideWhenUsed/>
    <w:rsid w:val="009D31E5"/>
    <w:rPr>
      <w:b/>
      <w:bCs/>
    </w:rPr>
  </w:style>
  <w:style w:type="character" w:customStyle="1" w:styleId="AsuntodelcomentarioCar">
    <w:name w:val="Asunto del comentario Car"/>
    <w:basedOn w:val="TextocomentarioCar"/>
    <w:link w:val="Asuntodelcomentario"/>
    <w:uiPriority w:val="99"/>
    <w:semiHidden/>
    <w:rsid w:val="009D31E5"/>
    <w:rPr>
      <w:b/>
      <w:bCs/>
      <w:lang w:val="es-ES" w:eastAsia="es-ES"/>
    </w:rPr>
  </w:style>
  <w:style w:type="paragraph" w:styleId="Revisin">
    <w:name w:val="Revision"/>
    <w:hidden/>
    <w:uiPriority w:val="99"/>
    <w:semiHidden/>
    <w:rsid w:val="009D31E5"/>
    <w:rPr>
      <w:sz w:val="24"/>
      <w:szCs w:val="24"/>
      <w:lang w:val="es-ES" w:eastAsia="es-ES"/>
    </w:rPr>
  </w:style>
  <w:style w:type="paragraph" w:styleId="TtulodeTDC">
    <w:name w:val="TOC Heading"/>
    <w:basedOn w:val="Ttulo1"/>
    <w:next w:val="Normal"/>
    <w:uiPriority w:val="39"/>
    <w:semiHidden/>
    <w:unhideWhenUsed/>
    <w:qFormat/>
    <w:rsid w:val="009D31E5"/>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3">
    <w:name w:val="toc 3"/>
    <w:basedOn w:val="Normal"/>
    <w:next w:val="Normal"/>
    <w:autoRedefine/>
    <w:uiPriority w:val="39"/>
    <w:unhideWhenUsed/>
    <w:rsid w:val="009D31E5"/>
    <w:pPr>
      <w:spacing w:after="100"/>
      <w:ind w:left="480"/>
    </w:pPr>
  </w:style>
  <w:style w:type="character" w:styleId="Hipervnculo">
    <w:name w:val="Hyperlink"/>
    <w:basedOn w:val="Fuentedeprrafopredeter"/>
    <w:uiPriority w:val="99"/>
    <w:unhideWhenUsed/>
    <w:rsid w:val="009D31E5"/>
    <w:rPr>
      <w:color w:val="0000FF" w:themeColor="hyperlink"/>
      <w:u w:val="single"/>
    </w:rPr>
  </w:style>
  <w:style w:type="paragraph" w:styleId="TDC2">
    <w:name w:val="toc 2"/>
    <w:basedOn w:val="Normal"/>
    <w:next w:val="Normal"/>
    <w:autoRedefine/>
    <w:uiPriority w:val="39"/>
    <w:unhideWhenUsed/>
    <w:rsid w:val="009D31E5"/>
    <w:pPr>
      <w:spacing w:after="100"/>
      <w:ind w:left="240"/>
    </w:p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referenc"/>
    <w:basedOn w:val="Normal"/>
    <w:link w:val="TextonotapieCar1"/>
    <w:rsid w:val="002C06A1"/>
    <w:pPr>
      <w:overflowPunct w:val="0"/>
      <w:autoSpaceDE w:val="0"/>
      <w:autoSpaceDN w:val="0"/>
      <w:adjustRightInd w:val="0"/>
      <w:ind w:left="0"/>
      <w:textAlignment w:val="baseline"/>
    </w:pPr>
    <w:rPr>
      <w:sz w:val="20"/>
      <w:szCs w:val="20"/>
    </w:rPr>
  </w:style>
  <w:style w:type="character" w:customStyle="1" w:styleId="TextonotapieCar">
    <w:name w:val="Texto nota pie Car"/>
    <w:basedOn w:val="Fuentedeprrafopredeter"/>
    <w:uiPriority w:val="99"/>
    <w:semiHidden/>
    <w:rsid w:val="002C06A1"/>
    <w:rPr>
      <w:lang w:val="es-ES" w:eastAsia="es-ES"/>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locked/>
    <w:rsid w:val="002C06A1"/>
    <w:rPr>
      <w:lang w:val="es-ES" w:eastAsia="es-ES"/>
    </w:rPr>
  </w:style>
  <w:style w:type="character" w:styleId="Refdenotaalpie">
    <w:name w:val="footnote reference"/>
    <w:aliases w:val="referencia nota al pie,Appel note de bas de page,FC,Texto de nota al pie,Footnotes refss,Footnote number,BVI fnr,f"/>
    <w:basedOn w:val="Fuentedeprrafopredeter"/>
    <w:uiPriority w:val="99"/>
    <w:rsid w:val="002C06A1"/>
    <w:rPr>
      <w:rFonts w:cs="Times New Roman"/>
      <w:vertAlign w:val="superscript"/>
    </w:rPr>
  </w:style>
  <w:style w:type="character" w:customStyle="1" w:styleId="spelle">
    <w:name w:val="spelle"/>
    <w:basedOn w:val="Fuentedeprrafopredeter"/>
    <w:rsid w:val="00186A5D"/>
  </w:style>
  <w:style w:type="character" w:styleId="Textodelmarcadordeposicin">
    <w:name w:val="Placeholder Text"/>
    <w:basedOn w:val="Fuentedeprrafopredeter"/>
    <w:uiPriority w:val="99"/>
    <w:semiHidden/>
    <w:rsid w:val="000C51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25986">
      <w:bodyDiv w:val="1"/>
      <w:marLeft w:val="0"/>
      <w:marRight w:val="0"/>
      <w:marTop w:val="0"/>
      <w:marBottom w:val="0"/>
      <w:divBdr>
        <w:top w:val="none" w:sz="0" w:space="0" w:color="auto"/>
        <w:left w:val="none" w:sz="0" w:space="0" w:color="auto"/>
        <w:bottom w:val="none" w:sz="0" w:space="0" w:color="auto"/>
        <w:right w:val="none" w:sz="0" w:space="0" w:color="auto"/>
      </w:divBdr>
      <w:divsChild>
        <w:div w:id="711737082">
          <w:marLeft w:val="446"/>
          <w:marRight w:val="0"/>
          <w:marTop w:val="0"/>
          <w:marBottom w:val="0"/>
          <w:divBdr>
            <w:top w:val="none" w:sz="0" w:space="0" w:color="auto"/>
            <w:left w:val="none" w:sz="0" w:space="0" w:color="auto"/>
            <w:bottom w:val="none" w:sz="0" w:space="0" w:color="auto"/>
            <w:right w:val="none" w:sz="0" w:space="0" w:color="auto"/>
          </w:divBdr>
        </w:div>
        <w:div w:id="855773349">
          <w:marLeft w:val="446"/>
          <w:marRight w:val="0"/>
          <w:marTop w:val="0"/>
          <w:marBottom w:val="0"/>
          <w:divBdr>
            <w:top w:val="none" w:sz="0" w:space="0" w:color="auto"/>
            <w:left w:val="none" w:sz="0" w:space="0" w:color="auto"/>
            <w:bottom w:val="none" w:sz="0" w:space="0" w:color="auto"/>
            <w:right w:val="none" w:sz="0" w:space="0" w:color="auto"/>
          </w:divBdr>
        </w:div>
        <w:div w:id="2028747630">
          <w:marLeft w:val="446"/>
          <w:marRight w:val="0"/>
          <w:marTop w:val="0"/>
          <w:marBottom w:val="0"/>
          <w:divBdr>
            <w:top w:val="none" w:sz="0" w:space="0" w:color="auto"/>
            <w:left w:val="none" w:sz="0" w:space="0" w:color="auto"/>
            <w:bottom w:val="none" w:sz="0" w:space="0" w:color="auto"/>
            <w:right w:val="none" w:sz="0" w:space="0" w:color="auto"/>
          </w:divBdr>
        </w:div>
      </w:divsChild>
    </w:div>
    <w:div w:id="349916183">
      <w:bodyDiv w:val="1"/>
      <w:marLeft w:val="0"/>
      <w:marRight w:val="0"/>
      <w:marTop w:val="0"/>
      <w:marBottom w:val="0"/>
      <w:divBdr>
        <w:top w:val="none" w:sz="0" w:space="0" w:color="auto"/>
        <w:left w:val="none" w:sz="0" w:space="0" w:color="auto"/>
        <w:bottom w:val="none" w:sz="0" w:space="0" w:color="auto"/>
        <w:right w:val="none" w:sz="0" w:space="0" w:color="auto"/>
      </w:divBdr>
      <w:divsChild>
        <w:div w:id="1361513416">
          <w:marLeft w:val="446"/>
          <w:marRight w:val="0"/>
          <w:marTop w:val="0"/>
          <w:marBottom w:val="0"/>
          <w:divBdr>
            <w:top w:val="none" w:sz="0" w:space="0" w:color="auto"/>
            <w:left w:val="none" w:sz="0" w:space="0" w:color="auto"/>
            <w:bottom w:val="none" w:sz="0" w:space="0" w:color="auto"/>
            <w:right w:val="none" w:sz="0" w:space="0" w:color="auto"/>
          </w:divBdr>
        </w:div>
      </w:divsChild>
    </w:div>
    <w:div w:id="643046098">
      <w:bodyDiv w:val="1"/>
      <w:marLeft w:val="0"/>
      <w:marRight w:val="0"/>
      <w:marTop w:val="0"/>
      <w:marBottom w:val="0"/>
      <w:divBdr>
        <w:top w:val="none" w:sz="0" w:space="0" w:color="auto"/>
        <w:left w:val="none" w:sz="0" w:space="0" w:color="auto"/>
        <w:bottom w:val="none" w:sz="0" w:space="0" w:color="auto"/>
        <w:right w:val="none" w:sz="0" w:space="0" w:color="auto"/>
      </w:divBdr>
      <w:divsChild>
        <w:div w:id="1028724475">
          <w:marLeft w:val="1166"/>
          <w:marRight w:val="0"/>
          <w:marTop w:val="0"/>
          <w:marBottom w:val="0"/>
          <w:divBdr>
            <w:top w:val="none" w:sz="0" w:space="0" w:color="auto"/>
            <w:left w:val="none" w:sz="0" w:space="0" w:color="auto"/>
            <w:bottom w:val="none" w:sz="0" w:space="0" w:color="auto"/>
            <w:right w:val="none" w:sz="0" w:space="0" w:color="auto"/>
          </w:divBdr>
        </w:div>
        <w:div w:id="1608467332">
          <w:marLeft w:val="1166"/>
          <w:marRight w:val="0"/>
          <w:marTop w:val="0"/>
          <w:marBottom w:val="0"/>
          <w:divBdr>
            <w:top w:val="none" w:sz="0" w:space="0" w:color="auto"/>
            <w:left w:val="none" w:sz="0" w:space="0" w:color="auto"/>
            <w:bottom w:val="none" w:sz="0" w:space="0" w:color="auto"/>
            <w:right w:val="none" w:sz="0" w:space="0" w:color="auto"/>
          </w:divBdr>
        </w:div>
      </w:divsChild>
    </w:div>
    <w:div w:id="1194347281">
      <w:bodyDiv w:val="1"/>
      <w:marLeft w:val="0"/>
      <w:marRight w:val="0"/>
      <w:marTop w:val="0"/>
      <w:marBottom w:val="0"/>
      <w:divBdr>
        <w:top w:val="none" w:sz="0" w:space="0" w:color="auto"/>
        <w:left w:val="none" w:sz="0" w:space="0" w:color="auto"/>
        <w:bottom w:val="none" w:sz="0" w:space="0" w:color="auto"/>
        <w:right w:val="none" w:sz="0" w:space="0" w:color="auto"/>
      </w:divBdr>
      <w:divsChild>
        <w:div w:id="902562044">
          <w:marLeft w:val="446"/>
          <w:marRight w:val="0"/>
          <w:marTop w:val="0"/>
          <w:marBottom w:val="0"/>
          <w:divBdr>
            <w:top w:val="none" w:sz="0" w:space="0" w:color="auto"/>
            <w:left w:val="none" w:sz="0" w:space="0" w:color="auto"/>
            <w:bottom w:val="none" w:sz="0" w:space="0" w:color="auto"/>
            <w:right w:val="none" w:sz="0" w:space="0" w:color="auto"/>
          </w:divBdr>
        </w:div>
        <w:div w:id="1937325763">
          <w:marLeft w:val="446"/>
          <w:marRight w:val="0"/>
          <w:marTop w:val="0"/>
          <w:marBottom w:val="0"/>
          <w:divBdr>
            <w:top w:val="none" w:sz="0" w:space="0" w:color="auto"/>
            <w:left w:val="none" w:sz="0" w:space="0" w:color="auto"/>
            <w:bottom w:val="none" w:sz="0" w:space="0" w:color="auto"/>
            <w:right w:val="none" w:sz="0" w:space="0" w:color="auto"/>
          </w:divBdr>
        </w:div>
      </w:divsChild>
    </w:div>
    <w:div w:id="1475874238">
      <w:bodyDiv w:val="1"/>
      <w:marLeft w:val="0"/>
      <w:marRight w:val="0"/>
      <w:marTop w:val="0"/>
      <w:marBottom w:val="0"/>
      <w:divBdr>
        <w:top w:val="none" w:sz="0" w:space="0" w:color="auto"/>
        <w:left w:val="none" w:sz="0" w:space="0" w:color="auto"/>
        <w:bottom w:val="none" w:sz="0" w:space="0" w:color="auto"/>
        <w:right w:val="none" w:sz="0" w:space="0" w:color="auto"/>
      </w:divBdr>
      <w:divsChild>
        <w:div w:id="25495898">
          <w:marLeft w:val="446"/>
          <w:marRight w:val="0"/>
          <w:marTop w:val="0"/>
          <w:marBottom w:val="0"/>
          <w:divBdr>
            <w:top w:val="none" w:sz="0" w:space="0" w:color="auto"/>
            <w:left w:val="none" w:sz="0" w:space="0" w:color="auto"/>
            <w:bottom w:val="none" w:sz="0" w:space="0" w:color="auto"/>
            <w:right w:val="none" w:sz="0" w:space="0" w:color="auto"/>
          </w:divBdr>
        </w:div>
      </w:divsChild>
    </w:div>
    <w:div w:id="1647204244">
      <w:bodyDiv w:val="1"/>
      <w:marLeft w:val="0"/>
      <w:marRight w:val="0"/>
      <w:marTop w:val="0"/>
      <w:marBottom w:val="0"/>
      <w:divBdr>
        <w:top w:val="none" w:sz="0" w:space="0" w:color="auto"/>
        <w:left w:val="none" w:sz="0" w:space="0" w:color="auto"/>
        <w:bottom w:val="none" w:sz="0" w:space="0" w:color="auto"/>
        <w:right w:val="none" w:sz="0" w:space="0" w:color="auto"/>
      </w:divBdr>
      <w:divsChild>
        <w:div w:id="509875234">
          <w:marLeft w:val="446"/>
          <w:marRight w:val="0"/>
          <w:marTop w:val="0"/>
          <w:marBottom w:val="0"/>
          <w:divBdr>
            <w:top w:val="none" w:sz="0" w:space="0" w:color="auto"/>
            <w:left w:val="none" w:sz="0" w:space="0" w:color="auto"/>
            <w:bottom w:val="none" w:sz="0" w:space="0" w:color="auto"/>
            <w:right w:val="none" w:sz="0" w:space="0" w:color="auto"/>
          </w:divBdr>
        </w:div>
        <w:div w:id="598177976">
          <w:marLeft w:val="446"/>
          <w:marRight w:val="0"/>
          <w:marTop w:val="0"/>
          <w:marBottom w:val="0"/>
          <w:divBdr>
            <w:top w:val="none" w:sz="0" w:space="0" w:color="auto"/>
            <w:left w:val="none" w:sz="0" w:space="0" w:color="auto"/>
            <w:bottom w:val="none" w:sz="0" w:space="0" w:color="auto"/>
            <w:right w:val="none" w:sz="0" w:space="0" w:color="auto"/>
          </w:divBdr>
        </w:div>
      </w:divsChild>
    </w:div>
    <w:div w:id="1802382089">
      <w:bodyDiv w:val="1"/>
      <w:marLeft w:val="0"/>
      <w:marRight w:val="0"/>
      <w:marTop w:val="0"/>
      <w:marBottom w:val="0"/>
      <w:divBdr>
        <w:top w:val="none" w:sz="0" w:space="0" w:color="auto"/>
        <w:left w:val="none" w:sz="0" w:space="0" w:color="auto"/>
        <w:bottom w:val="none" w:sz="0" w:space="0" w:color="auto"/>
        <w:right w:val="none" w:sz="0" w:space="0" w:color="auto"/>
      </w:divBdr>
      <w:divsChild>
        <w:div w:id="97989904">
          <w:marLeft w:val="446"/>
          <w:marRight w:val="0"/>
          <w:marTop w:val="0"/>
          <w:marBottom w:val="0"/>
          <w:divBdr>
            <w:top w:val="none" w:sz="0" w:space="0" w:color="auto"/>
            <w:left w:val="none" w:sz="0" w:space="0" w:color="auto"/>
            <w:bottom w:val="none" w:sz="0" w:space="0" w:color="auto"/>
            <w:right w:val="none" w:sz="0" w:space="0" w:color="auto"/>
          </w:divBdr>
        </w:div>
        <w:div w:id="722219615">
          <w:marLeft w:val="446"/>
          <w:marRight w:val="0"/>
          <w:marTop w:val="0"/>
          <w:marBottom w:val="0"/>
          <w:divBdr>
            <w:top w:val="none" w:sz="0" w:space="0" w:color="auto"/>
            <w:left w:val="none" w:sz="0" w:space="0" w:color="auto"/>
            <w:bottom w:val="none" w:sz="0" w:space="0" w:color="auto"/>
            <w:right w:val="none" w:sz="0" w:space="0" w:color="auto"/>
          </w:divBdr>
        </w:div>
        <w:div w:id="974069866">
          <w:marLeft w:val="446"/>
          <w:marRight w:val="0"/>
          <w:marTop w:val="0"/>
          <w:marBottom w:val="0"/>
          <w:divBdr>
            <w:top w:val="none" w:sz="0" w:space="0" w:color="auto"/>
            <w:left w:val="none" w:sz="0" w:space="0" w:color="auto"/>
            <w:bottom w:val="none" w:sz="0" w:space="0" w:color="auto"/>
            <w:right w:val="none" w:sz="0" w:space="0" w:color="auto"/>
          </w:divBdr>
        </w:div>
        <w:div w:id="1229997897">
          <w:marLeft w:val="446"/>
          <w:marRight w:val="0"/>
          <w:marTop w:val="0"/>
          <w:marBottom w:val="0"/>
          <w:divBdr>
            <w:top w:val="none" w:sz="0" w:space="0" w:color="auto"/>
            <w:left w:val="none" w:sz="0" w:space="0" w:color="auto"/>
            <w:bottom w:val="none" w:sz="0" w:space="0" w:color="auto"/>
            <w:right w:val="none" w:sz="0" w:space="0" w:color="auto"/>
          </w:divBdr>
        </w:div>
        <w:div w:id="1434209846">
          <w:marLeft w:val="446"/>
          <w:marRight w:val="0"/>
          <w:marTop w:val="0"/>
          <w:marBottom w:val="0"/>
          <w:divBdr>
            <w:top w:val="none" w:sz="0" w:space="0" w:color="auto"/>
            <w:left w:val="none" w:sz="0" w:space="0" w:color="auto"/>
            <w:bottom w:val="none" w:sz="0" w:space="0" w:color="auto"/>
            <w:right w:val="none" w:sz="0" w:space="0" w:color="auto"/>
          </w:divBdr>
        </w:div>
        <w:div w:id="1514034097">
          <w:marLeft w:val="446"/>
          <w:marRight w:val="0"/>
          <w:marTop w:val="0"/>
          <w:marBottom w:val="0"/>
          <w:divBdr>
            <w:top w:val="none" w:sz="0" w:space="0" w:color="auto"/>
            <w:left w:val="none" w:sz="0" w:space="0" w:color="auto"/>
            <w:bottom w:val="none" w:sz="0" w:space="0" w:color="auto"/>
            <w:right w:val="none" w:sz="0" w:space="0" w:color="auto"/>
          </w:divBdr>
        </w:div>
        <w:div w:id="1594431968">
          <w:marLeft w:val="446"/>
          <w:marRight w:val="0"/>
          <w:marTop w:val="0"/>
          <w:marBottom w:val="0"/>
          <w:divBdr>
            <w:top w:val="none" w:sz="0" w:space="0" w:color="auto"/>
            <w:left w:val="none" w:sz="0" w:space="0" w:color="auto"/>
            <w:bottom w:val="none" w:sz="0" w:space="0" w:color="auto"/>
            <w:right w:val="none" w:sz="0" w:space="0" w:color="auto"/>
          </w:divBdr>
        </w:div>
        <w:div w:id="2138332938">
          <w:marLeft w:val="446"/>
          <w:marRight w:val="0"/>
          <w:marTop w:val="0"/>
          <w:marBottom w:val="0"/>
          <w:divBdr>
            <w:top w:val="none" w:sz="0" w:space="0" w:color="auto"/>
            <w:left w:val="none" w:sz="0" w:space="0" w:color="auto"/>
            <w:bottom w:val="none" w:sz="0" w:space="0" w:color="auto"/>
            <w:right w:val="none" w:sz="0" w:space="0" w:color="auto"/>
          </w:divBdr>
        </w:div>
      </w:divsChild>
    </w:div>
    <w:div w:id="1827743395">
      <w:bodyDiv w:val="1"/>
      <w:marLeft w:val="0"/>
      <w:marRight w:val="0"/>
      <w:marTop w:val="0"/>
      <w:marBottom w:val="0"/>
      <w:divBdr>
        <w:top w:val="none" w:sz="0" w:space="0" w:color="auto"/>
        <w:left w:val="none" w:sz="0" w:space="0" w:color="auto"/>
        <w:bottom w:val="none" w:sz="0" w:space="0" w:color="auto"/>
        <w:right w:val="none" w:sz="0" w:space="0" w:color="auto"/>
      </w:divBdr>
      <w:divsChild>
        <w:div w:id="1051659711">
          <w:marLeft w:val="446"/>
          <w:marRight w:val="0"/>
          <w:marTop w:val="0"/>
          <w:marBottom w:val="0"/>
          <w:divBdr>
            <w:top w:val="none" w:sz="0" w:space="0" w:color="auto"/>
            <w:left w:val="none" w:sz="0" w:space="0" w:color="auto"/>
            <w:bottom w:val="none" w:sz="0" w:space="0" w:color="auto"/>
            <w:right w:val="none" w:sz="0" w:space="0" w:color="auto"/>
          </w:divBdr>
        </w:div>
      </w:divsChild>
    </w:div>
    <w:div w:id="19177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base.biz/lexbase/normas/leyes/2001/L0693de200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base.biz/lexbase/normas/leyes/1987/L0039de1987.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0C535-D473-4587-9B41-968AEC57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10</Pages>
  <Words>3079</Words>
  <Characters>17931</Characters>
  <Application>Microsoft Office Word</Application>
  <DocSecurity>0</DocSecurity>
  <Lines>149</Lines>
  <Paragraphs>41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2015-10-15T20:27:00Z</cp:lastPrinted>
  <dcterms:created xsi:type="dcterms:W3CDTF">2016-10-03T23:36:00Z</dcterms:created>
  <dcterms:modified xsi:type="dcterms:W3CDTF">2016-10-03T23:36:00Z</dcterms:modified>
</cp:coreProperties>
</file>